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53337">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永济市人民政府</w:t>
      </w:r>
    </w:p>
    <w:p w14:paraId="6C116A66">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关于2021年财政决算及2022年上半年</w:t>
      </w:r>
    </w:p>
    <w:p w14:paraId="29F6A8EA">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财政预算执行情况的报告</w:t>
      </w:r>
    </w:p>
    <w:p w14:paraId="68E22690">
      <w:pPr>
        <w:pStyle w:val="2"/>
        <w:spacing w:before="0" w:after="0" w:line="620" w:lineRule="exact"/>
        <w:jc w:val="center"/>
        <w:rPr>
          <w:rFonts w:hint="eastAsia" w:ascii="楷体" w:hAnsi="楷体" w:eastAsia="楷体" w:cs="楷体"/>
          <w:b w:val="0"/>
          <w:bCs w:val="0"/>
          <w:spacing w:val="2"/>
          <w:sz w:val="32"/>
          <w:szCs w:val="32"/>
        </w:rPr>
      </w:pPr>
    </w:p>
    <w:p w14:paraId="789C05B1">
      <w:pPr>
        <w:spacing w:line="620" w:lineRule="exact"/>
        <w:jc w:val="center"/>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——2022年9月14日在永济市第七届人大常委会第十四次会议上</w:t>
      </w:r>
    </w:p>
    <w:p w14:paraId="5473353A">
      <w:pPr>
        <w:spacing w:line="6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市财政局局长  李兴园</w:t>
      </w:r>
    </w:p>
    <w:p w14:paraId="15B18946">
      <w:pPr>
        <w:spacing w:line="620" w:lineRule="exact"/>
        <w:rPr>
          <w:rFonts w:hint="eastAsia" w:ascii="仿宋_GB2312" w:eastAsia="仿宋_GB2312"/>
          <w:sz w:val="32"/>
          <w:szCs w:val="32"/>
        </w:rPr>
      </w:pPr>
    </w:p>
    <w:p w14:paraId="73B2B13C">
      <w:pPr>
        <w:spacing w:line="620" w:lineRule="exact"/>
        <w:rPr>
          <w:rFonts w:hint="eastAsia" w:ascii="仿宋_GB2312" w:eastAsia="仿宋_GB2312"/>
          <w:sz w:val="32"/>
          <w:szCs w:val="32"/>
        </w:rPr>
      </w:pPr>
      <w:r>
        <w:rPr>
          <w:rFonts w:hint="eastAsia" w:ascii="仿宋_GB2312" w:eastAsia="仿宋_GB2312"/>
          <w:sz w:val="32"/>
          <w:szCs w:val="32"/>
        </w:rPr>
        <w:t>主任、副主任、各位委员：</w:t>
      </w:r>
    </w:p>
    <w:p w14:paraId="4F901D30">
      <w:pPr>
        <w:spacing w:line="620" w:lineRule="exact"/>
        <w:ind w:firstLine="640" w:firstLineChars="200"/>
        <w:rPr>
          <w:rFonts w:hint="eastAsia" w:ascii="黑体" w:hAnsi="黑体" w:eastAsia="黑体" w:cs="黑体"/>
          <w:spacing w:val="2"/>
          <w:sz w:val="32"/>
          <w:szCs w:val="32"/>
        </w:rPr>
      </w:pPr>
      <w:r>
        <w:rPr>
          <w:rFonts w:hint="eastAsia" w:ascii="仿宋_GB2312" w:hAnsi="仿宋" w:eastAsia="仿宋_GB2312"/>
          <w:sz w:val="32"/>
          <w:szCs w:val="32"/>
        </w:rPr>
        <w:t>我受市人民政府委托，向市人大常委会作关于2021年财政决算及2022年上半年财政预算执行情况的报告，请予审议。</w:t>
      </w:r>
    </w:p>
    <w:p w14:paraId="31E6EB4E">
      <w:pPr>
        <w:spacing w:line="62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一、2021年财政决算情况</w:t>
      </w:r>
    </w:p>
    <w:p w14:paraId="7F7C992F">
      <w:pPr>
        <w:spacing w:line="620" w:lineRule="exact"/>
        <w:ind w:firstLine="648" w:firstLineChars="200"/>
        <w:rPr>
          <w:rFonts w:hint="eastAsia" w:ascii="仿宋_GB2312" w:eastAsia="仿宋_GB2312"/>
          <w:spacing w:val="2"/>
          <w:sz w:val="32"/>
          <w:szCs w:val="32"/>
        </w:rPr>
      </w:pPr>
      <w:r>
        <w:rPr>
          <w:rFonts w:hint="eastAsia" w:ascii="仿宋_GB2312" w:eastAsia="仿宋_GB2312"/>
          <w:spacing w:val="2"/>
          <w:sz w:val="32"/>
          <w:szCs w:val="32"/>
        </w:rPr>
        <w:t>2021年，在市委的正确领导和市人大的监督支持下，财税部门努力克服经济形势增速放缓及新冠疫情影响，认真贯彻落实上级各项政策，狠抓收入征管，积极争取转移支付资金，全面落实“六保、六稳”各项政策，严格执行人代会批准的收支预算，较好的完成了年度目标任务，有力地支持了全市经济发展。决算在预算单位编制、财政部门审核汇总的基础上，完成了编报工作。决算情况是：</w:t>
      </w:r>
    </w:p>
    <w:p w14:paraId="72604FDA">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（一）一般公共预算决算情况</w:t>
      </w:r>
    </w:p>
    <w:p w14:paraId="629EF9E9">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1.财政收入决算</w:t>
      </w:r>
    </w:p>
    <w:p w14:paraId="1FAE94A8">
      <w:pPr>
        <w:spacing w:line="620" w:lineRule="exact"/>
        <w:ind w:firstLine="648" w:firstLineChars="200"/>
        <w:rPr>
          <w:rFonts w:hint="eastAsia" w:ascii="仿宋_GB2312" w:eastAsia="仿宋_GB2312"/>
          <w:color w:val="FF0000"/>
          <w:spacing w:val="2"/>
          <w:sz w:val="32"/>
          <w:szCs w:val="32"/>
        </w:rPr>
      </w:pPr>
      <w:r>
        <w:rPr>
          <w:rFonts w:hint="eastAsia" w:ascii="仿宋_GB2312" w:eastAsia="仿宋_GB2312"/>
          <w:color w:val="000000"/>
          <w:spacing w:val="2"/>
          <w:sz w:val="32"/>
          <w:szCs w:val="32"/>
        </w:rPr>
        <w:t>2021年全市财政总收入完成82609万元,比上年增长0.9%。其中一般公共预算收入53754万元,占预算101.1%，比上年增长7.2%。</w:t>
      </w:r>
    </w:p>
    <w:p w14:paraId="09C4362F">
      <w:pPr>
        <w:spacing w:line="620" w:lineRule="exact"/>
        <w:ind w:firstLine="648" w:firstLineChars="200"/>
        <w:rPr>
          <w:rFonts w:hint="eastAsia" w:ascii="仿宋_GB2312" w:hAnsi="宋体" w:eastAsia="仿宋_GB2312" w:cs="宋体"/>
          <w:color w:val="000000"/>
          <w:spacing w:val="2"/>
          <w:sz w:val="32"/>
          <w:szCs w:val="32"/>
        </w:rPr>
      </w:pPr>
      <w:r>
        <w:rPr>
          <w:rFonts w:hint="eastAsia" w:ascii="仿宋_GB2312" w:eastAsia="仿宋_GB2312"/>
          <w:color w:val="000000"/>
          <w:spacing w:val="2"/>
          <w:sz w:val="32"/>
          <w:szCs w:val="32"/>
        </w:rPr>
        <w:t>分部门完成情况是：税务部门30025万元,占预算92.9%,比上年下降1.6%；财政部门23729万元，占预算113.9%，比上年增长20.8%。</w:t>
      </w:r>
      <w:r>
        <w:rPr>
          <w:rFonts w:hint="eastAsia" w:ascii="仿宋_GB2312" w:hAnsi="宋体" w:eastAsia="仿宋_GB2312" w:cs="宋体"/>
          <w:color w:val="000000"/>
          <w:spacing w:val="2"/>
          <w:sz w:val="32"/>
          <w:szCs w:val="32"/>
        </w:rPr>
        <w:t></w:t>
      </w:r>
    </w:p>
    <w:p w14:paraId="73901B28">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2.决算财力情况</w:t>
      </w:r>
    </w:p>
    <w:p w14:paraId="430CCB4C">
      <w:pPr>
        <w:adjustRightInd w:val="0"/>
        <w:snapToGrid w:val="0"/>
        <w:spacing w:line="620" w:lineRule="exact"/>
        <w:ind w:firstLine="648" w:firstLineChars="200"/>
        <w:rPr>
          <w:rFonts w:hint="eastAsia" w:ascii="仿宋_GB2312" w:eastAsia="仿宋_GB2312"/>
          <w:color w:val="000000"/>
          <w:spacing w:val="2"/>
          <w:sz w:val="32"/>
          <w:szCs w:val="32"/>
        </w:rPr>
      </w:pPr>
      <w:r>
        <w:rPr>
          <w:rFonts w:hint="eastAsia" w:ascii="仿宋_GB2312" w:eastAsia="仿宋_GB2312"/>
          <w:spacing w:val="2"/>
          <w:sz w:val="32"/>
          <w:szCs w:val="32"/>
        </w:rPr>
        <w:t>决算总财力301054万元，其中：</w:t>
      </w:r>
      <w:r>
        <w:rPr>
          <w:rFonts w:hint="eastAsia" w:ascii="仿宋_GB2312" w:eastAsia="仿宋_GB2312"/>
          <w:color w:val="000000"/>
          <w:spacing w:val="2"/>
          <w:sz w:val="32"/>
          <w:szCs w:val="32"/>
        </w:rPr>
        <w:t>(1)市级收入财力53754万元;(2)返还性收入1604万元；(3)均衡性转移支付补助99883万元；(4)县级基本财力保障奖补资金18660万元;(5)重点生态功能区转移支付558万元；(6)产粮（油）大县奖励2296万元；(7)政府债券收入21600万元，其中：新增一般债券14000万元，再融资债券7600万元；(8)调入资金9067万元，其中：国有资本经营调入3万元，其他调入9064万元；(9)动用预算稳定调节基金7269万元；(10)上级专项补助81539万元，其中：一般转移支付57526万元，专项转移支付24013万元；(11)各项结算补助4809万元；(12)固定数额补助17232万元；(13)上解上级支出13248万元；(14)上年结转3631万元；(15)债务还本支出7600万元。</w:t>
      </w:r>
    </w:p>
    <w:p w14:paraId="12AC3335">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3.一般公共预算支出决算</w:t>
      </w:r>
    </w:p>
    <w:p w14:paraId="4F63B68A">
      <w:pPr>
        <w:adjustRightInd w:val="0"/>
        <w:snapToGrid w:val="0"/>
        <w:spacing w:line="620" w:lineRule="exact"/>
        <w:ind w:firstLine="648" w:firstLineChars="200"/>
        <w:rPr>
          <w:rFonts w:ascii="仿宋_GB2312" w:eastAsia="仿宋_GB2312"/>
          <w:spacing w:val="2"/>
          <w:sz w:val="32"/>
          <w:szCs w:val="32"/>
        </w:rPr>
      </w:pPr>
      <w:r>
        <w:rPr>
          <w:rFonts w:hint="eastAsia" w:ascii="仿宋_GB2312" w:eastAsia="仿宋_GB2312"/>
          <w:color w:val="000000"/>
          <w:spacing w:val="2"/>
          <w:sz w:val="32"/>
          <w:szCs w:val="32"/>
        </w:rPr>
        <w:t>2021年一般公共预算支出275624万元，占调整预算91.8%,比上年下降7.5%，主要原因是2020年上级下达特殊转移支付资金1.6亿元及2021年取消权责发生制列支。主要项目执行情况是：一般公共服务支出30702万元,占调整预算99.8%，比上年增长18.2%；公共安全支出8461万元，占调整预算95.3%,比上年下降14.9%；教育支出68255万元,占调整预算95.7%,比上年增长6.2%；科学技术支出1883万元,占调整预算100%,比上年增长52.7%；文化旅游体育与传媒11288万元,占调整预算96.9%，比上年下降41.1%；社会保障和就业42465万元,占调整预算98.8%,比上年增长15.8%；卫生健康支出24516万元,占调整预算96.3%,比上年增长2.7%;节能环保支出8439万元，占调整预算71.9%，比上年下降58.1%；城乡社区支出15555万元，占调整预算99.6%，比上年下降32.4%；农林水支出35314万元，占调整预算74.7%，比上年下降14.9%；交通运输支出12563万元，占调整预算84.5%，比上年下降7%；资源勘探工业信息等支出4011万元，占调整预算98.6%，比上年下降53.3%；住房保障支出2596万元，占调整预算72.9%，比上年增长131.6%；债务付息支出2093万元，占调整预算100%，比上年增长11.6%。</w:t>
      </w:r>
    </w:p>
    <w:p w14:paraId="66D5DFEC">
      <w:pPr>
        <w:spacing w:line="620" w:lineRule="exact"/>
        <w:ind w:firstLine="651" w:firstLineChars="200"/>
        <w:rPr>
          <w:rFonts w:hint="eastAsia"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4.收支平衡情况</w:t>
      </w:r>
    </w:p>
    <w:p w14:paraId="5A2A6A96">
      <w:pPr>
        <w:spacing w:line="620" w:lineRule="exact"/>
        <w:ind w:firstLine="648" w:firstLineChars="200"/>
        <w:rPr>
          <w:rFonts w:hint="eastAsia" w:ascii="仿宋_GB2312" w:eastAsia="仿宋_GB2312"/>
          <w:color w:val="FF0000"/>
          <w:spacing w:val="2"/>
          <w:sz w:val="32"/>
          <w:szCs w:val="32"/>
        </w:rPr>
      </w:pPr>
      <w:r>
        <w:rPr>
          <w:rFonts w:hint="eastAsia" w:ascii="仿宋_GB2312" w:eastAsia="仿宋_GB2312"/>
          <w:color w:val="000000"/>
          <w:spacing w:val="2"/>
          <w:sz w:val="32"/>
          <w:szCs w:val="32"/>
        </w:rPr>
        <w:t>2021年预算执行结果为：总财力301054万元，支出执行275624万元，结转下年支出24623万元</w:t>
      </w:r>
      <w:r>
        <w:rPr>
          <w:rFonts w:hint="eastAsia" w:ascii="仿宋_GB2312" w:hAnsi="仿宋_GB2312" w:eastAsia="仿宋_GB2312" w:cs="仿宋_GB2312"/>
          <w:color w:val="000000"/>
          <w:spacing w:val="2"/>
          <w:sz w:val="30"/>
          <w:szCs w:val="30"/>
          <w:shd w:val="clear" w:color="auto" w:fill="FFFFFF"/>
        </w:rPr>
        <w:t>，安排预算稳定调节基金807万元</w:t>
      </w:r>
      <w:r>
        <w:rPr>
          <w:rFonts w:hint="eastAsia" w:ascii="仿宋_GB2312" w:eastAsia="仿宋_GB2312"/>
          <w:color w:val="000000"/>
          <w:spacing w:val="2"/>
          <w:sz w:val="32"/>
          <w:szCs w:val="32"/>
        </w:rPr>
        <w:t>。</w:t>
      </w:r>
      <w:r>
        <w:rPr>
          <w:rFonts w:hint="eastAsia" w:ascii="仿宋_GB2312" w:hAnsi="宋体" w:eastAsia="仿宋_GB2312" w:cs="宋体"/>
          <w:color w:val="FF0000"/>
          <w:spacing w:val="2"/>
          <w:sz w:val="32"/>
          <w:szCs w:val="32"/>
        </w:rPr>
        <w:t></w:t>
      </w:r>
    </w:p>
    <w:p w14:paraId="731ED4B1">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（二）政府性基金决算情况</w:t>
      </w:r>
    </w:p>
    <w:p w14:paraId="6A73069B">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1.政府性基金收入决算</w:t>
      </w:r>
    </w:p>
    <w:p w14:paraId="5139CF42">
      <w:pPr>
        <w:spacing w:line="620" w:lineRule="exact"/>
        <w:ind w:firstLine="648" w:firstLineChars="200"/>
        <w:rPr>
          <w:rFonts w:ascii="仿宋_GB2312" w:hAnsi="仿宋_GB2312" w:eastAsia="仿宋_GB2312" w:cs="仿宋_GB2312"/>
          <w:sz w:val="30"/>
          <w:szCs w:val="30"/>
          <w:shd w:val="clear" w:color="auto" w:fill="FFFFFF"/>
        </w:rPr>
      </w:pPr>
      <w:r>
        <w:rPr>
          <w:rFonts w:hint="eastAsia" w:ascii="仿宋_GB2312" w:eastAsia="仿宋_GB2312"/>
          <w:color w:val="000000"/>
          <w:spacing w:val="2"/>
          <w:sz w:val="32"/>
          <w:szCs w:val="32"/>
        </w:rPr>
        <w:t>政府性基金收入完成23055万元，占预算66.3%，比上年下降46.5%。其中：国有土地使用权出让收入18994万元,占预算63.3%，比上年下降45.3%；国有土地收益基金收入1025万元，占预算51.3%，比上年下降75.8%；农业土地开发资金收入174万元，占预算108.8%，比上年下降70.9%；城市基础设施配套费收入1836万元，占预算91.8%，比上年下降36%；污水处理费收入756万元，占预算126%，比上年增长15.4%;其他政府性基金收入270万元，主要是蒲坂城市建设投资集团有限公司偿还专项债券利息。</w:t>
      </w:r>
    </w:p>
    <w:p w14:paraId="311379E3">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2.政府性基金支出决算</w:t>
      </w:r>
    </w:p>
    <w:p w14:paraId="4559F90A">
      <w:pPr>
        <w:spacing w:line="620" w:lineRule="exact"/>
        <w:ind w:firstLine="648" w:firstLineChars="200"/>
        <w:rPr>
          <w:rFonts w:hint="eastAsia" w:ascii="仿宋_GB2312" w:hAnsi="仿宋_GB2312" w:eastAsia="仿宋_GB2312" w:cs="仿宋_GB2312"/>
          <w:spacing w:val="2"/>
          <w:sz w:val="32"/>
          <w:szCs w:val="32"/>
          <w:shd w:val="clear" w:color="auto" w:fill="FFFFFF"/>
        </w:rPr>
      </w:pPr>
      <w:r>
        <w:rPr>
          <w:rFonts w:hint="eastAsia" w:ascii="仿宋_GB2312" w:hAnsi="仿宋_GB2312" w:eastAsia="仿宋_GB2312" w:cs="仿宋_GB2312"/>
          <w:spacing w:val="2"/>
          <w:sz w:val="32"/>
          <w:szCs w:val="32"/>
          <w:shd w:val="clear" w:color="auto" w:fill="FFFFFF"/>
        </w:rPr>
        <w:t>政府性基金预算支出52954万元，占调整预算86.8%，比上年增长13.6%。主要项目执行情况是：文化旅游与体育传媒支出-19万元，比上年下降138.8%，原因是上级扣回以前年度指标。社会保障和就业支出2326万元，比上年增长13.5%。城乡社区支出27315万元，比上年下降3.8%，其中：国有土地使用权出让收入安排支出21768万元，比上年下降5.7%；农业土地开发资金支出318万元，比上年增长114.9%；国有土地收益基金支出2079万元，比上年下降34.3%；城市基础设施配套费支出2574万元，比上年增长100.5%；污水处理费支出576万元，比上年下降20.8%。农林水支出932万元。其他支出20499万元，比上年增长116.4%。债务付息支出1881万元，比上年增长14.5%。</w:t>
      </w:r>
    </w:p>
    <w:p w14:paraId="2EC03F96">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3.政府性基金收支平衡情况</w:t>
      </w:r>
    </w:p>
    <w:p w14:paraId="44524165">
      <w:pPr>
        <w:spacing w:line="620" w:lineRule="exact"/>
        <w:ind w:firstLine="648" w:firstLineChars="200"/>
        <w:rPr>
          <w:rFonts w:hint="eastAsia" w:ascii="仿宋_GB2312" w:hAnsi="仿宋_GB2312" w:eastAsia="仿宋_GB2312" w:cs="仿宋_GB2312"/>
          <w:spacing w:val="2"/>
          <w:sz w:val="32"/>
          <w:szCs w:val="32"/>
          <w:shd w:val="clear" w:color="auto" w:fill="FFFFFF"/>
        </w:rPr>
      </w:pPr>
      <w:r>
        <w:rPr>
          <w:rFonts w:hint="eastAsia" w:ascii="仿宋_GB2312" w:hAnsi="仿宋_GB2312" w:eastAsia="仿宋_GB2312" w:cs="仿宋_GB2312"/>
          <w:spacing w:val="2"/>
          <w:sz w:val="32"/>
          <w:szCs w:val="32"/>
          <w:shd w:val="clear" w:color="auto" w:fill="FFFFFF"/>
        </w:rPr>
        <w:t>政府性基金收入23055万元，上年结余12742万元，上级专项补助8645万元，地方政府专项债务转贷收入24600万元（其中：新增专项债券23600万元、再融资债券1000万元），政府性基金支出52954万元，债务还本支出8000万元，结转下年8088万元。</w:t>
      </w:r>
    </w:p>
    <w:p w14:paraId="687FC60F">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（三）社保基金决算情况</w:t>
      </w:r>
    </w:p>
    <w:p w14:paraId="53DB9E8F">
      <w:pPr>
        <w:spacing w:line="620" w:lineRule="exact"/>
        <w:ind w:firstLine="648" w:firstLineChars="200"/>
        <w:rPr>
          <w:rFonts w:ascii="楷体_GB2312" w:eastAsia="仿宋_GB2312"/>
          <w:b/>
          <w:color w:val="FF0000"/>
          <w:spacing w:val="2"/>
          <w:sz w:val="32"/>
          <w:szCs w:val="32"/>
        </w:rPr>
      </w:pPr>
      <w:r>
        <w:rPr>
          <w:rFonts w:hint="eastAsia" w:ascii="仿宋_GB2312" w:hAnsi="仿宋_GB2312" w:eastAsia="仿宋_GB2312" w:cs="仿宋_GB2312"/>
          <w:spacing w:val="2"/>
          <w:sz w:val="32"/>
          <w:szCs w:val="32"/>
          <w:shd w:val="clear" w:color="auto" w:fill="FFFFFF"/>
        </w:rPr>
        <w:t>2021年社保基金上年结余36673万元，收入54609万元，支出42050万元，结余49232万元。其中：机关事业单位基本养老保险基金上年结余2140万元，收入31686万元，支出31045万元，结余2781万元；城乡居民基本养老保险基金上年结余34533万元，收入17013万元，支出9763万元，结余41783万元；城乡居民补充养老保险基金收入5910万元，支出1242万元，结余4668万元。</w:t>
      </w:r>
    </w:p>
    <w:p w14:paraId="2EFDCC10">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（四）国有资本经营决算情况</w:t>
      </w:r>
    </w:p>
    <w:p w14:paraId="4268EA9C">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1.国有资本经营收支情况</w:t>
      </w:r>
    </w:p>
    <w:p w14:paraId="06AB5D00">
      <w:pPr>
        <w:spacing w:line="620" w:lineRule="exact"/>
        <w:ind w:firstLine="648" w:firstLineChars="200"/>
        <w:rPr>
          <w:rFonts w:hint="eastAsia" w:ascii="仿宋_GB2312" w:hAnsi="仿宋_GB2312" w:eastAsia="仿宋_GB2312" w:cs="仿宋_GB2312"/>
          <w:spacing w:val="2"/>
          <w:sz w:val="32"/>
          <w:szCs w:val="32"/>
          <w:shd w:val="clear" w:color="auto" w:fill="FFFFFF"/>
        </w:rPr>
      </w:pPr>
      <w:r>
        <w:rPr>
          <w:rFonts w:hint="eastAsia" w:ascii="仿宋_GB2312" w:hAnsi="仿宋_GB2312" w:eastAsia="仿宋_GB2312" w:cs="仿宋_GB2312"/>
          <w:spacing w:val="2"/>
          <w:sz w:val="32"/>
          <w:szCs w:val="32"/>
          <w:shd w:val="clear" w:color="auto" w:fill="FFFFFF"/>
        </w:rPr>
        <w:t>2021年国有资本经营预算收入3万元，上级补助收入-2312万元（主要是2021年12月31日上级“三供一业”资金清算扣回3056万元），支出-2827万元，调入一般公共预算3万元，结转下年515万元。</w:t>
      </w:r>
    </w:p>
    <w:p w14:paraId="2DEB656C">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2.国有及国有控股企业盈亏情况</w:t>
      </w:r>
    </w:p>
    <w:p w14:paraId="4A52B233">
      <w:pPr>
        <w:pStyle w:val="11"/>
        <w:spacing w:line="620" w:lineRule="exact"/>
        <w:ind w:firstLine="648"/>
        <w:rPr>
          <w:rFonts w:ascii="仿宋_GB2312" w:hAnsi="仿宋_GB2312" w:eastAsia="仿宋_GB2312" w:cs="仿宋_GB2312"/>
          <w:spacing w:val="2"/>
          <w:sz w:val="32"/>
          <w:szCs w:val="32"/>
          <w:shd w:val="clear" w:color="auto" w:fill="FFFFFF"/>
        </w:rPr>
      </w:pPr>
      <w:r>
        <w:rPr>
          <w:rFonts w:hint="eastAsia" w:ascii="仿宋_GB2312" w:hAnsi="仿宋_GB2312" w:eastAsia="仿宋_GB2312" w:cs="仿宋_GB2312"/>
          <w:spacing w:val="2"/>
          <w:sz w:val="32"/>
          <w:szCs w:val="32"/>
          <w:shd w:val="clear" w:color="auto" w:fill="FFFFFF"/>
        </w:rPr>
        <w:t>经过企业改制，2021年末，我市政府职能部门出资且正常运营的国有及国有控股企业共11户，其中：</w:t>
      </w:r>
      <w:r>
        <w:rPr>
          <w:rFonts w:hint="eastAsia" w:ascii="仿宋_GB2312" w:hAnsi="仿宋_GB2312" w:eastAsia="仿宋_GB2312" w:cs="仿宋_GB2312"/>
          <w:b/>
          <w:bCs/>
          <w:spacing w:val="2"/>
          <w:sz w:val="32"/>
          <w:szCs w:val="32"/>
          <w:shd w:val="clear" w:color="auto" w:fill="FFFFFF"/>
        </w:rPr>
        <w:t>盈利企业</w:t>
      </w:r>
      <w:r>
        <w:rPr>
          <w:rFonts w:hint="eastAsia" w:ascii="仿宋_GB2312" w:hAnsi="仿宋_GB2312" w:eastAsia="仿宋_GB2312" w:cs="仿宋_GB2312"/>
          <w:spacing w:val="2"/>
          <w:sz w:val="32"/>
          <w:szCs w:val="32"/>
          <w:shd w:val="clear" w:color="auto" w:fill="FFFFFF"/>
        </w:rPr>
        <w:t>3户，盈利额1049.49万元，主要是蒲坂城市建设投资集团有限公司846.54万元，市政工程公司44.42万元，视佳广播电视网络传输有限公司158.53万元；</w:t>
      </w:r>
      <w:r>
        <w:rPr>
          <w:rFonts w:hint="eastAsia" w:ascii="仿宋_GB2312" w:hAnsi="仿宋_GB2312" w:eastAsia="仿宋_GB2312" w:cs="仿宋_GB2312"/>
          <w:b/>
          <w:bCs/>
          <w:spacing w:val="2"/>
          <w:sz w:val="32"/>
          <w:szCs w:val="32"/>
          <w:shd w:val="clear" w:color="auto" w:fill="FFFFFF"/>
        </w:rPr>
        <w:t>亏损企业</w:t>
      </w:r>
      <w:r>
        <w:rPr>
          <w:rFonts w:hint="eastAsia" w:ascii="仿宋_GB2312" w:hAnsi="仿宋_GB2312" w:eastAsia="仿宋_GB2312" w:cs="仿宋_GB2312"/>
          <w:spacing w:val="2"/>
          <w:sz w:val="32"/>
          <w:szCs w:val="32"/>
          <w:shd w:val="clear" w:color="auto" w:fill="FFFFFF"/>
        </w:rPr>
        <w:t>8户，亏损额1731.01万元，主要是新纪元商业集团有限公司-242.42万元，粟济储备粮有限公司-0.17万元，军粮供应有限公司-0.48万元，山西鹳雀楼旅游集团有限公司-35.8万元，山西鹳雀楼集团永济五老峰旅游有限公司-322.31万元，普救寺旅游有限公司-747.16万元，供热服务中心-204.46万元，经济技术开发区实业发展有限责任公司-178.21万元。</w:t>
      </w:r>
    </w:p>
    <w:p w14:paraId="1468FA64">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（五）其他需要说明的情况</w:t>
      </w:r>
    </w:p>
    <w:p w14:paraId="6C72FE83">
      <w:pPr>
        <w:pStyle w:val="11"/>
        <w:spacing w:line="620" w:lineRule="exact"/>
        <w:ind w:firstLine="648"/>
        <w:rPr>
          <w:rFonts w:ascii="仿宋_GB2312" w:hAnsi="仿宋_GB2312" w:eastAsia="仿宋_GB2312" w:cs="仿宋_GB2312"/>
          <w:color w:val="FF0000"/>
          <w:spacing w:val="2"/>
          <w:sz w:val="32"/>
          <w:szCs w:val="32"/>
          <w:shd w:val="clear" w:color="auto" w:fill="FFFFFF"/>
        </w:rPr>
      </w:pPr>
      <w:r>
        <w:rPr>
          <w:rFonts w:hint="eastAsia" w:ascii="仿宋_GB2312" w:hAnsi="仿宋_GB2312" w:eastAsia="仿宋_GB2312" w:cs="仿宋_GB2312"/>
          <w:b/>
          <w:bCs/>
          <w:spacing w:val="2"/>
          <w:sz w:val="32"/>
          <w:szCs w:val="32"/>
          <w:shd w:val="clear" w:color="auto" w:fill="FFFFFF"/>
        </w:rPr>
        <w:t>1.地方政府债务情况。</w:t>
      </w:r>
      <w:r>
        <w:rPr>
          <w:rFonts w:hint="eastAsia" w:ascii="仿宋_GB2312" w:hAnsi="仿宋_GB2312" w:eastAsia="仿宋_GB2312" w:cs="仿宋_GB2312"/>
          <w:spacing w:val="2"/>
          <w:sz w:val="32"/>
          <w:szCs w:val="32"/>
          <w:shd w:val="clear" w:color="auto" w:fill="FFFFFF"/>
        </w:rPr>
        <w:t>2021年底我市政府债务余额141900万元，未超过政府债务限额157400万元。按期偿还到期的政府性债务本息，偿还地方政府债券本金15600万元，利息3973.3万元，合计19573.3万元。</w:t>
      </w:r>
    </w:p>
    <w:p w14:paraId="142CDC71">
      <w:pPr>
        <w:spacing w:line="620" w:lineRule="exact"/>
        <w:ind w:firstLine="651" w:firstLineChars="200"/>
        <w:rPr>
          <w:rFonts w:hint="eastAsia" w:ascii="仿宋_GB2312" w:hAnsi="仿宋_GB2312" w:eastAsia="仿宋_GB2312" w:cs="仿宋_GB2312"/>
          <w:spacing w:val="2"/>
          <w:sz w:val="32"/>
          <w:szCs w:val="32"/>
          <w:shd w:val="clear" w:color="auto" w:fill="FFFFFF"/>
        </w:rPr>
      </w:pPr>
      <w:r>
        <w:rPr>
          <w:rFonts w:hint="eastAsia" w:ascii="仿宋_GB2312" w:hAnsi="仿宋_GB2312" w:eastAsia="仿宋_GB2312" w:cs="仿宋_GB2312"/>
          <w:b/>
          <w:bCs/>
          <w:spacing w:val="2"/>
          <w:sz w:val="32"/>
          <w:szCs w:val="32"/>
          <w:shd w:val="clear" w:color="auto" w:fill="FFFFFF"/>
        </w:rPr>
        <w:t>2.“三公”经费支出情况。</w:t>
      </w:r>
      <w:r>
        <w:rPr>
          <w:rFonts w:hint="eastAsia" w:ascii="仿宋_GB2312" w:hAnsi="仿宋_GB2312" w:eastAsia="仿宋_GB2312" w:cs="仿宋_GB2312"/>
          <w:spacing w:val="2"/>
          <w:sz w:val="32"/>
          <w:szCs w:val="32"/>
          <w:shd w:val="clear" w:color="auto" w:fill="FFFFFF"/>
        </w:rPr>
        <w:t>厉行勤俭节约，进一步严控“三公”经费支出，全年“三公”经费支出641万元，比上年减少5万元。</w:t>
      </w:r>
      <w:r>
        <w:rPr>
          <w:rFonts w:hint="eastAsia" w:ascii="仿宋_GB2312" w:eastAsia="仿宋_GB2312"/>
          <w:color w:val="000000"/>
          <w:sz w:val="30"/>
          <w:szCs w:val="30"/>
        </w:rPr>
        <w:t>其中：公务用车运行维护费308万元，公务用车购置费198万元，公务接待费135万元。</w:t>
      </w:r>
    </w:p>
    <w:p w14:paraId="3509A113">
      <w:pPr>
        <w:spacing w:line="62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二、2022年上半年财政预算执行情况</w:t>
      </w:r>
    </w:p>
    <w:p w14:paraId="7954A0E8">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（一）一般公共预算收支完成情况</w:t>
      </w:r>
    </w:p>
    <w:p w14:paraId="0F18E957">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1.财政总收入及一般公共预算收入完成情况</w:t>
      </w:r>
    </w:p>
    <w:p w14:paraId="2208DF1B">
      <w:pPr>
        <w:pStyle w:val="9"/>
        <w:spacing w:line="620" w:lineRule="exact"/>
        <w:ind w:firstLine="648" w:firstLineChars="200"/>
        <w:rPr>
          <w:rFonts w:ascii="仿宋_GB2312" w:hAnsi="宋体" w:eastAsia="仿宋_GB2312"/>
          <w:color w:val="000000"/>
          <w:spacing w:val="2"/>
          <w:sz w:val="32"/>
          <w:szCs w:val="32"/>
        </w:rPr>
      </w:pPr>
      <w:r>
        <w:rPr>
          <w:rFonts w:hint="eastAsia" w:ascii="仿宋_GB2312" w:hAnsi="宋体" w:eastAsia="仿宋_GB2312"/>
          <w:spacing w:val="2"/>
          <w:sz w:val="32"/>
          <w:szCs w:val="32"/>
        </w:rPr>
        <w:t>上半年财政总收入10984万元，同比下降77.3%，减收37364万元。一般公共预算收入18050万元</w:t>
      </w:r>
      <w:r>
        <w:rPr>
          <w:rFonts w:hint="eastAsia" w:ascii="仿宋_GB2312" w:hAnsi="宋体" w:eastAsia="仿宋_GB2312"/>
          <w:color w:val="000000"/>
          <w:spacing w:val="2"/>
          <w:sz w:val="32"/>
          <w:szCs w:val="32"/>
        </w:rPr>
        <w:t>，同比下降43.5%，减收13882万元。</w:t>
      </w:r>
    </w:p>
    <w:p w14:paraId="0235AC26">
      <w:pPr>
        <w:spacing w:line="620" w:lineRule="exact"/>
        <w:ind w:firstLine="648" w:firstLineChars="200"/>
        <w:contextualSpacing/>
        <w:rPr>
          <w:rFonts w:hint="eastAsia" w:ascii="仿宋_GB2312" w:hAnsi="宋体" w:eastAsia="仿宋_GB2312"/>
          <w:spacing w:val="2"/>
          <w:sz w:val="32"/>
          <w:szCs w:val="32"/>
        </w:rPr>
      </w:pPr>
      <w:r>
        <w:rPr>
          <w:rFonts w:hint="eastAsia" w:ascii="仿宋_GB2312" w:hAnsi="仿宋_GB2312" w:eastAsia="仿宋_GB2312" w:cs="仿宋_GB2312"/>
          <w:bCs/>
          <w:color w:val="000000"/>
          <w:spacing w:val="2"/>
          <w:sz w:val="32"/>
          <w:szCs w:val="32"/>
        </w:rPr>
        <w:t>分部门征收情况：</w:t>
      </w:r>
      <w:r>
        <w:rPr>
          <w:rFonts w:hint="eastAsia" w:ascii="仿宋_GB2312" w:hAnsi="仿宋_GB2312" w:eastAsia="仿宋_GB2312" w:cs="仿宋_GB2312"/>
          <w:bCs/>
          <w:spacing w:val="2"/>
          <w:sz w:val="32"/>
          <w:szCs w:val="32"/>
        </w:rPr>
        <w:t>税务部门完成</w:t>
      </w:r>
      <w:r>
        <w:rPr>
          <w:rFonts w:hint="eastAsia" w:ascii="仿宋_GB2312" w:hAnsi="宋体" w:eastAsia="仿宋_GB2312"/>
          <w:spacing w:val="2"/>
          <w:sz w:val="32"/>
          <w:szCs w:val="32"/>
        </w:rPr>
        <w:t>财政总收入5216万元，同比下降84%，减收27459万元，完成一般公共预算收入12282万元，同比下降24.5%，减收3977万元</w:t>
      </w:r>
      <w:r>
        <w:rPr>
          <w:rFonts w:hint="eastAsia" w:ascii="仿宋_GB2312" w:hAnsi="仿宋_GB2312" w:eastAsia="仿宋_GB2312" w:cs="仿宋_GB2312"/>
          <w:spacing w:val="2"/>
          <w:sz w:val="32"/>
          <w:szCs w:val="32"/>
        </w:rPr>
        <w:t>；财政部门</w:t>
      </w:r>
      <w:r>
        <w:rPr>
          <w:rFonts w:hint="eastAsia" w:ascii="仿宋_GB2312" w:hAnsi="仿宋_GB2312" w:eastAsia="仿宋_GB2312" w:cs="仿宋_GB2312"/>
          <w:bCs/>
          <w:spacing w:val="2"/>
          <w:sz w:val="32"/>
          <w:szCs w:val="32"/>
        </w:rPr>
        <w:t>完成</w:t>
      </w:r>
      <w:r>
        <w:rPr>
          <w:rFonts w:hint="eastAsia" w:ascii="仿宋_GB2312" w:hAnsi="宋体" w:eastAsia="仿宋_GB2312"/>
          <w:spacing w:val="2"/>
          <w:sz w:val="32"/>
          <w:szCs w:val="32"/>
        </w:rPr>
        <w:t>5768万元，同比下降63.2%，减收9905万元。</w:t>
      </w:r>
    </w:p>
    <w:p w14:paraId="13147C95">
      <w:pPr>
        <w:spacing w:line="620" w:lineRule="exact"/>
        <w:ind w:firstLine="651" w:firstLineChars="200"/>
        <w:contextualSpacing/>
        <w:rPr>
          <w:rFonts w:hint="eastAsia" w:ascii="仿宋_GB2312" w:hAnsi="仿宋_GB2312" w:eastAsia="仿宋_GB2312" w:cs="仿宋_GB2312"/>
          <w:spacing w:val="2"/>
          <w:sz w:val="32"/>
          <w:szCs w:val="32"/>
        </w:rPr>
      </w:pPr>
      <w:r>
        <w:rPr>
          <w:rFonts w:hint="eastAsia" w:ascii="仿宋_GB2312" w:hAnsi="仿宋_GB2312" w:eastAsia="仿宋_GB2312" w:cs="仿宋_GB2312"/>
          <w:b/>
          <w:bCs/>
          <w:color w:val="000000"/>
          <w:spacing w:val="2"/>
          <w:sz w:val="32"/>
          <w:szCs w:val="32"/>
        </w:rPr>
        <w:t>主要项目完成情况：</w:t>
      </w:r>
      <w:r>
        <w:rPr>
          <w:rFonts w:hint="eastAsia" w:ascii="仿宋_GB2312" w:hAnsi="仿宋_GB2312" w:eastAsia="仿宋_GB2312" w:cs="仿宋_GB2312"/>
          <w:spacing w:val="2"/>
          <w:sz w:val="32"/>
          <w:szCs w:val="32"/>
        </w:rPr>
        <w:t>增值税1241万元，占预算11.8%，同比下降79.2%。企业所得税1874万元，占预算68.3%，同比增长5.3%。个人所得税725万元，占预算124.6%，同比增长179.9%。城市维护建设税871万元，占预算31.1%，同比下降28.6%。房产税1007万元，占预算50.4%，同比下降4.2%。土地增值税1924万元，占预算38.5%，同比下降21.1%。环境保护税88万元，占预算104.8%，同比增长72.5%。</w:t>
      </w:r>
    </w:p>
    <w:p w14:paraId="4F32F154">
      <w:pPr>
        <w:spacing w:line="620" w:lineRule="exact"/>
        <w:ind w:firstLine="651"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b/>
          <w:spacing w:val="2"/>
          <w:sz w:val="32"/>
          <w:szCs w:val="32"/>
        </w:rPr>
        <w:t>增收因素：</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房地产业入库税收8057万元，同比增加2949万元，影响一般公共预算收入增加1381万元。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金融业入库税收7165万元，同比增加2915万元，影响一般公共预算收入增加816万元。</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征收缓缴的房产税和城镇土地使用税548万元。</w:t>
      </w:r>
    </w:p>
    <w:p w14:paraId="74CDA3C9">
      <w:pPr>
        <w:spacing w:line="6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以上三项增加6412万元，影响一般公共预算收入增加2745万元。</w:t>
      </w:r>
    </w:p>
    <w:p w14:paraId="0F5B15EE">
      <w:pPr>
        <w:spacing w:line="620" w:lineRule="exact"/>
        <w:ind w:firstLine="651"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spacing w:val="2"/>
          <w:sz w:val="32"/>
          <w:szCs w:val="32"/>
        </w:rPr>
        <w:t>减收因素：一是</w:t>
      </w:r>
      <w:r>
        <w:rPr>
          <w:rFonts w:hint="eastAsia" w:ascii="仿宋_GB2312" w:hAnsi="仿宋_GB2312" w:eastAsia="仿宋_GB2312" w:cs="仿宋_GB2312"/>
          <w:bCs/>
          <w:sz w:val="32"/>
          <w:szCs w:val="32"/>
        </w:rPr>
        <w:t>今年落实新的组合式税费支持政策，我市</w:t>
      </w:r>
      <w:r>
        <w:rPr>
          <w:rFonts w:hint="eastAsia" w:ascii="仿宋_GB2312" w:hAnsi="仿宋_GB2312" w:eastAsia="仿宋_GB2312" w:cs="仿宋_GB2312"/>
          <w:sz w:val="32"/>
          <w:szCs w:val="32"/>
        </w:rPr>
        <w:t>上半年增值税留抵退税、新增减税、制造业中小微企业缓缴税等政策，减少收入</w:t>
      </w:r>
      <w:r>
        <w:rPr>
          <w:rFonts w:ascii="仿宋_GB2312" w:hAnsi="仿宋_GB2312" w:eastAsia="仿宋_GB2312" w:cs="仿宋_GB2312"/>
          <w:sz w:val="32"/>
          <w:szCs w:val="32"/>
        </w:rPr>
        <w:t>36092</w:t>
      </w:r>
      <w:r>
        <w:rPr>
          <w:rFonts w:hint="eastAsia" w:ascii="仿宋_GB2312" w:hAnsi="仿宋_GB2312" w:eastAsia="仿宋_GB2312" w:cs="仿宋_GB2312"/>
          <w:sz w:val="32"/>
          <w:szCs w:val="32"/>
        </w:rPr>
        <w:t>万元，影响一般公共预算收入减少</w:t>
      </w:r>
      <w:r>
        <w:rPr>
          <w:rFonts w:ascii="仿宋_GB2312" w:hAnsi="仿宋_GB2312" w:eastAsia="仿宋_GB2312" w:cs="仿宋_GB2312"/>
          <w:sz w:val="32"/>
          <w:szCs w:val="32"/>
        </w:rPr>
        <w:t>7440</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上年同期存在一次性收入</w:t>
      </w:r>
      <w:r>
        <w:rPr>
          <w:rFonts w:hint="eastAsia" w:ascii="仿宋_GB2312" w:hAnsi="仿宋_GB2312" w:eastAsia="仿宋_GB2312" w:cs="仿宋_GB2312"/>
          <w:sz w:val="32"/>
          <w:szCs w:val="32"/>
        </w:rPr>
        <w:t>，其中文化场馆土地增值税清算入库</w:t>
      </w:r>
      <w:r>
        <w:rPr>
          <w:rFonts w:ascii="仿宋_GB2312" w:hAnsi="仿宋_GB2312" w:eastAsia="仿宋_GB2312" w:cs="仿宋_GB2312"/>
          <w:sz w:val="32"/>
          <w:szCs w:val="32"/>
        </w:rPr>
        <w:t>1170</w:t>
      </w:r>
      <w:r>
        <w:rPr>
          <w:rFonts w:hint="eastAsia" w:ascii="仿宋_GB2312" w:hAnsi="仿宋_GB2312" w:eastAsia="仿宋_GB2312" w:cs="仿宋_GB2312"/>
          <w:sz w:val="32"/>
          <w:szCs w:val="32"/>
        </w:rPr>
        <w:t>万元，增值税调库同比减少</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万元，丰喜化工延期入库</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Cs/>
          <w:sz w:val="32"/>
          <w:szCs w:val="32"/>
        </w:rPr>
        <w:t>困难企业房产税、土地使用税减免退税</w:t>
      </w:r>
      <w:r>
        <w:rPr>
          <w:rFonts w:ascii="仿宋_GB2312" w:hAnsi="仿宋_GB2312" w:eastAsia="仿宋_GB2312" w:cs="仿宋_GB2312"/>
          <w:sz w:val="32"/>
          <w:szCs w:val="32"/>
        </w:rPr>
        <w:t>662</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四是</w:t>
      </w:r>
      <w:r>
        <w:rPr>
          <w:rFonts w:hint="eastAsia" w:ascii="仿宋_GB2312" w:hAnsi="仿宋_GB2312" w:eastAsia="仿宋_GB2312" w:cs="仿宋_GB2312"/>
          <w:bCs/>
          <w:sz w:val="32"/>
          <w:szCs w:val="32"/>
        </w:rPr>
        <w:t>重点企业入库减少,</w:t>
      </w:r>
      <w:r>
        <w:rPr>
          <w:rFonts w:hint="eastAsia" w:ascii="仿宋_GB2312" w:hAnsi="仿宋_GB2312" w:eastAsia="仿宋_GB2312" w:cs="仿宋_GB2312"/>
          <w:sz w:val="32"/>
          <w:szCs w:val="32"/>
        </w:rPr>
        <w:t>中车永济电机有限公司上半年入库税款</w:t>
      </w:r>
      <w:r>
        <w:rPr>
          <w:rFonts w:ascii="仿宋_GB2312" w:hAnsi="仿宋_GB2312" w:eastAsia="仿宋_GB2312" w:cs="仿宋_GB2312"/>
          <w:sz w:val="32"/>
          <w:szCs w:val="32"/>
        </w:rPr>
        <w:t>591</w:t>
      </w:r>
      <w:r>
        <w:rPr>
          <w:rFonts w:hint="eastAsia" w:ascii="仿宋_GB2312" w:hAnsi="仿宋_GB2312" w:eastAsia="仿宋_GB2312" w:cs="仿宋_GB2312"/>
          <w:sz w:val="32"/>
          <w:szCs w:val="32"/>
        </w:rPr>
        <w:t>万元,同比减少</w:t>
      </w:r>
      <w:r>
        <w:rPr>
          <w:rFonts w:ascii="仿宋_GB2312" w:hAnsi="仿宋_GB2312" w:eastAsia="仿宋_GB2312" w:cs="仿宋_GB2312"/>
          <w:sz w:val="32"/>
          <w:szCs w:val="32"/>
        </w:rPr>
        <w:t>1900</w:t>
      </w:r>
      <w:r>
        <w:rPr>
          <w:rFonts w:hint="eastAsia" w:ascii="仿宋_GB2312" w:hAnsi="仿宋_GB2312" w:eastAsia="仿宋_GB2312" w:cs="仿宋_GB2312"/>
          <w:sz w:val="32"/>
          <w:szCs w:val="32"/>
        </w:rPr>
        <w:t>万元，影响一般公共预算收入减少</w:t>
      </w:r>
      <w:r>
        <w:rPr>
          <w:rFonts w:ascii="仿宋_GB2312" w:hAnsi="仿宋_GB2312" w:eastAsia="仿宋_GB2312" w:cs="仿宋_GB2312"/>
          <w:sz w:val="32"/>
          <w:szCs w:val="32"/>
        </w:rPr>
        <w:t>386</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非税收入</w:t>
      </w:r>
      <w:r>
        <w:rPr>
          <w:rFonts w:hint="eastAsia" w:ascii="仿宋_GB2312" w:hAnsi="仿宋_GB2312" w:eastAsia="仿宋_GB2312" w:cs="仿宋_GB2312"/>
          <w:bCs/>
          <w:sz w:val="32"/>
          <w:szCs w:val="32"/>
        </w:rPr>
        <w:t>上年同期耕地开垦费入库异地土地指标款</w:t>
      </w:r>
      <w:r>
        <w:rPr>
          <w:rFonts w:ascii="仿宋_GB2312" w:hAnsi="仿宋_GB2312" w:eastAsia="仿宋_GB2312" w:cs="仿宋_GB2312"/>
          <w:bCs/>
          <w:sz w:val="32"/>
          <w:szCs w:val="32"/>
        </w:rPr>
        <w:t>10100</w:t>
      </w:r>
      <w:r>
        <w:rPr>
          <w:rFonts w:hint="eastAsia" w:ascii="仿宋_GB2312" w:hAnsi="仿宋_GB2312" w:eastAsia="仿宋_GB2312" w:cs="仿宋_GB2312"/>
          <w:bCs/>
          <w:sz w:val="32"/>
          <w:szCs w:val="32"/>
        </w:rPr>
        <w:t>万元,今年无此项收入,交警罚没收入同比减少</w:t>
      </w:r>
      <w:r>
        <w:rPr>
          <w:rFonts w:ascii="仿宋_GB2312" w:hAnsi="仿宋_GB2312" w:eastAsia="仿宋_GB2312" w:cs="仿宋_GB2312"/>
          <w:bCs/>
          <w:sz w:val="32"/>
          <w:szCs w:val="32"/>
        </w:rPr>
        <w:t>459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color w:val="000000"/>
          <w:sz w:val="32"/>
          <w:szCs w:val="32"/>
        </w:rPr>
        <w:t>以上影响一般公共预算收入21717万元</w:t>
      </w:r>
      <w:r>
        <w:rPr>
          <w:rFonts w:hint="eastAsia" w:ascii="仿宋_GB2312" w:hAnsi="仿宋_GB2312" w:eastAsia="仿宋_GB2312" w:cs="仿宋_GB2312"/>
          <w:color w:val="000000"/>
          <w:sz w:val="32"/>
          <w:szCs w:val="32"/>
        </w:rPr>
        <w:t>。</w:t>
      </w:r>
    </w:p>
    <w:p w14:paraId="2CE81D59">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2.一般公共预算支出执行情况</w:t>
      </w:r>
    </w:p>
    <w:p w14:paraId="1C537173">
      <w:pPr>
        <w:spacing w:line="620" w:lineRule="exact"/>
        <w:ind w:firstLine="648" w:firstLineChars="200"/>
        <w:rPr>
          <w:rFonts w:ascii="仿宋_GB2312" w:eastAsia="仿宋_GB2312"/>
          <w:color w:val="FF0000"/>
          <w:spacing w:val="2"/>
          <w:sz w:val="32"/>
          <w:szCs w:val="32"/>
        </w:rPr>
      </w:pPr>
      <w:r>
        <w:rPr>
          <w:rFonts w:hint="eastAsia" w:ascii="仿宋_GB2312" w:eastAsia="仿宋_GB2312"/>
          <w:color w:val="000000"/>
          <w:spacing w:val="2"/>
          <w:sz w:val="32"/>
          <w:szCs w:val="32"/>
        </w:rPr>
        <w:t>上半年一般公共预算支出141992万元，同比增长1.1%。主要项目支出情况是：一般公共服务支出15816万元，与上年持平；公共安全支出3852万元，同比下降3.6%；教育支出32335万元，同比下降8.2%；科学技术支出169万元，同比下降89.5%，主要是上年下达新动能专项资金1180万元；文化旅游体育与传媒支出5402万元，同比增长10.2%；社会保障和就业支出30514万元，同比增长13.8%；卫生健康支出13365万元，同比下降9.2%；节能环保支出2753万元，同比增长18.7%;城乡社区支出4672万元，同比下降25.2%；农林水支出19300万元，同比增长32.9%；</w:t>
      </w:r>
      <w:r>
        <w:rPr>
          <w:rFonts w:hint="eastAsia" w:ascii="仿宋_GB2312" w:hAnsi="宋体" w:eastAsia="仿宋_GB2312" w:cs="宋体"/>
          <w:color w:val="000000"/>
          <w:spacing w:val="2"/>
          <w:sz w:val="32"/>
          <w:szCs w:val="32"/>
        </w:rPr>
        <w:t>交通运输支出</w:t>
      </w:r>
      <w:r>
        <w:rPr>
          <w:rFonts w:hint="eastAsia" w:ascii="仿宋_GB2312" w:eastAsia="仿宋_GB2312"/>
          <w:color w:val="000000"/>
          <w:spacing w:val="2"/>
          <w:sz w:val="32"/>
          <w:szCs w:val="32"/>
        </w:rPr>
        <w:t>4042万元，同比下降9.3%；</w:t>
      </w:r>
      <w:r>
        <w:rPr>
          <w:rFonts w:hint="eastAsia" w:ascii="仿宋_GB2312" w:hAnsi="宋体" w:eastAsia="仿宋_GB2312" w:cs="宋体"/>
          <w:color w:val="000000"/>
          <w:spacing w:val="2"/>
          <w:sz w:val="32"/>
          <w:szCs w:val="32"/>
        </w:rPr>
        <w:t>资源勘探工业信息等支出</w:t>
      </w:r>
      <w:r>
        <w:rPr>
          <w:rFonts w:hint="eastAsia" w:ascii="仿宋_GB2312" w:eastAsia="仿宋_GB2312"/>
          <w:color w:val="000000"/>
          <w:spacing w:val="2"/>
          <w:sz w:val="32"/>
          <w:szCs w:val="32"/>
        </w:rPr>
        <w:t>1457万元，同比下降37.7%；自然资源海洋气象等事务支出605万元，同比增长3.4%；住房保障支出633万元，同比增长5.3%；债务付息支出2561万元，同比增长22.4%。</w:t>
      </w:r>
    </w:p>
    <w:p w14:paraId="4B94055A">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（二）政府性基金收支预算完成情况</w:t>
      </w:r>
    </w:p>
    <w:p w14:paraId="4C00E5F4">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1.政府性基金预算收入完成情况</w:t>
      </w:r>
    </w:p>
    <w:p w14:paraId="5E928218">
      <w:pPr>
        <w:spacing w:line="620" w:lineRule="exact"/>
        <w:ind w:firstLine="648" w:firstLineChars="200"/>
        <w:rPr>
          <w:rFonts w:hint="eastAsia" w:ascii="仿宋_GB2312" w:eastAsia="仿宋_GB2312"/>
          <w:color w:val="FF0000"/>
          <w:spacing w:val="2"/>
          <w:sz w:val="32"/>
          <w:szCs w:val="32"/>
        </w:rPr>
      </w:pPr>
      <w:r>
        <w:rPr>
          <w:rFonts w:hint="eastAsia" w:ascii="仿宋_GB2312" w:eastAsia="仿宋_GB2312"/>
          <w:color w:val="000000"/>
          <w:spacing w:val="2"/>
          <w:sz w:val="32"/>
          <w:szCs w:val="32"/>
        </w:rPr>
        <w:t>上半年政府性基金收入10071万元，同比增长6.9%。主要项目收入情况是：国有土地收益基金收入1930万元，同比增长199.7%；农业土地开发基金收入132万元，同比增长13.8%；国有土地使用权出让收入6699万元，同比下降9.5%；城市基础设施配套费收入640万元，同比下降36.1%；污水处理费收入473万元，同比增长79.2%。</w:t>
      </w:r>
    </w:p>
    <w:p w14:paraId="3F1D763B">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2.政府性基金预算支出执行情况</w:t>
      </w:r>
    </w:p>
    <w:p w14:paraId="0B6FC66D">
      <w:pPr>
        <w:spacing w:line="620" w:lineRule="exact"/>
        <w:ind w:firstLine="648" w:firstLineChars="200"/>
        <w:rPr>
          <w:rFonts w:hint="eastAsia" w:ascii="仿宋_GB2312" w:eastAsia="仿宋_GB2312"/>
          <w:color w:val="FF0000"/>
          <w:spacing w:val="2"/>
          <w:sz w:val="32"/>
          <w:szCs w:val="32"/>
        </w:rPr>
      </w:pPr>
      <w:r>
        <w:rPr>
          <w:rFonts w:hint="eastAsia" w:ascii="仿宋_GB2312" w:eastAsia="仿宋_GB2312"/>
          <w:color w:val="000000"/>
          <w:spacing w:val="2"/>
          <w:sz w:val="32"/>
          <w:szCs w:val="32"/>
        </w:rPr>
        <w:t>上半年政府性基金支出46000万元，同比增长55.7%，增支16455万元。主要项目支出情况是：大中型水库移民后期扶持基金支出1761万元，同比增长2.1%；国有土地使用权出让收入安排的支出29387万元，同比增长92.2%，主要是永济纺织厂土地处置收入安置职工资金14397万元；国有土地收益基金安排的支出1831万元，同比下降40.5%；城市基础设施配套费安排的支出432万元，同比下降6.1%；其他政府性基金支出10131万元，同比增长95%，主要是人民医院整体搬迁项目实际支出6034万元；债务付息支出2428万元，同比增长35.1%。</w:t>
      </w:r>
    </w:p>
    <w:p w14:paraId="1AFFBF2E">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（三）社会保险基金收支预算完成情况</w:t>
      </w:r>
    </w:p>
    <w:p w14:paraId="61568B56">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1.社会保险基金预算收入完成情况</w:t>
      </w:r>
    </w:p>
    <w:p w14:paraId="0BFFF286">
      <w:pPr>
        <w:spacing w:line="620" w:lineRule="exact"/>
        <w:ind w:firstLine="648"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上半年社会保险基金收入51411万元，同比增长66.2%。主要项目收入情况是:机关事业单位养老保险收入20278万元,同比增长31.5%；城乡居民基本养老保险基金收入26299万元，同比增长69.6%；城乡居民补充养老保险基金收入4834万元。</w:t>
      </w:r>
    </w:p>
    <w:p w14:paraId="23CACE59">
      <w:pPr>
        <w:spacing w:line="620" w:lineRule="exact"/>
        <w:ind w:firstLine="651"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2.社会保险基金预算支出执行情况</w:t>
      </w:r>
    </w:p>
    <w:p w14:paraId="2514AA84">
      <w:pPr>
        <w:spacing w:line="620" w:lineRule="exact"/>
        <w:ind w:firstLine="648" w:firstLineChars="200"/>
        <w:rPr>
          <w:rFonts w:ascii="仿宋_GB2312" w:eastAsia="仿宋_GB2312"/>
          <w:color w:val="FF0000"/>
          <w:spacing w:val="2"/>
          <w:sz w:val="32"/>
          <w:szCs w:val="32"/>
        </w:rPr>
      </w:pPr>
      <w:r>
        <w:rPr>
          <w:rFonts w:hint="eastAsia" w:ascii="仿宋_GB2312" w:eastAsia="仿宋_GB2312"/>
          <w:color w:val="000000"/>
          <w:spacing w:val="2"/>
          <w:sz w:val="32"/>
          <w:szCs w:val="32"/>
        </w:rPr>
        <w:t>上半年社会保险基金支出21743万元，同比增长7.1%。主要项目支出情况是：机关事业单位养老保险基金支出15855万元，同比增长2.5%；城乡居民基本养老保险基金支出5248万元，同比增长8.8%；城乡居民补充养老保险基金支出640万元。</w:t>
      </w:r>
    </w:p>
    <w:p w14:paraId="189D30BD">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（四）国有资本经营预算完成情况</w:t>
      </w:r>
    </w:p>
    <w:p w14:paraId="20526C4F">
      <w:pPr>
        <w:spacing w:line="620" w:lineRule="exact"/>
        <w:ind w:firstLine="648" w:firstLineChars="200"/>
        <w:rPr>
          <w:rFonts w:hint="eastAsia" w:ascii="仿宋_GB2312" w:eastAsia="仿宋_GB2312"/>
          <w:color w:val="000000"/>
          <w:spacing w:val="2"/>
          <w:sz w:val="32"/>
          <w:szCs w:val="32"/>
        </w:rPr>
      </w:pPr>
      <w:r>
        <w:rPr>
          <w:rFonts w:hint="eastAsia" w:ascii="仿宋_GB2312" w:eastAsia="仿宋_GB2312"/>
          <w:color w:val="000000"/>
          <w:spacing w:val="2"/>
          <w:sz w:val="32"/>
          <w:szCs w:val="32"/>
        </w:rPr>
        <w:t>经过企业改制，今年我市政府职能部门出资且正常运营的国有及国有控股企业共11户，盈利企业3户，1户盈利企业净利润需弥补以前年度亏损，2户企业可上缴国有资本收益。上半年国有资本经营收入7万元，同比增长133.3%。国有资本经营支出3万元。</w:t>
      </w:r>
    </w:p>
    <w:p w14:paraId="7D78C4C6">
      <w:pPr>
        <w:spacing w:line="620" w:lineRule="exact"/>
        <w:ind w:firstLine="648" w:firstLineChars="200"/>
        <w:rPr>
          <w:rFonts w:hint="eastAsia" w:ascii="楷体" w:hAnsi="楷体" w:eastAsia="楷体" w:cs="楷体"/>
          <w:bCs/>
          <w:spacing w:val="2"/>
          <w:sz w:val="32"/>
          <w:szCs w:val="32"/>
        </w:rPr>
      </w:pPr>
      <w:r>
        <w:rPr>
          <w:rFonts w:hint="eastAsia" w:ascii="楷体" w:hAnsi="楷体" w:eastAsia="楷体" w:cs="楷体"/>
          <w:bCs/>
          <w:spacing w:val="2"/>
          <w:sz w:val="32"/>
          <w:szCs w:val="32"/>
        </w:rPr>
        <w:t>（五）其他需要说明的事项</w:t>
      </w:r>
    </w:p>
    <w:p w14:paraId="72E77283">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上级下达我市补充县区财力专项资金及其他退税减税降费专项资金7953万元，支持小微企业留抵退税专项资金2655万元，两项资金为中央直达资金，主要用于2022年补发及调整工资等个人部分支出、新冠疫情防疫经费、机关事业养老保险财政补助等方面支出。</w:t>
      </w:r>
    </w:p>
    <w:p w14:paraId="3766FE08">
      <w:pPr>
        <w:spacing w:line="62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三、主要工作措施</w:t>
      </w:r>
    </w:p>
    <w:p w14:paraId="6610492D">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rPr>
        <w:t>（一）抓组织收入，增强财政保障能力。</w:t>
      </w:r>
      <w:r>
        <w:rPr>
          <w:rFonts w:hint="eastAsia" w:ascii="仿宋_GB2312" w:hAnsi="仿宋_GB2312" w:eastAsia="仿宋_GB2312" w:cs="仿宋_GB2312"/>
          <w:sz w:val="32"/>
          <w:szCs w:val="32"/>
        </w:rPr>
        <w:t>面对严峻的经济形势，我们既要落实好国家减税降费、留抵退税政策，支持企业发展，又要挖潜增收，确保收入足额入库，应收尽收。同时，积极向上争取资金，增强财力保障。上半年向上争取均衡性转移支付比上年增加4632万元，财政管理考核七项指标综合排名运城市第一奖励500万元，政府性债务化债奖励325万元，乡村环境治理补助比上年增加218万元，支持小微企业留抵退税补助2655万元，支持基层减税降费和重点民生等转移支付7953万元。新增政府债券资金36000万元。较好的支持我市经济及社会各项事业发展。</w:t>
      </w:r>
    </w:p>
    <w:p w14:paraId="02233142">
      <w:pPr>
        <w:spacing w:line="62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rPr>
        <w:t>（二）抓职能管理，提升财政管理绩效。</w:t>
      </w:r>
      <w:r>
        <w:rPr>
          <w:rFonts w:hint="eastAsia" w:ascii="华文仿宋" w:hAnsi="华文仿宋" w:eastAsia="华文仿宋" w:cs="仿宋_GB2312"/>
          <w:b/>
          <w:sz w:val="32"/>
          <w:szCs w:val="32"/>
        </w:rPr>
        <w:t>一是</w:t>
      </w:r>
      <w:r>
        <w:rPr>
          <w:rFonts w:hint="eastAsia" w:ascii="仿宋_GB2312" w:hAnsi="仿宋_GB2312" w:eastAsia="仿宋_GB2312" w:cs="仿宋_GB2312"/>
          <w:sz w:val="32"/>
          <w:szCs w:val="32"/>
        </w:rPr>
        <w:t>督促预算执行进度，不断提升预算执行效率。5月起，按照我市预算支出执行进度考核制度，对预算单位一般公共预算支出、政府性基金支出等执行进度进行考核，考核结果在全市通报，有效督促支出进度。</w:t>
      </w:r>
      <w:r>
        <w:rPr>
          <w:rFonts w:hint="eastAsia" w:ascii="仿宋" w:hAnsi="仿宋" w:eastAsia="仿宋"/>
          <w:b/>
          <w:bCs/>
          <w:sz w:val="32"/>
          <w:szCs w:val="32"/>
        </w:rPr>
        <w:t>二是</w:t>
      </w:r>
      <w:r>
        <w:rPr>
          <w:rFonts w:hint="eastAsia" w:ascii="仿宋_GB2312" w:hAnsi="仿宋_GB2312" w:eastAsia="仿宋_GB2312" w:cs="仿宋_GB2312"/>
          <w:sz w:val="32"/>
          <w:szCs w:val="32"/>
        </w:rPr>
        <w:t>稳步推进政府采购改革。积极对接预算一体化和政采云系统，确保政府采购业务高效运行，完成政府采购备案手续842笔，采购资金8498.3万元，节约资金82.85万元。</w:t>
      </w:r>
      <w:r>
        <w:rPr>
          <w:rFonts w:hint="eastAsia" w:ascii="华文仿宋" w:hAnsi="华文仿宋" w:eastAsia="华文仿宋" w:cs="仿宋"/>
          <w:b/>
          <w:bCs/>
          <w:sz w:val="32"/>
          <w:szCs w:val="32"/>
        </w:rPr>
        <w:t>三是</w:t>
      </w:r>
      <w:r>
        <w:rPr>
          <w:rFonts w:hint="eastAsia" w:ascii="仿宋_GB2312" w:hAnsi="仿宋_GB2312" w:eastAsia="仿宋_GB2312" w:cs="仿宋_GB2312"/>
          <w:sz w:val="32"/>
          <w:szCs w:val="32"/>
        </w:rPr>
        <w:t>发挥财政评审职能，提高资金使用效益。完成评审项目72个，送审4.47亿元，审定3.76亿元，审减0.71亿元，综合审减率为15.88%。</w:t>
      </w:r>
      <w:r>
        <w:rPr>
          <w:rFonts w:hint="eastAsia" w:ascii="华文仿宋" w:hAnsi="华文仿宋" w:eastAsia="华文仿宋" w:cs="仿宋_GB2312"/>
          <w:b/>
          <w:bCs/>
          <w:color w:val="000000"/>
          <w:sz w:val="32"/>
          <w:szCs w:val="32"/>
        </w:rPr>
        <w:t>四是</w:t>
      </w:r>
      <w:r>
        <w:rPr>
          <w:rFonts w:hint="eastAsia" w:ascii="仿宋_GB2312" w:hAnsi="仿宋_GB2312" w:eastAsia="仿宋_GB2312" w:cs="仿宋_GB2312"/>
          <w:sz w:val="32"/>
          <w:szCs w:val="32"/>
        </w:rPr>
        <w:t>全面实施绩效管理，推动绩效目标提质扩围。依托预算一体化系统，将所有财政支出纳入绩效目标管理范围。纳入绩效目标管理的项目1771个，涉及金额28.46亿元。</w:t>
      </w:r>
      <w:r>
        <w:rPr>
          <w:rFonts w:hint="eastAsia" w:ascii="华文仿宋" w:hAnsi="华文仿宋" w:eastAsia="华文仿宋" w:cs="仿宋_GB2312"/>
          <w:b/>
          <w:bCs/>
          <w:sz w:val="32"/>
          <w:szCs w:val="32"/>
        </w:rPr>
        <w:t>五是</w:t>
      </w:r>
      <w:r>
        <w:rPr>
          <w:rFonts w:hint="eastAsia" w:ascii="仿宋_GB2312" w:hAnsi="仿宋_GB2312" w:eastAsia="仿宋_GB2312" w:cs="仿宋_GB2312"/>
          <w:sz w:val="32"/>
          <w:szCs w:val="32"/>
        </w:rPr>
        <w:t>建立健全行政事业性国有资产管理制度，不断提升国有资产管理水平。行政事业单位新增资产71.62万元，处置报废资产196.82万元，调拨资产2340.71万元。</w:t>
      </w:r>
    </w:p>
    <w:p w14:paraId="085A5458">
      <w:pPr>
        <w:spacing w:line="620" w:lineRule="exact"/>
        <w:ind w:firstLine="640" w:firstLineChars="200"/>
        <w:contextualSpacing/>
        <w:rPr>
          <w:rFonts w:hint="eastAsia" w:ascii="华文仿宋" w:hAnsi="华文仿宋" w:eastAsia="华文仿宋" w:cs="仿宋_GB2312"/>
          <w:sz w:val="32"/>
          <w:szCs w:val="32"/>
        </w:rPr>
      </w:pPr>
      <w:r>
        <w:rPr>
          <w:rFonts w:hint="eastAsia" w:ascii="楷体" w:hAnsi="楷体" w:eastAsia="楷体" w:cs="楷体"/>
          <w:color w:val="000000"/>
          <w:sz w:val="32"/>
          <w:szCs w:val="32"/>
        </w:rPr>
        <w:t>（三）抓民生投入，全力保障民生福祉。</w:t>
      </w:r>
      <w:r>
        <w:rPr>
          <w:rFonts w:hint="eastAsia" w:ascii="华文仿宋" w:hAnsi="华文仿宋" w:eastAsia="华文仿宋" w:cs="仿宋_GB2312"/>
          <w:b/>
          <w:bCs/>
          <w:sz w:val="32"/>
          <w:szCs w:val="32"/>
        </w:rPr>
        <w:t>一是</w:t>
      </w:r>
      <w:r>
        <w:rPr>
          <w:rFonts w:hint="eastAsia" w:ascii="仿宋_GB2312" w:hAnsi="仿宋_GB2312" w:eastAsia="仿宋_GB2312" w:cs="仿宋_GB2312"/>
          <w:sz w:val="32"/>
          <w:szCs w:val="32"/>
        </w:rPr>
        <w:t>优先保障个人部分支出。在财力极其有限的情况下，三次按政策落实人员增资资金需求，确保个人部分支出到位。</w:t>
      </w:r>
      <w:r>
        <w:rPr>
          <w:rFonts w:hint="eastAsia" w:ascii="华文仿宋" w:hAnsi="华文仿宋" w:eastAsia="华文仿宋" w:cs="仿宋_GB2312"/>
          <w:b/>
          <w:bCs/>
          <w:sz w:val="32"/>
          <w:szCs w:val="32"/>
        </w:rPr>
        <w:t>二是</w:t>
      </w:r>
      <w:r>
        <w:rPr>
          <w:rFonts w:hint="eastAsia" w:ascii="仿宋_GB2312" w:hAnsi="仿宋_GB2312" w:eastAsia="仿宋_GB2312" w:cs="仿宋_GB2312"/>
          <w:sz w:val="32"/>
          <w:szCs w:val="32"/>
        </w:rPr>
        <w:t>做好疫情防控财力保障。拨付疫情防控补助资金1250万元，重点用于疫情防控设备及物资采购、全员核酸、卡口等方面支出。</w:t>
      </w:r>
      <w:r>
        <w:rPr>
          <w:rFonts w:hint="eastAsia" w:ascii="华文仿宋" w:hAnsi="华文仿宋" w:eastAsia="华文仿宋" w:cs="仿宋_GB2312"/>
          <w:b/>
          <w:bCs/>
          <w:sz w:val="32"/>
          <w:szCs w:val="32"/>
        </w:rPr>
        <w:t>三是</w:t>
      </w:r>
      <w:r>
        <w:rPr>
          <w:rFonts w:hint="eastAsia" w:ascii="仿宋_GB2312" w:hAnsi="仿宋_GB2312" w:eastAsia="仿宋_GB2312" w:cs="仿宋_GB2312"/>
          <w:sz w:val="32"/>
          <w:szCs w:val="32"/>
        </w:rPr>
        <w:t>保障社保群体待遇及医疗卫生需求。加大财政对社会保险基金的补助，确保养老金按时足额发放，保障城乡居民及时享受医保政策。不断提高基本公共卫生服务补助标准，提升基层医疗服务水平和能力。</w:t>
      </w:r>
      <w:r>
        <w:rPr>
          <w:rFonts w:hint="eastAsia" w:ascii="华文仿宋" w:hAnsi="华文仿宋" w:eastAsia="华文仿宋" w:cs="仿宋_GB2312"/>
          <w:b/>
          <w:bCs/>
          <w:sz w:val="32"/>
          <w:szCs w:val="32"/>
        </w:rPr>
        <w:t>四是</w:t>
      </w:r>
      <w:r>
        <w:rPr>
          <w:rFonts w:hint="eastAsia" w:ascii="仿宋_GB2312" w:hAnsi="仿宋_GB2312" w:eastAsia="仿宋_GB2312" w:cs="仿宋_GB2312"/>
          <w:sz w:val="32"/>
          <w:szCs w:val="32"/>
        </w:rPr>
        <w:t>有效保障教育经费，加大教育投入。落实好义务教育公用经费、学前幼儿资助、中等职业学杂费等政策，安排智慧教育项目资金1155万元，现代职业教育质量提升500万元，改善高中办学条件1100万元等。</w:t>
      </w:r>
      <w:r>
        <w:rPr>
          <w:rFonts w:hint="eastAsia" w:ascii="华文仿宋" w:hAnsi="华文仿宋" w:eastAsia="华文仿宋" w:cs="仿宋_GB2312"/>
          <w:b/>
          <w:bCs/>
          <w:sz w:val="32"/>
          <w:szCs w:val="32"/>
        </w:rPr>
        <w:t>五是</w:t>
      </w:r>
      <w:r>
        <w:rPr>
          <w:rFonts w:hint="eastAsia" w:ascii="仿宋_GB2312" w:hAnsi="仿宋_GB2312" w:eastAsia="仿宋_GB2312" w:cs="仿宋_GB2312"/>
          <w:sz w:val="32"/>
          <w:szCs w:val="32"/>
        </w:rPr>
        <w:t>支持文化旅游发展。安排五老峰5A级景区创建、文化旅游产业发展等资金9860万元，支持我市文化旅游产业进一步做大做强。</w:t>
      </w:r>
    </w:p>
    <w:p w14:paraId="30A4E54D">
      <w:pPr>
        <w:spacing w:line="620" w:lineRule="exact"/>
        <w:ind w:firstLine="640" w:firstLineChars="200"/>
        <w:contextualSpacing/>
        <w:rPr>
          <w:rFonts w:hint="eastAsia" w:ascii="仿宋_GB2312" w:hAnsi="仿宋_GB2312" w:eastAsia="仿宋_GB2312" w:cs="仿宋_GB2312"/>
          <w:sz w:val="32"/>
          <w:szCs w:val="32"/>
        </w:rPr>
      </w:pPr>
      <w:r>
        <w:rPr>
          <w:rFonts w:hint="eastAsia" w:ascii="楷体" w:hAnsi="楷体" w:eastAsia="楷体" w:cs="楷体"/>
          <w:sz w:val="32"/>
          <w:szCs w:val="32"/>
        </w:rPr>
        <w:t>（四）支持乡村振兴，促进“三农”发展。</w:t>
      </w:r>
      <w:r>
        <w:rPr>
          <w:rFonts w:hint="eastAsia" w:ascii="仿宋_GB2312" w:hAnsi="仿宋_GB2312" w:eastAsia="仿宋_GB2312" w:cs="仿宋_GB2312"/>
          <w:sz w:val="32"/>
          <w:szCs w:val="32"/>
        </w:rPr>
        <w:t>拨付一事一议资金382万元，主要用于道路硬化、村容村貌美化、亮化、绿化等方面；拨付支农专项资金29194万元，支持乡村振兴2362万元，乡村环境治理补助57.88万元，有力的支持了乡村振兴战略。</w:t>
      </w:r>
    </w:p>
    <w:p w14:paraId="45797A50">
      <w:pPr>
        <w:spacing w:line="620" w:lineRule="exact"/>
        <w:ind w:firstLine="640" w:firstLineChars="200"/>
        <w:rPr>
          <w:rFonts w:hint="eastAsia" w:eastAsia="仿宋"/>
          <w:color w:val="000000"/>
        </w:rPr>
      </w:pPr>
      <w:r>
        <w:rPr>
          <w:rFonts w:hint="eastAsia" w:ascii="楷体" w:hAnsi="楷体" w:eastAsia="楷体" w:cs="楷体"/>
          <w:sz w:val="32"/>
          <w:szCs w:val="32"/>
        </w:rPr>
        <w:t>（五）加强债务管理，严控财政风险</w:t>
      </w:r>
      <w:r>
        <w:rPr>
          <w:rFonts w:hint="eastAsia" w:ascii="楷体" w:hAnsi="楷体" w:eastAsia="楷体" w:cs="楷体"/>
          <w:color w:val="000000"/>
          <w:sz w:val="32"/>
          <w:szCs w:val="32"/>
          <w:lang w:val="zh-CN"/>
        </w:rPr>
        <w:t>。</w:t>
      </w:r>
      <w:r>
        <w:rPr>
          <w:rFonts w:hint="eastAsia" w:ascii="仿宋_GB2312" w:hAnsi="仿宋_GB2312" w:eastAsia="仿宋_GB2312" w:cs="仿宋_GB2312"/>
          <w:sz w:val="32"/>
          <w:szCs w:val="32"/>
          <w:lang w:val="zh-CN"/>
        </w:rPr>
        <w:t>不断加强政府债务日常管理，</w:t>
      </w:r>
      <w:r>
        <w:rPr>
          <w:rFonts w:hint="eastAsia" w:ascii="仿宋_GB2312" w:hAnsi="仿宋_GB2312" w:eastAsia="仿宋_GB2312" w:cs="仿宋_GB2312"/>
          <w:sz w:val="32"/>
          <w:szCs w:val="32"/>
        </w:rPr>
        <w:t>强化底线思维，在限额内举借政府债券，严控债务风险，及时拨付债券资金到项目单位，督促项目单位加快债券资金支出进度，确保8月底前新增专项债券资金全部形成实际支出，充分发挥债券资金稳增长、补短板、惠民生的重要作用。</w:t>
      </w:r>
    </w:p>
    <w:p w14:paraId="1E3F8D79">
      <w:pPr>
        <w:spacing w:line="62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四、存在的困难和问题</w:t>
      </w:r>
    </w:p>
    <w:p w14:paraId="1628B106">
      <w:pPr>
        <w:spacing w:line="620" w:lineRule="exact"/>
        <w:ind w:firstLine="648" w:firstLineChars="200"/>
        <w:rPr>
          <w:rFonts w:hint="eastAsia" w:ascii="仿宋_GB2312" w:hAnsi="仿宋_GB2312" w:eastAsia="仿宋_GB2312" w:cs="仿宋_GB2312"/>
          <w:spacing w:val="2"/>
          <w:sz w:val="32"/>
          <w:szCs w:val="40"/>
        </w:rPr>
      </w:pPr>
      <w:r>
        <w:rPr>
          <w:rFonts w:hint="eastAsia" w:ascii="仿宋_GB2312" w:hAnsi="仿宋_GB2312" w:eastAsia="仿宋_GB2312" w:cs="仿宋_GB2312"/>
          <w:spacing w:val="2"/>
          <w:sz w:val="32"/>
          <w:szCs w:val="40"/>
        </w:rPr>
        <w:t>2022年上半年，各项财税政策得到有效落实，财政改革发展取得了新的进展，各项重点工作得到有力保障。但同时还存在一些困难和问题：</w:t>
      </w:r>
      <w:r>
        <w:rPr>
          <w:rFonts w:hint="eastAsia" w:ascii="仿宋_GB2312" w:hAnsi="仿宋_GB2312" w:eastAsia="仿宋_GB2312" w:cs="仿宋_GB2312"/>
          <w:b/>
          <w:bCs/>
          <w:spacing w:val="2"/>
          <w:sz w:val="32"/>
          <w:szCs w:val="40"/>
        </w:rPr>
        <w:t>一是</w:t>
      </w:r>
      <w:r>
        <w:rPr>
          <w:rFonts w:hint="eastAsia" w:ascii="仿宋_GB2312" w:hAnsi="仿宋_GB2312" w:eastAsia="仿宋_GB2312" w:cs="仿宋_GB2312"/>
          <w:sz w:val="32"/>
          <w:szCs w:val="32"/>
        </w:rPr>
        <w:t>面对新冠疫情及大规模</w:t>
      </w:r>
      <w:r>
        <w:rPr>
          <w:rFonts w:hint="eastAsia" w:ascii="仿宋_GB2312" w:hAnsi="仿宋_GB2312" w:eastAsia="仿宋_GB2312" w:cs="仿宋_GB2312"/>
          <w:sz w:val="32"/>
          <w:szCs w:val="32"/>
          <w:lang w:eastAsia="zh-CN"/>
        </w:rPr>
        <w:t>减税降费</w:t>
      </w:r>
      <w:bookmarkStart w:id="0" w:name="_GoBack"/>
      <w:bookmarkEnd w:id="0"/>
      <w:r>
        <w:rPr>
          <w:rFonts w:hint="eastAsia" w:ascii="仿宋_GB2312" w:hAnsi="仿宋_GB2312" w:eastAsia="仿宋_GB2312" w:cs="仿宋_GB2312"/>
          <w:sz w:val="32"/>
          <w:szCs w:val="32"/>
        </w:rPr>
        <w:t>及留抵退税政策对财政收入的影响，我们一方面加强财税部门沟通联系，多次召开收入分析会议，查找问题，寻找对策，挖掘收入潜力。另一方面，加强对企业扶持力度，全力保障招商引资经费，支持“晋情消费、悦享生活”政府消费券，刺激消费。做了大量工作，但由于老的重点税源减收较多，新招商企业不能立马达产增效，对我市财政收入影响很大，预计全年一般公共预算收入减收1.89亿元，</w:t>
      </w:r>
      <w:r>
        <w:rPr>
          <w:rFonts w:hint="eastAsia" w:ascii="仿宋_GB2312" w:hAnsi="仿宋_GB2312" w:eastAsia="仿宋_GB2312" w:cs="仿宋_GB2312"/>
          <w:spacing w:val="2"/>
          <w:sz w:val="32"/>
          <w:szCs w:val="40"/>
        </w:rPr>
        <w:t>完成全年任务形势严峻。</w:t>
      </w:r>
      <w:r>
        <w:rPr>
          <w:rFonts w:hint="eastAsia" w:ascii="仿宋_GB2312" w:hAnsi="仿宋_GB2312" w:eastAsia="仿宋_GB2312" w:cs="仿宋_GB2312"/>
          <w:b/>
          <w:bCs/>
          <w:spacing w:val="2"/>
          <w:sz w:val="32"/>
          <w:szCs w:val="40"/>
        </w:rPr>
        <w:t>二是</w:t>
      </w:r>
      <w:r>
        <w:rPr>
          <w:rFonts w:hint="eastAsia" w:ascii="仿宋_GB2312" w:hAnsi="仿宋_GB2312" w:eastAsia="仿宋_GB2312" w:cs="仿宋_GB2312"/>
          <w:spacing w:val="2"/>
          <w:sz w:val="32"/>
          <w:szCs w:val="40"/>
        </w:rPr>
        <w:t>新增刚性及民生领域支出需求加大，财政平衡难度加剧。</w:t>
      </w:r>
      <w:r>
        <w:rPr>
          <w:rFonts w:hint="eastAsia" w:ascii="仿宋_GB2312" w:hAnsi="仿宋_GB2312" w:eastAsia="仿宋_GB2312" w:cs="仿宋_GB2312"/>
          <w:b/>
          <w:bCs/>
          <w:spacing w:val="2"/>
          <w:sz w:val="32"/>
          <w:szCs w:val="40"/>
        </w:rPr>
        <w:t>三是</w:t>
      </w:r>
      <w:r>
        <w:rPr>
          <w:rFonts w:hint="eastAsia" w:ascii="仿宋_GB2312" w:hAnsi="仿宋_GB2312" w:eastAsia="仿宋_GB2312" w:cs="仿宋_GB2312"/>
          <w:spacing w:val="2"/>
          <w:sz w:val="32"/>
          <w:szCs w:val="40"/>
        </w:rPr>
        <w:t>我市已到还贷高峰期，还本付息压力大。对此，我们要高度重视，积极应对，切实采取有效措施加以解决。</w:t>
      </w:r>
    </w:p>
    <w:p w14:paraId="3278F11E">
      <w:pPr>
        <w:spacing w:line="620" w:lineRule="exact"/>
        <w:ind w:firstLine="648" w:firstLineChars="200"/>
        <w:rPr>
          <w:rFonts w:hint="eastAsia" w:ascii="黑体" w:hAnsi="黑体" w:eastAsia="黑体" w:cs="黑体"/>
          <w:spacing w:val="2"/>
          <w:sz w:val="32"/>
          <w:szCs w:val="32"/>
        </w:rPr>
      </w:pPr>
      <w:r>
        <w:rPr>
          <w:rFonts w:hint="eastAsia" w:ascii="黑体" w:hAnsi="黑体" w:eastAsia="黑体" w:cs="黑体"/>
          <w:spacing w:val="2"/>
          <w:sz w:val="32"/>
          <w:szCs w:val="32"/>
        </w:rPr>
        <w:t>五、下一步工作措施</w:t>
      </w:r>
    </w:p>
    <w:p w14:paraId="396807BC">
      <w:pPr>
        <w:numPr>
          <w:ilvl w:val="0"/>
          <w:numId w:val="1"/>
        </w:numPr>
        <w:spacing w:line="620" w:lineRule="exact"/>
        <w:ind w:firstLine="640" w:firstLineChars="200"/>
        <w:contextualSpacing/>
        <w:rPr>
          <w:rFonts w:hint="eastAsia" w:ascii="仿宋_GB2312" w:hAnsi="仿宋_GB2312" w:eastAsia="仿宋_GB2312" w:cs="仿宋_GB2312"/>
          <w:sz w:val="32"/>
          <w:szCs w:val="32"/>
        </w:rPr>
      </w:pPr>
      <w:r>
        <w:rPr>
          <w:rFonts w:hint="eastAsia" w:ascii="楷体" w:hAnsi="楷体" w:eastAsia="楷体" w:cs="楷体"/>
          <w:sz w:val="32"/>
          <w:szCs w:val="32"/>
        </w:rPr>
        <w:t>加强收入征管，确保实现应收尽收。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加强财税部门沟通协调，加大稽查力度，坚持抓大不放小，堵塞收入漏洞，确保收入及时入库。</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强化源头管控，摸清收入底数，夯实基础数据，不断挖掘潜力。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深入税源企业和非税执收单位实地走访调研，把握动态，及时了解企业的具体需求、生产经营遇到的困难、执收单位征收管理中存在的问题等，积极帮扶解决。</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强化对土地出让收入管理，努力完成收入计划，确保各项收入应收尽收。</w:t>
      </w:r>
    </w:p>
    <w:p w14:paraId="40863FD5">
      <w:pPr>
        <w:spacing w:line="620" w:lineRule="exact"/>
        <w:ind w:firstLine="640" w:firstLineChars="200"/>
        <w:rPr>
          <w:rFonts w:hint="eastAsia" w:ascii="仿宋_GB2312" w:hAnsi="仿宋_GB2312" w:eastAsia="仿宋_GB2312" w:cs="仿宋_GB2312"/>
          <w:sz w:val="32"/>
          <w:szCs w:val="40"/>
        </w:rPr>
      </w:pPr>
      <w:r>
        <w:rPr>
          <w:rFonts w:hint="eastAsia" w:ascii="楷体" w:hAnsi="楷体" w:eastAsia="楷体" w:cs="楷体"/>
          <w:sz w:val="32"/>
          <w:szCs w:val="32"/>
        </w:rPr>
        <w:t>（二）积极申报项目，努力争取上级资金。</w:t>
      </w:r>
      <w:r>
        <w:rPr>
          <w:rFonts w:hint="eastAsia" w:ascii="仿宋_GB2312" w:hAnsi="仿宋_GB2312" w:eastAsia="仿宋_GB2312" w:cs="仿宋_GB2312"/>
          <w:sz w:val="32"/>
          <w:szCs w:val="40"/>
        </w:rPr>
        <w:t>认真研究国家和省经济发展的各项政策措施，瞄准重大民生保障、产业升级等方面需求，利用直管县的有利时机，在公共卫生领域、城乡基础设施建设、教育、文旅、交通、能源、水利等方面，谋划建成一批具有补短板、利长远的重大项目，争取纳入国家和全省发展的“大盘子”。各部门、各单位要充分认识到该项工作的重要性，增强向上争取资金的紧迫感和责任感，主动作为，带头谋划、积极上报项目，统筹抓好项目入库，千方百计争取资金，支持我市高质量转型发展。</w:t>
      </w:r>
    </w:p>
    <w:p w14:paraId="3C3E4FBD">
      <w:pPr>
        <w:pStyle w:val="10"/>
        <w:adjustRightInd w:val="0"/>
        <w:snapToGrid w:val="0"/>
        <w:spacing w:line="620" w:lineRule="exact"/>
        <w:ind w:firstLine="640"/>
        <w:rPr>
          <w:rFonts w:hint="eastAsia"/>
        </w:rPr>
      </w:pPr>
      <w:r>
        <w:rPr>
          <w:rFonts w:hint="eastAsia" w:ascii="楷体" w:hAnsi="楷体" w:eastAsia="楷体" w:cs="楷体"/>
          <w:sz w:val="32"/>
          <w:szCs w:val="32"/>
        </w:rPr>
        <w:t>（三）优化支出结构，全力保障民生需求。</w:t>
      </w:r>
      <w:r>
        <w:rPr>
          <w:rFonts w:hint="eastAsia" w:ascii="仿宋_GB2312" w:hAnsi="仿宋_GB2312" w:eastAsia="仿宋_GB2312" w:cs="仿宋_GB2312"/>
          <w:sz w:val="32"/>
          <w:szCs w:val="32"/>
        </w:rPr>
        <w:t>以保障和改善民生为导向，兜牢兜实“三保”底线，加大对改善民生、乡村振兴、生态环保等重点领域的财力保障。积极盘活存量资金，将政策支持和财力保障重点向民生领域倾斜。紧紧围绕构建“543”现代产业矩阵要求，加大财政统筹资金力度，做好重大事项和重要项目财政保障工作。</w:t>
      </w:r>
    </w:p>
    <w:p w14:paraId="5283F094">
      <w:pPr>
        <w:pStyle w:val="10"/>
        <w:adjustRightInd w:val="0"/>
        <w:snapToGrid w:val="0"/>
        <w:spacing w:line="620" w:lineRule="exact"/>
        <w:ind w:firstLine="640"/>
        <w:rPr>
          <w:rFonts w:hint="eastAsia" w:ascii="仿宋_GB2312" w:hAnsi="仿宋_GB2312" w:eastAsia="仿宋_GB2312" w:cs="仿宋_GB2312"/>
          <w:b/>
          <w:bCs/>
          <w:sz w:val="32"/>
          <w:szCs w:val="32"/>
        </w:rPr>
      </w:pPr>
      <w:r>
        <w:rPr>
          <w:rFonts w:hint="eastAsia" w:ascii="楷体" w:hAnsi="楷体" w:eastAsia="楷体" w:cs="楷体"/>
          <w:sz w:val="32"/>
          <w:szCs w:val="32"/>
        </w:rPr>
        <w:t>（四）严格预算约束，大力压减一般性支出。</w:t>
      </w:r>
      <w:r>
        <w:rPr>
          <w:rFonts w:hint="eastAsia" w:ascii="仿宋_GB2312" w:hAnsi="仿宋_GB2312" w:eastAsia="仿宋_GB2312" w:cs="仿宋_GB2312"/>
          <w:sz w:val="32"/>
          <w:szCs w:val="32"/>
        </w:rPr>
        <w:t>加强预算管理和预算执行力度，牢固树立过紧日子思想，勤俭节约办一切事情，坚决反对制止铺张浪费行为，压减一般性支出。建立预算执行进度考核机制。5月起，每月对各预算单位执行进度进行排名，对预算执行进度慢，支出排名靠后的单位，按照我市财政支出执行进度考核方案，采取通报与扣减经费的方式，压减非急需、非刚性支出，把有限的财力用在刀刃上，最大限度发挥财政资金效益。</w:t>
      </w:r>
    </w:p>
    <w:p w14:paraId="1CF89677">
      <w:pPr>
        <w:spacing w:line="620" w:lineRule="exact"/>
        <w:ind w:firstLine="640"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lang w:bidi="ar"/>
        </w:rPr>
        <w:t>主任、副主任、各位委员，</w:t>
      </w:r>
      <w:r>
        <w:rPr>
          <w:rFonts w:hint="eastAsia" w:ascii="仿宋_GB2312" w:hAnsi="仿宋_GB2312" w:eastAsia="仿宋_GB2312" w:cs="仿宋_GB2312"/>
          <w:spacing w:val="2"/>
          <w:sz w:val="32"/>
          <w:szCs w:val="32"/>
        </w:rPr>
        <w:t>下半年我市财政形势不容乐观，财政收支矛盾依然突出，完成全年任务困难很大，我们决心在市委的正确领导下，在市人大的监督支持下，牢固树立过“紧日子”思想，扎实做好各项财政工作，埋头苦干，砥砺前行，以优异成绩迎接党的二十大胜利召开！</w:t>
      </w:r>
    </w:p>
    <w:p w14:paraId="56AB6EAF">
      <w:pPr>
        <w:spacing w:line="620" w:lineRule="exact"/>
        <w:ind w:firstLine="645"/>
        <w:rPr>
          <w:rFonts w:ascii="仿宋_GB2312" w:hAnsi="仿宋_GB2312" w:eastAsia="仿宋_GB2312" w:cs="仿宋_GB2312"/>
          <w:spacing w:val="2"/>
          <w:sz w:val="32"/>
          <w:szCs w:val="32"/>
        </w:rPr>
      </w:pPr>
      <w:r>
        <w:rPr>
          <w:rFonts w:hint="eastAsia" w:ascii="仿宋_GB2312" w:hAnsi="仿宋" w:eastAsia="仿宋_GB2312" w:cs="楷体"/>
          <w:sz w:val="32"/>
          <w:szCs w:val="32"/>
        </w:rPr>
        <w:t>以上报告，请予审议。</w:t>
      </w:r>
      <w:r>
        <w:rPr>
          <w:rFonts w:hint="eastAsia" w:ascii="仿宋_GB2312" w:hAnsi="仿宋_GB2312" w:eastAsia="仿宋_GB2312" w:cs="仿宋_GB2312"/>
          <w:spacing w:val="2"/>
          <w:sz w:val="32"/>
          <w:szCs w:val="32"/>
        </w:rPr>
        <w:t xml:space="preserve">                          </w:t>
      </w:r>
    </w:p>
    <w:sectPr>
      <w:footerReference r:id="rId3" w:type="default"/>
      <w:footerReference r:id="rId4" w:type="even"/>
      <w:pgSz w:w="11906" w:h="16838"/>
      <w:pgMar w:top="2098" w:right="1474" w:bottom="1587" w:left="1587" w:header="851" w:footer="136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80E0000" w:usb2="00000000" w:usb3="00000000" w:csb0="00040000" w:csb1="00000000"/>
  </w:font>
  <w:font w:name="方正小标宋简体">
    <w:altName w:val="微软雅黑"/>
    <w:panose1 w:val="03000509000000000000"/>
    <w:charset w:val="86"/>
    <w:family w:val="auto"/>
    <w:pitch w:val="default"/>
    <w:sig w:usb0="00000000"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A7D3">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BACBF">
                          <w:pPr>
                            <w:pStyle w:val="3"/>
                            <w:rPr>
                              <w:rFonts w:hint="eastAsi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lang/>
                            </w:rPr>
                            <w:t>- 14 -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BACBF">
                    <w:pPr>
                      <w:pStyle w:val="3"/>
                      <w:rPr>
                        <w:rFonts w:hint="eastAsia"/>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lang/>
                      </w:rPr>
                      <w:t>- 14 -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54C4">
    <w:pPr>
      <w:pStyle w:val="3"/>
      <w:framePr w:wrap="around" w:vAnchor="text" w:hAnchor="margin" w:xAlign="right" w:y="1"/>
      <w:rPr>
        <w:rStyle w:val="8"/>
      </w:rPr>
    </w:pPr>
    <w:r>
      <w:fldChar w:fldCharType="begin"/>
    </w:r>
    <w:r>
      <w:rPr>
        <w:rStyle w:val="8"/>
      </w:rPr>
      <w:instrText xml:space="preserve">PAGE  </w:instrText>
    </w:r>
    <w:r>
      <w:fldChar w:fldCharType="end"/>
    </w:r>
  </w:p>
  <w:p w14:paraId="2ECD9495">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3C52C"/>
    <w:multiLevelType w:val="singleLevel"/>
    <w:tmpl w:val="5B53C5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3C"/>
    <w:rsid w:val="00024ECA"/>
    <w:rsid w:val="00046D88"/>
    <w:rsid w:val="000C151F"/>
    <w:rsid w:val="000C4BB2"/>
    <w:rsid w:val="000F0451"/>
    <w:rsid w:val="000F696D"/>
    <w:rsid w:val="0014444F"/>
    <w:rsid w:val="00185063"/>
    <w:rsid w:val="00196E7B"/>
    <w:rsid w:val="001A413B"/>
    <w:rsid w:val="001A53F6"/>
    <w:rsid w:val="001A646A"/>
    <w:rsid w:val="001A7BE4"/>
    <w:rsid w:val="001B634D"/>
    <w:rsid w:val="001E2C34"/>
    <w:rsid w:val="0022713B"/>
    <w:rsid w:val="002336EA"/>
    <w:rsid w:val="002640DC"/>
    <w:rsid w:val="00284473"/>
    <w:rsid w:val="0029259D"/>
    <w:rsid w:val="002A2281"/>
    <w:rsid w:val="002A4145"/>
    <w:rsid w:val="003369D0"/>
    <w:rsid w:val="00340EE6"/>
    <w:rsid w:val="00390744"/>
    <w:rsid w:val="003A0127"/>
    <w:rsid w:val="003D5D96"/>
    <w:rsid w:val="003E2AB1"/>
    <w:rsid w:val="003F31F0"/>
    <w:rsid w:val="00403E3A"/>
    <w:rsid w:val="0043271C"/>
    <w:rsid w:val="00435A30"/>
    <w:rsid w:val="00456E6A"/>
    <w:rsid w:val="004874F8"/>
    <w:rsid w:val="004C6071"/>
    <w:rsid w:val="004E0F3C"/>
    <w:rsid w:val="005445A6"/>
    <w:rsid w:val="00564FE5"/>
    <w:rsid w:val="005E79C3"/>
    <w:rsid w:val="00601896"/>
    <w:rsid w:val="00635272"/>
    <w:rsid w:val="006410B7"/>
    <w:rsid w:val="00663934"/>
    <w:rsid w:val="006B14F6"/>
    <w:rsid w:val="006B3960"/>
    <w:rsid w:val="006B5F4F"/>
    <w:rsid w:val="006B6BC9"/>
    <w:rsid w:val="006F680F"/>
    <w:rsid w:val="007A1202"/>
    <w:rsid w:val="007B422C"/>
    <w:rsid w:val="007C799E"/>
    <w:rsid w:val="0080572B"/>
    <w:rsid w:val="00871B85"/>
    <w:rsid w:val="0087773F"/>
    <w:rsid w:val="008E0AC2"/>
    <w:rsid w:val="008F3B13"/>
    <w:rsid w:val="008F69E3"/>
    <w:rsid w:val="009037BE"/>
    <w:rsid w:val="009302F2"/>
    <w:rsid w:val="00950EC0"/>
    <w:rsid w:val="009743B2"/>
    <w:rsid w:val="009C1B9E"/>
    <w:rsid w:val="009E4949"/>
    <w:rsid w:val="009F51C5"/>
    <w:rsid w:val="00A26AF2"/>
    <w:rsid w:val="00A3425F"/>
    <w:rsid w:val="00A350D1"/>
    <w:rsid w:val="00A35BAF"/>
    <w:rsid w:val="00A51352"/>
    <w:rsid w:val="00A540CA"/>
    <w:rsid w:val="00A9666D"/>
    <w:rsid w:val="00AB3D34"/>
    <w:rsid w:val="00AC158C"/>
    <w:rsid w:val="00AD0476"/>
    <w:rsid w:val="00AD5D6E"/>
    <w:rsid w:val="00AF560A"/>
    <w:rsid w:val="00AF5EB0"/>
    <w:rsid w:val="00B2510A"/>
    <w:rsid w:val="00B2535C"/>
    <w:rsid w:val="00B47A42"/>
    <w:rsid w:val="00B632D6"/>
    <w:rsid w:val="00BE6352"/>
    <w:rsid w:val="00BF4AD8"/>
    <w:rsid w:val="00C46D2F"/>
    <w:rsid w:val="00C56569"/>
    <w:rsid w:val="00C66502"/>
    <w:rsid w:val="00C84A31"/>
    <w:rsid w:val="00CD03C7"/>
    <w:rsid w:val="00CE1C87"/>
    <w:rsid w:val="00D050B1"/>
    <w:rsid w:val="00D10FA8"/>
    <w:rsid w:val="00D275A6"/>
    <w:rsid w:val="00D45FAF"/>
    <w:rsid w:val="00D53DE2"/>
    <w:rsid w:val="00D8315A"/>
    <w:rsid w:val="00D955AE"/>
    <w:rsid w:val="00DB76B8"/>
    <w:rsid w:val="00E04BE4"/>
    <w:rsid w:val="00E06619"/>
    <w:rsid w:val="00E66036"/>
    <w:rsid w:val="00E662D4"/>
    <w:rsid w:val="00E705B1"/>
    <w:rsid w:val="00EC5B26"/>
    <w:rsid w:val="00EF37B4"/>
    <w:rsid w:val="00F20327"/>
    <w:rsid w:val="00F44F37"/>
    <w:rsid w:val="00F9126F"/>
    <w:rsid w:val="00F96AB5"/>
    <w:rsid w:val="00FB46B5"/>
    <w:rsid w:val="00FB7C8E"/>
    <w:rsid w:val="00FD2102"/>
    <w:rsid w:val="02D47452"/>
    <w:rsid w:val="035812A4"/>
    <w:rsid w:val="04672E73"/>
    <w:rsid w:val="04AB66FB"/>
    <w:rsid w:val="04B0246B"/>
    <w:rsid w:val="06167136"/>
    <w:rsid w:val="068E7940"/>
    <w:rsid w:val="06945692"/>
    <w:rsid w:val="072B2A24"/>
    <w:rsid w:val="0AC173CC"/>
    <w:rsid w:val="0BAB6957"/>
    <w:rsid w:val="0CE455D1"/>
    <w:rsid w:val="0E78350C"/>
    <w:rsid w:val="0E841B57"/>
    <w:rsid w:val="0E941E66"/>
    <w:rsid w:val="0F17520A"/>
    <w:rsid w:val="0FE22E09"/>
    <w:rsid w:val="11867232"/>
    <w:rsid w:val="13B131E7"/>
    <w:rsid w:val="15141D6F"/>
    <w:rsid w:val="158E63F3"/>
    <w:rsid w:val="165F6DEB"/>
    <w:rsid w:val="17004A37"/>
    <w:rsid w:val="170904EF"/>
    <w:rsid w:val="17123CA7"/>
    <w:rsid w:val="17664525"/>
    <w:rsid w:val="17815212"/>
    <w:rsid w:val="17A569C9"/>
    <w:rsid w:val="17D566E3"/>
    <w:rsid w:val="18C97297"/>
    <w:rsid w:val="1A196C0B"/>
    <w:rsid w:val="1CF72FB2"/>
    <w:rsid w:val="1D3E0E00"/>
    <w:rsid w:val="1E807015"/>
    <w:rsid w:val="203F2294"/>
    <w:rsid w:val="209B662A"/>
    <w:rsid w:val="22EA2D2E"/>
    <w:rsid w:val="23600AE7"/>
    <w:rsid w:val="239B13DB"/>
    <w:rsid w:val="239D1566"/>
    <w:rsid w:val="23A91EEF"/>
    <w:rsid w:val="251250BF"/>
    <w:rsid w:val="26B22A4C"/>
    <w:rsid w:val="282E1AB4"/>
    <w:rsid w:val="28BA51BC"/>
    <w:rsid w:val="29CF1F4F"/>
    <w:rsid w:val="29FC3F04"/>
    <w:rsid w:val="2C5615FA"/>
    <w:rsid w:val="2C810A39"/>
    <w:rsid w:val="2CB555AC"/>
    <w:rsid w:val="2D1B15FD"/>
    <w:rsid w:val="2DA16409"/>
    <w:rsid w:val="2E6B76E7"/>
    <w:rsid w:val="2F1D2BA6"/>
    <w:rsid w:val="31545EB1"/>
    <w:rsid w:val="31B918F6"/>
    <w:rsid w:val="33490926"/>
    <w:rsid w:val="37D36654"/>
    <w:rsid w:val="38613111"/>
    <w:rsid w:val="38B2458F"/>
    <w:rsid w:val="391242F0"/>
    <w:rsid w:val="3BE12D43"/>
    <w:rsid w:val="3C5E4069"/>
    <w:rsid w:val="3CC60EBC"/>
    <w:rsid w:val="3F896B2C"/>
    <w:rsid w:val="3FE00D7F"/>
    <w:rsid w:val="40165C83"/>
    <w:rsid w:val="43285353"/>
    <w:rsid w:val="435A5BDA"/>
    <w:rsid w:val="438821B0"/>
    <w:rsid w:val="43FC20F2"/>
    <w:rsid w:val="44222447"/>
    <w:rsid w:val="44711E82"/>
    <w:rsid w:val="44982902"/>
    <w:rsid w:val="44B14E5D"/>
    <w:rsid w:val="46ED1EE8"/>
    <w:rsid w:val="47023388"/>
    <w:rsid w:val="4710170C"/>
    <w:rsid w:val="47534C3C"/>
    <w:rsid w:val="475A61D7"/>
    <w:rsid w:val="477230EF"/>
    <w:rsid w:val="49EF2080"/>
    <w:rsid w:val="4B421340"/>
    <w:rsid w:val="4B866287"/>
    <w:rsid w:val="4BE8758E"/>
    <w:rsid w:val="4C3436DF"/>
    <w:rsid w:val="4C83322F"/>
    <w:rsid w:val="4E7E3F80"/>
    <w:rsid w:val="4F533E55"/>
    <w:rsid w:val="4F7A50AC"/>
    <w:rsid w:val="4FA07E97"/>
    <w:rsid w:val="52D1621C"/>
    <w:rsid w:val="532E287C"/>
    <w:rsid w:val="54820FAE"/>
    <w:rsid w:val="5572735C"/>
    <w:rsid w:val="55D710A3"/>
    <w:rsid w:val="56F17CBC"/>
    <w:rsid w:val="576E0DAA"/>
    <w:rsid w:val="57ED0D00"/>
    <w:rsid w:val="58267FAF"/>
    <w:rsid w:val="587774C8"/>
    <w:rsid w:val="59ED4622"/>
    <w:rsid w:val="5BAC0706"/>
    <w:rsid w:val="5BC50142"/>
    <w:rsid w:val="5C4C5906"/>
    <w:rsid w:val="5C682639"/>
    <w:rsid w:val="5DB90382"/>
    <w:rsid w:val="5E583FB8"/>
    <w:rsid w:val="61336E38"/>
    <w:rsid w:val="615F79B9"/>
    <w:rsid w:val="61707F23"/>
    <w:rsid w:val="625377E9"/>
    <w:rsid w:val="63A74D00"/>
    <w:rsid w:val="647E1F56"/>
    <w:rsid w:val="64887CC6"/>
    <w:rsid w:val="65D137EE"/>
    <w:rsid w:val="66120B9E"/>
    <w:rsid w:val="66A610ED"/>
    <w:rsid w:val="68107C1B"/>
    <w:rsid w:val="68FE738B"/>
    <w:rsid w:val="696E04A5"/>
    <w:rsid w:val="6A8141C4"/>
    <w:rsid w:val="6A981F64"/>
    <w:rsid w:val="6BBC7A6C"/>
    <w:rsid w:val="6BC12549"/>
    <w:rsid w:val="6C3120BD"/>
    <w:rsid w:val="6EF83DA6"/>
    <w:rsid w:val="6FEB1CF7"/>
    <w:rsid w:val="70B3545A"/>
    <w:rsid w:val="71455921"/>
    <w:rsid w:val="727D4ACE"/>
    <w:rsid w:val="728C414C"/>
    <w:rsid w:val="72FB6C01"/>
    <w:rsid w:val="73E73EAC"/>
    <w:rsid w:val="74103ED8"/>
    <w:rsid w:val="75AE0945"/>
    <w:rsid w:val="76CA1A45"/>
    <w:rsid w:val="76DF0B07"/>
    <w:rsid w:val="778327C4"/>
    <w:rsid w:val="7B0F0A0C"/>
    <w:rsid w:val="7B616E41"/>
    <w:rsid w:val="7C7E38C9"/>
    <w:rsid w:val="7CE2033C"/>
    <w:rsid w:val="7CF31834"/>
    <w:rsid w:val="7D0B63F3"/>
    <w:rsid w:val="7D6A07B6"/>
    <w:rsid w:val="7E6E5D53"/>
    <w:rsid w:val="7E9B40DE"/>
    <w:rsid w:val="7F5959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uiPriority w:val="0"/>
  </w:style>
  <w:style w:type="paragraph" w:customStyle="1" w:styleId="9">
    <w:name w:val="正文 New"/>
    <w:uiPriority w:val="0"/>
    <w:pPr>
      <w:widowControl w:val="0"/>
      <w:jc w:val="both"/>
    </w:pPr>
    <w:rPr>
      <w:kern w:val="2"/>
      <w:sz w:val="21"/>
      <w:szCs w:val="24"/>
      <w:lang w:val="en-US" w:eastAsia="zh-CN" w:bidi="ar-SA"/>
    </w:rPr>
  </w:style>
  <w:style w:type="paragraph" w:styleId="10">
    <w:name w:val="List Paragraph"/>
    <w:basedOn w:val="1"/>
    <w:qFormat/>
    <w:uiPriority w:val="0"/>
    <w:pPr>
      <w:ind w:firstLine="420" w:firstLineChars="200"/>
    </w:pPr>
    <w:rPr>
      <w:rFonts w:ascii="Calibri" w:hAnsi="Calibri"/>
      <w:szCs w:val="22"/>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6888</Words>
  <Characters>8225</Characters>
  <Lines>59</Lines>
  <Paragraphs>16</Paragraphs>
  <TotalTime>0</TotalTime>
  <ScaleCrop>false</ScaleCrop>
  <LinksUpToDate>false</LinksUpToDate>
  <CharactersWithSpaces>8253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2016-09-05T09:11:00Z</dcterms:created>
  <dc:creator>530La</dc:creator>
  <cp:lastModifiedBy>往事如风</cp:lastModifiedBy>
  <cp:lastPrinted>2022-09-13T08:29:00Z</cp:lastPrinted>
  <dcterms:modified xsi:type="dcterms:W3CDTF">2025-05-28T02:25:23Z</dcterms:modified>
  <dc:title>关于2021年财政决算及2022年上半年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eyJoZGlkIjoiZjQwMjQ3ZjQ5Yjg1NGU2ZjAwZjhkMGYyNTg4YmM5ZGEiLCJ1c2VySWQiOiI5NTIxOTE5NTIifQ==</vt:lpwstr>
  </property>
  <property fmtid="{D5CDD505-2E9C-101B-9397-08002B2CF9AE}" pid="4" name="ICV">
    <vt:lpwstr>EA70C4ED8C3242FC9BD300FA024E9D6C_13</vt:lpwstr>
  </property>
</Properties>
</file>