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F43B1">
      <w:pPr>
        <w:pStyle w:val="2"/>
        <w:shd w:val="clear" w:color="auto" w:fill="FFFFFF"/>
        <w:spacing w:beforeAutospacing="0" w:after="0" w:afterAutospacing="0" w:line="440" w:lineRule="exact"/>
        <w:jc w:val="both"/>
        <w:rPr>
          <w:rFonts w:ascii="黑体" w:hAnsi="黑体" w:eastAsia="黑体" w:cs="微软雅黑"/>
          <w:b w:val="0"/>
          <w:sz w:val="22"/>
          <w:szCs w:val="22"/>
          <w:shd w:val="clear" w:color="auto" w:fill="FFFFFF"/>
        </w:rPr>
      </w:pPr>
      <w:r>
        <w:rPr>
          <w:rFonts w:ascii="黑体" w:hAnsi="黑体" w:eastAsia="黑体" w:cs="微软雅黑"/>
          <w:b w:val="0"/>
          <w:sz w:val="22"/>
          <w:szCs w:val="22"/>
          <w:shd w:val="clear" w:color="auto" w:fill="FFFFFF"/>
        </w:rPr>
        <w:t>永济市七届人大一次会议文件（18）</w:t>
      </w:r>
    </w:p>
    <w:p w14:paraId="25144F78">
      <w:pPr>
        <w:pStyle w:val="2"/>
        <w:shd w:val="clear" w:color="auto" w:fill="FFFFFF"/>
        <w:spacing w:beforeAutospacing="0" w:after="0" w:afterAutospacing="0" w:line="630" w:lineRule="exact"/>
        <w:jc w:val="center"/>
        <w:rPr>
          <w:rFonts w:hint="default" w:ascii="方正小标宋简体" w:hAnsi="方正小标宋简体" w:eastAsia="方正小标宋简体" w:cs="方正小标宋简体"/>
          <w:b w:val="0"/>
          <w:sz w:val="40"/>
          <w:szCs w:val="40"/>
          <w:shd w:val="clear" w:color="auto" w:fill="FFFFFF"/>
        </w:rPr>
      </w:pPr>
    </w:p>
    <w:p w14:paraId="7300ED85">
      <w:pPr>
        <w:pStyle w:val="2"/>
        <w:shd w:val="clear" w:color="auto" w:fill="FFFFFF"/>
        <w:spacing w:beforeAutospacing="0" w:after="0" w:afterAutospacing="0" w:line="590" w:lineRule="exact"/>
        <w:jc w:val="center"/>
        <w:rPr>
          <w:rFonts w:hint="default" w:ascii="方正小标宋简体" w:hAnsi="方正小标宋简体" w:eastAsia="方正小标宋简体" w:cs="方正小标宋简体"/>
          <w:b w:val="0"/>
          <w:spacing w:val="5"/>
          <w:sz w:val="40"/>
          <w:szCs w:val="40"/>
          <w:shd w:val="clear" w:color="auto" w:fill="FFFFFF"/>
        </w:rPr>
      </w:pPr>
      <w:r>
        <w:rPr>
          <w:rFonts w:ascii="方正小标宋简体" w:hAnsi="方正小标宋简体" w:eastAsia="方正小标宋简体" w:cs="方正小标宋简体"/>
          <w:b w:val="0"/>
          <w:spacing w:val="5"/>
          <w:sz w:val="40"/>
          <w:szCs w:val="40"/>
          <w:shd w:val="clear" w:color="auto" w:fill="FFFFFF"/>
        </w:rPr>
        <w:t>关于永济市2020年财政预算</w:t>
      </w:r>
    </w:p>
    <w:p w14:paraId="0DC18231">
      <w:pPr>
        <w:pStyle w:val="2"/>
        <w:shd w:val="clear" w:color="auto" w:fill="FFFFFF"/>
        <w:spacing w:beforeAutospacing="0" w:after="0" w:afterAutospacing="0" w:line="590" w:lineRule="exact"/>
        <w:jc w:val="center"/>
        <w:rPr>
          <w:rFonts w:hint="default" w:ascii="方正小标宋简体" w:hAnsi="方正小标宋简体" w:eastAsia="方正小标宋简体" w:cs="方正小标宋简体"/>
          <w:b w:val="0"/>
          <w:spacing w:val="5"/>
          <w:sz w:val="40"/>
          <w:szCs w:val="40"/>
          <w:shd w:val="clear" w:color="auto" w:fill="FFFFFF"/>
        </w:rPr>
      </w:pPr>
      <w:r>
        <w:rPr>
          <w:rFonts w:ascii="方正小标宋简体" w:hAnsi="方正小标宋简体" w:eastAsia="方正小标宋简体" w:cs="方正小标宋简体"/>
          <w:b w:val="0"/>
          <w:spacing w:val="5"/>
          <w:sz w:val="40"/>
          <w:szCs w:val="40"/>
          <w:shd w:val="clear" w:color="auto" w:fill="FFFFFF"/>
        </w:rPr>
        <w:t>执行情况和2021年财政预算草案的</w:t>
      </w:r>
    </w:p>
    <w:p w14:paraId="346EE192">
      <w:pPr>
        <w:pStyle w:val="2"/>
        <w:shd w:val="clear" w:color="auto" w:fill="FFFFFF"/>
        <w:spacing w:beforeAutospacing="0" w:after="0" w:afterAutospacing="0" w:line="590" w:lineRule="exact"/>
        <w:jc w:val="center"/>
        <w:rPr>
          <w:rFonts w:hint="default" w:ascii="仿宋" w:hAnsi="仿宋" w:eastAsia="仿宋" w:cs="微软雅黑"/>
          <w:spacing w:val="5"/>
          <w:sz w:val="32"/>
          <w:szCs w:val="32"/>
        </w:rPr>
      </w:pPr>
      <w:r>
        <w:rPr>
          <w:rFonts w:ascii="方正小标宋简体" w:hAnsi="方正小标宋简体" w:eastAsia="方正小标宋简体" w:cs="方正小标宋简体"/>
          <w:b w:val="0"/>
          <w:spacing w:val="5"/>
          <w:sz w:val="40"/>
          <w:szCs w:val="40"/>
          <w:shd w:val="clear" w:color="auto" w:fill="FFFFFF"/>
        </w:rPr>
        <w:t>报              告</w:t>
      </w:r>
    </w:p>
    <w:p w14:paraId="51465F0C">
      <w:pPr>
        <w:widowControl w:val="0"/>
        <w:shd w:val="clear" w:color="auto" w:fill="FFFFFF"/>
        <w:spacing w:after="0" w:line="440" w:lineRule="exact"/>
        <w:jc w:val="center"/>
        <w:rPr>
          <w:rFonts w:ascii="宋体" w:hAnsi="宋体" w:eastAsia="宋体" w:cs="宋体"/>
          <w:sz w:val="24"/>
          <w:szCs w:val="24"/>
          <w:shd w:val="clear" w:color="auto" w:fill="FFFFFF"/>
        </w:rPr>
      </w:pPr>
    </w:p>
    <w:p w14:paraId="6D203582">
      <w:pPr>
        <w:widowControl w:val="0"/>
        <w:shd w:val="clear" w:color="auto" w:fill="FFFFFF"/>
        <w:spacing w:after="0" w:line="440" w:lineRule="exact"/>
        <w:jc w:val="center"/>
        <w:rPr>
          <w:rFonts w:ascii="仿宋" w:hAnsi="仿宋" w:eastAsia="仿宋" w:cs="微软雅黑"/>
          <w:sz w:val="32"/>
          <w:szCs w:val="32"/>
          <w:shd w:val="clear" w:color="auto" w:fill="FFFFFF"/>
        </w:rPr>
      </w:pPr>
      <w:r>
        <w:rPr>
          <w:rFonts w:hint="eastAsia" w:ascii="宋体" w:hAnsi="宋体" w:eastAsia="宋体" w:cs="宋体"/>
          <w:sz w:val="24"/>
          <w:szCs w:val="24"/>
          <w:shd w:val="clear" w:color="auto" w:fill="FFFFFF"/>
        </w:rPr>
        <w:t>(2021年4月8日在永济市第七届人民代表大会第一次会议上)</w:t>
      </w:r>
      <w:r>
        <w:rPr>
          <w:rFonts w:hint="eastAsia" w:ascii="宋体" w:hAnsi="宋体" w:eastAsia="宋体" w:cs="宋体"/>
          <w:sz w:val="24"/>
          <w:szCs w:val="24"/>
          <w:shd w:val="clear" w:color="auto" w:fill="FFFFFF"/>
        </w:rPr>
        <w:br w:type="textWrapping"/>
      </w:r>
    </w:p>
    <w:p w14:paraId="30227DE0">
      <w:pPr>
        <w:widowControl w:val="0"/>
        <w:shd w:val="clear" w:color="auto" w:fill="FFFFFF"/>
        <w:spacing w:after="0" w:line="590" w:lineRule="exact"/>
        <w:jc w:val="center"/>
        <w:rPr>
          <w:rFonts w:ascii="楷体" w:hAnsi="楷体" w:eastAsia="楷体" w:cs="微软雅黑"/>
          <w:sz w:val="30"/>
          <w:szCs w:val="30"/>
          <w:shd w:val="clear" w:color="auto" w:fill="FFFFFF"/>
        </w:rPr>
      </w:pPr>
      <w:r>
        <w:rPr>
          <w:rFonts w:hint="eastAsia" w:ascii="楷体" w:hAnsi="楷体" w:eastAsia="楷体" w:cs="微软雅黑"/>
          <w:sz w:val="30"/>
          <w:szCs w:val="30"/>
          <w:shd w:val="clear" w:color="auto" w:fill="FFFFFF"/>
        </w:rPr>
        <w:t>永济市财政局局长  崔子龙</w:t>
      </w:r>
    </w:p>
    <w:p w14:paraId="5F75E442">
      <w:pPr>
        <w:widowControl w:val="0"/>
        <w:shd w:val="clear" w:color="auto" w:fill="FFFFFF"/>
        <w:spacing w:after="0" w:line="480" w:lineRule="exact"/>
        <w:jc w:val="both"/>
        <w:rPr>
          <w:rFonts w:ascii="仿宋" w:hAnsi="仿宋" w:eastAsia="仿宋" w:cs="微软雅黑"/>
          <w:sz w:val="30"/>
          <w:szCs w:val="30"/>
        </w:rPr>
      </w:pPr>
    </w:p>
    <w:p w14:paraId="3279B4AF">
      <w:pPr>
        <w:widowControl w:val="0"/>
        <w:spacing w:after="0" w:line="590" w:lineRule="exact"/>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各位代表： </w:t>
      </w:r>
    </w:p>
    <w:p w14:paraId="0089D35A">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受市人民政府委托，现将我市2020年财政预算执行情况和2021年财政预算草案提请市七届人大一次会议审议，并请市政协各位委员和列席人员提出意见。</w:t>
      </w:r>
    </w:p>
    <w:p w14:paraId="60A2EB76">
      <w:pPr>
        <w:widowControl w:val="0"/>
        <w:spacing w:after="0" w:line="590" w:lineRule="exact"/>
        <w:ind w:firstLine="600" w:firstLineChars="200"/>
        <w:jc w:val="both"/>
        <w:rPr>
          <w:rFonts w:hint="eastAsia" w:ascii="黑体" w:hAnsi="黑体" w:eastAsia="黑体"/>
          <w:sz w:val="30"/>
          <w:szCs w:val="30"/>
          <w:shd w:val="clear" w:color="auto" w:fill="FFFFFF"/>
        </w:rPr>
      </w:pPr>
      <w:r>
        <w:rPr>
          <w:rFonts w:hint="eastAsia" w:ascii="黑体" w:hAnsi="黑体" w:eastAsia="黑体"/>
          <w:sz w:val="30"/>
          <w:szCs w:val="30"/>
          <w:shd w:val="clear" w:color="auto" w:fill="FFFFFF"/>
        </w:rPr>
        <w:t>一、2020年财政预算执行情况</w:t>
      </w:r>
    </w:p>
    <w:p w14:paraId="1567A82E">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2020年，在市委的正确领导和市人大、市政协的监督支持下，全市上下紧紧围绕经济发展的总体目标，财税部门</w:t>
      </w:r>
      <w:r>
        <w:rPr>
          <w:rFonts w:hint="eastAsia" w:ascii="仿宋_GB2312" w:hAnsi="仿宋_GB2312" w:eastAsia="仿宋_GB2312" w:cs="仿宋_GB2312"/>
          <w:color w:val="000000"/>
          <w:spacing w:val="-6"/>
          <w:sz w:val="30"/>
          <w:szCs w:val="30"/>
        </w:rPr>
        <w:t>努力克服</w:t>
      </w:r>
      <w:r>
        <w:rPr>
          <w:rFonts w:hint="eastAsia" w:ascii="仿宋_GB2312" w:hAnsi="仿宋_GB2312" w:eastAsia="仿宋_GB2312" w:cs="仿宋_GB2312"/>
          <w:sz w:val="30"/>
          <w:szCs w:val="30"/>
        </w:rPr>
        <w:t>新型冠状病毒感染肺炎疫情带来的影响，</w:t>
      </w:r>
      <w:r>
        <w:rPr>
          <w:rFonts w:hint="eastAsia" w:ascii="仿宋_GB2312" w:hAnsi="仿宋_GB2312" w:eastAsia="仿宋_GB2312" w:cs="仿宋_GB2312"/>
          <w:sz w:val="30"/>
          <w:szCs w:val="30"/>
          <w:shd w:val="clear" w:color="auto" w:fill="FFFFFF"/>
        </w:rPr>
        <w:t>狠抓收入征管，积极争取转移支付资金，优化支出结构，严格执行人代会批准的收支预算，较好的完成了各项目标任务，有力地支持了全市经济发展。 </w:t>
      </w:r>
    </w:p>
    <w:p w14:paraId="4BC81B9E">
      <w:pPr>
        <w:widowControl w:val="0"/>
        <w:spacing w:after="0" w:line="590" w:lineRule="exact"/>
        <w:ind w:firstLine="600" w:firstLineChars="200"/>
        <w:jc w:val="both"/>
        <w:rPr>
          <w:rFonts w:hint="eastAsia" w:ascii="楷体_GB2312" w:hAnsi="楷体_GB2312" w:eastAsia="楷体_GB2312" w:cs="楷体_GB2312"/>
          <w:sz w:val="30"/>
          <w:szCs w:val="30"/>
          <w:shd w:val="clear" w:color="auto" w:fill="FFFFFF"/>
        </w:rPr>
      </w:pPr>
      <w:r>
        <w:rPr>
          <w:rFonts w:hint="eastAsia" w:ascii="楷体_GB2312" w:hAnsi="楷体_GB2312" w:eastAsia="楷体_GB2312" w:cs="楷体_GB2312"/>
          <w:sz w:val="30"/>
          <w:szCs w:val="30"/>
        </w:rPr>
        <w:t>（一）</w:t>
      </w:r>
      <w:r>
        <w:rPr>
          <w:rFonts w:hint="eastAsia" w:ascii="楷体_GB2312" w:hAnsi="楷体_GB2312" w:eastAsia="楷体_GB2312" w:cs="楷体_GB2312"/>
          <w:sz w:val="30"/>
          <w:szCs w:val="30"/>
          <w:shd w:val="clear" w:color="auto" w:fill="FFFFFF"/>
        </w:rPr>
        <w:t>一般公共预算执行情况</w:t>
      </w:r>
    </w:p>
    <w:p w14:paraId="00DEC1FE">
      <w:pPr>
        <w:widowControl w:val="0"/>
        <w:numPr>
          <w:ilvl w:val="0"/>
          <w:numId w:val="1"/>
        </w:numPr>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预算调整变动情况</w:t>
      </w:r>
    </w:p>
    <w:p w14:paraId="74CA55CF">
      <w:pPr>
        <w:widowControl w:val="0"/>
        <w:spacing w:after="0" w:line="590" w:lineRule="exact"/>
        <w:ind w:firstLine="600" w:firstLineChars="200"/>
        <w:jc w:val="both"/>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市六届人大五次会议批准的一般公共预算收入为49963万元，支出预算为247217万元，争取均衡性转移支付财力、县级基本财力保障奖补资金及特殊转移支付增加20859万元，上级专项补助和专项转移支付、调入资金、各类结算事项等增加28435万元，新增地方政府债券收入5000万元，总支出预算调整为301511万元。</w:t>
      </w:r>
    </w:p>
    <w:p w14:paraId="23F99E0C">
      <w:pPr>
        <w:widowControl w:val="0"/>
        <w:numPr>
          <w:ilvl w:val="0"/>
          <w:numId w:val="1"/>
        </w:numPr>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预算执行情况</w:t>
      </w:r>
    </w:p>
    <w:p w14:paraId="029EC319">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2020年全市财政总收入完成81857万元,比上年增长2.9%。其中一般公共预算收入50152万元,占预算100.4%，比上年增长3.4%。分部门完成情况是：税务部门30505万元,比上年增长2.1%；财政部门19647万元，比上年增长5.4%。</w:t>
      </w:r>
    </w:p>
    <w:p w14:paraId="1ABB4B65">
      <w:pPr>
        <w:widowControl w:val="0"/>
        <w:spacing w:after="0" w:line="590" w:lineRule="exact"/>
        <w:ind w:firstLine="600" w:firstLineChars="200"/>
        <w:jc w:val="both"/>
        <w:rPr>
          <w:rFonts w:hint="eastAsia" w:ascii="仿宋_GB2312" w:hAnsi="仿宋_GB2312" w:eastAsia="仿宋_GB2312" w:cs="仿宋_GB2312"/>
          <w:sz w:val="30"/>
          <w:szCs w:val="30"/>
          <w:highlight w:val="yellow"/>
          <w:shd w:val="clear" w:color="auto" w:fill="FFFFFF"/>
        </w:rPr>
      </w:pPr>
      <w:r>
        <w:rPr>
          <w:rFonts w:hint="eastAsia" w:ascii="仿宋_GB2312" w:hAnsi="仿宋_GB2312" w:eastAsia="仿宋_GB2312" w:cs="仿宋_GB2312"/>
          <w:sz w:val="30"/>
          <w:szCs w:val="30"/>
          <w:shd w:val="clear" w:color="auto" w:fill="FFFFFF"/>
        </w:rPr>
        <w:t>2020年一般公共预算支出297880万元，占调整预算98.8%,比上年增长13.8%。主要项目的执行情况是：一般公共服务25971万元,占调整预算100%，与上年持平；公共安全支出9945万元，占调整预算100%,比上年下降5.6%；教育支出64269万元,占调整预算99.5%,比上年增长4.2%；文化旅游体育与传媒19153万元,占调整预算100%，比上年增长156%，主要是消化文化场馆服务中心暂付款4000万元；社会保障和就业36666万元,占调整预算100%,比上年增长25.4%；卫生健康支出23863万元,占调整预算100%,比上年增长26.9%;节能环保支出20163万元,占调整预算100%，比上年增长36.3%；城乡社区事务23018万元,占调整预算94%，比上年增长45%；农林水支出41482万元，占调整预算99.5%，比上年增长11.2%；交通运输支出13509万元，占调整预算100%，比上年增长1.4%；资源勘探信息等支出8580万元，占调整预算100%，比上年下降42.1%；住房保障支出1121万元，占调整预算100%，比上年下降12%。</w:t>
      </w:r>
    </w:p>
    <w:p w14:paraId="693FCD09">
      <w:pPr>
        <w:widowControl w:val="0"/>
        <w:numPr>
          <w:ilvl w:val="0"/>
          <w:numId w:val="1"/>
        </w:numPr>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预算执行结果</w:t>
      </w:r>
    </w:p>
    <w:p w14:paraId="3DFD59A0">
      <w:pPr>
        <w:widowControl w:val="0"/>
        <w:spacing w:after="0" w:line="590" w:lineRule="exact"/>
        <w:ind w:firstLine="600" w:firstLineChars="200"/>
        <w:jc w:val="both"/>
        <w:rPr>
          <w:rFonts w:hint="eastAsia" w:ascii="仿宋_GB2312" w:hAnsi="仿宋_GB2312" w:eastAsia="仿宋_GB2312" w:cs="仿宋_GB2312"/>
          <w:color w:val="FF0000"/>
          <w:sz w:val="30"/>
          <w:szCs w:val="30"/>
          <w:shd w:val="clear" w:color="FFFFFF" w:fill="D9D9D9"/>
        </w:rPr>
      </w:pPr>
      <w:r>
        <w:rPr>
          <w:rFonts w:hint="eastAsia" w:ascii="仿宋_GB2312" w:hAnsi="仿宋_GB2312" w:eastAsia="仿宋_GB2312" w:cs="仿宋_GB2312"/>
          <w:sz w:val="30"/>
          <w:szCs w:val="30"/>
          <w:shd w:val="clear" w:color="auto" w:fill="FFFFFF"/>
        </w:rPr>
        <w:t>2020年预算执行结果为：(1)市级收入财力50152万元;(2)返还性收入1604万元（其中：中央两税返还229万元，体制返还650万元，成品油税费改革725万元）</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(3)均衡性转移支付补助96857万元（其中：均衡性转移支付88601万元，调整工资转移支付6026万元，社区110万元，农业人口市民化奖励863万元，乡镇工作补贴1162万元，省对县级生态转移支付95万元）；(4)县级基本财力保障奖补资金32235万元（其中特殊转移支付16060万元）;(5)重点生态功能区转移支付943万元；(6)产粮（油）大县奖励2282万元；(7)政府债券收入15000万元；(8)调入资金8324万元（政府性基金调入6794万元，国有资本经营调入3万元，其他调入1527万元）；(9)动用预算稳定调节基金15009万元；(10)上级专项补助81762万元（其中：一般转移支付54991万元，专项转移支付26771万元）；</w:t>
      </w:r>
      <w:r>
        <w:rPr>
          <w:rFonts w:hint="eastAsia" w:ascii="仿宋_GB2312" w:hAnsi="仿宋_GB2312" w:eastAsia="仿宋_GB2312" w:cs="仿宋_GB2312"/>
          <w:color w:val="000000"/>
          <w:spacing w:val="6"/>
          <w:sz w:val="30"/>
          <w:szCs w:val="30"/>
        </w:rPr>
        <w:t>(11)各项结算补助1209万元（其中:乡镇配套设施建设70万元，公共卫生体系建设及疫情防控等936万元，其他各项结算补助203万元）；(12)固定数额补助14304万元（其中：定额结算</w:t>
      </w:r>
      <w:r>
        <w:rPr>
          <w:rFonts w:hint="eastAsia" w:ascii="仿宋_GB2312" w:hAnsi="仿宋_GB2312" w:eastAsia="仿宋_GB2312" w:cs="仿宋_GB2312"/>
          <w:color w:val="000000"/>
          <w:sz w:val="30"/>
          <w:szCs w:val="30"/>
        </w:rPr>
        <w:t>-390万元，法检两院上划1893万元，税务经费下划及农业三税上划等673万元，工商质监下划1308万元，企业划转1261万元，工资及绩效补助8450万元，农村税费改革4360万元，其他补助535万元）；</w:t>
      </w:r>
      <w:r>
        <w:rPr>
          <w:rFonts w:hint="eastAsia" w:ascii="仿宋_GB2312" w:hAnsi="仿宋_GB2312" w:eastAsia="仿宋_GB2312" w:cs="仿宋_GB2312"/>
          <w:color w:val="000000"/>
          <w:sz w:val="30"/>
          <w:szCs w:val="30"/>
          <w:shd w:val="clear" w:color="auto" w:fill="FFFFFF"/>
        </w:rPr>
        <w:t>(13)上解上级支出9908万元。</w:t>
      </w:r>
      <w:r>
        <w:rPr>
          <w:rFonts w:hint="eastAsia" w:ascii="仿宋_GB2312" w:hAnsi="仿宋_GB2312" w:eastAsia="仿宋_GB2312" w:cs="仿宋_GB2312"/>
          <w:color w:val="000000"/>
          <w:sz w:val="30"/>
          <w:szCs w:val="30"/>
        </w:rPr>
        <w:t>其中：对口援疆72万元，省直管县基数上解10064万元（主要是：税收上划基数4252万元、</w:t>
      </w:r>
      <w:r>
        <w:rPr>
          <w:rFonts w:hint="eastAsia" w:ascii="仿宋_GB2312" w:hAnsi="仿宋_GB2312" w:eastAsia="仿宋_GB2312" w:cs="仿宋_GB2312"/>
          <w:color w:val="000000"/>
          <w:spacing w:val="3"/>
          <w:sz w:val="30"/>
          <w:szCs w:val="30"/>
        </w:rPr>
        <w:t>体制上解2205万元、机场航线上解1000万元、改变粮食拨款渠道上解221万元、旅游资金上解500万元、华圣铝业上解1600万元、教育附加上解286万元），医疗卫生领域财政事权和支出责任划分上解基数301万元、农业综合开发财政有偿资金上解60万元、2018-2019年环境空气质量奖惩资金专项上解-661万元、</w:t>
      </w:r>
      <w:r>
        <w:rPr>
          <w:rFonts w:hint="eastAsia" w:ascii="仿宋_GB2312" w:hAnsi="仿宋_GB2312" w:eastAsia="仿宋_GB2312" w:cs="仿宋_GB2312"/>
          <w:color w:val="000000"/>
          <w:sz w:val="30"/>
          <w:szCs w:val="30"/>
        </w:rPr>
        <w:t>2018-2019年跨界断面水质考核生态补偿金专项上解20万元、可再生能源电价附加增值税返还资金地方扣款23万元、2019年增值税留抵退税上解26万元、出口退税上解3万元。</w:t>
      </w:r>
      <w:r>
        <w:rPr>
          <w:rFonts w:hint="eastAsia" w:ascii="仿宋_GB2312" w:hAnsi="仿宋_GB2312" w:eastAsia="仿宋_GB2312" w:cs="仿宋_GB2312"/>
          <w:sz w:val="30"/>
          <w:szCs w:val="30"/>
          <w:shd w:val="clear" w:color="auto" w:fill="FFFFFF"/>
        </w:rPr>
        <w:t>(14)上年结转支出2507万元。(15)债务还本支出3500万元。</w:t>
      </w:r>
      <w:r>
        <w:rPr>
          <w:rFonts w:hint="eastAsia" w:ascii="仿宋_GB2312" w:hAnsi="仿宋_GB2312" w:eastAsia="仿宋_GB2312" w:cs="仿宋_GB2312"/>
          <w:color w:val="000000"/>
          <w:sz w:val="30"/>
          <w:szCs w:val="30"/>
        </w:rPr>
        <w:t>以上总财力308780万元，支出执行297880万元,</w:t>
      </w:r>
      <w:r>
        <w:rPr>
          <w:rFonts w:hint="eastAsia" w:ascii="仿宋_GB2312" w:hAnsi="仿宋_GB2312" w:eastAsia="仿宋_GB2312" w:cs="仿宋_GB2312"/>
          <w:sz w:val="30"/>
          <w:szCs w:val="30"/>
          <w:shd w:val="clear" w:color="auto" w:fill="FFFFFF"/>
        </w:rPr>
        <w:t>结转下年支出3631万元，安排预算稳定调节基金7269万元。</w:t>
      </w:r>
    </w:p>
    <w:p w14:paraId="67355C42">
      <w:pPr>
        <w:widowControl w:val="0"/>
        <w:spacing w:after="0" w:line="590" w:lineRule="exact"/>
        <w:ind w:firstLine="600" w:firstLineChars="200"/>
        <w:jc w:val="both"/>
        <w:rPr>
          <w:rFonts w:hint="eastAsia" w:ascii="楷体_GB2312" w:hAnsi="楷体_GB2312" w:eastAsia="楷体_GB2312" w:cs="楷体_GB2312"/>
          <w:sz w:val="30"/>
          <w:szCs w:val="30"/>
          <w:shd w:val="clear" w:color="auto" w:fill="FFFFFF"/>
        </w:rPr>
      </w:pPr>
      <w:r>
        <w:rPr>
          <w:rFonts w:hint="eastAsia" w:ascii="楷体_GB2312" w:hAnsi="楷体_GB2312" w:eastAsia="楷体_GB2312" w:cs="楷体_GB2312"/>
          <w:sz w:val="30"/>
          <w:szCs w:val="30"/>
          <w:shd w:val="clear" w:color="auto" w:fill="FFFFFF"/>
        </w:rPr>
        <w:t>（二）政府性基金执行情况</w:t>
      </w:r>
    </w:p>
    <w:p w14:paraId="585BF88F">
      <w:pPr>
        <w:widowControl w:val="0"/>
        <w:numPr>
          <w:ilvl w:val="0"/>
          <w:numId w:val="2"/>
        </w:numPr>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政府性基金收入完成情况</w:t>
      </w:r>
    </w:p>
    <w:p w14:paraId="073EB0EE">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政府性基金收入完成43082万元，占预算181%，比上年增长11%。其中：国有土地使用权出让收入34734万元,占预算173.7%，比上年增长6.3%；国有土地收益基金收入4229万元，占预算211.5%，比上年增长7.3%；农业土地开发资金收入597万元，占预算298.5%，比上年增长127%；城市基础设施配套费收入2867万元，占预算286.7%，比上年增长114.9%；污水处理费收入655万元，占预算109.2%，比上年增长5.8%。</w:t>
      </w:r>
    </w:p>
    <w:p w14:paraId="4DAD0A96">
      <w:pPr>
        <w:widowControl w:val="0"/>
        <w:numPr>
          <w:ilvl w:val="0"/>
          <w:numId w:val="2"/>
        </w:numPr>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政府性基金预算支出执行情况</w:t>
      </w:r>
    </w:p>
    <w:p w14:paraId="1DAD289E">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政府性基金预算支出46616万元，占调整预算78.5%，比上年增长114.3%。主要支出项目是：文化旅游与体育传媒支出49万元，比上年下降86.6%，主要是上级专项减少。社会保障和就业支出2050万元，比上年下降29.1%。城乡社区支出28393万元，比上年增长128.7%，其中：国有土地使用权出让收入安排的支出23072万元，比上年增长150%；农业土地开发资金支出148万元，比上年增长97.3%；国有土地收益基金支出3162万元，比上年增长201.4%；城市基础设施配套费支出1284万元，比上年下降9.9%；污水处理费支出727万元，比上年增长14.5%。其他支出9471万元，比上年增长107%。债务付息支出1643万元，比上年增长9%。抗疫特别国债安排的支出5000万元。</w:t>
      </w:r>
    </w:p>
    <w:p w14:paraId="0B6C0349">
      <w:pPr>
        <w:widowControl w:val="0"/>
        <w:numPr>
          <w:ilvl w:val="0"/>
          <w:numId w:val="2"/>
        </w:numPr>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政府性基金预算执行结果</w:t>
      </w:r>
    </w:p>
    <w:p w14:paraId="01F07D8B">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政府性基金收入43082万元，上年结余11470万元，上级专项补助7600万元，政府债券收入9000万元，调入一般公共预算6794万元，政府性基金支出46616万元，债务还本支出5000万元，结转下年12742万元。</w:t>
      </w:r>
    </w:p>
    <w:p w14:paraId="3120A38D">
      <w:pPr>
        <w:widowControl w:val="0"/>
        <w:spacing w:after="0" w:line="590" w:lineRule="exact"/>
        <w:ind w:firstLine="600" w:firstLineChars="200"/>
        <w:jc w:val="both"/>
        <w:rPr>
          <w:rFonts w:hint="eastAsia" w:ascii="楷体_GB2312" w:hAnsi="楷体_GB2312" w:eastAsia="楷体_GB2312" w:cs="楷体_GB2312"/>
          <w:sz w:val="30"/>
          <w:szCs w:val="30"/>
          <w:shd w:val="clear" w:color="auto" w:fill="FFFFFF"/>
        </w:rPr>
      </w:pPr>
      <w:r>
        <w:rPr>
          <w:rFonts w:hint="eastAsia" w:ascii="楷体_GB2312" w:hAnsi="楷体_GB2312" w:eastAsia="楷体_GB2312" w:cs="楷体_GB2312"/>
          <w:sz w:val="30"/>
          <w:szCs w:val="30"/>
          <w:shd w:val="clear" w:color="auto" w:fill="FFFFFF"/>
        </w:rPr>
        <w:t>（三）社保基金预算执行情况</w:t>
      </w:r>
    </w:p>
    <w:p w14:paraId="65C5ED78">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 社保基金上年结余35489万元，收入41167万元，支出39992万元，结余36664万元。其中：机关事业单位基本养老保险基金上年结余5788万元，收入27177万元，支出30825万元，结余2140万元；城乡居民基本养老保险基金上年结余29701万元，收入13990万元，支出9167万元，结余34524万元；企业职工基本养老保险基金实行省级统收统支。</w:t>
      </w:r>
    </w:p>
    <w:p w14:paraId="22B6EB01">
      <w:pPr>
        <w:widowControl w:val="0"/>
        <w:spacing w:after="0" w:line="590" w:lineRule="exact"/>
        <w:ind w:firstLine="600" w:firstLineChars="200"/>
        <w:jc w:val="both"/>
        <w:rPr>
          <w:rFonts w:hint="eastAsia" w:ascii="楷体_GB2312" w:hAnsi="楷体_GB2312" w:eastAsia="楷体_GB2312" w:cs="楷体_GB2312"/>
          <w:sz w:val="30"/>
          <w:szCs w:val="30"/>
          <w:shd w:val="clear" w:color="auto" w:fill="FFFFFF"/>
        </w:rPr>
      </w:pPr>
      <w:r>
        <w:rPr>
          <w:rFonts w:hint="eastAsia" w:ascii="楷体_GB2312" w:hAnsi="楷体_GB2312" w:eastAsia="楷体_GB2312" w:cs="楷体_GB2312"/>
          <w:sz w:val="30"/>
          <w:szCs w:val="30"/>
          <w:shd w:val="clear" w:color="auto" w:fill="FFFFFF"/>
        </w:rPr>
        <w:t>（四）国有资本经营情况</w:t>
      </w:r>
    </w:p>
    <w:p w14:paraId="4469A196">
      <w:pPr>
        <w:widowControl w:val="0"/>
        <w:spacing w:after="0" w:line="590" w:lineRule="exact"/>
        <w:ind w:firstLine="602" w:firstLineChars="200"/>
        <w:jc w:val="both"/>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rPr>
        <w:t>1、国有资本经营收支情况</w:t>
      </w:r>
    </w:p>
    <w:p w14:paraId="466BB3EB">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2020年国有资本经营上年结转2万元，上级补助收入1564万元，国有资本收益6万元，支出1569万元，调入一般公共预算3万元，无结转资金。</w:t>
      </w:r>
    </w:p>
    <w:p w14:paraId="3A2CACA4">
      <w:pPr>
        <w:widowControl w:val="0"/>
        <w:numPr>
          <w:ilvl w:val="0"/>
          <w:numId w:val="3"/>
        </w:numPr>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shd w:val="clear" w:color="auto" w:fill="FFFFFF"/>
        </w:rPr>
        <w:t>国有及国有控股企业盈亏情况</w:t>
      </w:r>
    </w:p>
    <w:p w14:paraId="43470668">
      <w:pPr>
        <w:pStyle w:val="15"/>
        <w:widowControl w:val="0"/>
        <w:spacing w:after="0" w:line="590" w:lineRule="exact"/>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2020年末，我市由政府相关职能部门代表市政府投资形成具有国有资本且正常运营的企业共16户，其中</w:t>
      </w:r>
      <w:r>
        <w:rPr>
          <w:rFonts w:hint="eastAsia" w:ascii="仿宋_GB2312" w:hAnsi="仿宋_GB2312" w:eastAsia="仿宋_GB2312" w:cs="仿宋_GB2312"/>
          <w:b/>
          <w:bCs/>
          <w:color w:val="000000"/>
          <w:sz w:val="30"/>
          <w:szCs w:val="30"/>
        </w:rPr>
        <w:t>盈利企业4户</w:t>
      </w:r>
      <w:r>
        <w:rPr>
          <w:rFonts w:hint="eastAsia" w:ascii="仿宋_GB2312" w:hAnsi="仿宋_GB2312" w:eastAsia="仿宋_GB2312" w:cs="仿宋_GB2312"/>
          <w:color w:val="000000"/>
          <w:sz w:val="30"/>
          <w:szCs w:val="30"/>
        </w:rPr>
        <w:t>，盈利额80.73万元。主要是：粟济储备粮有限公司0.12万元，诚科建筑检测有限公司16.63万元,市政工程公司56.41万元，</w:t>
      </w:r>
      <w:r>
        <w:rPr>
          <w:rFonts w:hint="eastAsia" w:ascii="仿宋_GB2312" w:hAnsi="仿宋_GB2312" w:eastAsia="仿宋_GB2312" w:cs="仿宋_GB2312"/>
          <w:sz w:val="30"/>
          <w:szCs w:val="30"/>
        </w:rPr>
        <w:t>广播电视网络传输有限公司7.57万元;</w:t>
      </w:r>
      <w:r>
        <w:rPr>
          <w:rFonts w:hint="eastAsia" w:ascii="仿宋_GB2312" w:hAnsi="仿宋_GB2312" w:eastAsia="仿宋_GB2312" w:cs="仿宋_GB2312"/>
          <w:b/>
          <w:bCs/>
          <w:sz w:val="30"/>
          <w:szCs w:val="30"/>
        </w:rPr>
        <w:t>零</w:t>
      </w:r>
      <w:r>
        <w:rPr>
          <w:rFonts w:hint="eastAsia" w:ascii="仿宋_GB2312" w:hAnsi="仿宋_GB2312" w:eastAsia="仿宋_GB2312" w:cs="仿宋_GB2312"/>
          <w:b/>
          <w:bCs/>
          <w:color w:val="000000"/>
          <w:sz w:val="30"/>
          <w:szCs w:val="30"/>
        </w:rPr>
        <w:t>利润企业2户</w:t>
      </w:r>
      <w:r>
        <w:rPr>
          <w:rFonts w:hint="eastAsia" w:ascii="仿宋_GB2312" w:hAnsi="仿宋_GB2312" w:eastAsia="仿宋_GB2312" w:cs="仿宋_GB2312"/>
          <w:color w:val="000000"/>
          <w:sz w:val="30"/>
          <w:szCs w:val="30"/>
        </w:rPr>
        <w:t>，主要是：供水服务中心和供水开发中心；</w:t>
      </w:r>
      <w:r>
        <w:rPr>
          <w:rFonts w:hint="eastAsia" w:ascii="仿宋_GB2312" w:hAnsi="仿宋_GB2312" w:eastAsia="仿宋_GB2312" w:cs="仿宋_GB2312"/>
          <w:b/>
          <w:bCs/>
          <w:color w:val="000000"/>
          <w:sz w:val="30"/>
          <w:szCs w:val="30"/>
        </w:rPr>
        <w:t>亏损企业10户</w:t>
      </w:r>
      <w:r>
        <w:rPr>
          <w:rFonts w:hint="eastAsia" w:ascii="仿宋_GB2312" w:hAnsi="仿宋_GB2312" w:eastAsia="仿宋_GB2312" w:cs="仿宋_GB2312"/>
          <w:color w:val="000000"/>
          <w:sz w:val="30"/>
          <w:szCs w:val="30"/>
        </w:rPr>
        <w:t>，亏损额2497.57万元，主要是：商业总公司-0.06万元，百货大楼有限公司-214.5万元,军粮供应有限公司-0.33万元,房地产开发有限公司-67.33万元，鹳雀楼旅游集团有</w:t>
      </w:r>
      <w:r>
        <w:rPr>
          <w:rFonts w:hint="eastAsia" w:ascii="仿宋_GB2312" w:hAnsi="仿宋_GB2312" w:eastAsia="仿宋_GB2312" w:cs="仿宋_GB2312"/>
          <w:color w:val="000000"/>
          <w:spacing w:val="28"/>
          <w:sz w:val="30"/>
          <w:szCs w:val="30"/>
        </w:rPr>
        <w:t>限公司-459.38万元，鹳雀楼集团永济五老峰旅游有限公司-</w:t>
      </w:r>
      <w:r>
        <w:rPr>
          <w:rFonts w:hint="eastAsia" w:ascii="仿宋_GB2312" w:hAnsi="仿宋_GB2312" w:eastAsia="仿宋_GB2312" w:cs="仿宋_GB2312"/>
          <w:color w:val="000000"/>
          <w:sz w:val="30"/>
          <w:szCs w:val="30"/>
        </w:rPr>
        <w:t>366.48万元，普救寺旅游有限公司-791.24万元，蒲坂经济建设开发有限公司-367.67万元，供热服务中心-35.78万元,经济技术开发区实业发展有限责任公司-194.8万元。</w:t>
      </w:r>
    </w:p>
    <w:p w14:paraId="7067FD16">
      <w:pPr>
        <w:widowControl w:val="0"/>
        <w:spacing w:after="0" w:line="59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各位代表，2020年面对复杂经济形势及疫情冲击影响，财税部门强化征管</w:t>
      </w:r>
      <w:r>
        <w:rPr>
          <w:rFonts w:hint="eastAsia" w:ascii="仿宋_GB2312" w:hAnsi="仿宋_GB2312" w:eastAsia="仿宋_GB2312" w:cs="仿宋_GB2312"/>
          <w:sz w:val="30"/>
          <w:szCs w:val="30"/>
        </w:rPr>
        <w:t>抓收入，千方百计争资金，严格支出重管理，集中财力惠民生，</w:t>
      </w:r>
      <w:r>
        <w:rPr>
          <w:rFonts w:hint="eastAsia" w:ascii="仿宋_GB2312" w:hAnsi="仿宋_GB2312" w:eastAsia="仿宋_GB2312" w:cs="仿宋_GB2312"/>
          <w:sz w:val="30"/>
          <w:szCs w:val="30"/>
          <w:shd w:val="clear" w:color="auto" w:fill="FFFFFF"/>
        </w:rPr>
        <w:t>为我市各项事业发展提供了较好的财力保障。</w:t>
      </w:r>
    </w:p>
    <w:p w14:paraId="7F73C9D8">
      <w:pPr>
        <w:widowControl w:val="0"/>
        <w:spacing w:after="0" w:line="59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——积极争取资金和政策支持。</w:t>
      </w:r>
      <w:r>
        <w:rPr>
          <w:rFonts w:hint="eastAsia" w:ascii="仿宋_GB2312" w:hAnsi="仿宋_GB2312" w:eastAsia="仿宋_GB2312" w:cs="仿宋_GB2312"/>
          <w:bCs/>
          <w:sz w:val="30"/>
          <w:szCs w:val="30"/>
        </w:rPr>
        <w:t>一是</w:t>
      </w:r>
      <w:r>
        <w:rPr>
          <w:rFonts w:hint="eastAsia" w:ascii="仿宋_GB2312" w:hAnsi="仿宋_GB2312" w:eastAsia="仿宋_GB2312" w:cs="仿宋_GB2312"/>
          <w:sz w:val="30"/>
          <w:szCs w:val="30"/>
        </w:rPr>
        <w:t>向省厅汇报疫情及减税降费政策的影响，反映财政存在的困难和问题，得到省财政厅对我市的大力支持。今年均衡性转移支付88601万元，比上年增加9019万元；</w:t>
      </w:r>
      <w:r>
        <w:rPr>
          <w:rFonts w:hint="eastAsia" w:ascii="仿宋_GB2312" w:hAnsi="仿宋_GB2312" w:eastAsia="仿宋_GB2312" w:cs="仿宋_GB2312"/>
          <w:color w:val="000000"/>
          <w:sz w:val="30"/>
          <w:szCs w:val="30"/>
        </w:rPr>
        <w:t>县级基本财力保障机制奖补资金16175万元，比上年增加1207万元；特殊转移支付资金16060万元；</w:t>
      </w:r>
      <w:r>
        <w:rPr>
          <w:rFonts w:hint="eastAsia" w:ascii="仿宋_GB2312" w:hAnsi="仿宋_GB2312" w:eastAsia="仿宋_GB2312" w:cs="仿宋_GB2312"/>
          <w:sz w:val="30"/>
          <w:szCs w:val="30"/>
        </w:rPr>
        <w:t>新增政府债券资金24000万元，抗疫特别国债5000万元，财力紧张的局面得到了缓解，较好的支持我市经济发展。</w:t>
      </w:r>
    </w:p>
    <w:p w14:paraId="0EDD171E">
      <w:pPr>
        <w:pStyle w:val="4"/>
        <w:widowControl w:val="0"/>
        <w:spacing w:after="0" w:line="59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sz w:val="30"/>
          <w:szCs w:val="30"/>
        </w:rPr>
        <w:t>支持推进乡村振兴战略。</w:t>
      </w:r>
      <w:r>
        <w:rPr>
          <w:rFonts w:hint="eastAsia" w:ascii="仿宋_GB2312" w:hAnsi="仿宋_GB2312" w:eastAsia="仿宋_GB2312" w:cs="仿宋_GB2312"/>
          <w:sz w:val="30"/>
          <w:szCs w:val="30"/>
        </w:rPr>
        <w:t>优先发展农业农村，全面推进乡村振兴。全年农林水支出达41482万元，其中：一事一议财政奖补资金1656万元，省级美丽乡村示范村资金200万元，乡村环境治理资金938万元，村庄绿化900万元，争取上级财政专项扶贫资金976万元，本级配套150万元，促进贫困户产业发展及生活条件的改善，推进农村公益事业及基础设施、乡村环境整治、美丽乡村建设等项目发展，让乡村更美更宜居。</w:t>
      </w:r>
    </w:p>
    <w:p w14:paraId="55B19EA5">
      <w:pPr>
        <w:widowControl w:val="0"/>
        <w:adjustRightInd/>
        <w:snapToGrid/>
        <w:spacing w:after="0" w:line="59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——做好民生保障增进民生福祉。</w:t>
      </w:r>
      <w:r>
        <w:rPr>
          <w:rFonts w:hint="eastAsia" w:ascii="仿宋_GB2312" w:hAnsi="仿宋_GB2312" w:eastAsia="仿宋_GB2312" w:cs="仿宋_GB2312"/>
          <w:sz w:val="30"/>
          <w:szCs w:val="30"/>
        </w:rPr>
        <w:t>一是优先保证个人部分支出，</w:t>
      </w:r>
      <w:r>
        <w:rPr>
          <w:rFonts w:hint="eastAsia" w:ascii="仿宋_GB2312" w:hAnsi="仿宋_GB2312" w:eastAsia="仿宋_GB2312" w:cs="仿宋_GB2312"/>
          <w:color w:val="000000"/>
          <w:sz w:val="30"/>
          <w:szCs w:val="30"/>
        </w:rPr>
        <w:t>全年个人部分达到10.5亿元，比上年增长5.5%。</w:t>
      </w:r>
      <w:r>
        <w:rPr>
          <w:rFonts w:hint="eastAsia" w:ascii="仿宋_GB2312" w:hAnsi="仿宋_GB2312" w:eastAsia="仿宋_GB2312" w:cs="仿宋_GB2312"/>
          <w:sz w:val="30"/>
          <w:szCs w:val="30"/>
        </w:rPr>
        <w:t>二是继续加大教育投入。深化教育改革，促进教育公平，完善教育经费保障机制，全年教育投入达64269万元，其中学校校园环境提升改造项目2000余万元，智慧教育二期工程项目款1155.9万元，</w:t>
      </w:r>
      <w:r>
        <w:rPr>
          <w:rFonts w:hint="eastAsia" w:ascii="仿宋_GB2312" w:hAnsi="仿宋_GB2312" w:eastAsia="仿宋_GB2312" w:cs="仿宋_GB2312"/>
          <w:color w:val="000000"/>
          <w:sz w:val="30"/>
          <w:szCs w:val="30"/>
        </w:rPr>
        <w:t>柳宗园小学及幼儿园建设项目1100万元，</w:t>
      </w:r>
      <w:r>
        <w:rPr>
          <w:rFonts w:hint="eastAsia" w:ascii="仿宋_GB2312" w:hAnsi="仿宋_GB2312" w:eastAsia="仿宋_GB2312" w:cs="仿宋_GB2312"/>
          <w:sz w:val="30"/>
          <w:szCs w:val="30"/>
        </w:rPr>
        <w:t>化解高中债务800万元；三是加强医疗卫生及社会保障。落实基本公共卫生服务经费及各项补助提标到位，积极筹措疫情防控资金，全年拨付疫情防控资金1414.13万元，做好防控经费保障工作，提升疫情防控能力；四是注重保障群众精神文化追求，抓好全面健身设施建设，完善基层文化服务体系，全年文旅体育及传媒投入达19153万元。五是支持全域旅游创建工作。制定了《推进全市全域旅游发展工作方案》，全年拨付旅游发展类</w:t>
      </w:r>
      <w:r>
        <w:rPr>
          <w:rFonts w:hint="eastAsia" w:ascii="仿宋_GB2312" w:hAnsi="仿宋_GB2312" w:eastAsia="仿宋_GB2312" w:cs="仿宋_GB2312"/>
          <w:color w:val="000000"/>
          <w:sz w:val="30"/>
          <w:szCs w:val="30"/>
        </w:rPr>
        <w:t>资金1078万元</w:t>
      </w:r>
      <w:r>
        <w:rPr>
          <w:rFonts w:hint="eastAsia" w:ascii="仿宋_GB2312" w:hAnsi="仿宋_GB2312" w:eastAsia="仿宋_GB2312" w:cs="仿宋_GB2312"/>
          <w:sz w:val="30"/>
          <w:szCs w:val="30"/>
        </w:rPr>
        <w:t>。六是继续加大三基建设投入。主要用于“两委”主干报酬、乡镇机关基础设施均等化及提高乡镇工作补贴等。不断增进民生福祉，让群众更多更好地共享改革发展的成果。</w:t>
      </w:r>
    </w:p>
    <w:p w14:paraId="061C8B9F">
      <w:pPr>
        <w:widowControl w:val="0"/>
        <w:spacing w:after="0" w:line="59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——创新投入方式促进经济发展。</w:t>
      </w:r>
      <w:r>
        <w:rPr>
          <w:rFonts w:hint="eastAsia" w:ascii="仿宋_GB2312" w:hAnsi="仿宋_GB2312" w:eastAsia="仿宋_GB2312" w:cs="仿宋_GB2312"/>
          <w:sz w:val="30"/>
          <w:szCs w:val="30"/>
        </w:rPr>
        <w:t>积极创新财政投入方式和财政管理方式，更好地推进全市经济发展。一是申请拨付财政专项补助资金4351万元，为我市农业经济、“三供一业”、企业扶持提供财力支撑；二是设立产业引导基金，注册成立了基金公司，已向山西长荣农业科技股份有限公司投资2000万元，向山西穿越光电科技有限责任公司投资1000万元；三是创新财政担保方式，改进信贷担保业务流程，取得了显著成效。2020年担保贷款24户，担保额728万元，为我市农业适度规模经济发展提供了资金保证。出资1500万元参与了运城市政府性融资担保体系的组建，投入运营后可为我市中小微企业提供融资担保，解决融资困难问题；四是聘请多名专家组建“企业体检医院”，创建咨询微信群，组织专题培训会,印制《企业管理需求统计表》，并对13家企业进行走访调研，出具企业体检诊断报告,提升企业经营管理水平。</w:t>
      </w:r>
    </w:p>
    <w:p w14:paraId="6DF5674A">
      <w:pPr>
        <w:widowControl w:val="0"/>
        <w:spacing w:after="0" w:line="59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——强化财政职能提升财政管理水平。</w:t>
      </w:r>
      <w:r>
        <w:rPr>
          <w:rFonts w:hint="eastAsia" w:ascii="仿宋_GB2312" w:hAnsi="仿宋_GB2312" w:eastAsia="仿宋_GB2312" w:cs="仿宋_GB2312"/>
          <w:sz w:val="30"/>
          <w:szCs w:val="30"/>
        </w:rPr>
        <w:t>一是完善政府采购预算编制，强化政府采购监督。完成政府采购备案手续1083笔，采购资金132170.8万元，节约资金2421.4万元，二是全面加强财政性投资项目管理，进一步提高评审质量。全年评审项目186个，其中预算评审项目174个，决算评审项目12个，送审12.65亿元，审定10.47亿元，审减2.18亿元，综合审减率17.23%。</w:t>
      </w:r>
      <w:r>
        <w:rPr>
          <w:rFonts w:hint="eastAsia" w:ascii="仿宋_GB2312" w:hAnsi="仿宋_GB2312" w:eastAsia="仿宋_GB2312" w:cs="仿宋_GB2312"/>
          <w:sz w:val="30"/>
          <w:szCs w:val="30"/>
          <w:lang w:val="zh-CN"/>
        </w:rPr>
        <w:t>三是</w:t>
      </w:r>
      <w:r>
        <w:rPr>
          <w:rFonts w:hint="eastAsia" w:ascii="仿宋_GB2312" w:hAnsi="仿宋_GB2312" w:eastAsia="仿宋_GB2312" w:cs="仿宋_GB2312"/>
          <w:sz w:val="30"/>
          <w:szCs w:val="30"/>
        </w:rPr>
        <w:t>扩大预算绩效目标管理范围，</w:t>
      </w:r>
      <w:r>
        <w:rPr>
          <w:rFonts w:hint="eastAsia" w:ascii="仿宋_GB2312" w:hAnsi="仿宋_GB2312" w:eastAsia="仿宋_GB2312" w:cs="仿宋_GB2312"/>
          <w:sz w:val="30"/>
          <w:szCs w:val="30"/>
          <w:shd w:val="clear" w:color="auto" w:fill="FFFFFF"/>
        </w:rPr>
        <w:t>推进财政重点绩效评价，</w:t>
      </w:r>
      <w:r>
        <w:rPr>
          <w:rFonts w:hint="eastAsia" w:ascii="仿宋_GB2312" w:hAnsi="仿宋_GB2312" w:eastAsia="仿宋_GB2312" w:cs="仿宋_GB2312"/>
          <w:sz w:val="30"/>
          <w:szCs w:val="30"/>
        </w:rPr>
        <w:t>全面实施绩效管理。我市纳入目标管理的项目共217个，金额约10亿元。财政重点绩效项目15个，涉及资金约4.2亿元。四是加强国有资产管理。行政事业单位实际新增资产893.07万元，处置报废资产1713.20万元，调拨资产7713.11 万元，上缴资产处置收入41万元。五是落实减税降费政策，减免4828万元 。其中：减免企业税款4684万元，疫情防控期间减免租金128万元，城市道路占道费及其他减免16万元；六是建立直达资金机制，加快财政资金拨付使用效率。全年收到上级下达直达资金28484.79万元，分配率100%。已支出27034.38万元，支出进度94.9%。七是继续加强“三公”管理，压减一般性支出。全年“三公”经费支出646万元，比上年减少2万元。</w:t>
      </w:r>
    </w:p>
    <w:p w14:paraId="63005865">
      <w:pPr>
        <w:widowControl w:val="0"/>
        <w:spacing w:after="0" w:line="590" w:lineRule="exact"/>
        <w:ind w:firstLine="602" w:firstLineChars="200"/>
        <w:jc w:val="both"/>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color w:val="000000"/>
          <w:sz w:val="30"/>
          <w:szCs w:val="30"/>
          <w:lang w:val="zh-CN"/>
        </w:rPr>
        <w:t>加强地方政府债务及财政暂付款管理。</w:t>
      </w:r>
      <w:r>
        <w:rPr>
          <w:rFonts w:hint="eastAsia" w:ascii="仿宋_GB2312" w:hAnsi="仿宋_GB2312" w:eastAsia="仿宋_GB2312" w:cs="仿宋_GB2312"/>
          <w:color w:val="000000"/>
          <w:sz w:val="30"/>
          <w:szCs w:val="30"/>
        </w:rPr>
        <w:t>我市政府性债务</w:t>
      </w:r>
      <w:r>
        <w:rPr>
          <w:rFonts w:hint="eastAsia" w:ascii="仿宋_GB2312" w:hAnsi="仿宋_GB2312" w:eastAsia="仿宋_GB2312" w:cs="仿宋_GB2312"/>
          <w:sz w:val="30"/>
          <w:szCs w:val="30"/>
        </w:rPr>
        <w:t>余额11.13亿元，未超政府债务限额11.98亿元。按期偿还到期的政府性债务利</w:t>
      </w:r>
      <w:r>
        <w:rPr>
          <w:rFonts w:hint="eastAsia" w:ascii="仿宋_GB2312" w:hAnsi="仿宋_GB2312" w:eastAsia="仿宋_GB2312" w:cs="仿宋_GB2312"/>
          <w:color w:val="000000"/>
          <w:sz w:val="30"/>
          <w:szCs w:val="30"/>
        </w:rPr>
        <w:t>息，今年偿还地方政府债券本金8500万元，利息3518万元，合计12018万元。</w:t>
      </w:r>
      <w:r>
        <w:rPr>
          <w:rFonts w:hint="eastAsia" w:ascii="仿宋_GB2312" w:hAnsi="仿宋_GB2312" w:eastAsia="仿宋_GB2312" w:cs="仿宋_GB2312"/>
          <w:bCs/>
          <w:color w:val="000000"/>
          <w:sz w:val="30"/>
          <w:szCs w:val="30"/>
          <w:lang w:val="zh-CN"/>
        </w:rPr>
        <w:t>一</w:t>
      </w:r>
      <w:r>
        <w:rPr>
          <w:rFonts w:hint="eastAsia" w:ascii="仿宋_GB2312" w:hAnsi="仿宋_GB2312" w:eastAsia="仿宋_GB2312" w:cs="仿宋_GB2312"/>
          <w:bCs/>
          <w:color w:val="000000"/>
          <w:kern w:val="2"/>
          <w:sz w:val="30"/>
          <w:szCs w:val="30"/>
        </w:rPr>
        <w:t>是</w:t>
      </w:r>
      <w:r>
        <w:rPr>
          <w:rFonts w:hint="eastAsia" w:ascii="仿宋_GB2312" w:hAnsi="仿宋_GB2312" w:eastAsia="仿宋_GB2312" w:cs="仿宋_GB2312"/>
          <w:sz w:val="30"/>
          <w:szCs w:val="30"/>
        </w:rPr>
        <w:t>强化政府性债务管理，防范化解政府债务风险，强化底线思维，坚决遏制隐性债务增量，加强违法违规举债的责任追究；二是实施政府债务及隐性债务监测月报制度，定期排查风险，加强债务率风险监控；</w:t>
      </w:r>
      <w:r>
        <w:rPr>
          <w:rFonts w:hint="eastAsia" w:ascii="仿宋_GB2312" w:hAnsi="仿宋_GB2312" w:eastAsia="仿宋_GB2312" w:cs="仿宋_GB2312"/>
          <w:color w:val="000000"/>
          <w:sz w:val="30"/>
          <w:szCs w:val="30"/>
        </w:rPr>
        <w:t>三是</w:t>
      </w:r>
      <w:r>
        <w:rPr>
          <w:rFonts w:hint="eastAsia" w:ascii="仿宋_GB2312" w:hAnsi="仿宋_GB2312" w:eastAsia="仿宋_GB2312" w:cs="仿宋_GB2312"/>
          <w:color w:val="000000"/>
          <w:sz w:val="30"/>
          <w:szCs w:val="30"/>
          <w:shd w:val="clear" w:color="auto" w:fill="FFFFFF"/>
        </w:rPr>
        <w:t>加强对财政暂付款的管理，根据分年度化解计划，及时清理财政暂付款项，消化暂付款4449万元。</w:t>
      </w:r>
    </w:p>
    <w:p w14:paraId="50976273">
      <w:pPr>
        <w:pStyle w:val="4"/>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是“十三五”规划的收官之年，五年来，我们积极进取，攻坚克难，财政工作取得了一定的成绩。一是一般公共预算收入总量达22.68亿元，是“十二五”的1.5倍。二是一般公共预算支出总量达119.37亿元，是“十二五”的1.5倍。其中：民生支出总量达99.91亿元，占财政支出比例达83.7%。三是争取均衡性转移支付及财力保障奖补资金达42.72亿元，比“十二五”期间翻了一番。四是加强预算绩效管理,基本实现全方位、全过程、全覆盖的预算绩效管理体系，预算管理水平进一步提升。</w:t>
      </w:r>
    </w:p>
    <w:p w14:paraId="4276DF7B">
      <w:pPr>
        <w:widowControl w:val="0"/>
        <w:spacing w:after="0" w:line="590" w:lineRule="exact"/>
        <w:ind w:firstLine="600" w:firstLineChars="200"/>
        <w:jc w:val="both"/>
        <w:rPr>
          <w:rFonts w:hint="eastAsia"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各位代表，财政部门在向上争取资金、保障改善民生、支持经济发展等方面取得了成绩，但还存在一些困难和问题：一是我市重点税源企业经营状况较为平稳，新招商企业短期内不能达产增效，税源基础不稳固；二是保工资、保运转、保民生需求不断增加，各类保险缺口较大，政府债务还本付息及消化暂付款任务较重，收支矛盾十分突出；三是地方政府性债务管理与防范风险化解债务风险能力需进一步增强；四是有些部门过“紧日子”的意识不强，“花钱必问效”的绩效管理理念需加强。对此，我们积极面对，通过深化改革，完善机制，采取有效措施加以解决。</w:t>
      </w:r>
    </w:p>
    <w:p w14:paraId="163336E4">
      <w:pPr>
        <w:widowControl w:val="0"/>
        <w:spacing w:after="0" w:line="590" w:lineRule="exact"/>
        <w:ind w:firstLine="600" w:firstLineChars="200"/>
        <w:jc w:val="both"/>
        <w:rPr>
          <w:rFonts w:hint="eastAsia" w:ascii="黑体" w:hAnsi="黑体" w:eastAsia="黑体"/>
          <w:sz w:val="30"/>
          <w:szCs w:val="30"/>
        </w:rPr>
      </w:pPr>
      <w:r>
        <w:rPr>
          <w:rFonts w:hint="eastAsia" w:ascii="黑体" w:hAnsi="黑体" w:eastAsia="黑体"/>
          <w:sz w:val="30"/>
          <w:szCs w:val="30"/>
        </w:rPr>
        <w:t>二、2021年财政预算草案</w:t>
      </w:r>
    </w:p>
    <w:p w14:paraId="5CF02D87">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2021年是中国共产党成立100周年，是“十四五”开局之年，也是“转型出雏形、财政强支撑”的关键之年，编制好今年的财政收支预算，对推动我市经济发展和各项事业进步，具有十分重要的意义。</w:t>
      </w:r>
    </w:p>
    <w:p w14:paraId="563AD771">
      <w:pPr>
        <w:widowControl w:val="0"/>
        <w:spacing w:after="0" w:line="590" w:lineRule="exact"/>
        <w:ind w:firstLine="600" w:firstLineChars="200"/>
        <w:jc w:val="both"/>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（一）一般公共收支预算</w:t>
      </w:r>
    </w:p>
    <w:p w14:paraId="0C2EAB5A">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1、收入预算预测</w:t>
      </w:r>
    </w:p>
    <w:p w14:paraId="0E7EC46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根据运城市初步测算的收入预算并结合我市实际，一般公共预算收入按53162万元预测，比上年增长6%。分征收部门收入预测:税务部门32336万元，比上年增长6%；财政部门20826万元，比上年增长6%。</w:t>
      </w:r>
    </w:p>
    <w:p w14:paraId="4027E3D2">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2、财力测算情况</w:t>
      </w:r>
    </w:p>
    <w:p w14:paraId="110F55B6">
      <w:pPr>
        <w:widowControl w:val="0"/>
        <w:spacing w:after="0" w:line="590" w:lineRule="exact"/>
        <w:ind w:firstLine="600" w:firstLineChars="200"/>
        <w:jc w:val="both"/>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rPr>
        <w:t>根据运城市下达的收入计划及已明确的财政体制，财力测算情况是:(1)市级收入财力53162万元;(2)</w:t>
      </w:r>
      <w:r>
        <w:rPr>
          <w:rFonts w:hint="eastAsia" w:ascii="仿宋_GB2312" w:hAnsi="仿宋_GB2312" w:eastAsia="仿宋_GB2312" w:cs="仿宋_GB2312"/>
          <w:color w:val="000000"/>
          <w:sz w:val="30"/>
          <w:szCs w:val="30"/>
          <w:shd w:val="clear" w:color="auto" w:fill="FFFFFF"/>
        </w:rPr>
        <w:t>返还性收入1604万元(其中：中央两税返还229万元、体制返还650万元、成品油税费改革725万元);</w:t>
      </w: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shd w:val="clear" w:color="auto" w:fill="FFFFFF"/>
        </w:rPr>
        <w:t>均衡性转移支付补助92178万元(其中：均衡性转移支付85791万元、调整工资转移支付4829万元、乡镇工作补贴1173万元、社区转移支付110万元、农业转移人口市民化奖励9万元、省对县重点生态功能区转移支付266万元);</w:t>
      </w:r>
      <w:r>
        <w:rPr>
          <w:rFonts w:hint="eastAsia" w:ascii="仿宋_GB2312" w:hAnsi="仿宋_GB2312" w:eastAsia="仿宋_GB2312" w:cs="仿宋_GB2312"/>
          <w:color w:val="000000"/>
          <w:sz w:val="30"/>
          <w:szCs w:val="30"/>
        </w:rPr>
        <w:t>(4)县级基本财力保障机制奖补资金14341万元;(5)中央重点生态功能区转移支付558万元；(6)</w:t>
      </w:r>
      <w:r>
        <w:rPr>
          <w:rFonts w:hint="eastAsia" w:ascii="仿宋_GB2312" w:hAnsi="仿宋_GB2312" w:eastAsia="仿宋_GB2312" w:cs="仿宋_GB2312"/>
          <w:color w:val="000000"/>
          <w:sz w:val="30"/>
          <w:szCs w:val="30"/>
          <w:shd w:val="clear" w:color="auto" w:fill="FFFFFF"/>
        </w:rPr>
        <w:t>固定数额转移支付16786万元(其中:调整工资转移支付补助9647万元、工商质监下划1308万元、农村税费改革转移支付4475万元、企事业单位划转补助1261万元、其他结算事项95万元)；</w:t>
      </w:r>
      <w:r>
        <w:rPr>
          <w:rFonts w:hint="eastAsia" w:ascii="仿宋_GB2312" w:hAnsi="仿宋_GB2312" w:eastAsia="仿宋_GB2312" w:cs="仿宋_GB2312"/>
          <w:color w:val="000000"/>
          <w:sz w:val="30"/>
          <w:szCs w:val="30"/>
        </w:rPr>
        <w:t>(7)</w:t>
      </w:r>
      <w:r>
        <w:rPr>
          <w:rFonts w:hint="eastAsia" w:ascii="仿宋_GB2312" w:hAnsi="仿宋_GB2312" w:eastAsia="仿宋_GB2312" w:cs="仿宋_GB2312"/>
          <w:color w:val="000000"/>
          <w:sz w:val="30"/>
          <w:szCs w:val="30"/>
          <w:shd w:val="clear" w:color="auto" w:fill="FFFFFF"/>
        </w:rPr>
        <w:t>各项结算扣减1475万元(其中定额扣减390万元、法检两院上划1893万元、税务津补贴基数下划673万元、其他结算135万元)；</w:t>
      </w:r>
      <w:r>
        <w:rPr>
          <w:rFonts w:hint="eastAsia" w:ascii="仿宋_GB2312" w:hAnsi="仿宋_GB2312" w:eastAsia="仿宋_GB2312" w:cs="仿宋_GB2312"/>
          <w:color w:val="000000"/>
          <w:sz w:val="30"/>
          <w:szCs w:val="30"/>
        </w:rPr>
        <w:t>(8)</w:t>
      </w:r>
      <w:r>
        <w:rPr>
          <w:rFonts w:hint="eastAsia" w:ascii="仿宋_GB2312" w:hAnsi="仿宋_GB2312" w:eastAsia="仿宋_GB2312" w:cs="仿宋_GB2312"/>
          <w:color w:val="000000"/>
          <w:sz w:val="30"/>
          <w:szCs w:val="30"/>
          <w:shd w:val="clear" w:color="auto" w:fill="FFFFFF"/>
        </w:rPr>
        <w:t>各项上解10364万元(其中体制直管县基数上解10064万元、出口退税上解3万元、对口援疆上解76万元、医疗卫生领域财政事权和支出责任划分上解基数301万元，2019-2020年环境空气质量奖80万元)；</w:t>
      </w:r>
      <w:r>
        <w:rPr>
          <w:rFonts w:hint="eastAsia" w:ascii="仿宋_GB2312" w:hAnsi="仿宋_GB2312" w:eastAsia="仿宋_GB2312" w:cs="仿宋_GB2312"/>
          <w:color w:val="000000"/>
          <w:sz w:val="30"/>
          <w:szCs w:val="30"/>
        </w:rPr>
        <w:t>(9)</w:t>
      </w:r>
      <w:r>
        <w:rPr>
          <w:rFonts w:hint="eastAsia" w:ascii="仿宋_GB2312" w:hAnsi="仿宋_GB2312" w:eastAsia="仿宋_GB2312" w:cs="仿宋_GB2312"/>
          <w:color w:val="000000"/>
          <w:sz w:val="30"/>
          <w:szCs w:val="30"/>
          <w:shd w:val="clear" w:color="auto" w:fill="FFFFFF"/>
        </w:rPr>
        <w:t>调入稳定调节基金7269万元；(10)提前下达公安、教育、社保、卫生、农业等一般转移支付43813万元，专项转移支付补助3179万元，共46992万元；(11)上年结转3631万元(上级结转548万元、本级结转3083万元)；(12)地方政府债务还本支出7600万元；(14)从存量调入9396万元。以上总财力226478万元。</w:t>
      </w:r>
    </w:p>
    <w:p w14:paraId="7D6D5E34">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3、支出预算安排意见</w:t>
      </w:r>
    </w:p>
    <w:p w14:paraId="1FCB63CB">
      <w:pPr>
        <w:widowControl w:val="0"/>
        <w:spacing w:after="0" w:line="590" w:lineRule="exact"/>
        <w:ind w:firstLine="600" w:firstLineChars="200"/>
        <w:jc w:val="both"/>
        <w:rPr>
          <w:rFonts w:hint="eastAsia" w:ascii="黑体" w:hAnsi="黑体" w:eastAsia="黑体"/>
          <w:sz w:val="30"/>
          <w:szCs w:val="30"/>
        </w:rPr>
      </w:pPr>
      <w:r>
        <w:rPr>
          <w:rFonts w:hint="eastAsia" w:ascii="仿宋_GB2312" w:hAnsi="仿宋_GB2312" w:eastAsia="仿宋_GB2312" w:cs="仿宋_GB2312"/>
          <w:sz w:val="30"/>
          <w:szCs w:val="30"/>
        </w:rPr>
        <w:t>2021年财政工作指导思想：</w:t>
      </w:r>
      <w:r>
        <w:rPr>
          <w:rFonts w:hint="eastAsia" w:ascii="黑体" w:hAnsi="黑体" w:eastAsia="黑体"/>
          <w:sz w:val="30"/>
          <w:szCs w:val="30"/>
        </w:rPr>
        <w:t>根据中央、省、市财政工作会议精神，收入预算要坚持积极稳妥、实事求是，与经济社会发展新情况相适应，与积极财政政策相衔接，与宏观经济预期指标相协调。支出预算要优化结构，突出重点，继续保持“紧日子、保基本、调结构、保战略”，量入为出、有保有压。坚决落实政府真正过“紧日子”要求，切实兜牢“三保”底线，增强“六稳”、“六保”、“六新”发展战略和重点领域财力保障，把有限的财政资金用在刀刃上，加大重点领域和刚性支出保障力度。</w:t>
      </w:r>
    </w:p>
    <w:p w14:paraId="75C743DA">
      <w:pPr>
        <w:pStyle w:val="5"/>
        <w:adjustRightInd w:val="0"/>
        <w:spacing w:line="59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支出预算编制原则：</w:t>
      </w:r>
      <w:r>
        <w:rPr>
          <w:rFonts w:hint="eastAsia" w:ascii="黑体" w:hAnsi="黑体" w:eastAsia="黑体" w:cs="黑体"/>
          <w:color w:val="000000"/>
          <w:sz w:val="30"/>
          <w:szCs w:val="30"/>
        </w:rPr>
        <w:t>要坚持量入为出、精打细算、节用裕民，严把预算支出关口。</w:t>
      </w:r>
      <w:r>
        <w:rPr>
          <w:rFonts w:hint="eastAsia" w:ascii="黑体" w:hAnsi="黑体" w:eastAsia="黑体" w:cs="黑体"/>
          <w:sz w:val="30"/>
          <w:szCs w:val="30"/>
        </w:rPr>
        <w:t>一是在足额安排财政供养人员的基本工资和津补贴的基础上，优先安排债务还本付息及清理暂付款支出；二是按政策足额安排城乡居民养老保险、城乡居民医疗保险、义务教育保障机制等配套资金，切实保障和改善民生需求；三是加快乡村振兴建设，加大对农业农村方面的支持；四是压减非急需、非刚性支出和“三公”经费等一般性支出；五是突出绩效导向，加强绩效评价结果应用；六是依法依规使用地方政府债券资金，积极稳妥化解地方政府隐性债务存量。</w:t>
      </w:r>
    </w:p>
    <w:p w14:paraId="4B84737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初步测算的财力情况，今年支出预算拟按226478万元安排，比上年预算减少20739万元，主要是上级提前下达转移支付资金减少12951万元，一般政府债券今年未提前下达（上年提前下达新增一般政府债券10000万元）。其中：工资福利、对个人家庭补助等个人部分支出109456万元，基本运转经费19887万元，民生及重点项目支出49295万元，预备费300万元，提前下达转移支付46992万元，上级结转548万元。</w:t>
      </w:r>
    </w:p>
    <w:p w14:paraId="35730882">
      <w:pPr>
        <w:pStyle w:val="18"/>
        <w:widowControl w:val="0"/>
        <w:adjustRightInd/>
        <w:snapToGrid/>
        <w:spacing w:after="0" w:line="590" w:lineRule="exact"/>
        <w:ind w:firstLine="600"/>
        <w:jc w:val="both"/>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（1）工资福利、对个人家庭补助等个人部分支出109456万元，比上年预算增加2135万元。其中工资福利支出85573万元，比上年预算增加902万元，主要是住房公积金由6%提高到8%增加1694万元，</w:t>
      </w:r>
      <w:r>
        <w:rPr>
          <w:rFonts w:hint="eastAsia" w:ascii="仿宋_GB2312" w:hAnsi="仿宋_GB2312" w:eastAsia="仿宋_GB2312" w:cs="仿宋_GB2312"/>
          <w:color w:val="000000"/>
          <w:sz w:val="30"/>
          <w:szCs w:val="30"/>
        </w:rPr>
        <w:t>乡镇工作补贴提标增加367万元。</w:t>
      </w:r>
    </w:p>
    <w:p w14:paraId="5E55B3D4">
      <w:pPr>
        <w:pStyle w:val="18"/>
        <w:widowControl w:val="0"/>
        <w:adjustRightInd/>
        <w:snapToGrid/>
        <w:spacing w:after="0" w:line="59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对个人和家庭补助支出23883万元，比上年增加1233万元，主要是企业养老保险省级统筹缺口资金增加1138万元。</w:t>
      </w:r>
    </w:p>
    <w:p w14:paraId="606F6405">
      <w:pPr>
        <w:pStyle w:val="18"/>
        <w:widowControl w:val="0"/>
        <w:adjustRightInd/>
        <w:snapToGrid/>
        <w:spacing w:after="0" w:line="59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基本运转经费19887万元，比上年预算增加1674万元，主要是人均公用经费行政人员由2000元提高到2500元、事业人员由1800元提高到2300元增加经费287万元，社区运转经费比上年增加346万元，工会经费比上年增加108万元，福利费比上年增加增加69万元，增加村级服务群众经费265万元，普惠幼儿园及乡镇幼儿园经费增加75万元。</w:t>
      </w:r>
    </w:p>
    <w:p w14:paraId="3BEACA61">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（3）民生及重点项目拟安排49295万元。</w:t>
      </w:r>
    </w:p>
    <w:p w14:paraId="39DAC261">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1）一般公共服务支出11920.45万元。</w:t>
      </w:r>
    </w:p>
    <w:p w14:paraId="06AE61D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①联网中心建设经费29.8万元，人大代表联络站运行经费4万元，人大七届一次会议经费38.38万元，市镇两级人大换届选举工作经费69万元。共计141.18万元。</w:t>
      </w:r>
    </w:p>
    <w:p w14:paraId="341922DD">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②督查审计专项经费30万元，第七次全国人口普查经费30万元，农村住户扩充网点常规调查经费15.5万元，会计专业技术人员能力培训经费23万元, 县级预算一体化配套资金100万元，税务改革地方保障资金827.33万元，世行办项目后续管理费10万元。共计1035.83万元。</w:t>
      </w:r>
    </w:p>
    <w:p w14:paraId="0B43A941">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③纪委办案基地建设缺口资金38万元。</w:t>
      </w:r>
    </w:p>
    <w:p w14:paraId="4A08F661">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编印《文史期刊》和举办书画展活动经费10万元，编印《中条山抗日风云录》经费5万元，政协七届一次会议经费35.15万元，编印《中国共产党永济历史》第二卷经费10万元，文明城市创建工作经费50万元，党报党刊征订308.46万元，网络舆情监控软件经费11万元，印刷出版《永济市历史文化研究》、《永济市优秀传统文化研究》丛书24.39万元。共计454万元。</w:t>
      </w:r>
    </w:p>
    <w:p w14:paraId="0FC71E93">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⑤干部激励帮扶慰问经费10万元，城市党建工作经费100万元，“三基建设”工作经费30万元，干部教育培训经费150万元，</w:t>
      </w:r>
      <w:r>
        <w:rPr>
          <w:rFonts w:hint="eastAsia" w:ascii="仿宋_GB2312" w:hAnsi="仿宋_GB2312" w:eastAsia="仿宋_GB2312" w:cs="仿宋_GB2312"/>
          <w:color w:val="000000"/>
          <w:sz w:val="30"/>
          <w:szCs w:val="30"/>
        </w:rPr>
        <w:t>公务员管理工作经费（含公务员体检费）40</w:t>
      </w:r>
      <w:r>
        <w:rPr>
          <w:rFonts w:hint="eastAsia" w:ascii="仿宋_GB2312" w:hAnsi="仿宋_GB2312" w:eastAsia="仿宋_GB2312" w:cs="仿宋_GB2312"/>
          <w:sz w:val="30"/>
          <w:szCs w:val="30"/>
        </w:rPr>
        <w:t>万元，党建指导员工作补助47.32万元，人才资源开发专项经费500万元，非公工委工作经费10万元，年度目标责任考核工作经费15万元，目标责任考核专项奖励300万元。共计1202.32万元。</w:t>
      </w:r>
    </w:p>
    <w:p w14:paraId="35CACCB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⑥党代会会议经费76万元，宗教工作增加经费5万元，各民主党派总支（支部）委员会及统战团体换届经费4.1万元，工商联购置办公电脑2.78万元，社会治理综合服务中心二期装修工程158.11万元、房租108.24万元、工作人员服装费10.4万元、运行费46.65万元。共计411.28万元。</w:t>
      </w:r>
    </w:p>
    <w:p w14:paraId="1354DF08">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⑦市场监管局改造集中供暖经费20万元，食品监督抽检专项经费120万元，工业产品和环保相关产品、日用消费品质量监督抽查经费44万元。共计184万元。</w:t>
      </w:r>
    </w:p>
    <w:p w14:paraId="772AEE1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⑧政务服务中心及人防工程建设5000万元，审批事项业务及工作经费540万元，政府办劳务派遣5万元，专用网络业</w:t>
      </w:r>
      <w:r>
        <w:rPr>
          <w:rFonts w:hint="eastAsia" w:ascii="仿宋_GB2312" w:hAnsi="仿宋_GB2312" w:eastAsia="仿宋_GB2312" w:cs="仿宋_GB2312"/>
          <w:color w:val="000000"/>
          <w:sz w:val="30"/>
          <w:szCs w:val="30"/>
        </w:rPr>
        <w:t>务系统适配迁移费用46.8万</w:t>
      </w:r>
      <w:r>
        <w:rPr>
          <w:rFonts w:hint="eastAsia" w:ascii="仿宋_GB2312" w:hAnsi="仿宋_GB2312" w:eastAsia="仿宋_GB2312" w:cs="仿宋_GB2312"/>
          <w:sz w:val="30"/>
          <w:szCs w:val="30"/>
        </w:rPr>
        <w:t>元，智慧城市强电安装和土建项目426.17万元，网站安全提升费32.42万元，13710服务费和网费3.9万元，智慧城市运维及云服务经费936.94万元。共计6991.23万元。</w:t>
      </w:r>
    </w:p>
    <w:p w14:paraId="52956360">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⑨农村“天眼”工程维护费37万元，镇级综治信访工作资金50万元，心理服务中心运行费20万元。共计107万元。</w:t>
      </w:r>
    </w:p>
    <w:p w14:paraId="61D4521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fldChar w:fldCharType="begin"/>
      </w:r>
      <w:r>
        <w:rPr>
          <w:rFonts w:hint="eastAsia" w:ascii="仿宋_GB2312" w:hAnsi="仿宋_GB2312" w:eastAsia="仿宋_GB2312" w:cs="仿宋_GB2312"/>
          <w:bCs/>
          <w:sz w:val="30"/>
          <w:szCs w:val="30"/>
        </w:rPr>
        <w:instrText xml:space="preserve"> = 10 \* GB3 </w:instrText>
      </w:r>
      <w:r>
        <w:rPr>
          <w:rFonts w:hint="eastAsia" w:ascii="仿宋_GB2312" w:hAnsi="仿宋_GB2312" w:eastAsia="仿宋_GB2312" w:cs="仿宋_GB2312"/>
          <w:bCs/>
          <w:sz w:val="30"/>
          <w:szCs w:val="30"/>
        </w:rPr>
        <w:fldChar w:fldCharType="separate"/>
      </w:r>
      <w:r>
        <w:rPr>
          <w:rFonts w:hint="eastAsia" w:ascii="仿宋_GB2312" w:hAnsi="仿宋_GB2312" w:eastAsia="仿宋_GB2312" w:cs="仿宋_GB2312"/>
          <w:bCs/>
          <w:sz w:val="30"/>
          <w:szCs w:val="30"/>
        </w:rPr>
        <w:t>⑩</w:t>
      </w:r>
      <w:r>
        <w:rPr>
          <w:rFonts w:hint="eastAsia" w:ascii="仿宋_GB2312" w:hAnsi="仿宋_GB2312" w:eastAsia="仿宋_GB2312" w:cs="仿宋_GB2312"/>
          <w:bCs/>
          <w:sz w:val="30"/>
          <w:szCs w:val="30"/>
        </w:rPr>
        <w:fldChar w:fldCharType="end"/>
      </w:r>
      <w:r>
        <w:rPr>
          <w:rFonts w:hint="eastAsia" w:ascii="仿宋_GB2312" w:hAnsi="仿宋_GB2312" w:eastAsia="仿宋_GB2312" w:cs="仿宋_GB2312"/>
          <w:sz w:val="30"/>
          <w:szCs w:val="30"/>
        </w:rPr>
        <w:t>“四个秩序”规范化建设专项经费100万元,增加武装工作经费20万元，基层武装部规范化建设经费80万元。共计200万元。</w:t>
      </w:r>
    </w:p>
    <w:p w14:paraId="1307CF88">
      <w:pPr>
        <w:widowControl w:val="0"/>
        <w:spacing w:after="0" w:line="590" w:lineRule="exact"/>
        <w:ind w:firstLine="600" w:firstLineChars="200"/>
        <w:jc w:val="both"/>
        <w:rPr>
          <w:rFonts w:hint="eastAsia" w:ascii="仿宋_GB2312" w:hAnsi="仿宋_GB2312" w:eastAsia="仿宋_GB2312" w:cs="仿宋_GB2312"/>
          <w:sz w:val="30"/>
          <w:szCs w:val="30"/>
        </w:rPr>
      </w:pPr>
      <w:r>
        <w:rPr>
          <w:rFonts w:ascii="Times New Roman" w:hAnsi="Times New Roman" w:eastAsia="楷体_GB2312" w:cs="Times New Roman"/>
          <w:sz w:val="30"/>
          <w:szCs w:val="30"/>
        </w:rPr>
        <w:t>⑪</w:t>
      </w:r>
      <w:r>
        <w:rPr>
          <w:rFonts w:hint="eastAsia" w:ascii="仿宋_GB2312" w:hAnsi="仿宋_GB2312" w:eastAsia="仿宋_GB2312" w:cs="仿宋_GB2312"/>
          <w:sz w:val="30"/>
          <w:szCs w:val="30"/>
        </w:rPr>
        <w:t>机关事务服务中心公务接待104万元，后勤事务保障112万元，办公费15万元，公车平台204.4万元（含更新车辆及公务用车91.8万元），物业管理113.8万元，日常维修60万元，公共机构节能50万元，办公用房5万元，四套班子取暖费73.93万元。共计738.13万元。</w:t>
      </w:r>
    </w:p>
    <w:p w14:paraId="74739D14">
      <w:pPr>
        <w:widowControl w:val="0"/>
        <w:spacing w:after="0" w:line="590" w:lineRule="exact"/>
        <w:ind w:firstLine="600" w:firstLineChars="200"/>
        <w:jc w:val="both"/>
        <w:rPr>
          <w:rFonts w:hint="eastAsia" w:ascii="仿宋_GB2312" w:hAnsi="仿宋_GB2312" w:eastAsia="仿宋_GB2312" w:cs="仿宋_GB2312"/>
          <w:spacing w:val="-16"/>
          <w:sz w:val="30"/>
          <w:szCs w:val="30"/>
        </w:rPr>
      </w:pPr>
      <w:r>
        <w:rPr>
          <w:rFonts w:hint="eastAsia" w:ascii="仿宋_GB2312" w:hAnsi="仿宋_GB2312" w:eastAsia="仿宋_GB2312" w:cs="仿宋_GB2312"/>
          <w:sz w:val="30"/>
          <w:szCs w:val="30"/>
        </w:rPr>
        <w:t>⑫</w:t>
      </w:r>
      <w:r>
        <w:rPr>
          <w:rFonts w:hint="eastAsia" w:ascii="仿宋_GB2312" w:hAnsi="仿宋_GB2312" w:eastAsia="仿宋_GB2312" w:cs="仿宋_GB2312"/>
          <w:spacing w:val="-16"/>
          <w:sz w:val="30"/>
          <w:szCs w:val="30"/>
        </w:rPr>
        <w:t>档案数字化30万元,档案保护费17.48万元。共计47.48万元。</w:t>
      </w:r>
    </w:p>
    <w:p w14:paraId="72AB95A0">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⑬经济技术开发区机关运行经费100万元，季度观摩集中开工仪式宣传费用40万元，人才公寓经费80万元，编制开发区区域能评等经费130万元。共计350万元。</w:t>
      </w:r>
    </w:p>
    <w:p w14:paraId="6C500A2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⑭虞乡镇政府信访维稳专项经费10万元，城西街道沿山旅游绿道安全管护经费10万元。共计20万元。</w:t>
      </w:r>
    </w:p>
    <w:p w14:paraId="2895D0BA">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2）公共安全1013.93万元。</w:t>
      </w:r>
    </w:p>
    <w:p w14:paraId="0C8E1997">
      <w:pPr>
        <w:widowControl w:val="0"/>
        <w:spacing w:after="0" w:line="590" w:lineRule="exact"/>
        <w:ind w:firstLine="600" w:firstLineChars="200"/>
        <w:jc w:val="both"/>
        <w:rPr>
          <w:rFonts w:hint="eastAsia" w:ascii="仿宋_GB2312" w:hAnsi="仿宋_GB2312" w:eastAsia="仿宋_GB2312" w:cs="仿宋_GB2312"/>
          <w:b/>
          <w:sz w:val="30"/>
          <w:szCs w:val="30"/>
        </w:rPr>
      </w:pPr>
      <w:r>
        <w:rPr>
          <w:rFonts w:hint="eastAsia" w:ascii="仿宋_GB2312" w:hAnsi="仿宋_GB2312" w:eastAsia="仿宋_GB2312" w:cs="仿宋_GB2312"/>
          <w:bCs/>
          <w:sz w:val="30"/>
          <w:szCs w:val="30"/>
        </w:rPr>
        <w:t>①</w:t>
      </w:r>
      <w:r>
        <w:rPr>
          <w:rFonts w:hint="eastAsia" w:ascii="仿宋_GB2312" w:hAnsi="仿宋_GB2312" w:eastAsia="仿宋_GB2312" w:cs="仿宋_GB2312"/>
          <w:sz w:val="30"/>
          <w:szCs w:val="30"/>
        </w:rPr>
        <w:t>公安局2021年</w:t>
      </w:r>
      <w:r>
        <w:rPr>
          <w:rFonts w:hint="eastAsia" w:ascii="仿宋_GB2312" w:hAnsi="仿宋_GB2312" w:eastAsia="仿宋_GB2312" w:cs="仿宋_GB2312"/>
          <w:color w:val="000000"/>
          <w:sz w:val="30"/>
          <w:szCs w:val="30"/>
        </w:rPr>
        <w:t>禁毒社工服务</w:t>
      </w:r>
      <w:r>
        <w:rPr>
          <w:rFonts w:hint="eastAsia" w:ascii="仿宋_GB2312" w:hAnsi="仿宋_GB2312" w:eastAsia="仿宋_GB2312" w:cs="仿宋_GB2312"/>
          <w:sz w:val="30"/>
          <w:szCs w:val="30"/>
        </w:rPr>
        <w:t>经费98万元，更新执法执勤车辆费用39万元，男性家族排查系统建设费用50万元，电子数据勘察取证分析实验室项目改造工程费用72.54万元，619智能卡口建设费用135万元，开展捕犬养犬登记工作费用20万元。共计414.54万元。</w:t>
      </w:r>
    </w:p>
    <w:p w14:paraId="77204381">
      <w:pPr>
        <w:widowControl w:val="0"/>
        <w:spacing w:after="0" w:line="59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②看守所外围墙及训练场重建经费48万元，</w:t>
      </w:r>
      <w:r>
        <w:rPr>
          <w:rFonts w:hint="eastAsia" w:ascii="仿宋_GB2312" w:hAnsi="仿宋_GB2312" w:eastAsia="仿宋_GB2312" w:cs="仿宋_GB2312"/>
          <w:color w:val="000000"/>
          <w:sz w:val="30"/>
          <w:szCs w:val="30"/>
        </w:rPr>
        <w:t>改造拘室卫生间和“智慧监所”增添设备经费4.28万元。共计52.28万元。</w:t>
      </w:r>
    </w:p>
    <w:p w14:paraId="77896F5E">
      <w:pPr>
        <w:widowControl w:val="0"/>
        <w:spacing w:after="0" w:line="590" w:lineRule="exact"/>
        <w:ind w:firstLine="600" w:firstLineChars="200"/>
        <w:jc w:val="both"/>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检察院办案用房和专业技术用房项目资金400万元，审判法庭垃圾运转清理经费63.71万元。共计463.71万元。</w:t>
      </w:r>
    </w:p>
    <w:p w14:paraId="33EC2B6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4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④</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创建省级法治政府建设示范市经费10万元，法律援助案件办案经费10万元，“一村（社区)一法律顾问”经费43.4万元，法律援助服务费10万元，处置永鑫房地产非法集资工作经费10万元。共计83.4万元。</w:t>
      </w:r>
    </w:p>
    <w:p w14:paraId="05B35A2D">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3）教育科技4906.33万元。</w:t>
      </w:r>
    </w:p>
    <w:p w14:paraId="34C369AE">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教育附加项目1252.79万元，主要是城西中学中考体育设备购置48.8万元，电机初中运动场地工程款300万元，永济三中新建实验楼、图书楼建设项目及学生餐厅维修改造283.99万元，涑北中学改善办学条件620万元。</w:t>
      </w:r>
    </w:p>
    <w:p w14:paraId="4ED4D9C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智慧教育二期工程1554.54万元，全市统考工作经费70万元，教师节工作经费15万元，教室照明卫生达标工程350万元，学校全彩显示屏和监控设备15万元。共计2004.54万元。</w:t>
      </w:r>
    </w:p>
    <w:p w14:paraId="7420177B">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化解高中债务1009万元。其中永济中学770万元，涑北中学239万元。</w:t>
      </w:r>
    </w:p>
    <w:p w14:paraId="43E3A919">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4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④</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科学技术项目资金640万元。</w:t>
      </w:r>
    </w:p>
    <w:p w14:paraId="0FBF68A3">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4）文化旅游体育与传媒3561.07万元。</w:t>
      </w:r>
    </w:p>
    <w:p w14:paraId="2CF827B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文旅产业发展基金1000万元，消化以前年度文旅宣传投入暂付款820万元。共计1820万元。</w:t>
      </w:r>
    </w:p>
    <w:p w14:paraId="2EE68C69">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电视台运营维护费200万元。</w:t>
      </w:r>
    </w:p>
    <w:p w14:paraId="425B052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蒲州故城遗址保护项目建设经费70万元，博物馆展厅灯具和消防器材更换8.77万元、</w:t>
      </w:r>
      <w:r>
        <w:rPr>
          <w:rFonts w:hint="eastAsia" w:ascii="仿宋_GB2312" w:hAnsi="仿宋_GB2312" w:eastAsia="仿宋_GB2312" w:cs="仿宋_GB2312"/>
          <w:color w:val="000000"/>
          <w:sz w:val="30"/>
          <w:szCs w:val="30"/>
        </w:rPr>
        <w:t>库房屋面防水维修5.4万元，</w:t>
      </w:r>
      <w:r>
        <w:rPr>
          <w:rFonts w:hint="eastAsia" w:ascii="仿宋_GB2312" w:hAnsi="仿宋_GB2312" w:eastAsia="仿宋_GB2312" w:cs="仿宋_GB2312"/>
          <w:sz w:val="30"/>
          <w:szCs w:val="30"/>
        </w:rPr>
        <w:t>蒲津渡遗址博物馆运行经费180.7万元，文物保护专项经费100万元，文物保护利用示范区建设编制经费30万元。共计394.87万元。</w:t>
      </w:r>
    </w:p>
    <w:p w14:paraId="3C7CC77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4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④</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文化场馆服务中心运行及维护费674万元，会议中心室内改造379万元,视频会议线路3.2万元。共计1056.2万元。</w:t>
      </w:r>
    </w:p>
    <w:p w14:paraId="736921C8">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5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⑤</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全民健身经费90万元。</w:t>
      </w:r>
    </w:p>
    <w:p w14:paraId="44BC5DDD">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5）社会保障和就业1186万元。</w:t>
      </w:r>
    </w:p>
    <w:p w14:paraId="1A88F975">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事业单位公开招聘费用120万元，城乡劳动力建档立卡经费10万元，春秋两季就业招聘会经费10万元，公共就业和人才交流服务中心购置档案密集柜24万元，全民技能培训、企业薪酬调查和城镇居民人均可支配收入调查三项工作经费10万元，档案电子化管理经费5万元，配备劳动监察工作服装、</w:t>
      </w:r>
      <w:r>
        <w:rPr>
          <w:rFonts w:hint="eastAsia" w:ascii="仿宋_GB2312" w:hAnsi="仿宋_GB2312" w:eastAsia="仿宋_GB2312" w:cs="仿宋_GB2312"/>
          <w:color w:val="000000"/>
          <w:sz w:val="30"/>
          <w:szCs w:val="30"/>
        </w:rPr>
        <w:t>欠薪宣传培训及审计经费20万元，</w:t>
      </w:r>
      <w:r>
        <w:rPr>
          <w:rFonts w:hint="eastAsia" w:ascii="仿宋_GB2312" w:hAnsi="仿宋_GB2312" w:eastAsia="仿宋_GB2312" w:cs="仿宋_GB2312"/>
          <w:sz w:val="30"/>
          <w:szCs w:val="30"/>
        </w:rPr>
        <w:t>在外务工人员服务中</w:t>
      </w:r>
      <w:r>
        <w:rPr>
          <w:rFonts w:hint="eastAsia" w:ascii="仿宋_GB2312" w:hAnsi="仿宋_GB2312" w:eastAsia="仿宋_GB2312" w:cs="仿宋_GB2312"/>
          <w:color w:val="000000"/>
          <w:sz w:val="30"/>
          <w:szCs w:val="30"/>
        </w:rPr>
        <w:t>心</w:t>
      </w:r>
      <w:r>
        <w:rPr>
          <w:rFonts w:hint="eastAsia" w:ascii="仿宋_GB2312" w:hAnsi="仿宋_GB2312" w:eastAsia="仿宋_GB2312" w:cs="仿宋_GB2312"/>
          <w:sz w:val="30"/>
          <w:szCs w:val="30"/>
        </w:rPr>
        <w:t>及市餐饮转型发展领导组办公室工作经费76万元。共计275万元。</w:t>
      </w:r>
    </w:p>
    <w:p w14:paraId="323227BA">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残疾人培训、教育、康复支出41.69万元，残疾人就业、服务、建设、运行费256.65万元，贫困残疾人救助等支出89.65万元。共计387.99万元。</w:t>
      </w:r>
    </w:p>
    <w:p w14:paraId="3B00709F">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退役军人服务中心工作经费5万元，镇街退役军人服务站经费20万元，退役军人帮扶援助经费30万元，双拥褒扬工作经费15万元，</w:t>
      </w:r>
      <w:r>
        <w:rPr>
          <w:rFonts w:hint="eastAsia" w:ascii="仿宋_GB2312" w:hAnsi="仿宋_GB2312" w:eastAsia="仿宋_GB2312" w:cs="仿宋_GB2312"/>
          <w:color w:val="000000"/>
          <w:sz w:val="30"/>
          <w:szCs w:val="30"/>
        </w:rPr>
        <w:t>失业下岗退役士兵购买服务岗位107</w:t>
      </w:r>
      <w:r>
        <w:rPr>
          <w:rFonts w:hint="eastAsia" w:ascii="仿宋_GB2312" w:hAnsi="仿宋_GB2312" w:eastAsia="仿宋_GB2312" w:cs="仿宋_GB2312"/>
          <w:sz w:val="30"/>
          <w:szCs w:val="30"/>
        </w:rPr>
        <w:t>万元。共计177万元。</w:t>
      </w:r>
    </w:p>
    <w:p w14:paraId="7B645EC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4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④</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地名图册和地名志编纂87.7万元，国家地名信息库更新完善工作经费10万元，第十二届村委会换届选举和第七届社区居委会换届选举经费20万元。共计117.7万元。     </w:t>
      </w:r>
    </w:p>
    <w:p w14:paraId="2D8C47C9">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5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⑤</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电机社区办公服务场所改造提升工程98.31万元，中山及樱花社区服务场所建设130万元。共计228.31万元。</w:t>
      </w:r>
    </w:p>
    <w:p w14:paraId="0E795839">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6）卫生健康5342.27万元。</w:t>
      </w:r>
    </w:p>
    <w:p w14:paraId="4DCCE8BD">
      <w:pPr>
        <w:widowControl w:val="0"/>
        <w:spacing w:after="0" w:line="590" w:lineRule="exact"/>
        <w:ind w:firstLine="600" w:firstLineChars="200"/>
        <w:jc w:val="both"/>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①</w:t>
      </w:r>
      <w:r>
        <w:rPr>
          <w:rFonts w:hint="eastAsia" w:ascii="仿宋_GB2312" w:hAnsi="仿宋_GB2312" w:eastAsia="仿宋_GB2312" w:cs="仿宋_GB2312"/>
          <w:color w:val="000000"/>
          <w:sz w:val="30"/>
          <w:szCs w:val="30"/>
        </w:rPr>
        <w:t>核酸实验室建设能力提升及疫情防控经费8</w:t>
      </w:r>
      <w:r>
        <w:rPr>
          <w:rFonts w:hint="eastAsia" w:ascii="仿宋_GB2312" w:hAnsi="仿宋_GB2312" w:eastAsia="仿宋_GB2312" w:cs="仿宋_GB2312"/>
          <w:sz w:val="30"/>
          <w:szCs w:val="30"/>
        </w:rPr>
        <w:t>79.61万元，新冠疫情隔离点费用250.05万元，疫情防控应急经费100万元，新冠疫苗经费146.56万元，发热诊室建设资金35万元。共计1411.22万元。</w:t>
      </w:r>
    </w:p>
    <w:p w14:paraId="4D3BB5D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②卫生防疫津贴31.05万元，疫苗储运25万元，水龙头水质监测15万元。共计71.05万元。</w:t>
      </w:r>
    </w:p>
    <w:p w14:paraId="0B458C07">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③2020-2021年公立医院公开招聘经费70万元，医疗集团办公经费50万元。共计120万元。</w:t>
      </w:r>
    </w:p>
    <w:p w14:paraId="5658BC18">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④中医院购买医疗设备资金400万元，中医院、城西社区职工养老保险补助60万元，人民医院职工养老保险补助215万元，90周岁以上高龄老人生活补贴65万元。共计740万元。</w:t>
      </w:r>
    </w:p>
    <w:p w14:paraId="4561456A">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⑤人民医院整体搬迁3000万元。</w:t>
      </w:r>
    </w:p>
    <w:p w14:paraId="400E673C">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7）节能环保647.23万元。</w:t>
      </w:r>
    </w:p>
    <w:p w14:paraId="5F7314A3">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①“十四五”区域节能报告编制费用95万元，固定资产投资项目节能审查经费10万元，煤改电专项工作经费10万元，新能源汽车充电桩建设项目前期费用10万元。共计125万元。</w:t>
      </w:r>
    </w:p>
    <w:p w14:paraId="1EAD57E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②伍姓湖入湖口人工湿地项目一期运行费90万元，环境保护规划费53.73万元，环境执法及环境监测业务经费50万元，生活垃圾焚烧处理费328.5万元。共计522.23万元。</w:t>
      </w:r>
    </w:p>
    <w:p w14:paraId="72D379A3">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8）城乡社区及住房保障6400.42万元。</w:t>
      </w:r>
    </w:p>
    <w:p w14:paraId="47ECF287">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城市维护费4660万元，主要是环卫、绿化、公园中心及市政设施服务中心人员经费及维护费等。</w:t>
      </w:r>
    </w:p>
    <w:p w14:paraId="5CB12B0C">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人防指挥通信建设98.77万元，蒲惠小区人防建设320万元。共计418.77万元。</w:t>
      </w:r>
    </w:p>
    <w:p w14:paraId="53723C47">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千秋时代广场停车场改造20万元，人民医院停车场建设64.72万元，净土寺停车场修建25.13万元，城市重点工程建设690.53万元，舜都大道提升改造14万元，农村危房抗震鉴定费39.6万元，城乡房屋安全隐患排查整治经费23万元，</w:t>
      </w:r>
      <w:r>
        <w:rPr>
          <w:rFonts w:hint="eastAsia" w:ascii="仿宋_GB2312" w:hAnsi="仿宋_GB2312" w:eastAsia="仿宋_GB2312" w:cs="仿宋_GB2312"/>
          <w:color w:val="000000"/>
          <w:sz w:val="30"/>
          <w:szCs w:val="30"/>
        </w:rPr>
        <w:t>农林文旅康循环圈提升改造工</w:t>
      </w:r>
      <w:r>
        <w:rPr>
          <w:rFonts w:hint="eastAsia" w:ascii="仿宋_GB2312" w:hAnsi="仿宋_GB2312" w:eastAsia="仿宋_GB2312" w:cs="仿宋_GB2312"/>
          <w:sz w:val="30"/>
          <w:szCs w:val="30"/>
        </w:rPr>
        <w:t>程14.54万元，机电园区及铝工业园区环境卫生、绿化管护经费240万元，城西街道供水主管道改线工程190.13万元。共计1321.65万元。</w:t>
      </w:r>
    </w:p>
    <w:p w14:paraId="6F94A08E">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9）农林水5134.54万元，主要用于三农及乡村振兴建设。</w:t>
      </w:r>
    </w:p>
    <w:p w14:paraId="6AD2F433">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2020年高标准农田建设项目及农业经济发展县级配套资金305万元，“十四五”期间高标准农田建设规划编制工作经费18.5万元，蒲州水产养殖循环圈及鲜果基地道路工程资金329.34万元，东姚温至介峪口水泥路遗留问题22.36万元。共计675.2万元。</w:t>
      </w:r>
    </w:p>
    <w:p w14:paraId="11D7FA21">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农村户厕改造配套资金227.82万元，果业产业提升发展建设75万元，蔬菜体系建设20万元，废旧农膜、地膜（反光膜）回收资金50万元，农村居民人均可支配收入调查经费5万元，大西高铁永济沿线机井填埋处置资产补偿8.59万元，国家级渔业健康养殖示范县巩固提升资金100万元，省级现代农业产业园100万元，国家级农产品质量安全县创建经费50万元。共计636.41万元。</w:t>
      </w:r>
    </w:p>
    <w:p w14:paraId="326D0A8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通道绿化占地补助款、管护费183.08万元，旅游绿道周边节点绿化工程剩余工程款62.6万元，第十届中国花卉博览会山西园鹳雀楼景观工程、装饰亮化等资金325.84万元，伍姓湖湿地自然保护区及伍姓湖绿化管理费用160万元，伍姓湖艺术景观物品采购资金226.43万元，地方公益林补偿资金28万元，交通沿线荒山绿化工程占用补偿5.33万元，森林消防队经费250万元，创建国家森林城市工作经费25万元，干果经济林技术指导服务、培训资金5万元，市委、政府和武装部机关绿化资金10万元。共计1281.28万元。</w:t>
      </w:r>
    </w:p>
    <w:p w14:paraId="5786196B">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4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④</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重大动物疫病防控费30万元，重大动物疾病疫苗款及相关经费13</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sz w:val="30"/>
          <w:szCs w:val="30"/>
        </w:rPr>
        <w:t>。共计43万元。</w:t>
      </w:r>
    </w:p>
    <w:p w14:paraId="1D18AAFC">
      <w:pPr>
        <w:widowControl w:val="0"/>
        <w:spacing w:after="0" w:line="590" w:lineRule="exact"/>
        <w:ind w:firstLine="600" w:firstLineChars="200"/>
        <w:jc w:val="both"/>
        <w:rPr>
          <w:rFonts w:hint="eastAsia" w:ascii="仿宋_GB2312" w:hAnsi="仿宋_GB2312" w:eastAsia="仿宋_GB2312" w:cs="仿宋_GB2312"/>
          <w:i/>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5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⑤</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防汛抗旱经费20万元，农村饮水安全工程维修养护工程配套资金81.6万元，涑水河入黄口人工湿地运行管理费30万元，伍姓湖岸线保护与利用规划费用17.38万元，水资源规划（水资源超载治理方案）费用40万元。共计188.98万元。</w:t>
      </w:r>
    </w:p>
    <w:p w14:paraId="4119E249">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6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⑥</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宅基地改革工作经费5万元，农业生产托管服务试点工作经费5万元，农村土地承包经营权流转交易和集体工程建设招投标服务窗口运行费5万元。共计15万元。</w:t>
      </w:r>
    </w:p>
    <w:p w14:paraId="5BF2989E">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⑦建设农机综合示范县智慧平台监测中心及修缮办公楼顶12.5万元。</w:t>
      </w:r>
    </w:p>
    <w:p w14:paraId="16548FD6">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⑧“全科网格”管理经费617.99万元，主要是对农村及社区网格员、网格辅助员、网格长、计划生育管理员、民政协管员、扶贫信息员、村级监察联络员、养老保险协办员等人员进行整合后的“全科网络”管理人员工资保险及镇村综治中心网络运行费。</w:t>
      </w:r>
    </w:p>
    <w:p w14:paraId="47182073">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⑨农村人居环境整治资金及高铁引道沿线林带环境保洁资金405.6万元，乡村环境治理县级配套资金515.75万元，城乡一体化工作经费10万元。共计931.35万元。</w:t>
      </w:r>
    </w:p>
    <w:p w14:paraId="25FB154C">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⑩脱贫攻坚督导费用10万元，整理脱贫攻坚档案经费50万元，脱贫攻坚工作经费12.1万元,“1+N”综合保险76.54万元，扶贫配套200万元。共计348.64万元。</w:t>
      </w:r>
    </w:p>
    <w:p w14:paraId="60B3A808">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⑪五老峰森林公园管理费及林场基础设施经费10万元，张家窑古橡树公园建设增加15万元。共计25万元。</w:t>
      </w:r>
    </w:p>
    <w:p w14:paraId="1ED25B1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⑫小麦火灾保险3万元，森林保险保费补贴3.2万元，养殖业保险308.1万元。共计314.3万元。</w:t>
      </w:r>
    </w:p>
    <w:p w14:paraId="78B8F6C4">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⑭城东农业便民服务中心建设及装修资金44.89万元。</w:t>
      </w:r>
    </w:p>
    <w:p w14:paraId="3569D4DF">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10）交通运输1229.48万元。</w:t>
      </w:r>
    </w:p>
    <w:p w14:paraId="52EF02B3">
      <w:pPr>
        <w:widowControl w:val="0"/>
        <w:spacing w:after="0" w:line="590" w:lineRule="exact"/>
        <w:ind w:firstLine="602" w:firstLineChars="200"/>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①</w:t>
      </w:r>
      <w:r>
        <w:rPr>
          <w:rFonts w:hint="eastAsia" w:ascii="仿宋_GB2312" w:hAnsi="仿宋_GB2312" w:eastAsia="仿宋_GB2312" w:cs="仿宋_GB2312"/>
          <w:sz w:val="30"/>
          <w:szCs w:val="30"/>
        </w:rPr>
        <w:t>科技治超管理平台经费30万元，源头治超经费80万元。共计110万元。</w:t>
      </w:r>
    </w:p>
    <w:p w14:paraId="04C41D3C">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公路养护320万元，城市公交“四种”人群乘车减免公益性补贴50万元、政策性补贴280万元，大西高铁绿化亮化前期费用70.48万元，交通基础设施国土空间规划费99万元，新能源公交购置补贴300万元。共计1119.48万元。</w:t>
      </w:r>
    </w:p>
    <w:p w14:paraId="4E096B3F">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11）资源勘探信息及商业服务3324.9万元。</w:t>
      </w:r>
    </w:p>
    <w:p w14:paraId="55FF09FD">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综合改革及信访维稳经费30万元，2020年及2021年春节供应补贴70万元，国有企业改革专项经费10万元，原粮食局退役军人遗留问题维稳经费8万元，包联企业工作经费及复退军人养老保险等经费8.9万元。共计126.9万元。</w:t>
      </w:r>
    </w:p>
    <w:p w14:paraId="648275E7">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②招商引资经费500万元，传统企业改造经费200万元，产业扶持发展资金2000万元，山西漳电蒲州热电有限公司供热补贴300万元</w:t>
      </w:r>
      <w:r>
        <w:rPr>
          <w:rFonts w:hint="eastAsia" w:ascii="仿宋_GB2312" w:hAnsi="仿宋_GB2312" w:eastAsia="仿宋_GB2312" w:cs="仿宋_GB2312"/>
          <w:color w:val="000000"/>
          <w:sz w:val="30"/>
          <w:szCs w:val="30"/>
        </w:rPr>
        <w:t>，铝电社区供热费118万元</w:t>
      </w:r>
      <w:r>
        <w:rPr>
          <w:rFonts w:hint="eastAsia" w:ascii="仿宋_GB2312" w:hAnsi="仿宋_GB2312" w:eastAsia="仿宋_GB2312" w:cs="仿宋_GB2312"/>
          <w:sz w:val="30"/>
          <w:szCs w:val="30"/>
        </w:rPr>
        <w:t>。共计3118万元。</w:t>
      </w:r>
    </w:p>
    <w:p w14:paraId="7AB73325">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③金融机构支持实体经济奖励专项资金40万元，企业上市挂牌奖励资金40万元。共计80万元。</w:t>
      </w:r>
    </w:p>
    <w:p w14:paraId="30440ABD">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12）自然资源海洋气象391.04万元。</w:t>
      </w:r>
    </w:p>
    <w:p w14:paraId="5BF1C7E7">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①自然资源局购置综合执法车辆经费16.58万元，2020年村庄规划编制经费158.4万元。共计174.98万元。</w:t>
      </w:r>
    </w:p>
    <w:p w14:paraId="1FD9BA35">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②气象局取暖费6.72万元，气象业务费47万元, 农村气象灾害防御体系运行经费17.85万元，人工影响天气炮点经费41.51万元，气象灾害综合风险普查22.98万元，区域性气候可行性论证经费80万元。共计216.06万元。</w:t>
      </w:r>
    </w:p>
    <w:p w14:paraId="13B31D5C">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13）灾害防治及应急管理485.1万元。</w:t>
      </w:r>
    </w:p>
    <w:p w14:paraId="0DAF9FE7">
      <w:pPr>
        <w:widowControl w:val="0"/>
        <w:adjustRightInd/>
        <w:snapToGrid/>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①消防队购置云梯消防车330万元。</w:t>
      </w:r>
    </w:p>
    <w:p w14:paraId="31F1DC7F">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应急管理局购置民兵应急队伍任务型装备74.78万元，全市安全生产专项培训经费10万元，突发事件应急预案修编修订评审费10.75万元，单位办公楼维修提升改造经费19.57万元，应急工作经费30万元，民兵参加抢险救灾误工补助专项经费10万元。共计155.1万元。</w:t>
      </w:r>
    </w:p>
    <w:p w14:paraId="63EFFD3E">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14）其他支出1590万元。</w:t>
      </w:r>
    </w:p>
    <w:p w14:paraId="4576F04B">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运城机场二期建设运营部补贴县级承担部分1590万元。</w:t>
      </w:r>
    </w:p>
    <w:p w14:paraId="44B04D03">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15）债务类2162.6万元。</w:t>
      </w:r>
    </w:p>
    <w:p w14:paraId="5AE16FA0">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债券发行服务费、兑付费40万元，专项债券财务评价及法律服务费30万元，一般债券付息2092.6万元。共计2162.6万元。</w:t>
      </w:r>
    </w:p>
    <w:p w14:paraId="042B7847">
      <w:pPr>
        <w:widowControl w:val="0"/>
        <w:numPr>
          <w:ilvl w:val="0"/>
          <w:numId w:val="4"/>
        </w:numPr>
        <w:spacing w:after="0" w:line="590" w:lineRule="exact"/>
        <w:ind w:firstLine="600" w:firstLineChars="200"/>
        <w:jc w:val="both"/>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预备费300万元。</w:t>
      </w:r>
    </w:p>
    <w:p w14:paraId="1B6D4CFF">
      <w:pPr>
        <w:pStyle w:val="4"/>
        <w:widowControl w:val="0"/>
        <w:spacing w:after="0" w:line="590" w:lineRule="exact"/>
        <w:ind w:firstLine="600" w:firstLineChars="200"/>
        <w:jc w:val="both"/>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根据上述安排，2021年一般公共预算支出226478万元。主要项目安排情况：一般公共服务支出30161万元，公共安全支出8645万元，教育支出63100万元，科学技术支出963万元，文化旅游体育与传媒支出7913万元，社会保障和就业支出35063万元，卫生健康支出21162万元，节能环保支出3263万元，城乡社区支出10012万元，农林水支出30556万元，交通运输支出5286万元，灾害防治及应急管理支出1256万元,预备费300万元，其他支出1609万元。</w:t>
      </w:r>
    </w:p>
    <w:p w14:paraId="03D1B534">
      <w:pPr>
        <w:pStyle w:val="4"/>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经汇总，2021年“三公经费”预算1260万元，比上年预算减少210万元，其中，因公出国经费20万元、公务接待费430万元、公务用车购置260万元、公务用车运行维护费550万元。</w:t>
      </w:r>
    </w:p>
    <w:p w14:paraId="49A2AAA3">
      <w:pPr>
        <w:widowControl w:val="0"/>
        <w:spacing w:after="0" w:line="590" w:lineRule="exact"/>
        <w:ind w:firstLine="600" w:firstLineChars="200"/>
        <w:jc w:val="both"/>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（二）政府性基金收支预算</w:t>
      </w:r>
    </w:p>
    <w:p w14:paraId="4E50A30E">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1、政府性基金收入预算53788万元</w:t>
      </w:r>
    </w:p>
    <w:p w14:paraId="7B4044F9">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（1）当年政府性基金收入预算34760万元。其中：国有土地使用权出让收入30000万元，国有土地收益基金收入2000万元，农业土地开发资金收入160万元，城市基础设施配套费收入2000万元，污水处理费收入600万元。</w:t>
      </w:r>
    </w:p>
    <w:p w14:paraId="52A54D3B">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（2）上年结余12742万元。其中：国有土地使用权出让10410万元，国有土地收益基金1258万元，农业土地开发167万元，城市基础设施847万元，污水处理运行费60万元。</w:t>
      </w:r>
    </w:p>
    <w:p w14:paraId="1CF27039">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（3）上级提前下达转移支付6286万元。</w:t>
      </w:r>
    </w:p>
    <w:p w14:paraId="430EDE97">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2、政府性基金支出预算45788万元</w:t>
      </w:r>
    </w:p>
    <w:p w14:paraId="54074C7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当年支出拟安排39502万元，主要是：国有土地使用权出让支出32410万元（含消化暂付款180万元），其中：征地拆迁和补偿补助被征地农民支出19722万元，专项债务利息1797万元，农村基础设施建设、城市建设及土地出让业务9333万元，棚户区改造1558万元；国有土地收益基金安排的支出3258万元；农业土地项目安排的支出327万元；城市基础设施配套费安排的城市公共设施维护维修、城市环境卫生、城市防护等方面的支出2847万元；污水处理设施建设和运营方面的支出660万元。</w:t>
      </w:r>
    </w:p>
    <w:p w14:paraId="284A66CB">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（2）上级补助支出6286万元，主要是：社会保障和就业支出2869万元；农林水支出3084万元；其他支出333万元。</w:t>
      </w:r>
    </w:p>
    <w:p w14:paraId="68068A6F">
      <w:pPr>
        <w:widowControl w:val="0"/>
        <w:spacing w:after="0" w:line="59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3、收支平衡情况</w:t>
      </w:r>
    </w:p>
    <w:p w14:paraId="4A6E541E">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上年结余12742万元，政府性基金收入34760万元，上级补助6286万元，地方政府债务还本支出8000万元，支出按相应的科目安排45788万元。</w:t>
      </w:r>
    </w:p>
    <w:p w14:paraId="6D25A553">
      <w:pPr>
        <w:widowControl w:val="0"/>
        <w:spacing w:after="0" w:line="590" w:lineRule="exact"/>
        <w:ind w:firstLine="600" w:firstLineChars="200"/>
        <w:jc w:val="both"/>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（三）社保基金预算</w:t>
      </w:r>
    </w:p>
    <w:p w14:paraId="445B79CB">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社保基金上年结余36295万元，当年收入预算44058万元，当年支出拟安排 39835万元，结余40518万元。其中:机关事业单位基本养老保险基金上年结余2932万元，当年收入预算29871万元，当年支出预算29843万元，结余2960万元；城乡居民基本养老保险基金上年结余33363万元，当年收入预算14187万元，当年支出预算9992万元，结余37558万元。</w:t>
      </w:r>
    </w:p>
    <w:p w14:paraId="77E90B46">
      <w:pPr>
        <w:widowControl w:val="0"/>
        <w:spacing w:after="0" w:line="590" w:lineRule="exact"/>
        <w:ind w:firstLine="600" w:firstLineChars="200"/>
        <w:jc w:val="both"/>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（四）国有资本经营预算</w:t>
      </w:r>
    </w:p>
    <w:p w14:paraId="0B2B1A5E">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2020年末，我市由政府相关职能部门代表市政府投资形成具有国有资本且正常运营的企业共16户，</w:t>
      </w:r>
      <w:r>
        <w:rPr>
          <w:rFonts w:hint="eastAsia" w:ascii="仿宋_GB2312" w:hAnsi="仿宋_GB2312" w:eastAsia="仿宋_GB2312" w:cs="仿宋_GB2312"/>
          <w:sz w:val="30"/>
          <w:szCs w:val="30"/>
        </w:rPr>
        <w:t>其中盈利企业4户，2户盈利企业净利润需弥补以前年度亏损，2户企业可上交国有资本收益。2021年国有资本经营预算收入按2.7万元编制，国有资本经营预算支出按2.7万编制。</w:t>
      </w:r>
    </w:p>
    <w:p w14:paraId="158D47DF">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要说明的是，根据《预算法》第五十四条，预算草案在本级人民代表大会批准前，财政部门安排了以下支出：上年度结转、上级专项补助及本级安排的项目支出34774万元，行政事业单位工资及基本运转经费19148万元。</w:t>
      </w:r>
    </w:p>
    <w:p w14:paraId="7827C3B6">
      <w:pPr>
        <w:widowControl w:val="0"/>
        <w:spacing w:after="0" w:line="590" w:lineRule="exact"/>
        <w:ind w:firstLine="600" w:firstLineChars="200"/>
        <w:jc w:val="both"/>
        <w:rPr>
          <w:rFonts w:hint="eastAsia" w:ascii="黑体" w:hAnsi="黑体" w:eastAsia="黑体"/>
          <w:sz w:val="30"/>
          <w:szCs w:val="30"/>
        </w:rPr>
      </w:pPr>
      <w:r>
        <w:rPr>
          <w:rFonts w:hint="eastAsia" w:ascii="黑体" w:hAnsi="黑体" w:eastAsia="黑体"/>
          <w:sz w:val="30"/>
          <w:szCs w:val="30"/>
        </w:rPr>
        <w:t>三、坚定信心，扎实工作，努力完成2021年财政预算任务</w:t>
      </w:r>
    </w:p>
    <w:p w14:paraId="1D30A8C2">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做好2021年财政工作，要坚持稳中求进工作总基调，立足新发展阶段，贯彻新发展理念，支持高质量转型发展，保障和改善民生，深化财政体制改革，提升理财水平。我们要切实采取有效措施，确保全年任务的完成。</w:t>
      </w:r>
    </w:p>
    <w:p w14:paraId="7038D133">
      <w:pPr>
        <w:pStyle w:val="17"/>
        <w:widowControl w:val="0"/>
        <w:spacing w:after="0" w:line="590" w:lineRule="exact"/>
        <w:ind w:firstLine="0" w:firstLineChars="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楷体_GB2312" w:hAnsi="楷体_GB2312" w:eastAsia="楷体_GB2312" w:cs="楷体_GB2312"/>
          <w:sz w:val="30"/>
          <w:szCs w:val="30"/>
        </w:rPr>
        <w:t xml:space="preserve"> 1、强化收入征管工作，确保全年收入计划的完成。</w:t>
      </w:r>
      <w:r>
        <w:rPr>
          <w:rFonts w:hint="eastAsia" w:ascii="仿宋_GB2312" w:hAnsi="仿宋_GB2312" w:eastAsia="仿宋_GB2312" w:cs="仿宋_GB2312"/>
          <w:spacing w:val="-2"/>
          <w:sz w:val="30"/>
          <w:szCs w:val="30"/>
        </w:rPr>
        <w:t>坚持积极的财政政策提质增效，落实</w:t>
      </w:r>
      <w:r>
        <w:rPr>
          <w:rFonts w:hint="eastAsia" w:ascii="仿宋_GB2312" w:hAnsi="仿宋_GB2312" w:eastAsia="仿宋_GB2312" w:cs="仿宋_GB2312"/>
          <w:spacing w:val="-2"/>
          <w:sz w:val="30"/>
          <w:szCs w:val="30"/>
          <w:lang w:eastAsia="zh-CN"/>
        </w:rPr>
        <w:t>减税降费</w:t>
      </w:r>
      <w:bookmarkStart w:id="0" w:name="_GoBack"/>
      <w:bookmarkEnd w:id="0"/>
      <w:r>
        <w:rPr>
          <w:rFonts w:hint="eastAsia" w:ascii="仿宋_GB2312" w:hAnsi="仿宋_GB2312" w:eastAsia="仿宋_GB2312" w:cs="仿宋_GB2312"/>
          <w:spacing w:val="-2"/>
          <w:sz w:val="30"/>
          <w:szCs w:val="30"/>
        </w:rPr>
        <w:t>政策，注重提高招商引资质量，积极培植新的财源。发挥财政资金扶持引导作用，统筹推进重点领域、重点产业、重点项目建设，不断优化收入结构。依法依规组织收入，加强对重点行业重点税源的监控，提高收入质量。</w:t>
      </w:r>
      <w:r>
        <w:rPr>
          <w:rFonts w:hint="eastAsia" w:ascii="仿宋_GB2312" w:hAnsi="仿宋_GB2312" w:eastAsia="仿宋_GB2312" w:cs="仿宋_GB2312"/>
          <w:sz w:val="30"/>
          <w:szCs w:val="30"/>
        </w:rPr>
        <w:t>加强财税部门协作，确保税源不流失，规范非税收入征缴，确保全年收入计划的完成。</w:t>
      </w:r>
    </w:p>
    <w:p w14:paraId="4214E1FA">
      <w:pPr>
        <w:pStyle w:val="17"/>
        <w:widowControl w:val="0"/>
        <w:spacing w:after="0" w:line="590" w:lineRule="exact"/>
        <w:ind w:firstLine="0" w:firstLineChars="0"/>
        <w:jc w:val="both"/>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 xml:space="preserve">    2、积极争取上级资金，全力支持经济发展。</w:t>
      </w:r>
      <w:r>
        <w:rPr>
          <w:rFonts w:hint="eastAsia" w:ascii="仿宋_GB2312" w:hAnsi="仿宋_GB2312" w:eastAsia="仿宋_GB2312" w:cs="仿宋_GB2312"/>
          <w:sz w:val="30"/>
          <w:szCs w:val="30"/>
        </w:rPr>
        <w:t>财政部门及职能部门要发挥自身优势，准确把握国家有关政策和投资重点，帮助项目实施单位向上争取资金，尽最大努力积极争取上级转移支付和专项资金，缓解县级财政压力的同时，全力支持我市经济发展。</w:t>
      </w:r>
    </w:p>
    <w:p w14:paraId="6B591710">
      <w:pPr>
        <w:pStyle w:val="17"/>
        <w:widowControl w:val="0"/>
        <w:spacing w:after="0" w:line="590" w:lineRule="exact"/>
        <w:ind w:firstLine="0" w:firstLineChars="0"/>
        <w:jc w:val="both"/>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 xml:space="preserve">    3、加强预算管理，做好预决算公开。</w:t>
      </w:r>
      <w:r>
        <w:rPr>
          <w:rFonts w:hint="eastAsia" w:ascii="仿宋_GB2312" w:hAnsi="仿宋_GB2312" w:eastAsia="仿宋_GB2312" w:cs="仿宋_GB2312"/>
          <w:sz w:val="30"/>
          <w:szCs w:val="30"/>
        </w:rPr>
        <w:t>认真落实《预算法实施条例》，强化预决算公开，自觉接受人大及公众监督。依托预算管理一体化系统，加快预算支出标准体系建设，提升预算管理信息化水平。加强直达资金管理，确保惠企利民。</w:t>
      </w:r>
    </w:p>
    <w:p w14:paraId="187BB3EB">
      <w:pPr>
        <w:pStyle w:val="17"/>
        <w:widowControl w:val="0"/>
        <w:spacing w:after="0" w:line="590" w:lineRule="exact"/>
        <w:ind w:firstLine="0" w:firstLineChars="0"/>
        <w:jc w:val="both"/>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 xml:space="preserve">    4、优化支出结构，全力保障改善民生。</w:t>
      </w:r>
      <w:r>
        <w:rPr>
          <w:rFonts w:hint="eastAsia" w:ascii="仿宋_GB2312" w:hAnsi="仿宋_GB2312" w:eastAsia="仿宋_GB2312" w:cs="仿宋_GB2312"/>
          <w:sz w:val="30"/>
          <w:szCs w:val="30"/>
        </w:rPr>
        <w:t>按照支出预算编制原则，落实政府过“紧日子”的要求，严控一般性支出。牢固树立底线思维，做好“三保”工作，优先安排政府债券还本付息支出及消化暂付款。切实保障和改善民生，落实好教育、医疗卫生、社会保障等方面的政策配套，做好常态化疫情防控资金保障，加大对乡村振兴、农业农村方面的支持。</w:t>
      </w:r>
    </w:p>
    <w:p w14:paraId="7D18D557">
      <w:pPr>
        <w:pStyle w:val="17"/>
        <w:widowControl w:val="0"/>
        <w:spacing w:after="0" w:line="590" w:lineRule="exact"/>
        <w:ind w:firstLine="0" w:firstLineChars="0"/>
        <w:jc w:val="both"/>
        <w:rPr>
          <w:rFonts w:hint="eastAsia" w:ascii="仿宋_GB2312" w:hAnsi="仿宋_GB2312" w:eastAsia="仿宋_GB2312" w:cs="仿宋_GB2312"/>
          <w:spacing w:val="-17"/>
          <w:sz w:val="30"/>
          <w:szCs w:val="30"/>
        </w:rPr>
      </w:pPr>
      <w:r>
        <w:rPr>
          <w:rFonts w:hint="eastAsia" w:ascii="楷体_GB2312" w:hAnsi="楷体_GB2312" w:eastAsia="楷体_GB2312" w:cs="楷体_GB2312"/>
          <w:sz w:val="30"/>
          <w:szCs w:val="30"/>
        </w:rPr>
        <w:t xml:space="preserve">    5、严格控制风险，加强政府债务管理。</w:t>
      </w:r>
      <w:r>
        <w:rPr>
          <w:rFonts w:hint="eastAsia" w:ascii="仿宋_GB2312" w:hAnsi="仿宋_GB2312" w:eastAsia="仿宋_GB2312" w:cs="仿宋_GB2312"/>
          <w:sz w:val="30"/>
          <w:szCs w:val="30"/>
        </w:rPr>
        <w:t>防范化解政府债务风险，在政府债务限额内，合理确定举债规模，加强对政府债务率监控，发挥政府债券资金的使用效益。健全隐性债务常态化监测机制，加强隐性债务风险管理，做好化解存量与严控增量工作。</w:t>
      </w:r>
    </w:p>
    <w:p w14:paraId="0486992D">
      <w:pPr>
        <w:widowControl w:val="0"/>
        <w:spacing w:after="0" w:line="59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位代表，做好2021年的财政工作，财税部门倍感任务艰巨，责任重大。我们决心在市委的正确领导下，在市人大、政协的监督支持下，锐意进取，勇于挑战，积极做好各项财政工作，为我市经济发展提供有力支撑！</w:t>
      </w:r>
    </w:p>
    <w:p w14:paraId="649F3A20">
      <w:pPr>
        <w:pStyle w:val="3"/>
        <w:widowControl w:val="0"/>
        <w:spacing w:before="0" w:after="0" w:line="590" w:lineRule="exact"/>
        <w:ind w:firstLine="640" w:firstLineChars="200"/>
        <w:rPr>
          <w:sz w:val="32"/>
          <w:szCs w:val="32"/>
        </w:rPr>
      </w:pPr>
    </w:p>
    <w:p w14:paraId="5AB8A809">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4D807AA6">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6934973E">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0581C597">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0CA145FD">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74F07350">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0455112F">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1EA7745B">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2E292AF4">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2F6A5577">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70FCBD80">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3E265EDB">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3F2BC023">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643E8443">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1CDE0317">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11FECDDE">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6F6A13BB">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5325D9FF">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08E0E1A0">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13E81E3C">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3DF20CAA">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19B7FA8C">
      <w:pPr>
        <w:widowControl w:val="0"/>
        <w:adjustRightInd/>
        <w:snapToGrid/>
        <w:spacing w:after="0" w:line="560" w:lineRule="exact"/>
        <w:jc w:val="both"/>
        <w:rPr>
          <w:rFonts w:hint="eastAsia" w:ascii="方正小标宋简体" w:hAnsi="方正小标宋简体" w:eastAsia="方正小标宋简体" w:cs="方正小标宋简体"/>
          <w:sz w:val="32"/>
          <w:szCs w:val="32"/>
        </w:rPr>
      </w:pPr>
    </w:p>
    <w:p w14:paraId="0CA6889D">
      <w:pPr>
        <w:widowControl w:val="0"/>
        <w:adjustRightInd/>
        <w:snapToGrid/>
        <w:spacing w:after="0" w:line="560" w:lineRule="exact"/>
        <w:jc w:val="both"/>
        <w:rPr>
          <w:rFonts w:hint="eastAsia" w:ascii="方正小标宋简体" w:hAnsi="方正小标宋简体" w:eastAsia="方正小标宋简体" w:cs="方正小标宋简体"/>
          <w:sz w:val="32"/>
          <w:szCs w:val="32"/>
        </w:rPr>
      </w:pPr>
    </w:p>
    <w:p w14:paraId="7CD2AA24">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66503E51">
      <w:pPr>
        <w:widowControl w:val="0"/>
        <w:adjustRightInd/>
        <w:snapToGrid/>
        <w:spacing w:after="0" w:line="440" w:lineRule="exact"/>
        <w:jc w:val="both"/>
        <w:rPr>
          <w:rFonts w:hint="eastAsia" w:ascii="方正小标宋简体" w:hAnsi="方正小标宋简体" w:eastAsia="方正小标宋简体" w:cs="方正小标宋简体"/>
          <w:sz w:val="32"/>
          <w:szCs w:val="32"/>
        </w:rPr>
      </w:pPr>
    </w:p>
    <w:p w14:paraId="208E1B45">
      <w:pPr>
        <w:widowControl w:val="0"/>
        <w:adjustRightInd/>
        <w:snapToGrid/>
        <w:spacing w:after="0" w:line="440" w:lineRule="exact"/>
        <w:jc w:val="both"/>
        <w:rPr>
          <w:rFonts w:hint="eastAsia" w:ascii="方正小标宋简体" w:hAnsi="方正小标宋简体" w:eastAsia="方正小标宋简体" w:cs="方正小标宋简体"/>
          <w:sz w:val="48"/>
          <w:szCs w:val="48"/>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74"/>
      </w:tblGrid>
      <w:tr w14:paraId="673CA5A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674" w:type="dxa"/>
            <w:noWrap w:val="0"/>
            <w:vAlign w:val="center"/>
          </w:tcPr>
          <w:p w14:paraId="0AF045FC">
            <w:pPr>
              <w:widowControl w:val="0"/>
              <w:adjustRightInd/>
              <w:snapToGrid/>
              <w:spacing w:after="72" w:afterLines="30" w:line="580" w:lineRule="exact"/>
              <w:ind w:left="-110" w:leftChars="-50" w:right="-110" w:rightChars="-50"/>
              <w:jc w:val="center"/>
              <w:rPr>
                <w:rFonts w:hint="eastAsia" w:ascii="方正行楷简体" w:hAnsi="方正行楷简体" w:eastAsia="方正行楷简体" w:cs="方正行楷简体"/>
                <w:sz w:val="30"/>
                <w:szCs w:val="30"/>
              </w:rPr>
            </w:pPr>
            <w:r>
              <w:rPr>
                <w:rFonts w:hint="eastAsia" w:ascii="方正行楷简体" w:hAnsi="方正行楷简体" w:eastAsia="方正行楷简体" w:cs="方正行楷简体"/>
                <w:sz w:val="30"/>
                <w:szCs w:val="30"/>
              </w:rPr>
              <w:t xml:space="preserve">永济市七届人大一次会议秘书处                     </w:t>
            </w:r>
            <w:r>
              <w:rPr>
                <w:rFonts w:ascii="Times New Roman" w:hAnsi="Times New Roman" w:eastAsia="方正行楷简体" w:cs="Times New Roman"/>
                <w:sz w:val="30"/>
                <w:szCs w:val="30"/>
              </w:rPr>
              <w:t>202</w:t>
            </w:r>
            <w:r>
              <w:rPr>
                <w:rFonts w:hint="eastAsia" w:ascii="Times New Roman" w:hAnsi="Times New Roman" w:eastAsia="方正行楷简体" w:cs="Times New Roman"/>
                <w:sz w:val="30"/>
                <w:szCs w:val="30"/>
              </w:rPr>
              <w:t>1</w:t>
            </w:r>
            <w:r>
              <w:rPr>
                <w:rFonts w:hint="eastAsia" w:ascii="方正行楷简体" w:hAnsi="方正行楷简体" w:eastAsia="方正行楷简体" w:cs="方正行楷简体"/>
                <w:sz w:val="30"/>
                <w:szCs w:val="30"/>
              </w:rPr>
              <w:t>年</w:t>
            </w:r>
            <w:r>
              <w:rPr>
                <w:rFonts w:ascii="Times New Roman" w:hAnsi="Times New Roman" w:eastAsia="方正行楷简体" w:cs="Times New Roman"/>
                <w:sz w:val="30"/>
                <w:szCs w:val="30"/>
              </w:rPr>
              <w:t>4</w:t>
            </w:r>
            <w:r>
              <w:rPr>
                <w:rFonts w:hint="eastAsia" w:ascii="方正行楷简体" w:hAnsi="方正行楷简体" w:eastAsia="方正行楷简体" w:cs="方正行楷简体"/>
                <w:sz w:val="30"/>
                <w:szCs w:val="30"/>
              </w:rPr>
              <w:t>月</w:t>
            </w:r>
            <w:r>
              <w:rPr>
                <w:rFonts w:hint="eastAsia" w:ascii="Times New Roman" w:hAnsi="Times New Roman" w:eastAsia="方正行楷简体" w:cs="Times New Roman"/>
                <w:color w:val="000000"/>
                <w:sz w:val="30"/>
                <w:szCs w:val="30"/>
              </w:rPr>
              <w:t>7</w:t>
            </w:r>
            <w:r>
              <w:rPr>
                <w:rFonts w:hint="eastAsia" w:ascii="方正行楷简体" w:hAnsi="方正行楷简体" w:eastAsia="方正行楷简体" w:cs="方正行楷简体"/>
                <w:sz w:val="30"/>
                <w:szCs w:val="30"/>
              </w:rPr>
              <w:t>日印</w:t>
            </w:r>
          </w:p>
        </w:tc>
      </w:tr>
    </w:tbl>
    <w:p w14:paraId="1E7BC5A0">
      <w:pPr>
        <w:widowControl w:val="0"/>
        <w:adjustRightInd/>
        <w:snapToGrid/>
        <w:spacing w:after="0" w:line="40" w:lineRule="exact"/>
        <w:jc w:val="both"/>
        <w:rPr>
          <w:rFonts w:hint="eastAsia" w:ascii="方正小标宋简体" w:hAnsi="方正小标宋简体" w:eastAsia="方正小标宋简体" w:cs="方正小标宋简体"/>
          <w:sz w:val="32"/>
          <w:szCs w:val="32"/>
        </w:rPr>
      </w:pPr>
    </w:p>
    <w:sectPr>
      <w:headerReference r:id="rId4" w:type="default"/>
      <w:footerReference r:id="rId5" w:type="default"/>
      <w:pgSz w:w="11906" w:h="16838"/>
      <w:pgMar w:top="1984" w:right="1502" w:bottom="1814" w:left="1502" w:header="708" w:footer="136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auto"/>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80E0000" w:usb2="00000000" w:usb3="00000000" w:csb0="00040000" w:csb1="00000000"/>
  </w:font>
  <w:font w:name="楷体_GB2312">
    <w:altName w:val="楷体"/>
    <w:panose1 w:val="02010609030101010101"/>
    <w:charset w:val="86"/>
    <w:family w:val="auto"/>
    <w:pitch w:val="default"/>
    <w:sig w:usb0="00000000" w:usb1="080E0000" w:usb2="00000000" w:usb3="00000000" w:csb0="00040000" w:csb1="00000000"/>
  </w:font>
  <w:font w:name="方正行楷简体">
    <w:altName w:val="微软雅黑"/>
    <w:panose1 w:val="03000509000000000000"/>
    <w:charset w:val="86"/>
    <w:family w:val="auto"/>
    <w:pitch w:val="default"/>
    <w:sig w:usb0="00000000"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EE51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648970" cy="337185"/>
              <wp:effectExtent l="0" t="0" r="0" b="0"/>
              <wp:wrapNone/>
              <wp:docPr id="1" name="文本框 1025"/>
              <wp:cNvGraphicFramePr/>
              <a:graphic xmlns:a="http://schemas.openxmlformats.org/drawingml/2006/main">
                <a:graphicData uri="http://schemas.microsoft.com/office/word/2010/wordprocessingShape">
                  <wps:wsp>
                    <wps:cNvSpPr/>
                    <wps:spPr>
                      <a:xfrm>
                        <a:off x="0" y="0"/>
                        <a:ext cx="648970" cy="337185"/>
                      </a:xfrm>
                      <a:prstGeom prst="rect">
                        <a:avLst/>
                      </a:prstGeom>
                      <a:noFill/>
                      <a:ln>
                        <a:noFill/>
                      </a:ln>
                    </wps:spPr>
                    <wps:txbx>
                      <w:txbxContent>
                        <w:p w14:paraId="552E0A4A">
                          <w:pPr>
                            <w:jc w:val="center"/>
                            <w:rPr>
                              <w:rFonts w:hint="eastAsia"/>
                              <w:sz w:val="18"/>
                            </w:rPr>
                          </w:pPr>
                          <w:r>
                            <w:rPr>
                              <w:rFonts w:hint="eastAsia" w:ascii="宋体" w:hAnsi="宋体" w:eastAsia="宋体" w:cs="宋体"/>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lang/>
                            </w:rPr>
                            <w:t>29</w:t>
                          </w:r>
                          <w:r>
                            <w:rPr>
                              <w:rFonts w:ascii="Times New Roman" w:hAnsi="Times New Roman" w:cs="Times New Roman"/>
                              <w:sz w:val="28"/>
                              <w:szCs w:val="28"/>
                            </w:rPr>
                            <w:fldChar w:fldCharType="end"/>
                          </w:r>
                          <w:r>
                            <w:rPr>
                              <w:rFonts w:hint="eastAsia" w:ascii="宋体" w:hAnsi="宋体" w:eastAsia="宋体" w:cs="宋体"/>
                              <w:sz w:val="24"/>
                              <w:szCs w:val="24"/>
                            </w:rPr>
                            <w:t>·</w:t>
                          </w:r>
                        </w:p>
                      </w:txbxContent>
                    </wps:txbx>
                    <wps:bodyPr wrap="square" lIns="0" tIns="0" rIns="0" bIns="0" upright="1"/>
                  </wps:wsp>
                </a:graphicData>
              </a:graphic>
            </wp:anchor>
          </w:drawing>
        </mc:Choice>
        <mc:Fallback>
          <w:pict>
            <v:rect id="文本框 1025" o:spid="_x0000_s1026" o:spt="1" style="position:absolute;left:0pt;margin-top:0.05pt;height:26.55pt;width:51.1pt;mso-position-horizontal:outside;mso-position-horizontal-relative:margin;z-index:251659264;mso-width-relative:page;mso-height-relative:page;" filled="f" stroked="f" coordsize="21600,21600" o:gfxdata="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9EmY1QAAAAQBAAAPAAAAAAAAAAEAIAAAACIAAABkcnMvZG93bnJldi54bWxQ&#10;SwECFAAUAAAACACHTuJAlm0/MsEBAAB4AwAADgAAAAAAAAABACAAAAAkAQAAZHJzL2Uyb0RvYy54&#10;bWxQSwUGAAAAAAYABgBZAQAAVwUAAAAA&#10;">
              <v:fill on="f" focussize="0,0"/>
              <v:stroke on="f"/>
              <v:imagedata o:title=""/>
              <o:lock v:ext="edit" aspectratio="f"/>
              <v:textbox inset="0mm,0mm,0mm,0mm">
                <w:txbxContent>
                  <w:p w14:paraId="552E0A4A">
                    <w:pPr>
                      <w:jc w:val="center"/>
                      <w:rPr>
                        <w:rFonts w:hint="eastAsia"/>
                        <w:sz w:val="18"/>
                      </w:rPr>
                    </w:pPr>
                    <w:r>
                      <w:rPr>
                        <w:rFonts w:hint="eastAsia" w:ascii="宋体" w:hAnsi="宋体" w:eastAsia="宋体" w:cs="宋体"/>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lang/>
                      </w:rPr>
                      <w:t>29</w:t>
                    </w:r>
                    <w:r>
                      <w:rPr>
                        <w:rFonts w:ascii="Times New Roman" w:hAnsi="Times New Roman" w:cs="Times New Roman"/>
                        <w:sz w:val="28"/>
                        <w:szCs w:val="28"/>
                      </w:rPr>
                      <w:fldChar w:fldCharType="end"/>
                    </w:r>
                    <w:r>
                      <w:rPr>
                        <w:rFonts w:hint="eastAsia" w:ascii="宋体" w:hAnsi="宋体" w:eastAsia="宋体" w:cs="宋体"/>
                        <w:sz w:val="24"/>
                        <w:szCs w:val="24"/>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ABE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AB299"/>
    <w:multiLevelType w:val="singleLevel"/>
    <w:tmpl w:val="5E9AB299"/>
    <w:lvl w:ilvl="0" w:tentative="0">
      <w:start w:val="1"/>
      <w:numFmt w:val="decimal"/>
      <w:suff w:val="nothing"/>
      <w:lvlText w:val="%1、"/>
      <w:lvlJc w:val="left"/>
    </w:lvl>
  </w:abstractNum>
  <w:abstractNum w:abstractNumId="1">
    <w:nsid w:val="5E9AB330"/>
    <w:multiLevelType w:val="singleLevel"/>
    <w:tmpl w:val="5E9AB330"/>
    <w:lvl w:ilvl="0" w:tentative="0">
      <w:start w:val="1"/>
      <w:numFmt w:val="decimal"/>
      <w:suff w:val="nothing"/>
      <w:lvlText w:val="%1、"/>
      <w:lvlJc w:val="left"/>
    </w:lvl>
  </w:abstractNum>
  <w:abstractNum w:abstractNumId="2">
    <w:nsid w:val="5E9AB3E5"/>
    <w:multiLevelType w:val="singleLevel"/>
    <w:tmpl w:val="5E9AB3E5"/>
    <w:lvl w:ilvl="0" w:tentative="0">
      <w:start w:val="2"/>
      <w:numFmt w:val="decimal"/>
      <w:suff w:val="nothing"/>
      <w:lvlText w:val="%1、"/>
      <w:lvlJc w:val="left"/>
    </w:lvl>
  </w:abstractNum>
  <w:abstractNum w:abstractNumId="3">
    <w:nsid w:val="604E0CE1"/>
    <w:multiLevelType w:val="singleLevel"/>
    <w:tmpl w:val="604E0CE1"/>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523"/>
    <w:rsid w:val="00025D50"/>
    <w:rsid w:val="00047D6B"/>
    <w:rsid w:val="000E61A1"/>
    <w:rsid w:val="0011238B"/>
    <w:rsid w:val="00140BDE"/>
    <w:rsid w:val="00155A16"/>
    <w:rsid w:val="001706C8"/>
    <w:rsid w:val="001855C6"/>
    <w:rsid w:val="00190A0C"/>
    <w:rsid w:val="00230BA4"/>
    <w:rsid w:val="002544A2"/>
    <w:rsid w:val="0026784D"/>
    <w:rsid w:val="002B57A3"/>
    <w:rsid w:val="00323B43"/>
    <w:rsid w:val="00342C03"/>
    <w:rsid w:val="00352B9E"/>
    <w:rsid w:val="00387FBA"/>
    <w:rsid w:val="003D37D8"/>
    <w:rsid w:val="003F5919"/>
    <w:rsid w:val="00400B9B"/>
    <w:rsid w:val="004069E7"/>
    <w:rsid w:val="00426133"/>
    <w:rsid w:val="004358AB"/>
    <w:rsid w:val="004F1139"/>
    <w:rsid w:val="005463D1"/>
    <w:rsid w:val="00554D33"/>
    <w:rsid w:val="005926A1"/>
    <w:rsid w:val="00592E5B"/>
    <w:rsid w:val="005F1E72"/>
    <w:rsid w:val="005F3F53"/>
    <w:rsid w:val="00615D7E"/>
    <w:rsid w:val="00670033"/>
    <w:rsid w:val="00693196"/>
    <w:rsid w:val="006A1E44"/>
    <w:rsid w:val="006C30D8"/>
    <w:rsid w:val="0071110D"/>
    <w:rsid w:val="007335D1"/>
    <w:rsid w:val="007C6B5B"/>
    <w:rsid w:val="0081713E"/>
    <w:rsid w:val="00832BA4"/>
    <w:rsid w:val="00841F36"/>
    <w:rsid w:val="00855BD4"/>
    <w:rsid w:val="00880231"/>
    <w:rsid w:val="008B7726"/>
    <w:rsid w:val="00915B3D"/>
    <w:rsid w:val="00935A60"/>
    <w:rsid w:val="00981089"/>
    <w:rsid w:val="00985A87"/>
    <w:rsid w:val="00993F16"/>
    <w:rsid w:val="009B2A35"/>
    <w:rsid w:val="009D3B4D"/>
    <w:rsid w:val="009F276C"/>
    <w:rsid w:val="00A06CF7"/>
    <w:rsid w:val="00A3161E"/>
    <w:rsid w:val="00A328C4"/>
    <w:rsid w:val="00A5520C"/>
    <w:rsid w:val="00A744DB"/>
    <w:rsid w:val="00A76C0C"/>
    <w:rsid w:val="00AC7A36"/>
    <w:rsid w:val="00B04F35"/>
    <w:rsid w:val="00BA0AE6"/>
    <w:rsid w:val="00C217CF"/>
    <w:rsid w:val="00C21E71"/>
    <w:rsid w:val="00C447A7"/>
    <w:rsid w:val="00D056B4"/>
    <w:rsid w:val="00D31D50"/>
    <w:rsid w:val="00D33C88"/>
    <w:rsid w:val="00D50C42"/>
    <w:rsid w:val="00D540E0"/>
    <w:rsid w:val="00D82587"/>
    <w:rsid w:val="00DA1777"/>
    <w:rsid w:val="00DD6327"/>
    <w:rsid w:val="00DF78EA"/>
    <w:rsid w:val="00E47A23"/>
    <w:rsid w:val="00EB21C7"/>
    <w:rsid w:val="00EC396E"/>
    <w:rsid w:val="00F27964"/>
    <w:rsid w:val="00F744F7"/>
    <w:rsid w:val="00F754B3"/>
    <w:rsid w:val="00FB1C55"/>
    <w:rsid w:val="00FB453F"/>
    <w:rsid w:val="00FE5DBA"/>
    <w:rsid w:val="01C7667F"/>
    <w:rsid w:val="01DA7C98"/>
    <w:rsid w:val="023006A7"/>
    <w:rsid w:val="03EE1902"/>
    <w:rsid w:val="0557012B"/>
    <w:rsid w:val="08377C87"/>
    <w:rsid w:val="095161D6"/>
    <w:rsid w:val="09BD6B8A"/>
    <w:rsid w:val="0A0B5B0A"/>
    <w:rsid w:val="0AD04E76"/>
    <w:rsid w:val="0B997E50"/>
    <w:rsid w:val="0BFB1950"/>
    <w:rsid w:val="0C841808"/>
    <w:rsid w:val="0F5613B9"/>
    <w:rsid w:val="0F565B36"/>
    <w:rsid w:val="102736EC"/>
    <w:rsid w:val="118A6826"/>
    <w:rsid w:val="11C0052E"/>
    <w:rsid w:val="12A44024"/>
    <w:rsid w:val="13F10E3C"/>
    <w:rsid w:val="14AE4079"/>
    <w:rsid w:val="15B21729"/>
    <w:rsid w:val="16551271"/>
    <w:rsid w:val="16DD34D3"/>
    <w:rsid w:val="18117876"/>
    <w:rsid w:val="183304C3"/>
    <w:rsid w:val="187212AC"/>
    <w:rsid w:val="1922234A"/>
    <w:rsid w:val="1A3B0898"/>
    <w:rsid w:val="1B1A6902"/>
    <w:rsid w:val="1C4902BB"/>
    <w:rsid w:val="219B4B56"/>
    <w:rsid w:val="222C564D"/>
    <w:rsid w:val="22A10C5C"/>
    <w:rsid w:val="26303437"/>
    <w:rsid w:val="26665E8F"/>
    <w:rsid w:val="2842664E"/>
    <w:rsid w:val="28A94550"/>
    <w:rsid w:val="29DA5959"/>
    <w:rsid w:val="2BA87CB0"/>
    <w:rsid w:val="2C2B1183"/>
    <w:rsid w:val="2C3D4B5C"/>
    <w:rsid w:val="2F797671"/>
    <w:rsid w:val="323373AE"/>
    <w:rsid w:val="34FD1EFB"/>
    <w:rsid w:val="3B053380"/>
    <w:rsid w:val="3B59226A"/>
    <w:rsid w:val="3D351B7B"/>
    <w:rsid w:val="3DA3692C"/>
    <w:rsid w:val="3E706080"/>
    <w:rsid w:val="3F6A6298"/>
    <w:rsid w:val="40C60753"/>
    <w:rsid w:val="4586581D"/>
    <w:rsid w:val="45C862BC"/>
    <w:rsid w:val="461C7016"/>
    <w:rsid w:val="466928A2"/>
    <w:rsid w:val="4BAB34B4"/>
    <w:rsid w:val="4DC70ECB"/>
    <w:rsid w:val="4EE451BB"/>
    <w:rsid w:val="4F7B4BCD"/>
    <w:rsid w:val="50134026"/>
    <w:rsid w:val="517A073C"/>
    <w:rsid w:val="52954CFB"/>
    <w:rsid w:val="547D09A9"/>
    <w:rsid w:val="55423423"/>
    <w:rsid w:val="56443B98"/>
    <w:rsid w:val="58A40196"/>
    <w:rsid w:val="597B7FA8"/>
    <w:rsid w:val="59D5031C"/>
    <w:rsid w:val="5AF42703"/>
    <w:rsid w:val="5DA62130"/>
    <w:rsid w:val="5DD067F8"/>
    <w:rsid w:val="5EA5629F"/>
    <w:rsid w:val="60E96A0A"/>
    <w:rsid w:val="656C2962"/>
    <w:rsid w:val="679B61D5"/>
    <w:rsid w:val="681F2619"/>
    <w:rsid w:val="690C1F68"/>
    <w:rsid w:val="6D293FA7"/>
    <w:rsid w:val="6D780D03"/>
    <w:rsid w:val="6ED276F8"/>
    <w:rsid w:val="6F33596B"/>
    <w:rsid w:val="6FA546DE"/>
    <w:rsid w:val="71704EB3"/>
    <w:rsid w:val="74E267D1"/>
    <w:rsid w:val="763273F7"/>
    <w:rsid w:val="778D1C32"/>
    <w:rsid w:val="77A3100E"/>
    <w:rsid w:val="7CA51F12"/>
    <w:rsid w:val="7EF262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cs="黑体"/>
      <w:sz w:val="22"/>
      <w:szCs w:val="22"/>
      <w:lang w:val="en-US" w:eastAsia="zh-CN" w:bidi="ar-SA"/>
    </w:rPr>
  </w:style>
  <w:style w:type="paragraph" w:styleId="2">
    <w:name w:val="heading 1"/>
    <w:basedOn w:val="1"/>
    <w:next w:val="1"/>
    <w:link w:val="13"/>
    <w:qFormat/>
    <w:uiPriority w:val="0"/>
    <w:pPr>
      <w:widowControl w:val="0"/>
      <w:adjustRightInd/>
      <w:snapToGrid/>
      <w:spacing w:beforeAutospacing="1" w:after="100" w:afterAutospacing="1"/>
      <w:outlineLvl w:val="0"/>
    </w:pPr>
    <w:rPr>
      <w:rFonts w:hint="eastAsia" w:ascii="宋体" w:hAnsi="宋体" w:eastAsia="宋体" w:cs="Times New Roman"/>
      <w:b/>
      <w:kern w:val="44"/>
      <w:sz w:val="48"/>
      <w:szCs w:val="48"/>
    </w:rPr>
  </w:style>
  <w:style w:type="paragraph" w:styleId="3">
    <w:name w:val="heading 5"/>
    <w:basedOn w:val="1"/>
    <w:next w:val="1"/>
    <w:qFormat/>
    <w:uiPriority w:val="9"/>
    <w:pPr>
      <w:keepNext/>
      <w:keepLines/>
      <w:spacing w:before="280" w:after="290" w:line="376" w:lineRule="auto"/>
      <w:outlineLvl w:val="4"/>
    </w:pPr>
    <w:rPr>
      <w:b/>
      <w:bCs/>
      <w:sz w:val="28"/>
      <w:szCs w:val="28"/>
    </w:rPr>
  </w:style>
  <w:style w:type="character" w:default="1" w:styleId="10">
    <w:name w:val="Default Paragraph Font"/>
    <w:unhideWhenUsed/>
    <w:qFormat/>
    <w:uiPriority w:val="1"/>
    <w:rPr>
      <w:rFonts w:ascii="Tahoma" w:hAnsi="Tahoma"/>
      <w:sz w:val="24"/>
      <w:szCs w:val="20"/>
    </w:rPr>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ody Text"/>
    <w:basedOn w:val="1"/>
    <w:unhideWhenUsed/>
    <w:uiPriority w:val="0"/>
    <w:pPr>
      <w:spacing w:after="120"/>
    </w:pPr>
  </w:style>
  <w:style w:type="paragraph" w:styleId="5">
    <w:name w:val="Plain Text"/>
    <w:basedOn w:val="1"/>
    <w:unhideWhenUsed/>
    <w:uiPriority w:val="0"/>
    <w:pPr>
      <w:widowControl w:val="0"/>
      <w:adjustRightInd/>
      <w:snapToGrid/>
      <w:spacing w:after="0"/>
      <w:jc w:val="both"/>
    </w:pPr>
    <w:rPr>
      <w:rFonts w:ascii="宋体" w:hAnsi="Courier New" w:eastAsia="宋体" w:cs="Times New Roman"/>
      <w:kern w:val="2"/>
      <w:sz w:val="21"/>
      <w:szCs w:val="20"/>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0"/>
  </w:style>
  <w:style w:type="character" w:customStyle="1" w:styleId="12">
    <w:name w:val="页脚 Char"/>
    <w:basedOn w:val="10"/>
    <w:link w:val="6"/>
    <w:semiHidden/>
    <w:qFormat/>
    <w:uiPriority w:val="99"/>
    <w:rPr>
      <w:rFonts w:ascii="Tahoma" w:hAnsi="Tahoma"/>
      <w:sz w:val="18"/>
      <w:szCs w:val="18"/>
    </w:rPr>
  </w:style>
  <w:style w:type="character" w:customStyle="1" w:styleId="13">
    <w:name w:val="标题 1 Char"/>
    <w:basedOn w:val="10"/>
    <w:link w:val="2"/>
    <w:qFormat/>
    <w:uiPriority w:val="0"/>
    <w:rPr>
      <w:rFonts w:ascii="宋体" w:hAnsi="宋体" w:eastAsia="宋体" w:cs="Times New Roman"/>
      <w:b/>
      <w:kern w:val="44"/>
      <w:sz w:val="48"/>
      <w:szCs w:val="48"/>
    </w:rPr>
  </w:style>
  <w:style w:type="character" w:customStyle="1" w:styleId="14">
    <w:name w:val="页眉 Char"/>
    <w:basedOn w:val="10"/>
    <w:link w:val="7"/>
    <w:semiHidden/>
    <w:qFormat/>
    <w:uiPriority w:val="99"/>
    <w:rPr>
      <w:rFonts w:ascii="Tahoma" w:hAnsi="Tahoma"/>
      <w:sz w:val="18"/>
      <w:szCs w:val="18"/>
    </w:rPr>
  </w:style>
  <w:style w:type="paragraph" w:customStyle="1" w:styleId="15">
    <w:name w:val="List Paragraph"/>
    <w:basedOn w:val="1"/>
    <w:qFormat/>
    <w:uiPriority w:val="34"/>
    <w:pPr>
      <w:ind w:firstLine="420" w:firstLineChars="200"/>
    </w:pPr>
  </w:style>
  <w:style w:type="paragraph" w:customStyle="1" w:styleId="16">
    <w:name w:val=" Char1 Char Char Char Char Char Char"/>
    <w:basedOn w:val="1"/>
    <w:qFormat/>
    <w:uiPriority w:val="0"/>
    <w:rPr>
      <w:rFonts w:ascii="Tahoma" w:hAnsi="Tahoma"/>
      <w:sz w:val="24"/>
      <w:szCs w:val="20"/>
    </w:rPr>
  </w:style>
  <w:style w:type="paragraph" w:customStyle="1" w:styleId="17">
    <w:name w:val="列出段落2"/>
    <w:basedOn w:val="1"/>
    <w:qFormat/>
    <w:uiPriority w:val="34"/>
    <w:pPr>
      <w:ind w:firstLine="420" w:firstLineChars="200"/>
    </w:p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11851</Words>
  <Characters>14095</Characters>
  <Lines>118</Lines>
  <Paragraphs>33</Paragraphs>
  <TotalTime>0</TotalTime>
  <ScaleCrop>false</ScaleCrop>
  <LinksUpToDate>false</LinksUpToDate>
  <CharactersWithSpaces>14123</CharactersWithSpaces>
  <Application>WPS Office_12.1.0.21171_F1E327BC-269C-435d-A152-05C5408002CA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2023-04-11T07:26:00Z</dcterms:created>
  <dc:creator>Administrator</dc:creator>
  <cp:lastModifiedBy>往事如风</cp:lastModifiedBy>
  <cp:lastPrinted>2021-04-06T11:20:00Z</cp:lastPrinted>
  <dcterms:modified xsi:type="dcterms:W3CDTF">2025-05-28T02:17:58Z</dcterms:modified>
  <dc:title>关于永济市2019年财政预算执行情况和2020年财政预算草案的报告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4B4BD8217A26493B83F26644C4D72E78_13</vt:lpwstr>
  </property>
  <property fmtid="{D5CDD505-2E9C-101B-9397-08002B2CF9AE}" pid="4" name="KSOTemplateDocerSaveRecord">
    <vt:lpwstr>eyJoZGlkIjoiZjQwMjQ3ZjQ5Yjg1NGU2ZjAwZjhkMGYyNTg4YmM5ZGEiLCJ1c2VySWQiOiI5NTIxOTE5NTIifQ==</vt:lpwstr>
  </property>
</Properties>
</file>