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2"/>
        <w:gridCol w:w="1431"/>
        <w:gridCol w:w="1083"/>
        <w:gridCol w:w="1066"/>
        <w:gridCol w:w="1117"/>
        <w:gridCol w:w="1100"/>
        <w:gridCol w:w="1250"/>
        <w:gridCol w:w="1349"/>
        <w:gridCol w:w="802"/>
        <w:gridCol w:w="1151"/>
        <w:gridCol w:w="811"/>
        <w:gridCol w:w="845"/>
      </w:tblGrid>
      <w:tr w14:paraId="257E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26B1C1">
            <w:pPr>
              <w:widowControl/>
              <w:spacing w:line="240" w:lineRule="auto"/>
              <w:ind w:firstLine="38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永济市粮食主产区粮食安全提升工程概算核定表</w:t>
            </w:r>
          </w:p>
        </w:tc>
      </w:tr>
      <w:tr w14:paraId="549A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A7F8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序 号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CDBA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工程或费用名称</w:t>
            </w:r>
          </w:p>
        </w:tc>
        <w:tc>
          <w:tcPr>
            <w:tcW w:w="24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437E">
            <w:pPr>
              <w:widowControl/>
              <w:spacing w:line="240" w:lineRule="auto"/>
              <w:ind w:firstLine="380"/>
              <w:jc w:val="center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概算价值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万元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)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1A54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F563">
            <w:pPr>
              <w:widowControl/>
              <w:spacing w:line="240" w:lineRule="auto"/>
              <w:ind w:firstLine="380"/>
              <w:jc w:val="center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技术经济指标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ADF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 w14:paraId="4A29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BCC5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B7E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90DB">
            <w:pPr>
              <w:widowControl/>
              <w:spacing w:line="240" w:lineRule="auto"/>
              <w:ind w:firstLine="380"/>
              <w:jc w:val="center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工程费用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FD46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其他费用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267F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合计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953A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占总投资的比例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(%)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A9AA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单位</w:t>
            </w:r>
          </w:p>
        </w:tc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9F32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数量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2318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单位价值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3911">
            <w:pPr>
              <w:spacing w:line="240" w:lineRule="auto"/>
              <w:ind w:firstLine="380"/>
              <w:jc w:val="left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3F418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2043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712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8B3B">
            <w:pPr>
              <w:widowControl/>
              <w:spacing w:line="240" w:lineRule="auto"/>
              <w:ind w:firstLine="380"/>
              <w:jc w:val="center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建安工程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3AC4">
            <w:pPr>
              <w:widowControl/>
              <w:spacing w:line="240" w:lineRule="auto"/>
              <w:ind w:firstLine="380"/>
              <w:jc w:val="center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设备购置及安装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2D13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EA6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233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F9B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7C1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F79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0E8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6F429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2F36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02E1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5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70E5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建筑装饰工程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BE1D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安装工程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057F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设备购置</w:t>
            </w:r>
          </w:p>
        </w:tc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C45B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设备安装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D47D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9BF3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7943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0431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813A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551B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B34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3D68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266F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60A4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5822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E10C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7B40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23AF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DDD2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94D6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9D85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F7F9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BA36">
            <w:pPr>
              <w:spacing w:line="240" w:lineRule="auto"/>
              <w:ind w:firstLine="38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90A6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元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)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DA7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220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C29C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D51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第一部分工程费用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3F28">
            <w:pPr>
              <w:widowControl/>
              <w:ind w:firstLine="381"/>
              <w:jc w:val="left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2980.59 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ACFB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361.70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1603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464.21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629B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32.28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B557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AD0F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3838.78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0C36">
            <w:pPr>
              <w:widowControl/>
              <w:ind w:firstLine="0" w:firstLineChars="0"/>
              <w:jc w:val="left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87.01%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65C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8924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2D3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F8E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5FD0E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7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5AB3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3B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1#平房仓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D9C0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1466.94 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751D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64.55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B5A0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77AC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ABF8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228F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1531.49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9D24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5C13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114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C7F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6F81B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007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6B65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E7B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2#平房仓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4D26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411.58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7E93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AA16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248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5A66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D784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421.70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257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FD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432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292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685EB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5608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F37F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4B5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业务用房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3549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540.80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E6B9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116.35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956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1F92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213E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3571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657.15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1BDF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228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A8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279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F5569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0E61B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A77E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6C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服务用房及消防水池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7938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210.46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20E7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46.77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034D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8275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820C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BB08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257.23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1658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124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FC4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6A18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90F70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651F4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CA8B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281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公厕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BBEB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9.01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DBD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1.83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0D90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EEE2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15F7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719A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10.84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2F17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287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13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4C6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543FC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34D9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F39D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BAD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室外工程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4D54">
            <w:pPr>
              <w:widowControl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341.80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6229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122.08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A625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BED2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4EEA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2B91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463.88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3B3C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34E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0E4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A210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BB2078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6A42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00C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65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设备购置费用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FF9D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213F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475A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464.21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1CE4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32.28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1E75">
            <w:pPr>
              <w:ind w:firstLine="422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6138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496.49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7EB5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A5AB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68A3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50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4F537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4571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F0FD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D8D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接发工艺设备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ECD9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2FE0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58F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123.04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8FB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CA57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5E8C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ECC3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CEC2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AC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B36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3B8533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5B775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56FF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57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储粮设备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099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75A7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5C1C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98.44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9336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8.56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4DD2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2489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543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E12B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02B0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280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F7760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7CD3D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5384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A2A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信息化管理系统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73F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88E9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485B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152.91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B29C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15.04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E58F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8574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7932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6CF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59F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EC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8EFEDB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C185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92EB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3C7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检化验设备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FEDE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6FBB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DB0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89.82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C79F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8.68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D876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D519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CB1">
            <w:pPr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FF9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5120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14B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396D0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4C05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F601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7FE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第二部分其他费用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4870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EA5F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17C1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323.52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767"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7.33%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CE6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3B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AB3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158113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55750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8B68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D6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建设管理费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44D2">
            <w:pPr>
              <w:spacing w:line="240" w:lineRule="auto"/>
              <w:ind w:first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EDDA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104.20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B90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104.20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B536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A08D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0315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2FDF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133F6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672F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A0B0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1. 1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0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建设单位管理费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B62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财建〔</w:t>
            </w:r>
            <w:r>
              <w:rPr>
                <w:rStyle w:val="35"/>
                <w:lang w:bidi="ar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Style w:val="35"/>
                <w:lang w:bidi="ar"/>
              </w:rPr>
              <w:t xml:space="preserve">504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2E66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17.27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EA0D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DD40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A2B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FE6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0.90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9633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21D68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减半</w:t>
            </w:r>
          </w:p>
        </w:tc>
      </w:tr>
      <w:tr w14:paraId="088E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35E6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7A0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工程监理费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C86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发改价格〔</w:t>
            </w:r>
            <w:r>
              <w:rPr>
                <w:rStyle w:val="35"/>
                <w:lang w:bidi="ar"/>
              </w:rPr>
              <w:t>2007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Style w:val="35"/>
                <w:lang w:bidi="ar"/>
              </w:rPr>
              <w:t>670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号,内插法计算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A0B6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76.18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DAD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0B3C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B7E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71E9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D2AF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0951A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6BA6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3644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ED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招标代理费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234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发改委办价格〔2007〕857号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FD3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10.75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F59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802D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05D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7AC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0.35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A359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F72DD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2742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15D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7F2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可行性研究费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5B0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计投资〔1999〕1283 号文件,内插法计算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F80A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14.00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43D8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14.00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6F64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127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2F7B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553A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0B803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0797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6443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5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勘察设计费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8DD0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1B90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162.89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33A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162.89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3F95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3D53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7F47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B6BC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16325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7D28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3A86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3. 1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189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工程勘察费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767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工程费用</w:t>
            </w:r>
            <w:r>
              <w:rPr>
                <w:rStyle w:val="35"/>
                <w:lang w:bidi="ar"/>
              </w:rPr>
              <w:t>×0.6%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D34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23.03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B74A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4BBA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011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16D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0.60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17A1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F1752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5ABF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B5C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AC9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基本设计费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0FD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计价格〔2002〕10号文,内插法计算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AC9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139.86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3F80">
            <w:pPr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DC5B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542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D50C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23C0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542FEE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412D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94D9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3BE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造价咨询费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A69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晋建价协字〔2014〕8号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2714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14.20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D4A"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14.20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478">
            <w:pPr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71B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1F18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BC99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14347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1D6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F275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4. 1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26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工程量清单编制费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9F9A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1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8.45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B1E8">
            <w:pPr>
              <w:spacing w:line="240" w:lineRule="auto"/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FC5A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F83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E1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2.20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9D7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633AD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7F3B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D1CC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4.2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644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招标控制价编制费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4092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FF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5.76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F2BF">
            <w:pPr>
              <w:spacing w:line="240" w:lineRule="auto"/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B36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E79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051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1.50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60A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E0B992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0F36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84D1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1EB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环境影响评价费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35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计价格〔2002〕125号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674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1.50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979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1.50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528B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A4D7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C02B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1965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6C278F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ECC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483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EE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场地准备及临时设施费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AD3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以建筑安装工程费用为计算基数乘以相应费率（1.0%）减半计算。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E6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19.20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EB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19.20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3B58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5A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2D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1.00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25A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F45E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减半</w:t>
            </w:r>
          </w:p>
        </w:tc>
      </w:tr>
      <w:tr w14:paraId="23DF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7FFF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1A2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工程保险费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0CB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建质〔2005〕133号，建筑安装工程险费用0.06%计取，设备购置工程保险费按0.35%计取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A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3.74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A8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3.74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10BB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9E51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4EBC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5CCF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535B3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45EEE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11FB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7. 1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987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建筑工程保险费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9FC5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106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2.01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E07E">
            <w:pPr>
              <w:spacing w:line="240" w:lineRule="auto"/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12EC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B6B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28D4">
            <w:pPr>
              <w:widowControl/>
              <w:spacing w:line="240" w:lineRule="auto"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0.60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1638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C44DF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050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88DC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7.2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09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设备安装保险费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BC99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13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1.74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6756">
            <w:pPr>
              <w:spacing w:line="240" w:lineRule="auto"/>
              <w:ind w:firstLine="38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053D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DB6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2F33">
            <w:pPr>
              <w:widowControl/>
              <w:spacing w:line="240" w:lineRule="auto"/>
              <w:ind w:firstLine="38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3.50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BDB9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9485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1A3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484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E8D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消防图纸审查费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F4CB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D9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1.14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6D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1.14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1B97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5F20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1E5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7625.98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205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1.5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65561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20F1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A61C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6A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工程质量检测费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C0E8">
            <w:pPr>
              <w:spacing w:line="240" w:lineRule="auto"/>
              <w:ind w:firstLine="36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57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47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2.00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2D82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A8F8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1CA4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A4A8">
            <w:pPr>
              <w:spacing w:line="240" w:lineRule="auto"/>
              <w:ind w:firstLine="38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969C26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231D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11B">
            <w:pPr>
              <w:widowControl/>
              <w:spacing w:line="240" w:lineRule="auto"/>
              <w:ind w:firstLine="0" w:firstLineChars="0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D6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水土保持编制及补偿费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C50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晋发改收费发[2018]464号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8AD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0.64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A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0.64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2E64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953B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EFA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16012.04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666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0.4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D478FA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2B9C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EC7F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B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第三部分预备费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ADA1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1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000000"/>
                <w:sz w:val="19"/>
                <w:szCs w:val="19"/>
              </w:rPr>
              <w:t>249.70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F3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249.70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B3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5.66</w:t>
            </w: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45F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%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8DD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6</w:t>
            </w: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.00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2FAC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8EA6A8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14:paraId="1145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B4B899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91A81D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总投资</w:t>
            </w:r>
          </w:p>
        </w:tc>
        <w:tc>
          <w:tcPr>
            <w:tcW w:w="16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F356FD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5D11DD">
            <w:pPr>
              <w:spacing w:line="240" w:lineRule="auto"/>
              <w:ind w:firstLine="4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82F8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4412.00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889B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100.00%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B39FF1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0BDCC9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21C4A5">
            <w:pPr>
              <w:spacing w:line="240" w:lineRule="auto"/>
              <w:ind w:firstLine="42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19535">
            <w:pPr>
              <w:spacing w:line="240" w:lineRule="auto"/>
              <w:ind w:firstLine="44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EDE7F54">
      <w:pPr>
        <w:ind w:firstLine="560"/>
        <w:rPr>
          <w:rFonts w:hint="eastAsia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08B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305F0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305F0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25F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0"/>
    <w:rsid w:val="00340DA0"/>
    <w:rsid w:val="00540893"/>
    <w:rsid w:val="00572869"/>
    <w:rsid w:val="005A3FA0"/>
    <w:rsid w:val="007312CA"/>
    <w:rsid w:val="00895DBB"/>
    <w:rsid w:val="00DD6AE8"/>
    <w:rsid w:val="17DC5EBC"/>
    <w:rsid w:val="262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600" w:lineRule="exact"/>
      <w:ind w:firstLine="96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ind w:firstLine="0" w:firstLineChars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3"/>
    </w:pPr>
    <w:rPr>
      <w:rFonts w:asciiTheme="minorHAnsi" w:hAnsiTheme="minorHAnsi" w:eastAsiaTheme="minorEastAsia" w:cstheme="majorBidi"/>
      <w:color w:val="2F5597" w:themeColor="accent1" w:themeShade="BF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40" w:lineRule="auto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40" w:lineRule="auto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before="0" w:after="0" w:line="240" w:lineRule="auto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before="0" w:after="0" w:line="240" w:lineRule="auto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before="0"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before="0"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before="0" w:after="0" w:line="240" w:lineRule="auto"/>
      <w:ind w:left="720" w:firstLine="0" w:firstLineChars="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40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1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1014</Characters>
  <Lines>57</Lines>
  <Paragraphs>55</Paragraphs>
  <TotalTime>17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2025-05-06T07:40:00Z</dcterms:created>
  <dc:creator>bo meng</dc:creator>
  <cp:lastModifiedBy>郭晶</cp:lastModifiedBy>
  <cp:lastPrinted>2025-05-06T08:36:00Z</cp:lastPrinted>
  <dcterms:modified xsi:type="dcterms:W3CDTF">2025-05-06T08:59:46Z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eyJoZGlkIjoiODBiM2U2NDZjNWJkNjM4ZDBjMTUzMGNkYzQwYmVkMjciLCJ1c2VySWQiOiIxNDU0MTU5MDU4In0=</vt:lpwstr>
  </property>
  <property fmtid="{D5CDD505-2E9C-101B-9397-08002B2CF9AE}" pid="3" name="KSOProductBuildVer">
    <vt:lpwstr>2052-12.1.0.20784</vt:lpwstr>
  </property>
  <property fmtid="{D5CDD505-2E9C-101B-9397-08002B2CF9AE}" pid="4" name="ICV">
    <vt:lpwstr>C38AB27A204B436783057E9AE582ED83_12</vt:lpwstr>
  </property>
</Properties>
</file>