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</w:rPr>
        <w:t>20</w:t>
      </w:r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  <w:lang w:val="en-US" w:eastAsia="zh-CN"/>
        </w:rPr>
        <w:t>23</w:t>
      </w:r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</w:rPr>
        <w:t>年部门预算公开目录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1、部门主要职责及机构设置情况（详见部门预算公开说明）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2、包括本级预算和所属单位预算在内的汇总预算（详见部门预算公开说明）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3、预算收支增减变化情况说明（详见部门预算公开说明）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4、机关运行经费安排情况说明（详见部门预算公开说明）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5、政府采购安排情况说明（详见部门预算公开说明）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6、对专业性较强的名词进行解释（详见部门预算公开说明）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7、国有资产占用情况说明（详见部门预算公开说明）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8、“三公”经费增减变化原因说明信息（详见部门预算公开说明）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9、重点项目预算的绩效目标等预算绩效情况说明（详见部门预算公开说明）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10、部门收支总表（详见单位信息公开表）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11、部门收入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总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12、部门支出总表（详见单位信息公开表）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13、财政拨款收支总表（详见单位信息公开表）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14、一般公共预算支出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情况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15、一般公共预算基本支出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分经济科目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16、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政府性基金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eastAsia="zh-CN"/>
        </w:rPr>
        <w:t>收入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17、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政府性基金支出表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18、国有资本经营预算收支表（详见单位信息公开表）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19、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一般公共预算“三公”经费支出表（详见单位信息公开表）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20、机关运行经费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21、项目支出预算表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22、项目支出预算表（上年结转）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AwMTIzZjY5YWE2ZGJmMjA2MjkwMjRhY2U0NWM0MDYifQ=="/>
  </w:docVars>
  <w:rsids>
    <w:rsidRoot w:val="007E6945"/>
    <w:rsid w:val="001264E6"/>
    <w:rsid w:val="00521E3D"/>
    <w:rsid w:val="007E6945"/>
    <w:rsid w:val="009759AA"/>
    <w:rsid w:val="04DB6AD7"/>
    <w:rsid w:val="12EB2BC1"/>
    <w:rsid w:val="31424AD8"/>
    <w:rsid w:val="535D3E23"/>
    <w:rsid w:val="5984183A"/>
    <w:rsid w:val="62825E7E"/>
    <w:rsid w:val="686E0DDE"/>
    <w:rsid w:val="79B1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552</Words>
  <Characters>568</Characters>
  <Lines>3</Lines>
  <Paragraphs>1</Paragraphs>
  <TotalTime>0</TotalTime>
  <ScaleCrop>false</ScaleCrop>
  <LinksUpToDate>false</LinksUpToDate>
  <CharactersWithSpaces>569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2020-05-09T02:31:00Z</dcterms:created>
  <dc:creator>Administrator</dc:creator>
  <cp:lastModifiedBy>Administrator</cp:lastModifiedBy>
  <cp:lastPrinted>2023-03-13T03:49:00Z</cp:lastPrinted>
  <dcterms:modified xsi:type="dcterms:W3CDTF">2023-03-17T06:35:27Z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F7B239AC9CED4DC2A71142C4F96A17FB</vt:lpwstr>
  </property>
</Properties>
</file>