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黑体" w:hAnsi="黑体" w:eastAsia="黑体" w:cs="黑体"/>
          <w:sz w:val="44"/>
          <w:szCs w:val="44"/>
        </w:rPr>
      </w:pPr>
    </w:p>
    <w:p>
      <w:pPr>
        <w:spacing w:line="500" w:lineRule="exact"/>
        <w:jc w:val="center"/>
        <w:rPr>
          <w:rFonts w:hint="eastAsia" w:ascii="黑体" w:hAnsi="黑体" w:eastAsia="黑体" w:cs="黑体"/>
          <w:sz w:val="44"/>
          <w:szCs w:val="44"/>
        </w:rPr>
      </w:pPr>
      <w:r>
        <w:rPr>
          <w:rFonts w:hint="eastAsia" w:ascii="黑体" w:hAnsi="黑体" w:eastAsia="黑体" w:cs="黑体"/>
          <w:sz w:val="44"/>
          <w:szCs w:val="44"/>
        </w:rPr>
        <w:t>永济市</w:t>
      </w:r>
      <w:r>
        <w:rPr>
          <w:rFonts w:hint="eastAsia" w:ascii="黑体" w:hAnsi="黑体" w:eastAsia="黑体" w:cs="黑体"/>
          <w:sz w:val="44"/>
          <w:szCs w:val="44"/>
          <w:lang w:eastAsia="zh-CN"/>
        </w:rPr>
        <w:t>韩阳镇</w:t>
      </w:r>
      <w:r>
        <w:rPr>
          <w:rFonts w:hint="eastAsia" w:ascii="黑体" w:hAnsi="黑体" w:eastAsia="黑体" w:cs="黑体"/>
          <w:sz w:val="44"/>
          <w:szCs w:val="44"/>
        </w:rPr>
        <w:t>中心学校</w:t>
      </w:r>
    </w:p>
    <w:p>
      <w:pPr>
        <w:spacing w:line="500" w:lineRule="auto"/>
        <w:jc w:val="center"/>
        <w:rPr>
          <w:rFonts w:hint="eastAsia" w:ascii="黑体" w:hAnsi="黑体" w:eastAsia="黑体" w:cs="黑体"/>
          <w:sz w:val="44"/>
          <w:szCs w:val="44"/>
        </w:rPr>
      </w:pPr>
      <w:r>
        <w:rPr>
          <w:rFonts w:hint="eastAsia" w:ascii="黑体" w:hAnsi="黑体" w:eastAsia="黑体" w:cs="黑体"/>
          <w:sz w:val="44"/>
          <w:szCs w:val="44"/>
        </w:rPr>
        <w:t>2022年部门预算公开说明</w:t>
      </w:r>
    </w:p>
    <w:p>
      <w:pPr>
        <w:pStyle w:val="5"/>
        <w:spacing w:line="480" w:lineRule="exact"/>
        <w:ind w:firstLine="480"/>
        <w:rPr>
          <w:rFonts w:ascii="黑体" w:hAnsi="黑体" w:eastAsia="黑体"/>
          <w:bCs/>
          <w:sz w:val="24"/>
        </w:rPr>
      </w:pPr>
    </w:p>
    <w:p>
      <w:pPr>
        <w:pStyle w:val="5"/>
        <w:spacing w:line="360" w:lineRule="auto"/>
        <w:ind w:firstLine="480"/>
        <w:rPr>
          <w:rFonts w:ascii="黑体" w:hAnsi="黑体" w:eastAsia="黑体"/>
          <w:bCs/>
          <w:sz w:val="32"/>
          <w:szCs w:val="32"/>
        </w:rPr>
      </w:pPr>
      <w:r>
        <w:rPr>
          <w:rFonts w:hint="eastAsia" w:ascii="黑体" w:hAnsi="黑体" w:eastAsia="黑体"/>
          <w:bCs/>
          <w:sz w:val="32"/>
          <w:szCs w:val="32"/>
        </w:rPr>
        <w:t>一、单位主要职责及机构设置情况</w:t>
      </w:r>
    </w:p>
    <w:p>
      <w:pPr>
        <w:numPr>
          <w:ilvl w:val="0"/>
          <w:numId w:val="1"/>
        </w:numPr>
        <w:spacing w:line="360" w:lineRule="auto"/>
        <w:ind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基本情况</w:t>
      </w:r>
    </w:p>
    <w:p>
      <w:pPr>
        <w:spacing w:line="360" w:lineRule="auto"/>
        <w:ind w:firstLine="640" w:firstLineChars="200"/>
        <w:jc w:val="left"/>
        <w:rPr>
          <w:rFonts w:hint="eastAsia" w:ascii="楷体_GB2312" w:hAnsi="楷体_GB2312" w:eastAsia="楷体_GB2312" w:cs="楷体_GB2312"/>
          <w:sz w:val="32"/>
          <w:szCs w:val="32"/>
        </w:rPr>
      </w:pPr>
      <w:r>
        <w:rPr>
          <w:rFonts w:hint="eastAsia" w:ascii="仿宋" w:hAnsi="仿宋" w:eastAsia="仿宋" w:cs="仿宋"/>
          <w:kern w:val="2"/>
          <w:sz w:val="32"/>
          <w:szCs w:val="32"/>
          <w:lang w:val="en-US" w:eastAsia="zh-CN" w:bidi="ar-SA"/>
        </w:rPr>
        <w:t>永济市韩阳镇中心学校属全额事业单位，位于永济市韩阳东街2号，编制88人，实有人数92人，其中烹饪班2人，特岗2人，退休人员83人，学生886人。</w:t>
      </w:r>
    </w:p>
    <w:p>
      <w:pPr>
        <w:pStyle w:val="5"/>
        <w:numPr>
          <w:ilvl w:val="0"/>
          <w:numId w:val="1"/>
        </w:numPr>
        <w:tabs>
          <w:tab w:val="left" w:pos="988"/>
          <w:tab w:val="left" w:pos="1093"/>
          <w:tab w:val="left" w:pos="1153"/>
          <w:tab w:val="left" w:pos="1168"/>
        </w:tabs>
        <w:spacing w:line="360" w:lineRule="auto"/>
        <w:ind w:firstLine="48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主要职责</w:t>
      </w:r>
    </w:p>
    <w:p>
      <w:pPr>
        <w:spacing w:line="360" w:lineRule="auto"/>
        <w:ind w:firstLine="640" w:firstLineChars="200"/>
        <w:jc w:val="left"/>
        <w:rPr>
          <w:rFonts w:hint="eastAsia" w:ascii="楷体_GB2312" w:hAnsi="楷体_GB2312" w:eastAsia="楷体_GB2312" w:cs="楷体_GB2312"/>
          <w:sz w:val="32"/>
          <w:szCs w:val="32"/>
        </w:rPr>
      </w:pPr>
      <w:r>
        <w:rPr>
          <w:rFonts w:hint="eastAsia" w:ascii="仿宋" w:hAnsi="仿宋" w:eastAsia="仿宋" w:cs="仿宋"/>
          <w:kern w:val="2"/>
          <w:sz w:val="32"/>
          <w:szCs w:val="32"/>
          <w:lang w:val="en-US" w:eastAsia="zh-CN" w:bidi="ar-SA"/>
        </w:rPr>
        <w:t>为辖区学前及小学教育阶段学生提供教育教学服务。</w:t>
      </w:r>
    </w:p>
    <w:p>
      <w:pPr>
        <w:spacing w:line="360" w:lineRule="auto"/>
        <w:ind w:firstLine="640" w:firstLineChars="200"/>
        <w:jc w:val="left"/>
        <w:rPr>
          <w:rFonts w:ascii="楷体_GB2312" w:hAnsi="楷体_GB2312" w:eastAsia="楷体_GB2312" w:cs="楷体_GB2312"/>
          <w:sz w:val="24"/>
        </w:rPr>
      </w:pPr>
      <w:r>
        <w:rPr>
          <w:rFonts w:hint="eastAsia" w:ascii="楷体_GB2312" w:hAnsi="楷体_GB2312" w:eastAsia="楷体_GB2312" w:cs="楷体_GB2312"/>
          <w:sz w:val="32"/>
          <w:szCs w:val="32"/>
        </w:rPr>
        <w:t>（三）机构设置情况</w:t>
      </w:r>
    </w:p>
    <w:p>
      <w:pPr>
        <w:spacing w:line="360" w:lineRule="auto"/>
        <w:ind w:firstLine="640" w:firstLineChars="200"/>
        <w:jc w:val="left"/>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我单位机构设为中心校下属4所小学和7所幼儿园。为辖区教育教学提供服务，进行教学管理、业务指导，我中心校办校宗旨是实施农村学前教育和小学教育，培养高素质的学生。</w:t>
      </w:r>
    </w:p>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二、本级预算情况</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bCs/>
          <w:sz w:val="32"/>
          <w:szCs w:val="32"/>
        </w:rPr>
      </w:pPr>
      <w:r>
        <w:rPr>
          <w:rFonts w:hint="eastAsia" w:ascii="仿宋" w:hAnsi="仿宋" w:eastAsia="仿宋" w:cs="仿宋"/>
          <w:sz w:val="32"/>
          <w:szCs w:val="32"/>
        </w:rPr>
        <w:t>我单位为全额事业单位，属于永济市教育局二级独立核算单位。2022年我单位预算收入安排为</w:t>
      </w:r>
      <w:r>
        <w:rPr>
          <w:rFonts w:hint="eastAsia" w:ascii="仿宋" w:hAnsi="仿宋" w:eastAsia="仿宋" w:cs="仿宋"/>
          <w:sz w:val="32"/>
          <w:szCs w:val="32"/>
          <w:lang w:val="en-US" w:eastAsia="zh-CN"/>
        </w:rPr>
        <w:t>1123.33</w:t>
      </w:r>
      <w:r>
        <w:rPr>
          <w:rFonts w:hint="eastAsia" w:ascii="仿宋" w:hAnsi="仿宋" w:eastAsia="仿宋" w:cs="仿宋"/>
          <w:sz w:val="32"/>
          <w:szCs w:val="32"/>
        </w:rPr>
        <w:t>万元，其中：一般公共预算</w:t>
      </w:r>
      <w:r>
        <w:rPr>
          <w:rFonts w:hint="eastAsia" w:ascii="仿宋" w:hAnsi="仿宋" w:eastAsia="仿宋" w:cs="仿宋"/>
          <w:sz w:val="32"/>
          <w:szCs w:val="32"/>
          <w:lang w:val="en-US" w:eastAsia="zh-CN"/>
        </w:rPr>
        <w:t>1123.33</w:t>
      </w:r>
      <w:r>
        <w:rPr>
          <w:rFonts w:hint="eastAsia" w:ascii="仿宋" w:hAnsi="仿宋" w:eastAsia="仿宋" w:cs="仿宋"/>
          <w:sz w:val="32"/>
          <w:szCs w:val="32"/>
        </w:rPr>
        <w:t>万元。根据收支平衡的原则，预算支出安排为</w:t>
      </w:r>
      <w:r>
        <w:rPr>
          <w:rFonts w:hint="eastAsia" w:ascii="仿宋" w:hAnsi="仿宋" w:eastAsia="仿宋" w:cs="仿宋"/>
          <w:sz w:val="32"/>
          <w:szCs w:val="32"/>
          <w:lang w:val="en-US" w:eastAsia="zh-CN"/>
        </w:rPr>
        <w:t>1123.33</w:t>
      </w:r>
      <w:r>
        <w:rPr>
          <w:rFonts w:hint="eastAsia" w:ascii="仿宋" w:hAnsi="仿宋" w:eastAsia="仿宋" w:cs="仿宋"/>
          <w:sz w:val="32"/>
          <w:szCs w:val="32"/>
        </w:rPr>
        <w:t>万元（其中工资福利支出为</w:t>
      </w:r>
      <w:r>
        <w:rPr>
          <w:rFonts w:hint="eastAsia" w:ascii="仿宋" w:hAnsi="仿宋" w:eastAsia="仿宋" w:cs="仿宋"/>
          <w:sz w:val="32"/>
          <w:szCs w:val="32"/>
          <w:lang w:val="en-US" w:eastAsia="zh-CN"/>
        </w:rPr>
        <w:t>927.84</w:t>
      </w:r>
      <w:r>
        <w:rPr>
          <w:rFonts w:hint="eastAsia" w:ascii="仿宋" w:hAnsi="仿宋" w:eastAsia="仿宋" w:cs="仿宋"/>
          <w:sz w:val="32"/>
          <w:szCs w:val="32"/>
        </w:rPr>
        <w:t>万元，对个人和家庭的补助为</w:t>
      </w:r>
      <w:r>
        <w:rPr>
          <w:rFonts w:hint="eastAsia" w:ascii="仿宋" w:hAnsi="仿宋" w:eastAsia="仿宋" w:cs="仿宋"/>
          <w:sz w:val="32"/>
          <w:szCs w:val="32"/>
          <w:lang w:val="en-US" w:eastAsia="zh-CN"/>
        </w:rPr>
        <w:t>58.89</w:t>
      </w:r>
      <w:r>
        <w:rPr>
          <w:rFonts w:hint="eastAsia" w:ascii="仿宋" w:hAnsi="仿宋" w:eastAsia="仿宋" w:cs="仿宋"/>
          <w:sz w:val="32"/>
          <w:szCs w:val="32"/>
        </w:rPr>
        <w:t>万元，商品服务支出为</w:t>
      </w:r>
      <w:r>
        <w:rPr>
          <w:rFonts w:hint="eastAsia" w:ascii="仿宋" w:hAnsi="仿宋" w:eastAsia="仿宋" w:cs="仿宋"/>
          <w:sz w:val="32"/>
          <w:szCs w:val="32"/>
          <w:lang w:val="en-US" w:eastAsia="zh-CN"/>
        </w:rPr>
        <w:t>12.21</w:t>
      </w:r>
      <w:r>
        <w:rPr>
          <w:rFonts w:hint="eastAsia" w:ascii="仿宋" w:hAnsi="仿宋" w:eastAsia="仿宋" w:cs="仿宋"/>
          <w:sz w:val="32"/>
          <w:szCs w:val="32"/>
        </w:rPr>
        <w:t>万元，项目支出为</w:t>
      </w:r>
      <w:r>
        <w:rPr>
          <w:rFonts w:hint="eastAsia" w:ascii="仿宋" w:hAnsi="仿宋" w:eastAsia="仿宋" w:cs="仿宋"/>
          <w:sz w:val="32"/>
          <w:szCs w:val="32"/>
          <w:lang w:val="en-US" w:eastAsia="zh-CN"/>
        </w:rPr>
        <w:t>124.39</w:t>
      </w:r>
      <w:r>
        <w:rPr>
          <w:rFonts w:hint="eastAsia" w:ascii="仿宋" w:hAnsi="仿宋" w:eastAsia="仿宋" w:cs="仿宋"/>
          <w:sz w:val="32"/>
          <w:szCs w:val="32"/>
        </w:rPr>
        <w:t>万元）。</w:t>
      </w:r>
    </w:p>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三、预算收支增减变化及情况说明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2022年收入预算为</w:t>
      </w:r>
      <w:r>
        <w:rPr>
          <w:rFonts w:hint="eastAsia" w:ascii="仿宋" w:hAnsi="仿宋" w:eastAsia="仿宋" w:cs="仿宋"/>
          <w:sz w:val="32"/>
          <w:szCs w:val="32"/>
          <w:lang w:val="en-US" w:eastAsia="zh-CN"/>
        </w:rPr>
        <w:t>1123.33</w:t>
      </w:r>
      <w:r>
        <w:rPr>
          <w:rFonts w:hint="eastAsia" w:ascii="仿宋" w:hAnsi="仿宋" w:eastAsia="仿宋" w:cs="仿宋"/>
          <w:kern w:val="2"/>
          <w:sz w:val="32"/>
          <w:szCs w:val="32"/>
          <w:lang w:val="en-US" w:eastAsia="zh-CN" w:bidi="ar-SA"/>
        </w:rPr>
        <w:t>万元，比上年减少13.69%。支出预算为</w:t>
      </w:r>
      <w:r>
        <w:rPr>
          <w:rFonts w:hint="eastAsia" w:ascii="仿宋" w:hAnsi="仿宋" w:eastAsia="仿宋" w:cs="仿宋"/>
          <w:sz w:val="32"/>
          <w:szCs w:val="32"/>
          <w:lang w:val="en-US" w:eastAsia="zh-CN"/>
        </w:rPr>
        <w:t>1123.33</w:t>
      </w:r>
      <w:r>
        <w:rPr>
          <w:rFonts w:hint="eastAsia" w:ascii="仿宋" w:hAnsi="仿宋" w:eastAsia="仿宋" w:cs="仿宋"/>
          <w:kern w:val="2"/>
          <w:sz w:val="32"/>
          <w:szCs w:val="32"/>
          <w:lang w:val="en-US" w:eastAsia="zh-CN" w:bidi="ar-SA"/>
        </w:rPr>
        <w:t>万元，比上年减少13.69%，其中工资福利支出为927.84万元，比上年减少11.64%，原因是人员减少；对个人和家庭的补助为58.89万元，比上年增长5.6%，原因是退休人员增长及遗属补助标准提高；商品服务支出为12.21万元,</w:t>
      </w:r>
      <w:r>
        <w:rPr>
          <w:rFonts w:hint="eastAsia" w:ascii="仿宋" w:hAnsi="仿宋" w:eastAsia="仿宋" w:cs="仿宋"/>
          <w:sz w:val="32"/>
          <w:szCs w:val="32"/>
        </w:rPr>
        <w:t>比上年减少</w:t>
      </w:r>
      <w:r>
        <w:rPr>
          <w:rFonts w:hint="eastAsia" w:ascii="仿宋" w:hAnsi="仿宋" w:eastAsia="仿宋" w:cs="仿宋"/>
          <w:sz w:val="32"/>
          <w:szCs w:val="32"/>
          <w:lang w:val="en-US" w:eastAsia="zh-CN"/>
        </w:rPr>
        <w:t>21.38%</w:t>
      </w:r>
      <w:r>
        <w:rPr>
          <w:rFonts w:hint="eastAsia" w:ascii="仿宋" w:hAnsi="仿宋" w:eastAsia="仿宋" w:cs="仿宋"/>
          <w:sz w:val="32"/>
          <w:szCs w:val="32"/>
        </w:rPr>
        <w:t>，</w:t>
      </w:r>
      <w:r>
        <w:rPr>
          <w:rFonts w:hint="eastAsia" w:ascii="仿宋" w:hAnsi="仿宋" w:eastAsia="仿宋" w:cs="仿宋"/>
          <w:kern w:val="2"/>
          <w:sz w:val="32"/>
          <w:szCs w:val="32"/>
          <w:lang w:val="en-US" w:eastAsia="zh-CN" w:bidi="ar-SA"/>
        </w:rPr>
        <w:t>原因是部门经济分类科目调整；项目支出为124.39万元，比上年减少37.36%，原因是部门经济分类科目调整。</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sz w:val="32"/>
          <w:szCs w:val="32"/>
        </w:rPr>
      </w:pPr>
      <w:r>
        <w:rPr>
          <w:rFonts w:hint="eastAsia" w:ascii="黑体" w:hAnsi="黑体" w:eastAsia="黑体" w:cs="黑体"/>
          <w:bCs/>
          <w:sz w:val="32"/>
          <w:szCs w:val="32"/>
        </w:rPr>
        <w:t>四、机关运行经费安排情况说明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2022年我单位</w:t>
      </w:r>
      <w:r>
        <w:rPr>
          <w:rFonts w:hint="eastAsia" w:ascii="仿宋" w:hAnsi="仿宋" w:eastAsia="仿宋" w:cs="仿宋"/>
          <w:bCs/>
          <w:sz w:val="32"/>
          <w:szCs w:val="32"/>
        </w:rPr>
        <w:t>机关运行经费安排为</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w:t>
      </w:r>
      <w:r>
        <w:rPr>
          <w:rFonts w:hint="eastAsia" w:ascii="仿宋" w:hAnsi="仿宋" w:eastAsia="仿宋" w:cs="仿宋"/>
          <w:sz w:val="32"/>
          <w:szCs w:val="32"/>
        </w:rPr>
        <w:t>比上年减少</w:t>
      </w:r>
      <w:r>
        <w:rPr>
          <w:rFonts w:hint="eastAsia" w:ascii="仿宋" w:hAnsi="仿宋" w:eastAsia="仿宋" w:cs="仿宋"/>
          <w:kern w:val="2"/>
          <w:sz w:val="32"/>
          <w:szCs w:val="32"/>
          <w:lang w:val="en-US" w:eastAsia="zh-CN" w:bidi="ar-SA"/>
        </w:rPr>
        <w:t>100%</w:t>
      </w:r>
      <w:r>
        <w:rPr>
          <w:rFonts w:hint="eastAsia" w:ascii="仿宋" w:hAnsi="仿宋" w:eastAsia="仿宋" w:cs="仿宋"/>
          <w:sz w:val="32"/>
          <w:szCs w:val="32"/>
        </w:rPr>
        <w:t>，原因是</w:t>
      </w:r>
      <w:r>
        <w:rPr>
          <w:rFonts w:hint="eastAsia" w:ascii="仿宋" w:hAnsi="仿宋" w:eastAsia="仿宋" w:cs="仿宋"/>
          <w:kern w:val="2"/>
          <w:sz w:val="32"/>
          <w:szCs w:val="32"/>
          <w:lang w:val="en-US" w:eastAsia="zh-CN" w:bidi="ar-SA"/>
        </w:rPr>
        <w:t>本单位为事业单位，非行政机关，无运行经费</w:t>
      </w:r>
      <w:r>
        <w:rPr>
          <w:rFonts w:hint="eastAsia" w:ascii="仿宋" w:hAnsi="仿宋" w:eastAsia="仿宋" w:cs="仿宋"/>
          <w:bCs/>
          <w:sz w:val="32"/>
          <w:szCs w:val="32"/>
        </w:rPr>
        <w:t>。</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ascii="黑体" w:hAnsi="黑体" w:eastAsia="黑体"/>
          <w:bCs/>
          <w:sz w:val="32"/>
          <w:szCs w:val="32"/>
        </w:rPr>
      </w:pPr>
      <w:r>
        <w:rPr>
          <w:rFonts w:hint="eastAsia" w:ascii="黑体" w:hAnsi="黑体" w:eastAsia="黑体"/>
          <w:bCs/>
          <w:sz w:val="32"/>
          <w:szCs w:val="32"/>
        </w:rPr>
        <w:t>五、政府采购安排情况说明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rPr>
        <w:t>2022年我单位政府采购预算安排为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left"/>
        <w:textAlignment w:val="auto"/>
        <w:outlineLvl w:val="9"/>
        <w:rPr>
          <w:rFonts w:hint="eastAsia" w:ascii="黑体" w:hAnsi="黑体" w:eastAsia="黑体" w:cs="黑体"/>
          <w:bCs/>
          <w:sz w:val="32"/>
          <w:szCs w:val="32"/>
        </w:rPr>
      </w:pPr>
      <w:r>
        <w:rPr>
          <w:rFonts w:hint="eastAsia" w:ascii="黑体" w:hAnsi="黑体" w:eastAsia="黑体" w:cs="黑体"/>
          <w:bCs/>
          <w:sz w:val="32"/>
          <w:szCs w:val="32"/>
        </w:rPr>
        <w:t>六、专业性较强的名词解释</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普惠性民办幼儿园生均财政补助制度：从2020年起，全省各级财政应健全完善对普惠性民办幼儿园的扶持政策。各县财政对本地区经教育部门认定的普惠性民办幼儿园，应依据其提供的普惠性学位数量和质量，按照生均标准安排财政补助。补助项目包括但不限于以下内容：幼儿园添置和更新教育娱乐等教具、玩具，美化园内体育文化环境、添置和更新安全监控系统，适当弥补公用经费不足。</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、城乡义务教育阶段中小学公用经费是对城乡义务教育学校（含民办学校）按照不低于基准定额的标准补助公用经费。</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黑体" w:hAnsi="黑体" w:eastAsia="黑体" w:cs="黑体"/>
          <w:bCs/>
          <w:sz w:val="32"/>
          <w:szCs w:val="32"/>
        </w:rPr>
      </w:pPr>
      <w:r>
        <w:rPr>
          <w:rFonts w:hint="eastAsia" w:ascii="黑体" w:hAnsi="黑体" w:eastAsia="黑体" w:cs="黑体"/>
          <w:bCs/>
          <w:sz w:val="32"/>
          <w:szCs w:val="32"/>
        </w:rPr>
        <w:t>七、“三公”经费增减变化情况</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三公经费”预算0万元，和上年相比无变化，原因是本单位没有此项预算。其中因公出国（境）费0万元，原因是本年度没有出国（境）安排；公务接待费0万元，和上年比无变化，原因是我校无接待任务；公务用车运行维护费0万元，和上年比无变化，原因是我校无公务用车；公务用车购置费0万元，和上年比无变化，原因是我校无此项安排。</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r>
        <w:rPr>
          <w:rFonts w:hint="eastAsia" w:ascii="黑体" w:hAnsi="黑体" w:eastAsia="黑体"/>
          <w:sz w:val="32"/>
          <w:szCs w:val="32"/>
        </w:rPr>
        <w:t>八、国有资产占用情况说明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截止202</w:t>
      </w:r>
      <w:r>
        <w:rPr>
          <w:rFonts w:hint="eastAsia" w:ascii="仿宋" w:hAnsi="仿宋" w:eastAsia="仿宋" w:cs="仿宋"/>
          <w:sz w:val="32"/>
          <w:szCs w:val="32"/>
          <w:lang w:val="en-US" w:eastAsia="zh-CN"/>
        </w:rPr>
        <w:t>1</w:t>
      </w:r>
      <w:r>
        <w:rPr>
          <w:rFonts w:hint="eastAsia" w:ascii="仿宋" w:hAnsi="仿宋" w:eastAsia="仿宋" w:cs="仿宋"/>
          <w:sz w:val="32"/>
          <w:szCs w:val="32"/>
        </w:rPr>
        <w:t>年12月31日，我单位资产总额</w:t>
      </w:r>
      <w:r>
        <w:rPr>
          <w:rFonts w:hint="eastAsia" w:ascii="仿宋" w:hAnsi="仿宋" w:eastAsia="仿宋" w:cs="仿宋"/>
          <w:sz w:val="32"/>
          <w:szCs w:val="32"/>
          <w:lang w:val="en-US" w:eastAsia="zh-CN"/>
        </w:rPr>
        <w:t>1418.39</w:t>
      </w:r>
      <w:r>
        <w:rPr>
          <w:rFonts w:hint="eastAsia" w:ascii="仿宋" w:hAnsi="仿宋" w:eastAsia="仿宋" w:cs="仿宋"/>
          <w:sz w:val="32"/>
          <w:szCs w:val="32"/>
        </w:rPr>
        <w:t>万元，其中流动资产</w:t>
      </w:r>
      <w:r>
        <w:rPr>
          <w:rFonts w:hint="eastAsia" w:ascii="仿宋" w:hAnsi="仿宋" w:eastAsia="仿宋" w:cs="仿宋"/>
          <w:sz w:val="32"/>
          <w:szCs w:val="32"/>
          <w:lang w:val="en-US" w:eastAsia="zh-CN"/>
        </w:rPr>
        <w:t>31.39</w:t>
      </w:r>
      <w:r>
        <w:rPr>
          <w:rFonts w:hint="eastAsia" w:ascii="仿宋" w:hAnsi="仿宋" w:eastAsia="仿宋" w:cs="仿宋"/>
          <w:sz w:val="32"/>
          <w:szCs w:val="32"/>
        </w:rPr>
        <w:t>万元；固定资产原值</w:t>
      </w:r>
      <w:r>
        <w:rPr>
          <w:rFonts w:hint="eastAsia" w:ascii="仿宋" w:hAnsi="仿宋" w:eastAsia="仿宋" w:cs="仿宋"/>
          <w:sz w:val="32"/>
          <w:szCs w:val="32"/>
          <w:lang w:val="en-US" w:eastAsia="zh-CN"/>
        </w:rPr>
        <w:t>1386.12</w:t>
      </w:r>
      <w:r>
        <w:rPr>
          <w:rFonts w:hint="eastAsia" w:ascii="仿宋" w:hAnsi="仿宋" w:eastAsia="仿宋" w:cs="仿宋"/>
          <w:sz w:val="32"/>
          <w:szCs w:val="32"/>
        </w:rPr>
        <w:t>万元，累计折旧</w:t>
      </w:r>
      <w:r>
        <w:rPr>
          <w:rFonts w:hint="eastAsia" w:ascii="仿宋" w:hAnsi="仿宋" w:eastAsia="仿宋" w:cs="仿宋"/>
          <w:sz w:val="32"/>
          <w:szCs w:val="32"/>
          <w:lang w:val="en-US" w:eastAsia="zh-CN"/>
        </w:rPr>
        <w:t>667.26</w:t>
      </w:r>
      <w:r>
        <w:rPr>
          <w:rFonts w:hint="eastAsia" w:ascii="仿宋" w:hAnsi="仿宋" w:eastAsia="仿宋" w:cs="仿宋"/>
          <w:sz w:val="32"/>
          <w:szCs w:val="32"/>
        </w:rPr>
        <w:t>万元，固定资产净值为</w:t>
      </w:r>
      <w:r>
        <w:rPr>
          <w:rFonts w:hint="eastAsia" w:ascii="仿宋" w:hAnsi="仿宋" w:eastAsia="仿宋" w:cs="仿宋"/>
          <w:sz w:val="32"/>
          <w:szCs w:val="32"/>
          <w:lang w:val="en-US" w:eastAsia="zh-CN"/>
        </w:rPr>
        <w:t>718.86</w:t>
      </w:r>
      <w:r>
        <w:rPr>
          <w:rFonts w:hint="eastAsia" w:ascii="仿宋" w:hAnsi="仿宋" w:eastAsia="仿宋" w:cs="仿宋"/>
          <w:sz w:val="32"/>
          <w:szCs w:val="32"/>
        </w:rPr>
        <w:t>万元</w:t>
      </w:r>
      <w:r>
        <w:rPr>
          <w:rFonts w:hint="eastAsia" w:ascii="仿宋" w:hAnsi="仿宋" w:eastAsia="仿宋" w:cs="仿宋"/>
          <w:sz w:val="32"/>
          <w:szCs w:val="32"/>
          <w:lang w:eastAsia="zh-CN"/>
        </w:rPr>
        <w:t>；无形资产原值</w:t>
      </w:r>
      <w:r>
        <w:rPr>
          <w:rFonts w:hint="eastAsia" w:ascii="仿宋" w:hAnsi="仿宋" w:eastAsia="仿宋" w:cs="仿宋"/>
          <w:sz w:val="32"/>
          <w:szCs w:val="32"/>
          <w:lang w:val="en-US" w:eastAsia="zh-CN"/>
        </w:rPr>
        <w:t>0.88万元，累计折旧0.75万元，净值为0.13万元。</w:t>
      </w:r>
      <w:r>
        <w:rPr>
          <w:rFonts w:hint="eastAsia" w:ascii="仿宋" w:hAnsi="仿宋" w:eastAsia="仿宋" w:cs="仿宋"/>
          <w:sz w:val="32"/>
          <w:szCs w:val="32"/>
        </w:rPr>
        <w:t>固定资产当中，房屋构筑物</w:t>
      </w:r>
      <w:r>
        <w:rPr>
          <w:rFonts w:hint="eastAsia" w:ascii="仿宋" w:hAnsi="仿宋" w:eastAsia="仿宋" w:cs="仿宋"/>
          <w:sz w:val="32"/>
          <w:szCs w:val="32"/>
          <w:lang w:val="en-US" w:eastAsia="zh-CN"/>
        </w:rPr>
        <w:t>956.31</w:t>
      </w:r>
      <w:r>
        <w:rPr>
          <w:rFonts w:hint="eastAsia" w:ascii="仿宋" w:hAnsi="仿宋" w:eastAsia="仿宋" w:cs="仿宋"/>
          <w:sz w:val="32"/>
          <w:szCs w:val="32"/>
        </w:rPr>
        <w:t>万元，其他固定资产4</w:t>
      </w:r>
      <w:r>
        <w:rPr>
          <w:rFonts w:hint="eastAsia" w:ascii="仿宋" w:hAnsi="仿宋" w:eastAsia="仿宋" w:cs="仿宋"/>
          <w:sz w:val="32"/>
          <w:szCs w:val="32"/>
          <w:lang w:val="en-US" w:eastAsia="zh-CN"/>
        </w:rPr>
        <w:t>29.81</w:t>
      </w:r>
      <w:r>
        <w:rPr>
          <w:rFonts w:hint="eastAsia" w:ascii="仿宋" w:hAnsi="仿宋" w:eastAsia="仿宋" w:cs="仿宋"/>
          <w:sz w:val="32"/>
          <w:szCs w:val="32"/>
        </w:rPr>
        <w:t>万元。与上年相比，本年固定资产原值增长</w:t>
      </w:r>
      <w:r>
        <w:rPr>
          <w:rFonts w:hint="eastAsia" w:ascii="仿宋" w:hAnsi="仿宋" w:eastAsia="仿宋" w:cs="仿宋"/>
          <w:sz w:val="32"/>
          <w:szCs w:val="32"/>
          <w:lang w:val="en-US" w:eastAsia="zh-CN"/>
        </w:rPr>
        <w:t>50.36</w:t>
      </w:r>
      <w:r>
        <w:rPr>
          <w:rFonts w:hint="eastAsia" w:ascii="仿宋" w:hAnsi="仿宋" w:eastAsia="仿宋" w:cs="仿宋"/>
          <w:sz w:val="32"/>
          <w:szCs w:val="32"/>
        </w:rPr>
        <w:t>万元，原因是通用设备</w:t>
      </w:r>
      <w:r>
        <w:rPr>
          <w:rFonts w:hint="eastAsia" w:ascii="仿宋" w:hAnsi="仿宋" w:eastAsia="仿宋" w:cs="仿宋"/>
          <w:sz w:val="32"/>
          <w:szCs w:val="32"/>
          <w:lang w:eastAsia="zh-CN"/>
        </w:rPr>
        <w:t>等</w:t>
      </w:r>
      <w:r>
        <w:rPr>
          <w:rFonts w:hint="eastAsia" w:ascii="仿宋" w:hAnsi="仿宋" w:eastAsia="仿宋" w:cs="仿宋"/>
          <w:sz w:val="32"/>
          <w:szCs w:val="32"/>
        </w:rPr>
        <w:t>增长。</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年预计新增采购固定资产</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r>
        <w:rPr>
          <w:rFonts w:hint="eastAsia" w:ascii="黑体" w:hAnsi="黑体" w:eastAsia="黑体"/>
          <w:sz w:val="32"/>
          <w:szCs w:val="32"/>
        </w:rPr>
        <w:t>九、重点项目预算的绩效目标情况说明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年度本部门</w:t>
      </w:r>
      <w:r>
        <w:rPr>
          <w:rFonts w:hint="eastAsia" w:ascii="仿宋" w:hAnsi="仿宋" w:eastAsia="仿宋" w:cs="仿宋"/>
          <w:sz w:val="32"/>
          <w:szCs w:val="32"/>
          <w:lang w:eastAsia="zh-CN"/>
        </w:rPr>
        <w:t>共</w:t>
      </w:r>
      <w:r>
        <w:rPr>
          <w:rFonts w:hint="eastAsia" w:ascii="仿宋" w:hAnsi="仿宋" w:eastAsia="仿宋" w:cs="仿宋"/>
          <w:sz w:val="32"/>
          <w:szCs w:val="32"/>
          <w:lang w:val="en-US" w:eastAsia="zh-CN"/>
        </w:rPr>
        <w:t>5个项目设定绩效目标，共124.39万元。本单位</w:t>
      </w:r>
      <w:r>
        <w:rPr>
          <w:rFonts w:hint="eastAsia" w:ascii="仿宋" w:hAnsi="仿宋" w:eastAsia="仿宋" w:cs="仿宋"/>
          <w:sz w:val="32"/>
          <w:szCs w:val="32"/>
        </w:rPr>
        <w:t>无</w:t>
      </w:r>
      <w:r>
        <w:rPr>
          <w:rFonts w:hint="eastAsia" w:ascii="仿宋" w:hAnsi="仿宋" w:eastAsia="仿宋" w:cs="仿宋"/>
          <w:sz w:val="32"/>
          <w:szCs w:val="32"/>
          <w:lang w:eastAsia="zh-CN"/>
        </w:rPr>
        <w:t>重点项目</w:t>
      </w:r>
      <w:r>
        <w:rPr>
          <w:rFonts w:hint="eastAsia" w:ascii="仿宋" w:hAnsi="仿宋" w:eastAsia="仿宋" w:cs="仿宋"/>
          <w:sz w:val="32"/>
          <w:szCs w:val="32"/>
        </w:rPr>
        <w:t>预算的绩效目标。</w:t>
      </w:r>
    </w:p>
    <w:p>
      <w:pPr>
        <w:spacing w:line="360" w:lineRule="auto"/>
        <w:ind w:firstLine="480" w:firstLineChars="200"/>
        <w:rPr>
          <w:rFonts w:ascii="仿宋_GB2312" w:eastAsia="仿宋_GB2312"/>
          <w:sz w:val="24"/>
        </w:rPr>
      </w:pPr>
    </w:p>
    <w:p>
      <w:pPr>
        <w:spacing w:line="44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单位负责人：</w:t>
      </w:r>
      <w:r>
        <w:rPr>
          <w:rFonts w:hint="eastAsia" w:ascii="仿宋" w:hAnsi="仿宋" w:eastAsia="仿宋" w:cs="仿宋"/>
          <w:sz w:val="32"/>
          <w:szCs w:val="32"/>
          <w:lang w:eastAsia="zh-CN"/>
        </w:rPr>
        <w:t>贺益民</w:t>
      </w:r>
      <w:r>
        <w:rPr>
          <w:rFonts w:hint="eastAsia" w:ascii="仿宋" w:hAnsi="仿宋" w:eastAsia="仿宋" w:cs="仿宋"/>
          <w:sz w:val="32"/>
          <w:szCs w:val="32"/>
        </w:rPr>
        <w:t xml:space="preserve">       财务负责人：</w:t>
      </w:r>
      <w:r>
        <w:rPr>
          <w:rFonts w:hint="eastAsia" w:ascii="仿宋" w:hAnsi="仿宋" w:eastAsia="仿宋" w:cs="仿宋"/>
          <w:sz w:val="32"/>
          <w:szCs w:val="32"/>
          <w:lang w:eastAsia="zh-CN"/>
        </w:rPr>
        <w:t>相</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国</w:t>
      </w:r>
    </w:p>
    <w:p>
      <w:pPr>
        <w:spacing w:line="44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rPr>
        <w:t>填  报  人：</w:t>
      </w:r>
      <w:r>
        <w:rPr>
          <w:rFonts w:hint="eastAsia" w:ascii="仿宋" w:hAnsi="仿宋" w:eastAsia="仿宋" w:cs="仿宋"/>
          <w:sz w:val="32"/>
          <w:szCs w:val="32"/>
          <w:lang w:eastAsia="zh-CN"/>
        </w:rPr>
        <w:t>陈健全</w:t>
      </w:r>
      <w:r>
        <w:rPr>
          <w:rFonts w:hint="eastAsia" w:ascii="仿宋" w:hAnsi="仿宋" w:eastAsia="仿宋" w:cs="仿宋"/>
          <w:sz w:val="32"/>
          <w:szCs w:val="32"/>
        </w:rPr>
        <w:t xml:space="preserve">       联系电话：</w:t>
      </w:r>
      <w:r>
        <w:rPr>
          <w:rFonts w:hint="eastAsia" w:ascii="仿宋" w:hAnsi="仿宋" w:eastAsia="仿宋" w:cs="仿宋"/>
          <w:sz w:val="32"/>
          <w:szCs w:val="32"/>
          <w:lang w:val="en-US" w:eastAsia="zh-CN"/>
        </w:rPr>
        <w:t>8302085</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B0604020202020204"/>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舒体">
    <w:altName w:val="宋体"/>
    <w:panose1 w:val="02010601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E71E4"/>
    <w:multiLevelType w:val="singleLevel"/>
    <w:tmpl w:val="390E71E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D73353"/>
    <w:rsid w:val="001932A1"/>
    <w:rsid w:val="001E5D0A"/>
    <w:rsid w:val="00254527"/>
    <w:rsid w:val="005A7AE8"/>
    <w:rsid w:val="00620E9B"/>
    <w:rsid w:val="00730618"/>
    <w:rsid w:val="00767F21"/>
    <w:rsid w:val="008A0D7A"/>
    <w:rsid w:val="008B452D"/>
    <w:rsid w:val="008E50A1"/>
    <w:rsid w:val="00F26148"/>
    <w:rsid w:val="0E4944C7"/>
    <w:rsid w:val="2D4F5342"/>
    <w:rsid w:val="36D73353"/>
    <w:rsid w:val="36F4276F"/>
    <w:rsid w:val="3CEE662E"/>
    <w:rsid w:val="3EA33DB1"/>
    <w:rsid w:val="40E91332"/>
    <w:rsid w:val="47C36761"/>
    <w:rsid w:val="52C81EBD"/>
    <w:rsid w:val="605D0EAD"/>
    <w:rsid w:val="620657DB"/>
    <w:rsid w:val="65DD0E73"/>
    <w:rsid w:val="667F4819"/>
    <w:rsid w:val="6720771F"/>
    <w:rsid w:val="7DCB787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2">
    <w:name w:val="Default Paragraph Font"/>
    <w:unhideWhenUsed/>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character" w:styleId="3">
    <w:name w:val="Emphasis"/>
    <w:basedOn w:val="2"/>
    <w:qFormat/>
    <w:uiPriority w:val="0"/>
    <w:rPr>
      <w:rFonts w:cs="Times New Roman"/>
      <w:i/>
    </w:rPr>
  </w:style>
  <w:style w:type="paragraph" w:customStyle="1" w:styleId="5">
    <w:name w:val="列出段落1"/>
    <w:basedOn w:val="1"/>
    <w:qFormat/>
    <w:uiPriority w:val="34"/>
    <w:pPr>
      <w:ind w:firstLine="420" w:firstLineChars="200"/>
    </w:pPr>
  </w:style>
  <w:style w:type="paragraph" w:customStyle="1" w:styleId="6">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968</Words>
  <Characters>182</Characters>
  <Lines>1</Lines>
  <Paragraphs>2</Paragraphs>
  <ScaleCrop>false</ScaleCrop>
  <LinksUpToDate>false</LinksUpToDate>
  <CharactersWithSpaces>1148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2022-02-15T05:34:00Z</dcterms:created>
  <dc:creator>Administrator</dc:creator>
  <cp:lastModifiedBy>Administrator</cp:lastModifiedBy>
  <cp:lastPrinted>2022-02-15T02:08:00Z</cp:lastPrinted>
  <dcterms:modified xsi:type="dcterms:W3CDTF">2022-02-21T03:31:36Z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AF86E45C1CBB4E45B3B50950BB646BF8</vt:lpwstr>
  </property>
</Properties>
</file>