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center"/>
        <w:textAlignment w:val="auto"/>
        <w:rPr>
          <w:rFonts w:hint="eastAsia" w:ascii="黑体" w:hAnsi="黑体" w:eastAsia="黑体" w:cs="黑体"/>
          <w:sz w:val="44"/>
          <w:szCs w:val="44"/>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center"/>
        <w:textAlignment w:val="auto"/>
        <w:rPr>
          <w:rFonts w:hint="eastAsia" w:ascii="黑体" w:hAnsi="黑体" w:eastAsia="黑体" w:cs="黑体"/>
          <w:sz w:val="44"/>
          <w:szCs w:val="44"/>
          <w:lang w:eastAsia="zh-CN"/>
        </w:rPr>
      </w:pPr>
      <w:r>
        <w:rPr>
          <w:rFonts w:hint="eastAsia" w:ascii="黑体" w:hAnsi="黑体" w:eastAsia="黑体" w:cs="黑体"/>
          <w:sz w:val="44"/>
          <w:szCs w:val="44"/>
        </w:rPr>
        <w:t>永济市</w:t>
      </w:r>
      <w:r>
        <w:rPr>
          <w:rFonts w:hint="eastAsia" w:ascii="黑体" w:hAnsi="黑体" w:eastAsia="黑体" w:cs="黑体"/>
          <w:sz w:val="44"/>
          <w:szCs w:val="44"/>
          <w:lang w:eastAsia="zh-CN"/>
        </w:rPr>
        <w:t>北郊小学校</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center"/>
        <w:textAlignment w:val="auto"/>
        <w:rPr>
          <w:rFonts w:hint="eastAsia" w:ascii="黑体" w:hAnsi="黑体" w:eastAsia="黑体" w:cs="黑体"/>
          <w:sz w:val="44"/>
          <w:szCs w:val="44"/>
        </w:rPr>
      </w:pPr>
      <w:r>
        <w:rPr>
          <w:rFonts w:hint="eastAsia" w:ascii="黑体" w:hAnsi="黑体" w:eastAsia="黑体" w:cs="黑体"/>
          <w:sz w:val="44"/>
          <w:szCs w:val="44"/>
        </w:rPr>
        <w:t>2022年部门预算公开说明</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textAlignment w:val="auto"/>
        <w:rPr>
          <w:rFonts w:ascii="黑体" w:hAnsi="黑体" w:eastAsia="黑体"/>
          <w:bCs/>
          <w:sz w:val="24"/>
        </w:rPr>
      </w:pP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textAlignment w:val="auto"/>
        <w:rPr>
          <w:rFonts w:ascii="黑体" w:hAnsi="黑体" w:eastAsia="黑体"/>
          <w:bCs/>
          <w:sz w:val="32"/>
          <w:szCs w:val="32"/>
        </w:rPr>
      </w:pPr>
      <w:r>
        <w:rPr>
          <w:rFonts w:hint="eastAsia" w:ascii="黑体" w:hAnsi="黑体" w:eastAsia="黑体"/>
          <w:bCs/>
          <w:sz w:val="32"/>
          <w:szCs w:val="32"/>
        </w:rPr>
        <w:t>一、单位主要职责及机构设置情况</w:t>
      </w:r>
    </w:p>
    <w:p>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right="0" w:rightChars="0"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基本情况</w:t>
      </w:r>
    </w:p>
    <w:p>
      <w:pPr>
        <w:keepNext w:val="0"/>
        <w:keepLines w:val="0"/>
        <w:pageBreakBefore w:val="0"/>
        <w:widowControl w:val="0"/>
        <w:kinsoku/>
        <w:wordWrap/>
        <w:overflowPunct/>
        <w:topLinePunct w:val="0"/>
        <w:autoSpaceDE/>
        <w:autoSpaceDN/>
        <w:bidi w:val="0"/>
        <w:adjustRightInd/>
        <w:snapToGrid w:val="0"/>
        <w:spacing w:beforeAutospacing="0" w:afterAutospacing="0" w:line="360" w:lineRule="auto"/>
        <w:ind w:left="0" w:leftChars="0" w:right="0" w:rightChars="0" w:firstLine="640" w:firstLineChars="200"/>
        <w:jc w:val="both"/>
        <w:textAlignment w:val="auto"/>
        <w:outlineLvl w:val="9"/>
        <w:rPr>
          <w:rFonts w:hint="eastAsia" w:ascii="楷体_GB2312" w:hAnsi="楷体_GB2312" w:eastAsia="楷体_GB2312" w:cs="楷体_GB2312"/>
          <w:sz w:val="32"/>
          <w:szCs w:val="32"/>
        </w:rPr>
      </w:pPr>
      <w:r>
        <w:rPr>
          <w:rFonts w:hint="eastAsia" w:ascii="仿宋" w:hAnsi="仿宋" w:eastAsia="仿宋" w:cs="仿宋"/>
          <w:kern w:val="2"/>
          <w:sz w:val="32"/>
          <w:szCs w:val="32"/>
          <w:lang w:val="en-US" w:eastAsia="zh-CN" w:bidi="ar-SA"/>
        </w:rPr>
        <w:t>永济市北郊小学校，属于全额拨款事业单位，位于涑水西街9号，编制93人，实有人数93人，退休人员39人，享受遗属补助3人，学生人数1228人。</w:t>
      </w:r>
    </w:p>
    <w:p>
      <w:pPr>
        <w:pStyle w:val="5"/>
        <w:keepNext w:val="0"/>
        <w:keepLines w:val="0"/>
        <w:pageBreakBefore w:val="0"/>
        <w:widowControl w:val="0"/>
        <w:numPr>
          <w:ilvl w:val="0"/>
          <w:numId w:val="1"/>
        </w:numPr>
        <w:tabs>
          <w:tab w:val="left" w:pos="988"/>
          <w:tab w:val="left" w:pos="1093"/>
          <w:tab w:val="left" w:pos="1153"/>
          <w:tab w:val="left" w:pos="1168"/>
        </w:tabs>
        <w:kinsoku/>
        <w:wordWrap/>
        <w:overflowPunct/>
        <w:topLinePunct w:val="0"/>
        <w:autoSpaceDE/>
        <w:autoSpaceDN/>
        <w:bidi w:val="0"/>
        <w:adjustRightInd/>
        <w:snapToGrid w:val="0"/>
        <w:spacing w:line="360" w:lineRule="auto"/>
        <w:ind w:left="0" w:leftChars="0" w:right="0" w:rightChars="0" w:firstLine="48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主要职责</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楷体_GB2312" w:hAnsi="楷体_GB2312" w:eastAsia="楷体_GB2312" w:cs="楷体_GB2312"/>
          <w:sz w:val="32"/>
          <w:szCs w:val="32"/>
        </w:rPr>
      </w:pPr>
      <w:r>
        <w:rPr>
          <w:rFonts w:hint="eastAsia" w:ascii="仿宋" w:hAnsi="仿宋" w:eastAsia="仿宋" w:cs="仿宋"/>
          <w:sz w:val="24"/>
          <w:szCs w:val="24"/>
          <w:lang w:val="en-US"/>
        </w:rPr>
        <w:t xml:space="preserve"> </w:t>
      </w:r>
      <w:r>
        <w:rPr>
          <w:rFonts w:hint="eastAsia" w:ascii="仿宋" w:hAnsi="仿宋" w:eastAsia="仿宋" w:cs="仿宋"/>
          <w:sz w:val="32"/>
          <w:szCs w:val="32"/>
          <w:lang w:eastAsia="zh-CN"/>
        </w:rPr>
        <w:t>永济市北郊小学校</w:t>
      </w:r>
      <w:r>
        <w:rPr>
          <w:rFonts w:hint="eastAsia" w:ascii="仿宋_GB2312" w:hAnsi="宋体" w:eastAsia="仿宋_GB2312" w:cs="宋体"/>
          <w:sz w:val="32"/>
          <w:szCs w:val="32"/>
          <w:lang w:eastAsia="zh-CN"/>
        </w:rPr>
        <w:t>坚持依据党的教育方针，遵照《教育法》、《义务教育法》、《教师法》等法律法规的要求，开展小学的教育教学活动。</w:t>
      </w:r>
      <w:r>
        <w:rPr>
          <w:rFonts w:hint="eastAsia" w:ascii="仿宋" w:hAnsi="仿宋" w:eastAsia="仿宋" w:cs="仿宋"/>
          <w:sz w:val="32"/>
          <w:szCs w:val="32"/>
          <w:lang w:eastAsia="zh-CN"/>
        </w:rPr>
        <w:t>培养学生习惯，组织教育教学，保证教育教学质量。</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left"/>
        <w:textAlignment w:val="auto"/>
        <w:rPr>
          <w:rFonts w:ascii="楷体_GB2312" w:hAnsi="楷体_GB2312" w:eastAsia="楷体_GB2312" w:cs="楷体_GB2312"/>
          <w:sz w:val="24"/>
        </w:rPr>
      </w:pPr>
      <w:r>
        <w:rPr>
          <w:rFonts w:hint="eastAsia" w:ascii="楷体_GB2312" w:hAnsi="楷体_GB2312" w:eastAsia="楷体_GB2312" w:cs="楷体_GB2312"/>
          <w:sz w:val="32"/>
          <w:szCs w:val="32"/>
        </w:rPr>
        <w:t>（三）机构设置情况</w:t>
      </w:r>
    </w:p>
    <w:p>
      <w:pPr>
        <w:keepNext w:val="0"/>
        <w:keepLines w:val="0"/>
        <w:pageBreakBefore w:val="0"/>
        <w:widowControl w:val="0"/>
        <w:kinsoku/>
        <w:wordWrap/>
        <w:overflowPunct/>
        <w:topLinePunct w:val="0"/>
        <w:autoSpaceDE/>
        <w:autoSpaceDN/>
        <w:bidi w:val="0"/>
        <w:adjustRightInd/>
        <w:snapToGrid w:val="0"/>
        <w:spacing w:beforeAutospacing="0" w:afterAutospacing="0" w:line="360" w:lineRule="auto"/>
        <w:ind w:left="0" w:leftChars="0" w:right="0" w:rightChars="0" w:firstLine="640" w:firstLineChars="200"/>
        <w:jc w:val="both"/>
        <w:textAlignment w:val="auto"/>
        <w:outlineLvl w:val="9"/>
        <w:rPr>
          <w:rFonts w:ascii="仿宋_GB2312" w:eastAsia="仿宋_GB2312"/>
          <w:sz w:val="24"/>
        </w:rPr>
      </w:pPr>
      <w:r>
        <w:rPr>
          <w:rFonts w:hint="eastAsia" w:ascii="仿宋" w:hAnsi="仿宋" w:eastAsia="仿宋" w:cs="仿宋"/>
          <w:kern w:val="2"/>
          <w:sz w:val="32"/>
          <w:szCs w:val="32"/>
          <w:lang w:val="en-US" w:eastAsia="zh-CN" w:bidi="ar-SA"/>
        </w:rPr>
        <w:t>我单位机构设为：办公室、教研室、教导处、后勤处、政教处、幼教处。</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二、本级预算情况</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bCs/>
          <w:sz w:val="32"/>
          <w:szCs w:val="32"/>
        </w:rPr>
      </w:pPr>
      <w:r>
        <w:rPr>
          <w:rFonts w:hint="eastAsia" w:ascii="仿宋" w:hAnsi="仿宋" w:eastAsia="仿宋" w:cs="仿宋"/>
          <w:sz w:val="32"/>
          <w:szCs w:val="32"/>
        </w:rPr>
        <w:t>我单位为全额事业单位，属于二级独立核算单位。2022年我单位预算收入安排为</w:t>
      </w:r>
      <w:r>
        <w:rPr>
          <w:rFonts w:hint="eastAsia" w:ascii="仿宋" w:hAnsi="仿宋" w:eastAsia="仿宋" w:cs="仿宋"/>
          <w:sz w:val="32"/>
          <w:szCs w:val="32"/>
          <w:lang w:val="en-US" w:eastAsia="zh-CN"/>
        </w:rPr>
        <w:t>972.36</w:t>
      </w:r>
      <w:r>
        <w:rPr>
          <w:rFonts w:hint="eastAsia" w:ascii="仿宋" w:hAnsi="仿宋" w:eastAsia="仿宋" w:cs="仿宋"/>
          <w:sz w:val="32"/>
          <w:szCs w:val="32"/>
        </w:rPr>
        <w:t>万元，其中：一般公共预算</w:t>
      </w:r>
      <w:r>
        <w:rPr>
          <w:rFonts w:hint="eastAsia" w:ascii="仿宋" w:hAnsi="仿宋" w:eastAsia="仿宋" w:cs="仿宋"/>
          <w:sz w:val="32"/>
          <w:szCs w:val="32"/>
          <w:lang w:val="en-US" w:eastAsia="zh-CN"/>
        </w:rPr>
        <w:t>972.36</w:t>
      </w:r>
      <w:r>
        <w:rPr>
          <w:rFonts w:hint="eastAsia" w:ascii="仿宋" w:hAnsi="仿宋" w:eastAsia="仿宋" w:cs="仿宋"/>
          <w:sz w:val="32"/>
          <w:szCs w:val="32"/>
        </w:rPr>
        <w:t>万元。根据收支平衡的原则，预算支出安排为</w:t>
      </w:r>
      <w:r>
        <w:rPr>
          <w:rFonts w:hint="eastAsia" w:ascii="仿宋" w:hAnsi="仿宋" w:eastAsia="仿宋" w:cs="仿宋"/>
          <w:sz w:val="32"/>
          <w:szCs w:val="32"/>
          <w:lang w:val="en-US" w:eastAsia="zh-CN"/>
        </w:rPr>
        <w:t>972.36</w:t>
      </w:r>
      <w:r>
        <w:rPr>
          <w:rFonts w:hint="eastAsia" w:ascii="仿宋" w:hAnsi="仿宋" w:eastAsia="仿宋" w:cs="仿宋"/>
          <w:sz w:val="32"/>
          <w:szCs w:val="32"/>
        </w:rPr>
        <w:t>万元（其中工资福利支出为</w:t>
      </w:r>
      <w:r>
        <w:rPr>
          <w:rFonts w:hint="eastAsia" w:ascii="仿宋" w:hAnsi="仿宋" w:eastAsia="仿宋" w:cs="仿宋"/>
          <w:sz w:val="32"/>
          <w:szCs w:val="32"/>
          <w:lang w:val="en-US" w:eastAsia="zh-CN"/>
        </w:rPr>
        <w:t>874.67</w:t>
      </w:r>
      <w:r>
        <w:rPr>
          <w:rFonts w:hint="eastAsia" w:ascii="仿宋" w:hAnsi="仿宋" w:eastAsia="仿宋" w:cs="仿宋"/>
          <w:sz w:val="32"/>
          <w:szCs w:val="32"/>
        </w:rPr>
        <w:t>万元，对个人和家庭的补助为</w:t>
      </w:r>
      <w:r>
        <w:rPr>
          <w:rFonts w:hint="eastAsia" w:ascii="仿宋" w:hAnsi="仿宋" w:eastAsia="仿宋" w:cs="仿宋"/>
          <w:sz w:val="32"/>
          <w:szCs w:val="32"/>
          <w:lang w:val="en-US" w:eastAsia="zh-CN"/>
        </w:rPr>
        <w:t>18.04</w:t>
      </w:r>
      <w:r>
        <w:rPr>
          <w:rFonts w:hint="eastAsia" w:ascii="仿宋" w:hAnsi="仿宋" w:eastAsia="仿宋" w:cs="仿宋"/>
          <w:sz w:val="32"/>
          <w:szCs w:val="32"/>
        </w:rPr>
        <w:t>万元，商品服务支出为</w:t>
      </w:r>
      <w:r>
        <w:rPr>
          <w:rFonts w:hint="eastAsia" w:ascii="仿宋" w:hAnsi="仿宋" w:eastAsia="仿宋" w:cs="仿宋"/>
          <w:sz w:val="32"/>
          <w:szCs w:val="32"/>
          <w:lang w:val="en-US" w:eastAsia="zh-CN"/>
        </w:rPr>
        <w:t>12.72</w:t>
      </w:r>
      <w:r>
        <w:rPr>
          <w:rFonts w:hint="eastAsia" w:ascii="仿宋" w:hAnsi="仿宋" w:eastAsia="仿宋" w:cs="仿宋"/>
          <w:sz w:val="32"/>
          <w:szCs w:val="32"/>
        </w:rPr>
        <w:t>万元，项目支出为</w:t>
      </w:r>
      <w:r>
        <w:rPr>
          <w:rFonts w:hint="eastAsia" w:ascii="仿宋" w:hAnsi="仿宋" w:eastAsia="仿宋" w:cs="仿宋"/>
          <w:sz w:val="32"/>
          <w:szCs w:val="32"/>
          <w:lang w:val="en-US" w:eastAsia="zh-CN"/>
        </w:rPr>
        <w:t>66.93</w:t>
      </w:r>
      <w:r>
        <w:rPr>
          <w:rFonts w:hint="eastAsia" w:ascii="仿宋" w:hAnsi="仿宋" w:eastAsia="仿宋" w:cs="仿宋"/>
          <w:sz w:val="32"/>
          <w:szCs w:val="32"/>
        </w:rPr>
        <w:t>万元）。</w:t>
      </w:r>
    </w:p>
    <w:p>
      <w:pPr>
        <w:pStyle w:val="6"/>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三、预算收支增减变化及情况说明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收入预算为972.36万元，比上年增长1%。支出预算为972.36万元，比上年增长1%，其中工资福利支出为874.67万元，比上年增长5%，原因是教师人数增加、工资普调；对个人和家庭的补助为18.04万元，比上年增长3%，原因是遗属补助提标；商品服务支出为12.72万元,比上年减少9%原因是经济科目调整；项目支出为66.93万元，比上年减少35%，原因是政府经济科目调整。</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四、机关运行经费安排情况说明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w:t>
      </w:r>
      <w:r>
        <w:rPr>
          <w:rFonts w:hint="eastAsia" w:ascii="仿宋" w:hAnsi="仿宋" w:eastAsia="仿宋" w:cs="仿宋"/>
          <w:bCs/>
          <w:sz w:val="32"/>
          <w:szCs w:val="32"/>
        </w:rPr>
        <w:t>机关运行经费安排为</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w:t>
      </w:r>
      <w:r>
        <w:rPr>
          <w:rFonts w:hint="eastAsia" w:ascii="仿宋" w:hAnsi="仿宋" w:eastAsia="仿宋" w:cs="仿宋"/>
          <w:sz w:val="32"/>
          <w:szCs w:val="32"/>
        </w:rPr>
        <w:t>比上年减少</w:t>
      </w:r>
      <w:r>
        <w:rPr>
          <w:rFonts w:hint="eastAsia" w:ascii="仿宋" w:hAnsi="仿宋" w:eastAsia="仿宋" w:cs="仿宋"/>
          <w:kern w:val="2"/>
          <w:sz w:val="32"/>
          <w:szCs w:val="32"/>
          <w:lang w:val="en-US" w:eastAsia="zh-CN" w:bidi="ar-SA"/>
        </w:rPr>
        <w:t>100%</w:t>
      </w:r>
      <w:r>
        <w:rPr>
          <w:rFonts w:hint="eastAsia" w:ascii="仿宋" w:hAnsi="仿宋" w:eastAsia="仿宋" w:cs="仿宋"/>
          <w:sz w:val="32"/>
          <w:szCs w:val="32"/>
        </w:rPr>
        <w:t>，原因是</w:t>
      </w:r>
      <w:r>
        <w:rPr>
          <w:rFonts w:hint="eastAsia" w:ascii="仿宋" w:hAnsi="仿宋" w:eastAsia="仿宋" w:cs="仿宋"/>
          <w:kern w:val="2"/>
          <w:sz w:val="32"/>
          <w:szCs w:val="32"/>
          <w:lang w:val="en-US" w:eastAsia="zh-CN" w:bidi="ar-SA"/>
        </w:rPr>
        <w:t>本单位为事业单位，非行政机关，无运行经费</w:t>
      </w:r>
      <w:r>
        <w:rPr>
          <w:rFonts w:hint="eastAsia" w:ascii="仿宋" w:hAnsi="仿宋" w:eastAsia="仿宋" w:cs="仿宋"/>
          <w:bCs/>
          <w:sz w:val="32"/>
          <w:szCs w:val="32"/>
        </w:rPr>
        <w:t>。</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ascii="黑体" w:hAnsi="黑体" w:eastAsia="黑体"/>
          <w:bCs/>
          <w:sz w:val="32"/>
          <w:szCs w:val="32"/>
        </w:rPr>
      </w:pPr>
      <w:r>
        <w:rPr>
          <w:rFonts w:hint="eastAsia" w:ascii="黑体" w:hAnsi="黑体" w:eastAsia="黑体"/>
          <w:bCs/>
          <w:sz w:val="32"/>
          <w:szCs w:val="32"/>
        </w:rPr>
        <w:t>五、政府采购安排情况说明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2022年我单位政府采购预算安排为</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val="0"/>
        <w:spacing w:beforeAutospacing="0" w:afterAutospacing="0" w:line="360" w:lineRule="auto"/>
        <w:ind w:left="0" w:leftChars="0"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专业性较强的名词解释</w:t>
      </w:r>
    </w:p>
    <w:p>
      <w:pPr>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360" w:lineRule="auto"/>
        <w:ind w:right="0" w:rightChars="0" w:firstLine="640" w:firstLineChars="200"/>
        <w:jc w:val="both"/>
        <w:textAlignment w:val="auto"/>
        <w:outlineLvl w:val="9"/>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SA"/>
        </w:rPr>
        <w:t>1.城乡义务教育阶段中小学公用经费是对城乡义务教育学校（含民办学校）按照不低于基准定额的标准补助公用经费。</w:t>
      </w:r>
    </w:p>
    <w:p>
      <w:pPr>
        <w:pStyle w:val="5"/>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left"/>
        <w:textAlignment w:val="auto"/>
        <w:outlineLvl w:val="9"/>
        <w:rPr>
          <w:rFonts w:hint="eastAsia" w:ascii="黑体" w:hAnsi="黑体" w:eastAsia="黑体" w:cs="黑体"/>
          <w:bCs/>
          <w:sz w:val="32"/>
          <w:szCs w:val="32"/>
        </w:rPr>
      </w:pPr>
      <w:r>
        <w:rPr>
          <w:rFonts w:hint="eastAsia" w:ascii="仿宋" w:hAnsi="仿宋" w:eastAsia="仿宋" w:cs="仿宋"/>
          <w:kern w:val="2"/>
          <w:sz w:val="32"/>
          <w:szCs w:val="32"/>
          <w:lang w:val="en-US" w:eastAsia="zh-CN" w:bidi="ar-SA"/>
        </w:rPr>
        <w:t>2.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七、“三公”经费增减变化情况</w:t>
      </w:r>
    </w:p>
    <w:p>
      <w:pPr>
        <w:keepNext w:val="0"/>
        <w:keepLines w:val="0"/>
        <w:pageBreakBefore w:val="0"/>
        <w:widowControl w:val="0"/>
        <w:kinsoku/>
        <w:wordWrap/>
        <w:overflowPunct/>
        <w:topLinePunct w:val="0"/>
        <w:autoSpaceDE/>
        <w:autoSpaceDN/>
        <w:bidi w:val="0"/>
        <w:adjustRightInd/>
        <w:snapToGrid w:val="0"/>
        <w:spacing w:line="360" w:lineRule="auto"/>
        <w:ind w:right="-313" w:rightChars="-149"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2022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八、国有资产占用情况说明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截止2021年12月31日，我单位资产总额</w:t>
      </w:r>
      <w:r>
        <w:rPr>
          <w:rFonts w:hint="eastAsia" w:ascii="仿宋" w:hAnsi="仿宋" w:eastAsia="仿宋" w:cs="仿宋"/>
          <w:sz w:val="32"/>
          <w:szCs w:val="32"/>
          <w:lang w:val="en-US" w:eastAsia="zh-CN"/>
        </w:rPr>
        <w:t>331.81</w:t>
      </w:r>
      <w:r>
        <w:rPr>
          <w:rFonts w:hint="eastAsia" w:ascii="仿宋" w:hAnsi="仿宋" w:eastAsia="仿宋" w:cs="仿宋"/>
          <w:sz w:val="32"/>
          <w:szCs w:val="32"/>
        </w:rPr>
        <w:t>万元，其中流动资产</w:t>
      </w:r>
      <w:r>
        <w:rPr>
          <w:rFonts w:hint="eastAsia" w:ascii="仿宋" w:hAnsi="仿宋" w:eastAsia="仿宋" w:cs="仿宋"/>
          <w:sz w:val="32"/>
          <w:szCs w:val="32"/>
          <w:lang w:val="en-US" w:eastAsia="zh-CN"/>
        </w:rPr>
        <w:t>0.08</w:t>
      </w:r>
      <w:r>
        <w:rPr>
          <w:rFonts w:hint="eastAsia" w:ascii="仿宋" w:hAnsi="仿宋" w:eastAsia="仿宋" w:cs="仿宋"/>
          <w:sz w:val="32"/>
          <w:szCs w:val="32"/>
        </w:rPr>
        <w:t>万元；固定资产原值</w:t>
      </w:r>
      <w:r>
        <w:rPr>
          <w:rFonts w:hint="eastAsia" w:ascii="仿宋" w:hAnsi="仿宋" w:eastAsia="仿宋" w:cs="仿宋"/>
          <w:sz w:val="32"/>
          <w:szCs w:val="32"/>
          <w:lang w:val="en-US" w:eastAsia="zh-CN"/>
        </w:rPr>
        <w:t>636.82</w:t>
      </w:r>
      <w:r>
        <w:rPr>
          <w:rFonts w:hint="eastAsia" w:ascii="仿宋" w:hAnsi="仿宋" w:eastAsia="仿宋" w:cs="仿宋"/>
          <w:sz w:val="32"/>
          <w:szCs w:val="32"/>
        </w:rPr>
        <w:t>万元，累计折旧</w:t>
      </w:r>
      <w:r>
        <w:rPr>
          <w:rFonts w:hint="eastAsia" w:ascii="仿宋" w:hAnsi="仿宋" w:eastAsia="仿宋" w:cs="仿宋"/>
          <w:sz w:val="32"/>
          <w:szCs w:val="32"/>
          <w:lang w:val="en-US" w:eastAsia="zh-CN"/>
        </w:rPr>
        <w:t>310.12</w:t>
      </w:r>
      <w:r>
        <w:rPr>
          <w:rFonts w:hint="eastAsia" w:ascii="仿宋" w:hAnsi="仿宋" w:eastAsia="仿宋" w:cs="仿宋"/>
          <w:sz w:val="32"/>
          <w:szCs w:val="32"/>
        </w:rPr>
        <w:t>万元，固定资产净值为</w:t>
      </w:r>
      <w:r>
        <w:rPr>
          <w:rFonts w:hint="eastAsia" w:ascii="仿宋" w:hAnsi="仿宋" w:eastAsia="仿宋" w:cs="仿宋"/>
          <w:sz w:val="32"/>
          <w:szCs w:val="32"/>
          <w:lang w:val="en-US" w:eastAsia="zh-CN"/>
        </w:rPr>
        <w:t>326.7</w:t>
      </w:r>
      <w:r>
        <w:rPr>
          <w:rFonts w:hint="eastAsia" w:ascii="仿宋" w:hAnsi="仿宋" w:eastAsia="仿宋" w:cs="仿宋"/>
          <w:sz w:val="32"/>
          <w:szCs w:val="32"/>
        </w:rPr>
        <w:t>万元</w:t>
      </w:r>
      <w:bookmarkStart w:id="0" w:name="_GoBack"/>
      <w:bookmarkEnd w:id="0"/>
      <w:r>
        <w:rPr>
          <w:rFonts w:hint="eastAsia" w:ascii="仿宋" w:hAnsi="仿宋" w:eastAsia="仿宋" w:cs="仿宋"/>
          <w:sz w:val="32"/>
          <w:szCs w:val="32"/>
        </w:rPr>
        <w:t>，在建工程</w:t>
      </w:r>
      <w:r>
        <w:rPr>
          <w:rFonts w:hint="eastAsia" w:ascii="仿宋" w:hAnsi="仿宋" w:eastAsia="仿宋" w:cs="仿宋"/>
          <w:sz w:val="32"/>
          <w:szCs w:val="32"/>
          <w:lang w:val="en-US" w:eastAsia="zh-CN"/>
        </w:rPr>
        <w:t>0</w:t>
      </w:r>
      <w:r>
        <w:rPr>
          <w:rFonts w:hint="eastAsia" w:ascii="仿宋" w:hAnsi="仿宋" w:eastAsia="仿宋" w:cs="仿宋"/>
          <w:sz w:val="32"/>
          <w:szCs w:val="32"/>
        </w:rPr>
        <w:t>万元，无形资产</w:t>
      </w:r>
      <w:r>
        <w:rPr>
          <w:rFonts w:hint="eastAsia" w:ascii="仿宋" w:hAnsi="仿宋" w:eastAsia="仿宋" w:cs="仿宋"/>
          <w:sz w:val="32"/>
          <w:szCs w:val="32"/>
          <w:lang w:val="en-US" w:eastAsia="zh-CN"/>
        </w:rPr>
        <w:t>5.03</w:t>
      </w:r>
      <w:r>
        <w:rPr>
          <w:rFonts w:hint="eastAsia" w:ascii="仿宋" w:hAnsi="仿宋" w:eastAsia="仿宋" w:cs="仿宋"/>
          <w:sz w:val="32"/>
          <w:szCs w:val="32"/>
        </w:rPr>
        <w:t>万元。固定资产当中，房屋构筑物</w:t>
      </w:r>
      <w:r>
        <w:rPr>
          <w:rFonts w:hint="eastAsia" w:ascii="仿宋" w:hAnsi="仿宋" w:eastAsia="仿宋" w:cs="仿宋"/>
          <w:sz w:val="32"/>
          <w:szCs w:val="32"/>
          <w:lang w:val="en-US" w:eastAsia="zh-CN"/>
        </w:rPr>
        <w:t>359.89</w:t>
      </w:r>
      <w:r>
        <w:rPr>
          <w:rFonts w:hint="eastAsia" w:ascii="仿宋" w:hAnsi="仿宋" w:eastAsia="仿宋" w:cs="仿宋"/>
          <w:sz w:val="32"/>
          <w:szCs w:val="32"/>
        </w:rPr>
        <w:t>万元，通用设备</w:t>
      </w:r>
      <w:r>
        <w:rPr>
          <w:rFonts w:hint="eastAsia" w:ascii="仿宋" w:hAnsi="仿宋" w:eastAsia="仿宋" w:cs="仿宋"/>
          <w:sz w:val="32"/>
          <w:szCs w:val="32"/>
          <w:lang w:val="en-US" w:eastAsia="zh-CN"/>
        </w:rPr>
        <w:t>171.02</w:t>
      </w:r>
      <w:r>
        <w:rPr>
          <w:rFonts w:hint="eastAsia" w:ascii="仿宋" w:hAnsi="仿宋" w:eastAsia="仿宋" w:cs="仿宋"/>
          <w:sz w:val="32"/>
          <w:szCs w:val="32"/>
        </w:rPr>
        <w:t>万元，办公家具</w:t>
      </w:r>
      <w:r>
        <w:rPr>
          <w:rFonts w:hint="eastAsia" w:ascii="仿宋" w:hAnsi="仿宋" w:eastAsia="仿宋" w:cs="仿宋"/>
          <w:sz w:val="32"/>
          <w:szCs w:val="32"/>
          <w:lang w:val="en-US" w:eastAsia="zh-CN"/>
        </w:rPr>
        <w:t>63.62</w:t>
      </w:r>
      <w:r>
        <w:rPr>
          <w:rFonts w:hint="eastAsia" w:ascii="仿宋" w:hAnsi="仿宋" w:eastAsia="仿宋" w:cs="仿宋"/>
          <w:sz w:val="32"/>
          <w:szCs w:val="32"/>
        </w:rPr>
        <w:t>万元。与上年相比，本年固定资产原值增加</w:t>
      </w:r>
      <w:r>
        <w:rPr>
          <w:rFonts w:hint="eastAsia" w:ascii="仿宋" w:hAnsi="仿宋" w:eastAsia="仿宋" w:cs="仿宋"/>
          <w:sz w:val="32"/>
          <w:szCs w:val="32"/>
          <w:lang w:val="en-US" w:eastAsia="zh-CN"/>
        </w:rPr>
        <w:t>4.11</w:t>
      </w:r>
      <w:r>
        <w:rPr>
          <w:rFonts w:hint="eastAsia" w:ascii="仿宋" w:hAnsi="仿宋" w:eastAsia="仿宋" w:cs="仿宋"/>
          <w:sz w:val="32"/>
          <w:szCs w:val="32"/>
        </w:rPr>
        <w:t>万元，原因是</w:t>
      </w:r>
      <w:r>
        <w:rPr>
          <w:rFonts w:hint="eastAsia" w:ascii="仿宋" w:hAnsi="仿宋" w:eastAsia="仿宋" w:cs="仿宋"/>
          <w:sz w:val="32"/>
          <w:szCs w:val="32"/>
          <w:lang w:eastAsia="zh-CN"/>
        </w:rPr>
        <w:t>购置</w:t>
      </w:r>
      <w:r>
        <w:rPr>
          <w:rFonts w:hint="eastAsia" w:ascii="仿宋" w:hAnsi="仿宋" w:eastAsia="仿宋" w:cs="仿宋"/>
          <w:sz w:val="32"/>
          <w:szCs w:val="32"/>
          <w:lang w:val="en-US" w:eastAsia="zh-CN"/>
        </w:rPr>
        <w:t>LED显示屏、幼儿户外玩具、消毒柜、数码摄像机、触控一体机、桌凳、柜子、笔记本电脑、玩具柜、课桌凳、一体机等。</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2022年预计新增采购固定资产</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ascii="黑体" w:hAnsi="黑体" w:eastAsia="黑体"/>
          <w:sz w:val="32"/>
          <w:szCs w:val="32"/>
        </w:rPr>
      </w:pPr>
      <w:r>
        <w:rPr>
          <w:rFonts w:hint="eastAsia" w:ascii="黑体" w:hAnsi="黑体" w:eastAsia="黑体"/>
          <w:sz w:val="32"/>
          <w:szCs w:val="32"/>
        </w:rPr>
        <w:t>九、重点项目预算的绩效目标情况说明</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2022年度本部门共5个项目设定绩效目标，共66.93万元。本单位无重点项目预算的绩效目标。</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480" w:firstLineChars="200"/>
        <w:textAlignment w:val="auto"/>
        <w:rPr>
          <w:rFonts w:ascii="仿宋_GB2312" w:eastAsia="仿宋_GB2312"/>
          <w:sz w:val="24"/>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单位负责人：</w:t>
      </w:r>
      <w:r>
        <w:rPr>
          <w:rFonts w:hint="eastAsia" w:ascii="仿宋" w:hAnsi="仿宋" w:eastAsia="仿宋" w:cs="仿宋"/>
          <w:sz w:val="32"/>
          <w:szCs w:val="32"/>
          <w:lang w:eastAsia="zh-CN"/>
        </w:rPr>
        <w:t>李红刚</w:t>
      </w:r>
      <w:r>
        <w:rPr>
          <w:rFonts w:hint="eastAsia" w:ascii="仿宋" w:hAnsi="仿宋" w:eastAsia="仿宋" w:cs="仿宋"/>
          <w:sz w:val="32"/>
          <w:szCs w:val="32"/>
        </w:rPr>
        <w:t xml:space="preserve">   财务负责人：</w:t>
      </w:r>
      <w:r>
        <w:rPr>
          <w:rFonts w:hint="eastAsia" w:ascii="仿宋" w:hAnsi="仿宋" w:eastAsia="仿宋" w:cs="仿宋"/>
          <w:sz w:val="32"/>
          <w:szCs w:val="32"/>
          <w:lang w:eastAsia="zh-CN"/>
        </w:rPr>
        <w:t>吴国伟</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填  报  人：</w:t>
      </w:r>
      <w:r>
        <w:rPr>
          <w:rFonts w:hint="eastAsia" w:ascii="仿宋" w:hAnsi="仿宋" w:eastAsia="仿宋" w:cs="仿宋"/>
          <w:sz w:val="32"/>
          <w:szCs w:val="32"/>
          <w:lang w:eastAsia="zh-CN"/>
        </w:rPr>
        <w:t>赵晋峰</w:t>
      </w:r>
      <w:r>
        <w:rPr>
          <w:rFonts w:hint="eastAsia" w:ascii="仿宋" w:hAnsi="仿宋" w:eastAsia="仿宋" w:cs="仿宋"/>
          <w:sz w:val="32"/>
          <w:szCs w:val="32"/>
        </w:rPr>
        <w:t xml:space="preserve">   联 系 电话：</w:t>
      </w:r>
      <w:r>
        <w:rPr>
          <w:rFonts w:hint="eastAsia" w:ascii="仿宋" w:hAnsi="仿宋" w:eastAsia="仿宋" w:cs="仿宋"/>
          <w:sz w:val="32"/>
          <w:szCs w:val="32"/>
          <w:lang w:val="en-US" w:eastAsia="zh-CN"/>
        </w:rPr>
        <w:t>8843339</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舒体">
    <w:altName w:val="宋体"/>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tentative="0">
      <w:start w:val="1"/>
      <w:numFmt w:val="chineseCounting"/>
      <w:suff w:val="nothing"/>
      <w:lvlText w:val="（%1）"/>
      <w:lvlJc w:val="left"/>
      <w:rPr>
        <w:rFonts w:hint="eastAsia"/>
      </w:rPr>
    </w:lvl>
  </w:abstractNum>
  <w:abstractNum w:abstractNumId="1">
    <w:nsid w:val="620F6AED"/>
    <w:multiLevelType w:val="singleLevel"/>
    <w:tmpl w:val="620F6AED"/>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73353"/>
    <w:rsid w:val="001932A1"/>
    <w:rsid w:val="001E5D0A"/>
    <w:rsid w:val="00254527"/>
    <w:rsid w:val="005A7AE8"/>
    <w:rsid w:val="00620E9B"/>
    <w:rsid w:val="00730618"/>
    <w:rsid w:val="00767F21"/>
    <w:rsid w:val="008A0D7A"/>
    <w:rsid w:val="008B452D"/>
    <w:rsid w:val="008E50A1"/>
    <w:rsid w:val="00F26148"/>
    <w:rsid w:val="08603180"/>
    <w:rsid w:val="089B2475"/>
    <w:rsid w:val="0EA05ECD"/>
    <w:rsid w:val="136566F4"/>
    <w:rsid w:val="1DD000DF"/>
    <w:rsid w:val="28C820B0"/>
    <w:rsid w:val="2D4F5342"/>
    <w:rsid w:val="2F0A7B49"/>
    <w:rsid w:val="36D73353"/>
    <w:rsid w:val="3CEE662E"/>
    <w:rsid w:val="3EA33DB1"/>
    <w:rsid w:val="40E91332"/>
    <w:rsid w:val="47C36761"/>
    <w:rsid w:val="51BD30E0"/>
    <w:rsid w:val="52C81EBD"/>
    <w:rsid w:val="5A0E3269"/>
    <w:rsid w:val="5E0A3CD1"/>
    <w:rsid w:val="5E2E03E4"/>
    <w:rsid w:val="605D0EAD"/>
    <w:rsid w:val="63713BB5"/>
    <w:rsid w:val="6720771F"/>
    <w:rsid w:val="6B2F6A0D"/>
    <w:rsid w:val="77A7337D"/>
    <w:rsid w:val="7DCB787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character" w:styleId="3">
    <w:name w:val="Emphasis"/>
    <w:basedOn w:val="2"/>
    <w:qFormat/>
    <w:uiPriority w:val="0"/>
    <w:rPr>
      <w:rFonts w:cs="Times New Roman"/>
      <w:i/>
    </w:rPr>
  </w:style>
  <w:style w:type="paragraph" w:customStyle="1" w:styleId="5">
    <w:name w:val="列出段落1"/>
    <w:basedOn w:val="1"/>
    <w:qFormat/>
    <w:uiPriority w:val="34"/>
    <w:pPr>
      <w:ind w:firstLine="420" w:firstLineChars="200"/>
    </w:pPr>
  </w:style>
  <w:style w:type="paragraph" w:customStyle="1" w:styleId="6">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968</Words>
  <Characters>182</Characters>
  <Lines>1</Lines>
  <Paragraphs>2</Paragraphs>
  <ScaleCrop>false</ScaleCrop>
  <LinksUpToDate>false</LinksUpToDate>
  <CharactersWithSpaces>1148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2022-02-15T05:34:00Z</dcterms:created>
  <dc:creator>Administrator</dc:creator>
  <cp:lastModifiedBy>Administrator</cp:lastModifiedBy>
  <cp:lastPrinted>2022-02-18T01:44:00Z</cp:lastPrinted>
  <dcterms:modified xsi:type="dcterms:W3CDTF">2022-02-21T02:58:44Z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AF86E45C1CBB4E45B3B50950BB646BF8</vt:lpwstr>
  </property>
</Properties>
</file>