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val="en-US"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示范幼儿园</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7"/>
        <w:spacing w:line="480" w:lineRule="exact"/>
        <w:ind w:firstLine="480"/>
        <w:rPr>
          <w:rFonts w:ascii="黑体" w:hAnsi="黑体" w:eastAsia="黑体"/>
          <w:bCs/>
          <w:sz w:val="24"/>
        </w:rPr>
      </w:pPr>
    </w:p>
    <w:p>
      <w:pPr>
        <w:pStyle w:val="7"/>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widowControl w:val="0"/>
        <w:wordWrap/>
        <w:adjustRightInd/>
        <w:snapToGrid/>
        <w:spacing w:line="420" w:lineRule="exact"/>
        <w:ind w:left="0" w:leftChars="0" w:right="0"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永济市示范幼儿园是全额事业单位，位于舜都大道111号。</w:t>
      </w:r>
    </w:p>
    <w:p>
      <w:pPr>
        <w:widowControl w:val="0"/>
        <w:wordWrap/>
        <w:adjustRightInd/>
        <w:snapToGrid/>
        <w:spacing w:line="420" w:lineRule="exact"/>
        <w:ind w:left="0" w:leftChars="0" w:right="0"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本校教职工编制数32人，实有人数30人，学生数980人。</w:t>
      </w:r>
    </w:p>
    <w:p>
      <w:pPr>
        <w:pStyle w:val="7"/>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widowControl w:val="0"/>
        <w:wordWrap/>
        <w:adjustRightInd/>
        <w:snapToGrid/>
        <w:spacing w:line="420" w:lineRule="exact"/>
        <w:ind w:left="0" w:leftChars="0" w:right="0"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我园主要职责是招收3-6周岁幼儿，保教结合，使幼儿在德、智、体、美等方面全面发展。</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widowControl w:val="0"/>
        <w:wordWrap/>
        <w:adjustRightInd/>
        <w:snapToGrid/>
        <w:spacing w:line="420" w:lineRule="exact"/>
        <w:ind w:left="0" w:leftChars="0" w:right="0"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我单位机构设为：办公室、卫生保健室、后勤处、财务室。</w:t>
      </w:r>
    </w:p>
    <w:p>
      <w:pPr>
        <w:pStyle w:val="8"/>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我单位为全额事业单位，属于二级独立核算单位。202</w:t>
      </w:r>
      <w:r>
        <w:rPr>
          <w:rFonts w:hint="eastAsia" w:ascii="仿宋" w:hAnsi="仿宋" w:eastAsia="仿宋" w:cs="仿宋"/>
          <w:sz w:val="32"/>
          <w:szCs w:val="32"/>
          <w:lang w:val="en-US" w:eastAsia="zh-CN"/>
        </w:rPr>
        <w:t>2</w:t>
      </w:r>
      <w:r>
        <w:rPr>
          <w:rFonts w:hint="eastAsia" w:ascii="仿宋" w:hAnsi="仿宋" w:eastAsia="仿宋" w:cs="仿宋"/>
          <w:sz w:val="32"/>
          <w:szCs w:val="32"/>
        </w:rPr>
        <w:t>年我单位预算收入安排为</w:t>
      </w:r>
      <w:r>
        <w:rPr>
          <w:rFonts w:hint="eastAsia" w:ascii="仿宋" w:hAnsi="仿宋" w:eastAsia="仿宋" w:cs="仿宋"/>
          <w:sz w:val="32"/>
          <w:szCs w:val="32"/>
          <w:lang w:val="en-US" w:eastAsia="zh-CN"/>
        </w:rPr>
        <w:t>554.22万</w:t>
      </w:r>
      <w:r>
        <w:rPr>
          <w:rFonts w:hint="eastAsia" w:ascii="仿宋" w:hAnsi="仿宋" w:eastAsia="仿宋" w:cs="仿宋"/>
          <w:sz w:val="32"/>
          <w:szCs w:val="32"/>
        </w:rPr>
        <w:t>元，其中：一般公共预算</w:t>
      </w:r>
      <w:r>
        <w:rPr>
          <w:rFonts w:hint="eastAsia" w:ascii="仿宋" w:hAnsi="仿宋" w:eastAsia="仿宋" w:cs="仿宋"/>
          <w:sz w:val="32"/>
          <w:szCs w:val="32"/>
          <w:lang w:val="en-US" w:eastAsia="zh-CN"/>
        </w:rPr>
        <w:t>554.22</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554.22万</w:t>
      </w:r>
      <w:r>
        <w:rPr>
          <w:rFonts w:hint="eastAsia" w:ascii="仿宋" w:hAnsi="仿宋" w:eastAsia="仿宋" w:cs="仿宋"/>
          <w:sz w:val="32"/>
          <w:szCs w:val="32"/>
        </w:rPr>
        <w:t>元（其中工资福利支出为</w:t>
      </w:r>
      <w:r>
        <w:rPr>
          <w:rFonts w:hint="eastAsia" w:ascii="仿宋" w:hAnsi="仿宋" w:eastAsia="仿宋" w:cs="仿宋"/>
          <w:sz w:val="32"/>
          <w:szCs w:val="32"/>
          <w:lang w:val="en-US" w:eastAsia="zh-CN"/>
        </w:rPr>
        <w:t>240.55万</w:t>
      </w:r>
      <w:r>
        <w:rPr>
          <w:rFonts w:hint="eastAsia" w:ascii="仿宋" w:hAnsi="仿宋" w:eastAsia="仿宋" w:cs="仿宋"/>
          <w:sz w:val="32"/>
          <w:szCs w:val="32"/>
        </w:rPr>
        <w:t>元，商品服务支出为</w:t>
      </w:r>
      <w:r>
        <w:rPr>
          <w:rFonts w:hint="eastAsia" w:ascii="仿宋" w:hAnsi="仿宋" w:eastAsia="仿宋" w:cs="仿宋"/>
          <w:sz w:val="32"/>
          <w:szCs w:val="32"/>
          <w:lang w:val="en-US" w:eastAsia="zh-CN"/>
        </w:rPr>
        <w:t>3.47万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sz w:val="32"/>
          <w:szCs w:val="32"/>
        </w:rPr>
        <w:t>项目支出为</w:t>
      </w:r>
      <w:r>
        <w:rPr>
          <w:rFonts w:hint="eastAsia" w:ascii="仿宋" w:hAnsi="仿宋" w:eastAsia="仿宋" w:cs="仿宋"/>
          <w:sz w:val="32"/>
          <w:szCs w:val="32"/>
          <w:lang w:val="en-US" w:eastAsia="zh-CN"/>
        </w:rPr>
        <w:t>310.20</w:t>
      </w:r>
      <w:r>
        <w:rPr>
          <w:rFonts w:hint="eastAsia" w:ascii="仿宋" w:hAnsi="仿宋" w:eastAsia="仿宋" w:cs="仿宋"/>
          <w:sz w:val="32"/>
          <w:szCs w:val="32"/>
        </w:rPr>
        <w:t>万元）。</w:t>
      </w:r>
    </w:p>
    <w:p>
      <w:pPr>
        <w:pStyle w:val="8"/>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554.22万元，比上年增长53.69%。支出预算为554.22万元，比上年增长53.69%，其中工资福利支出为240.55万元，比上年减少16.64%，原因是预算明细调整，一部分人员支出调整到项目支出；商品服务支出为3.47万元,原因是预算明细调整，部分商品和服务支出调整到项目支出；项目支出为310.20万元，比上年增长967.45%，原因是预算明细调整，部分一般支出调整到项目支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11.32</w:t>
      </w:r>
      <w:r>
        <w:rPr>
          <w:rFonts w:hint="eastAsia" w:ascii="仿宋" w:hAnsi="仿宋" w:eastAsia="仿宋" w:cs="仿宋"/>
          <w:sz w:val="32"/>
          <w:szCs w:val="32"/>
        </w:rPr>
        <w:t>万元</w:t>
      </w:r>
      <w:r>
        <w:rPr>
          <w:rFonts w:hint="eastAsia" w:ascii="仿宋" w:hAnsi="仿宋" w:eastAsia="仿宋" w:cs="仿宋"/>
          <w:sz w:val="32"/>
          <w:szCs w:val="32"/>
          <w:lang w:val="en-US" w:eastAsia="zh-CN"/>
        </w:rPr>
        <w:t>,其中印刷费2.8万元、复印纸0.46万元和维修费8.06万元</w:t>
      </w:r>
      <w:r>
        <w:rPr>
          <w:rFonts w:hint="eastAsia" w:ascii="仿宋" w:hAnsi="仿宋" w:eastAsia="仿宋" w:cs="仿宋"/>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bCs/>
          <w:sz w:val="32"/>
          <w:szCs w:val="32"/>
          <w:lang w:val="en-US" w:eastAsia="zh-CN"/>
        </w:rPr>
        <w:t>1.</w:t>
      </w:r>
      <w:r>
        <w:rPr>
          <w:rFonts w:hint="eastAsia" w:ascii="仿宋" w:hAnsi="仿宋" w:eastAsia="仿宋" w:cs="仿宋"/>
          <w:bCs/>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三公经费</w:t>
      </w:r>
      <w:r>
        <w:rPr>
          <w:rFonts w:hint="eastAsia" w:ascii="仿宋" w:hAnsi="仿宋" w:eastAsia="仿宋" w:cs="仿宋"/>
          <w:bCs/>
          <w:sz w:val="32"/>
          <w:szCs w:val="32"/>
        </w:rPr>
        <w:fldChar w:fldCharType="end"/>
      </w:r>
      <w:r>
        <w:rPr>
          <w:rFonts w:hint="eastAsia" w:ascii="仿宋" w:hAnsi="仿宋" w:eastAsia="仿宋" w:cs="仿宋"/>
          <w:bCs/>
          <w:sz w:val="32"/>
          <w:szCs w:val="32"/>
        </w:rPr>
        <w:t>是指</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财政拨款</w:t>
      </w:r>
      <w:r>
        <w:rPr>
          <w:rFonts w:hint="eastAsia" w:ascii="仿宋" w:hAnsi="仿宋" w:eastAsia="仿宋" w:cs="仿宋"/>
          <w:bCs/>
          <w:sz w:val="32"/>
          <w:szCs w:val="32"/>
        </w:rPr>
        <w:fldChar w:fldCharType="end"/>
      </w:r>
      <w:r>
        <w:rPr>
          <w:rFonts w:hint="eastAsia" w:ascii="仿宋" w:hAnsi="仿宋" w:eastAsia="仿宋" w:cs="仿宋"/>
          <w:bCs/>
          <w:sz w:val="32"/>
          <w:szCs w:val="32"/>
        </w:rPr>
        <w:t>支出安排的出国（境）费、车辆购置及运行费、</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公务接待费</w:t>
      </w:r>
      <w:r>
        <w:rPr>
          <w:rFonts w:hint="eastAsia" w:ascii="仿宋" w:hAnsi="仿宋" w:eastAsia="仿宋" w:cs="仿宋"/>
          <w:bCs/>
          <w:sz w:val="32"/>
          <w:szCs w:val="32"/>
        </w:rPr>
        <w:fldChar w:fldCharType="end"/>
      </w:r>
      <w:r>
        <w:rPr>
          <w:rFonts w:hint="eastAsia" w:ascii="仿宋" w:hAnsi="仿宋" w:eastAsia="仿宋" w:cs="仿宋"/>
          <w:bCs/>
          <w:sz w:val="32"/>
          <w:szCs w:val="32"/>
        </w:rPr>
        <w:t>这三项经费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政府采购是指各级国家机关、事业单位和团体组织，使用财政性资金采购依法制定的集中采购目录以内的或者采购限额标准以上的货物、工程和服务的行为。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744.78</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731.96</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194.23</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550.55</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82.51</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12.82</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456.71</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118.40</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92.11</w:t>
      </w:r>
      <w:r>
        <w:rPr>
          <w:rFonts w:hint="eastAsia" w:ascii="仿宋" w:hAnsi="仿宋" w:eastAsia="仿宋" w:cs="仿宋"/>
          <w:sz w:val="32"/>
          <w:szCs w:val="32"/>
        </w:rPr>
        <w:t>万元。与上年相比，本年固定资产原值增加</w:t>
      </w:r>
      <w:r>
        <w:rPr>
          <w:rFonts w:hint="eastAsia" w:ascii="仿宋" w:hAnsi="仿宋" w:eastAsia="仿宋" w:cs="仿宋"/>
          <w:sz w:val="32"/>
          <w:szCs w:val="32"/>
          <w:lang w:val="en-US" w:eastAsia="zh-CN"/>
        </w:rPr>
        <w:t>41.6</w:t>
      </w:r>
      <w:r>
        <w:rPr>
          <w:rFonts w:hint="eastAsia" w:ascii="仿宋" w:hAnsi="仿宋" w:eastAsia="仿宋" w:cs="仿宋"/>
          <w:sz w:val="32"/>
          <w:szCs w:val="32"/>
        </w:rPr>
        <w:t>万元，原因是</w:t>
      </w:r>
      <w:r>
        <w:rPr>
          <w:rFonts w:hint="eastAsia" w:ascii="仿宋" w:hAnsi="仿宋" w:eastAsia="仿宋" w:cs="仿宋"/>
          <w:sz w:val="32"/>
          <w:szCs w:val="32"/>
          <w:lang w:val="en-US" w:eastAsia="zh-CN"/>
        </w:rPr>
        <w:t>提升</w:t>
      </w:r>
      <w:r>
        <w:rPr>
          <w:rFonts w:hint="eastAsia" w:ascii="仿宋_GB2312" w:hAnsi="仿宋_GB2312" w:eastAsia="仿宋_GB2312" w:cs="仿宋_GB2312"/>
          <w:sz w:val="32"/>
          <w:szCs w:val="32"/>
          <w:lang w:val="en-US" w:eastAsia="zh-CN"/>
        </w:rPr>
        <w:t>永</w:t>
      </w:r>
      <w:r>
        <w:rPr>
          <w:rFonts w:hint="eastAsia" w:ascii="仿宋" w:hAnsi="仿宋" w:eastAsia="仿宋" w:cs="仿宋"/>
          <w:sz w:val="32"/>
          <w:szCs w:val="32"/>
          <w:lang w:val="en-US" w:eastAsia="zh-CN"/>
        </w:rPr>
        <w:t>济市示范幼儿园和</w:t>
      </w:r>
      <w:r>
        <w:rPr>
          <w:rFonts w:hint="eastAsia" w:ascii="仿宋_GB2312" w:hAnsi="仿宋_GB2312" w:eastAsia="仿宋_GB2312" w:cs="仿宋_GB2312"/>
          <w:sz w:val="32"/>
          <w:szCs w:val="32"/>
          <w:lang w:val="en-US" w:eastAsia="zh-CN"/>
        </w:rPr>
        <w:t>永</w:t>
      </w:r>
      <w:r>
        <w:rPr>
          <w:rFonts w:hint="eastAsia" w:ascii="仿宋" w:hAnsi="仿宋" w:eastAsia="仿宋" w:cs="仿宋"/>
          <w:sz w:val="32"/>
          <w:szCs w:val="32"/>
          <w:lang w:val="en-US" w:eastAsia="zh-CN"/>
        </w:rPr>
        <w:t>济市示范幼儿园银杏分园办园办学质量，购置教学一体机、空调、幼儿桌椅等</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0.7</w:t>
      </w:r>
      <w:r>
        <w:rPr>
          <w:rFonts w:hint="eastAsia" w:ascii="仿宋" w:hAnsi="仿宋" w:eastAsia="仿宋" w:cs="仿宋"/>
          <w:sz w:val="32"/>
          <w:szCs w:val="32"/>
        </w:rPr>
        <w:t>万元，其中</w:t>
      </w:r>
      <w:r>
        <w:rPr>
          <w:rFonts w:hint="eastAsia" w:ascii="仿宋" w:hAnsi="仿宋" w:eastAsia="仿宋" w:cs="仿宋"/>
          <w:sz w:val="32"/>
          <w:szCs w:val="32"/>
          <w:lang w:val="en-US" w:eastAsia="zh-CN"/>
        </w:rPr>
        <w:t>图书200册，预算0.7万元</w:t>
      </w:r>
      <w:r>
        <w:rPr>
          <w:rFonts w:hint="eastAsia" w:ascii="仿宋" w:hAnsi="仿宋" w:eastAsia="仿宋" w:cs="仿宋"/>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重点项目预算的绩效目标情况说明</w:t>
      </w:r>
    </w:p>
    <w:p>
      <w:pPr>
        <w:spacing w:line="360" w:lineRule="auto"/>
        <w:ind w:firstLine="640" w:firstLineChars="200"/>
        <w:rPr>
          <w:rFonts w:hint="eastAsia" w:ascii="仿宋_GB2312" w:eastAsia="仿宋"/>
          <w:sz w:val="24"/>
          <w:lang w:val="en-US"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3</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310.20</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重点项目预算的绩效目标</w:t>
      </w:r>
      <w:r>
        <w:rPr>
          <w:rFonts w:hint="eastAsia" w:ascii="仿宋" w:hAnsi="仿宋" w:eastAsia="仿宋" w:cs="仿宋"/>
          <w:sz w:val="32"/>
          <w:szCs w:val="32"/>
          <w:lang w:eastAsia="zh-CN"/>
        </w:rPr>
        <w:t>为</w:t>
      </w:r>
      <w:r>
        <w:rPr>
          <w:rFonts w:hint="eastAsia" w:ascii="仿宋" w:hAnsi="仿宋" w:eastAsia="仿宋" w:cs="仿宋"/>
          <w:kern w:val="0"/>
          <w:sz w:val="32"/>
          <w:szCs w:val="32"/>
          <w:lang w:val="en-US" w:eastAsia="zh-CN" w:bidi="ar-SA"/>
        </w:rPr>
        <w:t>公办幼儿园补助公用经费县级配套58.8万元，主要用于公办幼儿园的日常办公经费；学校的补助经费243万元，主要用于补助学校的人员经费和办学条件经费</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p>
    <w:p>
      <w:pPr>
        <w:spacing w:line="360" w:lineRule="auto"/>
        <w:ind w:firstLine="480" w:firstLineChars="200"/>
        <w:rPr>
          <w:rFonts w:ascii="仿宋_GB2312" w:eastAsia="仿宋_GB2312"/>
          <w:sz w:val="24"/>
        </w:rPr>
      </w:pP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薛慧娟</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董晶</w:t>
      </w:r>
    </w:p>
    <w:p>
      <w:pPr>
        <w:spacing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val="en-US" w:eastAsia="zh-CN"/>
        </w:rPr>
        <w:t>郝红娟</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8030698</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7576737C"/>
    <w:multiLevelType w:val="singleLevel"/>
    <w:tmpl w:val="7576737C"/>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1102475"/>
    <w:rsid w:val="2BFE60B4"/>
    <w:rsid w:val="2D4F5342"/>
    <w:rsid w:val="36D73353"/>
    <w:rsid w:val="3CEE662E"/>
    <w:rsid w:val="3EA33DB1"/>
    <w:rsid w:val="40E91332"/>
    <w:rsid w:val="47C36761"/>
    <w:rsid w:val="52C81EBD"/>
    <w:rsid w:val="5C7119B1"/>
    <w:rsid w:val="605D0EAD"/>
    <w:rsid w:val="6720771F"/>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4">
    <w:name w:val="Emphasis"/>
    <w:basedOn w:val="3"/>
    <w:qFormat/>
    <w:uiPriority w:val="0"/>
    <w:rPr>
      <w:rFonts w:cs="Times New Roman"/>
      <w:i/>
    </w:rPr>
  </w:style>
  <w:style w:type="character" w:styleId="5">
    <w:name w:val="Hyperlink"/>
    <w:basedOn w:val="3"/>
    <w:unhideWhenUsed/>
    <w:qFormat/>
    <w:uiPriority w:val="99"/>
    <w:rPr>
      <w:color w:val="0000FF"/>
      <w:u w:val="single"/>
    </w:rPr>
  </w:style>
  <w:style w:type="paragraph" w:customStyle="1" w:styleId="7">
    <w:name w:val="列出段落1"/>
    <w:basedOn w:val="1"/>
    <w:qFormat/>
    <w:uiPriority w:val="34"/>
    <w:pPr>
      <w:ind w:firstLine="420" w:firstLineChars="200"/>
    </w:pPr>
  </w:style>
  <w:style w:type="paragraph" w:customStyle="1" w:styleId="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2022-02-18T03:29:00Z</cp:lastPrinted>
  <dcterms:modified xsi:type="dcterms:W3CDTF">2022-02-21T03:34:02Z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