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sz w:val="44"/>
          <w:szCs w:val="44"/>
        </w:rPr>
      </w:pPr>
    </w:p>
    <w:p>
      <w:pPr>
        <w:spacing w:line="500" w:lineRule="exact"/>
        <w:jc w:val="center"/>
        <w:rPr>
          <w:rFonts w:ascii="黑体" w:hAnsi="黑体" w:eastAsia="黑体"/>
          <w:sz w:val="44"/>
          <w:szCs w:val="44"/>
        </w:rPr>
      </w:pPr>
      <w:r>
        <w:rPr>
          <w:rFonts w:hint="eastAsia" w:ascii="黑体" w:hAnsi="黑体" w:eastAsia="黑体"/>
          <w:sz w:val="44"/>
          <w:szCs w:val="44"/>
        </w:rPr>
        <w:t>永济市城西街道中心学校</w:t>
      </w:r>
    </w:p>
    <w:p>
      <w:pPr>
        <w:spacing w:line="500" w:lineRule="auto"/>
        <w:jc w:val="center"/>
        <w:rPr>
          <w:rFonts w:ascii="黑体" w:hAnsi="黑体" w:eastAsia="黑体"/>
          <w:sz w:val="44"/>
          <w:szCs w:val="44"/>
        </w:rPr>
      </w:pPr>
      <w:r>
        <w:rPr>
          <w:rFonts w:hint="eastAsia" w:ascii="黑体" w:hAnsi="黑体" w:eastAsia="黑体"/>
          <w:sz w:val="44"/>
          <w:szCs w:val="44"/>
        </w:rPr>
        <w:t>2022年部门预算公开说明</w:t>
      </w:r>
    </w:p>
    <w:p>
      <w:pPr>
        <w:pStyle w:val="7"/>
        <w:spacing w:line="480" w:lineRule="exact"/>
        <w:ind w:firstLine="480"/>
        <w:rPr>
          <w:rFonts w:ascii="黑体" w:hAnsi="黑体" w:eastAsia="黑体"/>
          <w:bCs/>
          <w:sz w:val="24"/>
        </w:rPr>
      </w:pPr>
    </w:p>
    <w:p>
      <w:pPr>
        <w:pStyle w:val="7"/>
        <w:spacing w:line="360" w:lineRule="auto"/>
        <w:ind w:firstLine="64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spacing w:line="360" w:lineRule="auto"/>
        <w:ind w:firstLine="640" w:firstLineChars="200"/>
        <w:jc w:val="left"/>
        <w:rPr>
          <w:rFonts w:ascii="楷体_GB2312" w:hAnsi="楷体_GB2312" w:eastAsia="楷体_GB2312" w:cs="楷体_GB2312"/>
          <w:sz w:val="32"/>
          <w:szCs w:val="32"/>
        </w:rPr>
      </w:pPr>
      <w:r>
        <w:rPr>
          <w:rFonts w:hint="eastAsia" w:ascii="仿宋" w:hAnsi="仿宋" w:eastAsia="仿宋" w:cs="仿宋"/>
          <w:sz w:val="32"/>
          <w:szCs w:val="32"/>
        </w:rPr>
        <w:t>永济市城东街道中心学校属全额事业单位，位于永济市中山西街51号，编制130人，实有人数126人，退休人员95人，学生1421人。</w:t>
      </w:r>
    </w:p>
    <w:p>
      <w:pPr>
        <w:pStyle w:val="7"/>
        <w:numPr>
          <w:ilvl w:val="0"/>
          <w:numId w:val="1"/>
        </w:numPr>
        <w:tabs>
          <w:tab w:val="left" w:pos="988"/>
          <w:tab w:val="left" w:pos="1093"/>
          <w:tab w:val="left" w:pos="1153"/>
          <w:tab w:val="left" w:pos="1168"/>
        </w:tabs>
        <w:spacing w:line="360" w:lineRule="auto"/>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360" w:lineRule="auto"/>
        <w:ind w:firstLine="640" w:firstLineChars="200"/>
        <w:jc w:val="left"/>
        <w:rPr>
          <w:rFonts w:ascii="楷体_GB2312" w:hAnsi="楷体_GB2312" w:eastAsia="楷体_GB2312" w:cs="楷体_GB2312"/>
          <w:sz w:val="32"/>
          <w:szCs w:val="32"/>
        </w:rPr>
      </w:pPr>
      <w:r>
        <w:rPr>
          <w:rFonts w:hint="eastAsia" w:ascii="仿宋" w:hAnsi="仿宋" w:eastAsia="仿宋" w:cs="仿宋"/>
          <w:sz w:val="32"/>
          <w:szCs w:val="32"/>
        </w:rPr>
        <w:t>为辖区学前及小学教育阶段学生提供教育教学服务。</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我单位机构设为中心校下属4所小学和6所幼儿园。为辖区教育教学提供服务，进行教学管理、业务指导，我中心校办校宗旨是实施农村学前教育和小学教育，培养高素质的学生。</w:t>
      </w:r>
    </w:p>
    <w:p>
      <w:pPr>
        <w:pStyle w:val="8"/>
        <w:snapToGrid w:val="0"/>
        <w:spacing w:line="360" w:lineRule="auto"/>
        <w:ind w:firstLine="640"/>
        <w:rPr>
          <w:rFonts w:ascii="黑体" w:hAnsi="黑体" w:eastAsia="黑体"/>
          <w:bCs/>
          <w:sz w:val="32"/>
          <w:szCs w:val="32"/>
        </w:rPr>
      </w:pPr>
      <w:r>
        <w:rPr>
          <w:rFonts w:hint="eastAsia" w:ascii="黑体" w:hAnsi="黑体" w:eastAsia="黑体"/>
          <w:bCs/>
          <w:sz w:val="32"/>
          <w:szCs w:val="32"/>
        </w:rPr>
        <w:t>二、本级预算情况</w:t>
      </w:r>
    </w:p>
    <w:p>
      <w:pPr>
        <w:pStyle w:val="7"/>
        <w:snapToGrid w:val="0"/>
        <w:spacing w:line="360" w:lineRule="auto"/>
        <w:ind w:firstLine="640"/>
        <w:rPr>
          <w:rFonts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1238.21万元，其中：一般公共预算1238.21万元。根据收支平衡的原则，预算支出安排为1238.21万元（其中工资福利支出为1171.58万元，对个人和家庭的补助为49.43万元，商品服务支出为17.2万元，项目支出为199.44万元）。</w:t>
      </w:r>
    </w:p>
    <w:p>
      <w:pPr>
        <w:pStyle w:val="8"/>
        <w:snapToGrid w:val="0"/>
        <w:spacing w:line="360" w:lineRule="auto"/>
        <w:ind w:firstLine="640"/>
        <w:rPr>
          <w:rFonts w:ascii="黑体" w:hAnsi="黑体" w:eastAsia="黑体"/>
          <w:bCs/>
          <w:sz w:val="32"/>
          <w:szCs w:val="32"/>
        </w:rPr>
      </w:pPr>
      <w:r>
        <w:rPr>
          <w:rFonts w:hint="eastAsia" w:ascii="黑体" w:hAnsi="黑体" w:eastAsia="黑体"/>
          <w:bCs/>
          <w:sz w:val="32"/>
          <w:szCs w:val="32"/>
        </w:rPr>
        <w:t>三、预算收支增减变化及情况说明</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收入预算为1238.21万元，比上年减少16.03%。支出预算为1238.21万元，比上年减少16.03%，其中工资福利支出为1171.58万元，比上年减少6.71%，原因是人员减少；对个人和家庭的补助为49.43万元，比上年增长5.5%，原因是退休人员增长及遗属补助标准提高；商品服务支出为17.2万元,比上年减少32.35%，原因是部门经济分类科目调整；项目支出为199.44万元，比上年减少36.49%，原因是部门经济分类科目调整。</w:t>
      </w:r>
    </w:p>
    <w:p>
      <w:pPr>
        <w:snapToGrid w:val="0"/>
        <w:spacing w:line="360" w:lineRule="auto"/>
        <w:ind w:firstLine="640" w:firstLineChars="200"/>
        <w:rPr>
          <w:rFonts w:ascii="黑体" w:hAnsi="黑体" w:eastAsia="黑体"/>
          <w:bCs/>
          <w:sz w:val="32"/>
          <w:szCs w:val="32"/>
        </w:rPr>
      </w:pPr>
      <w:r>
        <w:rPr>
          <w:rFonts w:hint="eastAsia" w:ascii="黑体" w:hAnsi="黑体" w:eastAsia="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7"/>
        <w:snapToGrid w:val="0"/>
        <w:spacing w:line="360" w:lineRule="auto"/>
        <w:ind w:firstLine="640"/>
        <w:rPr>
          <w:rFonts w:ascii="黑体" w:hAnsi="黑体" w:eastAsia="黑体"/>
          <w:bCs/>
          <w:sz w:val="32"/>
          <w:szCs w:val="32"/>
        </w:rPr>
      </w:pPr>
      <w:r>
        <w:rPr>
          <w:rFonts w:hint="eastAsia" w:ascii="黑体" w:hAnsi="黑体" w:eastAsia="黑体"/>
          <w:bCs/>
          <w:sz w:val="32"/>
          <w:szCs w:val="32"/>
        </w:rPr>
        <w:t>五、政府采购安排情况说明</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2022年我单位政府采购预算安排为0万元。</w:t>
      </w:r>
    </w:p>
    <w:p>
      <w:pPr>
        <w:pStyle w:val="7"/>
        <w:snapToGrid w:val="0"/>
        <w:spacing w:line="360" w:lineRule="auto"/>
        <w:ind w:firstLine="640"/>
        <w:jc w:val="left"/>
        <w:rPr>
          <w:rFonts w:ascii="黑体" w:hAnsi="黑体" w:eastAsia="黑体"/>
          <w:bCs/>
          <w:sz w:val="32"/>
          <w:szCs w:val="32"/>
        </w:rPr>
      </w:pPr>
      <w:r>
        <w:rPr>
          <w:rFonts w:hint="eastAsia" w:ascii="黑体" w:hAnsi="黑体" w:eastAsia="黑体"/>
          <w:bCs/>
          <w:sz w:val="32"/>
          <w:szCs w:val="32"/>
        </w:rPr>
        <w:t>六、专业性较强的名词解释</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snapToGrid w:val="0"/>
        <w:spacing w:line="360" w:lineRule="auto"/>
        <w:ind w:firstLine="640" w:firstLineChars="200"/>
        <w:rPr>
          <w:rFonts w:ascii="黑体" w:hAnsi="黑体" w:eastAsia="黑体"/>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snapToGrid w:val="0"/>
        <w:spacing w:line="360" w:lineRule="auto"/>
        <w:ind w:firstLine="640" w:firstLineChars="200"/>
        <w:rPr>
          <w:rFonts w:ascii="黑体" w:hAnsi="黑体" w:eastAsia="黑体"/>
          <w:bCs/>
          <w:sz w:val="32"/>
          <w:szCs w:val="32"/>
        </w:rPr>
      </w:pPr>
      <w:r>
        <w:rPr>
          <w:rFonts w:hint="eastAsia" w:ascii="黑体" w:hAnsi="黑体" w:eastAsia="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八、国有资产占用情况说明</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截止2021年12月31日，我单位资产总额1176.67万元，其中流动资产10.78万元；固定资产原值1668.23万元，累计折旧502.35万元，固定资产净值为1165.88万元。固定资产当中，房屋构筑物996.57万元，其他固定资产169.31万元。与上年相比，本年固定资产原值增长286.55万元，原因是在建工程转固及通用设备、家具用具增长。</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2022年预计新增采购固定资产0万元。</w:t>
      </w:r>
    </w:p>
    <w:p>
      <w:pPr>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九、重点项目预算的绩效目标情况说明</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2022年度本部门共3个项目设定绩效目标，共199.44万元。</w:t>
      </w:r>
      <w:r>
        <w:rPr>
          <w:rFonts w:hint="eastAsia" w:ascii="仿宋" w:hAnsi="仿宋" w:eastAsia="仿宋" w:cs="仿宋"/>
          <w:sz w:val="32"/>
          <w:szCs w:val="32"/>
          <w:lang w:eastAsia="zh-CN"/>
        </w:rPr>
        <w:t>其中</w:t>
      </w:r>
      <w:r>
        <w:rPr>
          <w:rFonts w:hint="eastAsia" w:ascii="仿宋" w:hAnsi="仿宋" w:eastAsia="仿宋" w:cs="仿宋"/>
          <w:sz w:val="32"/>
          <w:szCs w:val="32"/>
        </w:rPr>
        <w:t>重点项目预算的绩效目标</w:t>
      </w:r>
      <w:r>
        <w:rPr>
          <w:rFonts w:hint="eastAsia" w:ascii="仿宋" w:hAnsi="仿宋" w:eastAsia="仿宋" w:cs="仿宋"/>
          <w:sz w:val="32"/>
          <w:szCs w:val="32"/>
          <w:lang w:eastAsia="zh-CN"/>
        </w:rPr>
        <w:t>为</w:t>
      </w:r>
      <w:r>
        <w:rPr>
          <w:rFonts w:hint="eastAsia" w:ascii="仿宋" w:hAnsi="仿宋" w:eastAsia="仿宋" w:cs="仿宋"/>
          <w:kern w:val="0"/>
          <w:sz w:val="32"/>
          <w:szCs w:val="32"/>
          <w:lang w:val="en-US" w:eastAsia="zh-CN" w:bidi="ar-SA"/>
        </w:rPr>
        <w:t>学校的补助经费90.2万元，主要用于补助学校的幼儿园人员和办学条件经费</w:t>
      </w:r>
      <w:bookmarkStart w:id="0" w:name="_GoBack"/>
      <w:bookmarkEnd w:id="0"/>
      <w:r>
        <w:rPr>
          <w:rFonts w:hint="eastAsia" w:ascii="仿宋" w:hAnsi="仿宋" w:eastAsia="仿宋" w:cs="仿宋"/>
          <w:sz w:val="32"/>
          <w:szCs w:val="32"/>
        </w:rPr>
        <w:t>。</w:t>
      </w:r>
    </w:p>
    <w:p>
      <w:pPr>
        <w:spacing w:line="360" w:lineRule="auto"/>
        <w:ind w:firstLine="480" w:firstLineChars="200"/>
        <w:rPr>
          <w:rFonts w:ascii="仿宋_GB2312" w:eastAsia="仿宋_GB2312"/>
          <w:sz w:val="24"/>
        </w:rPr>
      </w:pPr>
    </w:p>
    <w:p>
      <w:pPr>
        <w:rPr>
          <w:rFonts w:ascii="仿宋" w:hAnsi="仿宋" w:eastAsia="仿宋" w:cs="仿宋"/>
          <w:sz w:val="32"/>
          <w:szCs w:val="32"/>
        </w:rPr>
      </w:pPr>
      <w:r>
        <w:rPr>
          <w:rFonts w:hint="eastAsia" w:ascii="仿宋" w:hAnsi="仿宋" w:eastAsia="仿宋" w:cs="仿宋"/>
          <w:sz w:val="32"/>
          <w:szCs w:val="32"/>
        </w:rPr>
        <w:t>单位负责人：任康乐       财务负责人：温进锋</w:t>
      </w:r>
    </w:p>
    <w:p>
      <w:r>
        <w:rPr>
          <w:rFonts w:hint="eastAsia" w:ascii="仿宋" w:hAnsi="仿宋" w:eastAsia="仿宋" w:cs="仿宋"/>
          <w:sz w:val="32"/>
          <w:szCs w:val="32"/>
        </w:rPr>
        <w:t>填  报  人：潘新燕       联 系电 话：0359-8525958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Light">
    <w:altName w:val="Calibri"/>
    <w:panose1 w:val="020F030202020403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6D73353"/>
    <w:rsid w:val="001932A1"/>
    <w:rsid w:val="001E5D0A"/>
    <w:rsid w:val="00254527"/>
    <w:rsid w:val="005A7AE8"/>
    <w:rsid w:val="00620E9B"/>
    <w:rsid w:val="00730618"/>
    <w:rsid w:val="00767F21"/>
    <w:rsid w:val="00774DE6"/>
    <w:rsid w:val="008A0D7A"/>
    <w:rsid w:val="008B2BF3"/>
    <w:rsid w:val="008B452D"/>
    <w:rsid w:val="008E50A1"/>
    <w:rsid w:val="00D333EE"/>
    <w:rsid w:val="00F26148"/>
    <w:rsid w:val="115F1423"/>
    <w:rsid w:val="2D4F5342"/>
    <w:rsid w:val="36D73353"/>
    <w:rsid w:val="3CEE662E"/>
    <w:rsid w:val="3EA33DB1"/>
    <w:rsid w:val="40E91332"/>
    <w:rsid w:val="47C36761"/>
    <w:rsid w:val="52C81EBD"/>
    <w:rsid w:val="605D0EAD"/>
    <w:rsid w:val="65DD0E73"/>
    <w:rsid w:val="667F4819"/>
    <w:rsid w:val="6720771F"/>
    <w:rsid w:val="7DCB7872"/>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0"/>
    <w:rPr>
      <w:rFonts w:cs="Times New Roman"/>
      <w:i/>
    </w:rPr>
  </w:style>
  <w:style w:type="paragraph" w:customStyle="1" w:styleId="7">
    <w:name w:val="列出段落1"/>
    <w:basedOn w:val="1"/>
    <w:qFormat/>
    <w:uiPriority w:val="34"/>
    <w:pPr>
      <w:ind w:firstLine="420" w:firstLineChars="200"/>
    </w:pPr>
  </w:style>
  <w:style w:type="paragraph" w:customStyle="1" w:styleId="8">
    <w:name w:val="列表段落1"/>
    <w:basedOn w:val="1"/>
    <w:qFormat/>
    <w:uiPriority w:val="34"/>
    <w:pPr>
      <w:ind w:firstLine="420" w:firstLineChars="200"/>
    </w:pPr>
  </w:style>
  <w:style w:type="character" w:customStyle="1" w:styleId="9">
    <w:name w:val="页眉 Char"/>
    <w:basedOn w:val="4"/>
    <w:link w:val="3"/>
    <w:qFormat/>
    <w:uiPriority w:val="0"/>
    <w:rPr>
      <w:rFonts w:ascii="Calibri" w:hAnsi="Calibri" w:eastAsia="宋体" w:cs="黑体"/>
      <w:kern w:val="2"/>
      <w:sz w:val="18"/>
      <w:szCs w:val="18"/>
    </w:rPr>
  </w:style>
  <w:style w:type="character" w:customStyle="1" w:styleId="10">
    <w:name w:val="页脚 Char"/>
    <w:basedOn w:val="4"/>
    <w:link w:val="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246</Words>
  <Characters>1404</Characters>
  <Lines>11</Lines>
  <Paragraphs>3</Paragraphs>
  <TotalTime>0</TotalTime>
  <ScaleCrop>false</ScaleCrop>
  <LinksUpToDate>false</LinksUpToDate>
  <CharactersWithSpaces>1647</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2022-02-19T02:47:26Z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