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春蕾幼儿园</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6"/>
        <w:spacing w:line="480" w:lineRule="exact"/>
        <w:ind w:firstLine="480"/>
        <w:rPr>
          <w:rFonts w:ascii="黑体" w:hAnsi="黑体" w:eastAsia="黑体"/>
          <w:bCs/>
          <w:sz w:val="24"/>
        </w:rPr>
      </w:pPr>
    </w:p>
    <w:p>
      <w:pPr>
        <w:pStyle w:val="6"/>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基本情况</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永济市春蕾幼儿园属差额事业单位，</w:t>
      </w:r>
      <w:r>
        <w:rPr>
          <w:rFonts w:hint="eastAsia" w:ascii="仿宋" w:hAnsi="仿宋" w:eastAsia="仿宋" w:cs="仿宋"/>
          <w:sz w:val="32"/>
          <w:szCs w:val="32"/>
          <w:lang w:eastAsia="zh-CN"/>
        </w:rPr>
        <w:t>位于</w:t>
      </w:r>
      <w:r>
        <w:rPr>
          <w:rFonts w:hint="eastAsia" w:ascii="仿宋" w:hAnsi="仿宋" w:eastAsia="仿宋" w:cs="仿宋"/>
          <w:sz w:val="32"/>
          <w:szCs w:val="32"/>
        </w:rPr>
        <w:t>永济市</w:t>
      </w:r>
      <w:r>
        <w:rPr>
          <w:rFonts w:hint="eastAsia" w:ascii="仿宋" w:hAnsi="仿宋" w:eastAsia="仿宋" w:cs="仿宋"/>
          <w:sz w:val="32"/>
          <w:szCs w:val="32"/>
          <w:lang w:eastAsia="zh-CN"/>
        </w:rPr>
        <w:t>富强东街</w:t>
      </w:r>
      <w:r>
        <w:rPr>
          <w:rFonts w:hint="eastAsia" w:ascii="仿宋" w:hAnsi="仿宋" w:eastAsia="仿宋" w:cs="仿宋"/>
          <w:sz w:val="32"/>
          <w:szCs w:val="32"/>
          <w:lang w:val="en-US" w:eastAsia="zh-CN"/>
        </w:rPr>
        <w:t>46号</w:t>
      </w:r>
      <w:r>
        <w:rPr>
          <w:rFonts w:hint="eastAsia" w:ascii="仿宋" w:hAnsi="仿宋" w:eastAsia="仿宋" w:cs="仿宋"/>
          <w:sz w:val="32"/>
          <w:szCs w:val="32"/>
          <w:lang w:eastAsia="zh-CN"/>
        </w:rPr>
        <w:t>。</w:t>
      </w:r>
      <w:r>
        <w:rPr>
          <w:rFonts w:hint="eastAsia" w:ascii="仿宋" w:hAnsi="仿宋" w:eastAsia="仿宋" w:cs="仿宋"/>
          <w:bCs/>
          <w:kern w:val="3"/>
          <w:sz w:val="32"/>
          <w:szCs w:val="32"/>
        </w:rPr>
        <w:t>幼儿园</w:t>
      </w:r>
      <w:r>
        <w:rPr>
          <w:rFonts w:hint="eastAsia" w:ascii="仿宋" w:hAnsi="仿宋" w:eastAsia="仿宋" w:cs="仿宋"/>
          <w:bCs/>
          <w:kern w:val="3"/>
          <w:sz w:val="32"/>
          <w:szCs w:val="32"/>
          <w:lang w:eastAsia="zh-CN"/>
        </w:rPr>
        <w:t>编制</w:t>
      </w:r>
      <w:r>
        <w:rPr>
          <w:rFonts w:hint="eastAsia" w:ascii="仿宋" w:hAnsi="仿宋" w:eastAsia="仿宋" w:cs="仿宋"/>
          <w:bCs/>
          <w:kern w:val="3"/>
          <w:sz w:val="32"/>
          <w:szCs w:val="32"/>
          <w:lang w:val="en-US" w:eastAsia="zh-CN"/>
        </w:rPr>
        <w:t>60人，</w:t>
      </w:r>
      <w:r>
        <w:rPr>
          <w:rFonts w:hint="eastAsia" w:ascii="仿宋" w:hAnsi="仿宋" w:eastAsia="仿宋" w:cs="仿宋"/>
          <w:bCs/>
          <w:kern w:val="3"/>
          <w:sz w:val="32"/>
          <w:szCs w:val="32"/>
        </w:rPr>
        <w:t>在编在岗</w:t>
      </w:r>
      <w:r>
        <w:rPr>
          <w:rFonts w:hint="eastAsia" w:ascii="仿宋" w:hAnsi="仿宋" w:eastAsia="仿宋" w:cs="仿宋"/>
          <w:bCs/>
          <w:kern w:val="3"/>
          <w:sz w:val="32"/>
          <w:szCs w:val="32"/>
          <w:lang w:val="en-US" w:eastAsia="zh-CN"/>
        </w:rPr>
        <w:t>55</w:t>
      </w:r>
      <w:r>
        <w:rPr>
          <w:rFonts w:hint="eastAsia" w:ascii="仿宋" w:hAnsi="仿宋" w:eastAsia="仿宋" w:cs="仿宋"/>
          <w:bCs/>
          <w:kern w:val="3"/>
          <w:sz w:val="32"/>
          <w:szCs w:val="32"/>
        </w:rPr>
        <w:t>人（中级职称</w:t>
      </w:r>
      <w:r>
        <w:rPr>
          <w:rFonts w:hint="eastAsia" w:ascii="仿宋" w:hAnsi="仿宋" w:eastAsia="仿宋" w:cs="仿宋"/>
          <w:bCs/>
          <w:kern w:val="3"/>
          <w:sz w:val="32"/>
          <w:szCs w:val="32"/>
          <w:lang w:val="en-US" w:eastAsia="zh-CN"/>
        </w:rPr>
        <w:t>15</w:t>
      </w:r>
      <w:r>
        <w:rPr>
          <w:rFonts w:hint="eastAsia" w:ascii="仿宋" w:hAnsi="仿宋" w:eastAsia="仿宋" w:cs="仿宋"/>
          <w:bCs/>
          <w:kern w:val="3"/>
          <w:sz w:val="32"/>
          <w:szCs w:val="32"/>
        </w:rPr>
        <w:t>人，初级和员级</w:t>
      </w:r>
      <w:r>
        <w:rPr>
          <w:rFonts w:hint="eastAsia" w:ascii="仿宋" w:hAnsi="仿宋" w:eastAsia="仿宋" w:cs="仿宋"/>
          <w:bCs/>
          <w:kern w:val="3"/>
          <w:sz w:val="32"/>
          <w:szCs w:val="32"/>
          <w:lang w:val="en-US" w:eastAsia="zh-CN"/>
        </w:rPr>
        <w:t>34</w:t>
      </w:r>
      <w:r>
        <w:rPr>
          <w:rFonts w:hint="eastAsia" w:ascii="仿宋" w:hAnsi="仿宋" w:eastAsia="仿宋" w:cs="仿宋"/>
          <w:bCs/>
          <w:kern w:val="3"/>
          <w:sz w:val="32"/>
          <w:szCs w:val="32"/>
        </w:rPr>
        <w:t>人，</w:t>
      </w:r>
      <w:r>
        <w:rPr>
          <w:rFonts w:hint="eastAsia" w:ascii="仿宋" w:hAnsi="仿宋" w:eastAsia="仿宋" w:cs="仿宋"/>
          <w:bCs/>
          <w:kern w:val="3"/>
          <w:sz w:val="32"/>
          <w:szCs w:val="32"/>
          <w:lang w:eastAsia="zh-CN"/>
        </w:rPr>
        <w:t>管理岗</w:t>
      </w:r>
      <w:r>
        <w:rPr>
          <w:rFonts w:hint="eastAsia" w:ascii="仿宋" w:hAnsi="仿宋" w:eastAsia="仿宋" w:cs="仿宋"/>
          <w:bCs/>
          <w:kern w:val="3"/>
          <w:sz w:val="32"/>
          <w:szCs w:val="32"/>
          <w:lang w:val="en-US" w:eastAsia="zh-CN"/>
        </w:rPr>
        <w:t>1人，</w:t>
      </w:r>
      <w:r>
        <w:rPr>
          <w:rFonts w:hint="eastAsia" w:ascii="仿宋" w:hAnsi="仿宋" w:eastAsia="仿宋" w:cs="仿宋"/>
          <w:bCs/>
          <w:kern w:val="3"/>
          <w:sz w:val="32"/>
          <w:szCs w:val="32"/>
          <w:lang w:eastAsia="zh-CN"/>
        </w:rPr>
        <w:t>高级工</w:t>
      </w:r>
      <w:r>
        <w:rPr>
          <w:rFonts w:hint="eastAsia" w:ascii="仿宋" w:hAnsi="仿宋" w:eastAsia="仿宋" w:cs="仿宋"/>
          <w:bCs/>
          <w:kern w:val="3"/>
          <w:sz w:val="32"/>
          <w:szCs w:val="32"/>
          <w:lang w:val="en-US" w:eastAsia="zh-CN"/>
        </w:rPr>
        <w:t>2人，</w:t>
      </w:r>
      <w:r>
        <w:rPr>
          <w:rFonts w:hint="eastAsia" w:ascii="仿宋" w:hAnsi="仿宋" w:eastAsia="仿宋" w:cs="仿宋"/>
          <w:bCs/>
          <w:kern w:val="3"/>
          <w:sz w:val="32"/>
          <w:szCs w:val="32"/>
        </w:rPr>
        <w:t>中级工2人，初级工</w:t>
      </w:r>
      <w:r>
        <w:rPr>
          <w:rFonts w:hint="eastAsia" w:ascii="仿宋" w:hAnsi="仿宋" w:eastAsia="仿宋" w:cs="仿宋"/>
          <w:bCs/>
          <w:kern w:val="3"/>
          <w:sz w:val="32"/>
          <w:szCs w:val="32"/>
          <w:lang w:val="en-US" w:eastAsia="zh-CN"/>
        </w:rPr>
        <w:t>1</w:t>
      </w:r>
      <w:r>
        <w:rPr>
          <w:rFonts w:hint="eastAsia" w:ascii="仿宋" w:hAnsi="仿宋" w:eastAsia="仿宋" w:cs="仿宋"/>
          <w:bCs/>
          <w:kern w:val="3"/>
          <w:sz w:val="32"/>
          <w:szCs w:val="32"/>
        </w:rPr>
        <w:t>人）,</w:t>
      </w:r>
      <w:r>
        <w:rPr>
          <w:rFonts w:hint="eastAsia" w:ascii="仿宋" w:hAnsi="仿宋" w:eastAsia="仿宋" w:cs="仿宋"/>
          <w:bCs/>
          <w:kern w:val="3"/>
          <w:sz w:val="32"/>
          <w:szCs w:val="32"/>
          <w:lang w:eastAsia="zh-CN"/>
        </w:rPr>
        <w:t>退休</w:t>
      </w:r>
      <w:r>
        <w:rPr>
          <w:rFonts w:hint="eastAsia" w:ascii="仿宋" w:hAnsi="仿宋" w:eastAsia="仿宋" w:cs="仿宋"/>
          <w:bCs/>
          <w:kern w:val="3"/>
          <w:sz w:val="32"/>
          <w:szCs w:val="32"/>
          <w:lang w:val="en-US" w:eastAsia="zh-CN"/>
        </w:rPr>
        <w:t>6人，</w:t>
      </w:r>
      <w:r>
        <w:rPr>
          <w:rFonts w:hint="eastAsia" w:ascii="仿宋" w:hAnsi="仿宋" w:eastAsia="仿宋" w:cs="仿宋"/>
          <w:bCs/>
          <w:kern w:val="3"/>
          <w:sz w:val="32"/>
          <w:szCs w:val="32"/>
        </w:rPr>
        <w:t>聘用临时人员20人。</w:t>
      </w:r>
    </w:p>
    <w:p>
      <w:pPr>
        <w:pStyle w:val="8"/>
        <w:tabs>
          <w:tab w:val="left" w:pos="988"/>
          <w:tab w:val="left" w:pos="1093"/>
          <w:tab w:val="left" w:pos="1168"/>
        </w:tabs>
        <w:spacing w:line="54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（二）主要职责</w:t>
      </w:r>
    </w:p>
    <w:p>
      <w:pPr>
        <w:spacing w:line="540" w:lineRule="exact"/>
        <w:ind w:firstLine="630" w:firstLineChars="197"/>
        <w:rPr>
          <w:rFonts w:hint="eastAsia" w:ascii="仿宋" w:hAnsi="仿宋" w:eastAsia="仿宋" w:cs="仿宋"/>
          <w:sz w:val="32"/>
          <w:szCs w:val="32"/>
        </w:rPr>
      </w:pPr>
      <w:r>
        <w:rPr>
          <w:rFonts w:hint="eastAsia" w:ascii="仿宋" w:hAnsi="仿宋" w:eastAsia="仿宋" w:cs="仿宋"/>
          <w:bCs/>
          <w:kern w:val="3"/>
          <w:sz w:val="32"/>
          <w:szCs w:val="32"/>
        </w:rPr>
        <w:t>负责幼儿学前教育，让幼儿在玩中成长，在游戏中发现乐趣，开发幼儿创造力和智力。开创永济市高标准、高质量的示范幼儿园。</w:t>
      </w:r>
    </w:p>
    <w:p>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（三）机构设置情况</w:t>
      </w:r>
    </w:p>
    <w:p>
      <w:pPr>
        <w:pStyle w:val="9"/>
        <w:keepNext w:val="0"/>
        <w:keepLines w:val="0"/>
        <w:pageBreakBefore w:val="0"/>
        <w:kinsoku/>
        <w:wordWrap/>
        <w:overflowPunct/>
        <w:topLinePunct w:val="0"/>
        <w:autoSpaceDE/>
        <w:autoSpaceDN/>
        <w:bidi w:val="0"/>
        <w:adjustRightInd/>
        <w:snapToGrid/>
        <w:spacing w:line="500" w:lineRule="exact"/>
        <w:ind w:left="0" w:leftChars="0" w:right="0" w:rightChars="0" w:firstLine="640" w:firstLineChars="200"/>
        <w:outlineLvl w:val="9"/>
        <w:rPr>
          <w:rFonts w:hint="eastAsia" w:ascii="仿宋" w:hAnsi="仿宋" w:eastAsia="仿宋" w:cs="仿宋"/>
          <w:sz w:val="32"/>
          <w:szCs w:val="32"/>
        </w:rPr>
      </w:pPr>
      <w:r>
        <w:rPr>
          <w:rFonts w:hint="eastAsia" w:ascii="仿宋" w:hAnsi="仿宋" w:eastAsia="仿宋" w:cs="仿宋"/>
          <w:sz w:val="32"/>
          <w:szCs w:val="32"/>
        </w:rPr>
        <w:t>我单位机构</w:t>
      </w:r>
      <w:r>
        <w:rPr>
          <w:rFonts w:hint="eastAsia" w:ascii="仿宋" w:hAnsi="仿宋" w:eastAsia="仿宋" w:cs="仿宋"/>
          <w:sz w:val="32"/>
          <w:szCs w:val="32"/>
          <w:lang w:eastAsia="zh-CN"/>
        </w:rPr>
        <w:t>设</w:t>
      </w:r>
      <w:r>
        <w:rPr>
          <w:rFonts w:hint="eastAsia" w:ascii="仿宋" w:hAnsi="仿宋" w:eastAsia="仿宋" w:cs="仿宋"/>
          <w:sz w:val="32"/>
          <w:szCs w:val="32"/>
        </w:rPr>
        <w:t>有</w:t>
      </w:r>
      <w:r>
        <w:rPr>
          <w:rFonts w:hint="eastAsia" w:ascii="仿宋" w:hAnsi="仿宋" w:eastAsia="仿宋" w:cs="仿宋"/>
          <w:sz w:val="32"/>
          <w:szCs w:val="32"/>
          <w:lang w:eastAsia="zh-CN"/>
        </w:rPr>
        <w:t>：</w:t>
      </w:r>
      <w:r>
        <w:rPr>
          <w:rFonts w:hint="eastAsia" w:ascii="仿宋" w:hAnsi="仿宋" w:eastAsia="仿宋" w:cs="仿宋"/>
          <w:sz w:val="32"/>
          <w:szCs w:val="32"/>
        </w:rPr>
        <w:t>办公室</w:t>
      </w:r>
      <w:r>
        <w:rPr>
          <w:rFonts w:hint="eastAsia" w:ascii="仿宋" w:hAnsi="仿宋" w:eastAsia="仿宋" w:cs="仿宋"/>
          <w:sz w:val="32"/>
          <w:szCs w:val="32"/>
          <w:lang w:eastAsia="zh-CN"/>
        </w:rPr>
        <w:t>、党建室、</w:t>
      </w:r>
      <w:r>
        <w:rPr>
          <w:rFonts w:hint="eastAsia" w:ascii="仿宋" w:hAnsi="仿宋" w:eastAsia="仿宋" w:cs="仿宋"/>
          <w:sz w:val="32"/>
          <w:szCs w:val="32"/>
        </w:rPr>
        <w:t>教研室、财务室、</w:t>
      </w:r>
      <w:r>
        <w:rPr>
          <w:rFonts w:hint="eastAsia" w:ascii="仿宋" w:hAnsi="仿宋" w:eastAsia="仿宋" w:cs="仿宋"/>
          <w:sz w:val="32"/>
          <w:szCs w:val="32"/>
          <w:lang w:eastAsia="zh-CN"/>
        </w:rPr>
        <w:t>总务</w:t>
      </w:r>
      <w:r>
        <w:rPr>
          <w:rFonts w:hint="eastAsia" w:ascii="仿宋" w:hAnsi="仿宋" w:eastAsia="仿宋" w:cs="仿宋"/>
          <w:sz w:val="32"/>
          <w:szCs w:val="32"/>
        </w:rPr>
        <w:t>室</w:t>
      </w:r>
      <w:r>
        <w:rPr>
          <w:rFonts w:hint="eastAsia" w:ascii="仿宋" w:hAnsi="仿宋" w:eastAsia="仿宋" w:cs="仿宋"/>
          <w:sz w:val="32"/>
          <w:szCs w:val="32"/>
          <w:lang w:eastAsia="zh-CN"/>
        </w:rPr>
        <w:t>、工会</w:t>
      </w:r>
      <w:r>
        <w:rPr>
          <w:rFonts w:hint="eastAsia" w:ascii="仿宋" w:hAnsi="仿宋" w:eastAsia="仿宋" w:cs="仿宋"/>
          <w:sz w:val="32"/>
          <w:szCs w:val="32"/>
        </w:rPr>
        <w:t>卫生保健室。</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w:t>
      </w:r>
      <w:r>
        <w:rPr>
          <w:rFonts w:hint="eastAsia" w:ascii="仿宋" w:hAnsi="仿宋" w:eastAsia="仿宋" w:cs="仿宋"/>
          <w:sz w:val="32"/>
          <w:szCs w:val="32"/>
          <w:lang w:eastAsia="zh-CN"/>
        </w:rPr>
        <w:t>差额</w:t>
      </w:r>
      <w:r>
        <w:rPr>
          <w:rFonts w:hint="eastAsia" w:ascii="仿宋" w:hAnsi="仿宋" w:eastAsia="仿宋" w:cs="仿宋"/>
          <w:sz w:val="32"/>
          <w:szCs w:val="32"/>
        </w:rPr>
        <w:t>事业单位，属于二级独立核算单位。2022年我单位预算收入安排为</w:t>
      </w:r>
      <w:r>
        <w:rPr>
          <w:rFonts w:hint="eastAsia" w:ascii="仿宋" w:hAnsi="仿宋" w:eastAsia="仿宋" w:cs="仿宋"/>
          <w:sz w:val="32"/>
          <w:szCs w:val="32"/>
          <w:lang w:val="en-US" w:eastAsia="zh-CN"/>
        </w:rPr>
        <w:t>544.02</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544.02</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544.02</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290.2</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0</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0</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253.82</w:t>
      </w:r>
      <w:r>
        <w:rPr>
          <w:rFonts w:hint="eastAsia" w:ascii="仿宋" w:hAnsi="仿宋" w:eastAsia="仿宋" w:cs="仿宋"/>
          <w:sz w:val="32"/>
          <w:szCs w:val="32"/>
        </w:rPr>
        <w:t>万元）。</w:t>
      </w:r>
    </w:p>
    <w:p>
      <w:pPr>
        <w:pStyle w:val="7"/>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2022年收入预算为544.02万元，比上年增长2%。支出预算为544.02万元，比上年增长2%，其中工资福利支出为290.2万元，比上年减少38.5%，原因是</w:t>
      </w:r>
      <w:r>
        <w:rPr>
          <w:rFonts w:hint="eastAsia" w:ascii="仿宋" w:hAnsi="仿宋" w:eastAsia="仿宋" w:cs="仿宋"/>
          <w:sz w:val="32"/>
          <w:szCs w:val="32"/>
        </w:rPr>
        <w:t>科目调整</w:t>
      </w:r>
      <w:r>
        <w:rPr>
          <w:rFonts w:hint="eastAsia" w:ascii="仿宋" w:hAnsi="仿宋" w:eastAsia="仿宋" w:cs="仿宋"/>
          <w:kern w:val="2"/>
          <w:sz w:val="32"/>
          <w:szCs w:val="32"/>
          <w:lang w:val="en-US" w:eastAsia="zh-CN" w:bidi="ar-SA"/>
        </w:rPr>
        <w:t>；对个人和家庭的补助为0万元，比上年无增减；商品服务支出为0万元,比上年减少100%，原因是</w:t>
      </w:r>
      <w:r>
        <w:rPr>
          <w:rFonts w:hint="eastAsia" w:ascii="仿宋" w:hAnsi="仿宋" w:eastAsia="仿宋" w:cs="仿宋"/>
          <w:sz w:val="32"/>
          <w:szCs w:val="32"/>
        </w:rPr>
        <w:t>科目调整</w:t>
      </w:r>
      <w:r>
        <w:rPr>
          <w:rFonts w:hint="eastAsia" w:ascii="仿宋" w:hAnsi="仿宋" w:eastAsia="仿宋" w:cs="仿宋"/>
          <w:kern w:val="2"/>
          <w:sz w:val="32"/>
          <w:szCs w:val="32"/>
          <w:lang w:val="en-US" w:eastAsia="zh-CN" w:bidi="ar-SA"/>
        </w:rPr>
        <w:t>；项目支出为253.82万元，比上年增长100%，原因是</w:t>
      </w:r>
      <w:r>
        <w:rPr>
          <w:rFonts w:hint="eastAsia" w:ascii="仿宋" w:hAnsi="仿宋" w:eastAsia="仿宋" w:cs="仿宋"/>
          <w:sz w:val="32"/>
          <w:szCs w:val="32"/>
        </w:rPr>
        <w:t>科目调整</w:t>
      </w:r>
      <w:r>
        <w:rPr>
          <w:rFonts w:hint="eastAsia" w:ascii="仿宋" w:hAnsi="仿宋" w:eastAsia="仿宋" w:cs="仿宋"/>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w:t>
      </w:r>
      <w:bookmarkStart w:id="0" w:name="_GoBack"/>
      <w:bookmarkEnd w:id="0"/>
      <w:r>
        <w:rPr>
          <w:rFonts w:hint="eastAsia" w:ascii="黑体" w:hAnsi="黑体" w:eastAsia="黑体" w:cs="黑体"/>
          <w:bCs/>
          <w:sz w:val="32"/>
          <w:szCs w:val="32"/>
        </w:rPr>
        <w:t>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numPr>
          <w:ilvl w:val="0"/>
          <w:numId w:val="2"/>
        </w:numPr>
        <w:kinsoku/>
        <w:wordWrap/>
        <w:overflowPunct/>
        <w:topLinePunct w:val="0"/>
        <w:autoSpaceDE/>
        <w:autoSpaceDN/>
        <w:bidi w:val="0"/>
        <w:adjustRightInd/>
        <w:snapToGrid/>
        <w:spacing w:line="500" w:lineRule="exact"/>
        <w:ind w:leftChars="200" w:right="0" w:rightChars="0"/>
        <w:outlineLvl w:val="9"/>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仿宋" w:hAnsi="仿宋" w:eastAsia="仿宋" w:cs="仿宋"/>
          <w:kern w:val="2"/>
          <w:sz w:val="32"/>
          <w:szCs w:val="32"/>
          <w:lang w:val="en-US" w:eastAsia="zh-CN" w:bidi="ar-SA"/>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1578.5</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27.5</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1672.8</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122</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1550.8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无形资产</w:t>
      </w:r>
      <w:r>
        <w:rPr>
          <w:rFonts w:hint="eastAsia" w:ascii="仿宋" w:hAnsi="仿宋" w:eastAsia="仿宋" w:cs="仿宋"/>
          <w:sz w:val="32"/>
          <w:szCs w:val="32"/>
          <w:lang w:val="en-US" w:eastAsia="zh-CN"/>
        </w:rPr>
        <w:t>1</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1537.6</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59.8</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75.4</w:t>
      </w:r>
      <w:r>
        <w:rPr>
          <w:rFonts w:hint="eastAsia" w:ascii="仿宋" w:hAnsi="仿宋" w:eastAsia="仿宋" w:cs="仿宋"/>
          <w:sz w:val="32"/>
          <w:szCs w:val="32"/>
        </w:rPr>
        <w:t>万元。与上年相比，本年固定资产原值减少</w:t>
      </w:r>
      <w:r>
        <w:rPr>
          <w:rFonts w:hint="eastAsia" w:ascii="仿宋" w:hAnsi="仿宋" w:eastAsia="仿宋" w:cs="仿宋"/>
          <w:sz w:val="32"/>
          <w:szCs w:val="32"/>
          <w:lang w:val="en-US" w:eastAsia="zh-CN"/>
        </w:rPr>
        <w:t>110</w:t>
      </w:r>
      <w:r>
        <w:rPr>
          <w:rFonts w:hint="eastAsia" w:ascii="仿宋" w:hAnsi="仿宋" w:eastAsia="仿宋" w:cs="仿宋"/>
          <w:sz w:val="32"/>
          <w:szCs w:val="32"/>
        </w:rPr>
        <w:t>万元，原因是</w:t>
      </w:r>
      <w:r>
        <w:rPr>
          <w:rFonts w:hint="eastAsia" w:ascii="仿宋" w:hAnsi="仿宋" w:eastAsia="仿宋" w:cs="仿宋"/>
          <w:sz w:val="32"/>
          <w:szCs w:val="32"/>
          <w:lang w:eastAsia="zh-CN"/>
        </w:rPr>
        <w:t>旧园址使用权划拨调出</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3</w:t>
      </w:r>
      <w:r>
        <w:rPr>
          <w:rFonts w:hint="eastAsia" w:ascii="仿宋" w:hAnsi="仿宋" w:eastAsia="仿宋" w:cs="仿宋"/>
          <w:sz w:val="32"/>
          <w:szCs w:val="32"/>
        </w:rPr>
        <w:t>个项目设定绩效目标，共</w:t>
      </w:r>
      <w:r>
        <w:rPr>
          <w:rFonts w:hint="eastAsia" w:ascii="仿宋" w:hAnsi="仿宋" w:eastAsia="仿宋" w:cs="仿宋"/>
          <w:sz w:val="32"/>
          <w:szCs w:val="32"/>
          <w:lang w:val="en-US" w:eastAsia="zh-CN"/>
        </w:rPr>
        <w:t>253.82</w:t>
      </w:r>
      <w:r>
        <w:rPr>
          <w:rFonts w:hint="eastAsia" w:ascii="仿宋" w:hAnsi="仿宋" w:eastAsia="仿宋" w:cs="仿宋"/>
          <w:sz w:val="32"/>
          <w:szCs w:val="32"/>
        </w:rPr>
        <w:t>万元。</w:t>
      </w:r>
      <w:r>
        <w:rPr>
          <w:rFonts w:hint="eastAsia" w:ascii="仿宋" w:hAnsi="仿宋" w:eastAsia="仿宋" w:cs="仿宋"/>
          <w:sz w:val="32"/>
          <w:szCs w:val="32"/>
          <w:lang w:eastAsia="zh-CN"/>
        </w:rPr>
        <w:t>其中</w:t>
      </w:r>
      <w:r>
        <w:rPr>
          <w:rFonts w:hint="eastAsia" w:ascii="仿宋" w:hAnsi="仿宋" w:eastAsia="仿宋" w:cs="仿宋"/>
          <w:sz w:val="32"/>
          <w:szCs w:val="32"/>
        </w:rPr>
        <w:t>重点项目</w:t>
      </w:r>
      <w:r>
        <w:rPr>
          <w:rFonts w:hint="eastAsia" w:ascii="仿宋" w:hAnsi="仿宋" w:eastAsia="仿宋" w:cs="仿宋"/>
          <w:sz w:val="32"/>
          <w:szCs w:val="32"/>
          <w:lang w:eastAsia="zh-CN"/>
        </w:rPr>
        <w:t>是学校的补助经费</w:t>
      </w:r>
      <w:r>
        <w:rPr>
          <w:rFonts w:hint="eastAsia" w:ascii="仿宋" w:hAnsi="仿宋" w:eastAsia="仿宋" w:cs="仿宋"/>
          <w:sz w:val="32"/>
          <w:szCs w:val="32"/>
          <w:lang w:val="en-US" w:eastAsia="zh-CN"/>
        </w:rPr>
        <w:t>200万元，主要用于补助人员经费；公办幼儿园补助公用经费52.86万元，主要用于学校的日常办公经费</w:t>
      </w:r>
      <w:r>
        <w:rPr>
          <w:rFonts w:hint="eastAsia" w:ascii="仿宋" w:hAnsi="仿宋" w:eastAsia="仿宋" w:cs="仿宋"/>
          <w:sz w:val="32"/>
          <w:szCs w:val="32"/>
          <w:lang w:eastAsia="zh-CN"/>
        </w:rPr>
        <w:t>。</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李小翠</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寇艳婷</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瑾</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 系 电话：</w:t>
      </w:r>
      <w:r>
        <w:rPr>
          <w:rFonts w:hint="eastAsia" w:ascii="仿宋" w:hAnsi="仿宋" w:eastAsia="仿宋" w:cs="仿宋"/>
          <w:sz w:val="32"/>
          <w:szCs w:val="32"/>
          <w:lang w:val="en-US" w:eastAsia="zh-CN"/>
        </w:rPr>
        <w:t>0359-8025256</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DC4B7B"/>
    <w:multiLevelType w:val="singleLevel"/>
    <w:tmpl w:val="F8DC4B7B"/>
    <w:lvl w:ilvl="0" w:tentative="0">
      <w:start w:val="6"/>
      <w:numFmt w:val="chineseCounting"/>
      <w:suff w:val="nothing"/>
      <w:lvlText w:val="%1、"/>
      <w:lvlJc w:val="left"/>
      <w:rPr>
        <w:rFonts w:hint="eastAsia"/>
      </w:rPr>
    </w:lvl>
  </w:abstractNum>
  <w:abstractNum w:abstractNumId="1">
    <w:nsid w:val="390E71E4"/>
    <w:multiLevelType w:val="singleLevel"/>
    <w:tmpl w:val="390E71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2BF33D9"/>
    <w:rsid w:val="1AA206CD"/>
    <w:rsid w:val="2D4F5342"/>
    <w:rsid w:val="3435432F"/>
    <w:rsid w:val="36D73353"/>
    <w:rsid w:val="3CEE662E"/>
    <w:rsid w:val="3EA33DB1"/>
    <w:rsid w:val="40E91332"/>
    <w:rsid w:val="47C36761"/>
    <w:rsid w:val="52C81EBD"/>
    <w:rsid w:val="5B065C85"/>
    <w:rsid w:val="605D0EAD"/>
    <w:rsid w:val="640070D6"/>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4">
    <w:name w:val="Emphasis"/>
    <w:basedOn w:val="3"/>
    <w:qFormat/>
    <w:uiPriority w:val="0"/>
    <w:rPr>
      <w:rFonts w:cs="Times New Roman"/>
      <w:i/>
    </w:rPr>
  </w:style>
  <w:style w:type="paragraph" w:customStyle="1" w:styleId="6">
    <w:name w:val="列出段落1"/>
    <w:basedOn w:val="1"/>
    <w:qFormat/>
    <w:uiPriority w:val="34"/>
    <w:pPr>
      <w:ind w:firstLine="420" w:firstLineChars="200"/>
    </w:pPr>
  </w:style>
  <w:style w:type="paragraph" w:customStyle="1" w:styleId="7">
    <w:name w:val="列表段落1"/>
    <w:basedOn w:val="1"/>
    <w:qFormat/>
    <w:uiPriority w:val="34"/>
    <w:pPr>
      <w:ind w:firstLine="420" w:firstLineChars="200"/>
    </w:pPr>
  </w:style>
  <w:style w:type="paragraph" w:customStyle="1" w:styleId="8">
    <w:name w:val="List Paragraph1"/>
    <w:basedOn w:val="1"/>
    <w:qFormat/>
    <w:uiPriority w:val="99"/>
    <w:pPr>
      <w:ind w:firstLine="420" w:firstLineChars="200"/>
    </w:pPr>
  </w:style>
  <w:style w:type="paragraph" w:customStyle="1" w:styleId="9">
    <w:name w:val="No Spacing1"/>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2022-02-21T02:39:16Z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