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sz w:val="44"/>
          <w:szCs w:val="44"/>
        </w:rPr>
      </w:pPr>
    </w:p>
    <w:p>
      <w:pPr>
        <w:spacing w:line="520" w:lineRule="exact"/>
        <w:jc w:val="center"/>
        <w:textAlignment w:val="baseline"/>
        <w:rPr>
          <w:rFonts w:ascii="黑体" w:hAnsi="黑体" w:eastAsia="黑体"/>
          <w:sz w:val="44"/>
          <w:szCs w:val="44"/>
        </w:rPr>
      </w:pPr>
      <w:r>
        <w:rPr>
          <w:rFonts w:hint="eastAsia" w:ascii="黑体" w:hAnsi="黑体" w:eastAsia="黑体"/>
          <w:sz w:val="44"/>
          <w:szCs w:val="44"/>
        </w:rPr>
        <w:t>永济市</w:t>
      </w:r>
      <w:r>
        <w:rPr>
          <w:rFonts w:hint="eastAsia" w:ascii="黑体" w:hAnsi="黑体" w:eastAsia="黑体" w:cs="方正小标宋简体"/>
          <w:sz w:val="44"/>
          <w:szCs w:val="44"/>
        </w:rPr>
        <w:t>城北街道初级中学校</w:t>
      </w:r>
    </w:p>
    <w:p>
      <w:pPr>
        <w:spacing w:line="500" w:lineRule="auto"/>
        <w:jc w:val="center"/>
        <w:rPr>
          <w:rFonts w:ascii="黑体" w:hAnsi="黑体" w:eastAsia="黑体"/>
          <w:sz w:val="44"/>
          <w:szCs w:val="44"/>
        </w:rPr>
      </w:pPr>
      <w:r>
        <w:rPr>
          <w:rFonts w:hint="eastAsia" w:ascii="黑体" w:hAnsi="黑体" w:eastAsia="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640"/>
        <w:rPr>
          <w:rFonts w:ascii="黑体" w:hAnsi="黑体" w:eastAsia="黑体"/>
          <w:bCs/>
          <w:sz w:val="32"/>
          <w:szCs w:val="32"/>
        </w:rPr>
      </w:pPr>
      <w:r>
        <w:rPr>
          <w:rFonts w:hint="eastAsia" w:ascii="黑体" w:hAnsi="黑体" w:eastAsia="黑体"/>
          <w:bCs/>
          <w:sz w:val="32"/>
          <w:szCs w:val="32"/>
        </w:rPr>
        <w:t>一、单位主要职责及机构设置情况</w:t>
      </w:r>
    </w:p>
    <w:p>
      <w:pPr>
        <w:spacing w:line="440" w:lineRule="exact"/>
        <w:ind w:firstLine="640" w:firstLineChars="200"/>
        <w:jc w:val="left"/>
        <w:textAlignment w:val="baseline"/>
        <w:rPr>
          <w:rFonts w:ascii="仿宋" w:hAnsi="仿宋" w:eastAsia="仿宋" w:cs="仿宋_GB2312"/>
          <w:sz w:val="32"/>
          <w:szCs w:val="32"/>
        </w:rPr>
      </w:pPr>
      <w:r>
        <w:rPr>
          <w:rFonts w:hint="eastAsia" w:ascii="仿宋" w:hAnsi="仿宋" w:eastAsia="仿宋" w:cs="仿宋_GB2312"/>
          <w:sz w:val="32"/>
          <w:szCs w:val="32"/>
        </w:rPr>
        <w:t>（一）基本情况</w:t>
      </w:r>
    </w:p>
    <w:p>
      <w:pPr>
        <w:spacing w:line="440" w:lineRule="exact"/>
        <w:ind w:firstLine="640" w:firstLineChars="200"/>
        <w:textAlignment w:val="baseline"/>
        <w:rPr>
          <w:rFonts w:ascii="仿宋" w:hAnsi="仿宋" w:eastAsia="仿宋" w:cs="仿宋_GB2312"/>
          <w:b/>
          <w:sz w:val="32"/>
          <w:szCs w:val="32"/>
        </w:rPr>
      </w:pPr>
      <w:r>
        <w:rPr>
          <w:rFonts w:hint="eastAsia" w:ascii="仿宋" w:hAnsi="仿宋" w:eastAsia="仿宋" w:cs="仿宋_GB2312"/>
          <w:sz w:val="32"/>
          <w:szCs w:val="32"/>
        </w:rPr>
        <w:t>永济市城北街道初级中学校属全额事业单位，位于永济市河东大道北端，编制235人，实有人数235人，退休人员43人，在校学生数2040人。</w:t>
      </w:r>
    </w:p>
    <w:p>
      <w:pPr>
        <w:pStyle w:val="7"/>
        <w:tabs>
          <w:tab w:val="left" w:pos="988"/>
          <w:tab w:val="left" w:pos="1093"/>
          <w:tab w:val="left" w:pos="1168"/>
        </w:tabs>
        <w:spacing w:line="440" w:lineRule="exact"/>
        <w:ind w:firstLine="0" w:firstLineChars="0"/>
        <w:textAlignment w:val="baseline"/>
        <w:rPr>
          <w:rFonts w:ascii="仿宋" w:hAnsi="仿宋" w:eastAsia="仿宋" w:cs="仿宋_GB2312"/>
          <w:sz w:val="32"/>
          <w:szCs w:val="32"/>
        </w:rPr>
      </w:pPr>
      <w:r>
        <w:rPr>
          <w:rFonts w:hint="eastAsia" w:ascii="仿宋" w:hAnsi="仿宋" w:eastAsia="仿宋" w:cs="仿宋_GB2312"/>
          <w:sz w:val="32"/>
          <w:szCs w:val="32"/>
        </w:rPr>
        <w:t xml:space="preserve">    （二）主要职责</w:t>
      </w:r>
    </w:p>
    <w:p>
      <w:pPr>
        <w:spacing w:line="440" w:lineRule="exact"/>
        <w:ind w:firstLine="645"/>
        <w:jc w:val="left"/>
        <w:textAlignment w:val="baseline"/>
        <w:rPr>
          <w:rFonts w:ascii="仿宋" w:hAnsi="仿宋" w:eastAsia="仿宋" w:cs="仿宋_GB2312"/>
          <w:sz w:val="32"/>
          <w:szCs w:val="32"/>
        </w:rPr>
      </w:pPr>
      <w:r>
        <w:rPr>
          <w:rFonts w:hint="eastAsia" w:ascii="仿宋" w:hAnsi="仿宋" w:eastAsia="仿宋" w:cs="仿宋_GB2312"/>
          <w:sz w:val="32"/>
          <w:szCs w:val="32"/>
        </w:rPr>
        <w:t>我校主要职责是培养学生德、智、体、美、劳全面发展，为社会培养合格、有用的人才。</w:t>
      </w:r>
    </w:p>
    <w:p>
      <w:pPr>
        <w:spacing w:line="440" w:lineRule="exact"/>
        <w:ind w:firstLine="645"/>
        <w:jc w:val="left"/>
        <w:textAlignment w:val="baseline"/>
        <w:rPr>
          <w:rFonts w:ascii="仿宋" w:hAnsi="仿宋" w:eastAsia="仿宋" w:cs="仿宋_GB2312"/>
          <w:sz w:val="32"/>
          <w:szCs w:val="32"/>
        </w:rPr>
      </w:pPr>
      <w:r>
        <w:rPr>
          <w:rFonts w:hint="eastAsia" w:ascii="仿宋" w:hAnsi="仿宋" w:eastAsia="仿宋" w:cs="仿宋_GB2312"/>
          <w:sz w:val="32"/>
          <w:szCs w:val="32"/>
        </w:rPr>
        <w:t>（三）机构设置情况</w:t>
      </w:r>
    </w:p>
    <w:p>
      <w:pPr>
        <w:snapToGrid w:val="0"/>
        <w:spacing w:line="440" w:lineRule="exact"/>
        <w:ind w:firstLine="640" w:firstLineChars="200"/>
        <w:textAlignment w:val="baseline"/>
        <w:rPr>
          <w:rFonts w:ascii="仿宋" w:hAnsi="仿宋" w:eastAsia="仿宋"/>
          <w:sz w:val="32"/>
          <w:szCs w:val="32"/>
        </w:rPr>
      </w:pPr>
      <w:r>
        <w:rPr>
          <w:rFonts w:hint="eastAsia" w:ascii="仿宋" w:hAnsi="仿宋" w:eastAsia="仿宋" w:cs="仿宋_GB2312"/>
          <w:sz w:val="32"/>
          <w:szCs w:val="32"/>
        </w:rPr>
        <w:t>我校属于全额拨款单位，执行事业单位会计制度，独立核算的机构1个，预算单位数1个。下设教务处、教研处、办公室、政教处、后勤处五个处室。本年机构增减无变动。</w:t>
      </w:r>
    </w:p>
    <w:p>
      <w:pPr>
        <w:pStyle w:val="6"/>
        <w:snapToGrid w:val="0"/>
        <w:spacing w:line="360" w:lineRule="auto"/>
        <w:ind w:firstLine="640"/>
        <w:rPr>
          <w:rFonts w:ascii="黑体" w:hAnsi="黑体" w:eastAsia="黑体"/>
          <w:bCs/>
          <w:sz w:val="32"/>
          <w:szCs w:val="32"/>
        </w:rPr>
      </w:pPr>
      <w:r>
        <w:rPr>
          <w:rFonts w:hint="eastAsia" w:ascii="黑体" w:hAnsi="黑体" w:eastAsia="黑体"/>
          <w:bCs/>
          <w:sz w:val="32"/>
          <w:szCs w:val="32"/>
        </w:rPr>
        <w:t>二、本级预算情况</w:t>
      </w:r>
    </w:p>
    <w:p>
      <w:pPr>
        <w:ind w:firstLine="640" w:firstLineChars="200"/>
        <w:rPr>
          <w:rFonts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我单位为全额事业单位，属于二级独立核算单位。2022年我单位预算收入安排为2452.53万元，其中：一般公共预算2452.53万元。根据收支平衡的原则，预算支出安排为2452.53万元（其中工资福利支出为</w:t>
      </w:r>
      <w:r>
        <w:rPr>
          <w:rFonts w:hint="eastAsia" w:ascii="仿宋" w:hAnsi="仿宋" w:eastAsia="仿宋" w:cs="Arial"/>
          <w:bCs/>
          <w:color w:val="000000"/>
          <w:kern w:val="0"/>
          <w:sz w:val="32"/>
          <w:szCs w:val="32"/>
        </w:rPr>
        <w:t>2334.68</w:t>
      </w:r>
      <w:r>
        <w:rPr>
          <w:rFonts w:hint="eastAsia" w:ascii="仿宋" w:hAnsi="仿宋" w:eastAsia="仿宋" w:cs="仿宋"/>
          <w:sz w:val="32"/>
          <w:szCs w:val="32"/>
        </w:rPr>
        <w:t>万元，对个人和家庭的补助为19.75万元，商品服务支出为34.03万元，项目支出为64.07万元）。</w:t>
      </w:r>
    </w:p>
    <w:p>
      <w:pPr>
        <w:pStyle w:val="6"/>
        <w:snapToGrid w:val="0"/>
        <w:spacing w:line="360" w:lineRule="auto"/>
        <w:ind w:firstLine="640"/>
        <w:rPr>
          <w:rFonts w:ascii="黑体" w:hAnsi="黑体" w:eastAsia="黑体"/>
          <w:bCs/>
          <w:sz w:val="32"/>
          <w:szCs w:val="32"/>
        </w:rPr>
      </w:pPr>
      <w:r>
        <w:rPr>
          <w:rFonts w:hint="eastAsia" w:ascii="黑体" w:hAnsi="黑体" w:eastAsia="黑体"/>
          <w:bCs/>
          <w:sz w:val="32"/>
          <w:szCs w:val="32"/>
        </w:rPr>
        <w:t>三、预算收支增减变化及情况说明</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2022年收入预算为2452.53万元，比上年增长1.4%。支出预算为2452.53万元，比上年增长1.4%，其中工资福利支出为</w:t>
      </w:r>
      <w:r>
        <w:rPr>
          <w:rFonts w:hint="eastAsia" w:ascii="仿宋" w:hAnsi="仿宋" w:eastAsia="仿宋" w:cs="Arial"/>
          <w:bCs/>
          <w:color w:val="000000"/>
          <w:kern w:val="0"/>
          <w:sz w:val="32"/>
          <w:szCs w:val="32"/>
        </w:rPr>
        <w:t>2334.68</w:t>
      </w:r>
      <w:r>
        <w:rPr>
          <w:rFonts w:hint="eastAsia" w:ascii="仿宋" w:hAnsi="仿宋" w:eastAsia="仿宋" w:cs="仿宋"/>
          <w:sz w:val="32"/>
          <w:szCs w:val="32"/>
        </w:rPr>
        <w:t>万元，比上年增长7%，原因是永济市少儿业余体育学校并入我校教师人数增多；对个人和家庭的补助为19.75万元，比上年增长8.14%，原因是永济市少儿业余体育学校并入我校教师人数增多；商品服务支出为34.03万元,</w:t>
      </w:r>
      <w:r>
        <w:rPr>
          <w:rFonts w:hint="eastAsia" w:ascii="仿宋_GB2312" w:hAnsi="仿宋_GB2312" w:eastAsia="仿宋_GB2312" w:cs="仿宋_GB2312"/>
          <w:sz w:val="24"/>
        </w:rPr>
        <w:t xml:space="preserve"> </w:t>
      </w:r>
      <w:r>
        <w:rPr>
          <w:rFonts w:hint="eastAsia" w:ascii="仿宋_GB2312" w:hAnsi="仿宋_GB2312" w:eastAsia="仿宋_GB2312" w:cs="仿宋_GB2312"/>
          <w:sz w:val="32"/>
          <w:szCs w:val="32"/>
        </w:rPr>
        <w:t>比上年增加2.63万元，</w:t>
      </w:r>
      <w:r>
        <w:rPr>
          <w:rFonts w:hint="eastAsia" w:ascii="仿宋" w:hAnsi="仿宋" w:eastAsia="仿宋" w:cs="仿宋"/>
          <w:sz w:val="32"/>
          <w:szCs w:val="32"/>
        </w:rPr>
        <w:t>原因是永济市少儿业余体育学校并入我校学生人数增多；项目支出为64.07万元，比上年减少68.6%，原因是</w:t>
      </w:r>
      <w:r>
        <w:rPr>
          <w:rFonts w:hint="eastAsia" w:ascii="仿宋_GB2312" w:hAnsi="仿宋_GB2312" w:eastAsia="仿宋_GB2312" w:cs="仿宋_GB2312"/>
          <w:sz w:val="32"/>
          <w:szCs w:val="32"/>
        </w:rPr>
        <w:t>部门经济分类科目调整</w:t>
      </w:r>
      <w:r>
        <w:rPr>
          <w:rFonts w:hint="eastAsia" w:ascii="仿宋" w:hAnsi="仿宋" w:eastAsia="仿宋" w:cs="仿宋"/>
          <w:sz w:val="32"/>
          <w:szCs w:val="32"/>
        </w:rPr>
        <w:t>。</w:t>
      </w:r>
    </w:p>
    <w:p>
      <w:pPr>
        <w:snapToGrid w:val="0"/>
        <w:spacing w:line="360" w:lineRule="auto"/>
        <w:ind w:firstLine="640" w:firstLineChars="200"/>
        <w:rPr>
          <w:rFonts w:ascii="黑体" w:hAnsi="黑体" w:eastAsia="黑体"/>
          <w:bCs/>
          <w:sz w:val="32"/>
          <w:szCs w:val="32"/>
        </w:rPr>
      </w:pPr>
      <w:r>
        <w:rPr>
          <w:rFonts w:hint="eastAsia" w:ascii="黑体" w:hAnsi="黑体" w:eastAsia="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snapToGrid w:val="0"/>
        <w:spacing w:line="360" w:lineRule="auto"/>
        <w:ind w:firstLine="640"/>
        <w:rPr>
          <w:rFonts w:ascii="黑体" w:hAnsi="黑体" w:eastAsia="黑体"/>
          <w:bCs/>
          <w:sz w:val="32"/>
          <w:szCs w:val="32"/>
        </w:rPr>
      </w:pPr>
      <w:r>
        <w:rPr>
          <w:rFonts w:hint="eastAsia" w:ascii="黑体" w:hAnsi="黑体" w:eastAsia="黑体"/>
          <w:bCs/>
          <w:sz w:val="32"/>
          <w:szCs w:val="32"/>
        </w:rPr>
        <w:t>五、政府采购安排情况说明</w:t>
      </w:r>
    </w:p>
    <w:p>
      <w:pPr>
        <w:spacing w:line="440" w:lineRule="exact"/>
        <w:ind w:firstLine="640" w:firstLineChars="200"/>
        <w:textAlignment w:val="baseline"/>
        <w:rPr>
          <w:rFonts w:ascii="仿宋_GB2312" w:hAnsi="仿宋_GB2312" w:eastAsia="仿宋_GB2312" w:cs="仿宋_GB2312"/>
          <w:sz w:val="24"/>
        </w:rPr>
      </w:pPr>
      <w:r>
        <w:rPr>
          <w:rFonts w:hint="eastAsia" w:ascii="仿宋" w:hAnsi="仿宋" w:eastAsia="仿宋" w:cs="仿宋"/>
          <w:sz w:val="32"/>
          <w:szCs w:val="32"/>
        </w:rPr>
        <w:t>2022年我单位政府采购预算安排为0万元</w:t>
      </w:r>
      <w:r>
        <w:rPr>
          <w:rFonts w:hint="eastAsia" w:ascii="仿宋_GB2312" w:hAnsi="仿宋_GB2312" w:eastAsia="仿宋_GB2312" w:cs="仿宋_GB2312"/>
          <w:sz w:val="32"/>
          <w:szCs w:val="32"/>
        </w:rPr>
        <w:t>。</w:t>
      </w:r>
    </w:p>
    <w:p>
      <w:pPr>
        <w:snapToGrid w:val="0"/>
        <w:spacing w:line="360" w:lineRule="auto"/>
        <w:ind w:firstLine="640" w:firstLineChars="200"/>
        <w:rPr>
          <w:rFonts w:ascii="仿宋_GB2312" w:hAnsi="仿宋_GB2312" w:eastAsia="仿宋_GB2312" w:cs="仿宋_GB2312"/>
          <w:sz w:val="32"/>
          <w:szCs w:val="32"/>
        </w:rPr>
      </w:pPr>
      <w:r>
        <w:rPr>
          <w:rFonts w:hint="eastAsia" w:ascii="黑体" w:hAnsi="黑体" w:eastAsia="黑体"/>
          <w:bCs/>
          <w:sz w:val="32"/>
          <w:szCs w:val="32"/>
        </w:rPr>
        <w:t>六、专业性较强的名词解释</w:t>
      </w:r>
    </w:p>
    <w:p>
      <w:pPr>
        <w:snapToGrid w:val="0"/>
        <w:spacing w:line="360" w:lineRule="auto"/>
        <w:ind w:firstLine="640" w:firstLineChars="200"/>
        <w:rPr>
          <w:rFonts w:ascii="黑体" w:hAnsi="黑体" w:eastAsia="黑体"/>
          <w:bCs/>
          <w:sz w:val="32"/>
          <w:szCs w:val="32"/>
        </w:rPr>
      </w:pPr>
      <w:r>
        <w:rPr>
          <w:rFonts w:hint="eastAsia" w:ascii="仿宋_GB2312" w:hAnsi="仿宋_GB2312" w:eastAsia="仿宋_GB2312" w:cs="仿宋_GB2312"/>
          <w:sz w:val="32"/>
          <w:szCs w:val="32"/>
        </w:rPr>
        <w:t>城乡义务教育阶段中小学公用经费是对城乡义务教育学校（含民办学校）按照不低于基准定额的标准补助公用经费。</w:t>
      </w:r>
    </w:p>
    <w:p>
      <w:pPr>
        <w:snapToGrid w:val="0"/>
        <w:spacing w:line="360" w:lineRule="auto"/>
        <w:ind w:firstLine="640" w:firstLineChars="200"/>
        <w:rPr>
          <w:rFonts w:ascii="黑体" w:hAnsi="黑体" w:eastAsia="黑体"/>
          <w:bCs/>
          <w:sz w:val="32"/>
          <w:szCs w:val="32"/>
        </w:rPr>
      </w:pPr>
      <w:r>
        <w:rPr>
          <w:rFonts w:hint="eastAsia" w:ascii="黑体" w:hAnsi="黑体" w:eastAsia="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snapToGrid w:val="0"/>
        <w:spacing w:line="360" w:lineRule="auto"/>
        <w:ind w:firstLine="640" w:firstLineChars="200"/>
        <w:rPr>
          <w:rFonts w:ascii="黑体" w:hAnsi="黑体" w:eastAsia="黑体"/>
          <w:sz w:val="32"/>
          <w:szCs w:val="32"/>
        </w:rPr>
      </w:pPr>
      <w:bookmarkStart w:id="0" w:name="_GoBack"/>
      <w:bookmarkEnd w:id="0"/>
      <w:r>
        <w:rPr>
          <w:rFonts w:hint="eastAsia" w:ascii="黑体" w:hAnsi="黑体" w:eastAsia="黑体"/>
          <w:sz w:val="32"/>
          <w:szCs w:val="32"/>
        </w:rPr>
        <w:t>八、国有资产占用情况说明</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截止2021年12月31日，我单位资产总额2763.82万元，其中流动资产25.62万元；固定资产原值2738.2万元，累计折旧1602.34万元，固定资产净值为1135.86万元，在建工程0万元，无形资产25.8万元。固定资产当中，房屋构筑物2023.3万元，通用设备454.18万元，办公家具86.99万元。与上年相比，本年固定资产原值增加360.39万元，原因是永济市少儿业余体育学校资产并入我校及购置了学生课桌和空调等。</w:t>
      </w:r>
    </w:p>
    <w:p>
      <w:pPr>
        <w:spacing w:line="440" w:lineRule="exact"/>
        <w:ind w:firstLine="640" w:firstLineChars="200"/>
        <w:textAlignment w:val="baseline"/>
        <w:rPr>
          <w:rFonts w:hint="eastAsia" w:ascii="仿宋_GB2312" w:hAnsi="仿宋_GB2312" w:eastAsia="仿宋_GB2312" w:cs="仿宋_GB2312"/>
          <w:sz w:val="32"/>
          <w:szCs w:val="32"/>
        </w:rPr>
      </w:pPr>
      <w:r>
        <w:rPr>
          <w:rFonts w:hint="eastAsia" w:ascii="仿宋" w:hAnsi="仿宋" w:eastAsia="仿宋" w:cs="仿宋"/>
          <w:sz w:val="32"/>
          <w:szCs w:val="32"/>
        </w:rPr>
        <w:t>2022年预计新增采购固定资产0万元</w:t>
      </w:r>
      <w:r>
        <w:rPr>
          <w:rFonts w:hint="eastAsia" w:ascii="仿宋_GB2312" w:hAnsi="仿宋_GB2312" w:eastAsia="仿宋_GB2312" w:cs="仿宋_GB2312"/>
          <w:sz w:val="32"/>
          <w:szCs w:val="32"/>
        </w:rPr>
        <w:t>。</w:t>
      </w:r>
    </w:p>
    <w:p>
      <w:pPr>
        <w:spacing w:line="440" w:lineRule="exact"/>
        <w:ind w:firstLine="640" w:firstLineChars="200"/>
        <w:textAlignment w:val="baseline"/>
        <w:rPr>
          <w:rFonts w:ascii="仿宋" w:hAnsi="仿宋" w:eastAsia="仿宋" w:cs="仿宋"/>
          <w:sz w:val="32"/>
          <w:szCs w:val="32"/>
        </w:rPr>
      </w:pPr>
    </w:p>
    <w:p>
      <w:pPr>
        <w:snapToGrid w:val="0"/>
        <w:spacing w:line="360" w:lineRule="auto"/>
        <w:ind w:firstLine="640" w:firstLineChars="200"/>
        <w:rPr>
          <w:rFonts w:ascii="黑体" w:hAnsi="黑体" w:eastAsia="黑体"/>
          <w:sz w:val="32"/>
          <w:szCs w:val="32"/>
        </w:rPr>
      </w:pPr>
      <w:r>
        <w:rPr>
          <w:rFonts w:hint="eastAsia" w:ascii="黑体" w:hAnsi="黑体" w:eastAsia="黑体"/>
          <w:sz w:val="32"/>
          <w:szCs w:val="32"/>
        </w:rPr>
        <w:t>九、重点项目预算的绩效目标情况说明</w:t>
      </w:r>
    </w:p>
    <w:p>
      <w:pPr>
        <w:snapToGrid w:val="0"/>
        <w:spacing w:line="360" w:lineRule="auto"/>
        <w:ind w:right="-932" w:rightChars="-444" w:firstLine="640" w:firstLineChars="200"/>
        <w:rPr>
          <w:rFonts w:ascii="仿宋" w:hAnsi="仿宋" w:eastAsia="仿宋" w:cs="仿宋"/>
          <w:bCs/>
          <w:sz w:val="32"/>
          <w:szCs w:val="32"/>
        </w:rPr>
      </w:pPr>
      <w:r>
        <w:rPr>
          <w:rFonts w:hint="eastAsia" w:ascii="仿宋" w:hAnsi="仿宋" w:eastAsia="仿宋" w:cs="仿宋"/>
          <w:bCs/>
          <w:sz w:val="32"/>
          <w:szCs w:val="32"/>
        </w:rPr>
        <w:t>2022年度本部门共4个项目设定绩效目标，共64.07万元。</w:t>
      </w:r>
    </w:p>
    <w:p>
      <w:pPr>
        <w:snapToGrid w:val="0"/>
        <w:spacing w:line="360" w:lineRule="auto"/>
        <w:ind w:right="-932" w:rightChars="-444"/>
        <w:rPr>
          <w:rFonts w:ascii="仿宋" w:hAnsi="仿宋" w:eastAsia="仿宋" w:cs="仿宋"/>
          <w:bCs/>
          <w:sz w:val="32"/>
          <w:szCs w:val="32"/>
        </w:rPr>
      </w:pPr>
      <w:r>
        <w:rPr>
          <w:rFonts w:hint="eastAsia" w:ascii="仿宋" w:hAnsi="仿宋" w:eastAsia="仿宋" w:cs="仿宋"/>
          <w:bCs/>
          <w:sz w:val="32"/>
          <w:szCs w:val="32"/>
        </w:rPr>
        <w:t>本单位无重点项目预算的绩效目标。</w:t>
      </w:r>
    </w:p>
    <w:p>
      <w:pPr>
        <w:snapToGrid w:val="0"/>
        <w:spacing w:line="360" w:lineRule="auto"/>
        <w:ind w:right="-932" w:rightChars="-444" w:firstLine="640" w:firstLineChars="200"/>
        <w:rPr>
          <w:rFonts w:ascii="仿宋" w:hAnsi="仿宋" w:eastAsia="仿宋" w:cs="仿宋"/>
          <w:bCs/>
          <w:sz w:val="32"/>
          <w:szCs w:val="32"/>
        </w:rPr>
      </w:pP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单位负责人：陈俊峰         财务负责人：周志杰</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填  报  人： 张文琦        联 系 电话：</w:t>
      </w:r>
      <w:r>
        <w:rPr>
          <w:rFonts w:hint="eastAsia" w:ascii="仿宋_GB2312" w:hAnsi="仿宋_GB2312" w:eastAsia="仿宋_GB2312" w:cs="仿宋_GB2312"/>
          <w:sz w:val="24"/>
        </w:rPr>
        <w:t>03598158728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Calibri Light">
    <w:altName w:val="Calibri"/>
    <w:panose1 w:val="020F0302020204030204"/>
    <w:charset w:val="00"/>
    <w:family w:val="swiss"/>
    <w:pitch w:val="default"/>
    <w:sig w:usb0="00000000" w:usb1="00000000" w:usb2="00000000" w:usb3="00000000" w:csb0="0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6D73353"/>
    <w:rsid w:val="00013F39"/>
    <w:rsid w:val="00030FE3"/>
    <w:rsid w:val="000F042D"/>
    <w:rsid w:val="00164E4F"/>
    <w:rsid w:val="001932A1"/>
    <w:rsid w:val="001D3D5D"/>
    <w:rsid w:val="001D4F45"/>
    <w:rsid w:val="001E5D0A"/>
    <w:rsid w:val="00254527"/>
    <w:rsid w:val="00435F39"/>
    <w:rsid w:val="004A0FDC"/>
    <w:rsid w:val="005960CD"/>
    <w:rsid w:val="005A7AE8"/>
    <w:rsid w:val="00620E9B"/>
    <w:rsid w:val="00630D26"/>
    <w:rsid w:val="006C25B0"/>
    <w:rsid w:val="00727501"/>
    <w:rsid w:val="00730618"/>
    <w:rsid w:val="00767F21"/>
    <w:rsid w:val="008A0D7A"/>
    <w:rsid w:val="008B452D"/>
    <w:rsid w:val="008E50A1"/>
    <w:rsid w:val="00B80F58"/>
    <w:rsid w:val="00E60324"/>
    <w:rsid w:val="00EB04CC"/>
    <w:rsid w:val="00F26148"/>
    <w:rsid w:val="2D4F5342"/>
    <w:rsid w:val="36D73353"/>
    <w:rsid w:val="3CEE662E"/>
    <w:rsid w:val="3EA33DB1"/>
    <w:rsid w:val="40E91332"/>
    <w:rsid w:val="47C36761"/>
    <w:rsid w:val="52C81EBD"/>
    <w:rsid w:val="605D0EAD"/>
    <w:rsid w:val="6720771F"/>
    <w:rsid w:val="7DCB787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 w:type="paragraph" w:customStyle="1" w:styleId="7">
    <w:name w:val="List Paragraph1"/>
    <w:basedOn w:val="1"/>
    <w:uiPriority w:val="0"/>
    <w:pPr>
      <w:ind w:firstLine="420" w:firstLineChars="200"/>
    </w:pPr>
    <w:rPr>
      <w:rFonts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211</Words>
  <Characters>1203</Characters>
  <Lines>10</Lines>
  <Paragraphs>2</Paragraphs>
  <TotalTime>0</TotalTime>
  <ScaleCrop>false</ScaleCrop>
  <LinksUpToDate>false</LinksUpToDate>
  <CharactersWithSpaces>1412</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2022-02-18T09:52:53Z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