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永济市职业中专学校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7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7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永济市职业中专学校是一所国家级重点职业中专学校，现有正式教师16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人，退休人员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 w:cs="仿宋"/>
          <w:sz w:val="32"/>
          <w:szCs w:val="32"/>
        </w:rPr>
        <w:t>人，在校生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1523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pStyle w:val="7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培养中职学历专业技术应用人才，提高就业与再就业者职业素质。开设有幼师、美术、计算机、建筑、装饰、汽修、烹饪、音舞、摄影、高中学历教育与相关职业培训。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机构设置情况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学校独立核算的机构1个，内设办公室、教务处、后勤处、政教处、招生就业办等处室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1,917.92万元，其中：一般公共预算1,917.92万元。根据收支平衡的原则，预算支出安排为1,917.92万元（其中工资福利支出为1,694.07万元，对个人和家庭的补助为41.23万元，商品服务支出为24.78万元，项目支出为157.84万元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sz w:val="32"/>
          <w:szCs w:val="32"/>
        </w:rPr>
        <w:t>1,917.92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万元，比上年减少9.46%。支出预算为</w:t>
      </w:r>
      <w:r>
        <w:rPr>
          <w:rFonts w:hint="eastAsia" w:ascii="仿宋" w:hAnsi="仿宋" w:eastAsia="仿宋" w:cs="仿宋"/>
          <w:sz w:val="32"/>
          <w:szCs w:val="32"/>
        </w:rPr>
        <w:t>1,917.92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万元，比上年减少9.46%，其中工资福利支出为</w:t>
      </w:r>
      <w:r>
        <w:rPr>
          <w:rFonts w:hint="eastAsia" w:ascii="仿宋" w:hAnsi="仿宋" w:eastAsia="仿宋" w:cs="仿宋"/>
          <w:sz w:val="32"/>
          <w:szCs w:val="32"/>
        </w:rPr>
        <w:t>1,694.07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万元，比上年减少0.02%，原因是退休人员增加；对个人和家庭的补助为41.23万元，比上年增加7.81%，原因是本年度新增退休人员5人，遗属人员2人；商品服务支出为</w:t>
      </w:r>
      <w:r>
        <w:rPr>
          <w:rFonts w:hint="eastAsia" w:ascii="仿宋" w:hAnsi="仿宋" w:eastAsia="仿宋" w:cs="仿宋"/>
          <w:sz w:val="32"/>
          <w:szCs w:val="32"/>
        </w:rPr>
        <w:t>24.78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万元,与</w:t>
      </w:r>
      <w:r>
        <w:rPr>
          <w:rFonts w:hint="eastAsia" w:ascii="仿宋" w:hAnsi="仿宋" w:eastAsia="仿宋" w:cs="仿宋"/>
          <w:bCs/>
          <w:sz w:val="32"/>
          <w:szCs w:val="32"/>
        </w:rPr>
        <w:t>上年基本持平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；项目支出为</w:t>
      </w:r>
      <w:r>
        <w:rPr>
          <w:rFonts w:hint="eastAsia" w:ascii="仿宋" w:hAnsi="仿宋" w:eastAsia="仿宋" w:cs="仿宋"/>
          <w:sz w:val="32"/>
          <w:szCs w:val="32"/>
        </w:rPr>
        <w:t>157.84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万元，比上年减少52.73%，原因是本年度项目减少。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六、专业性较强的名词解释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中等职业学校免学费补助是第一、二、三学年因免除学费导致公办学校运转出现的经费缺口，由财政按照享受免学费政策学生人数和免学费标准补助学校。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3268.05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34.38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3472.31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1767.2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1705.1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1380.17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186.11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2497.58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318.27</w:t>
      </w:r>
      <w:r>
        <w:rPr>
          <w:rFonts w:hint="eastAsia" w:ascii="仿宋" w:hAnsi="仿宋" w:eastAsia="仿宋" w:cs="仿宋"/>
          <w:sz w:val="32"/>
          <w:szCs w:val="32"/>
        </w:rPr>
        <w:t>万元，办公家具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280.46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158.05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重点专业建设设备采购及办公家具采购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个项目设定绩效目标，共157.84万元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，其中</w:t>
      </w:r>
      <w:r>
        <w:rPr>
          <w:rFonts w:hint="eastAsia" w:ascii="仿宋" w:hAnsi="仿宋" w:eastAsia="仿宋" w:cs="仿宋"/>
          <w:sz w:val="32"/>
          <w:szCs w:val="32"/>
        </w:rPr>
        <w:t>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为中等职业学校免杂费补助县级配套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153.2万元，主要用于学校的日常办公经费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戈立强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财务负责人：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鸿</w:t>
      </w: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磊</w:t>
      </w:r>
      <w:r>
        <w:rPr>
          <w:rFonts w:hint="eastAsia" w:ascii="仿宋" w:hAnsi="仿宋" w:eastAsia="仿宋" w:cs="仿宋"/>
          <w:sz w:val="32"/>
          <w:szCs w:val="32"/>
        </w:rPr>
        <w:t xml:space="preserve">      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8158971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B13248D"/>
    <w:rsid w:val="0D7D5AB2"/>
    <w:rsid w:val="10536754"/>
    <w:rsid w:val="11660A66"/>
    <w:rsid w:val="190C4221"/>
    <w:rsid w:val="2D4F5342"/>
    <w:rsid w:val="36D73353"/>
    <w:rsid w:val="3CEE662E"/>
    <w:rsid w:val="3EA33DB1"/>
    <w:rsid w:val="40E91332"/>
    <w:rsid w:val="417B7473"/>
    <w:rsid w:val="432C0BF7"/>
    <w:rsid w:val="47C36761"/>
    <w:rsid w:val="52C81EBD"/>
    <w:rsid w:val="5D7D7968"/>
    <w:rsid w:val="605D0EAD"/>
    <w:rsid w:val="6720771F"/>
    <w:rsid w:val="77CF06E0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ind w:firstLine="0" w:firstLineChars="0"/>
    </w:pPr>
    <w:rPr>
      <w:rFonts w:ascii="宋体" w:hAnsi="宋体" w:cs="宋体"/>
    </w:rPr>
  </w:style>
  <w:style w:type="paragraph" w:styleId="3">
    <w:name w:val="Normal (Web)"/>
    <w:basedOn w:val="1"/>
    <w:qFormat/>
    <w:uiPriority w:val="0"/>
  </w:style>
  <w:style w:type="character" w:styleId="5">
    <w:name w:val="Emphasis"/>
    <w:basedOn w:val="4"/>
    <w:qFormat/>
    <w:uiPriority w:val="0"/>
    <w:rPr>
      <w:rFonts w:cs="Times New Roman"/>
      <w:i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2022-02-21T03:38:14Z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