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D61E200">
      <w:pPr>
        <w:widowControl w:val="0"/>
        <w:spacing w:line="560" w:lineRule="exact"/>
        <w:jc w:val="center"/>
        <w:rPr>
          <w:b/>
          <w:sz w:val="44"/>
          <w:szCs w:val="44"/>
          <w:highlight w:val="yellow"/>
        </w:rPr>
      </w:pPr>
    </w:p>
    <w:p w14:paraId="365FB125">
      <w:pPr>
        <w:widowControl w:val="0"/>
        <w:spacing w:line="560" w:lineRule="exact"/>
        <w:jc w:val="center"/>
        <w:rPr>
          <w:b/>
          <w:sz w:val="44"/>
          <w:szCs w:val="44"/>
          <w:highlight w:val="yellow"/>
        </w:rPr>
      </w:pPr>
    </w:p>
    <w:tbl>
      <w:tblPr>
        <w:tblStyle w:val="24"/>
        <w:tblW w:w="8816" w:type="dxa"/>
        <w:jc w:val="center"/>
        <w:tblLayout w:type="autofit"/>
        <w:tblCellMar>
          <w:top w:w="0" w:type="dxa"/>
          <w:left w:w="0" w:type="dxa"/>
          <w:bottom w:w="0" w:type="dxa"/>
          <w:right w:w="0" w:type="dxa"/>
        </w:tblCellMar>
      </w:tblPr>
      <w:tblGrid>
        <w:gridCol w:w="8816"/>
      </w:tblGrid>
      <w:tr w14:paraId="758448F6">
        <w:tblPrEx>
          <w:tblCellMar>
            <w:top w:w="0" w:type="dxa"/>
            <w:left w:w="0" w:type="dxa"/>
            <w:bottom w:w="0" w:type="dxa"/>
            <w:right w:w="0" w:type="dxa"/>
          </w:tblCellMar>
        </w:tblPrEx>
        <w:trPr>
          <w:trHeight w:val="567" w:hRule="atLeast"/>
          <w:jc w:val="center"/>
        </w:trPr>
        <w:tc>
          <w:tcPr>
            <w:tcW w:w="8816" w:type="dxa"/>
            <w:noWrap/>
            <w:tcMar>
              <w:top w:w="15" w:type="dxa"/>
              <w:left w:w="15" w:type="dxa"/>
              <w:bottom w:w="0" w:type="dxa"/>
              <w:right w:w="15" w:type="dxa"/>
            </w:tcMar>
            <w:vAlign w:val="center"/>
          </w:tcPr>
          <w:p w14:paraId="27CE3CBF">
            <w:pPr>
              <w:widowControl w:val="0"/>
              <w:adjustRightInd w:val="0"/>
              <w:snapToGrid w:val="0"/>
              <w:spacing w:beforeLines="50" w:afterLines="50"/>
              <w:jc w:val="center"/>
              <w:rPr>
                <w:b/>
                <w:bCs/>
                <w:sz w:val="44"/>
                <w:szCs w:val="44"/>
              </w:rPr>
            </w:pPr>
            <w:r>
              <w:rPr>
                <w:rFonts w:hint="eastAsia"/>
                <w:b/>
                <w:bCs/>
                <w:sz w:val="44"/>
                <w:szCs w:val="44"/>
              </w:rPr>
              <w:t>永济市文化和旅游局2023年度整体支出</w:t>
            </w:r>
          </w:p>
        </w:tc>
      </w:tr>
      <w:tr w14:paraId="24EEEA06">
        <w:tblPrEx>
          <w:tblCellMar>
            <w:top w:w="0" w:type="dxa"/>
            <w:left w:w="0" w:type="dxa"/>
            <w:bottom w:w="0" w:type="dxa"/>
            <w:right w:w="0" w:type="dxa"/>
          </w:tblCellMar>
        </w:tblPrEx>
        <w:trPr>
          <w:trHeight w:val="567" w:hRule="atLeast"/>
          <w:jc w:val="center"/>
        </w:trPr>
        <w:tc>
          <w:tcPr>
            <w:tcW w:w="8816" w:type="dxa"/>
            <w:tcMar>
              <w:top w:w="15" w:type="dxa"/>
              <w:left w:w="15" w:type="dxa"/>
              <w:bottom w:w="0" w:type="dxa"/>
              <w:right w:w="15" w:type="dxa"/>
            </w:tcMar>
            <w:vAlign w:val="center"/>
          </w:tcPr>
          <w:p w14:paraId="79786711">
            <w:pPr>
              <w:widowControl w:val="0"/>
              <w:adjustRightInd w:val="0"/>
              <w:snapToGrid w:val="0"/>
              <w:spacing w:afterLines="50"/>
              <w:jc w:val="center"/>
              <w:rPr>
                <w:b/>
                <w:bCs/>
                <w:sz w:val="44"/>
                <w:szCs w:val="44"/>
              </w:rPr>
            </w:pPr>
            <w:r>
              <w:rPr>
                <w:rFonts w:hint="eastAsia"/>
                <w:b/>
                <w:bCs/>
                <w:sz w:val="44"/>
                <w:szCs w:val="44"/>
              </w:rPr>
              <w:t>绩效评价报告</w:t>
            </w:r>
          </w:p>
        </w:tc>
      </w:tr>
      <w:tr w14:paraId="4D207771">
        <w:tblPrEx>
          <w:tblCellMar>
            <w:top w:w="0" w:type="dxa"/>
            <w:left w:w="0" w:type="dxa"/>
            <w:bottom w:w="0" w:type="dxa"/>
            <w:right w:w="0" w:type="dxa"/>
          </w:tblCellMar>
        </w:tblPrEx>
        <w:trPr>
          <w:trHeight w:val="567" w:hRule="atLeast"/>
          <w:jc w:val="center"/>
        </w:trPr>
        <w:tc>
          <w:tcPr>
            <w:tcW w:w="8816" w:type="dxa"/>
            <w:tcMar>
              <w:top w:w="15" w:type="dxa"/>
              <w:left w:w="15" w:type="dxa"/>
              <w:bottom w:w="0" w:type="dxa"/>
              <w:right w:w="15" w:type="dxa"/>
            </w:tcMar>
            <w:vAlign w:val="center"/>
          </w:tcPr>
          <w:p w14:paraId="2E624699">
            <w:pPr>
              <w:widowControl w:val="0"/>
              <w:adjustRightInd w:val="0"/>
              <w:snapToGrid w:val="0"/>
              <w:spacing w:beforeLines="50" w:afterLines="50"/>
              <w:jc w:val="center"/>
              <w:rPr>
                <w:rFonts w:ascii="隶书" w:eastAsia="隶书"/>
                <w:bCs/>
                <w:sz w:val="44"/>
                <w:szCs w:val="44"/>
              </w:rPr>
            </w:pPr>
            <w:r>
              <w:rPr>
                <w:rFonts w:hint="eastAsia"/>
                <w:b/>
                <w:bCs/>
                <w:spacing w:val="16"/>
              </w:rPr>
              <w:t>晋广和绩评〔2024〕0008号</w:t>
            </w:r>
          </w:p>
        </w:tc>
      </w:tr>
    </w:tbl>
    <w:p w14:paraId="1E222D0A">
      <w:pPr>
        <w:widowControl w:val="0"/>
        <w:spacing w:line="800" w:lineRule="exact"/>
        <w:jc w:val="center"/>
        <w:rPr>
          <w:b/>
          <w:sz w:val="32"/>
          <w:szCs w:val="32"/>
        </w:rPr>
      </w:pPr>
    </w:p>
    <w:p w14:paraId="5784A771">
      <w:pPr>
        <w:widowControl w:val="0"/>
        <w:spacing w:line="560" w:lineRule="exact"/>
        <w:jc w:val="center"/>
        <w:rPr>
          <w:b/>
          <w:sz w:val="32"/>
          <w:szCs w:val="32"/>
        </w:rPr>
      </w:pPr>
    </w:p>
    <w:p w14:paraId="789B4976">
      <w:pPr>
        <w:pStyle w:val="8"/>
        <w:ind w:firstLine="643"/>
        <w:jc w:val="center"/>
        <w:rPr>
          <w:rFonts w:ascii="仿宋" w:hAnsi="仿宋"/>
          <w:b/>
          <w:sz w:val="32"/>
          <w:szCs w:val="32"/>
        </w:rPr>
      </w:pPr>
    </w:p>
    <w:p w14:paraId="0D78D164">
      <w:pPr>
        <w:jc w:val="center"/>
        <w:rPr>
          <w:sz w:val="32"/>
          <w:szCs w:val="32"/>
        </w:rPr>
      </w:pPr>
    </w:p>
    <w:p w14:paraId="59CA3D22">
      <w:pPr>
        <w:jc w:val="center"/>
        <w:rPr>
          <w:b/>
          <w:sz w:val="32"/>
          <w:szCs w:val="32"/>
        </w:rPr>
      </w:pPr>
    </w:p>
    <w:p w14:paraId="0104CCE3">
      <w:pPr>
        <w:pStyle w:val="8"/>
        <w:ind w:firstLine="640"/>
        <w:jc w:val="center"/>
        <w:rPr>
          <w:sz w:val="32"/>
          <w:szCs w:val="32"/>
        </w:rPr>
      </w:pPr>
    </w:p>
    <w:p w14:paraId="5D25710D">
      <w:pPr>
        <w:widowControl w:val="0"/>
        <w:spacing w:line="560" w:lineRule="exact"/>
        <w:jc w:val="center"/>
        <w:rPr>
          <w:b/>
          <w:sz w:val="32"/>
          <w:szCs w:val="32"/>
        </w:rPr>
      </w:pPr>
    </w:p>
    <w:p w14:paraId="35B56499">
      <w:pPr>
        <w:widowControl w:val="0"/>
        <w:spacing w:line="560" w:lineRule="exact"/>
        <w:jc w:val="center"/>
        <w:rPr>
          <w:b/>
          <w:sz w:val="32"/>
          <w:szCs w:val="32"/>
        </w:rPr>
      </w:pPr>
    </w:p>
    <w:tbl>
      <w:tblPr>
        <w:tblStyle w:val="24"/>
        <w:tblW w:w="6662" w:type="dxa"/>
        <w:jc w:val="center"/>
        <w:tblLayout w:type="autofit"/>
        <w:tblCellMar>
          <w:top w:w="0" w:type="dxa"/>
          <w:left w:w="0" w:type="dxa"/>
          <w:bottom w:w="0" w:type="dxa"/>
          <w:right w:w="0" w:type="dxa"/>
        </w:tblCellMar>
      </w:tblPr>
      <w:tblGrid>
        <w:gridCol w:w="6662"/>
      </w:tblGrid>
      <w:tr w14:paraId="41E4BD25">
        <w:tblPrEx>
          <w:tblCellMar>
            <w:top w:w="0" w:type="dxa"/>
            <w:left w:w="0" w:type="dxa"/>
            <w:bottom w:w="0" w:type="dxa"/>
            <w:right w:w="0" w:type="dxa"/>
          </w:tblCellMar>
        </w:tblPrEx>
        <w:trPr>
          <w:trHeight w:val="567" w:hRule="atLeast"/>
          <w:jc w:val="center"/>
        </w:trPr>
        <w:tc>
          <w:tcPr>
            <w:tcW w:w="6662" w:type="dxa"/>
            <w:noWrap/>
            <w:tcMar>
              <w:top w:w="15" w:type="dxa"/>
              <w:left w:w="15" w:type="dxa"/>
              <w:bottom w:w="0" w:type="dxa"/>
              <w:right w:w="15" w:type="dxa"/>
            </w:tcMar>
            <w:vAlign w:val="center"/>
          </w:tcPr>
          <w:p w14:paraId="71FE9949">
            <w:pPr>
              <w:widowControl w:val="0"/>
              <w:adjustRightInd w:val="0"/>
              <w:snapToGrid w:val="0"/>
              <w:rPr>
                <w:b/>
              </w:rPr>
            </w:pPr>
            <w:r>
              <w:rPr>
                <w:rFonts w:hint="eastAsia"/>
                <w:b/>
              </w:rPr>
              <w:t>项目单位：永济市文化和旅游局</w:t>
            </w:r>
          </w:p>
        </w:tc>
      </w:tr>
      <w:tr w14:paraId="1EF9807E">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54985BAD">
            <w:pPr>
              <w:widowControl w:val="0"/>
              <w:adjustRightInd w:val="0"/>
              <w:snapToGrid w:val="0"/>
              <w:rPr>
                <w:b/>
              </w:rPr>
            </w:pPr>
            <w:r>
              <w:rPr>
                <w:rFonts w:hint="eastAsia"/>
                <w:b/>
              </w:rPr>
              <w:t>委托单位：永济市财政局</w:t>
            </w:r>
          </w:p>
        </w:tc>
      </w:tr>
      <w:tr w14:paraId="40C04224">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2AB0DE3E">
            <w:pPr>
              <w:widowControl w:val="0"/>
              <w:adjustRightInd w:val="0"/>
              <w:snapToGrid w:val="0"/>
              <w:rPr>
                <w:b/>
              </w:rPr>
            </w:pPr>
            <w:r>
              <w:rPr>
                <w:rFonts w:hint="eastAsia"/>
                <w:b/>
              </w:rPr>
              <w:t>评价机构：山西广和会计师事务所有限公司</w:t>
            </w:r>
          </w:p>
        </w:tc>
      </w:tr>
      <w:tr w14:paraId="4901B33E">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28C61E50">
            <w:pPr>
              <w:widowControl w:val="0"/>
              <w:adjustRightInd w:val="0"/>
              <w:snapToGrid w:val="0"/>
              <w:rPr>
                <w:b/>
              </w:rPr>
            </w:pPr>
            <w:r>
              <w:rPr>
                <w:rFonts w:hint="eastAsia"/>
                <w:b/>
              </w:rPr>
              <w:t>主评人：王晶</w:t>
            </w:r>
          </w:p>
        </w:tc>
      </w:tr>
      <w:tr w14:paraId="00D905DA">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169520B0">
            <w:pPr>
              <w:widowControl w:val="0"/>
              <w:adjustRightInd w:val="0"/>
              <w:snapToGrid w:val="0"/>
              <w:rPr>
                <w:b/>
                <w:sz w:val="32"/>
                <w:szCs w:val="32"/>
              </w:rPr>
            </w:pPr>
          </w:p>
        </w:tc>
      </w:tr>
      <w:tr w14:paraId="154DB9F4">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726C906C">
            <w:pPr>
              <w:widowControl w:val="0"/>
              <w:adjustRightInd w:val="0"/>
              <w:snapToGrid w:val="0"/>
              <w:rPr>
                <w:b/>
                <w:sz w:val="32"/>
                <w:szCs w:val="32"/>
              </w:rPr>
            </w:pPr>
          </w:p>
        </w:tc>
      </w:tr>
      <w:tr w14:paraId="2D8A8F5A">
        <w:tblPrEx>
          <w:tblCellMar>
            <w:top w:w="0" w:type="dxa"/>
            <w:left w:w="0" w:type="dxa"/>
            <w:bottom w:w="0" w:type="dxa"/>
            <w:right w:w="0" w:type="dxa"/>
          </w:tblCellMar>
        </w:tblPrEx>
        <w:trPr>
          <w:trHeight w:val="567" w:hRule="atLeast"/>
          <w:jc w:val="center"/>
        </w:trPr>
        <w:tc>
          <w:tcPr>
            <w:tcW w:w="6662" w:type="dxa"/>
            <w:tcMar>
              <w:top w:w="15" w:type="dxa"/>
              <w:left w:w="15" w:type="dxa"/>
              <w:bottom w:w="0" w:type="dxa"/>
              <w:right w:w="15" w:type="dxa"/>
            </w:tcMar>
            <w:vAlign w:val="center"/>
          </w:tcPr>
          <w:p w14:paraId="7935C766">
            <w:pPr>
              <w:widowControl w:val="0"/>
              <w:adjustRightInd w:val="0"/>
              <w:snapToGrid w:val="0"/>
              <w:jc w:val="center"/>
              <w:rPr>
                <w:b/>
              </w:rPr>
            </w:pPr>
            <w:r>
              <w:rPr>
                <w:rFonts w:hint="eastAsia"/>
                <w:b/>
              </w:rPr>
              <w:t>2024年10月</w:t>
            </w:r>
          </w:p>
        </w:tc>
      </w:tr>
    </w:tbl>
    <w:p w14:paraId="3B22F442">
      <w:pPr>
        <w:widowControl w:val="0"/>
        <w:spacing w:line="560" w:lineRule="exact"/>
        <w:jc w:val="center"/>
        <w:rPr>
          <w:b/>
        </w:rPr>
      </w:pPr>
    </w:p>
    <w:p w14:paraId="6D53FE1E">
      <w:pPr>
        <w:widowControl w:val="0"/>
        <w:spacing w:line="560" w:lineRule="exact"/>
        <w:jc w:val="center"/>
        <w:rPr>
          <w:b/>
        </w:rPr>
      </w:pPr>
    </w:p>
    <w:p w14:paraId="7FB3C398">
      <w:pPr>
        <w:pStyle w:val="8"/>
        <w:widowControl w:val="0"/>
        <w:ind w:firstLine="560"/>
        <w:jc w:val="center"/>
        <w:rPr>
          <w:rFonts w:ascii="仿宋" w:hAnsi="仿宋"/>
        </w:rPr>
      </w:pPr>
    </w:p>
    <w:p w14:paraId="1439CE8D">
      <w:pPr>
        <w:widowControl w:val="0"/>
        <w:rPr>
          <w:rFonts w:ascii="黑体" w:hAnsi="黑体" w:eastAsia="黑体" w:cs="黑体"/>
          <w:b/>
          <w:sz w:val="32"/>
          <w:szCs w:val="32"/>
        </w:rPr>
      </w:pPr>
    </w:p>
    <w:p w14:paraId="4B94DE2D">
      <w:pPr>
        <w:widowControl w:val="0"/>
        <w:spacing w:line="560" w:lineRule="exact"/>
        <w:jc w:val="center"/>
        <w:rPr>
          <w:b/>
          <w:sz w:val="32"/>
          <w:szCs w:val="32"/>
        </w:rPr>
      </w:pPr>
    </w:p>
    <w:p w14:paraId="513FF3B9">
      <w:pPr>
        <w:pStyle w:val="8"/>
        <w:widowControl w:val="0"/>
        <w:ind w:firstLine="560"/>
        <w:jc w:val="center"/>
        <w:rPr>
          <w:rFonts w:ascii="仿宋" w:hAnsi="仿宋"/>
        </w:rPr>
      </w:pPr>
    </w:p>
    <w:p w14:paraId="0611747F">
      <w:pPr>
        <w:pStyle w:val="8"/>
        <w:widowControl w:val="0"/>
        <w:ind w:firstLine="560"/>
        <w:jc w:val="center"/>
        <w:rPr>
          <w:rFonts w:ascii="仿宋" w:hAnsi="仿宋"/>
        </w:rPr>
      </w:pPr>
    </w:p>
    <w:p w14:paraId="2D8AD381">
      <w:pPr>
        <w:pStyle w:val="8"/>
        <w:widowControl w:val="0"/>
        <w:ind w:firstLine="560"/>
        <w:jc w:val="center"/>
        <w:rPr>
          <w:rFonts w:ascii="仿宋" w:hAnsi="仿宋"/>
          <w:highlight w:val="yellow"/>
        </w:rPr>
      </w:pPr>
    </w:p>
    <w:p w14:paraId="3A1A394E">
      <w:pPr>
        <w:pStyle w:val="8"/>
        <w:widowControl w:val="0"/>
        <w:ind w:firstLine="560"/>
        <w:jc w:val="center"/>
        <w:rPr>
          <w:rFonts w:ascii="仿宋" w:hAnsi="仿宋"/>
          <w:highlight w:val="yellow"/>
        </w:rPr>
        <w:sectPr>
          <w:footerReference r:id="rId5" w:type="first"/>
          <w:footerReference r:id="rId4" w:type="default"/>
          <w:pgSz w:w="11906" w:h="16838"/>
          <w:pgMar w:top="1440" w:right="1800" w:bottom="1440" w:left="1800" w:header="851" w:footer="992" w:gutter="0"/>
          <w:pgNumType w:start="1"/>
          <w:cols w:space="720" w:num="1"/>
          <w:docGrid w:type="lines" w:linePitch="312" w:charSpace="0"/>
        </w:sectPr>
      </w:pPr>
    </w:p>
    <w:p w14:paraId="72FAE426">
      <w:pPr>
        <w:pStyle w:val="16"/>
        <w:tabs>
          <w:tab w:val="right" w:leader="dot" w:pos="8296"/>
        </w:tabs>
        <w:jc w:val="center"/>
        <w:rPr>
          <w:b/>
          <w:sz w:val="28"/>
        </w:rPr>
      </w:pPr>
      <w:r>
        <w:rPr>
          <w:rFonts w:hint="eastAsia"/>
          <w:b/>
          <w:sz w:val="28"/>
        </w:rPr>
        <w:t>目录</w:t>
      </w:r>
    </w:p>
    <w:p w14:paraId="148C4706">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TOC \o "2-2" \h \z \t "标题 1,1"</w:instrText>
      </w:r>
      <w:r>
        <w:fldChar w:fldCharType="separate"/>
      </w:r>
      <w:r>
        <w:fldChar w:fldCharType="begin"/>
      </w:r>
      <w:r>
        <w:instrText xml:space="preserve"> HYPERLINK \l "_Toc180503495" </w:instrText>
      </w:r>
      <w:r>
        <w:fldChar w:fldCharType="separate"/>
      </w:r>
      <w:r>
        <w:rPr>
          <w:rStyle w:val="29"/>
        </w:rPr>
        <w:t>一、基本情况</w:t>
      </w:r>
      <w:r>
        <w:tab/>
      </w:r>
      <w:r>
        <w:fldChar w:fldCharType="begin"/>
      </w:r>
      <w:r>
        <w:instrText xml:space="preserve"> PAGEREF _Toc180503495 \h </w:instrText>
      </w:r>
      <w:r>
        <w:fldChar w:fldCharType="separate"/>
      </w:r>
      <w:r>
        <w:t>9</w:t>
      </w:r>
      <w:r>
        <w:fldChar w:fldCharType="end"/>
      </w:r>
      <w:r>
        <w:fldChar w:fldCharType="end"/>
      </w:r>
    </w:p>
    <w:p w14:paraId="7F386AE2">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"_Toc180503496" </w:instrText>
      </w:r>
      <w:r>
        <w:fldChar w:fldCharType="separate"/>
      </w:r>
      <w:r>
        <w:rPr>
          <w:rStyle w:val="29"/>
        </w:rPr>
        <w:t>（一）部门概况</w:t>
      </w:r>
      <w:r>
        <w:tab/>
      </w:r>
      <w:r>
        <w:fldChar w:fldCharType="begin"/>
      </w:r>
      <w:r>
        <w:instrText xml:space="preserve"> PAGEREF _Toc180503496 \h </w:instrText>
      </w:r>
      <w:r>
        <w:fldChar w:fldCharType="separate"/>
      </w:r>
      <w:r>
        <w:t>9</w:t>
      </w:r>
      <w:r>
        <w:fldChar w:fldCharType="end"/>
      </w:r>
      <w:r>
        <w:fldChar w:fldCharType="end"/>
      </w:r>
    </w:p>
    <w:p w14:paraId="5F1D6269">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"_Toc180503497" </w:instrText>
      </w:r>
      <w:r>
        <w:fldChar w:fldCharType="separate"/>
      </w:r>
      <w:r>
        <w:rPr>
          <w:rStyle w:val="29"/>
          <w:shd w:val="clear" w:color="auto" w:fill="FFFFFF"/>
        </w:rPr>
        <w:t>（二）部门预算收支及结转结余情况</w:t>
      </w:r>
      <w:r>
        <w:tab/>
      </w:r>
      <w:r>
        <w:fldChar w:fldCharType="begin"/>
      </w:r>
      <w:r>
        <w:instrText xml:space="preserve"> PAGEREF _Toc180503497 \h </w:instrText>
      </w:r>
      <w:r>
        <w:fldChar w:fldCharType="separate"/>
      </w:r>
      <w:r>
        <w:t>12</w:t>
      </w:r>
      <w:r>
        <w:fldChar w:fldCharType="end"/>
      </w:r>
      <w:r>
        <w:fldChar w:fldCharType="end"/>
      </w:r>
    </w:p>
    <w:p w14:paraId="50B4F0B2">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"_Toc180503498" </w:instrText>
      </w:r>
      <w:r>
        <w:fldChar w:fldCharType="separate"/>
      </w:r>
      <w:r>
        <w:rPr>
          <w:rStyle w:val="29"/>
        </w:rPr>
        <w:t>（三）部门整体绩效目标</w:t>
      </w:r>
      <w:r>
        <w:tab/>
      </w:r>
      <w:r>
        <w:fldChar w:fldCharType="begin"/>
      </w:r>
      <w:r>
        <w:instrText xml:space="preserve"> PAGEREF _Toc180503498 \h </w:instrText>
      </w:r>
      <w:r>
        <w:fldChar w:fldCharType="separate"/>
      </w:r>
      <w:r>
        <w:t>22</w:t>
      </w:r>
      <w:r>
        <w:fldChar w:fldCharType="end"/>
      </w:r>
      <w:r>
        <w:fldChar w:fldCharType="end"/>
      </w:r>
    </w:p>
    <w:p w14:paraId="7DC516AD">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"_Toc180503499" </w:instrText>
      </w:r>
      <w:r>
        <w:fldChar w:fldCharType="separate"/>
      </w:r>
      <w:r>
        <w:rPr>
          <w:rStyle w:val="29"/>
        </w:rPr>
        <w:t>二、绩效评价工作开展情况</w:t>
      </w:r>
      <w:r>
        <w:tab/>
      </w:r>
      <w:r>
        <w:fldChar w:fldCharType="begin"/>
      </w:r>
      <w:r>
        <w:instrText xml:space="preserve"> PAGEREF _Toc180503499 \h </w:instrText>
      </w:r>
      <w:r>
        <w:fldChar w:fldCharType="separate"/>
      </w:r>
      <w:r>
        <w:t>25</w:t>
      </w:r>
      <w:r>
        <w:fldChar w:fldCharType="end"/>
      </w:r>
      <w:r>
        <w:fldChar w:fldCharType="end"/>
      </w:r>
    </w:p>
    <w:p w14:paraId="55BD1B6F">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"_Toc180503500" </w:instrText>
      </w:r>
      <w:r>
        <w:fldChar w:fldCharType="separate"/>
      </w:r>
      <w:r>
        <w:rPr>
          <w:rStyle w:val="29"/>
        </w:rPr>
        <w:t>（一）绩效评价的目的和依据</w:t>
      </w:r>
      <w:r>
        <w:tab/>
      </w:r>
      <w:r>
        <w:fldChar w:fldCharType="begin"/>
      </w:r>
      <w:r>
        <w:instrText xml:space="preserve"> PAGEREF _Toc180503500 \h </w:instrText>
      </w:r>
      <w:r>
        <w:fldChar w:fldCharType="separate"/>
      </w:r>
      <w:r>
        <w:t>25</w:t>
      </w:r>
      <w:r>
        <w:fldChar w:fldCharType="end"/>
      </w:r>
      <w:r>
        <w:fldChar w:fldCharType="end"/>
      </w:r>
    </w:p>
    <w:p w14:paraId="6FAA9ED5">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"_Toc180503501" </w:instrText>
      </w:r>
      <w:r>
        <w:fldChar w:fldCharType="separate"/>
      </w:r>
      <w:r>
        <w:rPr>
          <w:rStyle w:val="29"/>
        </w:rPr>
        <w:t>（二）绩效评价的对象和范围</w:t>
      </w:r>
      <w:r>
        <w:tab/>
      </w:r>
      <w:r>
        <w:fldChar w:fldCharType="begin"/>
      </w:r>
      <w:r>
        <w:instrText xml:space="preserve"> PAGEREF _Toc180503501 \h </w:instrText>
      </w:r>
      <w:r>
        <w:fldChar w:fldCharType="separate"/>
      </w:r>
      <w:r>
        <w:t>26</w:t>
      </w:r>
      <w:r>
        <w:fldChar w:fldCharType="end"/>
      </w:r>
      <w:r>
        <w:fldChar w:fldCharType="end"/>
      </w:r>
    </w:p>
    <w:p w14:paraId="1BE84154">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"_Toc180503502" </w:instrText>
      </w:r>
      <w:r>
        <w:fldChar w:fldCharType="separate"/>
      </w:r>
      <w:r>
        <w:rPr>
          <w:rStyle w:val="29"/>
        </w:rPr>
        <w:t>（三）绩效评价的原则和方法</w:t>
      </w:r>
      <w:r>
        <w:tab/>
      </w:r>
      <w:r>
        <w:fldChar w:fldCharType="begin"/>
      </w:r>
      <w:r>
        <w:instrText xml:space="preserve"> PAGEREF _Toc180503502 \h </w:instrText>
      </w:r>
      <w:r>
        <w:fldChar w:fldCharType="separate"/>
      </w:r>
      <w:r>
        <w:t>26</w:t>
      </w:r>
      <w:r>
        <w:fldChar w:fldCharType="end"/>
      </w:r>
      <w:r>
        <w:fldChar w:fldCharType="end"/>
      </w:r>
    </w:p>
    <w:p w14:paraId="6D1AD1F7">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"_Toc180503503" </w:instrText>
      </w:r>
      <w:r>
        <w:fldChar w:fldCharType="separate"/>
      </w:r>
      <w:r>
        <w:rPr>
          <w:rStyle w:val="29"/>
        </w:rPr>
        <w:t>（四）绩效评价的指标体系</w:t>
      </w:r>
      <w:r>
        <w:tab/>
      </w:r>
      <w:r>
        <w:fldChar w:fldCharType="begin"/>
      </w:r>
      <w:r>
        <w:instrText xml:space="preserve"> PAGEREF _Toc180503503 \h </w:instrText>
      </w:r>
      <w:r>
        <w:fldChar w:fldCharType="separate"/>
      </w:r>
      <w:r>
        <w:t>28</w:t>
      </w:r>
      <w:r>
        <w:fldChar w:fldCharType="end"/>
      </w:r>
      <w:r>
        <w:fldChar w:fldCharType="end"/>
      </w:r>
    </w:p>
    <w:p w14:paraId="4A44A3E9">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"_Toc180503504" </w:instrText>
      </w:r>
      <w:r>
        <w:fldChar w:fldCharType="separate"/>
      </w:r>
      <w:r>
        <w:rPr>
          <w:rStyle w:val="29"/>
        </w:rPr>
        <w:t>（五）绩效评价的分值评级</w:t>
      </w:r>
      <w:r>
        <w:tab/>
      </w:r>
      <w:r>
        <w:fldChar w:fldCharType="begin"/>
      </w:r>
      <w:r>
        <w:instrText xml:space="preserve"> PAGEREF _Toc180503504 \h </w:instrText>
      </w:r>
      <w:r>
        <w:fldChar w:fldCharType="separate"/>
      </w:r>
      <w:r>
        <w:t>30</w:t>
      </w:r>
      <w:r>
        <w:fldChar w:fldCharType="end"/>
      </w:r>
      <w:r>
        <w:fldChar w:fldCharType="end"/>
      </w:r>
    </w:p>
    <w:p w14:paraId="0D04B433">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"_Toc180503505" </w:instrText>
      </w:r>
      <w:r>
        <w:fldChar w:fldCharType="separate"/>
      </w:r>
      <w:r>
        <w:rPr>
          <w:rStyle w:val="29"/>
        </w:rPr>
        <w:t>（六）评价的组织及实施</w:t>
      </w:r>
      <w:r>
        <w:tab/>
      </w:r>
      <w:r>
        <w:fldChar w:fldCharType="begin"/>
      </w:r>
      <w:r>
        <w:instrText xml:space="preserve"> PAGEREF _Toc180503505 \h </w:instrText>
      </w:r>
      <w:r>
        <w:fldChar w:fldCharType="separate"/>
      </w:r>
      <w:r>
        <w:t>30</w:t>
      </w:r>
      <w:r>
        <w:fldChar w:fldCharType="end"/>
      </w:r>
      <w:r>
        <w:fldChar w:fldCharType="end"/>
      </w:r>
    </w:p>
    <w:p w14:paraId="204B99DB">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"_Toc180503506" </w:instrText>
      </w:r>
      <w:r>
        <w:fldChar w:fldCharType="separate"/>
      </w:r>
      <w:r>
        <w:rPr>
          <w:rStyle w:val="29"/>
        </w:rPr>
        <w:t>三、综合评价情况及评价结论</w:t>
      </w:r>
      <w:r>
        <w:tab/>
      </w:r>
      <w:r>
        <w:fldChar w:fldCharType="begin"/>
      </w:r>
      <w:r>
        <w:instrText xml:space="preserve"> PAGEREF _Toc180503506 \h </w:instrText>
      </w:r>
      <w:r>
        <w:fldChar w:fldCharType="separate"/>
      </w:r>
      <w:r>
        <w:t>32</w:t>
      </w:r>
      <w:r>
        <w:fldChar w:fldCharType="end"/>
      </w:r>
      <w:r>
        <w:fldChar w:fldCharType="end"/>
      </w:r>
    </w:p>
    <w:p w14:paraId="0EC3E76C">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"_Toc180503507" </w:instrText>
      </w:r>
      <w:r>
        <w:fldChar w:fldCharType="separate"/>
      </w:r>
      <w:r>
        <w:rPr>
          <w:rStyle w:val="29"/>
        </w:rPr>
        <w:t>（一）综合评价情况</w:t>
      </w:r>
      <w:r>
        <w:tab/>
      </w:r>
      <w:r>
        <w:fldChar w:fldCharType="begin"/>
      </w:r>
      <w:r>
        <w:instrText xml:space="preserve"> PAGEREF _Toc180503507 \h </w:instrText>
      </w:r>
      <w:r>
        <w:fldChar w:fldCharType="separate"/>
      </w:r>
      <w:r>
        <w:t>32</w:t>
      </w:r>
      <w:r>
        <w:fldChar w:fldCharType="end"/>
      </w:r>
      <w:r>
        <w:fldChar w:fldCharType="end"/>
      </w:r>
    </w:p>
    <w:p w14:paraId="0802121A">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"_Toc180503508" </w:instrText>
      </w:r>
      <w:r>
        <w:fldChar w:fldCharType="separate"/>
      </w:r>
      <w:r>
        <w:rPr>
          <w:rStyle w:val="29"/>
        </w:rPr>
        <w:t>（二）评价结论</w:t>
      </w:r>
      <w:r>
        <w:tab/>
      </w:r>
      <w:r>
        <w:fldChar w:fldCharType="begin"/>
      </w:r>
      <w:r>
        <w:instrText xml:space="preserve"> PAGEREF _Toc180503508 \h </w:instrText>
      </w:r>
      <w:r>
        <w:fldChar w:fldCharType="separate"/>
      </w:r>
      <w:r>
        <w:t>33</w:t>
      </w:r>
      <w:r>
        <w:fldChar w:fldCharType="end"/>
      </w:r>
      <w:r>
        <w:fldChar w:fldCharType="end"/>
      </w:r>
    </w:p>
    <w:p w14:paraId="4AD7FFB2">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"_Toc180503509" </w:instrText>
      </w:r>
      <w:r>
        <w:fldChar w:fldCharType="separate"/>
      </w:r>
      <w:r>
        <w:rPr>
          <w:rStyle w:val="29"/>
        </w:rPr>
        <w:t>四、绩效评价指标分析</w:t>
      </w:r>
      <w:r>
        <w:tab/>
      </w:r>
      <w:r>
        <w:fldChar w:fldCharType="begin"/>
      </w:r>
      <w:r>
        <w:instrText xml:space="preserve"> PAGEREF _Toc180503509 \h </w:instrText>
      </w:r>
      <w:r>
        <w:fldChar w:fldCharType="separate"/>
      </w:r>
      <w:r>
        <w:t>34</w:t>
      </w:r>
      <w:r>
        <w:fldChar w:fldCharType="end"/>
      </w:r>
      <w:r>
        <w:fldChar w:fldCharType="end"/>
      </w:r>
    </w:p>
    <w:p w14:paraId="10BFB376">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"_Toc180503510" </w:instrText>
      </w:r>
      <w:r>
        <w:fldChar w:fldCharType="separate"/>
      </w:r>
      <w:r>
        <w:rPr>
          <w:rStyle w:val="29"/>
        </w:rPr>
        <w:t>（一）部门决策分析</w:t>
      </w:r>
      <w:r>
        <w:tab/>
      </w:r>
      <w:r>
        <w:fldChar w:fldCharType="begin"/>
      </w:r>
      <w:r>
        <w:instrText xml:space="preserve"> PAGEREF _Toc180503510 \h </w:instrText>
      </w:r>
      <w:r>
        <w:fldChar w:fldCharType="separate"/>
      </w:r>
      <w:r>
        <w:t>34</w:t>
      </w:r>
      <w:r>
        <w:fldChar w:fldCharType="end"/>
      </w:r>
      <w:r>
        <w:fldChar w:fldCharType="end"/>
      </w:r>
    </w:p>
    <w:p w14:paraId="0FA48E83">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"_Toc180503511" </w:instrText>
      </w:r>
      <w:r>
        <w:fldChar w:fldCharType="separate"/>
      </w:r>
      <w:r>
        <w:rPr>
          <w:rStyle w:val="29"/>
        </w:rPr>
        <w:t>（二）部门管理分析</w:t>
      </w:r>
      <w:r>
        <w:tab/>
      </w:r>
      <w:r>
        <w:fldChar w:fldCharType="begin"/>
      </w:r>
      <w:r>
        <w:instrText xml:space="preserve"> PAGEREF _Toc180503511 \h </w:instrText>
      </w:r>
      <w:r>
        <w:fldChar w:fldCharType="separate"/>
      </w:r>
      <w:r>
        <w:t>36</w:t>
      </w:r>
      <w:r>
        <w:fldChar w:fldCharType="end"/>
      </w:r>
      <w:r>
        <w:fldChar w:fldCharType="end"/>
      </w:r>
    </w:p>
    <w:p w14:paraId="1F4C4D19">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"_Toc180503512" </w:instrText>
      </w:r>
      <w:r>
        <w:fldChar w:fldCharType="separate"/>
      </w:r>
      <w:r>
        <w:rPr>
          <w:rStyle w:val="29"/>
        </w:rPr>
        <w:t>（三）部门产出分析</w:t>
      </w:r>
      <w:r>
        <w:tab/>
      </w:r>
      <w:r>
        <w:fldChar w:fldCharType="begin"/>
      </w:r>
      <w:r>
        <w:instrText xml:space="preserve"> PAGEREF _Toc180503512 \h </w:instrText>
      </w:r>
      <w:r>
        <w:fldChar w:fldCharType="separate"/>
      </w:r>
      <w:r>
        <w:t>45</w:t>
      </w:r>
      <w:r>
        <w:fldChar w:fldCharType="end"/>
      </w:r>
      <w:r>
        <w:fldChar w:fldCharType="end"/>
      </w:r>
    </w:p>
    <w:p w14:paraId="1AC6F507">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"_Toc180503513" </w:instrText>
      </w:r>
      <w:r>
        <w:fldChar w:fldCharType="separate"/>
      </w:r>
      <w:r>
        <w:rPr>
          <w:rStyle w:val="29"/>
        </w:rPr>
        <w:t>（四）部门效果分析</w:t>
      </w:r>
      <w:r>
        <w:tab/>
      </w:r>
      <w:r>
        <w:fldChar w:fldCharType="begin"/>
      </w:r>
      <w:r>
        <w:instrText xml:space="preserve"> PAGEREF _Toc180503513 \h </w:instrText>
      </w:r>
      <w:r>
        <w:fldChar w:fldCharType="separate"/>
      </w:r>
      <w:r>
        <w:t>59</w:t>
      </w:r>
      <w:r>
        <w:fldChar w:fldCharType="end"/>
      </w:r>
      <w:r>
        <w:fldChar w:fldCharType="end"/>
      </w:r>
    </w:p>
    <w:p w14:paraId="71AB5687">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"_Toc180503514" </w:instrText>
      </w:r>
      <w:r>
        <w:fldChar w:fldCharType="separate"/>
      </w:r>
      <w:r>
        <w:rPr>
          <w:rStyle w:val="29"/>
        </w:rPr>
        <w:t>五、主要经验和做法</w:t>
      </w:r>
      <w:r>
        <w:tab/>
      </w:r>
      <w:r>
        <w:fldChar w:fldCharType="begin"/>
      </w:r>
      <w:r>
        <w:instrText xml:space="preserve"> PAGEREF _Toc180503514 \h </w:instrText>
      </w:r>
      <w:r>
        <w:fldChar w:fldCharType="separate"/>
      </w:r>
      <w:r>
        <w:t>64</w:t>
      </w:r>
      <w:r>
        <w:fldChar w:fldCharType="end"/>
      </w:r>
      <w:r>
        <w:fldChar w:fldCharType="end"/>
      </w:r>
    </w:p>
    <w:p w14:paraId="7610266D">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"_Toc180503515" </w:instrText>
      </w:r>
      <w:r>
        <w:fldChar w:fldCharType="separate"/>
      </w:r>
      <w:r>
        <w:rPr>
          <w:rStyle w:val="29"/>
        </w:rPr>
        <w:t>六、存在的主要问题</w:t>
      </w:r>
      <w:r>
        <w:tab/>
      </w:r>
      <w:r>
        <w:fldChar w:fldCharType="begin"/>
      </w:r>
      <w:r>
        <w:instrText xml:space="preserve"> PAGEREF _Toc180503515 \h </w:instrText>
      </w:r>
      <w:r>
        <w:fldChar w:fldCharType="separate"/>
      </w:r>
      <w:r>
        <w:t>64</w:t>
      </w:r>
      <w:r>
        <w:fldChar w:fldCharType="end"/>
      </w:r>
      <w:r>
        <w:fldChar w:fldCharType="end"/>
      </w:r>
    </w:p>
    <w:p w14:paraId="3F80B239">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"_Toc180503516" </w:instrText>
      </w:r>
      <w:r>
        <w:fldChar w:fldCharType="separate"/>
      </w:r>
      <w:r>
        <w:rPr>
          <w:rStyle w:val="29"/>
        </w:rPr>
        <w:t>七、有关建议</w:t>
      </w:r>
      <w:r>
        <w:tab/>
      </w:r>
      <w:r>
        <w:fldChar w:fldCharType="begin"/>
      </w:r>
      <w:r>
        <w:instrText xml:space="preserve"> PAGEREF _Toc180503516 \h </w:instrText>
      </w:r>
      <w:r>
        <w:fldChar w:fldCharType="separate"/>
      </w:r>
      <w:r>
        <w:t>66</w:t>
      </w:r>
      <w:r>
        <w:fldChar w:fldCharType="end"/>
      </w:r>
      <w:r>
        <w:fldChar w:fldCharType="end"/>
      </w:r>
    </w:p>
    <w:p w14:paraId="4AD0C2A3">
      <w:pPr>
        <w:pStyle w:val="16"/>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"_Toc180503517" </w:instrText>
      </w:r>
      <w:r>
        <w:fldChar w:fldCharType="separate"/>
      </w:r>
      <w:r>
        <w:rPr>
          <w:rStyle w:val="29"/>
        </w:rPr>
        <w:t>八、绩效评价结果应用建议</w:t>
      </w:r>
      <w:r>
        <w:tab/>
      </w:r>
      <w:r>
        <w:fldChar w:fldCharType="begin"/>
      </w:r>
      <w:r>
        <w:instrText xml:space="preserve"> PAGEREF _Toc180503517 \h </w:instrText>
      </w:r>
      <w:r>
        <w:fldChar w:fldCharType="separate"/>
      </w:r>
      <w:r>
        <w:t>67</w:t>
      </w:r>
      <w:r>
        <w:fldChar w:fldCharType="end"/>
      </w:r>
      <w:r>
        <w:fldChar w:fldCharType="end"/>
      </w:r>
    </w:p>
    <w:p w14:paraId="68F1E6BF">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"_Toc180503518" </w:instrText>
      </w:r>
      <w:r>
        <w:fldChar w:fldCharType="separate"/>
      </w:r>
      <w:r>
        <w:rPr>
          <w:rStyle w:val="29"/>
        </w:rPr>
        <w:t>附件1：绩效评价指标体系</w:t>
      </w:r>
      <w:r>
        <w:tab/>
      </w:r>
      <w:r>
        <w:fldChar w:fldCharType="begin"/>
      </w:r>
      <w:r>
        <w:instrText xml:space="preserve"> PAGEREF _Toc180503518 \h </w:instrText>
      </w:r>
      <w:r>
        <w:fldChar w:fldCharType="separate"/>
      </w:r>
      <w:r>
        <w:t>69</w:t>
      </w:r>
      <w:r>
        <w:fldChar w:fldCharType="end"/>
      </w:r>
      <w:r>
        <w:fldChar w:fldCharType="end"/>
      </w:r>
    </w:p>
    <w:p w14:paraId="1156B463">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"_Toc180503519" </w:instrText>
      </w:r>
      <w:r>
        <w:fldChar w:fldCharType="separate"/>
      </w:r>
      <w:r>
        <w:rPr>
          <w:rStyle w:val="29"/>
        </w:rPr>
        <w:t>附件2：绩效评价指标评分表</w:t>
      </w:r>
      <w:r>
        <w:tab/>
      </w:r>
      <w:r>
        <w:fldChar w:fldCharType="begin"/>
      </w:r>
      <w:r>
        <w:instrText xml:space="preserve"> PAGEREF _Toc180503519 \h </w:instrText>
      </w:r>
      <w:r>
        <w:fldChar w:fldCharType="separate"/>
      </w:r>
      <w:r>
        <w:t>78</w:t>
      </w:r>
      <w:r>
        <w:fldChar w:fldCharType="end"/>
      </w:r>
      <w:r>
        <w:fldChar w:fldCharType="end"/>
      </w:r>
    </w:p>
    <w:p w14:paraId="09EAD4AC">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"_Toc180503520" </w:instrText>
      </w:r>
      <w:r>
        <w:fldChar w:fldCharType="separate"/>
      </w:r>
      <w:r>
        <w:rPr>
          <w:rStyle w:val="29"/>
        </w:rPr>
        <w:t>附件3：反映绩效的照片</w:t>
      </w:r>
      <w:r>
        <w:tab/>
      </w:r>
      <w:r>
        <w:fldChar w:fldCharType="begin"/>
      </w:r>
      <w:r>
        <w:instrText xml:space="preserve"> PAGEREF _Toc180503520 \h </w:instrText>
      </w:r>
      <w:r>
        <w:fldChar w:fldCharType="separate"/>
      </w:r>
      <w:r>
        <w:t>80</w:t>
      </w:r>
      <w:r>
        <w:fldChar w:fldCharType="end"/>
      </w:r>
      <w:r>
        <w:fldChar w:fldCharType="end"/>
      </w:r>
    </w:p>
    <w:p w14:paraId="0306569E">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"_Toc180503521" </w:instrText>
      </w:r>
      <w:r>
        <w:fldChar w:fldCharType="separate"/>
      </w:r>
      <w:r>
        <w:rPr>
          <w:rStyle w:val="29"/>
        </w:rPr>
        <w:t>附件4：调查问卷分析报告</w:t>
      </w:r>
      <w:r>
        <w:tab/>
      </w:r>
      <w:r>
        <w:fldChar w:fldCharType="begin"/>
      </w:r>
      <w:r>
        <w:instrText xml:space="preserve"> PAGEREF _Toc180503521 \h </w:instrText>
      </w:r>
      <w:r>
        <w:fldChar w:fldCharType="separate"/>
      </w:r>
      <w:r>
        <w:t>81</w:t>
      </w:r>
      <w:r>
        <w:fldChar w:fldCharType="end"/>
      </w:r>
      <w:r>
        <w:fldChar w:fldCharType="end"/>
      </w:r>
    </w:p>
    <w:p w14:paraId="369BCB84">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"_Toc180503522" </w:instrText>
      </w:r>
      <w:r>
        <w:fldChar w:fldCharType="separate"/>
      </w:r>
      <w:r>
        <w:rPr>
          <w:rStyle w:val="29"/>
        </w:rPr>
        <w:t>附件5：基础数据表</w:t>
      </w:r>
      <w:r>
        <w:tab/>
      </w:r>
      <w:r>
        <w:fldChar w:fldCharType="begin"/>
      </w:r>
      <w:r>
        <w:instrText xml:space="preserve"> PAGEREF _Toc180503522 \h </w:instrText>
      </w:r>
      <w:r>
        <w:fldChar w:fldCharType="separate"/>
      </w:r>
      <w:r>
        <w:t>87</w:t>
      </w:r>
      <w:r>
        <w:fldChar w:fldCharType="end"/>
      </w:r>
      <w:r>
        <w:fldChar w:fldCharType="end"/>
      </w:r>
    </w:p>
    <w:p w14:paraId="4E295ACE">
      <w:pPr>
        <w:pStyle w:val="19"/>
        <w:tabs>
          <w:tab w:val="right" w:leader="dot" w:pos="8296"/>
        </w:tabs>
        <w:rPr>
          <w:rFonts w:asciiTheme="minorHAnsi" w:hAnsiTheme="minorHAnsi" w:eastAsiaTheme="minorEastAsia" w:cstheme="minorBidi"/>
          <w:kern w:val="2"/>
          <w:sz w:val="21"/>
          <w:szCs w:val="22"/>
        </w:rPr>
      </w:pPr>
      <w:r>
        <w:fldChar w:fldCharType="begin"/>
      </w:r>
      <w:r>
        <w:instrText xml:space="preserve"> HYPERLINK \l "_Toc180503523" </w:instrText>
      </w:r>
      <w:r>
        <w:fldChar w:fldCharType="separate"/>
      </w:r>
      <w:r>
        <w:rPr>
          <w:rStyle w:val="29"/>
        </w:rPr>
        <w:t>附件6：部门整体支出合规性检查</w:t>
      </w:r>
      <w:r>
        <w:tab/>
      </w:r>
      <w:r>
        <w:fldChar w:fldCharType="begin"/>
      </w:r>
      <w:r>
        <w:instrText xml:space="preserve"> PAGEREF _Toc180503523 \h </w:instrText>
      </w:r>
      <w:r>
        <w:fldChar w:fldCharType="separate"/>
      </w:r>
      <w:r>
        <w:t>89</w:t>
      </w:r>
      <w:r>
        <w:fldChar w:fldCharType="end"/>
      </w:r>
      <w:r>
        <w:fldChar w:fldCharType="end"/>
      </w:r>
    </w:p>
    <w:p w14:paraId="3717FBB6">
      <w:r>
        <w:fldChar w:fldCharType="end"/>
      </w:r>
    </w:p>
    <w:p w14:paraId="50B98360">
      <w:pPr>
        <w:pStyle w:val="8"/>
        <w:widowControl w:val="0"/>
        <w:ind w:firstLine="560"/>
        <w:jc w:val="center"/>
        <w:rPr>
          <w:rFonts w:ascii="仿宋" w:hAnsi="仿宋"/>
          <w:highlight w:val="yellow"/>
        </w:rPr>
        <w:sectPr>
          <w:pgSz w:w="11906" w:h="16838"/>
          <w:pgMar w:top="1440" w:right="1800" w:bottom="1440" w:left="1800" w:header="851" w:footer="992" w:gutter="0"/>
          <w:pgNumType w:start="1"/>
          <w:cols w:space="720" w:num="1"/>
          <w:docGrid w:type="lines" w:linePitch="312" w:charSpace="0"/>
        </w:sectPr>
      </w:pPr>
    </w:p>
    <w:p w14:paraId="4D0E2A1F">
      <w:pPr>
        <w:spacing w:line="640" w:lineRule="exact"/>
        <w:jc w:val="center"/>
        <w:rPr>
          <w:b/>
          <w:bCs/>
          <w:sz w:val="32"/>
          <w:szCs w:val="32"/>
        </w:rPr>
      </w:pPr>
      <w:r>
        <w:rPr>
          <w:rFonts w:hint="eastAsia"/>
          <w:b/>
          <w:bCs/>
          <w:sz w:val="32"/>
          <w:szCs w:val="32"/>
        </w:rPr>
        <w:t>永济市文化和旅游局2023年度整体支出</w:t>
      </w:r>
    </w:p>
    <w:p w14:paraId="4FC41AB2">
      <w:pPr>
        <w:spacing w:afterLines="100" w:line="640" w:lineRule="exact"/>
        <w:jc w:val="center"/>
        <w:outlineLvl w:val="0"/>
        <w:rPr>
          <w:b/>
          <w:bCs/>
          <w:sz w:val="32"/>
          <w:szCs w:val="32"/>
        </w:rPr>
      </w:pPr>
      <w:bookmarkStart w:id="0" w:name="_Toc18933"/>
      <w:bookmarkStart w:id="1" w:name="_Toc29942"/>
      <w:bookmarkStart w:id="2" w:name="_Toc14273"/>
      <w:bookmarkStart w:id="3" w:name="_Toc7747"/>
      <w:r>
        <w:rPr>
          <w:rFonts w:hint="eastAsia"/>
          <w:b/>
          <w:bCs/>
          <w:sz w:val="32"/>
          <w:szCs w:val="32"/>
        </w:rPr>
        <w:t>绩效评价报告摘要</w:t>
      </w:r>
      <w:bookmarkEnd w:id="0"/>
      <w:bookmarkEnd w:id="1"/>
      <w:bookmarkEnd w:id="2"/>
      <w:bookmarkEnd w:id="3"/>
    </w:p>
    <w:p w14:paraId="0D1A9ECB">
      <w:pPr>
        <w:spacing w:line="560" w:lineRule="exact"/>
        <w:ind w:firstLine="562" w:firstLineChars="200"/>
        <w:rPr>
          <w:b/>
          <w:bCs/>
        </w:rPr>
      </w:pPr>
      <w:bookmarkStart w:id="4" w:name="_Toc1130_WPSOffice_Level1"/>
      <w:bookmarkStart w:id="5" w:name="_Toc3191_WPSOffice_Level1"/>
      <w:bookmarkStart w:id="6" w:name="_Toc17584_WPSOffice_Level1"/>
      <w:bookmarkStart w:id="7" w:name="_Toc13429_WPSOffice_Level1"/>
      <w:bookmarkStart w:id="8" w:name="_Toc10139_WPSOffice_Level1"/>
      <w:bookmarkStart w:id="9" w:name="_Toc21200_WPSOffice_Level1"/>
      <w:bookmarkStart w:id="10" w:name="_Toc10379_WPSOffice_Level1"/>
      <w:bookmarkStart w:id="11" w:name="_Toc25652_WPSOffice_Level1"/>
      <w:bookmarkStart w:id="12" w:name="_Toc12898_WPSOffice_Level1"/>
      <w:bookmarkStart w:id="13" w:name="_Toc13461"/>
      <w:bookmarkStart w:id="14" w:name="_Toc31403"/>
      <w:bookmarkStart w:id="15" w:name="_Toc4150_WPSOffice_Level1"/>
      <w:bookmarkStart w:id="16" w:name="_Toc14229"/>
      <w:bookmarkStart w:id="17" w:name="_Toc19875_WPSOffice_Level1"/>
      <w:bookmarkStart w:id="18" w:name="_Toc18268"/>
      <w:bookmarkStart w:id="19" w:name="_Toc4982"/>
      <w:bookmarkStart w:id="20" w:name="_Toc26696"/>
      <w:bookmarkStart w:id="21" w:name="_Toc8125"/>
      <w:bookmarkStart w:id="22" w:name="_Toc19073_WPSOffice_Level1"/>
      <w:bookmarkStart w:id="23" w:name="_Toc18126"/>
      <w:bookmarkStart w:id="24" w:name="_Toc2314"/>
      <w:bookmarkStart w:id="25" w:name="_Toc21049"/>
      <w:bookmarkStart w:id="26" w:name="_Toc14587"/>
      <w:bookmarkStart w:id="27" w:name="_Toc21197_WPSOffice_Level1"/>
      <w:bookmarkStart w:id="28" w:name="_Toc31436_WPSOffice_Level1"/>
      <w:bookmarkStart w:id="29" w:name="_Toc28791"/>
      <w:r>
        <w:rPr>
          <w:rFonts w:hint="eastAsia"/>
          <w:b/>
          <w:bCs/>
        </w:rPr>
        <w:t>一、</w:t>
      </w:r>
      <w:bookmarkEnd w:id="4"/>
      <w:bookmarkEnd w:id="5"/>
      <w:bookmarkEnd w:id="6"/>
      <w:bookmarkEnd w:id="7"/>
      <w:bookmarkEnd w:id="8"/>
      <w:bookmarkEnd w:id="9"/>
      <w:bookmarkEnd w:id="10"/>
      <w:bookmarkEnd w:id="11"/>
      <w:bookmarkEnd w:id="12"/>
      <w:r>
        <w:rPr>
          <w:rFonts w:hint="eastAsia"/>
          <w:b/>
          <w:bCs/>
        </w:rPr>
        <w:t>部门概况</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419489C">
      <w:pPr>
        <w:pStyle w:val="8"/>
        <w:widowControl w:val="0"/>
        <w:snapToGrid/>
        <w:ind w:firstLine="562"/>
        <w:rPr>
          <w:rFonts w:ascii="仿宋" w:hAnsi="仿宋"/>
          <w:b/>
        </w:rPr>
      </w:pPr>
      <w:bookmarkStart w:id="30" w:name="_Toc7573"/>
      <w:bookmarkStart w:id="31" w:name="_Toc20599"/>
      <w:bookmarkStart w:id="32" w:name="_Toc15644"/>
      <w:bookmarkStart w:id="33" w:name="_Toc15734"/>
      <w:bookmarkStart w:id="34" w:name="_Toc26933"/>
      <w:bookmarkStart w:id="35" w:name="_Toc3750"/>
      <w:bookmarkStart w:id="36" w:name="_Toc26219"/>
      <w:bookmarkStart w:id="37" w:name="_Toc30410"/>
      <w:bookmarkStart w:id="38" w:name="_Toc16898"/>
      <w:bookmarkStart w:id="39" w:name="_Toc7976_WPSOffice_Level1"/>
      <w:bookmarkStart w:id="40" w:name="_Toc25737"/>
      <w:bookmarkStart w:id="41" w:name="_Toc12436"/>
      <w:bookmarkStart w:id="42" w:name="_Toc15101_WPSOffice_Level1"/>
      <w:bookmarkStart w:id="43" w:name="_Toc19917_WPSOffice_Level1"/>
      <w:bookmarkStart w:id="44" w:name="_Toc19803"/>
      <w:bookmarkStart w:id="45" w:name="_Toc7838_WPSOffice_Level1"/>
      <w:bookmarkStart w:id="46" w:name="_Toc19553_WPSOffice_Level1"/>
      <w:r>
        <w:rPr>
          <w:rFonts w:hint="eastAsia" w:ascii="仿宋" w:hAnsi="仿宋"/>
          <w:b/>
        </w:rPr>
        <w:t>（一）部门</w:t>
      </w:r>
      <w:bookmarkEnd w:id="30"/>
      <w:bookmarkEnd w:id="31"/>
      <w:bookmarkEnd w:id="32"/>
      <w:bookmarkEnd w:id="33"/>
      <w:bookmarkEnd w:id="34"/>
      <w:bookmarkEnd w:id="35"/>
      <w:bookmarkEnd w:id="36"/>
      <w:bookmarkEnd w:id="37"/>
      <w:bookmarkEnd w:id="38"/>
      <w:r>
        <w:rPr>
          <w:rFonts w:hint="eastAsia" w:ascii="仿宋"/>
          <w:b/>
        </w:rPr>
        <w:t>概况</w:t>
      </w:r>
    </w:p>
    <w:p w14:paraId="6838683F">
      <w:pPr>
        <w:widowControl w:val="0"/>
        <w:adjustRightInd w:val="0"/>
        <w:snapToGrid w:val="0"/>
        <w:spacing w:line="560" w:lineRule="exact"/>
        <w:ind w:firstLine="560" w:firstLineChars="200"/>
      </w:pPr>
      <w:r>
        <w:rPr>
          <w:rFonts w:hint="eastAsia"/>
        </w:rPr>
        <w:t>永济市文化和旅游局（以下简称“永济市文旅局”）属行政单位，机构性质为机关，位于永济市舜都大道13号，单位负责人：薛翠凤，统一社会信用代码：11141081012885352B。</w:t>
      </w:r>
    </w:p>
    <w:p w14:paraId="6E60A2A0">
      <w:pPr>
        <w:widowControl w:val="0"/>
        <w:adjustRightInd w:val="0"/>
        <w:snapToGrid w:val="0"/>
        <w:spacing w:line="560" w:lineRule="exact"/>
        <w:ind w:firstLine="562" w:firstLineChars="200"/>
        <w:rPr>
          <w:b/>
          <w:bCs/>
        </w:rPr>
      </w:pPr>
      <w:r>
        <w:rPr>
          <w:rFonts w:hint="eastAsia"/>
          <w:b/>
          <w:bCs/>
        </w:rPr>
        <w:t>1.部门的主要职责</w:t>
      </w:r>
    </w:p>
    <w:p w14:paraId="369139C0">
      <w:pPr>
        <w:pStyle w:val="8"/>
        <w:ind w:firstLine="560"/>
        <w:outlineLvl w:val="2"/>
        <w:rPr>
          <w:rFonts w:ascii="仿宋" w:hAnsi="仿宋"/>
        </w:rPr>
      </w:pPr>
      <w:r>
        <w:rPr>
          <w:rFonts w:hint="eastAsia" w:ascii="仿宋" w:hAnsi="仿宋"/>
        </w:rPr>
        <w:t>贯彻落实国家、省关于文化和旅游、广播电视和网络视听节目服务、文物保护的法律、法规、方针、政策，把握正确的舆论导向和创作导向；贯彻落实市委、市政府关于文化和旅游、广播电视和网络视听节目服务、文物保护的决策部署;拟订文化和旅游、广播电视和网络视听节目服务、文物保护方面的规范性文件并监督实施</w:t>
      </w:r>
    </w:p>
    <w:p w14:paraId="3054FC3E">
      <w:pPr>
        <w:pStyle w:val="8"/>
        <w:ind w:firstLine="560"/>
        <w:outlineLvl w:val="2"/>
        <w:rPr>
          <w:rFonts w:ascii="仿宋" w:hAnsi="仿宋"/>
        </w:rPr>
      </w:pPr>
      <w:r>
        <w:rPr>
          <w:rFonts w:hint="eastAsia" w:ascii="仿宋" w:hAnsi="仿宋"/>
        </w:rPr>
        <w:t>制定并组织实施全市文化和旅游、广播电视和网络视听节目服务、文物保护发展规划及年度执行计划；管理全市性重大文化和旅游活动，指导市级重点文化设施建设和基层文化设施建设；负责文化和旅游、广播电视和网络视听节目服务、文物保护的行政审批工作;指导全市文化和旅游市场、广播电视市场、文物保护综合执法工作等。</w:t>
      </w:r>
    </w:p>
    <w:p w14:paraId="1E651BA1">
      <w:pPr>
        <w:pStyle w:val="8"/>
        <w:ind w:firstLine="562"/>
        <w:rPr>
          <w:rFonts w:ascii="仿宋" w:hAnsi="仿宋"/>
          <w:b/>
          <w:bCs/>
        </w:rPr>
      </w:pPr>
      <w:r>
        <w:rPr>
          <w:rFonts w:hint="eastAsia" w:ascii="仿宋" w:hAnsi="仿宋"/>
          <w:b/>
          <w:bCs/>
        </w:rPr>
        <w:t>2.部门组织机构及人员情况</w:t>
      </w:r>
    </w:p>
    <w:p w14:paraId="43F712BD">
      <w:pPr>
        <w:pStyle w:val="8"/>
        <w:ind w:firstLine="560"/>
        <w:rPr>
          <w:rFonts w:ascii="仿宋" w:hAnsi="仿宋"/>
          <w:highlight w:val="yellow"/>
        </w:rPr>
      </w:pPr>
      <w:r>
        <w:rPr>
          <w:rFonts w:hint="eastAsia" w:ascii="仿宋" w:hAnsi="仿宋"/>
        </w:rPr>
        <w:t>2023年独立核算单位有7个，分别为永济市文化和旅游局、永济市文化市场综合行政执法队、永济市文化馆、永济市图书馆、永济市文物保护中心、永济市博物馆、永济市旅游服务中心。</w:t>
      </w:r>
    </w:p>
    <w:p w14:paraId="6FC14EBA">
      <w:pPr>
        <w:pStyle w:val="8"/>
        <w:ind w:firstLine="560"/>
        <w:rPr>
          <w:rFonts w:ascii="仿宋"/>
        </w:rPr>
      </w:pPr>
      <w:r>
        <w:rPr>
          <w:rFonts w:hint="eastAsia" w:ascii="仿宋" w:hAnsi="仿宋"/>
        </w:rPr>
        <w:t>单位</w:t>
      </w:r>
      <w:r>
        <w:rPr>
          <w:rFonts w:hint="eastAsia" w:ascii="仿宋"/>
        </w:rPr>
        <w:t>编制人数139名（其中行政编制16名，事业编制123名），在职正式人数165名（其中行政在职17名，事业在职148名），临时人员22名，公益岗1名，具体明细见下表：</w:t>
      </w:r>
    </w:p>
    <w:p w14:paraId="526D017A">
      <w:pPr>
        <w:pStyle w:val="8"/>
        <w:spacing w:afterLines="50"/>
        <w:ind w:firstLine="562"/>
        <w:jc w:val="center"/>
        <w:rPr>
          <w:rFonts w:ascii="仿宋"/>
          <w:b/>
          <w:bCs/>
        </w:rPr>
      </w:pPr>
      <w:r>
        <w:rPr>
          <w:rFonts w:hint="eastAsia" w:ascii="仿宋"/>
          <w:b/>
          <w:bCs/>
        </w:rPr>
        <w:t>表1-1永济市文化和旅游局人员配备情况</w:t>
      </w:r>
    </w:p>
    <w:tbl>
      <w:tblPr>
        <w:tblStyle w:val="24"/>
        <w:tblW w:w="5000" w:type="pct"/>
        <w:tblInd w:w="0" w:type="dxa"/>
        <w:tblLayout w:type="fixed"/>
        <w:tblCellMar>
          <w:top w:w="0" w:type="dxa"/>
          <w:left w:w="108" w:type="dxa"/>
          <w:bottom w:w="0" w:type="dxa"/>
          <w:right w:w="108" w:type="dxa"/>
        </w:tblCellMar>
      </w:tblPr>
      <w:tblGrid>
        <w:gridCol w:w="3322"/>
        <w:gridCol w:w="1413"/>
        <w:gridCol w:w="1500"/>
        <w:gridCol w:w="1339"/>
        <w:gridCol w:w="1146"/>
      </w:tblGrid>
      <w:tr w14:paraId="4E7B2439">
        <w:tblPrEx>
          <w:tblCellMar>
            <w:top w:w="0" w:type="dxa"/>
            <w:left w:w="108" w:type="dxa"/>
            <w:bottom w:w="0" w:type="dxa"/>
            <w:right w:w="108" w:type="dxa"/>
          </w:tblCellMar>
        </w:tblPrEx>
        <w:trPr>
          <w:trHeight w:val="482" w:hRule="atLeast"/>
          <w:tblHeader/>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5B7A">
            <w:pPr>
              <w:spacing w:line="240" w:lineRule="exact"/>
              <w:jc w:val="center"/>
              <w:textAlignment w:val="center"/>
              <w:rPr>
                <w:b/>
                <w:bCs/>
                <w:color w:val="000000"/>
                <w:sz w:val="21"/>
                <w:szCs w:val="21"/>
              </w:rPr>
            </w:pPr>
            <w:r>
              <w:rPr>
                <w:rFonts w:hint="eastAsia"/>
                <w:b/>
                <w:bCs/>
                <w:color w:val="000000"/>
                <w:sz w:val="21"/>
                <w:szCs w:val="21"/>
              </w:rPr>
              <w:t>单位</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30B1">
            <w:pPr>
              <w:spacing w:line="240" w:lineRule="exact"/>
              <w:jc w:val="center"/>
              <w:textAlignment w:val="center"/>
              <w:rPr>
                <w:b/>
                <w:bCs/>
                <w:color w:val="000000"/>
                <w:sz w:val="21"/>
                <w:szCs w:val="21"/>
              </w:rPr>
            </w:pPr>
            <w:r>
              <w:rPr>
                <w:rFonts w:hint="eastAsia"/>
                <w:b/>
                <w:bCs/>
                <w:color w:val="000000"/>
                <w:sz w:val="21"/>
                <w:szCs w:val="21"/>
              </w:rPr>
              <w:t>编制人数</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EC6C0">
            <w:pPr>
              <w:spacing w:line="240" w:lineRule="exact"/>
              <w:jc w:val="center"/>
              <w:textAlignment w:val="center"/>
              <w:rPr>
                <w:b/>
                <w:bCs/>
                <w:color w:val="000000"/>
                <w:sz w:val="21"/>
                <w:szCs w:val="21"/>
              </w:rPr>
            </w:pPr>
            <w:r>
              <w:rPr>
                <w:rFonts w:hint="eastAsia"/>
                <w:b/>
                <w:bCs/>
                <w:color w:val="000000"/>
                <w:sz w:val="21"/>
                <w:szCs w:val="21"/>
              </w:rPr>
              <w:t>在职正式人员</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6E5A">
            <w:pPr>
              <w:spacing w:line="240" w:lineRule="exact"/>
              <w:jc w:val="center"/>
              <w:textAlignment w:val="center"/>
              <w:rPr>
                <w:b/>
                <w:bCs/>
                <w:color w:val="000000"/>
                <w:sz w:val="21"/>
                <w:szCs w:val="21"/>
              </w:rPr>
            </w:pPr>
            <w:r>
              <w:rPr>
                <w:rFonts w:hint="eastAsia"/>
                <w:b/>
                <w:bCs/>
                <w:color w:val="000000"/>
                <w:sz w:val="21"/>
                <w:szCs w:val="21"/>
              </w:rPr>
              <w:t>临时人员</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5443">
            <w:pPr>
              <w:spacing w:line="240" w:lineRule="exact"/>
              <w:jc w:val="center"/>
              <w:textAlignment w:val="center"/>
              <w:rPr>
                <w:b/>
                <w:bCs/>
                <w:color w:val="000000"/>
                <w:sz w:val="21"/>
                <w:szCs w:val="21"/>
              </w:rPr>
            </w:pPr>
            <w:r>
              <w:rPr>
                <w:rFonts w:hint="eastAsia"/>
                <w:b/>
                <w:bCs/>
                <w:color w:val="000000"/>
                <w:sz w:val="21"/>
                <w:szCs w:val="21"/>
              </w:rPr>
              <w:t>公益岗</w:t>
            </w:r>
          </w:p>
        </w:tc>
      </w:tr>
      <w:tr w14:paraId="14071CAA">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F6A0">
            <w:pPr>
              <w:textAlignment w:val="center"/>
              <w:rPr>
                <w:color w:val="000000"/>
                <w:sz w:val="21"/>
                <w:szCs w:val="21"/>
              </w:rPr>
            </w:pPr>
            <w:r>
              <w:rPr>
                <w:rFonts w:hint="eastAsia"/>
                <w:color w:val="000000"/>
                <w:kern w:val="0"/>
                <w:sz w:val="21"/>
                <w:szCs w:val="21"/>
              </w:rPr>
              <w:t>永济市文化和旅游局</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2BC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0B4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17</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FCD2">
            <w:pPr>
              <w:jc w:val="right"/>
              <w:rPr>
                <w:rFonts w:ascii="Arial Narrow" w:hAnsi="Arial Narrow" w:cs="Arial Narrow"/>
                <w:color w:val="000000"/>
                <w:sz w:val="21"/>
                <w:szCs w:val="21"/>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1087">
            <w:pPr>
              <w:jc w:val="right"/>
              <w:rPr>
                <w:rFonts w:ascii="Arial Narrow" w:hAnsi="Arial Narrow" w:cs="Arial Narrow"/>
                <w:color w:val="000000"/>
                <w:sz w:val="21"/>
                <w:szCs w:val="21"/>
              </w:rPr>
            </w:pPr>
          </w:p>
        </w:tc>
      </w:tr>
      <w:tr w14:paraId="30573169">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A4C8">
            <w:pPr>
              <w:textAlignment w:val="center"/>
              <w:rPr>
                <w:color w:val="000000"/>
                <w:sz w:val="21"/>
                <w:szCs w:val="21"/>
              </w:rPr>
            </w:pPr>
            <w:r>
              <w:rPr>
                <w:rFonts w:hint="eastAsia"/>
                <w:color w:val="000000"/>
                <w:kern w:val="0"/>
                <w:sz w:val="21"/>
                <w:szCs w:val="21"/>
              </w:rPr>
              <w:t>永济市文化市场综合行政执法队</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E0B6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554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13</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840D">
            <w:pPr>
              <w:jc w:val="right"/>
              <w:rPr>
                <w:rFonts w:ascii="Arial Narrow" w:hAnsi="Arial Narrow" w:cs="Arial Narrow"/>
                <w:color w:val="000000"/>
                <w:sz w:val="21"/>
                <w:szCs w:val="21"/>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F6F7">
            <w:pPr>
              <w:jc w:val="right"/>
              <w:rPr>
                <w:rFonts w:ascii="Arial Narrow" w:hAnsi="Arial Narrow" w:cs="Arial Narrow"/>
                <w:color w:val="000000"/>
                <w:sz w:val="21"/>
                <w:szCs w:val="21"/>
              </w:rPr>
            </w:pPr>
          </w:p>
        </w:tc>
      </w:tr>
      <w:tr w14:paraId="6C78A1AE">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34FA">
            <w:pPr>
              <w:textAlignment w:val="center"/>
              <w:rPr>
                <w:color w:val="000000"/>
                <w:sz w:val="21"/>
                <w:szCs w:val="21"/>
              </w:rPr>
            </w:pPr>
            <w:r>
              <w:rPr>
                <w:rFonts w:hint="eastAsia"/>
                <w:color w:val="000000"/>
                <w:kern w:val="0"/>
                <w:sz w:val="21"/>
                <w:szCs w:val="21"/>
              </w:rPr>
              <w:t>永济市文化馆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503C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8</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B69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28</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FD01">
            <w:pPr>
              <w:jc w:val="right"/>
              <w:rPr>
                <w:rFonts w:ascii="Arial Narrow" w:hAnsi="Arial Narrow" w:cs="Arial Narrow"/>
                <w:color w:val="000000"/>
                <w:sz w:val="21"/>
                <w:szCs w:val="21"/>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C857">
            <w:pPr>
              <w:jc w:val="right"/>
              <w:rPr>
                <w:rFonts w:ascii="Arial Narrow" w:hAnsi="Arial Narrow" w:cs="Arial Narrow"/>
                <w:color w:val="000000"/>
                <w:sz w:val="21"/>
                <w:szCs w:val="21"/>
              </w:rPr>
            </w:pPr>
          </w:p>
        </w:tc>
      </w:tr>
      <w:tr w14:paraId="55824A53">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92EE">
            <w:pPr>
              <w:textAlignment w:val="center"/>
              <w:rPr>
                <w:color w:val="000000"/>
                <w:sz w:val="21"/>
                <w:szCs w:val="21"/>
              </w:rPr>
            </w:pPr>
            <w:r>
              <w:rPr>
                <w:rFonts w:hint="eastAsia"/>
                <w:color w:val="000000"/>
                <w:kern w:val="0"/>
                <w:sz w:val="21"/>
                <w:szCs w:val="21"/>
              </w:rPr>
              <w:t>永济市图书馆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23D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8</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5C0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23</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22D0">
            <w:pPr>
              <w:jc w:val="right"/>
              <w:rPr>
                <w:rFonts w:ascii="Arial Narrow" w:hAnsi="Arial Narrow" w:cs="Arial Narrow"/>
                <w:color w:val="000000"/>
                <w:sz w:val="21"/>
                <w:szCs w:val="21"/>
              </w:rPr>
            </w:pPr>
            <w:r>
              <w:rPr>
                <w:rFonts w:hint="eastAsia" w:ascii="Arial Narrow" w:hAnsi="Arial Narrow" w:cs="Arial Narrow"/>
                <w:color w:val="000000"/>
                <w:sz w:val="21"/>
                <w:szCs w:val="21"/>
              </w:rPr>
              <w:t>9</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F452">
            <w:pPr>
              <w:jc w:val="right"/>
              <w:rPr>
                <w:rFonts w:ascii="Arial Narrow" w:hAnsi="Arial Narrow" w:cs="Arial Narrow"/>
                <w:color w:val="000000"/>
                <w:sz w:val="21"/>
                <w:szCs w:val="21"/>
              </w:rPr>
            </w:pPr>
          </w:p>
        </w:tc>
      </w:tr>
      <w:tr w14:paraId="2EC60180">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05FD">
            <w:pPr>
              <w:textAlignment w:val="center"/>
              <w:rPr>
                <w:color w:val="000000"/>
                <w:sz w:val="21"/>
                <w:szCs w:val="21"/>
              </w:rPr>
            </w:pPr>
            <w:r>
              <w:rPr>
                <w:rFonts w:hint="eastAsia"/>
                <w:color w:val="000000"/>
                <w:kern w:val="0"/>
                <w:sz w:val="21"/>
                <w:szCs w:val="21"/>
              </w:rPr>
              <w:t>永济市文物保护中心</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A64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56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7F0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42</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E820">
            <w:pPr>
              <w:jc w:val="right"/>
              <w:rPr>
                <w:rFonts w:ascii="Arial Narrow" w:hAnsi="Arial Narrow" w:cs="Arial Narrow"/>
                <w:color w:val="000000"/>
                <w:sz w:val="21"/>
                <w:szCs w:val="21"/>
              </w:rPr>
            </w:pPr>
            <w:r>
              <w:rPr>
                <w:rFonts w:hint="eastAsia" w:ascii="Arial Narrow" w:hAnsi="Arial Narrow" w:cs="Arial Narrow"/>
                <w:color w:val="000000"/>
                <w:sz w:val="21"/>
                <w:szCs w:val="21"/>
              </w:rPr>
              <w:t>3</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AC23">
            <w:pPr>
              <w:jc w:val="right"/>
              <w:rPr>
                <w:rFonts w:ascii="Arial Narrow" w:hAnsi="Arial Narrow" w:cs="Arial Narrow"/>
                <w:color w:val="000000"/>
                <w:sz w:val="21"/>
                <w:szCs w:val="21"/>
              </w:rPr>
            </w:pPr>
          </w:p>
        </w:tc>
      </w:tr>
      <w:tr w14:paraId="4E93515D">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565F">
            <w:pPr>
              <w:textAlignment w:val="center"/>
              <w:rPr>
                <w:color w:val="000000"/>
                <w:sz w:val="21"/>
                <w:szCs w:val="21"/>
              </w:rPr>
            </w:pPr>
            <w:r>
              <w:rPr>
                <w:rFonts w:hint="eastAsia"/>
                <w:color w:val="000000"/>
                <w:kern w:val="0"/>
                <w:sz w:val="21"/>
                <w:szCs w:val="21"/>
              </w:rPr>
              <w:t>永济市博物馆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7ED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25</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4CD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24</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201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10</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00E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w:t>
            </w:r>
          </w:p>
        </w:tc>
      </w:tr>
      <w:tr w14:paraId="71D2A69A">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6CCF">
            <w:pPr>
              <w:textAlignment w:val="center"/>
              <w:rPr>
                <w:color w:val="000000"/>
                <w:sz w:val="21"/>
                <w:szCs w:val="21"/>
              </w:rPr>
            </w:pPr>
            <w:r>
              <w:rPr>
                <w:rFonts w:hint="eastAsia"/>
                <w:color w:val="000000"/>
                <w:kern w:val="0"/>
                <w:sz w:val="21"/>
                <w:szCs w:val="21"/>
              </w:rPr>
              <w:t>永济市旅游服务中心</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6FA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10</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16B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18</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F2DE9">
            <w:pPr>
              <w:jc w:val="right"/>
              <w:rPr>
                <w:rFonts w:ascii="Arial Narrow" w:hAnsi="Arial Narrow" w:cs="Arial Narrow"/>
                <w:color w:val="000000"/>
                <w:sz w:val="21"/>
                <w:szCs w:val="21"/>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9D1B">
            <w:pPr>
              <w:jc w:val="right"/>
              <w:rPr>
                <w:rFonts w:ascii="Arial Narrow" w:hAnsi="Arial Narrow" w:cs="Arial Narrow"/>
                <w:color w:val="000000"/>
                <w:sz w:val="21"/>
                <w:szCs w:val="21"/>
              </w:rPr>
            </w:pPr>
          </w:p>
        </w:tc>
      </w:tr>
      <w:tr w14:paraId="7C514669">
        <w:tblPrEx>
          <w:tblCellMar>
            <w:top w:w="0" w:type="dxa"/>
            <w:left w:w="108" w:type="dxa"/>
            <w:bottom w:w="0" w:type="dxa"/>
            <w:right w:w="108" w:type="dxa"/>
          </w:tblCellMar>
        </w:tblPrEx>
        <w:trPr>
          <w:trHeight w:val="482" w:hRule="atLeast"/>
        </w:trPr>
        <w:tc>
          <w:tcPr>
            <w:tcW w:w="1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43F6">
            <w:pPr>
              <w:jc w:val="center"/>
              <w:textAlignment w:val="center"/>
              <w:rPr>
                <w:b/>
                <w:bCs/>
                <w:color w:val="000000"/>
                <w:sz w:val="21"/>
                <w:szCs w:val="21"/>
              </w:rPr>
            </w:pPr>
            <w:r>
              <w:rPr>
                <w:rFonts w:hint="eastAsia"/>
                <w:b/>
                <w:bCs/>
                <w:color w:val="000000"/>
                <w:kern w:val="0"/>
                <w:sz w:val="21"/>
                <w:szCs w:val="21"/>
              </w:rPr>
              <w:t>合计</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8EB4">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139</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DEDC">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165</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5FA5">
            <w:pPr>
              <w:jc w:val="right"/>
              <w:textAlignment w:val="center"/>
              <w:rPr>
                <w:rFonts w:ascii="Arial Narrow" w:hAnsi="Arial Narrow" w:cs="Arial Narrow"/>
                <w:b/>
                <w:bCs/>
                <w:color w:val="000000"/>
                <w:sz w:val="21"/>
                <w:szCs w:val="21"/>
              </w:rPr>
            </w:pPr>
            <w:r>
              <w:rPr>
                <w:rFonts w:hint="eastAsia" w:ascii="Arial Narrow" w:hAnsi="Arial Narrow" w:eastAsia="Arial Narrow" w:cs="Arial Narrow"/>
                <w:b/>
                <w:bCs/>
                <w:color w:val="000000"/>
                <w:kern w:val="0"/>
                <w:sz w:val="21"/>
                <w:szCs w:val="21"/>
              </w:rPr>
              <w:t>22</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24C8">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w:t>
            </w:r>
          </w:p>
        </w:tc>
      </w:tr>
    </w:tbl>
    <w:p w14:paraId="0D1EAC4B">
      <w:pPr>
        <w:snapToGrid w:val="0"/>
        <w:spacing w:line="560" w:lineRule="exact"/>
        <w:ind w:firstLine="562" w:firstLineChars="200"/>
        <w:jc w:val="left"/>
        <w:rPr>
          <w:b/>
          <w:bCs/>
          <w:color w:val="000000"/>
          <w:kern w:val="0"/>
          <w:shd w:val="clear" w:color="auto" w:fill="FFFFFF"/>
        </w:rPr>
      </w:pPr>
      <w:bookmarkStart w:id="47" w:name="_Toc11920"/>
      <w:bookmarkStart w:id="48" w:name="_Toc14039"/>
      <w:bookmarkStart w:id="49" w:name="_Toc17497"/>
      <w:bookmarkStart w:id="50" w:name="_Toc13985"/>
      <w:bookmarkStart w:id="51" w:name="_Toc303"/>
      <w:bookmarkStart w:id="52" w:name="_Toc11575"/>
      <w:bookmarkStart w:id="53" w:name="_Toc7956"/>
      <w:bookmarkStart w:id="54" w:name="_Toc29234"/>
      <w:bookmarkStart w:id="55" w:name="_Toc7134"/>
      <w:bookmarkStart w:id="56" w:name="_Toc29427"/>
      <w:bookmarkStart w:id="57" w:name="_Toc27541"/>
      <w:r>
        <w:rPr>
          <w:rFonts w:hint="eastAsia"/>
          <w:b/>
          <w:bCs/>
          <w:color w:val="000000"/>
          <w:kern w:val="0"/>
          <w:shd w:val="clear" w:color="auto" w:fill="FFFFFF"/>
        </w:rPr>
        <w:t>（二）</w:t>
      </w:r>
      <w:bookmarkEnd w:id="47"/>
      <w:r>
        <w:rPr>
          <w:rFonts w:hint="eastAsia"/>
          <w:b/>
          <w:bCs/>
          <w:color w:val="000000"/>
          <w:kern w:val="0"/>
          <w:shd w:val="clear" w:color="auto" w:fill="FFFFFF"/>
        </w:rPr>
        <w:t>部门预算收支及结转结余情况</w:t>
      </w:r>
      <w:bookmarkEnd w:id="48"/>
    </w:p>
    <w:p w14:paraId="3E60345F">
      <w:pPr>
        <w:pStyle w:val="8"/>
        <w:widowControl w:val="0"/>
        <w:ind w:firstLine="562"/>
        <w:rPr>
          <w:rFonts w:ascii="仿宋" w:hAnsi="仿宋"/>
          <w:b/>
          <w:kern w:val="0"/>
          <w:shd w:val="clear" w:color="auto" w:fill="FFFFFF"/>
        </w:rPr>
      </w:pPr>
      <w:r>
        <w:rPr>
          <w:rFonts w:hint="eastAsia" w:ascii="仿宋" w:hAnsi="仿宋"/>
          <w:b/>
          <w:kern w:val="0"/>
          <w:shd w:val="clear" w:color="auto" w:fill="FFFFFF"/>
        </w:rPr>
        <w:t>1.预算收入情况</w:t>
      </w:r>
    </w:p>
    <w:p w14:paraId="29C2E03E">
      <w:pPr>
        <w:pStyle w:val="8"/>
        <w:widowControl w:val="0"/>
        <w:snapToGrid/>
        <w:ind w:firstLine="560"/>
        <w:outlineLvl w:val="2"/>
        <w:rPr>
          <w:rFonts w:ascii="仿宋" w:hAnsi="仿宋"/>
          <w:bCs/>
          <w:kern w:val="0"/>
          <w:shd w:val="clear" w:color="auto" w:fill="FFFFFF"/>
        </w:rPr>
      </w:pPr>
      <w:r>
        <w:rPr>
          <w:rFonts w:hint="eastAsia" w:ascii="仿宋" w:hAnsi="仿宋"/>
          <w:bCs/>
          <w:kern w:val="0"/>
          <w:shd w:val="clear" w:color="auto" w:fill="FFFFFF"/>
        </w:rPr>
        <w:t>2023年度永济市文旅局预算批复共计8,234.91万元，其中：年初预算3,225.64万元，追加预算5,009.27万元。另外上年末结转至本年度资金52.54万元，本年度收入共计8,287.45万元。</w:t>
      </w:r>
    </w:p>
    <w:p w14:paraId="19C38A89">
      <w:pPr>
        <w:pStyle w:val="8"/>
        <w:widowControl w:val="0"/>
        <w:snapToGrid/>
        <w:ind w:firstLine="562"/>
        <w:outlineLvl w:val="2"/>
        <w:rPr>
          <w:rFonts w:ascii="仿宋" w:hAnsi="仿宋"/>
          <w:b/>
          <w:kern w:val="0"/>
          <w:shd w:val="clear" w:color="auto" w:fill="FFFFFF"/>
        </w:rPr>
      </w:pPr>
      <w:r>
        <w:rPr>
          <w:rFonts w:hint="eastAsia" w:ascii="仿宋" w:hAnsi="仿宋"/>
          <w:b/>
          <w:kern w:val="0"/>
          <w:shd w:val="clear" w:color="auto" w:fill="FFFFFF"/>
        </w:rPr>
        <w:t>2.预算支出及结转结余情况</w:t>
      </w:r>
    </w:p>
    <w:p w14:paraId="3104EAAD">
      <w:pPr>
        <w:pStyle w:val="8"/>
        <w:ind w:firstLine="560"/>
        <w:rPr>
          <w:rFonts w:ascii="仿宋"/>
          <w:b/>
          <w:bCs/>
          <w:sz w:val="24"/>
          <w:szCs w:val="24"/>
        </w:rPr>
      </w:pPr>
      <w:r>
        <w:rPr>
          <w:rFonts w:hint="eastAsia" w:ascii="仿宋" w:hAnsi="仿宋"/>
          <w:bCs/>
          <w:kern w:val="0"/>
          <w:shd w:val="clear" w:color="auto" w:fill="FFFFFF"/>
        </w:rPr>
        <w:t>2023年度永济市文旅局部门整体支出8,278.33万元，年末财政收回结余资金7.90万元，结转下年度资金1.22万元。</w:t>
      </w:r>
    </w:p>
    <w:p w14:paraId="3E2568C4">
      <w:pPr>
        <w:pStyle w:val="8"/>
        <w:ind w:firstLine="562"/>
        <w:rPr>
          <w:rFonts w:ascii="仿宋"/>
          <w:b/>
          <w:bCs/>
        </w:rPr>
      </w:pPr>
      <w:r>
        <w:rPr>
          <w:rFonts w:hint="eastAsia" w:ascii="仿宋"/>
          <w:b/>
          <w:bCs/>
        </w:rPr>
        <w:t>二、</w:t>
      </w:r>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bookmarkEnd w:id="57"/>
      <w:r>
        <w:rPr>
          <w:rFonts w:hint="eastAsia" w:ascii="仿宋"/>
          <w:b/>
          <w:bCs/>
        </w:rPr>
        <w:t>综合评价情况及评价结论</w:t>
      </w:r>
    </w:p>
    <w:p w14:paraId="6E794031">
      <w:pPr>
        <w:widowControl w:val="0"/>
        <w:adjustRightInd w:val="0"/>
        <w:snapToGrid w:val="0"/>
        <w:spacing w:line="560" w:lineRule="exact"/>
        <w:ind w:firstLine="562" w:firstLineChars="200"/>
        <w:rPr>
          <w:rFonts w:cs="Times New Roman"/>
          <w:b/>
          <w:bCs/>
        </w:rPr>
      </w:pPr>
      <w:bookmarkStart w:id="58" w:name="_Toc17812"/>
      <w:bookmarkStart w:id="59" w:name="_Toc6145_WPSOffice_Level1"/>
      <w:bookmarkStart w:id="60" w:name="_Toc20652_WPSOffice_Level1"/>
      <w:bookmarkStart w:id="61" w:name="_Toc7713_WPSOffice_Level1"/>
      <w:bookmarkStart w:id="62" w:name="_Toc8206_WPSOffice_Level1"/>
      <w:bookmarkStart w:id="63" w:name="_Toc168_WPSOffice_Level1"/>
      <w:bookmarkStart w:id="64" w:name="_Toc10604"/>
      <w:bookmarkStart w:id="65" w:name="_Toc23537"/>
      <w:r>
        <w:rPr>
          <w:rFonts w:hint="eastAsia" w:cs="Times New Roman"/>
          <w:b/>
          <w:bCs/>
        </w:rPr>
        <w:t>（一）综合评价情况</w:t>
      </w:r>
    </w:p>
    <w:p w14:paraId="02B9B569">
      <w:pPr>
        <w:widowControl w:val="0"/>
        <w:adjustRightInd w:val="0"/>
        <w:snapToGrid w:val="0"/>
        <w:spacing w:line="560" w:lineRule="exact"/>
        <w:ind w:firstLine="560" w:firstLineChars="200"/>
        <w:rPr>
          <w:rFonts w:cs="Times New Roman"/>
        </w:rPr>
      </w:pPr>
      <w:r>
        <w:rPr>
          <w:rFonts w:hint="eastAsia" w:cs="Times New Roman"/>
        </w:rPr>
        <w:t>通过实施数据采集、现场勘查及访谈等评价程序，根据《永济市文化和旅游局2023年度整体支出绩效评价实施方案》中设定的评价指标体系及评分标准，评价组对永济市文化和旅游局</w:t>
      </w:r>
      <w:r>
        <w:rPr>
          <w:rFonts w:cs="Times New Roman"/>
        </w:rPr>
        <w:t>202</w:t>
      </w:r>
      <w:r>
        <w:rPr>
          <w:rFonts w:hint="eastAsia" w:cs="Times New Roman"/>
        </w:rPr>
        <w:t>3</w:t>
      </w:r>
      <w:r>
        <w:rPr>
          <w:rFonts w:cs="Times New Roman"/>
        </w:rPr>
        <w:t>年整体支出绩效</w:t>
      </w:r>
      <w:r>
        <w:rPr>
          <w:rFonts w:hint="eastAsia" w:cs="Times New Roman"/>
        </w:rPr>
        <w:t>进行客观评价，最终评分结果总得分89.44分，评价等级为“良”。各项指标分值及得分情况见下表：</w:t>
      </w:r>
    </w:p>
    <w:tbl>
      <w:tblPr>
        <w:tblStyle w:val="24"/>
        <w:tblW w:w="4998" w:type="pct"/>
        <w:tblInd w:w="0" w:type="dxa"/>
        <w:tblLayout w:type="autofit"/>
        <w:tblCellMar>
          <w:top w:w="0" w:type="dxa"/>
          <w:left w:w="108" w:type="dxa"/>
          <w:bottom w:w="0" w:type="dxa"/>
          <w:right w:w="108" w:type="dxa"/>
        </w:tblCellMar>
      </w:tblPr>
      <w:tblGrid>
        <w:gridCol w:w="1452"/>
        <w:gridCol w:w="1452"/>
        <w:gridCol w:w="1452"/>
        <w:gridCol w:w="1452"/>
        <w:gridCol w:w="1452"/>
        <w:gridCol w:w="1457"/>
      </w:tblGrid>
      <w:tr w14:paraId="017610A2">
        <w:tblPrEx>
          <w:tblCellMar>
            <w:top w:w="0" w:type="dxa"/>
            <w:left w:w="108" w:type="dxa"/>
            <w:bottom w:w="0" w:type="dxa"/>
            <w:right w:w="108" w:type="dxa"/>
          </w:tblCellMar>
        </w:tblPrEx>
        <w:trPr>
          <w:trHeight w:val="510" w:hRule="atLeast"/>
          <w:tblHeader/>
        </w:trPr>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BA9C58C">
            <w:pPr>
              <w:jc w:val="center"/>
              <w:textAlignment w:val="center"/>
              <w:rPr>
                <w:b/>
                <w:bCs/>
                <w:color w:val="000000"/>
                <w:sz w:val="21"/>
                <w:szCs w:val="21"/>
              </w:rPr>
            </w:pPr>
            <w:bookmarkStart w:id="66" w:name="_Toc6165"/>
            <w:bookmarkStart w:id="67" w:name="_Toc12142"/>
            <w:bookmarkStart w:id="68" w:name="_Toc29290"/>
            <w:bookmarkStart w:id="69" w:name="_Toc28170"/>
            <w:bookmarkStart w:id="70" w:name="_Toc20332"/>
            <w:bookmarkStart w:id="71" w:name="_Toc14051"/>
            <w:bookmarkStart w:id="72" w:name="_Toc17850"/>
            <w:bookmarkStart w:id="73" w:name="_Toc4138"/>
            <w:bookmarkStart w:id="74" w:name="_Toc25052"/>
            <w:r>
              <w:rPr>
                <w:rFonts w:hint="eastAsia"/>
                <w:b/>
                <w:bCs/>
                <w:color w:val="000000"/>
                <w:spacing w:val="105"/>
                <w:kern w:val="0"/>
                <w:sz w:val="21"/>
                <w:szCs w:val="21"/>
                <w:fitText w:val="630" w:id="1518408745"/>
              </w:rPr>
              <w:t>指</w:t>
            </w:r>
            <w:r>
              <w:rPr>
                <w:rFonts w:hint="eastAsia"/>
                <w:b/>
                <w:bCs/>
                <w:color w:val="000000"/>
                <w:spacing w:val="0"/>
                <w:kern w:val="0"/>
                <w:sz w:val="21"/>
                <w:szCs w:val="21"/>
                <w:fitText w:val="630" w:id="1518408745"/>
              </w:rPr>
              <w:t>标</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CA94A64">
            <w:pPr>
              <w:jc w:val="center"/>
              <w:textAlignment w:val="center"/>
              <w:rPr>
                <w:b/>
                <w:bCs/>
                <w:color w:val="000000"/>
                <w:sz w:val="21"/>
                <w:szCs w:val="21"/>
              </w:rPr>
            </w:pPr>
            <w:r>
              <w:rPr>
                <w:rFonts w:hint="eastAsia"/>
                <w:b/>
                <w:bCs/>
                <w:color w:val="000000"/>
                <w:kern w:val="0"/>
                <w:sz w:val="21"/>
                <w:szCs w:val="21"/>
              </w:rPr>
              <w:t>部门决策</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99FA703">
            <w:pPr>
              <w:jc w:val="center"/>
              <w:textAlignment w:val="center"/>
              <w:rPr>
                <w:b/>
                <w:bCs/>
                <w:color w:val="000000"/>
                <w:sz w:val="21"/>
                <w:szCs w:val="21"/>
              </w:rPr>
            </w:pPr>
            <w:r>
              <w:rPr>
                <w:rFonts w:hint="eastAsia"/>
                <w:b/>
                <w:bCs/>
                <w:color w:val="000000"/>
                <w:sz w:val="21"/>
                <w:szCs w:val="21"/>
              </w:rPr>
              <w:t>部门管理</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F775D17">
            <w:pPr>
              <w:jc w:val="center"/>
              <w:textAlignment w:val="center"/>
              <w:rPr>
                <w:b/>
                <w:bCs/>
                <w:color w:val="000000"/>
                <w:sz w:val="21"/>
                <w:szCs w:val="21"/>
              </w:rPr>
            </w:pPr>
            <w:r>
              <w:rPr>
                <w:rFonts w:hint="eastAsia"/>
                <w:b/>
                <w:bCs/>
                <w:color w:val="000000"/>
                <w:sz w:val="21"/>
                <w:szCs w:val="21"/>
              </w:rPr>
              <w:t>部门产出</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ACEB4B5">
            <w:pPr>
              <w:jc w:val="center"/>
              <w:textAlignment w:val="center"/>
              <w:rPr>
                <w:b/>
                <w:bCs/>
                <w:color w:val="000000"/>
                <w:sz w:val="21"/>
                <w:szCs w:val="21"/>
              </w:rPr>
            </w:pPr>
            <w:r>
              <w:rPr>
                <w:rFonts w:hint="eastAsia"/>
                <w:b/>
                <w:bCs/>
                <w:color w:val="000000"/>
                <w:sz w:val="21"/>
                <w:szCs w:val="21"/>
              </w:rPr>
              <w:t>部门效果</w:t>
            </w:r>
          </w:p>
        </w:tc>
        <w:tc>
          <w:tcPr>
            <w:tcW w:w="83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46D1030">
            <w:pPr>
              <w:jc w:val="center"/>
              <w:textAlignment w:val="center"/>
              <w:rPr>
                <w:b/>
                <w:bCs/>
                <w:color w:val="000000"/>
                <w:sz w:val="21"/>
                <w:szCs w:val="21"/>
              </w:rPr>
            </w:pPr>
            <w:r>
              <w:rPr>
                <w:rFonts w:hint="eastAsia"/>
                <w:b/>
                <w:bCs/>
                <w:color w:val="000000"/>
                <w:spacing w:val="105"/>
                <w:kern w:val="0"/>
                <w:sz w:val="21"/>
                <w:szCs w:val="21"/>
                <w:fitText w:val="630" w:id="82773487"/>
              </w:rPr>
              <w:t>合</w:t>
            </w:r>
            <w:r>
              <w:rPr>
                <w:rFonts w:hint="eastAsia"/>
                <w:b/>
                <w:bCs/>
                <w:color w:val="000000"/>
                <w:spacing w:val="0"/>
                <w:kern w:val="0"/>
                <w:sz w:val="21"/>
                <w:szCs w:val="21"/>
                <w:fitText w:val="630" w:id="82773487"/>
              </w:rPr>
              <w:t>计</w:t>
            </w:r>
          </w:p>
        </w:tc>
      </w:tr>
      <w:tr w14:paraId="68F080B4">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7398">
            <w:pPr>
              <w:jc w:val="center"/>
              <w:textAlignment w:val="center"/>
              <w:rPr>
                <w:color w:val="000000"/>
                <w:sz w:val="21"/>
                <w:szCs w:val="21"/>
              </w:rPr>
            </w:pPr>
            <w:r>
              <w:rPr>
                <w:rFonts w:hint="eastAsia"/>
                <w:color w:val="000000"/>
                <w:spacing w:val="105"/>
                <w:kern w:val="0"/>
                <w:sz w:val="21"/>
                <w:szCs w:val="21"/>
                <w:fitText w:val="630" w:id="46222850"/>
              </w:rPr>
              <w:t>分</w:t>
            </w:r>
            <w:r>
              <w:rPr>
                <w:rFonts w:hint="eastAsia"/>
                <w:color w:val="000000"/>
                <w:spacing w:val="0"/>
                <w:kern w:val="0"/>
                <w:sz w:val="21"/>
                <w:szCs w:val="21"/>
                <w:fitText w:val="630" w:id="46222850"/>
              </w:rPr>
              <w:t>值</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52177">
            <w:pPr>
              <w:jc w:val="center"/>
              <w:textAlignment w:val="center"/>
              <w:rPr>
                <w:color w:val="000000"/>
                <w:sz w:val="21"/>
                <w:szCs w:val="21"/>
              </w:rPr>
            </w:pPr>
            <w:r>
              <w:rPr>
                <w:rFonts w:hint="eastAsia"/>
                <w:color w:val="000000"/>
                <w:kern w:val="0"/>
                <w:sz w:val="21"/>
                <w:szCs w:val="21"/>
              </w:rPr>
              <w:t xml:space="preserve"> 10.00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D291">
            <w:pPr>
              <w:jc w:val="center"/>
              <w:textAlignment w:val="center"/>
              <w:rPr>
                <w:color w:val="000000"/>
                <w:sz w:val="21"/>
                <w:szCs w:val="21"/>
              </w:rPr>
            </w:pPr>
            <w:r>
              <w:rPr>
                <w:rFonts w:hint="eastAsia"/>
                <w:color w:val="000000"/>
                <w:kern w:val="0"/>
                <w:sz w:val="21"/>
                <w:szCs w:val="21"/>
              </w:rPr>
              <w:t xml:space="preserve"> 40.00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0372">
            <w:pPr>
              <w:jc w:val="center"/>
              <w:textAlignment w:val="center"/>
              <w:rPr>
                <w:color w:val="000000"/>
                <w:sz w:val="21"/>
                <w:szCs w:val="21"/>
              </w:rPr>
            </w:pPr>
            <w:r>
              <w:rPr>
                <w:rFonts w:hint="eastAsia"/>
                <w:color w:val="000000"/>
                <w:kern w:val="0"/>
                <w:sz w:val="21"/>
                <w:szCs w:val="21"/>
              </w:rPr>
              <w:t xml:space="preserve"> 30.00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DA62">
            <w:pPr>
              <w:jc w:val="center"/>
              <w:textAlignment w:val="center"/>
              <w:rPr>
                <w:color w:val="000000"/>
                <w:sz w:val="21"/>
                <w:szCs w:val="21"/>
              </w:rPr>
            </w:pPr>
            <w:r>
              <w:rPr>
                <w:rFonts w:hint="eastAsia"/>
                <w:color w:val="000000"/>
                <w:kern w:val="0"/>
                <w:sz w:val="21"/>
                <w:szCs w:val="21"/>
              </w:rPr>
              <w:t xml:space="preserve"> 20.00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738B">
            <w:pPr>
              <w:jc w:val="center"/>
              <w:textAlignment w:val="center"/>
              <w:rPr>
                <w:color w:val="000000"/>
                <w:sz w:val="21"/>
                <w:szCs w:val="21"/>
              </w:rPr>
            </w:pPr>
            <w:r>
              <w:rPr>
                <w:rFonts w:hint="eastAsia"/>
                <w:color w:val="000000"/>
                <w:kern w:val="0"/>
                <w:sz w:val="21"/>
                <w:szCs w:val="21"/>
              </w:rPr>
              <w:t xml:space="preserve"> 100.00 </w:t>
            </w:r>
          </w:p>
        </w:tc>
      </w:tr>
      <w:tr w14:paraId="28402C06">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B593">
            <w:pPr>
              <w:jc w:val="center"/>
              <w:textAlignment w:val="center"/>
              <w:rPr>
                <w:color w:val="000000"/>
                <w:sz w:val="21"/>
                <w:szCs w:val="21"/>
              </w:rPr>
            </w:pPr>
            <w:r>
              <w:rPr>
                <w:rFonts w:hint="eastAsia"/>
                <w:color w:val="000000"/>
                <w:spacing w:val="105"/>
                <w:kern w:val="0"/>
                <w:sz w:val="21"/>
                <w:szCs w:val="21"/>
                <w:fitText w:val="630" w:id="591089166"/>
              </w:rPr>
              <w:t>得</w:t>
            </w:r>
            <w:r>
              <w:rPr>
                <w:rFonts w:hint="eastAsia"/>
                <w:color w:val="000000"/>
                <w:spacing w:val="0"/>
                <w:kern w:val="0"/>
                <w:sz w:val="21"/>
                <w:szCs w:val="21"/>
                <w:fitText w:val="630" w:id="591089166"/>
              </w:rPr>
              <w:t>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0792">
            <w:pPr>
              <w:jc w:val="center"/>
              <w:textAlignment w:val="center"/>
              <w:rPr>
                <w:color w:val="000000"/>
                <w:sz w:val="21"/>
                <w:szCs w:val="21"/>
              </w:rPr>
            </w:pPr>
            <w:r>
              <w:rPr>
                <w:rFonts w:hint="eastAsia"/>
                <w:color w:val="000000"/>
                <w:kern w:val="0"/>
                <w:sz w:val="21"/>
                <w:szCs w:val="21"/>
              </w:rPr>
              <w:t xml:space="preserve"> 10.00 </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DA8F4">
            <w:pPr>
              <w:jc w:val="center"/>
              <w:textAlignment w:val="center"/>
              <w:rPr>
                <w:color w:val="000000"/>
                <w:sz w:val="21"/>
                <w:szCs w:val="21"/>
              </w:rPr>
            </w:pPr>
            <w:r>
              <w:rPr>
                <w:rFonts w:hint="eastAsia"/>
                <w:color w:val="000000"/>
                <w:kern w:val="0"/>
                <w:sz w:val="21"/>
                <w:szCs w:val="21"/>
              </w:rPr>
              <w:t xml:space="preserve"> 34.21</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9E6B">
            <w:pPr>
              <w:jc w:val="center"/>
              <w:textAlignment w:val="center"/>
              <w:rPr>
                <w:color w:val="000000"/>
                <w:sz w:val="21"/>
                <w:szCs w:val="21"/>
              </w:rPr>
            </w:pPr>
            <w:r>
              <w:rPr>
                <w:rFonts w:hint="eastAsia"/>
                <w:color w:val="000000"/>
                <w:kern w:val="0"/>
                <w:sz w:val="21"/>
                <w:szCs w:val="21"/>
              </w:rPr>
              <w:t xml:space="preserve"> 26.00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1D15">
            <w:pPr>
              <w:jc w:val="center"/>
              <w:textAlignment w:val="center"/>
              <w:rPr>
                <w:color w:val="000000"/>
                <w:sz w:val="21"/>
                <w:szCs w:val="21"/>
              </w:rPr>
            </w:pPr>
            <w:r>
              <w:rPr>
                <w:rFonts w:hint="eastAsia"/>
                <w:color w:val="000000"/>
                <w:kern w:val="0"/>
                <w:sz w:val="21"/>
                <w:szCs w:val="21"/>
              </w:rPr>
              <w:t xml:space="preserve"> 19.23 </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7B12">
            <w:pPr>
              <w:jc w:val="center"/>
              <w:textAlignment w:val="center"/>
              <w:rPr>
                <w:color w:val="000000"/>
                <w:sz w:val="21"/>
                <w:szCs w:val="21"/>
              </w:rPr>
            </w:pPr>
            <w:r>
              <w:rPr>
                <w:rFonts w:hint="eastAsia"/>
                <w:color w:val="000000"/>
                <w:kern w:val="0"/>
                <w:sz w:val="21"/>
                <w:szCs w:val="21"/>
              </w:rPr>
              <w:t xml:space="preserve"> 89.44 </w:t>
            </w:r>
          </w:p>
        </w:tc>
      </w:tr>
      <w:tr w14:paraId="58EFAF3F">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2357">
            <w:pPr>
              <w:jc w:val="center"/>
              <w:textAlignment w:val="center"/>
              <w:rPr>
                <w:color w:val="000000"/>
                <w:sz w:val="21"/>
                <w:szCs w:val="21"/>
              </w:rPr>
            </w:pPr>
            <w:r>
              <w:rPr>
                <w:rFonts w:hint="eastAsia"/>
                <w:color w:val="000000"/>
                <w:kern w:val="0"/>
                <w:sz w:val="21"/>
                <w:szCs w:val="21"/>
              </w:rPr>
              <w:t>得分率</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F0C0">
            <w:pPr>
              <w:jc w:val="center"/>
              <w:textAlignment w:val="center"/>
              <w:rPr>
                <w:color w:val="000000"/>
                <w:sz w:val="21"/>
                <w:szCs w:val="21"/>
              </w:rPr>
            </w:pPr>
            <w:r>
              <w:rPr>
                <w:rFonts w:hint="eastAsia"/>
                <w:color w:val="000000"/>
                <w:kern w:val="0"/>
                <w:sz w:val="21"/>
                <w:szCs w:val="21"/>
              </w:rPr>
              <w:t>100.00%</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C41D">
            <w:pPr>
              <w:jc w:val="center"/>
              <w:textAlignment w:val="center"/>
              <w:rPr>
                <w:color w:val="000000"/>
                <w:sz w:val="21"/>
                <w:szCs w:val="21"/>
              </w:rPr>
            </w:pPr>
            <w:r>
              <w:rPr>
                <w:rFonts w:hint="eastAsia"/>
                <w:color w:val="000000"/>
                <w:kern w:val="0"/>
                <w:sz w:val="21"/>
                <w:szCs w:val="21"/>
              </w:rPr>
              <w:t>85.53%</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699A">
            <w:pPr>
              <w:jc w:val="center"/>
              <w:textAlignment w:val="center"/>
              <w:rPr>
                <w:color w:val="000000"/>
                <w:sz w:val="21"/>
                <w:szCs w:val="21"/>
              </w:rPr>
            </w:pPr>
            <w:r>
              <w:rPr>
                <w:rFonts w:hint="eastAsia"/>
                <w:color w:val="000000"/>
                <w:kern w:val="0"/>
                <w:sz w:val="21"/>
                <w:szCs w:val="21"/>
              </w:rPr>
              <w:t>86.67%</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68CD">
            <w:pPr>
              <w:jc w:val="center"/>
              <w:textAlignment w:val="center"/>
              <w:rPr>
                <w:color w:val="000000"/>
                <w:sz w:val="21"/>
                <w:szCs w:val="21"/>
              </w:rPr>
            </w:pPr>
            <w:r>
              <w:rPr>
                <w:rFonts w:hint="eastAsia"/>
                <w:color w:val="000000"/>
                <w:kern w:val="0"/>
                <w:sz w:val="21"/>
                <w:szCs w:val="21"/>
              </w:rPr>
              <w:t>96.15%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55203">
            <w:pPr>
              <w:jc w:val="center"/>
              <w:textAlignment w:val="center"/>
              <w:rPr>
                <w:color w:val="000000"/>
                <w:sz w:val="21"/>
                <w:szCs w:val="21"/>
              </w:rPr>
            </w:pPr>
            <w:r>
              <w:rPr>
                <w:rFonts w:hint="eastAsia"/>
                <w:color w:val="000000"/>
                <w:kern w:val="0"/>
                <w:sz w:val="21"/>
                <w:szCs w:val="21"/>
              </w:rPr>
              <w:t>89.44%</w:t>
            </w:r>
          </w:p>
        </w:tc>
      </w:tr>
    </w:tbl>
    <w:p w14:paraId="2317600D">
      <w:pPr>
        <w:widowControl w:val="0"/>
        <w:spacing w:line="560" w:lineRule="exact"/>
        <w:ind w:firstLine="562" w:firstLineChars="200"/>
        <w:rPr>
          <w:b/>
          <w:bCs/>
        </w:rPr>
      </w:pPr>
      <w:r>
        <w:rPr>
          <w:rFonts w:hint="eastAsia"/>
          <w:b/>
          <w:bCs/>
        </w:rPr>
        <w:t>（二）评价结论</w:t>
      </w:r>
    </w:p>
    <w:p w14:paraId="60C22E98">
      <w:pPr>
        <w:widowControl w:val="0"/>
        <w:spacing w:line="560" w:lineRule="exact"/>
        <w:ind w:firstLine="560" w:firstLineChars="200"/>
      </w:pPr>
      <w:r>
        <w:rPr>
          <w:rFonts w:hint="eastAsia"/>
        </w:rPr>
        <w:t>经过对永济市文化和旅游局2023年度整体支出从部门决策、管理效率、社会效应和可持续性方面进行综合评价，得出以下结论：</w:t>
      </w:r>
    </w:p>
    <w:p w14:paraId="5C57DDFA">
      <w:pPr>
        <w:widowControl w:val="0"/>
        <w:spacing w:line="560" w:lineRule="exact"/>
        <w:ind w:firstLine="560" w:firstLineChars="200"/>
      </w:pPr>
      <w:r>
        <w:rPr>
          <w:rFonts w:hint="eastAsia"/>
        </w:rPr>
        <w:t>1.部门决策。目标设定方面，绩效目标合理，</w:t>
      </w:r>
      <w:r>
        <w:rPr>
          <w:rFonts w:hint="eastAsia"/>
          <w:bCs/>
        </w:rPr>
        <w:t>部门整体支出绩效目标申报表和项目支出绩效目标申报表均将绩效目标细化分解为具体的绩效指标，制定的绩效指标清晰、可衡量</w:t>
      </w:r>
      <w:r>
        <w:rPr>
          <w:rFonts w:hint="eastAsia"/>
        </w:rPr>
        <w:t>；预算配置方面，</w:t>
      </w:r>
      <w:r>
        <w:rPr>
          <w:rFonts w:hint="eastAsia"/>
          <w:bCs/>
        </w:rPr>
        <w:t>除图书馆人员经费和公用经费预算金额录入颠倒除外，基本支出真实、准确；项目支出按照项目分类细化为具体的项目</w:t>
      </w:r>
      <w:r>
        <w:rPr>
          <w:rFonts w:hint="eastAsia"/>
        </w:rPr>
        <w:t>，预算配置合理。</w:t>
      </w:r>
    </w:p>
    <w:p w14:paraId="2413304F">
      <w:pPr>
        <w:pStyle w:val="8"/>
        <w:widowControl w:val="0"/>
        <w:autoSpaceDE w:val="0"/>
        <w:snapToGrid/>
        <w:spacing w:line="600" w:lineRule="exact"/>
        <w:ind w:firstLine="560"/>
      </w:pPr>
      <w:r>
        <w:rPr>
          <w:rFonts w:hint="eastAsia" w:ascii="仿宋" w:hAnsi="仿宋"/>
        </w:rPr>
        <w:t>2.</w:t>
      </w:r>
      <w:r>
        <w:rPr>
          <w:rFonts w:hint="eastAsia"/>
        </w:rPr>
        <w:t>部门管理。预算管理方面</w:t>
      </w:r>
      <w:r>
        <w:rPr>
          <w:rFonts w:hint="eastAsia" w:ascii="仿宋" w:hAnsi="仿宋"/>
        </w:rPr>
        <w:t>，</w:t>
      </w:r>
      <w:r>
        <w:rPr>
          <w:rFonts w:hint="eastAsia"/>
        </w:rPr>
        <w:t>本年度的预算执行方面较好；收支管理方面，存在实有资金户取得的收入未及时上缴财政、未按预算用途列支、财务核算不规范、审批程序不规范的情况；资产管理方面，</w:t>
      </w:r>
      <w:r>
        <w:rPr>
          <w:rFonts w:hint="eastAsia" w:ascii="仿宋" w:hAnsi="仿宋"/>
          <w:kern w:val="0"/>
        </w:rPr>
        <w:t>未能做到每年对固定资产进行一次全面清查盘点；</w:t>
      </w:r>
      <w:r>
        <w:rPr>
          <w:rFonts w:hint="eastAsia"/>
        </w:rPr>
        <w:t>政府采购管理方面，存在个别印刷费未执行政府采购程序。</w:t>
      </w:r>
    </w:p>
    <w:p w14:paraId="22843ACD">
      <w:pPr>
        <w:pStyle w:val="8"/>
        <w:snapToGrid/>
        <w:ind w:firstLine="560"/>
        <w:rPr>
          <w:rFonts w:ascii="仿宋" w:hAnsi="仿宋"/>
        </w:rPr>
      </w:pPr>
      <w:r>
        <w:rPr>
          <w:rFonts w:hint="eastAsia" w:ascii="仿宋" w:hAnsi="仿宋"/>
        </w:rPr>
        <w:t>3.部门产出。旅游工作、执法工作、党建工作均按目标任务完成，文化工作除送戏下乡、鹳雀楼停车场充电工程外其余均按目标任务完成，文物保护工作除</w:t>
      </w:r>
      <w:r>
        <w:rPr>
          <w:rFonts w:hint="eastAsia"/>
          <w:bCs/>
        </w:rPr>
        <w:t>李雪峰故居保护修缮工程</w:t>
      </w:r>
      <w:r>
        <w:rPr>
          <w:rFonts w:hint="eastAsia" w:ascii="仿宋" w:hAnsi="仿宋"/>
        </w:rPr>
        <w:t>外其余均按目标任务完成；产出质量方面，已验收的项目验收结果均为合格，文保中心目标责任</w:t>
      </w:r>
      <w:r>
        <w:rPr>
          <w:rFonts w:hint="eastAsia"/>
        </w:rPr>
        <w:t>考核结果为一般，需要提交整改方案；运行成本控制方面，公用经费、三公经费、人员经费控制率较好。</w:t>
      </w:r>
    </w:p>
    <w:p w14:paraId="555CC2CD">
      <w:pPr>
        <w:widowControl w:val="0"/>
        <w:spacing w:line="560" w:lineRule="exact"/>
        <w:ind w:firstLine="560" w:firstLineChars="200"/>
        <w:rPr>
          <w:b/>
          <w:bCs/>
          <w:highlight w:val="yellow"/>
        </w:rPr>
      </w:pPr>
      <w:r>
        <w:rPr>
          <w:rFonts w:hint="eastAsia"/>
        </w:rPr>
        <w:t>4.部门效果。经济效益方面，2023年永济市旅游景区接待游客人次较2022年同比增长247.19%，门票收入同比增长240.97%，经营收入同比增长103.83%；社会效益方面，对提升永济形象和知名度、丰富群众文化生活、文化传承与保护方面起到了积极的作用；干部队伍配备方面，2023年干部考核结果均合格，需要加强干部培训。满意度方面，游客和在职人员的满意度较高。</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14:paraId="0DC8795B">
      <w:pPr>
        <w:pStyle w:val="8"/>
        <w:numPr>
          <w:ilvl w:val="0"/>
          <w:numId w:val="1"/>
        </w:numPr>
        <w:snapToGrid/>
        <w:ind w:firstLine="562"/>
        <w:rPr>
          <w:rFonts w:ascii="仿宋"/>
          <w:b/>
          <w:bCs/>
        </w:rPr>
      </w:pPr>
      <w:bookmarkStart w:id="75" w:name="_Toc30210"/>
      <w:bookmarkStart w:id="76" w:name="_Toc11576"/>
      <w:bookmarkStart w:id="77" w:name="_Toc10585"/>
      <w:bookmarkStart w:id="78" w:name="_Toc9885"/>
      <w:bookmarkStart w:id="79" w:name="_Toc29198"/>
      <w:bookmarkStart w:id="80" w:name="_Toc9941_WPSOffice_Level1"/>
      <w:bookmarkStart w:id="81" w:name="_Toc14712"/>
      <w:bookmarkStart w:id="82" w:name="_Toc30149"/>
      <w:bookmarkStart w:id="83" w:name="_Toc12351"/>
      <w:bookmarkStart w:id="84" w:name="_Toc31740_WPSOffice_Level1"/>
      <w:bookmarkStart w:id="85" w:name="_Toc1661"/>
      <w:bookmarkStart w:id="86" w:name="_Toc11220"/>
      <w:bookmarkStart w:id="87" w:name="_Toc32763_WPSOffice_Level1"/>
      <w:bookmarkStart w:id="88" w:name="_Toc4426"/>
      <w:bookmarkStart w:id="89" w:name="_Toc4960"/>
      <w:bookmarkStart w:id="90" w:name="_Toc8739_WPSOffice_Level1"/>
      <w:bookmarkStart w:id="91" w:name="_Toc14664_WPSOffice_Level1"/>
      <w:r>
        <w:rPr>
          <w:rFonts w:hint="eastAsia" w:ascii="仿宋"/>
          <w:b/>
          <w:bCs/>
        </w:rPr>
        <w:t>主要经验及做法</w:t>
      </w:r>
    </w:p>
    <w:p w14:paraId="13E197F9">
      <w:pPr>
        <w:pStyle w:val="8"/>
        <w:snapToGrid/>
        <w:ind w:firstLine="560"/>
        <w:rPr>
          <w:rFonts w:ascii="仿宋" w:hAnsi="仿宋"/>
        </w:rPr>
      </w:pPr>
      <w:r>
        <w:rPr>
          <w:rFonts w:hint="eastAsia" w:ascii="仿宋" w:hAnsi="仿宋"/>
        </w:rPr>
        <w:t>重大活动形式创新。全民阅读活动持续推进。创新打造了“书香永济·青苗成长计划”和“我爱诗词”两个全新品牌栏目，启动“共读一本书”读书分享活动目前三个栏目共开展70期，开展25次流动图书车服务、建设19个馆外流通图书馆和采购历史文献工作；开展“红娘牵秦晋 醉梦西厢情”第25届爱情文化节活动，包括内容发布仪式、爱情文化节开幕式、秦晋之好红歌会和红娘文化交流研讨会等四个阶段，通过举办爱情文化节，传承了西厢文化、红娘文化，塑造了永济市爱情圣地的旅游品牌，提升了永济市知名度。</w:t>
      </w:r>
    </w:p>
    <w:p w14:paraId="2339F903">
      <w:pPr>
        <w:pStyle w:val="8"/>
        <w:snapToGrid/>
        <w:ind w:firstLine="562"/>
        <w:rPr>
          <w:rFonts w:ascii="仿宋"/>
          <w:b/>
          <w:bCs/>
        </w:rPr>
      </w:pPr>
      <w:r>
        <w:rPr>
          <w:rFonts w:hint="eastAsia" w:ascii="仿宋" w:hAnsi="仿宋"/>
          <w:b/>
          <w:bCs/>
        </w:rPr>
        <w:t>四、</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ascii="仿宋" w:hAnsi="仿宋"/>
          <w:b/>
          <w:bCs/>
        </w:rPr>
        <w:t>存在的</w:t>
      </w:r>
      <w:r>
        <w:rPr>
          <w:rFonts w:hint="eastAsia" w:ascii="仿宋"/>
          <w:b/>
          <w:bCs/>
        </w:rPr>
        <w:t>主要</w:t>
      </w:r>
      <w:r>
        <w:rPr>
          <w:rFonts w:hint="eastAsia" w:ascii="仿宋" w:hAnsi="仿宋"/>
          <w:b/>
          <w:bCs/>
        </w:rPr>
        <w:t>问题</w:t>
      </w:r>
    </w:p>
    <w:p w14:paraId="68729C9D">
      <w:pPr>
        <w:widowControl w:val="0"/>
        <w:spacing w:line="600" w:lineRule="exact"/>
        <w:ind w:firstLine="562" w:firstLineChars="200"/>
        <w:outlineLvl w:val="5"/>
        <w:rPr>
          <w:rFonts w:hAnsiTheme="minorHAnsi"/>
          <w:b/>
        </w:rPr>
      </w:pPr>
      <w:r>
        <w:rPr>
          <w:rFonts w:hint="eastAsia" w:hAnsiTheme="minorHAnsi"/>
          <w:b/>
        </w:rPr>
        <w:t>（一）实有资金户取得的收入未及时上缴财政</w:t>
      </w:r>
    </w:p>
    <w:p w14:paraId="46AD2F4C">
      <w:pPr>
        <w:widowControl w:val="0"/>
        <w:spacing w:line="600" w:lineRule="exact"/>
        <w:ind w:firstLine="560" w:firstLineChars="200"/>
        <w:rPr>
          <w:rFonts w:hAnsiTheme="minorHAnsi"/>
          <w:bCs/>
        </w:rPr>
      </w:pPr>
      <w:r>
        <w:rPr>
          <w:rFonts w:hint="eastAsia" w:hAnsiTheme="minorHAnsi"/>
          <w:bCs/>
        </w:rPr>
        <w:t>文保中心2023年收扁鹊庙管理费7,000.00元，2023年末及时上交国库，仍在“应缴国库”挂账，违反了《行政单位财务规则》第七章负债管理“行政单位取得罚没收入、行政事业性收费收入、政府性基金收入、国有资源（资产）有偿使用收入等，应当按照国库集中收缴的有关规定及时足额上缴，不得隐瞒、滞留、截留、占用、挪用、拖欠或者坐支。”的规定。</w:t>
      </w:r>
    </w:p>
    <w:p w14:paraId="303ABB8B">
      <w:pPr>
        <w:pStyle w:val="8"/>
        <w:widowControl w:val="0"/>
        <w:snapToGrid/>
        <w:ind w:firstLine="562"/>
        <w:rPr>
          <w:rFonts w:ascii="仿宋"/>
          <w:b/>
        </w:rPr>
      </w:pPr>
      <w:r>
        <w:rPr>
          <w:rFonts w:hint="eastAsia" w:ascii="仿宋"/>
          <w:b/>
        </w:rPr>
        <w:t>（二）未按预算用途列支</w:t>
      </w:r>
    </w:p>
    <w:p w14:paraId="4C195402">
      <w:pPr>
        <w:pStyle w:val="7"/>
        <w:ind w:firstLine="560" w:firstLineChars="200"/>
      </w:pPr>
      <w:r>
        <w:rPr>
          <w:rFonts w:hint="eastAsia"/>
        </w:rPr>
        <w:t>部分资金未严格按照预算用途列支，涉及金额5.83万元，详见下表。</w:t>
      </w:r>
    </w:p>
    <w:tbl>
      <w:tblPr>
        <w:tblStyle w:val="24"/>
        <w:tblW w:w="4933" w:type="pct"/>
        <w:tblInd w:w="0" w:type="dxa"/>
        <w:tblLayout w:type="fixed"/>
        <w:tblCellMar>
          <w:top w:w="0" w:type="dxa"/>
          <w:left w:w="108" w:type="dxa"/>
          <w:bottom w:w="0" w:type="dxa"/>
          <w:right w:w="108" w:type="dxa"/>
        </w:tblCellMar>
      </w:tblPr>
      <w:tblGrid>
        <w:gridCol w:w="1118"/>
        <w:gridCol w:w="1351"/>
        <w:gridCol w:w="2287"/>
        <w:gridCol w:w="1860"/>
        <w:gridCol w:w="1987"/>
      </w:tblGrid>
      <w:tr w14:paraId="396776FC">
        <w:tblPrEx>
          <w:tblCellMar>
            <w:top w:w="0" w:type="dxa"/>
            <w:left w:w="108" w:type="dxa"/>
            <w:bottom w:w="0" w:type="dxa"/>
            <w:right w:w="108" w:type="dxa"/>
          </w:tblCellMar>
        </w:tblPrEx>
        <w:trPr>
          <w:trHeight w:val="442" w:hRule="atLeast"/>
          <w:tblHeader/>
        </w:trPr>
        <w:tc>
          <w:tcPr>
            <w:tcW w:w="64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182FD6B">
            <w:pPr>
              <w:jc w:val="center"/>
              <w:textAlignment w:val="center"/>
              <w:rPr>
                <w:b/>
                <w:bCs/>
                <w:color w:val="000000"/>
                <w:sz w:val="21"/>
                <w:szCs w:val="21"/>
              </w:rPr>
            </w:pPr>
            <w:r>
              <w:rPr>
                <w:rFonts w:hint="eastAsia"/>
                <w:b/>
                <w:bCs/>
                <w:color w:val="000000"/>
                <w:sz w:val="21"/>
                <w:szCs w:val="21"/>
              </w:rPr>
              <w:t>部门</w:t>
            </w:r>
          </w:p>
        </w:tc>
        <w:tc>
          <w:tcPr>
            <w:tcW w:w="78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3967C14">
            <w:pPr>
              <w:jc w:val="center"/>
              <w:textAlignment w:val="center"/>
              <w:rPr>
                <w:b/>
                <w:bCs/>
                <w:color w:val="000000"/>
                <w:sz w:val="21"/>
                <w:szCs w:val="21"/>
              </w:rPr>
            </w:pPr>
            <w:r>
              <w:rPr>
                <w:rFonts w:hint="eastAsia"/>
                <w:b/>
                <w:bCs/>
                <w:color w:val="000000"/>
                <w:sz w:val="21"/>
                <w:szCs w:val="21"/>
              </w:rPr>
              <w:t>凭证号</w:t>
            </w:r>
          </w:p>
        </w:tc>
        <w:tc>
          <w:tcPr>
            <w:tcW w:w="132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31083C0">
            <w:pPr>
              <w:jc w:val="center"/>
              <w:textAlignment w:val="center"/>
              <w:rPr>
                <w:b/>
                <w:bCs/>
                <w:color w:val="000000"/>
                <w:sz w:val="21"/>
                <w:szCs w:val="21"/>
              </w:rPr>
            </w:pPr>
            <w:r>
              <w:rPr>
                <w:rFonts w:hint="eastAsia"/>
                <w:b/>
                <w:bCs/>
                <w:color w:val="000000"/>
                <w:sz w:val="21"/>
                <w:szCs w:val="21"/>
              </w:rPr>
              <w:t>摘要</w:t>
            </w:r>
          </w:p>
        </w:tc>
        <w:tc>
          <w:tcPr>
            <w:tcW w:w="108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5972591">
            <w:pPr>
              <w:jc w:val="center"/>
              <w:textAlignment w:val="center"/>
              <w:rPr>
                <w:b/>
                <w:bCs/>
                <w:color w:val="000000"/>
                <w:kern w:val="0"/>
                <w:sz w:val="21"/>
                <w:szCs w:val="21"/>
              </w:rPr>
            </w:pPr>
            <w:r>
              <w:rPr>
                <w:rFonts w:hint="eastAsia"/>
                <w:b/>
                <w:bCs/>
                <w:color w:val="000000"/>
                <w:kern w:val="0"/>
                <w:sz w:val="21"/>
                <w:szCs w:val="21"/>
              </w:rPr>
              <w:t>金额</w:t>
            </w:r>
          </w:p>
        </w:tc>
        <w:tc>
          <w:tcPr>
            <w:tcW w:w="115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81FB05B">
            <w:pPr>
              <w:jc w:val="center"/>
              <w:textAlignment w:val="center"/>
              <w:rPr>
                <w:b/>
                <w:bCs/>
                <w:color w:val="000000"/>
                <w:kern w:val="0"/>
                <w:sz w:val="21"/>
                <w:szCs w:val="21"/>
              </w:rPr>
            </w:pPr>
            <w:r>
              <w:rPr>
                <w:rFonts w:hint="eastAsia"/>
                <w:b/>
                <w:bCs/>
                <w:color w:val="000000"/>
                <w:kern w:val="0"/>
                <w:sz w:val="21"/>
                <w:szCs w:val="21"/>
              </w:rPr>
              <w:t>项目名称/部门科目名称</w:t>
            </w:r>
          </w:p>
        </w:tc>
      </w:tr>
      <w:tr w14:paraId="345D9951">
        <w:tblPrEx>
          <w:tblCellMar>
            <w:top w:w="0" w:type="dxa"/>
            <w:left w:w="108" w:type="dxa"/>
            <w:bottom w:w="0" w:type="dxa"/>
            <w:right w:w="108" w:type="dxa"/>
          </w:tblCellMar>
        </w:tblPrEx>
        <w:trPr>
          <w:trHeight w:val="58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27F1">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3759">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E71D">
            <w:pPr>
              <w:jc w:val="center"/>
              <w:textAlignment w:val="center"/>
              <w:rPr>
                <w:color w:val="000000"/>
                <w:sz w:val="21"/>
                <w:szCs w:val="21"/>
              </w:rPr>
            </w:pPr>
            <w:r>
              <w:rPr>
                <w:rFonts w:hint="eastAsia"/>
                <w:color w:val="000000"/>
                <w:kern w:val="0"/>
                <w:sz w:val="21"/>
                <w:szCs w:val="21"/>
              </w:rPr>
              <w:t>退休人员补贴</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ED58">
            <w:pPr>
              <w:jc w:val="right"/>
              <w:textAlignment w:val="center"/>
              <w:rPr>
                <w:color w:val="000000"/>
                <w:sz w:val="21"/>
                <w:szCs w:val="21"/>
              </w:rPr>
            </w:pPr>
            <w:r>
              <w:rPr>
                <w:rFonts w:hint="eastAsia"/>
                <w:color w:val="000000"/>
                <w:kern w:val="0"/>
                <w:sz w:val="21"/>
                <w:szCs w:val="21"/>
              </w:rPr>
              <w:t>25,944.00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E500">
            <w:pPr>
              <w:jc w:val="center"/>
              <w:textAlignment w:val="center"/>
              <w:rPr>
                <w:color w:val="000000"/>
                <w:sz w:val="21"/>
                <w:szCs w:val="21"/>
              </w:rPr>
            </w:pPr>
            <w:r>
              <w:rPr>
                <w:rFonts w:hint="eastAsia"/>
                <w:color w:val="000000"/>
                <w:kern w:val="0"/>
                <w:sz w:val="21"/>
                <w:szCs w:val="21"/>
              </w:rPr>
              <w:t>奖金</w:t>
            </w:r>
          </w:p>
        </w:tc>
      </w:tr>
      <w:tr w14:paraId="7415A631">
        <w:tblPrEx>
          <w:tblCellMar>
            <w:top w:w="0" w:type="dxa"/>
            <w:left w:w="108" w:type="dxa"/>
            <w:bottom w:w="0" w:type="dxa"/>
            <w:right w:w="108" w:type="dxa"/>
          </w:tblCellMar>
        </w:tblPrEx>
        <w:trPr>
          <w:trHeight w:val="56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EC79B">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0C5E">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73C8">
            <w:pPr>
              <w:jc w:val="center"/>
              <w:textAlignment w:val="center"/>
              <w:rPr>
                <w:color w:val="000000"/>
                <w:sz w:val="21"/>
                <w:szCs w:val="21"/>
              </w:rPr>
            </w:pPr>
            <w:r>
              <w:rPr>
                <w:rFonts w:hint="eastAsia"/>
                <w:color w:val="000000"/>
                <w:kern w:val="0"/>
                <w:sz w:val="21"/>
                <w:szCs w:val="21"/>
              </w:rPr>
              <w:t>在职人员工资保险</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053E">
            <w:pPr>
              <w:jc w:val="right"/>
              <w:textAlignment w:val="center"/>
              <w:rPr>
                <w:color w:val="000000"/>
                <w:sz w:val="21"/>
                <w:szCs w:val="21"/>
              </w:rPr>
            </w:pPr>
            <w:r>
              <w:rPr>
                <w:rFonts w:hint="eastAsia"/>
                <w:color w:val="000000"/>
                <w:kern w:val="0"/>
                <w:sz w:val="21"/>
                <w:szCs w:val="21"/>
              </w:rPr>
              <w:t>30,336.00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DEBF">
            <w:pPr>
              <w:jc w:val="center"/>
              <w:textAlignment w:val="center"/>
              <w:rPr>
                <w:color w:val="000000"/>
                <w:sz w:val="21"/>
                <w:szCs w:val="21"/>
              </w:rPr>
            </w:pPr>
            <w:r>
              <w:rPr>
                <w:rFonts w:hint="eastAsia"/>
                <w:color w:val="000000"/>
                <w:kern w:val="0"/>
                <w:sz w:val="21"/>
                <w:szCs w:val="21"/>
              </w:rPr>
              <w:t>退休费</w:t>
            </w:r>
          </w:p>
        </w:tc>
      </w:tr>
      <w:tr w14:paraId="2AEF097F">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5B14A">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BC273">
            <w:pPr>
              <w:jc w:val="center"/>
              <w:textAlignment w:val="center"/>
              <w:rPr>
                <w:color w:val="000000"/>
                <w:sz w:val="21"/>
                <w:szCs w:val="21"/>
              </w:rPr>
            </w:pPr>
            <w:r>
              <w:rPr>
                <w:rFonts w:hint="eastAsia"/>
                <w:color w:val="000000"/>
                <w:kern w:val="0"/>
                <w:sz w:val="21"/>
                <w:szCs w:val="21"/>
              </w:rPr>
              <w:t>9月20#、11月29#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853F">
            <w:pPr>
              <w:jc w:val="center"/>
              <w:textAlignment w:val="center"/>
              <w:rPr>
                <w:color w:val="000000"/>
                <w:sz w:val="21"/>
                <w:szCs w:val="21"/>
              </w:rPr>
            </w:pPr>
            <w:r>
              <w:rPr>
                <w:rFonts w:hint="eastAsia"/>
                <w:color w:val="000000"/>
                <w:kern w:val="0"/>
                <w:sz w:val="21"/>
                <w:szCs w:val="21"/>
              </w:rPr>
              <w:t>9月11</w:t>
            </w:r>
            <w:r>
              <w:rPr>
                <w:rFonts w:hint="eastAsia"/>
                <w:color w:val="000000"/>
                <w:kern w:val="0"/>
                <w:sz w:val="21"/>
                <w:szCs w:val="21"/>
                <w:lang w:val="en-US" w:eastAsia="zh-CN"/>
              </w:rPr>
              <w:t>日</w:t>
            </w:r>
            <w:r>
              <w:rPr>
                <w:rFonts w:hint="eastAsia"/>
                <w:color w:val="000000"/>
                <w:kern w:val="0"/>
                <w:sz w:val="21"/>
                <w:szCs w:val="21"/>
              </w:rPr>
              <w:t>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261F">
            <w:pPr>
              <w:jc w:val="right"/>
              <w:textAlignment w:val="center"/>
              <w:rPr>
                <w:color w:val="000000"/>
                <w:sz w:val="21"/>
                <w:szCs w:val="21"/>
              </w:rPr>
            </w:pPr>
            <w:r>
              <w:rPr>
                <w:rFonts w:hint="eastAsia"/>
                <w:color w:val="000000"/>
                <w:kern w:val="0"/>
                <w:sz w:val="21"/>
                <w:szCs w:val="21"/>
              </w:rPr>
              <w:t>720.00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DBF7">
            <w:pPr>
              <w:jc w:val="center"/>
              <w:textAlignment w:val="center"/>
              <w:rPr>
                <w:color w:val="000000"/>
                <w:sz w:val="21"/>
                <w:szCs w:val="21"/>
              </w:rPr>
            </w:pPr>
            <w:r>
              <w:rPr>
                <w:rFonts w:hint="eastAsia"/>
                <w:color w:val="000000"/>
                <w:kern w:val="0"/>
                <w:sz w:val="21"/>
                <w:szCs w:val="21"/>
              </w:rPr>
              <w:t>退休人员住宅取暖补贴（含新中国成立前老工人）</w:t>
            </w:r>
          </w:p>
        </w:tc>
      </w:tr>
      <w:tr w14:paraId="5B872D6A">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EE84">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13FC">
            <w:pPr>
              <w:jc w:val="center"/>
              <w:textAlignment w:val="center"/>
              <w:rPr>
                <w:color w:val="000000"/>
                <w:sz w:val="21"/>
                <w:szCs w:val="21"/>
              </w:rPr>
            </w:pPr>
            <w:r>
              <w:rPr>
                <w:rFonts w:hint="eastAsia"/>
                <w:color w:val="000000"/>
                <w:kern w:val="0"/>
                <w:sz w:val="21"/>
                <w:szCs w:val="21"/>
              </w:rPr>
              <w:t>10月19#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C01AD">
            <w:pPr>
              <w:jc w:val="center"/>
              <w:textAlignment w:val="center"/>
              <w:rPr>
                <w:color w:val="000000"/>
                <w:sz w:val="21"/>
                <w:szCs w:val="21"/>
              </w:rPr>
            </w:pPr>
            <w:r>
              <w:rPr>
                <w:rFonts w:hint="eastAsia"/>
                <w:color w:val="000000"/>
                <w:kern w:val="0"/>
                <w:sz w:val="21"/>
                <w:szCs w:val="21"/>
              </w:rPr>
              <w:t>10月职工医保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3475">
            <w:pPr>
              <w:jc w:val="right"/>
              <w:textAlignment w:val="center"/>
              <w:rPr>
                <w:color w:val="000000"/>
                <w:sz w:val="21"/>
                <w:szCs w:val="21"/>
              </w:rPr>
            </w:pPr>
            <w:r>
              <w:rPr>
                <w:rFonts w:hint="eastAsia"/>
                <w:color w:val="000000"/>
                <w:kern w:val="0"/>
                <w:sz w:val="21"/>
                <w:szCs w:val="21"/>
              </w:rPr>
              <w:t>1,080.00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DEBD">
            <w:pPr>
              <w:jc w:val="center"/>
              <w:textAlignment w:val="center"/>
              <w:rPr>
                <w:color w:val="000000"/>
                <w:sz w:val="21"/>
                <w:szCs w:val="21"/>
              </w:rPr>
            </w:pPr>
            <w:r>
              <w:rPr>
                <w:rFonts w:hint="eastAsia"/>
                <w:color w:val="000000"/>
                <w:kern w:val="0"/>
                <w:sz w:val="21"/>
                <w:szCs w:val="21"/>
              </w:rPr>
              <w:t>退休人员补充医疗保险</w:t>
            </w:r>
          </w:p>
        </w:tc>
      </w:tr>
      <w:tr w14:paraId="22407B7B">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F2563">
            <w:pPr>
              <w:jc w:val="center"/>
              <w:textAlignment w:val="center"/>
              <w:rPr>
                <w:color w:val="000000"/>
                <w:sz w:val="21"/>
                <w:szCs w:val="21"/>
              </w:rPr>
            </w:pPr>
            <w:r>
              <w:rPr>
                <w:rFonts w:hint="eastAsia"/>
                <w:color w:val="000000"/>
                <w:kern w:val="0"/>
                <w:sz w:val="21"/>
                <w:szCs w:val="21"/>
              </w:rPr>
              <w:t>局机关</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1A7F">
            <w:pPr>
              <w:jc w:val="center"/>
              <w:textAlignment w:val="center"/>
              <w:rPr>
                <w:color w:val="000000"/>
                <w:sz w:val="21"/>
                <w:szCs w:val="21"/>
              </w:rPr>
            </w:pPr>
            <w:r>
              <w:rPr>
                <w:rFonts w:hint="eastAsia"/>
                <w:color w:val="000000"/>
                <w:kern w:val="0"/>
                <w:sz w:val="21"/>
                <w:szCs w:val="21"/>
              </w:rPr>
              <w:t>11月7#</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FCA0">
            <w:pPr>
              <w:jc w:val="center"/>
              <w:textAlignment w:val="center"/>
              <w:rPr>
                <w:color w:val="000000"/>
                <w:sz w:val="21"/>
                <w:szCs w:val="21"/>
              </w:rPr>
            </w:pPr>
            <w:r>
              <w:rPr>
                <w:rFonts w:hint="eastAsia"/>
                <w:color w:val="000000"/>
                <w:kern w:val="0"/>
                <w:sz w:val="21"/>
                <w:szCs w:val="21"/>
              </w:rPr>
              <w:t>重阳节慰问老干部</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229E">
            <w:pPr>
              <w:jc w:val="right"/>
              <w:textAlignment w:val="center"/>
              <w:rPr>
                <w:color w:val="000000"/>
                <w:sz w:val="21"/>
                <w:szCs w:val="21"/>
              </w:rPr>
            </w:pPr>
            <w:r>
              <w:rPr>
                <w:rFonts w:hint="eastAsia"/>
                <w:color w:val="000000"/>
                <w:kern w:val="0"/>
                <w:sz w:val="21"/>
                <w:szCs w:val="21"/>
              </w:rPr>
              <w:t>246.00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F1DC">
            <w:pPr>
              <w:jc w:val="center"/>
              <w:textAlignment w:val="center"/>
              <w:rPr>
                <w:color w:val="000000"/>
                <w:sz w:val="21"/>
                <w:szCs w:val="21"/>
              </w:rPr>
            </w:pPr>
            <w:r>
              <w:rPr>
                <w:rFonts w:hint="eastAsia"/>
                <w:color w:val="000000"/>
                <w:kern w:val="0"/>
                <w:sz w:val="21"/>
                <w:szCs w:val="21"/>
              </w:rPr>
              <w:t>目标责任考核奖</w:t>
            </w:r>
          </w:p>
        </w:tc>
      </w:tr>
      <w:tr w14:paraId="7FCE9DDA">
        <w:tblPrEx>
          <w:tblCellMar>
            <w:top w:w="0" w:type="dxa"/>
            <w:left w:w="108" w:type="dxa"/>
            <w:bottom w:w="0" w:type="dxa"/>
            <w:right w:w="108" w:type="dxa"/>
          </w:tblCellMar>
        </w:tblPrEx>
        <w:trPr>
          <w:trHeight w:val="454" w:hRule="atLeast"/>
        </w:trPr>
        <w:tc>
          <w:tcPr>
            <w:tcW w:w="27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440C">
            <w:pPr>
              <w:jc w:val="center"/>
              <w:rPr>
                <w:color w:val="000000"/>
                <w:sz w:val="21"/>
                <w:szCs w:val="21"/>
              </w:rPr>
            </w:pPr>
            <w:r>
              <w:rPr>
                <w:rFonts w:hint="eastAsia"/>
                <w:color w:val="000000"/>
                <w:sz w:val="21"/>
                <w:szCs w:val="21"/>
              </w:rPr>
              <w:t>合计</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9BB5">
            <w:pPr>
              <w:jc w:val="right"/>
              <w:textAlignment w:val="center"/>
              <w:rPr>
                <w:color w:val="000000"/>
                <w:sz w:val="21"/>
                <w:szCs w:val="21"/>
              </w:rPr>
            </w:pPr>
            <w:r>
              <w:rPr>
                <w:rFonts w:hint="eastAsia"/>
                <w:color w:val="000000"/>
                <w:sz w:val="21"/>
                <w:szCs w:val="21"/>
              </w:rPr>
              <w:t>58,326.00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F7AF">
            <w:pPr>
              <w:jc w:val="center"/>
              <w:rPr>
                <w:color w:val="000000"/>
                <w:sz w:val="21"/>
                <w:szCs w:val="21"/>
              </w:rPr>
            </w:pPr>
          </w:p>
        </w:tc>
      </w:tr>
    </w:tbl>
    <w:p w14:paraId="44ECE14D">
      <w:pPr>
        <w:pStyle w:val="8"/>
        <w:widowControl w:val="0"/>
        <w:snapToGrid/>
        <w:ind w:firstLine="562"/>
        <w:rPr>
          <w:rFonts w:ascii="仿宋"/>
          <w:b/>
        </w:rPr>
      </w:pPr>
      <w:r>
        <w:rPr>
          <w:rFonts w:hint="eastAsia" w:ascii="仿宋"/>
          <w:b/>
        </w:rPr>
        <w:t>（三）财务核算不规范</w:t>
      </w:r>
    </w:p>
    <w:p w14:paraId="2F02326B">
      <w:pPr>
        <w:pStyle w:val="8"/>
        <w:widowControl w:val="0"/>
        <w:snapToGrid/>
        <w:ind w:firstLine="560"/>
        <w:rPr>
          <w:rFonts w:ascii="仿宋"/>
          <w:bCs/>
        </w:rPr>
      </w:pPr>
      <w:r>
        <w:rPr>
          <w:rFonts w:hint="eastAsia" w:ascii="仿宋"/>
          <w:bCs/>
        </w:rPr>
        <w:t>贵单位存在未代扣代缴个税、核销程序不合规的情况，具体明细为：</w:t>
      </w:r>
    </w:p>
    <w:p w14:paraId="4F6C4996">
      <w:pPr>
        <w:pStyle w:val="8"/>
        <w:widowControl w:val="0"/>
        <w:snapToGrid/>
        <w:ind w:firstLine="560"/>
        <w:rPr>
          <w:rFonts w:ascii="仿宋"/>
          <w:bCs/>
        </w:rPr>
      </w:pPr>
      <w:r>
        <w:rPr>
          <w:rFonts w:hint="eastAsia" w:ascii="仿宋"/>
          <w:bCs/>
        </w:rPr>
        <w:t>1.文化馆2023年12月8日33#凭证支付法律顾问咨询费用2,400.00元，聘请个人孙兴赤为法律顾问，开具的发票备注栏标注“购买方应在次月15日前代扣代缴销售方个人所得税”，文化馆未实际代扣代缴个税。</w:t>
      </w:r>
    </w:p>
    <w:p w14:paraId="62875781">
      <w:pPr>
        <w:pStyle w:val="8"/>
        <w:widowControl w:val="0"/>
        <w:snapToGrid/>
        <w:ind w:firstLine="560"/>
        <w:rPr>
          <w:rFonts w:ascii="仿宋"/>
          <w:bCs/>
        </w:rPr>
      </w:pPr>
      <w:r>
        <w:rPr>
          <w:rFonts w:hint="eastAsia" w:ascii="仿宋"/>
          <w:bCs/>
        </w:rPr>
        <w:t>2.核销程序不合规：永济市文保中心核销其他应收款212,600.00元，未经主管部门审核（审批），不符合《行政事业单位资产清查核实管理办法》（财资〔2016〕1号）第三十六条行政事业单位资产核实的一般程序的规定。</w:t>
      </w:r>
    </w:p>
    <w:p w14:paraId="24CCF337">
      <w:pPr>
        <w:pStyle w:val="8"/>
        <w:widowControl w:val="0"/>
        <w:snapToGrid/>
        <w:ind w:firstLine="562"/>
        <w:rPr>
          <w:rFonts w:ascii="仿宋"/>
          <w:b/>
        </w:rPr>
      </w:pPr>
      <w:r>
        <w:rPr>
          <w:rFonts w:hint="eastAsia" w:ascii="仿宋"/>
          <w:b/>
        </w:rPr>
        <w:t>（四）固定资产管理方面</w:t>
      </w:r>
    </w:p>
    <w:p w14:paraId="32B0BC1C">
      <w:pPr>
        <w:pStyle w:val="8"/>
        <w:widowControl w:val="0"/>
        <w:snapToGrid/>
        <w:ind w:firstLine="560"/>
        <w:rPr>
          <w:rFonts w:ascii="仿宋"/>
          <w:bCs/>
        </w:rPr>
      </w:pPr>
      <w:r>
        <w:rPr>
          <w:rFonts w:hint="eastAsia" w:ascii="仿宋"/>
          <w:bCs/>
        </w:rPr>
        <w:t>资产实物未粘贴固定资产卡片，无法进行账实一一对应；未能做到每年对固定资产进行一次全面清查盘点，不符合固定资产管理制度第十二条：“固定资产的清查：固定资产清查工作由财务机构统一组织。每年进行一次全面清查。并可根据工作需要进行不定期的重点清查。”的规定。</w:t>
      </w:r>
    </w:p>
    <w:p w14:paraId="5A4A9143">
      <w:pPr>
        <w:widowControl w:val="0"/>
        <w:spacing w:line="560" w:lineRule="exact"/>
        <w:ind w:firstLine="562" w:firstLineChars="200"/>
        <w:rPr>
          <w:b/>
          <w:bCs/>
        </w:rPr>
      </w:pPr>
      <w:r>
        <w:rPr>
          <w:rFonts w:hint="eastAsia"/>
          <w:b/>
          <w:bCs/>
        </w:rPr>
        <w:t>（五）巡护员与保安部分职责重叠</w:t>
      </w:r>
    </w:p>
    <w:p w14:paraId="6DF35240">
      <w:pPr>
        <w:widowControl w:val="0"/>
        <w:spacing w:line="560" w:lineRule="exact"/>
        <w:ind w:firstLine="560" w:firstLineChars="200"/>
      </w:pPr>
      <w:r>
        <w:rPr>
          <w:rFonts w:hint="eastAsia"/>
        </w:rPr>
        <w:t>永济市博物馆临时人员10人，其中监控室4人（监护室已有正式人员2人），巡护员1人（巡护室已有正式人员4人），讲解4人，办公室1人；监护员主要职责为实时查看馆内各个展厅、库房、通道、出入口等重点区域的监控画面，巡护员主要职责为对场馆的日常巡视、检查；同时与永济市神鹰安防服务有限公司签订安保服务协议，协议约定安保人员9人，保安人员职责提供巡逻服务（提供博物馆24小时日常巡视、检查等）、秩序维护服务、人群控制服务、编制博物馆外围安保应急预案、承担各类重要活动的安全保卫工作等，保安人员与巡护员部分职责重叠。</w:t>
      </w:r>
    </w:p>
    <w:p w14:paraId="64764D12">
      <w:pPr>
        <w:widowControl w:val="0"/>
        <w:spacing w:line="560" w:lineRule="exact"/>
        <w:ind w:firstLine="562" w:firstLineChars="200"/>
        <w:rPr>
          <w:b/>
          <w:bCs/>
        </w:rPr>
      </w:pPr>
      <w:r>
        <w:rPr>
          <w:rFonts w:hint="eastAsia"/>
          <w:b/>
          <w:bCs/>
        </w:rPr>
        <w:t>五、有关建议</w:t>
      </w:r>
    </w:p>
    <w:p w14:paraId="02E8E538">
      <w:pPr>
        <w:pStyle w:val="8"/>
        <w:widowControl w:val="0"/>
        <w:snapToGrid/>
        <w:ind w:firstLine="562"/>
        <w:rPr>
          <w:rFonts w:ascii="仿宋"/>
          <w:bCs/>
        </w:rPr>
      </w:pPr>
      <w:r>
        <w:rPr>
          <w:rFonts w:hint="eastAsia" w:ascii="仿宋"/>
          <w:b/>
        </w:rPr>
        <w:t>（一）上缴实有资金户中的结余资金，规范存量资金管理</w:t>
      </w:r>
    </w:p>
    <w:p w14:paraId="14BCA9F8">
      <w:pPr>
        <w:pStyle w:val="8"/>
        <w:widowControl w:val="0"/>
        <w:snapToGrid/>
        <w:ind w:firstLine="560"/>
        <w:rPr>
          <w:rFonts w:ascii="仿宋"/>
          <w:bCs/>
        </w:rPr>
      </w:pPr>
      <w:r>
        <w:rPr>
          <w:rFonts w:hint="eastAsia" w:ascii="仿宋"/>
          <w:bCs/>
        </w:rPr>
        <w:t>清理部门实有资金户账户，对纳入部门预算的以前年度结余资金、收取的应上缴的财政资金，及时足额上缴财政，做到收支两条线，避免坐支。</w:t>
      </w:r>
    </w:p>
    <w:p w14:paraId="1363B9D8">
      <w:pPr>
        <w:pStyle w:val="8"/>
        <w:widowControl w:val="0"/>
        <w:snapToGrid/>
        <w:ind w:firstLine="562"/>
        <w:rPr>
          <w:rFonts w:ascii="仿宋"/>
          <w:b/>
        </w:rPr>
      </w:pPr>
      <w:r>
        <w:rPr>
          <w:rFonts w:hint="eastAsia" w:ascii="仿宋"/>
          <w:b/>
        </w:rPr>
        <w:t>（二）进行全面清查，确保财务数据的准确性和完整性</w:t>
      </w:r>
    </w:p>
    <w:p w14:paraId="0C0C10D0">
      <w:pPr>
        <w:pStyle w:val="8"/>
        <w:widowControl w:val="0"/>
        <w:snapToGrid/>
        <w:ind w:firstLine="560"/>
        <w:rPr>
          <w:rFonts w:ascii="仿宋"/>
          <w:bCs/>
        </w:rPr>
      </w:pPr>
      <w:r>
        <w:rPr>
          <w:rFonts w:hint="eastAsia" w:ascii="仿宋"/>
          <w:bCs/>
        </w:rPr>
        <w:t>对未挂账的质保金进行全面清查，确定质保金的金额、涉及的业务项目以及应挂账的会计科目，确保财务数据的准确性和完整性；对未代扣个税的情况进行清查，按照税法规定，计算应代扣的个税金额，并及时向税务机关申报补缴。同时加强对财务人员专业培训，及时学习新政策，提高业务水平。</w:t>
      </w:r>
    </w:p>
    <w:p w14:paraId="44D781BF">
      <w:pPr>
        <w:pStyle w:val="8"/>
        <w:widowControl w:val="0"/>
        <w:snapToGrid/>
        <w:ind w:firstLine="562"/>
        <w:rPr>
          <w:rFonts w:ascii="仿宋"/>
          <w:b/>
        </w:rPr>
      </w:pPr>
      <w:r>
        <w:rPr>
          <w:rFonts w:hint="eastAsia" w:ascii="仿宋"/>
          <w:b/>
        </w:rPr>
        <w:t>（三）完善单位的内控制度建设，并按制度执行</w:t>
      </w:r>
    </w:p>
    <w:p w14:paraId="0596DA66">
      <w:pPr>
        <w:pStyle w:val="8"/>
        <w:widowControl w:val="0"/>
        <w:snapToGrid/>
        <w:ind w:firstLine="560"/>
        <w:rPr>
          <w:rFonts w:ascii="仿宋"/>
          <w:bCs/>
        </w:rPr>
      </w:pPr>
      <w:r>
        <w:rPr>
          <w:rFonts w:hint="eastAsia" w:ascii="仿宋"/>
          <w:bCs/>
        </w:rPr>
        <w:t>加强单位的内控制度建设，完善审批流程和制度，明确各类事项的审批权限、审批环节，审批流程等，加强对预算支出凭证及财务原始凭证的合规性审核。</w:t>
      </w:r>
    </w:p>
    <w:p w14:paraId="737F1AF2">
      <w:pPr>
        <w:pStyle w:val="8"/>
        <w:widowControl w:val="0"/>
        <w:snapToGrid/>
        <w:ind w:firstLine="562"/>
        <w:rPr>
          <w:rFonts w:ascii="仿宋"/>
          <w:b/>
        </w:rPr>
      </w:pPr>
      <w:r>
        <w:rPr>
          <w:rFonts w:hint="eastAsia" w:ascii="仿宋"/>
          <w:b/>
        </w:rPr>
        <w:t>（四）加强固定资产实物管理和档案管理</w:t>
      </w:r>
    </w:p>
    <w:p w14:paraId="2F157744">
      <w:pPr>
        <w:pStyle w:val="8"/>
        <w:widowControl w:val="0"/>
        <w:snapToGrid/>
        <w:ind w:firstLine="560"/>
        <w:rPr>
          <w:rFonts w:ascii="仿宋"/>
          <w:bCs/>
        </w:rPr>
      </w:pPr>
      <w:r>
        <w:rPr>
          <w:rFonts w:hint="eastAsia" w:ascii="仿宋"/>
          <w:bCs/>
        </w:rPr>
        <w:t>财务人员、固定资产管理人员应对实物资产粘贴资产卡片，完善固定资产使用部门、使用人、存放地址等信息，资产使用部门和使用人发生变动时，应及时办理交接手续，变更登记信息。使用部门与财务部门应加强沟通，并且定期进行盘点，做到有问题及时发现，需处理的及时进行处理。</w:t>
      </w:r>
    </w:p>
    <w:p w14:paraId="1BA3FD9C">
      <w:pPr>
        <w:widowControl w:val="0"/>
        <w:spacing w:line="560" w:lineRule="exact"/>
        <w:ind w:firstLine="562" w:firstLineChars="200"/>
        <w:rPr>
          <w:b/>
          <w:bCs/>
        </w:rPr>
      </w:pPr>
      <w:r>
        <w:rPr>
          <w:rFonts w:hint="eastAsia"/>
          <w:b/>
          <w:bCs/>
        </w:rPr>
        <w:t>（五）合理优化人员结构，提高财政资金的使用效率</w:t>
      </w:r>
    </w:p>
    <w:p w14:paraId="2D630897">
      <w:pPr>
        <w:widowControl w:val="0"/>
        <w:spacing w:line="560" w:lineRule="exact"/>
        <w:ind w:firstLine="560" w:firstLineChars="200"/>
        <w:sectPr>
          <w:headerReference r:id="rId7" w:type="first"/>
          <w:footerReference r:id="rId9" w:type="first"/>
          <w:headerReference r:id="rId6" w:type="default"/>
          <w:footerReference r:id="rId8" w:type="default"/>
          <w:pgSz w:w="11906" w:h="16838"/>
          <w:pgMar w:top="1247" w:right="1701" w:bottom="1247" w:left="1701" w:header="851" w:footer="992" w:gutter="0"/>
          <w:pgNumType w:start="1"/>
          <w:cols w:space="720" w:num="1"/>
          <w:titlePg/>
          <w:docGrid w:type="lines" w:linePitch="381" w:charSpace="0"/>
        </w:sectPr>
      </w:pPr>
      <w:r>
        <w:rPr>
          <w:rFonts w:hint="eastAsia"/>
        </w:rPr>
        <w:t>对保安人员、巡护员的巡逻工作职责重复的范围，建议合理优化人员结构，同时建立健全的考核机制，对临时人员和保安人员的工作进行定期考核和评估，确保工作质量和效率，加强与神鹰安防服务有限公司的沟通和协调，根据博物馆的实际需求，对安保服务协议进行调整和完善，提高财政资金的使用效率。</w:t>
      </w:r>
    </w:p>
    <w:p w14:paraId="6CEFFB34">
      <w:pPr>
        <w:widowControl w:val="0"/>
        <w:spacing w:line="560" w:lineRule="exact"/>
        <w:ind w:firstLine="560" w:firstLineChars="200"/>
        <w:sectPr>
          <w:footerReference r:id="rId11" w:type="first"/>
          <w:footerReference r:id="rId10" w:type="default"/>
          <w:pgSz w:w="11906" w:h="16838"/>
          <w:pgMar w:top="1247" w:right="1701" w:bottom="1247" w:left="1701" w:header="851" w:footer="992" w:gutter="0"/>
          <w:pgNumType w:start="8"/>
          <w:cols w:space="720" w:num="1"/>
          <w:titlePg/>
          <w:docGrid w:type="lines" w:linePitch="381" w:charSpace="0"/>
        </w:sectPr>
      </w:pPr>
    </w:p>
    <w:p w14:paraId="7D86081F">
      <w:pPr>
        <w:widowControl w:val="0"/>
        <w:snapToGrid w:val="0"/>
        <w:spacing w:line="560" w:lineRule="exact"/>
        <w:jc w:val="center"/>
        <w:rPr>
          <w:b/>
          <w:bCs/>
          <w:sz w:val="32"/>
          <w:szCs w:val="32"/>
        </w:rPr>
      </w:pPr>
      <w:bookmarkStart w:id="92" w:name="_Toc16858"/>
      <w:bookmarkStart w:id="93" w:name="_Toc9099"/>
      <w:bookmarkStart w:id="94" w:name="_Toc5412"/>
      <w:bookmarkStart w:id="95" w:name="_Toc779"/>
      <w:bookmarkStart w:id="96" w:name="_Toc25201"/>
      <w:bookmarkStart w:id="97" w:name="_Toc13721"/>
      <w:bookmarkStart w:id="98" w:name="_Toc9163"/>
      <w:r>
        <w:rPr>
          <w:rFonts w:hint="eastAsia"/>
          <w:b/>
          <w:sz w:val="32"/>
          <w:szCs w:val="32"/>
        </w:rPr>
        <w:t>永济市文化和旅游局2023年度部门整体支出</w:t>
      </w:r>
      <w:bookmarkEnd w:id="92"/>
      <w:bookmarkEnd w:id="93"/>
      <w:bookmarkEnd w:id="94"/>
      <w:bookmarkEnd w:id="95"/>
      <w:bookmarkEnd w:id="96"/>
      <w:bookmarkEnd w:id="97"/>
      <w:bookmarkEnd w:id="98"/>
    </w:p>
    <w:p w14:paraId="116F58CD">
      <w:pPr>
        <w:widowControl w:val="0"/>
        <w:spacing w:afterLines="50" w:line="560" w:lineRule="exact"/>
        <w:jc w:val="center"/>
        <w:outlineLvl w:val="0"/>
        <w:rPr>
          <w:b/>
          <w:sz w:val="32"/>
          <w:szCs w:val="32"/>
        </w:rPr>
      </w:pPr>
      <w:bookmarkStart w:id="99" w:name="_Toc27996_WPSOffice_Level1"/>
      <w:bookmarkStart w:id="100" w:name="_Toc12186_WPSOffice_Level1"/>
      <w:bookmarkStart w:id="101" w:name="_Toc17313_WPSOffice_Level1"/>
      <w:bookmarkStart w:id="102" w:name="_Toc14525"/>
      <w:bookmarkStart w:id="103" w:name="_Toc17844_WPSOffice_Level1"/>
      <w:bookmarkStart w:id="104" w:name="_Toc19379"/>
      <w:bookmarkStart w:id="105" w:name="_Toc11746"/>
      <w:bookmarkStart w:id="106" w:name="_Toc2589"/>
      <w:bookmarkStart w:id="107" w:name="_Toc28219"/>
      <w:bookmarkStart w:id="108" w:name="_Toc9629"/>
      <w:bookmarkStart w:id="109" w:name="_Toc16640"/>
      <w:bookmarkStart w:id="110" w:name="_Toc9237"/>
      <w:bookmarkStart w:id="111" w:name="_Toc876"/>
      <w:r>
        <w:rPr>
          <w:rFonts w:hint="eastAsia"/>
          <w:b/>
          <w:sz w:val="32"/>
          <w:szCs w:val="32"/>
        </w:rPr>
        <w:t>绩效评价</w:t>
      </w:r>
      <w:bookmarkEnd w:id="99"/>
      <w:bookmarkEnd w:id="100"/>
      <w:bookmarkEnd w:id="101"/>
      <w:bookmarkEnd w:id="102"/>
      <w:bookmarkEnd w:id="103"/>
      <w:bookmarkEnd w:id="104"/>
      <w:bookmarkEnd w:id="105"/>
      <w:r>
        <w:rPr>
          <w:rFonts w:hint="eastAsia"/>
          <w:b/>
          <w:sz w:val="32"/>
          <w:szCs w:val="32"/>
        </w:rPr>
        <w:t>报告</w:t>
      </w:r>
      <w:bookmarkEnd w:id="106"/>
      <w:bookmarkEnd w:id="107"/>
      <w:bookmarkEnd w:id="108"/>
      <w:bookmarkEnd w:id="109"/>
      <w:bookmarkEnd w:id="110"/>
      <w:bookmarkEnd w:id="111"/>
    </w:p>
    <w:p w14:paraId="31A2CB1F">
      <w:pPr>
        <w:pStyle w:val="8"/>
        <w:widowControl w:val="0"/>
        <w:spacing w:beforeLines="50" w:afterLines="50"/>
        <w:ind w:firstLine="562"/>
        <w:jc w:val="right"/>
        <w:rPr>
          <w:rFonts w:ascii="仿宋" w:hAnsi="仿宋"/>
          <w:b/>
          <w:bCs/>
        </w:rPr>
      </w:pPr>
      <w:r>
        <w:rPr>
          <w:rFonts w:hint="eastAsia" w:ascii="仿宋" w:hAnsi="仿宋"/>
          <w:b/>
          <w:bCs/>
        </w:rPr>
        <w:t>晋广和绩评﹝202</w:t>
      </w:r>
      <w:r>
        <w:rPr>
          <w:rFonts w:hint="eastAsia" w:ascii="仿宋"/>
          <w:b/>
          <w:bCs/>
        </w:rPr>
        <w:t>4</w:t>
      </w:r>
      <w:r>
        <w:rPr>
          <w:rFonts w:hint="eastAsia" w:ascii="仿宋" w:hAnsi="仿宋"/>
          <w:b/>
          <w:bCs/>
        </w:rPr>
        <w:t>﹞00</w:t>
      </w:r>
      <w:r>
        <w:rPr>
          <w:rFonts w:hint="eastAsia" w:ascii="仿宋"/>
          <w:b/>
          <w:bCs/>
        </w:rPr>
        <w:t>08</w:t>
      </w:r>
      <w:r>
        <w:rPr>
          <w:rFonts w:hint="eastAsia" w:ascii="仿宋" w:hAnsi="仿宋"/>
          <w:b/>
          <w:bCs/>
        </w:rPr>
        <w:t>号</w:t>
      </w:r>
    </w:p>
    <w:p w14:paraId="36CDDD28">
      <w:pPr>
        <w:widowControl w:val="0"/>
        <w:adjustRightInd w:val="0"/>
        <w:snapToGrid w:val="0"/>
        <w:spacing w:line="580" w:lineRule="exact"/>
        <w:ind w:firstLine="560" w:firstLineChars="200"/>
        <w:rPr>
          <w:highlight w:val="yellow"/>
        </w:rPr>
      </w:pPr>
      <w:r>
        <w:rPr>
          <w:rFonts w:hint="eastAsia"/>
        </w:rPr>
        <w:t>为加强对永济市文化和旅游局2023年度整体支出的监督和管理，健全预算绩效管理机制，强化支出责任和效率意识，切实提高财政资金使用效率，根据《永济市财政局2024年重点绩效评价实施方案》（永财绩〔2024〕2号）的通知，山西广和会计师事务所有限公司接受永济市财政局委托，对永济市文化和旅游局2023年度整体支出开展绩效评价。</w:t>
      </w:r>
      <w:bookmarkStart w:id="112" w:name="_Toc2321"/>
      <w:r>
        <w:rPr>
          <w:rFonts w:hint="eastAsia"/>
        </w:rPr>
        <w:t>本次评价结果为89.44分。有关情况如下：</w:t>
      </w:r>
    </w:p>
    <w:p w14:paraId="3A15F5AE">
      <w:pPr>
        <w:pStyle w:val="2"/>
        <w:ind w:firstLine="562"/>
      </w:pPr>
      <w:bookmarkStart w:id="113" w:name="_Toc29818_WPSOffice_Level1"/>
      <w:bookmarkStart w:id="114" w:name="_Toc1472"/>
      <w:bookmarkStart w:id="115" w:name="_Toc5303_WPSOffice_Level1"/>
      <w:bookmarkStart w:id="116" w:name="_Toc20130"/>
      <w:bookmarkStart w:id="117" w:name="_Toc18870"/>
      <w:bookmarkStart w:id="118" w:name="_Toc32434"/>
      <w:bookmarkStart w:id="119" w:name="_Toc25391"/>
      <w:bookmarkStart w:id="120" w:name="_Toc180138870"/>
      <w:bookmarkStart w:id="121" w:name="_Toc19483_WPSOffice_Level1"/>
      <w:bookmarkStart w:id="122" w:name="_Toc26803"/>
      <w:bookmarkStart w:id="123" w:name="_Toc31663_WPSOffice_Level1"/>
      <w:bookmarkStart w:id="124" w:name="_Toc14386_WPSOffice_Level1"/>
      <w:bookmarkStart w:id="125" w:name="_Toc22959"/>
      <w:bookmarkStart w:id="126" w:name="_Toc180503495"/>
      <w:bookmarkStart w:id="127" w:name="_Toc31365"/>
      <w:bookmarkStart w:id="128" w:name="_Toc13319"/>
      <w:bookmarkStart w:id="129" w:name="_Toc13370"/>
      <w:bookmarkStart w:id="130" w:name="_Toc22273"/>
      <w:bookmarkStart w:id="131" w:name="_Toc28655_WPSOffice_Level2"/>
      <w:bookmarkStart w:id="132" w:name="_Toc19975_WPSOffice_Level2"/>
      <w:bookmarkStart w:id="133" w:name="_Toc26397_WPSOffice_Level2"/>
      <w:bookmarkStart w:id="134" w:name="_Toc15003_WPSOffice_Level2"/>
      <w:r>
        <w:rPr>
          <w:rFonts w:hint="eastAsia"/>
        </w:rPr>
        <w:t>一、基本情况</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p w14:paraId="3268D382">
      <w:pPr>
        <w:pStyle w:val="3"/>
        <w:ind w:firstLine="562"/>
      </w:pPr>
      <w:bookmarkStart w:id="135" w:name="_Toc4773_WPSOffice_Level2"/>
      <w:bookmarkStart w:id="136" w:name="_Toc6094_WPSOffice_Level2"/>
      <w:bookmarkStart w:id="137" w:name="_Toc17313_WPSOffice_Level2"/>
      <w:bookmarkStart w:id="138" w:name="_Toc32387"/>
      <w:bookmarkStart w:id="139" w:name="_Toc17844_WPSOffice_Level2"/>
      <w:bookmarkStart w:id="140" w:name="_Toc27996_WPSOffice_Level2"/>
      <w:bookmarkStart w:id="141" w:name="_Toc15377"/>
      <w:bookmarkStart w:id="142" w:name="_Toc180503496"/>
      <w:bookmarkStart w:id="143" w:name="_Toc29391"/>
      <w:bookmarkStart w:id="144" w:name="_Toc180138871"/>
      <w:bookmarkStart w:id="145" w:name="_Toc1009"/>
      <w:bookmarkStart w:id="146" w:name="_Toc31663_WPSOffice_Level2"/>
      <w:bookmarkStart w:id="147" w:name="_Toc19483_WPSOffice_Level2"/>
      <w:bookmarkStart w:id="148" w:name="_Toc21180"/>
      <w:bookmarkStart w:id="149" w:name="_Toc20468"/>
      <w:bookmarkStart w:id="150" w:name="_Toc14386_WPSOffice_Level2"/>
      <w:r>
        <w:rPr>
          <w:rFonts w:hint="eastAsia"/>
        </w:rPr>
        <w:t>（一）</w:t>
      </w:r>
      <w:bookmarkEnd w:id="135"/>
      <w:bookmarkEnd w:id="136"/>
      <w:r>
        <w:rPr>
          <w:rFonts w:hint="eastAsia"/>
        </w:rPr>
        <w:t>部门</w:t>
      </w:r>
      <w:bookmarkEnd w:id="137"/>
      <w:bookmarkEnd w:id="138"/>
      <w:bookmarkEnd w:id="139"/>
      <w:bookmarkEnd w:id="140"/>
      <w:bookmarkEnd w:id="141"/>
      <w:r>
        <w:rPr>
          <w:rFonts w:hint="eastAsia"/>
        </w:rPr>
        <w:t>概况</w:t>
      </w:r>
      <w:bookmarkEnd w:id="142"/>
      <w:bookmarkEnd w:id="143"/>
      <w:bookmarkEnd w:id="144"/>
    </w:p>
    <w:p w14:paraId="1FFA313F">
      <w:pPr>
        <w:widowControl w:val="0"/>
        <w:adjustRightInd w:val="0"/>
        <w:snapToGrid w:val="0"/>
        <w:spacing w:line="560" w:lineRule="exact"/>
        <w:ind w:firstLine="560" w:firstLineChars="200"/>
      </w:pPr>
      <w:r>
        <w:rPr>
          <w:rFonts w:hint="eastAsia"/>
        </w:rPr>
        <w:t>永济市文化和旅游局（以下简称“永济市文旅局”）属行政单位，机构性质为机关，位于永济市舜都大道13号，单位负责人：薛翠凤，统一社会信用代码：11141081012885352B。</w:t>
      </w:r>
    </w:p>
    <w:p w14:paraId="3714518D">
      <w:pPr>
        <w:widowControl w:val="0"/>
        <w:adjustRightInd w:val="0"/>
        <w:snapToGrid w:val="0"/>
        <w:spacing w:line="580" w:lineRule="exact"/>
        <w:ind w:firstLine="562" w:firstLineChars="200"/>
        <w:outlineLvl w:val="3"/>
        <w:rPr>
          <w:b/>
          <w:bCs/>
        </w:rPr>
      </w:pPr>
      <w:r>
        <w:rPr>
          <w:rFonts w:hint="eastAsia"/>
          <w:b/>
          <w:bCs/>
        </w:rPr>
        <w:t>1.部门的主要职责</w:t>
      </w:r>
    </w:p>
    <w:p w14:paraId="64ED9258">
      <w:pPr>
        <w:pStyle w:val="8"/>
        <w:ind w:firstLine="560"/>
        <w:outlineLvl w:val="2"/>
        <w:rPr>
          <w:rFonts w:ascii="仿宋" w:hAnsi="仿宋"/>
        </w:rPr>
      </w:pPr>
      <w:r>
        <w:rPr>
          <w:rFonts w:hint="eastAsia" w:ascii="仿宋" w:hAnsi="仿宋"/>
        </w:rPr>
        <w:t>（1）贯彻落实国家、省关于文化和旅游、广播电视和网络视听节目服务、文物保护的法律、法规、方针、政策，把握正确的舆论导向和创作导向；贯彻落实市委、市政府关于文化和旅游、广播电视和网络视听节目服务、文物保护的决策部署;拟订文化和旅游、广播电视和网络视听节目服务、文物保护方面的规范性文件并监督实施。</w:t>
      </w:r>
    </w:p>
    <w:p w14:paraId="5354FA68">
      <w:pPr>
        <w:pStyle w:val="8"/>
        <w:ind w:firstLine="560"/>
        <w:outlineLvl w:val="2"/>
        <w:rPr>
          <w:rFonts w:ascii="仿宋" w:hAnsi="仿宋"/>
        </w:rPr>
      </w:pPr>
      <w:r>
        <w:rPr>
          <w:rFonts w:hint="eastAsia" w:ascii="仿宋" w:hAnsi="仿宋"/>
        </w:rPr>
        <w:t>（2）制定并组织实施全市文化和旅游、广播电视和网络视听节目服务、文物保护发展规划及年度执行计划;推进文化和旅游与相关领域的融合发展以及体制机制改革；加强广播电视阵地管理，推进广播电视领域的体制机制改革;组织实施广播电视和网络视听节目服务行业标准并监督检查；指导协调全市基层文化和旅游、广播电视和网络视听节目服务、文物保护工作。</w:t>
      </w:r>
    </w:p>
    <w:p w14:paraId="536CE738">
      <w:pPr>
        <w:pStyle w:val="8"/>
        <w:ind w:firstLine="560"/>
        <w:outlineLvl w:val="2"/>
        <w:rPr>
          <w:rFonts w:ascii="仿宋" w:hAnsi="仿宋"/>
        </w:rPr>
      </w:pPr>
      <w:r>
        <w:rPr>
          <w:rFonts w:hint="eastAsia" w:ascii="仿宋" w:hAnsi="仿宋"/>
        </w:rPr>
        <w:t>（3）管理全市性重大文化和旅游活动，指导市级重点文化设施建设和基层文化设施建设；组织全市旅游整体形象推广，促进文化产业和旅游产业对外合作和国际、国内市场推广;制定旅游市场开发战略并组织实施;提高旅游资源开发利用效能，指导、推进全域旅游，助推城镇化建设和新农村建设。</w:t>
      </w:r>
    </w:p>
    <w:p w14:paraId="47435F10">
      <w:pPr>
        <w:pStyle w:val="8"/>
        <w:ind w:firstLine="560"/>
        <w:outlineLvl w:val="2"/>
        <w:rPr>
          <w:rFonts w:ascii="仿宋" w:hAnsi="仿宋"/>
        </w:rPr>
      </w:pPr>
      <w:r>
        <w:rPr>
          <w:rFonts w:hint="eastAsia" w:ascii="仿宋"/>
        </w:rPr>
        <w:t>（4）</w:t>
      </w:r>
      <w:r>
        <w:rPr>
          <w:rFonts w:hint="eastAsia" w:ascii="仿宋" w:hAnsi="仿宋"/>
        </w:rPr>
        <w:t>指导、管理全市文艺事业，指导协调艺术创作生产，扶持体现社会主义核心价值观、具有导向性代表性示范性的文艺作品，推动各门类艺术、各艺术品种发展。</w:t>
      </w:r>
    </w:p>
    <w:p w14:paraId="423253E2">
      <w:pPr>
        <w:pStyle w:val="8"/>
        <w:ind w:firstLine="560"/>
        <w:outlineLvl w:val="2"/>
        <w:rPr>
          <w:rFonts w:ascii="仿宋" w:hAnsi="仿宋"/>
        </w:rPr>
      </w:pPr>
      <w:r>
        <w:rPr>
          <w:rFonts w:hint="eastAsia" w:ascii="仿宋"/>
        </w:rPr>
        <w:t>（5）</w:t>
      </w:r>
      <w:r>
        <w:rPr>
          <w:rFonts w:hint="eastAsia" w:ascii="仿宋" w:hAnsi="仿宋"/>
        </w:rPr>
        <w:t>负责公共文化事业发展，推进公共文化服务体系和旅游公共服务体系建设，深入实施文化惠民工程，统筹推进基本公共文化服务标准化、均等化;指导建立健全全市智慧旅游、旅游集散、旅游公共信息和咨询服务平台体系，推动旅游服务便利化。</w:t>
      </w:r>
    </w:p>
    <w:p w14:paraId="0EC4D939">
      <w:pPr>
        <w:pStyle w:val="8"/>
        <w:ind w:firstLine="560"/>
        <w:outlineLvl w:val="2"/>
        <w:rPr>
          <w:rFonts w:ascii="仿宋" w:hAnsi="仿宋"/>
        </w:rPr>
      </w:pPr>
      <w:r>
        <w:rPr>
          <w:rFonts w:hint="eastAsia" w:ascii="仿宋"/>
        </w:rPr>
        <w:t>（6）</w:t>
      </w:r>
      <w:r>
        <w:rPr>
          <w:rFonts w:hint="eastAsia" w:ascii="仿宋" w:hAnsi="仿宋"/>
        </w:rPr>
        <w:t>贯彻落实国家有关非物质文化遗产保护政策，负责全市非物质文化遗产保护，拟订非物质文化遗产保护规划，组织实施非物质文化遗产的保护、传承、普及、弘扬和振兴。</w:t>
      </w:r>
    </w:p>
    <w:p w14:paraId="24FC0E6A">
      <w:pPr>
        <w:pStyle w:val="8"/>
        <w:ind w:firstLine="560"/>
        <w:outlineLvl w:val="2"/>
        <w:rPr>
          <w:rFonts w:ascii="仿宋" w:hAnsi="仿宋"/>
        </w:rPr>
      </w:pPr>
      <w:r>
        <w:rPr>
          <w:rFonts w:hint="eastAsia" w:ascii="仿宋"/>
        </w:rPr>
        <w:t>（7）</w:t>
      </w:r>
      <w:r>
        <w:rPr>
          <w:rFonts w:hint="eastAsia" w:ascii="仿宋" w:hAnsi="仿宋"/>
        </w:rPr>
        <w:t>统筹规划文化产业和旅游产业，组织实施文化和旅游资源普查、挖掘、保护和利用工作，促进文化产业和旅游产业发展;指导、协调旅游区域、旅游目的地和旅游线路的规划开发，引导休闲度假。</w:t>
      </w:r>
    </w:p>
    <w:p w14:paraId="4029657D">
      <w:pPr>
        <w:pStyle w:val="8"/>
        <w:ind w:firstLine="560"/>
        <w:outlineLvl w:val="2"/>
        <w:rPr>
          <w:rFonts w:ascii="仿宋" w:hAnsi="仿宋"/>
        </w:rPr>
      </w:pPr>
      <w:r>
        <w:rPr>
          <w:rFonts w:hint="eastAsia" w:ascii="仿宋"/>
        </w:rPr>
        <w:t>（8）</w:t>
      </w:r>
      <w:r>
        <w:rPr>
          <w:rFonts w:hint="eastAsia" w:ascii="仿宋" w:hAnsi="仿宋"/>
        </w:rPr>
        <w:t>指导文化和旅游市场发展，对文化和旅游市场经营进行行业监管，推进文化和旅游行业信用体系建设，依法规范文化和旅游市场;强化对全市旅游市场秩序和服务质量的综合监管，建立健全旅游综合协调、旅游案件联合查办、旅游投诉统一受理等综合监管机制，引导全社会文明旅游;监测旅游经济运行，负责旅游统计及行业信息发布;综合协调、监督管理旅游业安全，指导应急救援工作。</w:t>
      </w:r>
    </w:p>
    <w:p w14:paraId="5D5CBBA1">
      <w:pPr>
        <w:pStyle w:val="8"/>
        <w:ind w:firstLine="560"/>
        <w:outlineLvl w:val="2"/>
        <w:rPr>
          <w:rFonts w:ascii="仿宋" w:hAnsi="仿宋"/>
        </w:rPr>
      </w:pPr>
      <w:r>
        <w:rPr>
          <w:rFonts w:hint="eastAsia" w:ascii="仿宋"/>
        </w:rPr>
        <w:t>（9）</w:t>
      </w:r>
      <w:r>
        <w:rPr>
          <w:rFonts w:hint="eastAsia" w:ascii="仿宋" w:hAnsi="仿宋"/>
        </w:rPr>
        <w:t>指导、协调、推动广播电视领域产业发展，制定发展规划、产业政策并组织实施。</w:t>
      </w:r>
    </w:p>
    <w:p w14:paraId="1BF3477E">
      <w:pPr>
        <w:pStyle w:val="8"/>
        <w:ind w:firstLine="560"/>
        <w:outlineLvl w:val="2"/>
        <w:rPr>
          <w:rFonts w:ascii="仿宋" w:hAnsi="仿宋"/>
        </w:rPr>
      </w:pPr>
      <w:r>
        <w:rPr>
          <w:rFonts w:hint="eastAsia" w:ascii="仿宋"/>
        </w:rPr>
        <w:t>（10）</w:t>
      </w:r>
      <w:r>
        <w:rPr>
          <w:rFonts w:hint="eastAsia" w:ascii="仿宋" w:hAnsi="仿宋"/>
        </w:rPr>
        <w:t>组织制定广播电视科技发展规划并组织实施和监督检查;负责对广播电视节目传输覆盖、监测和安全播出进行监管,指导、推进全市应急广播体系建设;指导、协调广播电视系统安全和保卫工作。</w:t>
      </w:r>
    </w:p>
    <w:p w14:paraId="5311430D">
      <w:pPr>
        <w:pStyle w:val="8"/>
        <w:ind w:firstLine="560"/>
        <w:outlineLvl w:val="2"/>
        <w:rPr>
          <w:rFonts w:ascii="仿宋" w:hAnsi="仿宋"/>
        </w:rPr>
      </w:pPr>
      <w:r>
        <w:rPr>
          <w:rFonts w:hint="eastAsia" w:ascii="仿宋"/>
        </w:rPr>
        <w:t>（11）</w:t>
      </w:r>
      <w:r>
        <w:rPr>
          <w:rFonts w:hint="eastAsia" w:ascii="仿宋" w:hAnsi="仿宋"/>
        </w:rPr>
        <w:t>负责公布县级文物保护单位，推荐、申报市级、省级、国家级重点文物保护单位、国家级历史文化名城和世界文化遗产。</w:t>
      </w:r>
    </w:p>
    <w:p w14:paraId="7FAFECE1">
      <w:pPr>
        <w:pStyle w:val="8"/>
        <w:ind w:firstLine="560"/>
        <w:outlineLvl w:val="2"/>
        <w:rPr>
          <w:rFonts w:ascii="仿宋" w:hAnsi="仿宋"/>
        </w:rPr>
      </w:pPr>
      <w:r>
        <w:rPr>
          <w:rFonts w:hint="eastAsia" w:ascii="仿宋"/>
        </w:rPr>
        <w:t>（12）</w:t>
      </w:r>
      <w:r>
        <w:rPr>
          <w:rFonts w:hint="eastAsia" w:ascii="仿宋" w:hAnsi="仿宋"/>
        </w:rPr>
        <w:t>负责落实各级文物保护单位的“四有”工作及其档案管理；负责全市境内地上地下文物的保护、抢救工作，依照有关法律、法令，推荐申报各级重点文物的发掘、保护、维修项目；配合运城市文物局，管理全市文物考古的调查、勘探和发掘工作；编制全市文物事业经费预算，监督文物专项经费的使用情况。</w:t>
      </w:r>
    </w:p>
    <w:p w14:paraId="39CA3C9E">
      <w:pPr>
        <w:pStyle w:val="8"/>
        <w:ind w:firstLine="560"/>
        <w:outlineLvl w:val="2"/>
        <w:rPr>
          <w:rFonts w:ascii="仿宋" w:hAnsi="仿宋"/>
        </w:rPr>
      </w:pPr>
      <w:r>
        <w:rPr>
          <w:rFonts w:hint="eastAsia" w:ascii="仿宋"/>
        </w:rPr>
        <w:t>（13）</w:t>
      </w:r>
      <w:r>
        <w:rPr>
          <w:rFonts w:hint="eastAsia" w:ascii="仿宋" w:hAnsi="仿宋"/>
        </w:rPr>
        <w:t>负责文化和旅游、广播电视和网络视听节目服务、文物保护的行政审批工作;负责对文化和旅游类、广播电视和网络视听节目服务类、文物保护类社会组织进行登记前审查、日常管理和监督;指导文化和旅游、广播电视和网络视听节目服务、文物保护行业组织的业务工作。</w:t>
      </w:r>
    </w:p>
    <w:p w14:paraId="07A0DB58">
      <w:pPr>
        <w:pStyle w:val="8"/>
        <w:ind w:firstLine="560"/>
        <w:outlineLvl w:val="2"/>
        <w:rPr>
          <w:rFonts w:ascii="仿宋" w:hAnsi="仿宋"/>
        </w:rPr>
      </w:pPr>
      <w:r>
        <w:rPr>
          <w:rFonts w:hint="eastAsia" w:ascii="仿宋"/>
        </w:rPr>
        <w:t>（14）</w:t>
      </w:r>
      <w:r>
        <w:rPr>
          <w:rFonts w:hint="eastAsia" w:ascii="仿宋" w:hAnsi="仿宋"/>
        </w:rPr>
        <w:t>指导全市文化和旅游市场、广播电视市场、文物保护综合执法工作;依法组织查处全市性、跨区域文化和旅游市场、广播电视市场、文物市场的违法行为;督查督办大案要案，维护市场秩序;履行文物行政执法督察职责，协同有关部门查处文物犯罪案件，督促、检查、指导、协调全市文物安全工作。</w:t>
      </w:r>
    </w:p>
    <w:p w14:paraId="65700276">
      <w:pPr>
        <w:pStyle w:val="8"/>
        <w:ind w:firstLine="560"/>
        <w:outlineLvl w:val="2"/>
        <w:rPr>
          <w:rFonts w:ascii="仿宋" w:hAnsi="仿宋"/>
        </w:rPr>
      </w:pPr>
      <w:r>
        <w:rPr>
          <w:rFonts w:hint="eastAsia" w:ascii="仿宋"/>
        </w:rPr>
        <w:t>（15）</w:t>
      </w:r>
      <w:r>
        <w:rPr>
          <w:rFonts w:hint="eastAsia" w:ascii="仿宋" w:hAnsi="仿宋"/>
        </w:rPr>
        <w:t>制定并组织实施全市文化和旅游行业、广播电视网络视听行业、文物保护行业人才队伍建设规划，组织实施从业人员职业资格制度和等级制度。</w:t>
      </w:r>
    </w:p>
    <w:p w14:paraId="06CC0E2A">
      <w:pPr>
        <w:pStyle w:val="8"/>
        <w:snapToGrid/>
        <w:ind w:firstLine="560"/>
        <w:outlineLvl w:val="2"/>
        <w:rPr>
          <w:rFonts w:ascii="仿宋" w:hAnsi="仿宋"/>
        </w:rPr>
      </w:pPr>
      <w:r>
        <w:rPr>
          <w:rFonts w:hint="eastAsia" w:ascii="仿宋"/>
        </w:rPr>
        <w:t>（16）</w:t>
      </w:r>
      <w:r>
        <w:rPr>
          <w:rFonts w:hint="eastAsia" w:ascii="仿宋" w:hAnsi="仿宋"/>
        </w:rPr>
        <w:t>完成市委市政府交办的其他工作。</w:t>
      </w:r>
    </w:p>
    <w:p w14:paraId="7676DB18">
      <w:pPr>
        <w:pStyle w:val="8"/>
        <w:spacing w:line="580" w:lineRule="exact"/>
        <w:ind w:firstLine="562"/>
        <w:outlineLvl w:val="3"/>
        <w:rPr>
          <w:rFonts w:ascii="仿宋" w:hAnsi="仿宋"/>
          <w:b/>
          <w:bCs/>
        </w:rPr>
      </w:pPr>
      <w:r>
        <w:rPr>
          <w:rFonts w:hint="eastAsia" w:ascii="仿宋" w:hAnsi="仿宋"/>
          <w:b/>
          <w:bCs/>
        </w:rPr>
        <w:t>2.部门组织机构及人员情况</w:t>
      </w:r>
    </w:p>
    <w:p w14:paraId="5B69DD78">
      <w:pPr>
        <w:pStyle w:val="8"/>
        <w:ind w:firstLine="560"/>
        <w:rPr>
          <w:rFonts w:ascii="仿宋" w:hAnsi="仿宋"/>
          <w:highlight w:val="yellow"/>
        </w:rPr>
      </w:pPr>
      <w:r>
        <w:rPr>
          <w:rFonts w:hint="eastAsia"/>
        </w:rPr>
        <w:t>永济市文旅局共有</w:t>
      </w:r>
      <w:r>
        <w:rPr>
          <w:rFonts w:hint="eastAsia" w:ascii="仿宋"/>
        </w:rPr>
        <w:t>7个</w:t>
      </w:r>
      <w:r>
        <w:rPr>
          <w:rFonts w:hint="eastAsia"/>
        </w:rPr>
        <w:t>独立核算单位，分别是</w:t>
      </w:r>
      <w:r>
        <w:rPr>
          <w:rFonts w:hint="eastAsia" w:ascii="仿宋" w:hAnsi="仿宋"/>
        </w:rPr>
        <w:t>永济市文化和旅游局、永济市文化市场综合行政执法队、永济市文化馆、永济市图书馆、永济市文物保护中心、永济市博物馆、永济市旅游服务中心。</w:t>
      </w:r>
    </w:p>
    <w:p w14:paraId="4D364AE0">
      <w:pPr>
        <w:pStyle w:val="8"/>
        <w:ind w:firstLine="560"/>
        <w:rPr>
          <w:rFonts w:ascii="仿宋"/>
        </w:rPr>
      </w:pPr>
      <w:r>
        <w:rPr>
          <w:rFonts w:hint="eastAsia" w:ascii="仿宋" w:hAnsi="仿宋"/>
        </w:rPr>
        <w:t>单位</w:t>
      </w:r>
      <w:r>
        <w:rPr>
          <w:rFonts w:hint="eastAsia" w:ascii="仿宋"/>
        </w:rPr>
        <w:t>编制人数139名（其中行政编制16名，事业编制123名），在职正式人数165名（其中行政在职17名，事业在职148名），临时人员22名，公益岗1名，具体明细见下表：</w:t>
      </w:r>
    </w:p>
    <w:p w14:paraId="4D4245CF">
      <w:pPr>
        <w:pStyle w:val="8"/>
        <w:spacing w:afterLines="50"/>
        <w:ind w:firstLine="562"/>
        <w:jc w:val="center"/>
        <w:rPr>
          <w:rFonts w:ascii="仿宋"/>
          <w:b/>
          <w:bCs/>
        </w:rPr>
      </w:pPr>
      <w:r>
        <w:rPr>
          <w:rFonts w:hint="eastAsia" w:ascii="仿宋"/>
          <w:b/>
          <w:bCs/>
        </w:rPr>
        <w:t>表1-1永济市文化和旅游局人员配备情况</w:t>
      </w:r>
    </w:p>
    <w:tbl>
      <w:tblPr>
        <w:tblStyle w:val="24"/>
        <w:tblW w:w="5000" w:type="pct"/>
        <w:tblInd w:w="0" w:type="dxa"/>
        <w:tblLayout w:type="fixed"/>
        <w:tblCellMar>
          <w:top w:w="0" w:type="dxa"/>
          <w:left w:w="108" w:type="dxa"/>
          <w:bottom w:w="0" w:type="dxa"/>
          <w:right w:w="108" w:type="dxa"/>
        </w:tblCellMar>
      </w:tblPr>
      <w:tblGrid>
        <w:gridCol w:w="3246"/>
        <w:gridCol w:w="1381"/>
        <w:gridCol w:w="1466"/>
        <w:gridCol w:w="1306"/>
        <w:gridCol w:w="1117"/>
      </w:tblGrid>
      <w:tr w14:paraId="0D23850E">
        <w:tblPrEx>
          <w:tblCellMar>
            <w:top w:w="0" w:type="dxa"/>
            <w:left w:w="108" w:type="dxa"/>
            <w:bottom w:w="0" w:type="dxa"/>
            <w:right w:w="108" w:type="dxa"/>
          </w:tblCellMar>
        </w:tblPrEx>
        <w:trPr>
          <w:trHeight w:val="482" w:hRule="atLeast"/>
          <w:tblHeader/>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5790">
            <w:pPr>
              <w:spacing w:line="240" w:lineRule="exact"/>
              <w:jc w:val="center"/>
              <w:textAlignment w:val="center"/>
              <w:rPr>
                <w:b/>
                <w:bCs/>
                <w:color w:val="000000"/>
                <w:sz w:val="21"/>
                <w:szCs w:val="21"/>
              </w:rPr>
            </w:pPr>
            <w:r>
              <w:rPr>
                <w:rFonts w:hint="eastAsia"/>
                <w:b/>
                <w:bCs/>
                <w:color w:val="000000"/>
                <w:sz w:val="21"/>
                <w:szCs w:val="21"/>
              </w:rPr>
              <w:t>单位</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9B3D">
            <w:pPr>
              <w:spacing w:line="240" w:lineRule="exact"/>
              <w:jc w:val="center"/>
              <w:textAlignment w:val="center"/>
              <w:rPr>
                <w:b/>
                <w:bCs/>
                <w:color w:val="000000"/>
                <w:sz w:val="21"/>
                <w:szCs w:val="21"/>
              </w:rPr>
            </w:pPr>
            <w:r>
              <w:rPr>
                <w:rFonts w:hint="eastAsia"/>
                <w:b/>
                <w:bCs/>
                <w:color w:val="000000"/>
                <w:sz w:val="21"/>
                <w:szCs w:val="21"/>
              </w:rPr>
              <w:t>编制人数</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E382B">
            <w:pPr>
              <w:spacing w:line="240" w:lineRule="exact"/>
              <w:jc w:val="center"/>
              <w:textAlignment w:val="center"/>
              <w:rPr>
                <w:b/>
                <w:bCs/>
                <w:color w:val="000000"/>
                <w:sz w:val="21"/>
                <w:szCs w:val="21"/>
              </w:rPr>
            </w:pPr>
            <w:r>
              <w:rPr>
                <w:rFonts w:hint="eastAsia"/>
                <w:b/>
                <w:bCs/>
                <w:color w:val="000000"/>
                <w:sz w:val="21"/>
                <w:szCs w:val="21"/>
              </w:rPr>
              <w:t>在职正式人员</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2331">
            <w:pPr>
              <w:spacing w:line="240" w:lineRule="exact"/>
              <w:jc w:val="center"/>
              <w:textAlignment w:val="center"/>
              <w:rPr>
                <w:b/>
                <w:bCs/>
                <w:color w:val="000000"/>
                <w:sz w:val="21"/>
                <w:szCs w:val="21"/>
              </w:rPr>
            </w:pPr>
            <w:r>
              <w:rPr>
                <w:rFonts w:hint="eastAsia"/>
                <w:b/>
                <w:bCs/>
                <w:color w:val="000000"/>
                <w:sz w:val="21"/>
                <w:szCs w:val="21"/>
              </w:rPr>
              <w:t>临时人员</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F77A">
            <w:pPr>
              <w:spacing w:line="240" w:lineRule="exact"/>
              <w:jc w:val="center"/>
              <w:textAlignment w:val="center"/>
              <w:rPr>
                <w:b/>
                <w:bCs/>
                <w:color w:val="000000"/>
                <w:sz w:val="21"/>
                <w:szCs w:val="21"/>
              </w:rPr>
            </w:pPr>
            <w:r>
              <w:rPr>
                <w:rFonts w:hint="eastAsia"/>
                <w:b/>
                <w:bCs/>
                <w:color w:val="000000"/>
                <w:sz w:val="21"/>
                <w:szCs w:val="21"/>
              </w:rPr>
              <w:t>公益岗</w:t>
            </w:r>
          </w:p>
        </w:tc>
      </w:tr>
      <w:tr w14:paraId="3373A417">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9632">
            <w:pPr>
              <w:textAlignment w:val="center"/>
              <w:rPr>
                <w:color w:val="000000"/>
                <w:sz w:val="21"/>
                <w:szCs w:val="21"/>
              </w:rPr>
            </w:pPr>
            <w:r>
              <w:rPr>
                <w:rFonts w:hint="eastAsia"/>
                <w:color w:val="000000"/>
                <w:kern w:val="0"/>
                <w:sz w:val="21"/>
                <w:szCs w:val="21"/>
              </w:rPr>
              <w:t>永济市文化和旅游局</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703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98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17</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38D7">
            <w:pPr>
              <w:jc w:val="right"/>
              <w:rPr>
                <w:rFonts w:ascii="Arial Narrow" w:hAnsi="Arial Narrow" w:cs="Arial Narrow"/>
                <w:color w:val="000000"/>
                <w:sz w:val="21"/>
                <w:szCs w:val="21"/>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3A04">
            <w:pPr>
              <w:jc w:val="right"/>
              <w:rPr>
                <w:rFonts w:ascii="Arial Narrow" w:hAnsi="Arial Narrow" w:cs="Arial Narrow"/>
                <w:color w:val="000000"/>
                <w:sz w:val="21"/>
                <w:szCs w:val="21"/>
              </w:rPr>
            </w:pPr>
          </w:p>
        </w:tc>
      </w:tr>
      <w:tr w14:paraId="13B2F692">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1817">
            <w:pPr>
              <w:textAlignment w:val="center"/>
              <w:rPr>
                <w:color w:val="000000"/>
                <w:sz w:val="21"/>
                <w:szCs w:val="21"/>
              </w:rPr>
            </w:pPr>
            <w:r>
              <w:rPr>
                <w:rFonts w:hint="eastAsia"/>
                <w:color w:val="000000"/>
                <w:kern w:val="0"/>
                <w:sz w:val="21"/>
                <w:szCs w:val="21"/>
              </w:rPr>
              <w:t>永济市文化市场综合行政执法队</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BB6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A98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13</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6F0">
            <w:pPr>
              <w:jc w:val="right"/>
              <w:rPr>
                <w:rFonts w:ascii="Arial Narrow" w:hAnsi="Arial Narrow" w:cs="Arial Narrow"/>
                <w:color w:val="000000"/>
                <w:sz w:val="21"/>
                <w:szCs w:val="21"/>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D44A">
            <w:pPr>
              <w:jc w:val="right"/>
              <w:rPr>
                <w:rFonts w:ascii="Arial Narrow" w:hAnsi="Arial Narrow" w:cs="Arial Narrow"/>
                <w:color w:val="000000"/>
                <w:sz w:val="21"/>
                <w:szCs w:val="21"/>
              </w:rPr>
            </w:pPr>
          </w:p>
        </w:tc>
      </w:tr>
      <w:tr w14:paraId="2A07951F">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6130">
            <w:pPr>
              <w:textAlignment w:val="center"/>
              <w:rPr>
                <w:color w:val="000000"/>
                <w:sz w:val="21"/>
                <w:szCs w:val="21"/>
              </w:rPr>
            </w:pPr>
            <w:r>
              <w:rPr>
                <w:rFonts w:hint="eastAsia"/>
                <w:color w:val="000000"/>
                <w:kern w:val="0"/>
                <w:sz w:val="21"/>
                <w:szCs w:val="21"/>
              </w:rPr>
              <w:t>永济市文化馆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068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8</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765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28</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AF799">
            <w:pPr>
              <w:jc w:val="right"/>
              <w:rPr>
                <w:rFonts w:ascii="Arial Narrow" w:hAnsi="Arial Narrow" w:cs="Arial Narrow"/>
                <w:color w:val="000000"/>
                <w:sz w:val="21"/>
                <w:szCs w:val="21"/>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4E36">
            <w:pPr>
              <w:jc w:val="right"/>
              <w:rPr>
                <w:rFonts w:ascii="Arial Narrow" w:hAnsi="Arial Narrow" w:cs="Arial Narrow"/>
                <w:color w:val="000000"/>
                <w:sz w:val="21"/>
                <w:szCs w:val="21"/>
              </w:rPr>
            </w:pPr>
          </w:p>
        </w:tc>
      </w:tr>
      <w:tr w14:paraId="56087177">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FCB0">
            <w:pPr>
              <w:textAlignment w:val="center"/>
              <w:rPr>
                <w:color w:val="000000"/>
                <w:sz w:val="21"/>
                <w:szCs w:val="21"/>
              </w:rPr>
            </w:pPr>
            <w:r>
              <w:rPr>
                <w:rFonts w:hint="eastAsia"/>
                <w:color w:val="000000"/>
                <w:kern w:val="0"/>
                <w:sz w:val="21"/>
                <w:szCs w:val="21"/>
              </w:rPr>
              <w:t>永济市图书馆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D16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8</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41B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23</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FFE6">
            <w:pPr>
              <w:jc w:val="right"/>
              <w:rPr>
                <w:rFonts w:ascii="Arial Narrow" w:hAnsi="Arial Narrow" w:cs="Arial Narrow"/>
                <w:color w:val="000000"/>
                <w:sz w:val="21"/>
                <w:szCs w:val="21"/>
              </w:rPr>
            </w:pPr>
            <w:r>
              <w:rPr>
                <w:rFonts w:hint="eastAsia" w:ascii="Arial Narrow" w:hAnsi="Arial Narrow" w:cs="Arial Narrow"/>
                <w:color w:val="000000"/>
                <w:sz w:val="21"/>
                <w:szCs w:val="21"/>
              </w:rPr>
              <w:t>9</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E4630">
            <w:pPr>
              <w:jc w:val="right"/>
              <w:rPr>
                <w:rFonts w:ascii="Arial Narrow" w:hAnsi="Arial Narrow" w:cs="Arial Narrow"/>
                <w:color w:val="000000"/>
                <w:sz w:val="21"/>
                <w:szCs w:val="21"/>
              </w:rPr>
            </w:pPr>
          </w:p>
        </w:tc>
      </w:tr>
      <w:tr w14:paraId="5FB68687">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D312">
            <w:pPr>
              <w:textAlignment w:val="center"/>
              <w:rPr>
                <w:color w:val="000000"/>
                <w:sz w:val="21"/>
                <w:szCs w:val="21"/>
              </w:rPr>
            </w:pPr>
            <w:r>
              <w:rPr>
                <w:rFonts w:hint="eastAsia"/>
                <w:color w:val="000000"/>
                <w:kern w:val="0"/>
                <w:sz w:val="21"/>
                <w:szCs w:val="21"/>
              </w:rPr>
              <w:t>永济市文物保护中心</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630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56</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A28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42</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0932">
            <w:pPr>
              <w:jc w:val="right"/>
              <w:rPr>
                <w:rFonts w:ascii="Arial Narrow" w:hAnsi="Arial Narrow" w:cs="Arial Narrow"/>
                <w:color w:val="000000"/>
                <w:sz w:val="21"/>
                <w:szCs w:val="21"/>
              </w:rPr>
            </w:pPr>
            <w:r>
              <w:rPr>
                <w:rFonts w:hint="eastAsia" w:ascii="Arial Narrow" w:hAnsi="Arial Narrow" w:cs="Arial Narrow"/>
                <w:color w:val="000000"/>
                <w:sz w:val="21"/>
                <w:szCs w:val="21"/>
              </w:rPr>
              <w:t>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7BF2">
            <w:pPr>
              <w:jc w:val="right"/>
              <w:rPr>
                <w:rFonts w:ascii="Arial Narrow" w:hAnsi="Arial Narrow" w:cs="Arial Narrow"/>
                <w:color w:val="000000"/>
                <w:sz w:val="21"/>
                <w:szCs w:val="21"/>
              </w:rPr>
            </w:pPr>
          </w:p>
        </w:tc>
      </w:tr>
      <w:tr w14:paraId="01919B90">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DC85">
            <w:pPr>
              <w:textAlignment w:val="center"/>
              <w:rPr>
                <w:color w:val="000000"/>
                <w:sz w:val="21"/>
                <w:szCs w:val="21"/>
              </w:rPr>
            </w:pPr>
            <w:r>
              <w:rPr>
                <w:rFonts w:hint="eastAsia"/>
                <w:color w:val="000000"/>
                <w:kern w:val="0"/>
                <w:sz w:val="21"/>
                <w:szCs w:val="21"/>
              </w:rPr>
              <w:t>永济市博物馆</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F12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25</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BDC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24</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120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10</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2DE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w:t>
            </w:r>
          </w:p>
        </w:tc>
      </w:tr>
      <w:tr w14:paraId="14FEC45C">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ECEE">
            <w:pPr>
              <w:textAlignment w:val="center"/>
              <w:rPr>
                <w:color w:val="000000"/>
                <w:sz w:val="21"/>
                <w:szCs w:val="21"/>
              </w:rPr>
            </w:pPr>
            <w:r>
              <w:rPr>
                <w:rFonts w:hint="eastAsia"/>
                <w:color w:val="000000"/>
                <w:kern w:val="0"/>
                <w:sz w:val="21"/>
                <w:szCs w:val="21"/>
              </w:rPr>
              <w:t>永济市旅游服务中心</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7B2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10</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C50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18</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6641">
            <w:pPr>
              <w:jc w:val="right"/>
              <w:rPr>
                <w:rFonts w:ascii="Arial Narrow" w:hAnsi="Arial Narrow" w:cs="Arial Narrow"/>
                <w:color w:val="000000"/>
                <w:sz w:val="21"/>
                <w:szCs w:val="21"/>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7DC71">
            <w:pPr>
              <w:jc w:val="right"/>
              <w:rPr>
                <w:rFonts w:ascii="Arial Narrow" w:hAnsi="Arial Narrow" w:cs="Arial Narrow"/>
                <w:color w:val="000000"/>
                <w:sz w:val="21"/>
                <w:szCs w:val="21"/>
              </w:rPr>
            </w:pPr>
          </w:p>
        </w:tc>
      </w:tr>
      <w:tr w14:paraId="702127A7">
        <w:tblPrEx>
          <w:tblCellMar>
            <w:top w:w="0" w:type="dxa"/>
            <w:left w:w="108" w:type="dxa"/>
            <w:bottom w:w="0" w:type="dxa"/>
            <w:right w:w="108" w:type="dxa"/>
          </w:tblCellMar>
        </w:tblPrEx>
        <w:trPr>
          <w:trHeight w:val="482" w:hRule="atLeast"/>
        </w:trPr>
        <w:tc>
          <w:tcPr>
            <w:tcW w:w="1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D922">
            <w:pPr>
              <w:jc w:val="center"/>
              <w:textAlignment w:val="center"/>
              <w:rPr>
                <w:b/>
                <w:bCs/>
                <w:color w:val="000000"/>
                <w:sz w:val="21"/>
                <w:szCs w:val="21"/>
              </w:rPr>
            </w:pPr>
            <w:r>
              <w:rPr>
                <w:rFonts w:hint="eastAsia"/>
                <w:b/>
                <w:bCs/>
                <w:color w:val="000000"/>
                <w:kern w:val="0"/>
                <w:sz w:val="21"/>
                <w:szCs w:val="21"/>
              </w:rPr>
              <w:t>合计</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F308">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139</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DF63">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165</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8F919">
            <w:pPr>
              <w:jc w:val="right"/>
              <w:textAlignment w:val="center"/>
              <w:rPr>
                <w:rFonts w:ascii="Arial Narrow" w:hAnsi="Arial Narrow" w:cs="Arial Narrow"/>
                <w:b/>
                <w:bCs/>
                <w:color w:val="000000"/>
                <w:sz w:val="21"/>
                <w:szCs w:val="21"/>
              </w:rPr>
            </w:pPr>
            <w:r>
              <w:rPr>
                <w:rFonts w:hint="eastAsia" w:ascii="Arial Narrow" w:hAnsi="Arial Narrow" w:eastAsia="Arial Narrow" w:cs="Arial Narrow"/>
                <w:b/>
                <w:bCs/>
                <w:color w:val="000000"/>
                <w:kern w:val="0"/>
                <w:sz w:val="21"/>
                <w:szCs w:val="21"/>
              </w:rPr>
              <w:t>22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4B8E">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1</w:t>
            </w:r>
          </w:p>
        </w:tc>
      </w:tr>
      <w:bookmarkEnd w:id="112"/>
      <w:bookmarkEnd w:id="131"/>
      <w:bookmarkEnd w:id="132"/>
      <w:bookmarkEnd w:id="133"/>
      <w:bookmarkEnd w:id="134"/>
      <w:bookmarkEnd w:id="145"/>
      <w:bookmarkEnd w:id="146"/>
      <w:bookmarkEnd w:id="147"/>
      <w:bookmarkEnd w:id="148"/>
      <w:bookmarkEnd w:id="149"/>
      <w:bookmarkEnd w:id="150"/>
    </w:tbl>
    <w:p w14:paraId="1682800B">
      <w:pPr>
        <w:pStyle w:val="3"/>
        <w:ind w:firstLine="562"/>
        <w:rPr>
          <w:shd w:val="clear" w:color="auto" w:fill="FFFFFF"/>
        </w:rPr>
      </w:pPr>
      <w:bookmarkStart w:id="151" w:name="_Toc29199"/>
      <w:bookmarkStart w:id="152" w:name="_Toc180503497"/>
      <w:bookmarkStart w:id="153" w:name="_Toc180138872"/>
      <w:bookmarkStart w:id="154" w:name="_Toc29735"/>
      <w:bookmarkStart w:id="155" w:name="_Toc18008"/>
      <w:bookmarkStart w:id="156" w:name="_Toc31446"/>
      <w:bookmarkStart w:id="157" w:name="_Toc8105"/>
      <w:bookmarkStart w:id="158" w:name="_Toc15874"/>
      <w:bookmarkStart w:id="159" w:name="_Toc9381_WPSOffice_Level2"/>
      <w:bookmarkStart w:id="160" w:name="_Toc17907"/>
      <w:r>
        <w:rPr>
          <w:rFonts w:hint="eastAsia"/>
          <w:shd w:val="clear" w:color="auto" w:fill="FFFFFF"/>
        </w:rPr>
        <w:t>（二）部门预算收支及结转结余情况</w:t>
      </w:r>
      <w:bookmarkEnd w:id="151"/>
      <w:bookmarkEnd w:id="152"/>
      <w:bookmarkEnd w:id="153"/>
    </w:p>
    <w:bookmarkEnd w:id="154"/>
    <w:bookmarkEnd w:id="155"/>
    <w:bookmarkEnd w:id="156"/>
    <w:bookmarkEnd w:id="157"/>
    <w:bookmarkEnd w:id="158"/>
    <w:bookmarkEnd w:id="159"/>
    <w:bookmarkEnd w:id="160"/>
    <w:p w14:paraId="4F0D5386">
      <w:pPr>
        <w:pStyle w:val="8"/>
        <w:widowControl w:val="0"/>
        <w:ind w:firstLine="562"/>
        <w:rPr>
          <w:rFonts w:ascii="仿宋" w:hAnsi="仿宋"/>
          <w:b/>
          <w:kern w:val="0"/>
          <w:shd w:val="clear" w:color="auto" w:fill="FFFFFF"/>
        </w:rPr>
      </w:pPr>
      <w:bookmarkStart w:id="161" w:name="_Toc9283"/>
      <w:bookmarkStart w:id="162" w:name="_Toc27450"/>
      <w:bookmarkStart w:id="163" w:name="_Toc5282"/>
      <w:bookmarkStart w:id="164" w:name="_Toc9381_WPSOffice_Level1"/>
      <w:r>
        <w:rPr>
          <w:rFonts w:hint="eastAsia" w:ascii="仿宋" w:hAnsi="仿宋"/>
          <w:b/>
          <w:kern w:val="0"/>
          <w:shd w:val="clear" w:color="auto" w:fill="FFFFFF"/>
        </w:rPr>
        <w:t>1.预算收入情况</w:t>
      </w:r>
    </w:p>
    <w:p w14:paraId="7F879FF3">
      <w:pPr>
        <w:pStyle w:val="8"/>
        <w:widowControl w:val="0"/>
        <w:ind w:firstLine="560"/>
        <w:rPr>
          <w:rFonts w:ascii="仿宋" w:hAnsi="仿宋"/>
          <w:bCs/>
          <w:kern w:val="0"/>
          <w:shd w:val="clear" w:color="auto" w:fill="FFFFFF"/>
        </w:rPr>
      </w:pPr>
      <w:r>
        <w:rPr>
          <w:rFonts w:hint="eastAsia" w:ascii="仿宋" w:hAnsi="仿宋"/>
          <w:bCs/>
          <w:kern w:val="0"/>
          <w:shd w:val="clear" w:color="auto" w:fill="FFFFFF"/>
        </w:rPr>
        <w:t>2023年度永济市文旅局预算批复共计8,234.91万元，其中：年初预算3,225.64万元，追加预算5,009.27万元。另外上年末结转至本年度资金52.54万元，本年度收入共计8,287.45万元。具体情况见</w:t>
      </w:r>
      <w:r>
        <w:rPr>
          <w:rFonts w:hint="eastAsia" w:ascii="仿宋"/>
          <w:bCs/>
          <w:kern w:val="0"/>
          <w:shd w:val="clear" w:color="auto" w:fill="FFFFFF"/>
        </w:rPr>
        <w:t>下表</w:t>
      </w:r>
      <w:r>
        <w:rPr>
          <w:rFonts w:hint="eastAsia" w:ascii="仿宋" w:hAnsi="仿宋"/>
          <w:bCs/>
          <w:kern w:val="0"/>
          <w:shd w:val="clear" w:color="auto" w:fill="FFFFFF"/>
        </w:rPr>
        <w:t>：</w:t>
      </w:r>
    </w:p>
    <w:p w14:paraId="4764C22F">
      <w:pPr>
        <w:jc w:val="center"/>
        <w:rPr>
          <w:b/>
          <w:kern w:val="0"/>
          <w:shd w:val="clear" w:color="auto" w:fill="FFFFFF"/>
        </w:rPr>
      </w:pPr>
      <w:r>
        <w:rPr>
          <w:rFonts w:hint="eastAsia"/>
          <w:b/>
          <w:kern w:val="0"/>
          <w:shd w:val="clear" w:color="auto" w:fill="FFFFFF"/>
        </w:rPr>
        <w:t>表1-2预算收入统计表</w:t>
      </w:r>
    </w:p>
    <w:p w14:paraId="781B4ACA">
      <w:pPr>
        <w:pStyle w:val="8"/>
        <w:ind w:firstLine="480"/>
        <w:jc w:val="right"/>
        <w:rPr>
          <w:sz w:val="24"/>
          <w:szCs w:val="21"/>
        </w:rPr>
      </w:pPr>
      <w:r>
        <w:rPr>
          <w:rFonts w:hint="eastAsia"/>
          <w:sz w:val="24"/>
          <w:szCs w:val="21"/>
        </w:rPr>
        <w:t>单位：万元</w:t>
      </w:r>
    </w:p>
    <w:tbl>
      <w:tblPr>
        <w:tblStyle w:val="24"/>
        <w:tblW w:w="5000" w:type="pct"/>
        <w:tblInd w:w="0" w:type="dxa"/>
        <w:tblLayout w:type="fixed"/>
        <w:tblCellMar>
          <w:top w:w="0" w:type="dxa"/>
          <w:left w:w="108" w:type="dxa"/>
          <w:bottom w:w="0" w:type="dxa"/>
          <w:right w:w="108" w:type="dxa"/>
        </w:tblCellMar>
      </w:tblPr>
      <w:tblGrid>
        <w:gridCol w:w="4066"/>
        <w:gridCol w:w="1132"/>
        <w:gridCol w:w="1087"/>
        <w:gridCol w:w="1110"/>
        <w:gridCol w:w="1121"/>
      </w:tblGrid>
      <w:tr w14:paraId="0379B304">
        <w:tblPrEx>
          <w:tblCellMar>
            <w:top w:w="0" w:type="dxa"/>
            <w:left w:w="108" w:type="dxa"/>
            <w:bottom w:w="0" w:type="dxa"/>
            <w:right w:w="108" w:type="dxa"/>
          </w:tblCellMar>
        </w:tblPrEx>
        <w:trPr>
          <w:trHeight w:val="482" w:hRule="atLeast"/>
          <w:tblHeader/>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3A92">
            <w:pPr>
              <w:spacing w:line="280" w:lineRule="exact"/>
              <w:jc w:val="center"/>
              <w:textAlignment w:val="center"/>
              <w:rPr>
                <w:b/>
                <w:bCs/>
                <w:color w:val="000000"/>
                <w:sz w:val="21"/>
                <w:szCs w:val="21"/>
              </w:rPr>
            </w:pPr>
            <w:r>
              <w:rPr>
                <w:rFonts w:hint="eastAsia"/>
                <w:b/>
                <w:bCs/>
                <w:color w:val="000000"/>
                <w:kern w:val="0"/>
                <w:sz w:val="21"/>
                <w:szCs w:val="21"/>
              </w:rPr>
              <w:t>项 目</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181D">
            <w:pPr>
              <w:spacing w:line="280" w:lineRule="exact"/>
              <w:jc w:val="center"/>
              <w:textAlignment w:val="center"/>
              <w:rPr>
                <w:b/>
                <w:bCs/>
                <w:color w:val="000000"/>
                <w:sz w:val="21"/>
                <w:szCs w:val="21"/>
              </w:rPr>
            </w:pPr>
            <w:r>
              <w:rPr>
                <w:rFonts w:hint="eastAsia"/>
                <w:b/>
                <w:bCs/>
                <w:color w:val="000000"/>
                <w:kern w:val="0"/>
                <w:sz w:val="21"/>
                <w:szCs w:val="21"/>
              </w:rPr>
              <w:t>上年结转</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45FD">
            <w:pPr>
              <w:spacing w:line="280" w:lineRule="exact"/>
              <w:jc w:val="center"/>
              <w:textAlignment w:val="center"/>
              <w:rPr>
                <w:b/>
                <w:bCs/>
                <w:color w:val="000000"/>
                <w:sz w:val="21"/>
                <w:szCs w:val="21"/>
              </w:rPr>
            </w:pPr>
            <w:r>
              <w:rPr>
                <w:rFonts w:hint="eastAsia"/>
                <w:b/>
                <w:bCs/>
                <w:color w:val="000000"/>
                <w:kern w:val="0"/>
                <w:sz w:val="21"/>
                <w:szCs w:val="21"/>
              </w:rPr>
              <w:t>年初预算</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D3281">
            <w:pPr>
              <w:spacing w:line="280" w:lineRule="exact"/>
              <w:jc w:val="center"/>
              <w:textAlignment w:val="center"/>
              <w:rPr>
                <w:b/>
                <w:bCs/>
                <w:color w:val="000000"/>
                <w:sz w:val="21"/>
                <w:szCs w:val="21"/>
              </w:rPr>
            </w:pPr>
            <w:r>
              <w:rPr>
                <w:rFonts w:hint="eastAsia"/>
                <w:b/>
                <w:bCs/>
                <w:color w:val="000000"/>
                <w:kern w:val="0"/>
                <w:sz w:val="21"/>
                <w:szCs w:val="21"/>
              </w:rPr>
              <w:t>追加预算</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79F6">
            <w:pPr>
              <w:spacing w:line="280" w:lineRule="exact"/>
              <w:jc w:val="center"/>
              <w:textAlignment w:val="center"/>
              <w:rPr>
                <w:b/>
                <w:bCs/>
                <w:color w:val="000000"/>
                <w:sz w:val="21"/>
                <w:szCs w:val="21"/>
              </w:rPr>
            </w:pPr>
            <w:r>
              <w:rPr>
                <w:rFonts w:hint="eastAsia"/>
                <w:b/>
                <w:bCs/>
                <w:color w:val="000000"/>
                <w:kern w:val="0"/>
                <w:sz w:val="21"/>
                <w:szCs w:val="21"/>
              </w:rPr>
              <w:t>合计</w:t>
            </w:r>
          </w:p>
        </w:tc>
      </w:tr>
      <w:tr w14:paraId="6C1E01A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B8B6">
            <w:pPr>
              <w:textAlignment w:val="center"/>
              <w:rPr>
                <w:b/>
                <w:bCs/>
                <w:color w:val="000000"/>
                <w:sz w:val="21"/>
                <w:szCs w:val="21"/>
              </w:rPr>
            </w:pPr>
            <w:r>
              <w:rPr>
                <w:rFonts w:hint="eastAsia"/>
                <w:b/>
                <w:bCs/>
                <w:color w:val="000000"/>
                <w:kern w:val="0"/>
                <w:sz w:val="21"/>
                <w:szCs w:val="21"/>
              </w:rPr>
              <w:t>基本支出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9611">
            <w:pPr>
              <w:jc w:val="right"/>
              <w:rPr>
                <w:rFonts w:ascii="Arial Narrow" w:hAnsi="Arial Narrow" w:cs="Arial Narrow"/>
                <w:b/>
                <w:bCs/>
                <w:color w:val="000000"/>
                <w:sz w:val="21"/>
                <w:szCs w:val="21"/>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8A5F">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1,589.14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4ABF">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96.01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10FC">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1,685.15 </w:t>
            </w:r>
          </w:p>
        </w:tc>
      </w:tr>
      <w:tr w14:paraId="71647E2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2EB6">
            <w:pPr>
              <w:textAlignment w:val="center"/>
              <w:rPr>
                <w:color w:val="000000"/>
                <w:sz w:val="21"/>
                <w:szCs w:val="21"/>
              </w:rPr>
            </w:pPr>
            <w:r>
              <w:rPr>
                <w:rFonts w:hint="eastAsia"/>
                <w:color w:val="000000"/>
                <w:kern w:val="0"/>
                <w:sz w:val="21"/>
                <w:szCs w:val="21"/>
              </w:rPr>
              <w:t>人员经费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E7B0">
            <w:pPr>
              <w:jc w:val="right"/>
              <w:rPr>
                <w:rFonts w:ascii="Arial Narrow" w:hAnsi="Arial Narrow" w:cs="Arial Narrow"/>
                <w:color w:val="000000"/>
                <w:sz w:val="21"/>
                <w:szCs w:val="21"/>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6F0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1,507.24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845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96.01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FC45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1,603.25 </w:t>
            </w:r>
          </w:p>
        </w:tc>
      </w:tr>
      <w:tr w14:paraId="68E5576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3CD6">
            <w:pPr>
              <w:textAlignment w:val="center"/>
              <w:rPr>
                <w:color w:val="000000"/>
                <w:sz w:val="21"/>
                <w:szCs w:val="21"/>
              </w:rPr>
            </w:pPr>
            <w:r>
              <w:rPr>
                <w:rFonts w:hint="eastAsia"/>
                <w:color w:val="000000"/>
                <w:kern w:val="0"/>
                <w:sz w:val="21"/>
                <w:szCs w:val="21"/>
              </w:rPr>
              <w:t>公用经费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4EED">
            <w:pPr>
              <w:jc w:val="right"/>
              <w:rPr>
                <w:rFonts w:ascii="Arial Narrow" w:hAnsi="Arial Narrow" w:cs="Arial Narrow"/>
                <w:color w:val="000000"/>
                <w:sz w:val="21"/>
                <w:szCs w:val="21"/>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0D3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81.90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8084">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DD7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81.90 </w:t>
            </w:r>
          </w:p>
        </w:tc>
      </w:tr>
      <w:tr w14:paraId="2E2D9B21">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907D">
            <w:pPr>
              <w:textAlignment w:val="center"/>
              <w:rPr>
                <w:b/>
                <w:bCs/>
                <w:color w:val="000000"/>
                <w:sz w:val="21"/>
                <w:szCs w:val="21"/>
              </w:rPr>
            </w:pPr>
            <w:r>
              <w:rPr>
                <w:rFonts w:hint="eastAsia"/>
                <w:b/>
                <w:bCs/>
                <w:color w:val="000000"/>
                <w:kern w:val="0"/>
                <w:sz w:val="21"/>
                <w:szCs w:val="21"/>
              </w:rPr>
              <w:t>财政拨款项目支出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26F5">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52.54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8AC3">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1,636.50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334A">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4,913.25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02EA">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6,602.30 </w:t>
            </w:r>
          </w:p>
        </w:tc>
      </w:tr>
      <w:tr w14:paraId="3F163FB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8239">
            <w:pPr>
              <w:textAlignment w:val="center"/>
              <w:rPr>
                <w:color w:val="000000"/>
                <w:sz w:val="21"/>
                <w:szCs w:val="21"/>
              </w:rPr>
            </w:pPr>
            <w:r>
              <w:rPr>
                <w:rFonts w:hint="eastAsia"/>
                <w:color w:val="000000"/>
                <w:kern w:val="0"/>
                <w:sz w:val="21"/>
                <w:szCs w:val="21"/>
              </w:rPr>
              <w:t>2023年人才国情研修（文旅领域）</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CF6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CF4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D25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19.28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9C72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19.28 </w:t>
            </w:r>
          </w:p>
        </w:tc>
      </w:tr>
      <w:tr w14:paraId="18DB7B0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F5F4">
            <w:pPr>
              <w:textAlignment w:val="center"/>
              <w:rPr>
                <w:color w:val="000000"/>
                <w:sz w:val="21"/>
                <w:szCs w:val="21"/>
              </w:rPr>
            </w:pPr>
            <w:r>
              <w:rPr>
                <w:rFonts w:hint="eastAsia"/>
                <w:color w:val="000000"/>
                <w:kern w:val="0"/>
                <w:sz w:val="21"/>
                <w:szCs w:val="21"/>
              </w:rPr>
              <w:t>党报党刊</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3F8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88F1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9CE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515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1.26 </w:t>
            </w:r>
          </w:p>
        </w:tc>
      </w:tr>
      <w:tr w14:paraId="4D5C725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6E24">
            <w:pPr>
              <w:textAlignment w:val="center"/>
              <w:rPr>
                <w:color w:val="000000"/>
                <w:sz w:val="21"/>
                <w:szCs w:val="21"/>
              </w:rPr>
            </w:pPr>
            <w:r>
              <w:rPr>
                <w:rFonts w:hint="eastAsia"/>
                <w:color w:val="000000"/>
                <w:kern w:val="0"/>
                <w:sz w:val="21"/>
                <w:szCs w:val="21"/>
              </w:rPr>
              <w:t>遗属补助及取暖费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D4D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EB4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9.13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E53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7B5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9.13 </w:t>
            </w:r>
          </w:p>
        </w:tc>
      </w:tr>
      <w:tr w14:paraId="6FCA7F21">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CFB4">
            <w:pPr>
              <w:textAlignment w:val="center"/>
              <w:rPr>
                <w:color w:val="000000"/>
                <w:sz w:val="21"/>
                <w:szCs w:val="21"/>
              </w:rPr>
            </w:pPr>
            <w:r>
              <w:rPr>
                <w:rFonts w:hint="eastAsia"/>
                <w:color w:val="000000"/>
                <w:kern w:val="0"/>
                <w:sz w:val="21"/>
                <w:szCs w:val="21"/>
              </w:rPr>
              <w:t>2023年文化强县艺术创作经费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FDD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2B5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ABA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572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r>
      <w:tr w14:paraId="6B0295A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04C9">
            <w:pPr>
              <w:textAlignment w:val="center"/>
              <w:rPr>
                <w:color w:val="000000"/>
                <w:sz w:val="21"/>
                <w:szCs w:val="21"/>
              </w:rPr>
            </w:pPr>
            <w:r>
              <w:rPr>
                <w:rFonts w:hint="eastAsia"/>
                <w:color w:val="000000"/>
                <w:kern w:val="0"/>
                <w:sz w:val="21"/>
                <w:szCs w:val="21"/>
              </w:rPr>
              <w:t>文旅市场安全生产、疫情防控工作资金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E1E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24F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910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25B2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r>
      <w:tr w14:paraId="2029F9F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4CB">
            <w:pPr>
              <w:textAlignment w:val="center"/>
              <w:rPr>
                <w:color w:val="000000"/>
                <w:sz w:val="21"/>
                <w:szCs w:val="21"/>
              </w:rPr>
            </w:pPr>
            <w:r>
              <w:rPr>
                <w:rFonts w:hint="eastAsia"/>
                <w:color w:val="000000"/>
                <w:kern w:val="0"/>
                <w:sz w:val="21"/>
                <w:szCs w:val="21"/>
              </w:rPr>
              <w:t>2022年旅游厕所建设省级专项资金(上年结转)</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DD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580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40.00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065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617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40.00 </w:t>
            </w:r>
          </w:p>
        </w:tc>
      </w:tr>
      <w:tr w14:paraId="237161B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78FD">
            <w:pPr>
              <w:textAlignment w:val="center"/>
              <w:rPr>
                <w:color w:val="000000"/>
                <w:sz w:val="21"/>
                <w:szCs w:val="21"/>
              </w:rPr>
            </w:pPr>
            <w:r>
              <w:rPr>
                <w:rFonts w:hint="eastAsia"/>
                <w:color w:val="000000"/>
                <w:kern w:val="0"/>
                <w:sz w:val="21"/>
                <w:szCs w:val="21"/>
              </w:rPr>
              <w:t>旅游发展专项资金(旅游厕所)</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DE1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D16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26.50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21B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79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26.50 </w:t>
            </w:r>
          </w:p>
        </w:tc>
      </w:tr>
      <w:tr w14:paraId="0132FF1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A1DF">
            <w:pPr>
              <w:textAlignment w:val="center"/>
              <w:rPr>
                <w:color w:val="000000"/>
                <w:sz w:val="21"/>
                <w:szCs w:val="21"/>
              </w:rPr>
            </w:pPr>
            <w:r>
              <w:rPr>
                <w:rFonts w:hint="eastAsia"/>
                <w:color w:val="000000"/>
                <w:kern w:val="0"/>
                <w:sz w:val="21"/>
                <w:szCs w:val="21"/>
              </w:rPr>
              <w:t>永济市思政课堂研学教育体验基地项目策划服务费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53C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324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3C8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28.50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93F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28.50 </w:t>
            </w:r>
          </w:p>
        </w:tc>
      </w:tr>
      <w:tr w14:paraId="0B457AB6">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E132">
            <w:pPr>
              <w:textAlignment w:val="center"/>
              <w:rPr>
                <w:color w:val="000000"/>
                <w:sz w:val="21"/>
                <w:szCs w:val="21"/>
              </w:rPr>
            </w:pPr>
            <w:r>
              <w:rPr>
                <w:rFonts w:hint="eastAsia"/>
                <w:color w:val="000000"/>
                <w:kern w:val="0"/>
                <w:sz w:val="21"/>
                <w:szCs w:val="21"/>
              </w:rPr>
              <w:t>2023年度A级景区门票优惠活动省级补贴资金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F6B9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FB0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233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50.91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CDF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50.91 </w:t>
            </w:r>
          </w:p>
        </w:tc>
      </w:tr>
      <w:tr w14:paraId="4F84CBA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3595">
            <w:pPr>
              <w:textAlignment w:val="center"/>
              <w:rPr>
                <w:color w:val="000000"/>
                <w:sz w:val="21"/>
                <w:szCs w:val="21"/>
              </w:rPr>
            </w:pPr>
            <w:r>
              <w:rPr>
                <w:rFonts w:hint="eastAsia"/>
                <w:color w:val="000000"/>
                <w:kern w:val="0"/>
                <w:sz w:val="21"/>
                <w:szCs w:val="21"/>
              </w:rPr>
              <w:t>2022年第四季度A级景区门票优惠活动补助资金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827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AA39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26F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0.34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45B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0.34 </w:t>
            </w:r>
          </w:p>
        </w:tc>
      </w:tr>
      <w:tr w14:paraId="594974DB">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64EE">
            <w:pPr>
              <w:textAlignment w:val="center"/>
              <w:rPr>
                <w:color w:val="000000"/>
                <w:sz w:val="21"/>
                <w:szCs w:val="21"/>
              </w:rPr>
            </w:pPr>
            <w:r>
              <w:rPr>
                <w:rFonts w:hint="eastAsia"/>
                <w:color w:val="000000"/>
                <w:kern w:val="0"/>
                <w:sz w:val="21"/>
                <w:szCs w:val="21"/>
              </w:rPr>
              <w:t>基建支出</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3B4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E11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C37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794.93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F29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794.93 </w:t>
            </w:r>
          </w:p>
        </w:tc>
      </w:tr>
      <w:tr w14:paraId="2F4F83CE">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ACDF">
            <w:pPr>
              <w:textAlignment w:val="center"/>
              <w:rPr>
                <w:color w:val="000000"/>
                <w:sz w:val="21"/>
                <w:szCs w:val="21"/>
              </w:rPr>
            </w:pPr>
            <w:r>
              <w:rPr>
                <w:rFonts w:hint="eastAsia"/>
                <w:color w:val="000000"/>
                <w:kern w:val="0"/>
                <w:sz w:val="21"/>
                <w:szCs w:val="21"/>
              </w:rPr>
              <w:t>五老峰景区暨黄河铁牛·鹳雀楼文化旅游区创建国家AAAAA级旅游景区综合咨询服务费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837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CD3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5AE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F78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34.00 </w:t>
            </w:r>
          </w:p>
        </w:tc>
      </w:tr>
      <w:tr w14:paraId="7D91ED5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14EA">
            <w:pPr>
              <w:textAlignment w:val="center"/>
              <w:rPr>
                <w:color w:val="000000"/>
                <w:sz w:val="21"/>
                <w:szCs w:val="21"/>
              </w:rPr>
            </w:pPr>
            <w:r>
              <w:rPr>
                <w:rFonts w:hint="eastAsia"/>
                <w:color w:val="000000"/>
                <w:kern w:val="0"/>
                <w:sz w:val="21"/>
                <w:szCs w:val="21"/>
              </w:rPr>
              <w:t>文游发展经费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549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2FB2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164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24.87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E918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24.87 </w:t>
            </w:r>
          </w:p>
        </w:tc>
      </w:tr>
      <w:tr w14:paraId="44A3225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A793">
            <w:pPr>
              <w:textAlignment w:val="center"/>
              <w:rPr>
                <w:color w:val="000000"/>
                <w:sz w:val="21"/>
                <w:szCs w:val="21"/>
              </w:rPr>
            </w:pPr>
            <w:r>
              <w:rPr>
                <w:rFonts w:hint="eastAsia"/>
                <w:color w:val="000000"/>
                <w:kern w:val="0"/>
                <w:sz w:val="21"/>
                <w:szCs w:val="21"/>
              </w:rPr>
              <w:t>山西省永济市万固寺至鹳雀楼旅游复合廊道项目设计费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BB3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E37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489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23.00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B69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23.00 </w:t>
            </w:r>
          </w:p>
        </w:tc>
      </w:tr>
      <w:tr w14:paraId="7F0B1336">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46FD">
            <w:pPr>
              <w:textAlignment w:val="center"/>
              <w:rPr>
                <w:color w:val="000000"/>
                <w:sz w:val="21"/>
                <w:szCs w:val="21"/>
              </w:rPr>
            </w:pPr>
            <w:r>
              <w:rPr>
                <w:rFonts w:hint="eastAsia"/>
                <w:color w:val="000000"/>
                <w:kern w:val="0"/>
                <w:sz w:val="21"/>
                <w:szCs w:val="21"/>
              </w:rPr>
              <w:t>中国蒲剧文化起源地研究课题项目</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2B0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71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71E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40.00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091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40.00 </w:t>
            </w:r>
          </w:p>
        </w:tc>
      </w:tr>
      <w:tr w14:paraId="12980DC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C919">
            <w:pPr>
              <w:textAlignment w:val="center"/>
              <w:rPr>
                <w:color w:val="000000"/>
                <w:sz w:val="21"/>
                <w:szCs w:val="21"/>
              </w:rPr>
            </w:pPr>
            <w:r>
              <w:rPr>
                <w:rFonts w:hint="eastAsia"/>
                <w:color w:val="000000"/>
                <w:kern w:val="0"/>
                <w:sz w:val="21"/>
                <w:szCs w:val="21"/>
              </w:rPr>
              <w:t>2023年春节活动经费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06D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710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1205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04A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300.00 </w:t>
            </w:r>
          </w:p>
        </w:tc>
      </w:tr>
      <w:tr w14:paraId="379B04E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8F80">
            <w:pPr>
              <w:textAlignment w:val="center"/>
              <w:rPr>
                <w:color w:val="000000"/>
                <w:sz w:val="21"/>
                <w:szCs w:val="21"/>
              </w:rPr>
            </w:pPr>
            <w:r>
              <w:rPr>
                <w:rFonts w:hint="eastAsia"/>
                <w:color w:val="000000"/>
                <w:kern w:val="0"/>
                <w:sz w:val="21"/>
                <w:szCs w:val="21"/>
              </w:rPr>
              <w:t>2023年山西鹳雀楼文化旅游产业发展有限公司注册资本金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39A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301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3C6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1,000.00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3EA1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1,000.00 </w:t>
            </w:r>
          </w:p>
        </w:tc>
      </w:tr>
      <w:tr w14:paraId="175226D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D352">
            <w:pPr>
              <w:textAlignment w:val="center"/>
              <w:rPr>
                <w:color w:val="000000"/>
                <w:sz w:val="21"/>
                <w:szCs w:val="21"/>
              </w:rPr>
            </w:pPr>
            <w:r>
              <w:rPr>
                <w:rFonts w:hint="eastAsia"/>
                <w:color w:val="000000"/>
                <w:kern w:val="0"/>
                <w:sz w:val="21"/>
                <w:szCs w:val="21"/>
              </w:rPr>
              <w:t>2023年“戏曲惠民.欢乐百姓”送戏下乡资金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C34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700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C0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114.00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4F1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114.00 </w:t>
            </w:r>
          </w:p>
        </w:tc>
      </w:tr>
      <w:tr w14:paraId="14CF44CE">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129B">
            <w:pPr>
              <w:textAlignment w:val="center"/>
              <w:rPr>
                <w:color w:val="000000"/>
                <w:sz w:val="21"/>
                <w:szCs w:val="21"/>
              </w:rPr>
            </w:pPr>
            <w:r>
              <w:rPr>
                <w:rFonts w:hint="eastAsia"/>
                <w:color w:val="000000"/>
                <w:kern w:val="0"/>
                <w:sz w:val="21"/>
                <w:szCs w:val="21"/>
              </w:rPr>
              <w:t>山西鹳雀楼文化旅游产业发展有限公司及下属景区相关费用</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98D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305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6859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217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2,000.00 </w:t>
            </w:r>
          </w:p>
        </w:tc>
      </w:tr>
      <w:tr w14:paraId="74F89F80">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57D2">
            <w:pPr>
              <w:textAlignment w:val="center"/>
              <w:rPr>
                <w:color w:val="000000"/>
                <w:sz w:val="21"/>
                <w:szCs w:val="21"/>
              </w:rPr>
            </w:pPr>
            <w:r>
              <w:rPr>
                <w:rFonts w:hint="eastAsia"/>
                <w:color w:val="000000"/>
                <w:kern w:val="0"/>
                <w:sz w:val="21"/>
                <w:szCs w:val="21"/>
              </w:rPr>
              <w:t>2023年中央补助地方公共文化服务体系建设专项资金(本级配套)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876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6DE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8A9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F03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7.02 </w:t>
            </w:r>
          </w:p>
        </w:tc>
      </w:tr>
      <w:tr w14:paraId="09E39A5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3C99">
            <w:pPr>
              <w:textAlignment w:val="center"/>
              <w:rPr>
                <w:color w:val="000000"/>
                <w:sz w:val="21"/>
                <w:szCs w:val="21"/>
              </w:rPr>
            </w:pPr>
            <w:r>
              <w:rPr>
                <w:rFonts w:hint="eastAsia"/>
                <w:color w:val="000000"/>
                <w:kern w:val="0"/>
                <w:sz w:val="21"/>
                <w:szCs w:val="21"/>
              </w:rPr>
              <w:t>2023年公共文化服务宣传</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A15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7AB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52F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ECE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r>
      <w:tr w14:paraId="003EA26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D635">
            <w:pPr>
              <w:textAlignment w:val="center"/>
              <w:rPr>
                <w:color w:val="000000"/>
                <w:sz w:val="21"/>
                <w:szCs w:val="21"/>
              </w:rPr>
            </w:pPr>
            <w:r>
              <w:rPr>
                <w:rFonts w:hint="eastAsia"/>
                <w:color w:val="000000"/>
                <w:kern w:val="0"/>
                <w:sz w:val="21"/>
                <w:szCs w:val="21"/>
              </w:rPr>
              <w:t>五老峰创建国家5A级景区补助资金(上年结转)</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415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6DE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206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3D8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1.40 </w:t>
            </w:r>
          </w:p>
        </w:tc>
      </w:tr>
      <w:tr w14:paraId="4F06E9DB">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B818">
            <w:pPr>
              <w:textAlignment w:val="center"/>
              <w:rPr>
                <w:color w:val="000000"/>
                <w:sz w:val="21"/>
                <w:szCs w:val="21"/>
              </w:rPr>
            </w:pPr>
            <w:r>
              <w:rPr>
                <w:rFonts w:hint="eastAsia"/>
                <w:color w:val="000000"/>
                <w:kern w:val="0"/>
                <w:sz w:val="21"/>
                <w:szCs w:val="21"/>
              </w:rPr>
              <w:t>目标责任考核奖</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1EE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D82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BA1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0.50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872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0.50 </w:t>
            </w:r>
          </w:p>
        </w:tc>
      </w:tr>
      <w:tr w14:paraId="685354C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B7B9">
            <w:pPr>
              <w:textAlignment w:val="center"/>
              <w:rPr>
                <w:color w:val="000000"/>
                <w:sz w:val="21"/>
                <w:szCs w:val="21"/>
              </w:rPr>
            </w:pPr>
            <w:r>
              <w:rPr>
                <w:rFonts w:hint="eastAsia"/>
                <w:color w:val="000000"/>
                <w:kern w:val="0"/>
                <w:sz w:val="21"/>
                <w:szCs w:val="21"/>
              </w:rPr>
              <w:t>2023年博物馆免费开放资金(省级)</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D271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60E8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296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5B6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r>
      <w:tr w14:paraId="0BAA54A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8843">
            <w:pPr>
              <w:textAlignment w:val="center"/>
              <w:rPr>
                <w:color w:val="000000"/>
                <w:sz w:val="21"/>
                <w:szCs w:val="21"/>
              </w:rPr>
            </w:pPr>
            <w:r>
              <w:rPr>
                <w:rFonts w:hint="eastAsia"/>
                <w:color w:val="000000"/>
                <w:kern w:val="0"/>
                <w:sz w:val="21"/>
                <w:szCs w:val="21"/>
              </w:rPr>
              <w:t>2023年博物馆免费开放资金(中央)</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83C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035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8697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E12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30.00 </w:t>
            </w:r>
          </w:p>
        </w:tc>
      </w:tr>
      <w:tr w14:paraId="691FB02D">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4485">
            <w:pPr>
              <w:textAlignment w:val="center"/>
              <w:rPr>
                <w:color w:val="000000"/>
                <w:sz w:val="21"/>
                <w:szCs w:val="21"/>
              </w:rPr>
            </w:pPr>
            <w:r>
              <w:rPr>
                <w:rFonts w:hint="eastAsia"/>
                <w:color w:val="000000"/>
                <w:kern w:val="0"/>
                <w:sz w:val="21"/>
                <w:szCs w:val="21"/>
              </w:rPr>
              <w:t>2023年馆藏文物保护经费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6C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896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98B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048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1.00 </w:t>
            </w:r>
          </w:p>
        </w:tc>
      </w:tr>
      <w:tr w14:paraId="30FEE8A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9AFF">
            <w:pPr>
              <w:textAlignment w:val="center"/>
              <w:rPr>
                <w:color w:val="000000"/>
                <w:sz w:val="21"/>
                <w:szCs w:val="21"/>
              </w:rPr>
            </w:pPr>
            <w:r>
              <w:rPr>
                <w:rFonts w:hint="eastAsia"/>
                <w:color w:val="000000"/>
                <w:kern w:val="0"/>
                <w:sz w:val="21"/>
                <w:szCs w:val="21"/>
              </w:rPr>
              <w:t>遗属补助和取暖费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D413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A77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6FE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70D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1.02 </w:t>
            </w:r>
          </w:p>
        </w:tc>
      </w:tr>
      <w:tr w14:paraId="74734F6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B2F4">
            <w:pPr>
              <w:textAlignment w:val="center"/>
              <w:rPr>
                <w:color w:val="000000"/>
                <w:sz w:val="21"/>
                <w:szCs w:val="21"/>
              </w:rPr>
            </w:pPr>
            <w:r>
              <w:rPr>
                <w:rFonts w:hint="eastAsia"/>
                <w:color w:val="000000"/>
                <w:kern w:val="0"/>
                <w:sz w:val="21"/>
                <w:szCs w:val="21"/>
              </w:rPr>
              <w:t>2023博物馆运行经费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3B2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851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83.80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BF9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28C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83.80 </w:t>
            </w:r>
          </w:p>
        </w:tc>
      </w:tr>
      <w:tr w14:paraId="6E402EC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0445">
            <w:pPr>
              <w:textAlignment w:val="center"/>
              <w:rPr>
                <w:color w:val="000000"/>
                <w:sz w:val="21"/>
                <w:szCs w:val="21"/>
              </w:rPr>
            </w:pPr>
            <w:r>
              <w:rPr>
                <w:rFonts w:hint="eastAsia"/>
                <w:color w:val="000000"/>
                <w:kern w:val="0"/>
                <w:sz w:val="21"/>
                <w:szCs w:val="21"/>
              </w:rPr>
              <w:t>2023年旅游宣传资金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934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D51E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9B2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164.52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EC9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164.52 </w:t>
            </w:r>
          </w:p>
        </w:tc>
      </w:tr>
      <w:tr w14:paraId="3A8AA22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BF3D">
            <w:pPr>
              <w:textAlignment w:val="center"/>
              <w:rPr>
                <w:color w:val="000000"/>
                <w:sz w:val="21"/>
                <w:szCs w:val="21"/>
              </w:rPr>
            </w:pPr>
            <w:r>
              <w:rPr>
                <w:rFonts w:hint="eastAsia"/>
                <w:color w:val="000000"/>
                <w:kern w:val="0"/>
                <w:sz w:val="21"/>
                <w:szCs w:val="21"/>
              </w:rPr>
              <w:t>流动美术车车辆购置税费用</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296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9BB6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2.74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C9F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F7D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2.74 </w:t>
            </w:r>
          </w:p>
        </w:tc>
      </w:tr>
      <w:tr w14:paraId="1A63556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235DC">
            <w:pPr>
              <w:textAlignment w:val="center"/>
              <w:rPr>
                <w:color w:val="000000"/>
                <w:sz w:val="21"/>
                <w:szCs w:val="21"/>
              </w:rPr>
            </w:pPr>
            <w:r>
              <w:rPr>
                <w:rFonts w:hint="eastAsia"/>
                <w:color w:val="000000"/>
                <w:kern w:val="0"/>
                <w:sz w:val="21"/>
                <w:szCs w:val="21"/>
              </w:rPr>
              <w:t>图书馆(美术馆)更换民俗规划展一楼展厅部分版面和灯箱的资金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9BF5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61B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3.60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3FC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220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3.60 </w:t>
            </w:r>
          </w:p>
        </w:tc>
      </w:tr>
      <w:tr w14:paraId="2263FB8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06F9">
            <w:pPr>
              <w:textAlignment w:val="center"/>
              <w:rPr>
                <w:color w:val="000000"/>
                <w:sz w:val="21"/>
                <w:szCs w:val="21"/>
              </w:rPr>
            </w:pPr>
            <w:r>
              <w:rPr>
                <w:rFonts w:hint="eastAsia"/>
                <w:color w:val="000000"/>
                <w:kern w:val="0"/>
                <w:sz w:val="21"/>
                <w:szCs w:val="21"/>
              </w:rPr>
              <w:t>2023年河东书房及镇分馆运行专项经费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B0D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144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3A3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1D7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35.00 </w:t>
            </w:r>
          </w:p>
        </w:tc>
      </w:tr>
      <w:tr w14:paraId="2B4E31F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F155">
            <w:pPr>
              <w:textAlignment w:val="center"/>
              <w:rPr>
                <w:color w:val="000000"/>
                <w:sz w:val="21"/>
                <w:szCs w:val="21"/>
              </w:rPr>
            </w:pPr>
            <w:r>
              <w:rPr>
                <w:rFonts w:hint="eastAsia"/>
                <w:color w:val="000000"/>
                <w:kern w:val="0"/>
                <w:sz w:val="21"/>
                <w:szCs w:val="21"/>
              </w:rPr>
              <w:t>2023年图书购置</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A61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940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F21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6D5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8.00 </w:t>
            </w:r>
          </w:p>
        </w:tc>
      </w:tr>
      <w:tr w14:paraId="462EE49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7994">
            <w:pPr>
              <w:textAlignment w:val="center"/>
              <w:rPr>
                <w:color w:val="000000"/>
                <w:sz w:val="21"/>
                <w:szCs w:val="21"/>
              </w:rPr>
            </w:pPr>
            <w:r>
              <w:rPr>
                <w:rFonts w:hint="eastAsia"/>
                <w:color w:val="000000"/>
                <w:kern w:val="0"/>
                <w:sz w:val="21"/>
                <w:szCs w:val="21"/>
              </w:rPr>
              <w:t>2023年图书馆运行经费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314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76C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57.20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98A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E73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57.20 </w:t>
            </w:r>
          </w:p>
        </w:tc>
      </w:tr>
      <w:tr w14:paraId="64A1944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EA63">
            <w:pPr>
              <w:textAlignment w:val="center"/>
              <w:rPr>
                <w:color w:val="000000"/>
                <w:sz w:val="21"/>
                <w:szCs w:val="21"/>
              </w:rPr>
            </w:pPr>
            <w:r>
              <w:rPr>
                <w:rFonts w:hint="eastAsia"/>
                <w:color w:val="000000"/>
                <w:kern w:val="0"/>
                <w:sz w:val="21"/>
                <w:szCs w:val="21"/>
              </w:rPr>
              <w:t>2023年民俗规划展览馆运行经费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A8B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4F8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69.40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673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336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69.40 </w:t>
            </w:r>
          </w:p>
        </w:tc>
      </w:tr>
      <w:tr w14:paraId="3050E1A1">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136B">
            <w:pPr>
              <w:textAlignment w:val="center"/>
              <w:rPr>
                <w:color w:val="000000"/>
                <w:sz w:val="21"/>
                <w:szCs w:val="21"/>
              </w:rPr>
            </w:pPr>
            <w:r>
              <w:rPr>
                <w:rFonts w:hint="eastAsia"/>
                <w:color w:val="000000"/>
                <w:kern w:val="0"/>
                <w:sz w:val="21"/>
                <w:szCs w:val="21"/>
              </w:rPr>
              <w:t>2023年免费开放专项资金(县级)</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BB0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04F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21.00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55F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C09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21.00 </w:t>
            </w:r>
          </w:p>
        </w:tc>
      </w:tr>
      <w:tr w14:paraId="619394D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B8F3">
            <w:pPr>
              <w:textAlignment w:val="center"/>
              <w:rPr>
                <w:color w:val="000000"/>
                <w:sz w:val="21"/>
                <w:szCs w:val="21"/>
              </w:rPr>
            </w:pPr>
            <w:r>
              <w:rPr>
                <w:rFonts w:hint="eastAsia"/>
                <w:color w:val="000000"/>
                <w:kern w:val="0"/>
                <w:sz w:val="21"/>
                <w:szCs w:val="21"/>
              </w:rPr>
              <w:t>2022年图书馆免费开放中央补助资金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3D8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054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7.01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160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1FA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7.01 </w:t>
            </w:r>
          </w:p>
        </w:tc>
      </w:tr>
      <w:tr w14:paraId="469D87BD">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E903">
            <w:pPr>
              <w:textAlignment w:val="center"/>
              <w:rPr>
                <w:color w:val="000000"/>
                <w:kern w:val="0"/>
                <w:sz w:val="21"/>
                <w:szCs w:val="21"/>
              </w:rPr>
            </w:pPr>
            <w:r>
              <w:rPr>
                <w:rFonts w:hint="eastAsia"/>
                <w:color w:val="000000"/>
                <w:kern w:val="0"/>
                <w:sz w:val="21"/>
                <w:szCs w:val="21"/>
              </w:rPr>
              <w:t>公共美术馆、图书馆、文化馆站免费开放补助(中央资金)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CE90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8FB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BD0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E86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42.00 </w:t>
            </w:r>
          </w:p>
        </w:tc>
      </w:tr>
      <w:tr w14:paraId="0A0D49B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240F">
            <w:pPr>
              <w:textAlignment w:val="center"/>
              <w:rPr>
                <w:color w:val="000000"/>
                <w:kern w:val="0"/>
                <w:sz w:val="21"/>
                <w:szCs w:val="21"/>
              </w:rPr>
            </w:pPr>
            <w:r>
              <w:rPr>
                <w:rFonts w:hint="eastAsia"/>
                <w:color w:val="000000"/>
                <w:kern w:val="0"/>
                <w:sz w:val="21"/>
                <w:szCs w:val="21"/>
              </w:rPr>
              <w:t>公共美术馆、图书馆、文化馆站免费开放补助(省级资金)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EA4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1EB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97B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8DD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r>
      <w:tr w14:paraId="50E5D98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C854">
            <w:pPr>
              <w:textAlignment w:val="center"/>
              <w:rPr>
                <w:color w:val="000000"/>
                <w:kern w:val="0"/>
                <w:sz w:val="21"/>
                <w:szCs w:val="21"/>
              </w:rPr>
            </w:pPr>
            <w:r>
              <w:rPr>
                <w:rFonts w:hint="eastAsia"/>
                <w:color w:val="000000"/>
                <w:kern w:val="0"/>
                <w:sz w:val="21"/>
                <w:szCs w:val="21"/>
              </w:rPr>
              <w:t>图书购置项目经费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4EF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4CF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DC6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25.00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06D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r>
      <w:tr w14:paraId="2BF6787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594A">
            <w:pPr>
              <w:textAlignment w:val="center"/>
              <w:rPr>
                <w:color w:val="000000"/>
                <w:kern w:val="0"/>
                <w:sz w:val="21"/>
                <w:szCs w:val="21"/>
              </w:rPr>
            </w:pPr>
            <w:r>
              <w:rPr>
                <w:rFonts w:hint="eastAsia"/>
                <w:color w:val="000000"/>
                <w:kern w:val="0"/>
                <w:sz w:val="21"/>
                <w:szCs w:val="21"/>
              </w:rPr>
              <w:t>2023年图书馆公共文化服务体系(县级配套)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568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4EC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DC5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37A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r>
      <w:tr w14:paraId="37ACCB90">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7D2F">
            <w:pPr>
              <w:textAlignment w:val="center"/>
              <w:rPr>
                <w:color w:val="000000"/>
                <w:kern w:val="0"/>
                <w:sz w:val="21"/>
                <w:szCs w:val="21"/>
              </w:rPr>
            </w:pPr>
            <w:r>
              <w:rPr>
                <w:rFonts w:hint="eastAsia"/>
                <w:color w:val="000000"/>
                <w:kern w:val="0"/>
                <w:sz w:val="21"/>
                <w:szCs w:val="21"/>
              </w:rPr>
              <w:t>2022年公共文化服务体系建设中央资金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52C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759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8CF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CE5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22.95 </w:t>
            </w:r>
          </w:p>
        </w:tc>
      </w:tr>
      <w:tr w14:paraId="193B513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8076">
            <w:pPr>
              <w:textAlignment w:val="center"/>
              <w:rPr>
                <w:color w:val="000000"/>
                <w:kern w:val="0"/>
                <w:sz w:val="21"/>
                <w:szCs w:val="21"/>
              </w:rPr>
            </w:pPr>
            <w:r>
              <w:rPr>
                <w:rFonts w:hint="eastAsia"/>
                <w:color w:val="000000"/>
                <w:kern w:val="0"/>
                <w:sz w:val="21"/>
                <w:szCs w:val="21"/>
              </w:rPr>
              <w:t>中央支持地方公共文化服务体系建设补助资金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C15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F61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259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3F21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 </w:t>
            </w:r>
          </w:p>
        </w:tc>
      </w:tr>
      <w:tr w14:paraId="68F5F97B">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6939">
            <w:pPr>
              <w:textAlignment w:val="center"/>
              <w:rPr>
                <w:color w:val="000000"/>
                <w:kern w:val="0"/>
                <w:sz w:val="21"/>
                <w:szCs w:val="21"/>
              </w:rPr>
            </w:pPr>
            <w:r>
              <w:rPr>
                <w:rFonts w:hint="eastAsia"/>
                <w:color w:val="000000"/>
                <w:kern w:val="0"/>
                <w:sz w:val="21"/>
                <w:szCs w:val="21"/>
              </w:rPr>
              <w:t>省级公共文化服务体系建设配套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0AC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9A88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F43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790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14.00 </w:t>
            </w:r>
          </w:p>
        </w:tc>
      </w:tr>
      <w:tr w14:paraId="113C014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6412">
            <w:pPr>
              <w:textAlignment w:val="center"/>
              <w:rPr>
                <w:color w:val="000000"/>
                <w:kern w:val="0"/>
                <w:sz w:val="21"/>
                <w:szCs w:val="21"/>
              </w:rPr>
            </w:pPr>
            <w:r>
              <w:rPr>
                <w:rFonts w:hint="eastAsia"/>
                <w:color w:val="000000"/>
                <w:kern w:val="0"/>
                <w:sz w:val="21"/>
                <w:szCs w:val="21"/>
              </w:rPr>
              <w:t>公共文化服务体系建设绩效奖励资金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6D7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80C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636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25.00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803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r>
      <w:tr w14:paraId="1061C9D6">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3479">
            <w:pPr>
              <w:textAlignment w:val="center"/>
              <w:rPr>
                <w:color w:val="000000"/>
                <w:kern w:val="0"/>
                <w:sz w:val="21"/>
                <w:szCs w:val="21"/>
              </w:rPr>
            </w:pPr>
            <w:r>
              <w:rPr>
                <w:rFonts w:hint="eastAsia"/>
                <w:color w:val="000000"/>
                <w:kern w:val="0"/>
                <w:sz w:val="21"/>
                <w:szCs w:val="21"/>
              </w:rPr>
              <w:t>中央支持地方公共文化服务体系建设补助资金美术馆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927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CBC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2E3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1.43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7C7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1.43 </w:t>
            </w:r>
          </w:p>
        </w:tc>
      </w:tr>
      <w:tr w14:paraId="7DD50B6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04C6">
            <w:pPr>
              <w:textAlignment w:val="center"/>
              <w:rPr>
                <w:color w:val="000000"/>
                <w:kern w:val="0"/>
                <w:sz w:val="21"/>
                <w:szCs w:val="21"/>
              </w:rPr>
            </w:pPr>
            <w:r>
              <w:rPr>
                <w:rFonts w:hint="eastAsia"/>
                <w:color w:val="000000"/>
                <w:kern w:val="0"/>
                <w:sz w:val="21"/>
                <w:szCs w:val="21"/>
              </w:rPr>
              <w:t>高素质人才生活补助</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F57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7CD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77A5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2.88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CE8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2.88 </w:t>
            </w:r>
          </w:p>
        </w:tc>
      </w:tr>
      <w:tr w14:paraId="5C03EF9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54F6B">
            <w:pPr>
              <w:textAlignment w:val="center"/>
              <w:rPr>
                <w:color w:val="000000"/>
                <w:kern w:val="0"/>
                <w:sz w:val="21"/>
                <w:szCs w:val="21"/>
              </w:rPr>
            </w:pPr>
            <w:r>
              <w:rPr>
                <w:rFonts w:hint="eastAsia"/>
                <w:color w:val="000000"/>
                <w:kern w:val="0"/>
                <w:sz w:val="21"/>
                <w:szCs w:val="21"/>
              </w:rPr>
              <w:t>勘探配合费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403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2.11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7F4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F7A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C37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2.11 </w:t>
            </w:r>
          </w:p>
        </w:tc>
      </w:tr>
      <w:tr w14:paraId="4C94B8B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C69D">
            <w:pPr>
              <w:textAlignment w:val="center"/>
              <w:rPr>
                <w:color w:val="000000"/>
                <w:kern w:val="0"/>
                <w:sz w:val="21"/>
                <w:szCs w:val="21"/>
              </w:rPr>
            </w:pPr>
            <w:r>
              <w:rPr>
                <w:rFonts w:hint="eastAsia"/>
                <w:color w:val="000000"/>
                <w:kern w:val="0"/>
                <w:sz w:val="21"/>
                <w:szCs w:val="21"/>
              </w:rPr>
              <w:t>勘探配合费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BFB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2.77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F93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9E0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DBF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2.77 </w:t>
            </w:r>
          </w:p>
        </w:tc>
      </w:tr>
      <w:tr w14:paraId="6EE7F2BC">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97C4">
            <w:pPr>
              <w:textAlignment w:val="center"/>
              <w:rPr>
                <w:color w:val="000000"/>
                <w:kern w:val="0"/>
                <w:sz w:val="21"/>
                <w:szCs w:val="21"/>
              </w:rPr>
            </w:pPr>
            <w:r>
              <w:rPr>
                <w:rFonts w:hint="eastAsia"/>
                <w:color w:val="000000"/>
                <w:kern w:val="0"/>
                <w:sz w:val="21"/>
                <w:szCs w:val="21"/>
              </w:rPr>
              <w:t>文明守望工程奖</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E94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1.50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1EF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B8D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D3D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1.50 </w:t>
            </w:r>
          </w:p>
        </w:tc>
      </w:tr>
      <w:tr w14:paraId="5D3862C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E6F8">
            <w:pPr>
              <w:textAlignment w:val="center"/>
              <w:rPr>
                <w:color w:val="000000"/>
                <w:kern w:val="0"/>
                <w:sz w:val="21"/>
                <w:szCs w:val="21"/>
              </w:rPr>
            </w:pPr>
            <w:r>
              <w:rPr>
                <w:rFonts w:hint="eastAsia"/>
                <w:color w:val="000000"/>
                <w:kern w:val="0"/>
                <w:sz w:val="21"/>
                <w:szCs w:val="21"/>
              </w:rPr>
              <w:t>省级文物保护专项补助资金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810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7E4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286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988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75.00 </w:t>
            </w:r>
          </w:p>
        </w:tc>
      </w:tr>
      <w:tr w14:paraId="7D716FB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3F8">
            <w:pPr>
              <w:textAlignment w:val="center"/>
              <w:rPr>
                <w:color w:val="000000"/>
                <w:kern w:val="0"/>
                <w:sz w:val="21"/>
                <w:szCs w:val="21"/>
              </w:rPr>
            </w:pPr>
            <w:r>
              <w:rPr>
                <w:rFonts w:hint="eastAsia"/>
                <w:color w:val="000000"/>
                <w:kern w:val="0"/>
                <w:sz w:val="21"/>
                <w:szCs w:val="21"/>
              </w:rPr>
              <w:t>解决万固寺遗留问题所需资金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364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FA5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D940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71B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50.00 </w:t>
            </w:r>
          </w:p>
        </w:tc>
      </w:tr>
      <w:tr w14:paraId="03C8BEB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B4BC">
            <w:pPr>
              <w:textAlignment w:val="center"/>
              <w:rPr>
                <w:color w:val="000000"/>
                <w:kern w:val="0"/>
                <w:sz w:val="21"/>
                <w:szCs w:val="21"/>
              </w:rPr>
            </w:pPr>
            <w:r>
              <w:rPr>
                <w:rFonts w:hint="eastAsia"/>
                <w:color w:val="000000"/>
                <w:kern w:val="0"/>
                <w:sz w:val="21"/>
                <w:szCs w:val="21"/>
              </w:rPr>
              <w:t>2023年省级文物看护人员经费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006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314D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10.95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002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052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10.95 </w:t>
            </w:r>
          </w:p>
        </w:tc>
      </w:tr>
      <w:tr w14:paraId="6F45C69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CC4CE">
            <w:pPr>
              <w:textAlignment w:val="center"/>
              <w:rPr>
                <w:color w:val="000000"/>
                <w:kern w:val="0"/>
                <w:sz w:val="21"/>
                <w:szCs w:val="21"/>
              </w:rPr>
            </w:pPr>
            <w:r>
              <w:rPr>
                <w:rFonts w:hint="eastAsia"/>
                <w:color w:val="000000"/>
                <w:kern w:val="0"/>
                <w:sz w:val="21"/>
                <w:szCs w:val="21"/>
              </w:rPr>
              <w:t>2023年古建筑日常养护经费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E5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CC83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4.14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D3A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F05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4.14 </w:t>
            </w:r>
          </w:p>
        </w:tc>
      </w:tr>
      <w:tr w14:paraId="6F6CD89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1FA2">
            <w:pPr>
              <w:textAlignment w:val="center"/>
              <w:rPr>
                <w:color w:val="000000"/>
                <w:kern w:val="0"/>
                <w:sz w:val="21"/>
                <w:szCs w:val="21"/>
              </w:rPr>
            </w:pPr>
            <w:r>
              <w:rPr>
                <w:rFonts w:hint="eastAsia"/>
                <w:color w:val="000000"/>
                <w:kern w:val="0"/>
                <w:sz w:val="21"/>
                <w:szCs w:val="21"/>
              </w:rPr>
              <w:t>2023年文物保护经费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66B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0E0D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284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C03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r>
      <w:tr w14:paraId="331E342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4CD4">
            <w:pPr>
              <w:textAlignment w:val="center"/>
              <w:rPr>
                <w:color w:val="000000"/>
                <w:kern w:val="0"/>
                <w:sz w:val="21"/>
                <w:szCs w:val="21"/>
              </w:rPr>
            </w:pPr>
            <w:r>
              <w:rPr>
                <w:rFonts w:hint="eastAsia"/>
                <w:color w:val="000000"/>
                <w:kern w:val="0"/>
                <w:sz w:val="21"/>
                <w:szCs w:val="21"/>
              </w:rPr>
              <w:t>解决万固寺遗留问题的所需经费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36C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767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12A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369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r>
      <w:tr w14:paraId="4383D54D">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D374">
            <w:pPr>
              <w:textAlignment w:val="center"/>
              <w:rPr>
                <w:color w:val="000000"/>
                <w:kern w:val="0"/>
                <w:sz w:val="21"/>
                <w:szCs w:val="21"/>
              </w:rPr>
            </w:pPr>
            <w:r>
              <w:rPr>
                <w:rFonts w:hint="eastAsia"/>
                <w:color w:val="000000"/>
                <w:kern w:val="0"/>
                <w:sz w:val="21"/>
                <w:szCs w:val="21"/>
              </w:rPr>
              <w:t>2023年国家文物保护资金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CC0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9EE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303.00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63C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F88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303.00 </w:t>
            </w:r>
          </w:p>
        </w:tc>
      </w:tr>
      <w:tr w14:paraId="7403B06C">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BCB9">
            <w:pPr>
              <w:textAlignment w:val="center"/>
              <w:rPr>
                <w:color w:val="000000"/>
                <w:kern w:val="0"/>
                <w:sz w:val="21"/>
                <w:szCs w:val="21"/>
              </w:rPr>
            </w:pPr>
            <w:r>
              <w:rPr>
                <w:rFonts w:hint="eastAsia"/>
                <w:color w:val="000000"/>
                <w:kern w:val="0"/>
                <w:sz w:val="21"/>
                <w:szCs w:val="21"/>
              </w:rPr>
              <w:t>栖岩寺边坡治理工程</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F23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46.10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923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3A7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F5E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46.10 </w:t>
            </w:r>
          </w:p>
        </w:tc>
      </w:tr>
      <w:tr w14:paraId="14FD144C">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EC97">
            <w:pPr>
              <w:textAlignment w:val="center"/>
              <w:rPr>
                <w:color w:val="000000"/>
                <w:kern w:val="0"/>
                <w:sz w:val="21"/>
                <w:szCs w:val="21"/>
              </w:rPr>
            </w:pPr>
            <w:r>
              <w:rPr>
                <w:rFonts w:hint="eastAsia"/>
                <w:color w:val="000000"/>
                <w:kern w:val="0"/>
                <w:sz w:val="21"/>
                <w:szCs w:val="21"/>
              </w:rPr>
              <w:t>万固寺抢险保护工程</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FA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16E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EF8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5DB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r>
      <w:tr w14:paraId="580C36CE">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D643">
            <w:pPr>
              <w:textAlignment w:val="center"/>
              <w:rPr>
                <w:color w:val="000000"/>
                <w:kern w:val="0"/>
                <w:sz w:val="21"/>
                <w:szCs w:val="21"/>
              </w:rPr>
            </w:pPr>
            <w:r>
              <w:rPr>
                <w:rFonts w:hint="eastAsia"/>
                <w:color w:val="000000"/>
                <w:kern w:val="0"/>
                <w:sz w:val="21"/>
                <w:szCs w:val="21"/>
              </w:rPr>
              <w:t>2023年低级别文物保护项目</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49E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4F2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A98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300.00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87B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300.00 </w:t>
            </w:r>
          </w:p>
        </w:tc>
      </w:tr>
      <w:tr w14:paraId="4F4DDAF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0342">
            <w:pPr>
              <w:textAlignment w:val="center"/>
              <w:rPr>
                <w:color w:val="000000"/>
                <w:kern w:val="0"/>
                <w:sz w:val="21"/>
                <w:szCs w:val="21"/>
              </w:rPr>
            </w:pPr>
            <w:r>
              <w:rPr>
                <w:rFonts w:hint="eastAsia"/>
                <w:color w:val="000000"/>
                <w:kern w:val="0"/>
                <w:sz w:val="21"/>
                <w:szCs w:val="21"/>
              </w:rPr>
              <w:t>其他经费补助类项目</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A08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AE40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0.96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AEC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88C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0.96 </w:t>
            </w:r>
          </w:p>
        </w:tc>
      </w:tr>
      <w:tr w14:paraId="11B3748F">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F7FF">
            <w:pPr>
              <w:textAlignment w:val="center"/>
              <w:rPr>
                <w:color w:val="000000"/>
                <w:kern w:val="0"/>
                <w:sz w:val="21"/>
                <w:szCs w:val="21"/>
              </w:rPr>
            </w:pPr>
            <w:r>
              <w:rPr>
                <w:rFonts w:hint="eastAsia"/>
                <w:color w:val="000000"/>
                <w:kern w:val="0"/>
                <w:sz w:val="21"/>
                <w:szCs w:val="21"/>
              </w:rPr>
              <w:t>23年勘探配合费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5C6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E7D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068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C60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 </w:t>
            </w:r>
          </w:p>
        </w:tc>
      </w:tr>
      <w:tr w14:paraId="7D9BD216">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892B">
            <w:pPr>
              <w:textAlignment w:val="center"/>
              <w:rPr>
                <w:color w:val="000000"/>
                <w:kern w:val="0"/>
                <w:sz w:val="21"/>
                <w:szCs w:val="21"/>
              </w:rPr>
            </w:pPr>
            <w:r>
              <w:rPr>
                <w:rFonts w:hint="eastAsia"/>
                <w:color w:val="000000"/>
                <w:kern w:val="0"/>
                <w:sz w:val="21"/>
                <w:szCs w:val="21"/>
              </w:rPr>
              <w:t>非财政拨款结转</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33E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0.06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F61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700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74E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0.06 </w:t>
            </w:r>
          </w:p>
        </w:tc>
      </w:tr>
      <w:tr w14:paraId="641EC95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4EA7">
            <w:pPr>
              <w:textAlignment w:val="center"/>
              <w:rPr>
                <w:color w:val="000000"/>
                <w:kern w:val="0"/>
                <w:sz w:val="21"/>
                <w:szCs w:val="21"/>
              </w:rPr>
            </w:pPr>
            <w:r>
              <w:rPr>
                <w:rFonts w:hint="eastAsia"/>
                <w:color w:val="000000"/>
                <w:kern w:val="0"/>
                <w:sz w:val="21"/>
                <w:szCs w:val="21"/>
              </w:rPr>
              <w:t>2023年第一批拟供应地块考古调查勘探经费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6CA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D5B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0DB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120.50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500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120.50 </w:t>
            </w:r>
          </w:p>
        </w:tc>
      </w:tr>
      <w:tr w14:paraId="736ADF2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29F0">
            <w:pPr>
              <w:textAlignment w:val="center"/>
              <w:rPr>
                <w:color w:val="000000"/>
                <w:kern w:val="0"/>
                <w:sz w:val="21"/>
                <w:szCs w:val="21"/>
              </w:rPr>
            </w:pPr>
            <w:r>
              <w:rPr>
                <w:rFonts w:hint="eastAsia"/>
                <w:color w:val="000000"/>
                <w:kern w:val="0"/>
                <w:sz w:val="21"/>
                <w:szCs w:val="21"/>
              </w:rPr>
              <w:t>2023年省级文物保护资金结转</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3EE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7E0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CED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33A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r>
      <w:tr w14:paraId="42B92CE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71A6">
            <w:pPr>
              <w:textAlignment w:val="center"/>
              <w:rPr>
                <w:color w:val="000000"/>
                <w:kern w:val="0"/>
                <w:sz w:val="21"/>
                <w:szCs w:val="21"/>
              </w:rPr>
            </w:pPr>
            <w:r>
              <w:rPr>
                <w:rFonts w:hint="eastAsia"/>
                <w:color w:val="000000"/>
                <w:kern w:val="0"/>
                <w:sz w:val="21"/>
                <w:szCs w:val="21"/>
              </w:rPr>
              <w:t>高素质人才生活补助</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9DC9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4F2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8B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1.92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C21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1.92 </w:t>
            </w:r>
          </w:p>
        </w:tc>
      </w:tr>
      <w:tr w14:paraId="27EA0D6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C423">
            <w:pPr>
              <w:textAlignment w:val="center"/>
              <w:rPr>
                <w:color w:val="000000"/>
                <w:kern w:val="0"/>
                <w:sz w:val="21"/>
                <w:szCs w:val="21"/>
              </w:rPr>
            </w:pPr>
            <w:r>
              <w:rPr>
                <w:rFonts w:hint="eastAsia"/>
                <w:color w:val="000000"/>
                <w:kern w:val="0"/>
                <w:sz w:val="21"/>
                <w:szCs w:val="21"/>
              </w:rPr>
              <w:t>山西省群众文化惠民工程(四个一批市县部分)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A68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ADF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0C3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855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7.40 </w:t>
            </w:r>
          </w:p>
        </w:tc>
      </w:tr>
      <w:tr w14:paraId="597E39A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D9CB">
            <w:pPr>
              <w:textAlignment w:val="center"/>
              <w:rPr>
                <w:color w:val="000000"/>
                <w:kern w:val="0"/>
                <w:sz w:val="21"/>
                <w:szCs w:val="21"/>
              </w:rPr>
            </w:pPr>
            <w:r>
              <w:rPr>
                <w:rFonts w:hint="eastAsia"/>
                <w:color w:val="000000"/>
                <w:kern w:val="0"/>
                <w:sz w:val="21"/>
                <w:szCs w:val="21"/>
              </w:rPr>
              <w:t>2023年文化大楼运行经费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A21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0F3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18.00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0DA2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5C5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18.00 </w:t>
            </w:r>
          </w:p>
        </w:tc>
      </w:tr>
      <w:tr w14:paraId="064BF6D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F2F4">
            <w:pPr>
              <w:textAlignment w:val="center"/>
              <w:rPr>
                <w:color w:val="000000"/>
                <w:kern w:val="0"/>
                <w:sz w:val="21"/>
                <w:szCs w:val="21"/>
              </w:rPr>
            </w:pPr>
            <w:r>
              <w:rPr>
                <w:rFonts w:hint="eastAsia"/>
                <w:color w:val="000000"/>
                <w:kern w:val="0"/>
                <w:sz w:val="21"/>
                <w:szCs w:val="21"/>
              </w:rPr>
              <w:t>2023年文化馆活动经费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48B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234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3.20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F9B5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53E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3.20 </w:t>
            </w:r>
          </w:p>
        </w:tc>
      </w:tr>
      <w:tr w14:paraId="67E784D2">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41BF">
            <w:pPr>
              <w:textAlignment w:val="center"/>
              <w:rPr>
                <w:color w:val="000000"/>
                <w:kern w:val="0"/>
                <w:sz w:val="21"/>
                <w:szCs w:val="21"/>
              </w:rPr>
            </w:pPr>
            <w:r>
              <w:rPr>
                <w:rFonts w:hint="eastAsia"/>
                <w:color w:val="000000"/>
                <w:kern w:val="0"/>
                <w:sz w:val="21"/>
                <w:szCs w:val="21"/>
              </w:rPr>
              <w:t>2023年非物质文化保护经费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51E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B0E7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9C5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80B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 </w:t>
            </w:r>
          </w:p>
        </w:tc>
      </w:tr>
      <w:tr w14:paraId="2F5FA77D">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C892">
            <w:pPr>
              <w:textAlignment w:val="center"/>
              <w:rPr>
                <w:color w:val="000000"/>
                <w:kern w:val="0"/>
                <w:sz w:val="21"/>
                <w:szCs w:val="21"/>
              </w:rPr>
            </w:pPr>
            <w:r>
              <w:rPr>
                <w:rFonts w:hint="eastAsia"/>
                <w:color w:val="000000"/>
                <w:kern w:val="0"/>
                <w:sz w:val="21"/>
                <w:szCs w:val="21"/>
              </w:rPr>
              <w:t>遗属补助和取暖费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67F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0B2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EA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933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2.10 </w:t>
            </w:r>
          </w:p>
        </w:tc>
      </w:tr>
      <w:tr w14:paraId="451A8921">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DFE5">
            <w:pPr>
              <w:textAlignment w:val="center"/>
              <w:rPr>
                <w:color w:val="000000"/>
                <w:kern w:val="0"/>
                <w:sz w:val="21"/>
                <w:szCs w:val="21"/>
              </w:rPr>
            </w:pPr>
            <w:r>
              <w:rPr>
                <w:rFonts w:hint="eastAsia"/>
                <w:color w:val="000000"/>
                <w:kern w:val="0"/>
                <w:sz w:val="21"/>
                <w:szCs w:val="21"/>
              </w:rPr>
              <w:t>山西省非物质文化遗产保护专项资金(市县部分)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F46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B3F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153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164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 </w:t>
            </w:r>
          </w:p>
        </w:tc>
      </w:tr>
      <w:tr w14:paraId="0D330FC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9F96">
            <w:pPr>
              <w:textAlignment w:val="center"/>
              <w:rPr>
                <w:color w:val="000000"/>
                <w:kern w:val="0"/>
                <w:sz w:val="21"/>
                <w:szCs w:val="21"/>
              </w:rPr>
            </w:pPr>
            <w:r>
              <w:rPr>
                <w:rFonts w:hint="eastAsia"/>
                <w:color w:val="000000"/>
                <w:kern w:val="0"/>
                <w:sz w:val="21"/>
                <w:szCs w:val="21"/>
              </w:rPr>
              <w:t>2023年文化馆免费开放专项资金(县级配套)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797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A0C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526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07F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r>
      <w:tr w14:paraId="615F9FBA">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2039">
            <w:pPr>
              <w:textAlignment w:val="center"/>
              <w:rPr>
                <w:color w:val="000000"/>
                <w:kern w:val="0"/>
                <w:sz w:val="21"/>
                <w:szCs w:val="21"/>
              </w:rPr>
            </w:pPr>
            <w:r>
              <w:rPr>
                <w:rFonts w:hint="eastAsia"/>
                <w:color w:val="000000"/>
                <w:kern w:val="0"/>
                <w:sz w:val="21"/>
                <w:szCs w:val="21"/>
              </w:rPr>
              <w:t>2023年文化站免费开放专项资金(县级配套)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3619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3FE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822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3FE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r>
      <w:tr w14:paraId="235DEEFC">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B609">
            <w:pPr>
              <w:textAlignment w:val="center"/>
              <w:rPr>
                <w:color w:val="000000"/>
                <w:kern w:val="0"/>
                <w:sz w:val="21"/>
                <w:szCs w:val="21"/>
              </w:rPr>
            </w:pPr>
            <w:r>
              <w:rPr>
                <w:rFonts w:hint="eastAsia"/>
                <w:color w:val="000000"/>
                <w:kern w:val="0"/>
                <w:sz w:val="21"/>
                <w:szCs w:val="21"/>
              </w:rPr>
              <w:t>中央支持地方公共文化服务体系建设补助资金(公共数字文化)</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F00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76B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3EB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00A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 </w:t>
            </w:r>
          </w:p>
        </w:tc>
      </w:tr>
      <w:tr w14:paraId="28713FA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EDC3">
            <w:pPr>
              <w:textAlignment w:val="center"/>
              <w:rPr>
                <w:color w:val="000000"/>
                <w:kern w:val="0"/>
                <w:sz w:val="21"/>
                <w:szCs w:val="21"/>
              </w:rPr>
            </w:pPr>
            <w:r>
              <w:rPr>
                <w:rFonts w:hint="eastAsia"/>
                <w:color w:val="000000"/>
                <w:kern w:val="0"/>
                <w:sz w:val="21"/>
                <w:szCs w:val="21"/>
              </w:rPr>
              <w:t>2022年“三馆一站”免费开放补助资金省级配套资金(文化站)</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D3D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8F6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0.66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7E8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0E5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0.66 </w:t>
            </w:r>
          </w:p>
        </w:tc>
      </w:tr>
      <w:tr w14:paraId="0EADC09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D4F70">
            <w:pPr>
              <w:textAlignment w:val="center"/>
              <w:rPr>
                <w:color w:val="000000"/>
                <w:kern w:val="0"/>
                <w:sz w:val="21"/>
                <w:szCs w:val="21"/>
              </w:rPr>
            </w:pPr>
            <w:r>
              <w:rPr>
                <w:rFonts w:hint="eastAsia"/>
                <w:color w:val="000000"/>
                <w:kern w:val="0"/>
                <w:sz w:val="21"/>
                <w:szCs w:val="21"/>
              </w:rPr>
              <w:t>2022年中央补助地方美术馆、公共图书馆、文化馆(站)免费开放专项资金(文化站)</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821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93C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6.87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5BF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6C0C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6.87 </w:t>
            </w:r>
          </w:p>
        </w:tc>
      </w:tr>
      <w:tr w14:paraId="78FE17BC">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3216">
            <w:pPr>
              <w:textAlignment w:val="center"/>
              <w:rPr>
                <w:color w:val="000000"/>
                <w:kern w:val="0"/>
                <w:sz w:val="21"/>
                <w:szCs w:val="21"/>
              </w:rPr>
            </w:pPr>
            <w:r>
              <w:rPr>
                <w:rFonts w:hint="eastAsia"/>
                <w:color w:val="000000"/>
                <w:kern w:val="0"/>
                <w:sz w:val="21"/>
                <w:szCs w:val="21"/>
              </w:rPr>
              <w:t>2022年中央补助地方美术馆、公共图书馆、文化馆(站)免费开放专项资金(文化馆)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594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754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5.85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E17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9CB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5.85 </w:t>
            </w:r>
          </w:p>
        </w:tc>
      </w:tr>
      <w:tr w14:paraId="7D97D4F4">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D0F5">
            <w:pPr>
              <w:textAlignment w:val="center"/>
              <w:rPr>
                <w:color w:val="000000"/>
                <w:kern w:val="0"/>
                <w:sz w:val="21"/>
                <w:szCs w:val="21"/>
              </w:rPr>
            </w:pPr>
            <w:r>
              <w:rPr>
                <w:rFonts w:hint="eastAsia"/>
                <w:color w:val="000000"/>
                <w:kern w:val="0"/>
                <w:sz w:val="21"/>
                <w:szCs w:val="21"/>
              </w:rPr>
              <w:t>公共美术馆、图书馆、文化馆站免费开放补助(省级资金)(文化馆)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22E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C67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926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6BA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 </w:t>
            </w:r>
          </w:p>
        </w:tc>
      </w:tr>
      <w:tr w14:paraId="0111CC15">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D6DA">
            <w:pPr>
              <w:textAlignment w:val="center"/>
              <w:rPr>
                <w:color w:val="000000"/>
                <w:kern w:val="0"/>
                <w:sz w:val="21"/>
                <w:szCs w:val="21"/>
              </w:rPr>
            </w:pPr>
            <w:r>
              <w:rPr>
                <w:rFonts w:hint="eastAsia"/>
                <w:color w:val="000000"/>
                <w:kern w:val="0"/>
                <w:sz w:val="21"/>
                <w:szCs w:val="21"/>
              </w:rPr>
              <w:t>公共美术馆、图书馆、文化馆站免费开放补助(中央资金)(文化馆)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D4D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FC4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2FB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245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12.00 </w:t>
            </w:r>
          </w:p>
        </w:tc>
      </w:tr>
      <w:tr w14:paraId="55E4D6F7">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AC31">
            <w:pPr>
              <w:textAlignment w:val="center"/>
              <w:rPr>
                <w:color w:val="000000"/>
                <w:kern w:val="0"/>
                <w:sz w:val="21"/>
                <w:szCs w:val="21"/>
              </w:rPr>
            </w:pPr>
            <w:r>
              <w:rPr>
                <w:rFonts w:hint="eastAsia"/>
                <w:color w:val="000000"/>
                <w:kern w:val="0"/>
                <w:sz w:val="21"/>
                <w:szCs w:val="21"/>
              </w:rPr>
              <w:t>公共美术馆、图书馆、文化馆站免费开放补助(省级资金)(文化站)</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9A20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959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93A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3FC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 </w:t>
            </w:r>
          </w:p>
        </w:tc>
      </w:tr>
      <w:tr w14:paraId="59BA71C3">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2177">
            <w:pPr>
              <w:textAlignment w:val="center"/>
              <w:rPr>
                <w:color w:val="000000"/>
                <w:kern w:val="0"/>
                <w:sz w:val="21"/>
                <w:szCs w:val="21"/>
              </w:rPr>
            </w:pPr>
            <w:r>
              <w:rPr>
                <w:rFonts w:hint="eastAsia"/>
                <w:color w:val="000000"/>
                <w:kern w:val="0"/>
                <w:sz w:val="21"/>
                <w:szCs w:val="21"/>
              </w:rPr>
              <w:t>公共美术馆、图书馆、文化馆站免费开放补助(中央资金)(文化站)</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E42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592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EDD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AEF1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12.00 </w:t>
            </w:r>
          </w:p>
        </w:tc>
      </w:tr>
      <w:tr w14:paraId="6332AEFE">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1CF67">
            <w:pPr>
              <w:textAlignment w:val="center"/>
              <w:rPr>
                <w:color w:val="000000"/>
                <w:kern w:val="0"/>
                <w:sz w:val="21"/>
                <w:szCs w:val="21"/>
              </w:rPr>
            </w:pPr>
            <w:r>
              <w:rPr>
                <w:rFonts w:hint="eastAsia"/>
                <w:color w:val="000000"/>
                <w:kern w:val="0"/>
                <w:sz w:val="21"/>
                <w:szCs w:val="21"/>
              </w:rPr>
              <w:t>2023年公共文化体系建设专项资金(县级配套)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749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FE5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6.87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5B3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0892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6.87 </w:t>
            </w:r>
          </w:p>
        </w:tc>
      </w:tr>
      <w:tr w14:paraId="44D1529D">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E890">
            <w:pPr>
              <w:textAlignment w:val="center"/>
              <w:rPr>
                <w:color w:val="000000"/>
                <w:kern w:val="0"/>
                <w:sz w:val="21"/>
                <w:szCs w:val="21"/>
              </w:rPr>
            </w:pPr>
            <w:r>
              <w:rPr>
                <w:rFonts w:hint="eastAsia"/>
                <w:color w:val="000000"/>
                <w:kern w:val="0"/>
                <w:sz w:val="21"/>
                <w:szCs w:val="21"/>
              </w:rPr>
              <w:t>2022年公共文化服务体系建设中央补助资金(奖励部分)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22C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7A8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22.78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038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3F7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22.78 </w:t>
            </w:r>
          </w:p>
        </w:tc>
      </w:tr>
      <w:tr w14:paraId="7E3559D1">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D7AA">
            <w:pPr>
              <w:textAlignment w:val="center"/>
              <w:rPr>
                <w:color w:val="000000"/>
                <w:kern w:val="0"/>
                <w:sz w:val="21"/>
                <w:szCs w:val="21"/>
              </w:rPr>
            </w:pPr>
            <w:r>
              <w:rPr>
                <w:rFonts w:hint="eastAsia"/>
                <w:color w:val="000000"/>
                <w:kern w:val="0"/>
                <w:sz w:val="21"/>
                <w:szCs w:val="21"/>
              </w:rPr>
              <w:t>2022年省级公共文化服务体系建设配套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57D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6CA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1.56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C52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B57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1.56 </w:t>
            </w:r>
          </w:p>
        </w:tc>
      </w:tr>
      <w:tr w14:paraId="24BE2C0E">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3343F">
            <w:pPr>
              <w:textAlignment w:val="center"/>
              <w:rPr>
                <w:color w:val="000000"/>
                <w:kern w:val="0"/>
                <w:sz w:val="21"/>
                <w:szCs w:val="21"/>
              </w:rPr>
            </w:pPr>
            <w:r>
              <w:rPr>
                <w:rFonts w:hint="eastAsia"/>
                <w:color w:val="000000"/>
                <w:kern w:val="0"/>
                <w:sz w:val="21"/>
                <w:szCs w:val="21"/>
              </w:rPr>
              <w:t>省级公共文化服务体系建设配套</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286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6A18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16.03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490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9E6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16.03 </w:t>
            </w:r>
          </w:p>
        </w:tc>
      </w:tr>
      <w:tr w14:paraId="0B74F53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3CC7">
            <w:pPr>
              <w:textAlignment w:val="center"/>
              <w:rPr>
                <w:color w:val="000000"/>
                <w:kern w:val="0"/>
                <w:sz w:val="21"/>
                <w:szCs w:val="21"/>
              </w:rPr>
            </w:pPr>
            <w:r>
              <w:rPr>
                <w:rFonts w:hint="eastAsia"/>
                <w:color w:val="000000"/>
                <w:kern w:val="0"/>
                <w:sz w:val="21"/>
                <w:szCs w:val="21"/>
              </w:rPr>
              <w:t>中央支持地方公共文化服务体系建设补助资金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1C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9E0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1EA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13F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22.90 </w:t>
            </w:r>
          </w:p>
        </w:tc>
      </w:tr>
      <w:tr w14:paraId="61A313E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680E">
            <w:pPr>
              <w:textAlignment w:val="center"/>
              <w:rPr>
                <w:color w:val="000000"/>
                <w:kern w:val="0"/>
                <w:sz w:val="21"/>
                <w:szCs w:val="21"/>
              </w:rPr>
            </w:pPr>
            <w:r>
              <w:rPr>
                <w:rFonts w:hint="eastAsia"/>
                <w:color w:val="000000"/>
                <w:kern w:val="0"/>
                <w:sz w:val="21"/>
                <w:szCs w:val="21"/>
              </w:rPr>
              <w:t>中央支持地方公共文化服务体系建设补助资金(奖励部分)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B05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A6A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9B1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111.41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6C8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111.41 </w:t>
            </w:r>
          </w:p>
        </w:tc>
      </w:tr>
      <w:tr w14:paraId="6EB189F9">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61A4">
            <w:pPr>
              <w:textAlignment w:val="center"/>
              <w:rPr>
                <w:color w:val="000000"/>
                <w:kern w:val="0"/>
                <w:sz w:val="21"/>
                <w:szCs w:val="21"/>
              </w:rPr>
            </w:pPr>
            <w:r>
              <w:rPr>
                <w:rFonts w:hint="eastAsia"/>
                <w:color w:val="000000"/>
                <w:kern w:val="0"/>
                <w:sz w:val="21"/>
                <w:szCs w:val="21"/>
              </w:rPr>
              <w:t>省级公共文化服务体系建设配套资金(奖励部分)</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036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D393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DD3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10.26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16C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10.26 </w:t>
            </w:r>
          </w:p>
        </w:tc>
      </w:tr>
      <w:tr w14:paraId="24B7FBF8">
        <w:tblPrEx>
          <w:tblCellMar>
            <w:top w:w="0" w:type="dxa"/>
            <w:left w:w="108" w:type="dxa"/>
            <w:bottom w:w="0" w:type="dxa"/>
            <w:right w:w="108" w:type="dxa"/>
          </w:tblCellMar>
        </w:tblPrEx>
        <w:trPr>
          <w:trHeight w:val="482" w:hRule="atLeast"/>
        </w:trPr>
        <w:tc>
          <w:tcPr>
            <w:tcW w:w="2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6965">
            <w:pPr>
              <w:spacing w:line="280" w:lineRule="exact"/>
              <w:jc w:val="center"/>
              <w:textAlignment w:val="center"/>
              <w:rPr>
                <w:b/>
                <w:bCs/>
                <w:color w:val="000000"/>
                <w:sz w:val="21"/>
                <w:szCs w:val="21"/>
              </w:rPr>
            </w:pPr>
            <w:r>
              <w:rPr>
                <w:rFonts w:hint="eastAsia"/>
                <w:b/>
                <w:bCs/>
                <w:color w:val="000000"/>
                <w:kern w:val="0"/>
                <w:sz w:val="21"/>
                <w:szCs w:val="21"/>
              </w:rPr>
              <w:t>合计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A997">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52.54 </w:t>
            </w: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D002">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3,225.64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007D">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5,009.27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3CCB">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8,287.45 </w:t>
            </w:r>
          </w:p>
        </w:tc>
      </w:tr>
    </w:tbl>
    <w:p w14:paraId="20147D29">
      <w:pPr>
        <w:pStyle w:val="8"/>
        <w:widowControl w:val="0"/>
        <w:snapToGrid/>
        <w:ind w:firstLine="562"/>
        <w:outlineLvl w:val="2"/>
        <w:rPr>
          <w:rFonts w:ascii="仿宋" w:hAnsi="仿宋"/>
          <w:b/>
          <w:kern w:val="0"/>
          <w:shd w:val="clear" w:color="auto" w:fill="FFFFFF"/>
        </w:rPr>
      </w:pPr>
      <w:r>
        <w:rPr>
          <w:rFonts w:hint="eastAsia" w:ascii="仿宋" w:hAnsi="仿宋"/>
          <w:b/>
          <w:kern w:val="0"/>
          <w:shd w:val="clear" w:color="auto" w:fill="FFFFFF"/>
        </w:rPr>
        <w:t>2.预算支出及结转结余情况</w:t>
      </w:r>
    </w:p>
    <w:p w14:paraId="3ABA27CE">
      <w:pPr>
        <w:pStyle w:val="8"/>
        <w:widowControl w:val="0"/>
        <w:snapToGrid/>
        <w:ind w:firstLine="560"/>
        <w:rPr>
          <w:rFonts w:ascii="仿宋" w:hAnsi="仿宋"/>
          <w:bCs/>
          <w:kern w:val="0"/>
          <w:shd w:val="clear" w:color="auto" w:fill="FFFFFF"/>
        </w:rPr>
      </w:pPr>
      <w:r>
        <w:rPr>
          <w:rFonts w:hint="eastAsia" w:ascii="仿宋" w:hAnsi="仿宋"/>
          <w:bCs/>
          <w:kern w:val="0"/>
          <w:shd w:val="clear" w:color="auto" w:fill="FFFFFF"/>
        </w:rPr>
        <w:t>2023年度永济市文旅局部门整体支出8,278.33万元，年末财政收回结余资金7.90万元，结转下年度资金1.22元。预算支出及结转结余情况见</w:t>
      </w:r>
      <w:r>
        <w:rPr>
          <w:rFonts w:hint="eastAsia" w:ascii="仿宋"/>
          <w:bCs/>
          <w:kern w:val="0"/>
          <w:shd w:val="clear" w:color="auto" w:fill="FFFFFF"/>
        </w:rPr>
        <w:t>下表</w:t>
      </w:r>
      <w:r>
        <w:rPr>
          <w:rFonts w:hint="eastAsia" w:ascii="仿宋" w:hAnsi="仿宋"/>
          <w:bCs/>
          <w:kern w:val="0"/>
          <w:shd w:val="clear" w:color="auto" w:fill="FFFFFF"/>
        </w:rPr>
        <w:t>：</w:t>
      </w:r>
    </w:p>
    <w:p w14:paraId="3C56AEEF">
      <w:pPr>
        <w:pStyle w:val="8"/>
        <w:widowControl w:val="0"/>
        <w:ind w:firstLine="562"/>
        <w:jc w:val="center"/>
        <w:rPr>
          <w:rFonts w:ascii="仿宋" w:hAnsi="仿宋"/>
          <w:b/>
          <w:bCs/>
        </w:rPr>
      </w:pPr>
      <w:r>
        <w:rPr>
          <w:rFonts w:hint="eastAsia" w:ascii="仿宋" w:hAnsi="仿宋"/>
          <w:b/>
          <w:bCs/>
        </w:rPr>
        <w:t>表</w:t>
      </w:r>
      <w:r>
        <w:rPr>
          <w:rFonts w:hint="eastAsia" w:ascii="仿宋"/>
          <w:b/>
          <w:bCs/>
        </w:rPr>
        <w:t>1-3</w:t>
      </w:r>
      <w:r>
        <w:rPr>
          <w:rFonts w:hint="eastAsia" w:ascii="仿宋" w:hAnsi="仿宋"/>
          <w:b/>
          <w:bCs/>
        </w:rPr>
        <w:t>预算支出及结转结余情况表</w:t>
      </w:r>
    </w:p>
    <w:p w14:paraId="7325C9EE">
      <w:pPr>
        <w:pStyle w:val="8"/>
        <w:widowControl w:val="0"/>
        <w:ind w:firstLine="480"/>
        <w:jc w:val="right"/>
        <w:rPr>
          <w:rFonts w:ascii="仿宋" w:hAnsi="仿宋"/>
          <w:sz w:val="24"/>
          <w:szCs w:val="24"/>
        </w:rPr>
      </w:pPr>
      <w:r>
        <w:rPr>
          <w:rFonts w:hint="eastAsia" w:ascii="仿宋" w:hAnsi="仿宋"/>
          <w:sz w:val="24"/>
          <w:szCs w:val="24"/>
        </w:rPr>
        <w:t>单位：万元</w:t>
      </w:r>
    </w:p>
    <w:tbl>
      <w:tblPr>
        <w:tblStyle w:val="24"/>
        <w:tblW w:w="5000" w:type="pct"/>
        <w:tblInd w:w="0" w:type="dxa"/>
        <w:tblLayout w:type="fixed"/>
        <w:tblCellMar>
          <w:top w:w="0" w:type="dxa"/>
          <w:left w:w="108" w:type="dxa"/>
          <w:bottom w:w="0" w:type="dxa"/>
          <w:right w:w="108" w:type="dxa"/>
        </w:tblCellMar>
      </w:tblPr>
      <w:tblGrid>
        <w:gridCol w:w="4044"/>
        <w:gridCol w:w="1122"/>
        <w:gridCol w:w="1110"/>
        <w:gridCol w:w="1121"/>
        <w:gridCol w:w="1119"/>
      </w:tblGrid>
      <w:tr w14:paraId="789EE8D8">
        <w:tblPrEx>
          <w:tblCellMar>
            <w:top w:w="0" w:type="dxa"/>
            <w:left w:w="108" w:type="dxa"/>
            <w:bottom w:w="0" w:type="dxa"/>
            <w:right w:w="108" w:type="dxa"/>
          </w:tblCellMar>
        </w:tblPrEx>
        <w:trPr>
          <w:trHeight w:val="482" w:hRule="atLeast"/>
          <w:tblHeader/>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B68D">
            <w:pPr>
              <w:spacing w:line="240" w:lineRule="exact"/>
              <w:jc w:val="center"/>
              <w:textAlignment w:val="center"/>
              <w:rPr>
                <w:b/>
                <w:bCs/>
                <w:color w:val="000000"/>
                <w:sz w:val="21"/>
                <w:szCs w:val="21"/>
              </w:rPr>
            </w:pPr>
            <w:r>
              <w:rPr>
                <w:rFonts w:hint="eastAsia"/>
                <w:b/>
                <w:bCs/>
                <w:color w:val="000000"/>
                <w:kern w:val="0"/>
                <w:sz w:val="21"/>
                <w:szCs w:val="21"/>
              </w:rPr>
              <w:t>项 目</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5C55">
            <w:pPr>
              <w:spacing w:line="240" w:lineRule="exact"/>
              <w:jc w:val="center"/>
              <w:textAlignment w:val="center"/>
              <w:rPr>
                <w:b/>
                <w:bCs/>
                <w:color w:val="000000"/>
                <w:sz w:val="21"/>
                <w:szCs w:val="21"/>
              </w:rPr>
            </w:pPr>
            <w:r>
              <w:rPr>
                <w:rFonts w:hint="eastAsia"/>
                <w:b/>
                <w:bCs/>
                <w:color w:val="000000"/>
                <w:kern w:val="0"/>
                <w:sz w:val="21"/>
                <w:szCs w:val="21"/>
              </w:rPr>
              <w:t>收入</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D750">
            <w:pPr>
              <w:spacing w:line="240" w:lineRule="exact"/>
              <w:jc w:val="center"/>
              <w:textAlignment w:val="center"/>
              <w:rPr>
                <w:b/>
                <w:bCs/>
                <w:color w:val="000000"/>
                <w:sz w:val="21"/>
                <w:szCs w:val="21"/>
              </w:rPr>
            </w:pPr>
            <w:r>
              <w:rPr>
                <w:rFonts w:hint="eastAsia"/>
                <w:b/>
                <w:bCs/>
                <w:color w:val="000000"/>
                <w:kern w:val="0"/>
                <w:sz w:val="21"/>
                <w:szCs w:val="21"/>
              </w:rPr>
              <w:t>支出</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AB81">
            <w:pPr>
              <w:spacing w:line="240" w:lineRule="exact"/>
              <w:jc w:val="center"/>
              <w:textAlignment w:val="center"/>
              <w:rPr>
                <w:b/>
                <w:bCs/>
                <w:color w:val="000000"/>
                <w:sz w:val="21"/>
                <w:szCs w:val="21"/>
              </w:rPr>
            </w:pPr>
            <w:r>
              <w:rPr>
                <w:rFonts w:hint="eastAsia"/>
                <w:b/>
                <w:bCs/>
                <w:color w:val="000000"/>
                <w:kern w:val="0"/>
                <w:sz w:val="21"/>
                <w:szCs w:val="21"/>
              </w:rPr>
              <w:t>财政收回</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F7D9">
            <w:pPr>
              <w:spacing w:line="240" w:lineRule="exact"/>
              <w:jc w:val="center"/>
              <w:textAlignment w:val="center"/>
              <w:rPr>
                <w:b/>
                <w:bCs/>
                <w:color w:val="000000"/>
                <w:sz w:val="21"/>
                <w:szCs w:val="21"/>
              </w:rPr>
            </w:pPr>
            <w:r>
              <w:rPr>
                <w:rFonts w:hint="eastAsia"/>
                <w:b/>
                <w:bCs/>
                <w:color w:val="000000"/>
                <w:kern w:val="0"/>
                <w:sz w:val="21"/>
                <w:szCs w:val="21"/>
              </w:rPr>
              <w:t>结转下年</w:t>
            </w:r>
          </w:p>
        </w:tc>
      </w:tr>
      <w:tr w14:paraId="617AC2A4">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D71A">
            <w:pPr>
              <w:textAlignment w:val="center"/>
              <w:rPr>
                <w:b/>
                <w:bCs/>
                <w:color w:val="000000"/>
                <w:sz w:val="21"/>
                <w:szCs w:val="21"/>
              </w:rPr>
            </w:pPr>
            <w:r>
              <w:rPr>
                <w:rFonts w:hint="eastAsia"/>
                <w:b/>
                <w:bCs/>
                <w:color w:val="000000"/>
                <w:kern w:val="0"/>
                <w:sz w:val="21"/>
                <w:szCs w:val="21"/>
              </w:rPr>
              <w:t>基本支出</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2C6B0">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1,685.15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5555">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1,679.31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0770">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5.84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C2CF">
            <w:pPr>
              <w:jc w:val="right"/>
              <w:rPr>
                <w:rFonts w:ascii="Arial Narrow" w:hAnsi="Arial Narrow" w:cs="Arial Narrow"/>
                <w:b/>
                <w:bCs/>
                <w:color w:val="000000"/>
                <w:sz w:val="21"/>
                <w:szCs w:val="21"/>
              </w:rPr>
            </w:pPr>
          </w:p>
        </w:tc>
      </w:tr>
      <w:tr w14:paraId="418AA78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0988">
            <w:pPr>
              <w:textAlignment w:val="center"/>
              <w:rPr>
                <w:color w:val="000000"/>
                <w:sz w:val="21"/>
                <w:szCs w:val="21"/>
              </w:rPr>
            </w:pPr>
            <w:r>
              <w:rPr>
                <w:rFonts w:hint="eastAsia"/>
                <w:color w:val="000000"/>
                <w:kern w:val="0"/>
                <w:sz w:val="21"/>
                <w:szCs w:val="21"/>
              </w:rPr>
              <w:t>人员经费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A8D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1,603.25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8D6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1,599.89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7FA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3.37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40FD">
            <w:pPr>
              <w:jc w:val="right"/>
              <w:rPr>
                <w:rFonts w:ascii="Arial Narrow" w:hAnsi="Arial Narrow" w:cs="Arial Narrow"/>
                <w:color w:val="000000"/>
                <w:sz w:val="21"/>
                <w:szCs w:val="21"/>
              </w:rPr>
            </w:pPr>
          </w:p>
        </w:tc>
      </w:tr>
      <w:tr w14:paraId="16DF67D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4176">
            <w:pPr>
              <w:textAlignment w:val="center"/>
              <w:rPr>
                <w:color w:val="000000"/>
                <w:sz w:val="21"/>
                <w:szCs w:val="21"/>
              </w:rPr>
            </w:pPr>
            <w:r>
              <w:rPr>
                <w:rFonts w:hint="eastAsia"/>
                <w:color w:val="000000"/>
                <w:kern w:val="0"/>
                <w:sz w:val="21"/>
                <w:szCs w:val="21"/>
              </w:rPr>
              <w:t>公用经费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1DE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81.90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40B9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79.42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818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2.47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1129F">
            <w:pPr>
              <w:jc w:val="right"/>
              <w:rPr>
                <w:rFonts w:ascii="Arial Narrow" w:hAnsi="Arial Narrow" w:cs="Arial Narrow"/>
                <w:color w:val="000000"/>
                <w:sz w:val="21"/>
                <w:szCs w:val="21"/>
              </w:rPr>
            </w:pPr>
          </w:p>
        </w:tc>
      </w:tr>
      <w:tr w14:paraId="56B595B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044D">
            <w:pPr>
              <w:textAlignment w:val="center"/>
              <w:rPr>
                <w:b/>
                <w:bCs/>
                <w:color w:val="000000"/>
                <w:sz w:val="21"/>
                <w:szCs w:val="21"/>
              </w:rPr>
            </w:pPr>
            <w:r>
              <w:rPr>
                <w:rFonts w:hint="eastAsia"/>
                <w:b/>
                <w:bCs/>
                <w:color w:val="000000"/>
                <w:kern w:val="0"/>
                <w:sz w:val="21"/>
                <w:szCs w:val="21"/>
              </w:rPr>
              <w:t>财政拨款项目支出</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B320">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6,602.30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054D">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6,599.01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5E53">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2.06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214E">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1.23 </w:t>
            </w:r>
          </w:p>
        </w:tc>
      </w:tr>
      <w:tr w14:paraId="7D56BE0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7065">
            <w:pPr>
              <w:textAlignment w:val="center"/>
              <w:rPr>
                <w:color w:val="000000"/>
                <w:sz w:val="21"/>
                <w:szCs w:val="21"/>
              </w:rPr>
            </w:pPr>
            <w:r>
              <w:rPr>
                <w:rFonts w:hint="eastAsia"/>
                <w:color w:val="000000"/>
                <w:kern w:val="0"/>
                <w:sz w:val="21"/>
                <w:szCs w:val="21"/>
              </w:rPr>
              <w:t>2023年人才国情研修（文旅领域）</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BAE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19.28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7FC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19.28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440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835D">
            <w:pPr>
              <w:jc w:val="right"/>
              <w:rPr>
                <w:rFonts w:ascii="Arial Narrow" w:hAnsi="Arial Narrow" w:cs="Arial Narrow"/>
                <w:color w:val="000000"/>
                <w:sz w:val="21"/>
                <w:szCs w:val="21"/>
              </w:rPr>
            </w:pPr>
          </w:p>
        </w:tc>
      </w:tr>
      <w:tr w14:paraId="576FC20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49F0">
            <w:pPr>
              <w:textAlignment w:val="center"/>
              <w:rPr>
                <w:color w:val="000000"/>
                <w:sz w:val="21"/>
                <w:szCs w:val="21"/>
              </w:rPr>
            </w:pPr>
            <w:r>
              <w:rPr>
                <w:rFonts w:hint="eastAsia"/>
                <w:color w:val="000000"/>
                <w:kern w:val="0"/>
                <w:sz w:val="21"/>
                <w:szCs w:val="21"/>
              </w:rPr>
              <w:t>党报党刊</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42DD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A28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C4B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237E">
            <w:pPr>
              <w:jc w:val="right"/>
              <w:rPr>
                <w:rFonts w:ascii="Arial Narrow" w:hAnsi="Arial Narrow" w:cs="Arial Narrow"/>
                <w:color w:val="000000"/>
                <w:sz w:val="21"/>
                <w:szCs w:val="21"/>
              </w:rPr>
            </w:pPr>
          </w:p>
        </w:tc>
      </w:tr>
      <w:tr w14:paraId="4499E78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E124">
            <w:pPr>
              <w:textAlignment w:val="center"/>
              <w:rPr>
                <w:color w:val="000000"/>
                <w:sz w:val="21"/>
                <w:szCs w:val="21"/>
              </w:rPr>
            </w:pPr>
            <w:r>
              <w:rPr>
                <w:rFonts w:hint="eastAsia"/>
                <w:color w:val="000000"/>
                <w:kern w:val="0"/>
                <w:sz w:val="21"/>
                <w:szCs w:val="21"/>
              </w:rPr>
              <w:t>遗属补助及取暖费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54B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9.13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935C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9.13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7E41">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36F8">
            <w:pPr>
              <w:jc w:val="right"/>
              <w:rPr>
                <w:rFonts w:ascii="Arial Narrow" w:hAnsi="Arial Narrow" w:cs="Arial Narrow"/>
                <w:color w:val="000000"/>
                <w:sz w:val="21"/>
                <w:szCs w:val="21"/>
              </w:rPr>
            </w:pPr>
          </w:p>
        </w:tc>
      </w:tr>
      <w:tr w14:paraId="7BE3E25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4D40">
            <w:pPr>
              <w:textAlignment w:val="center"/>
              <w:rPr>
                <w:color w:val="000000"/>
                <w:sz w:val="21"/>
                <w:szCs w:val="21"/>
              </w:rPr>
            </w:pPr>
            <w:r>
              <w:rPr>
                <w:rFonts w:hint="eastAsia"/>
                <w:color w:val="000000"/>
                <w:kern w:val="0"/>
                <w:sz w:val="21"/>
                <w:szCs w:val="21"/>
              </w:rPr>
              <w:t>2023年文化强县艺术创作经费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2A0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036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E21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CCBD">
            <w:pPr>
              <w:jc w:val="right"/>
              <w:rPr>
                <w:rFonts w:ascii="Arial Narrow" w:hAnsi="Arial Narrow" w:cs="Arial Narrow"/>
                <w:color w:val="000000"/>
                <w:sz w:val="21"/>
                <w:szCs w:val="21"/>
              </w:rPr>
            </w:pPr>
          </w:p>
        </w:tc>
      </w:tr>
      <w:tr w14:paraId="60A83AE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D90B">
            <w:pPr>
              <w:textAlignment w:val="center"/>
              <w:rPr>
                <w:color w:val="000000"/>
                <w:sz w:val="21"/>
                <w:szCs w:val="21"/>
              </w:rPr>
            </w:pPr>
            <w:r>
              <w:rPr>
                <w:rFonts w:hint="eastAsia"/>
                <w:color w:val="000000"/>
                <w:kern w:val="0"/>
                <w:sz w:val="21"/>
                <w:szCs w:val="21"/>
              </w:rPr>
              <w:t>文旅市场安全生产、疫情防控工作资金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18F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4C3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1B5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EBAA">
            <w:pPr>
              <w:jc w:val="right"/>
              <w:rPr>
                <w:rFonts w:ascii="Arial Narrow" w:hAnsi="Arial Narrow" w:cs="Arial Narrow"/>
                <w:color w:val="000000"/>
                <w:sz w:val="21"/>
                <w:szCs w:val="21"/>
              </w:rPr>
            </w:pPr>
          </w:p>
        </w:tc>
      </w:tr>
      <w:tr w14:paraId="4DE1336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9CA1">
            <w:pPr>
              <w:textAlignment w:val="center"/>
              <w:rPr>
                <w:color w:val="000000"/>
                <w:kern w:val="0"/>
                <w:sz w:val="21"/>
                <w:szCs w:val="21"/>
              </w:rPr>
            </w:pPr>
            <w:r>
              <w:rPr>
                <w:rFonts w:hint="eastAsia"/>
                <w:color w:val="000000"/>
                <w:kern w:val="0"/>
                <w:sz w:val="21"/>
                <w:szCs w:val="21"/>
              </w:rPr>
              <w:t>2022年旅游厕所建设省级专项资金(上年结转)</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D77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697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F43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6F96">
            <w:pPr>
              <w:jc w:val="right"/>
              <w:rPr>
                <w:rFonts w:ascii="Arial Narrow" w:hAnsi="Arial Narrow" w:cs="Arial Narrow"/>
                <w:color w:val="000000"/>
                <w:sz w:val="21"/>
                <w:szCs w:val="21"/>
              </w:rPr>
            </w:pPr>
          </w:p>
        </w:tc>
      </w:tr>
      <w:tr w14:paraId="61332BF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AF94">
            <w:pPr>
              <w:textAlignment w:val="center"/>
              <w:rPr>
                <w:color w:val="000000"/>
                <w:kern w:val="0"/>
                <w:sz w:val="21"/>
                <w:szCs w:val="21"/>
              </w:rPr>
            </w:pPr>
            <w:r>
              <w:rPr>
                <w:rFonts w:hint="eastAsia"/>
                <w:color w:val="000000"/>
                <w:kern w:val="0"/>
                <w:sz w:val="21"/>
                <w:szCs w:val="21"/>
              </w:rPr>
              <w:t>旅游发展专项资金(旅游厕所)</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9D3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26.50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052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26.50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2176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6F97">
            <w:pPr>
              <w:jc w:val="right"/>
              <w:rPr>
                <w:rFonts w:ascii="Arial Narrow" w:hAnsi="Arial Narrow" w:cs="Arial Narrow"/>
                <w:color w:val="000000"/>
                <w:sz w:val="21"/>
                <w:szCs w:val="21"/>
              </w:rPr>
            </w:pPr>
          </w:p>
        </w:tc>
      </w:tr>
      <w:tr w14:paraId="7AB1ED6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FF552">
            <w:pPr>
              <w:textAlignment w:val="center"/>
              <w:rPr>
                <w:color w:val="000000"/>
                <w:kern w:val="0"/>
                <w:sz w:val="21"/>
                <w:szCs w:val="21"/>
              </w:rPr>
            </w:pPr>
            <w:r>
              <w:rPr>
                <w:rFonts w:hint="eastAsia"/>
                <w:color w:val="000000"/>
                <w:kern w:val="0"/>
                <w:sz w:val="21"/>
                <w:szCs w:val="21"/>
              </w:rPr>
              <w:t>永济市思政课堂研学教育体验基地项目策划服务费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3D7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28.50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1F3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28.45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C99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0.05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6E34">
            <w:pPr>
              <w:jc w:val="right"/>
              <w:rPr>
                <w:rFonts w:ascii="Arial Narrow" w:hAnsi="Arial Narrow" w:cs="Arial Narrow"/>
                <w:color w:val="000000"/>
                <w:sz w:val="21"/>
                <w:szCs w:val="21"/>
              </w:rPr>
            </w:pPr>
          </w:p>
        </w:tc>
      </w:tr>
      <w:tr w14:paraId="2924D7F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B17E5">
            <w:pPr>
              <w:textAlignment w:val="center"/>
              <w:rPr>
                <w:color w:val="000000"/>
                <w:kern w:val="0"/>
                <w:sz w:val="21"/>
                <w:szCs w:val="21"/>
              </w:rPr>
            </w:pPr>
            <w:r>
              <w:rPr>
                <w:rFonts w:hint="eastAsia"/>
                <w:color w:val="000000"/>
                <w:kern w:val="0"/>
                <w:sz w:val="21"/>
                <w:szCs w:val="21"/>
              </w:rPr>
              <w:t>2023年度A级景区门票优惠活动省级补贴资金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011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50.91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9C5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50.91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5251">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37BE5">
            <w:pPr>
              <w:jc w:val="right"/>
              <w:rPr>
                <w:rFonts w:ascii="Arial Narrow" w:hAnsi="Arial Narrow" w:cs="Arial Narrow"/>
                <w:color w:val="000000"/>
                <w:sz w:val="21"/>
                <w:szCs w:val="21"/>
              </w:rPr>
            </w:pPr>
          </w:p>
        </w:tc>
      </w:tr>
      <w:tr w14:paraId="163324D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ED29">
            <w:pPr>
              <w:textAlignment w:val="center"/>
              <w:rPr>
                <w:color w:val="000000"/>
                <w:kern w:val="0"/>
                <w:sz w:val="21"/>
                <w:szCs w:val="21"/>
              </w:rPr>
            </w:pPr>
            <w:r>
              <w:rPr>
                <w:rFonts w:hint="eastAsia"/>
                <w:color w:val="000000"/>
                <w:kern w:val="0"/>
                <w:sz w:val="21"/>
                <w:szCs w:val="21"/>
              </w:rPr>
              <w:t>2022年第四季度A级景区门票优惠活动补助资金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B0A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0.34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62C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0.34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5B2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6734">
            <w:pPr>
              <w:jc w:val="right"/>
              <w:rPr>
                <w:rFonts w:ascii="Arial Narrow" w:hAnsi="Arial Narrow" w:cs="Arial Narrow"/>
                <w:color w:val="000000"/>
                <w:sz w:val="21"/>
                <w:szCs w:val="21"/>
              </w:rPr>
            </w:pPr>
          </w:p>
        </w:tc>
      </w:tr>
      <w:tr w14:paraId="1275D961">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8DB8">
            <w:pPr>
              <w:textAlignment w:val="center"/>
              <w:rPr>
                <w:color w:val="000000"/>
                <w:kern w:val="0"/>
                <w:sz w:val="21"/>
                <w:szCs w:val="21"/>
              </w:rPr>
            </w:pPr>
            <w:r>
              <w:rPr>
                <w:rFonts w:hint="eastAsia"/>
                <w:color w:val="000000"/>
                <w:kern w:val="0"/>
                <w:sz w:val="21"/>
                <w:szCs w:val="21"/>
              </w:rPr>
              <w:t>基建支出</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AD2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794.93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DBA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794.93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BBA7">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8EF8">
            <w:pPr>
              <w:jc w:val="right"/>
              <w:rPr>
                <w:rFonts w:ascii="Arial Narrow" w:hAnsi="Arial Narrow" w:cs="Arial Narrow"/>
                <w:color w:val="000000"/>
                <w:sz w:val="21"/>
                <w:szCs w:val="21"/>
              </w:rPr>
            </w:pPr>
          </w:p>
        </w:tc>
      </w:tr>
      <w:tr w14:paraId="06F1D84C">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3A14">
            <w:pPr>
              <w:textAlignment w:val="center"/>
              <w:rPr>
                <w:color w:val="000000"/>
                <w:kern w:val="0"/>
                <w:sz w:val="21"/>
                <w:szCs w:val="21"/>
              </w:rPr>
            </w:pPr>
            <w:r>
              <w:rPr>
                <w:rFonts w:hint="eastAsia"/>
                <w:color w:val="000000"/>
                <w:kern w:val="0"/>
                <w:sz w:val="21"/>
                <w:szCs w:val="21"/>
              </w:rPr>
              <w:t>五老峰景区暨黄河铁牛·鹳雀楼文化旅游区创建国家AAAAA级旅游景区综合咨询服务费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535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A85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34.00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63A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3078">
            <w:pPr>
              <w:jc w:val="right"/>
              <w:rPr>
                <w:rFonts w:ascii="Arial Narrow" w:hAnsi="Arial Narrow" w:cs="Arial Narrow"/>
                <w:color w:val="000000"/>
                <w:sz w:val="21"/>
                <w:szCs w:val="21"/>
              </w:rPr>
            </w:pPr>
          </w:p>
        </w:tc>
      </w:tr>
      <w:tr w14:paraId="7EEB025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09ED">
            <w:pPr>
              <w:textAlignment w:val="center"/>
              <w:rPr>
                <w:color w:val="000000"/>
                <w:kern w:val="0"/>
                <w:sz w:val="21"/>
                <w:szCs w:val="21"/>
              </w:rPr>
            </w:pPr>
            <w:r>
              <w:rPr>
                <w:rFonts w:hint="eastAsia"/>
                <w:color w:val="000000"/>
                <w:kern w:val="0"/>
                <w:sz w:val="21"/>
                <w:szCs w:val="21"/>
              </w:rPr>
              <w:t>文游发展经费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238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24.87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AF5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24.87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F244">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22B51">
            <w:pPr>
              <w:jc w:val="right"/>
              <w:rPr>
                <w:rFonts w:ascii="Arial Narrow" w:hAnsi="Arial Narrow" w:cs="Arial Narrow"/>
                <w:color w:val="000000"/>
                <w:sz w:val="21"/>
                <w:szCs w:val="21"/>
              </w:rPr>
            </w:pPr>
          </w:p>
        </w:tc>
      </w:tr>
      <w:tr w14:paraId="6E216D5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9C93">
            <w:pPr>
              <w:textAlignment w:val="center"/>
              <w:rPr>
                <w:color w:val="000000"/>
                <w:kern w:val="0"/>
                <w:sz w:val="21"/>
                <w:szCs w:val="21"/>
              </w:rPr>
            </w:pPr>
            <w:r>
              <w:rPr>
                <w:rFonts w:hint="eastAsia"/>
                <w:color w:val="000000"/>
                <w:kern w:val="0"/>
                <w:sz w:val="21"/>
                <w:szCs w:val="21"/>
              </w:rPr>
              <w:t>山西省永济市万固寺至鹳雀楼旅游复合廊道项目设计费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4B7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23.00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41E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23.00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FE46">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6622">
            <w:pPr>
              <w:jc w:val="right"/>
              <w:rPr>
                <w:rFonts w:ascii="Arial Narrow" w:hAnsi="Arial Narrow" w:cs="Arial Narrow"/>
                <w:color w:val="000000"/>
                <w:sz w:val="21"/>
                <w:szCs w:val="21"/>
              </w:rPr>
            </w:pPr>
          </w:p>
        </w:tc>
      </w:tr>
      <w:tr w14:paraId="53E4B877">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4995">
            <w:pPr>
              <w:textAlignment w:val="center"/>
              <w:rPr>
                <w:color w:val="000000"/>
                <w:kern w:val="0"/>
                <w:sz w:val="21"/>
                <w:szCs w:val="21"/>
              </w:rPr>
            </w:pPr>
            <w:r>
              <w:rPr>
                <w:rFonts w:hint="eastAsia"/>
                <w:color w:val="000000"/>
                <w:kern w:val="0"/>
                <w:sz w:val="21"/>
                <w:szCs w:val="21"/>
              </w:rPr>
              <w:t>中国蒲剧文化起源地研究课题项目</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586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56A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1F5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AC64">
            <w:pPr>
              <w:jc w:val="right"/>
              <w:rPr>
                <w:rFonts w:ascii="Arial Narrow" w:hAnsi="Arial Narrow" w:cs="Arial Narrow"/>
                <w:color w:val="000000"/>
                <w:sz w:val="21"/>
                <w:szCs w:val="21"/>
              </w:rPr>
            </w:pPr>
          </w:p>
        </w:tc>
      </w:tr>
      <w:tr w14:paraId="08BA49F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0DF7">
            <w:pPr>
              <w:textAlignment w:val="center"/>
              <w:rPr>
                <w:color w:val="000000"/>
                <w:kern w:val="0"/>
                <w:sz w:val="21"/>
                <w:szCs w:val="21"/>
              </w:rPr>
            </w:pPr>
            <w:r>
              <w:rPr>
                <w:rFonts w:hint="eastAsia"/>
                <w:color w:val="000000"/>
                <w:kern w:val="0"/>
                <w:sz w:val="21"/>
                <w:szCs w:val="21"/>
              </w:rPr>
              <w:t>2023年春节活动经费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13B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B13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7360E">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F903">
            <w:pPr>
              <w:jc w:val="right"/>
              <w:rPr>
                <w:rFonts w:ascii="Arial Narrow" w:hAnsi="Arial Narrow" w:cs="Arial Narrow"/>
                <w:color w:val="000000"/>
                <w:sz w:val="21"/>
                <w:szCs w:val="21"/>
              </w:rPr>
            </w:pPr>
          </w:p>
        </w:tc>
      </w:tr>
      <w:tr w14:paraId="2237742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61D0B">
            <w:pPr>
              <w:textAlignment w:val="center"/>
              <w:rPr>
                <w:color w:val="000000"/>
                <w:kern w:val="0"/>
                <w:sz w:val="21"/>
                <w:szCs w:val="21"/>
              </w:rPr>
            </w:pPr>
            <w:r>
              <w:rPr>
                <w:rFonts w:hint="eastAsia"/>
                <w:color w:val="000000"/>
                <w:kern w:val="0"/>
                <w:sz w:val="21"/>
                <w:szCs w:val="21"/>
              </w:rPr>
              <w:t>2023年山西鹳雀楼文化旅游产业发展有限公司注册资本金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964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16D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B6AE">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8B0D">
            <w:pPr>
              <w:jc w:val="right"/>
              <w:rPr>
                <w:rFonts w:ascii="Arial Narrow" w:hAnsi="Arial Narrow" w:cs="Arial Narrow"/>
                <w:color w:val="000000"/>
                <w:sz w:val="21"/>
                <w:szCs w:val="21"/>
              </w:rPr>
            </w:pPr>
          </w:p>
        </w:tc>
      </w:tr>
      <w:tr w14:paraId="526E023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75B0">
            <w:pPr>
              <w:textAlignment w:val="center"/>
              <w:rPr>
                <w:color w:val="000000"/>
                <w:kern w:val="0"/>
                <w:sz w:val="21"/>
                <w:szCs w:val="21"/>
              </w:rPr>
            </w:pPr>
            <w:r>
              <w:rPr>
                <w:rFonts w:hint="eastAsia"/>
                <w:color w:val="000000"/>
                <w:kern w:val="0"/>
                <w:sz w:val="21"/>
                <w:szCs w:val="21"/>
              </w:rPr>
              <w:t>2023年“戏曲惠民.欢乐百姓”送戏下乡资金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4D1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114.00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DEB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114.00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9B3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8280">
            <w:pPr>
              <w:jc w:val="right"/>
              <w:rPr>
                <w:rFonts w:ascii="Arial Narrow" w:hAnsi="Arial Narrow" w:cs="Arial Narrow"/>
                <w:color w:val="000000"/>
                <w:sz w:val="21"/>
                <w:szCs w:val="21"/>
              </w:rPr>
            </w:pPr>
          </w:p>
        </w:tc>
      </w:tr>
      <w:tr w14:paraId="0374225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C5D1">
            <w:pPr>
              <w:textAlignment w:val="center"/>
              <w:rPr>
                <w:color w:val="000000"/>
                <w:kern w:val="0"/>
                <w:sz w:val="21"/>
                <w:szCs w:val="21"/>
              </w:rPr>
            </w:pPr>
            <w:r>
              <w:rPr>
                <w:rFonts w:hint="eastAsia"/>
                <w:color w:val="000000"/>
                <w:kern w:val="0"/>
                <w:sz w:val="21"/>
                <w:szCs w:val="21"/>
              </w:rPr>
              <w:t>山西鹳雀楼文化旅游产业发展有限公司及下属景区相关费用</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D43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B6A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023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F58B">
            <w:pPr>
              <w:jc w:val="right"/>
              <w:rPr>
                <w:rFonts w:ascii="Arial Narrow" w:hAnsi="Arial Narrow" w:cs="Arial Narrow"/>
                <w:color w:val="000000"/>
                <w:sz w:val="21"/>
                <w:szCs w:val="21"/>
              </w:rPr>
            </w:pPr>
          </w:p>
        </w:tc>
      </w:tr>
      <w:tr w14:paraId="6287F241">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FEF7">
            <w:pPr>
              <w:textAlignment w:val="center"/>
              <w:rPr>
                <w:color w:val="000000"/>
                <w:kern w:val="0"/>
                <w:sz w:val="21"/>
                <w:szCs w:val="21"/>
              </w:rPr>
            </w:pPr>
            <w:r>
              <w:rPr>
                <w:rFonts w:hint="eastAsia"/>
                <w:color w:val="000000"/>
                <w:kern w:val="0"/>
                <w:sz w:val="21"/>
                <w:szCs w:val="21"/>
              </w:rPr>
              <w:t>2023年中央补助地方公共文化服务体系建设专项资金(本级配套)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33E9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03A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7.02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280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CC18">
            <w:pPr>
              <w:jc w:val="right"/>
              <w:rPr>
                <w:rFonts w:ascii="Arial Narrow" w:hAnsi="Arial Narrow" w:cs="Arial Narrow"/>
                <w:color w:val="000000"/>
                <w:sz w:val="21"/>
                <w:szCs w:val="21"/>
              </w:rPr>
            </w:pPr>
          </w:p>
        </w:tc>
      </w:tr>
      <w:tr w14:paraId="6051FFF5">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97AF">
            <w:pPr>
              <w:textAlignment w:val="center"/>
              <w:rPr>
                <w:color w:val="000000"/>
                <w:kern w:val="0"/>
                <w:sz w:val="21"/>
                <w:szCs w:val="21"/>
              </w:rPr>
            </w:pPr>
            <w:r>
              <w:rPr>
                <w:rFonts w:hint="eastAsia"/>
                <w:color w:val="000000"/>
                <w:kern w:val="0"/>
                <w:sz w:val="21"/>
                <w:szCs w:val="21"/>
              </w:rPr>
              <w:t>2023年公共文化服务宣传</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F40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1ABE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EA6E">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ACE3">
            <w:pPr>
              <w:jc w:val="right"/>
              <w:rPr>
                <w:rFonts w:ascii="Arial Narrow" w:hAnsi="Arial Narrow" w:cs="Arial Narrow"/>
                <w:color w:val="000000"/>
                <w:sz w:val="21"/>
                <w:szCs w:val="21"/>
              </w:rPr>
            </w:pPr>
          </w:p>
        </w:tc>
      </w:tr>
      <w:tr w14:paraId="47975CBA">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E773">
            <w:pPr>
              <w:textAlignment w:val="center"/>
              <w:rPr>
                <w:color w:val="000000"/>
                <w:kern w:val="0"/>
                <w:sz w:val="21"/>
                <w:szCs w:val="21"/>
              </w:rPr>
            </w:pPr>
            <w:r>
              <w:rPr>
                <w:rFonts w:hint="eastAsia"/>
                <w:color w:val="000000"/>
                <w:kern w:val="0"/>
                <w:sz w:val="21"/>
                <w:szCs w:val="21"/>
              </w:rPr>
              <w:t>五老峰创建国家5A级景区补助资金(上年结转)</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797F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49B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EC05">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EBBE">
            <w:pPr>
              <w:jc w:val="right"/>
              <w:rPr>
                <w:rFonts w:ascii="Arial Narrow" w:hAnsi="Arial Narrow" w:cs="Arial Narrow"/>
                <w:color w:val="000000"/>
                <w:sz w:val="21"/>
                <w:szCs w:val="21"/>
              </w:rPr>
            </w:pPr>
          </w:p>
        </w:tc>
      </w:tr>
      <w:tr w14:paraId="0297447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1DB1">
            <w:pPr>
              <w:textAlignment w:val="center"/>
              <w:rPr>
                <w:color w:val="000000"/>
                <w:kern w:val="0"/>
                <w:sz w:val="21"/>
                <w:szCs w:val="21"/>
              </w:rPr>
            </w:pPr>
            <w:r>
              <w:rPr>
                <w:rFonts w:hint="eastAsia"/>
                <w:color w:val="000000"/>
                <w:kern w:val="0"/>
                <w:sz w:val="21"/>
                <w:szCs w:val="21"/>
              </w:rPr>
              <w:t>目标责任考核奖</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2EA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C9D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0.50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E2D0">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8777">
            <w:pPr>
              <w:jc w:val="right"/>
              <w:rPr>
                <w:rFonts w:ascii="Arial Narrow" w:hAnsi="Arial Narrow" w:cs="Arial Narrow"/>
                <w:color w:val="000000"/>
                <w:sz w:val="21"/>
                <w:szCs w:val="21"/>
              </w:rPr>
            </w:pPr>
          </w:p>
        </w:tc>
      </w:tr>
      <w:tr w14:paraId="29F1A27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0D23">
            <w:pPr>
              <w:textAlignment w:val="center"/>
              <w:rPr>
                <w:color w:val="000000"/>
                <w:kern w:val="0"/>
                <w:sz w:val="21"/>
                <w:szCs w:val="21"/>
              </w:rPr>
            </w:pPr>
            <w:r>
              <w:rPr>
                <w:rFonts w:hint="eastAsia"/>
                <w:color w:val="000000"/>
                <w:kern w:val="0"/>
                <w:sz w:val="21"/>
                <w:szCs w:val="21"/>
              </w:rPr>
              <w:t>2023年博物馆免费开放资金(省级)</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BDD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FE5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3398">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4DA0">
            <w:pPr>
              <w:jc w:val="right"/>
              <w:rPr>
                <w:rFonts w:ascii="Arial Narrow" w:hAnsi="Arial Narrow" w:cs="Arial Narrow"/>
                <w:color w:val="000000"/>
                <w:sz w:val="21"/>
                <w:szCs w:val="21"/>
              </w:rPr>
            </w:pPr>
          </w:p>
        </w:tc>
      </w:tr>
      <w:tr w14:paraId="64B0C54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44F7E">
            <w:pPr>
              <w:textAlignment w:val="center"/>
              <w:rPr>
                <w:color w:val="000000"/>
                <w:kern w:val="0"/>
                <w:sz w:val="21"/>
                <w:szCs w:val="21"/>
              </w:rPr>
            </w:pPr>
            <w:r>
              <w:rPr>
                <w:rFonts w:hint="eastAsia"/>
                <w:color w:val="000000"/>
                <w:kern w:val="0"/>
                <w:sz w:val="21"/>
                <w:szCs w:val="21"/>
              </w:rPr>
              <w:t>2023年博物馆免费开放资金(中央)</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169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CC7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6892E">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3A95">
            <w:pPr>
              <w:jc w:val="right"/>
              <w:rPr>
                <w:rFonts w:ascii="Arial Narrow" w:hAnsi="Arial Narrow" w:cs="Arial Narrow"/>
                <w:color w:val="000000"/>
                <w:sz w:val="21"/>
                <w:szCs w:val="21"/>
              </w:rPr>
            </w:pPr>
          </w:p>
        </w:tc>
      </w:tr>
      <w:tr w14:paraId="50489F3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6540">
            <w:pPr>
              <w:textAlignment w:val="center"/>
              <w:rPr>
                <w:color w:val="000000"/>
                <w:kern w:val="0"/>
                <w:sz w:val="21"/>
                <w:szCs w:val="21"/>
              </w:rPr>
            </w:pPr>
            <w:r>
              <w:rPr>
                <w:rFonts w:hint="eastAsia"/>
                <w:color w:val="000000"/>
                <w:kern w:val="0"/>
                <w:sz w:val="21"/>
                <w:szCs w:val="21"/>
              </w:rPr>
              <w:t>2023年馆藏文物保护经费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34CC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6A3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455A5">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04CC">
            <w:pPr>
              <w:jc w:val="right"/>
              <w:rPr>
                <w:rFonts w:ascii="Arial Narrow" w:hAnsi="Arial Narrow" w:cs="Arial Narrow"/>
                <w:color w:val="000000"/>
                <w:sz w:val="21"/>
                <w:szCs w:val="21"/>
              </w:rPr>
            </w:pPr>
          </w:p>
        </w:tc>
      </w:tr>
      <w:tr w14:paraId="0C5869F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42AD">
            <w:pPr>
              <w:textAlignment w:val="center"/>
              <w:rPr>
                <w:color w:val="000000"/>
                <w:kern w:val="0"/>
                <w:sz w:val="21"/>
                <w:szCs w:val="21"/>
              </w:rPr>
            </w:pPr>
            <w:r>
              <w:rPr>
                <w:rFonts w:hint="eastAsia"/>
                <w:color w:val="000000"/>
                <w:kern w:val="0"/>
                <w:sz w:val="21"/>
                <w:szCs w:val="21"/>
              </w:rPr>
              <w:t>遗属补助和取暖费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F38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5C4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1.02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D45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83BA">
            <w:pPr>
              <w:jc w:val="right"/>
              <w:rPr>
                <w:rFonts w:ascii="Arial Narrow" w:hAnsi="Arial Narrow" w:cs="Arial Narrow"/>
                <w:color w:val="000000"/>
                <w:sz w:val="21"/>
                <w:szCs w:val="21"/>
              </w:rPr>
            </w:pPr>
          </w:p>
        </w:tc>
      </w:tr>
      <w:tr w14:paraId="15BD190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4823">
            <w:pPr>
              <w:textAlignment w:val="center"/>
              <w:rPr>
                <w:color w:val="000000"/>
                <w:kern w:val="0"/>
                <w:sz w:val="21"/>
                <w:szCs w:val="21"/>
              </w:rPr>
            </w:pPr>
            <w:r>
              <w:rPr>
                <w:rFonts w:hint="eastAsia"/>
                <w:color w:val="000000"/>
                <w:kern w:val="0"/>
                <w:sz w:val="21"/>
                <w:szCs w:val="21"/>
              </w:rPr>
              <w:t>2023博物馆运行经费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4F0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83.80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FDE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83.80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571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8E83">
            <w:pPr>
              <w:jc w:val="right"/>
              <w:rPr>
                <w:rFonts w:ascii="Arial Narrow" w:hAnsi="Arial Narrow" w:cs="Arial Narrow"/>
                <w:color w:val="000000"/>
                <w:sz w:val="21"/>
                <w:szCs w:val="21"/>
              </w:rPr>
            </w:pPr>
          </w:p>
        </w:tc>
      </w:tr>
      <w:tr w14:paraId="7AD2AC97">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33F80">
            <w:pPr>
              <w:textAlignment w:val="center"/>
              <w:rPr>
                <w:color w:val="000000"/>
                <w:kern w:val="0"/>
                <w:sz w:val="21"/>
                <w:szCs w:val="21"/>
              </w:rPr>
            </w:pPr>
            <w:r>
              <w:rPr>
                <w:rFonts w:hint="eastAsia"/>
                <w:color w:val="000000"/>
                <w:kern w:val="0"/>
                <w:sz w:val="21"/>
                <w:szCs w:val="21"/>
              </w:rPr>
              <w:t>2023年旅游宣传资金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98E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164.52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9110">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163.56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2B7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0.96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BFBA">
            <w:pPr>
              <w:jc w:val="right"/>
              <w:rPr>
                <w:rFonts w:ascii="Arial Narrow" w:hAnsi="Arial Narrow" w:cs="Arial Narrow"/>
                <w:color w:val="000000"/>
                <w:sz w:val="21"/>
                <w:szCs w:val="21"/>
              </w:rPr>
            </w:pPr>
          </w:p>
        </w:tc>
      </w:tr>
      <w:tr w14:paraId="3697069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471DD">
            <w:pPr>
              <w:textAlignment w:val="center"/>
              <w:rPr>
                <w:color w:val="000000"/>
                <w:kern w:val="0"/>
                <w:sz w:val="21"/>
                <w:szCs w:val="21"/>
              </w:rPr>
            </w:pPr>
            <w:r>
              <w:rPr>
                <w:rFonts w:hint="eastAsia"/>
                <w:color w:val="000000"/>
                <w:kern w:val="0"/>
                <w:sz w:val="21"/>
                <w:szCs w:val="21"/>
              </w:rPr>
              <w:t>流动美术车车辆购置税费用</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71C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2.74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55B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2.74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DB94">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40A2">
            <w:pPr>
              <w:jc w:val="right"/>
              <w:rPr>
                <w:rFonts w:ascii="Arial Narrow" w:hAnsi="Arial Narrow" w:cs="Arial Narrow"/>
                <w:color w:val="000000"/>
                <w:sz w:val="21"/>
                <w:szCs w:val="21"/>
              </w:rPr>
            </w:pPr>
          </w:p>
        </w:tc>
      </w:tr>
      <w:tr w14:paraId="23D3584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4AB8">
            <w:pPr>
              <w:textAlignment w:val="center"/>
              <w:rPr>
                <w:color w:val="000000"/>
                <w:kern w:val="0"/>
                <w:sz w:val="21"/>
                <w:szCs w:val="21"/>
              </w:rPr>
            </w:pPr>
            <w:r>
              <w:rPr>
                <w:rFonts w:hint="eastAsia"/>
                <w:color w:val="000000"/>
                <w:kern w:val="0"/>
                <w:sz w:val="21"/>
                <w:szCs w:val="21"/>
              </w:rPr>
              <w:t>图书馆(美术馆)更换民俗规划展一楼展厅部分版面和灯箱的资金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1AC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3.60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8A0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3.60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EE1C">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D0B1">
            <w:pPr>
              <w:jc w:val="right"/>
              <w:rPr>
                <w:rFonts w:ascii="Arial Narrow" w:hAnsi="Arial Narrow" w:cs="Arial Narrow"/>
                <w:color w:val="000000"/>
                <w:sz w:val="21"/>
                <w:szCs w:val="21"/>
              </w:rPr>
            </w:pPr>
          </w:p>
        </w:tc>
      </w:tr>
      <w:tr w14:paraId="510A495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5768">
            <w:pPr>
              <w:textAlignment w:val="center"/>
              <w:rPr>
                <w:color w:val="000000"/>
                <w:kern w:val="0"/>
                <w:sz w:val="21"/>
                <w:szCs w:val="21"/>
              </w:rPr>
            </w:pPr>
            <w:r>
              <w:rPr>
                <w:rFonts w:hint="eastAsia"/>
                <w:color w:val="000000"/>
                <w:kern w:val="0"/>
                <w:sz w:val="21"/>
                <w:szCs w:val="21"/>
              </w:rPr>
              <w:t>2023年河东书房及镇分馆运行专项经费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C2A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190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48A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1A3E">
            <w:pPr>
              <w:jc w:val="right"/>
              <w:rPr>
                <w:rFonts w:ascii="Arial Narrow" w:hAnsi="Arial Narrow" w:cs="Arial Narrow"/>
                <w:color w:val="000000"/>
                <w:sz w:val="21"/>
                <w:szCs w:val="21"/>
              </w:rPr>
            </w:pPr>
          </w:p>
        </w:tc>
      </w:tr>
      <w:tr w14:paraId="4C9DE94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5360">
            <w:pPr>
              <w:textAlignment w:val="center"/>
              <w:rPr>
                <w:color w:val="000000"/>
                <w:kern w:val="0"/>
                <w:sz w:val="21"/>
                <w:szCs w:val="21"/>
              </w:rPr>
            </w:pPr>
            <w:r>
              <w:rPr>
                <w:rFonts w:hint="eastAsia"/>
                <w:color w:val="000000"/>
                <w:kern w:val="0"/>
                <w:sz w:val="21"/>
                <w:szCs w:val="21"/>
              </w:rPr>
              <w:t>2023年图书购置</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524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8.00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660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8.00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87F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8219">
            <w:pPr>
              <w:jc w:val="right"/>
              <w:rPr>
                <w:rFonts w:ascii="Arial Narrow" w:hAnsi="Arial Narrow" w:cs="Arial Narrow"/>
                <w:color w:val="000000"/>
                <w:sz w:val="21"/>
                <w:szCs w:val="21"/>
              </w:rPr>
            </w:pPr>
          </w:p>
        </w:tc>
      </w:tr>
      <w:tr w14:paraId="63FBF8D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8B85">
            <w:pPr>
              <w:textAlignment w:val="center"/>
              <w:rPr>
                <w:color w:val="000000"/>
                <w:kern w:val="0"/>
                <w:sz w:val="21"/>
                <w:szCs w:val="21"/>
              </w:rPr>
            </w:pPr>
            <w:r>
              <w:rPr>
                <w:rFonts w:hint="eastAsia"/>
                <w:color w:val="000000"/>
                <w:kern w:val="0"/>
                <w:sz w:val="21"/>
                <w:szCs w:val="21"/>
              </w:rPr>
              <w:t>2023年图书馆运行经费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E40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57.20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959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57.20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9DE7">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2600">
            <w:pPr>
              <w:jc w:val="right"/>
              <w:rPr>
                <w:rFonts w:ascii="Arial Narrow" w:hAnsi="Arial Narrow" w:cs="Arial Narrow"/>
                <w:color w:val="000000"/>
                <w:sz w:val="21"/>
                <w:szCs w:val="21"/>
              </w:rPr>
            </w:pPr>
          </w:p>
        </w:tc>
      </w:tr>
      <w:tr w14:paraId="1D47C7A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8290">
            <w:pPr>
              <w:textAlignment w:val="center"/>
              <w:rPr>
                <w:color w:val="000000"/>
                <w:kern w:val="0"/>
                <w:sz w:val="21"/>
                <w:szCs w:val="21"/>
              </w:rPr>
            </w:pPr>
            <w:r>
              <w:rPr>
                <w:rFonts w:hint="eastAsia"/>
                <w:color w:val="000000"/>
                <w:kern w:val="0"/>
                <w:sz w:val="21"/>
                <w:szCs w:val="21"/>
              </w:rPr>
              <w:t>2023年民俗规划展览馆运行经费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5A8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69.40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D9BA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69.40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0EF2">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9675">
            <w:pPr>
              <w:jc w:val="right"/>
              <w:rPr>
                <w:rFonts w:ascii="Arial Narrow" w:hAnsi="Arial Narrow" w:cs="Arial Narrow"/>
                <w:color w:val="000000"/>
                <w:sz w:val="21"/>
                <w:szCs w:val="21"/>
              </w:rPr>
            </w:pPr>
          </w:p>
        </w:tc>
      </w:tr>
      <w:tr w14:paraId="6FC3F8B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EBE9">
            <w:pPr>
              <w:textAlignment w:val="center"/>
              <w:rPr>
                <w:color w:val="000000"/>
                <w:kern w:val="0"/>
                <w:sz w:val="21"/>
                <w:szCs w:val="21"/>
              </w:rPr>
            </w:pPr>
            <w:r>
              <w:rPr>
                <w:rFonts w:hint="eastAsia"/>
                <w:color w:val="000000"/>
                <w:kern w:val="0"/>
                <w:sz w:val="21"/>
                <w:szCs w:val="21"/>
              </w:rPr>
              <w:t>2023年免费开放专项资金(县级)</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366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A2F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3818">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F5AF">
            <w:pPr>
              <w:jc w:val="right"/>
              <w:rPr>
                <w:rFonts w:ascii="Arial Narrow" w:hAnsi="Arial Narrow" w:cs="Arial Narrow"/>
                <w:color w:val="000000"/>
                <w:sz w:val="21"/>
                <w:szCs w:val="21"/>
              </w:rPr>
            </w:pPr>
          </w:p>
        </w:tc>
      </w:tr>
      <w:tr w14:paraId="11033775">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BA5F3">
            <w:pPr>
              <w:textAlignment w:val="center"/>
              <w:rPr>
                <w:color w:val="000000"/>
                <w:kern w:val="0"/>
                <w:sz w:val="21"/>
                <w:szCs w:val="21"/>
              </w:rPr>
            </w:pPr>
            <w:r>
              <w:rPr>
                <w:rFonts w:hint="eastAsia"/>
                <w:color w:val="000000"/>
                <w:kern w:val="0"/>
                <w:sz w:val="21"/>
                <w:szCs w:val="21"/>
              </w:rPr>
              <w:t>2022年图书馆免费开放中央补助资金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348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7.01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790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7B1C">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E16B">
            <w:pPr>
              <w:jc w:val="right"/>
              <w:rPr>
                <w:rFonts w:ascii="Arial Narrow" w:hAnsi="Arial Narrow" w:cs="Arial Narrow"/>
                <w:color w:val="000000"/>
                <w:sz w:val="21"/>
                <w:szCs w:val="21"/>
              </w:rPr>
            </w:pPr>
          </w:p>
        </w:tc>
      </w:tr>
      <w:tr w14:paraId="6B012A9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B2F0">
            <w:pPr>
              <w:textAlignment w:val="center"/>
              <w:rPr>
                <w:color w:val="000000"/>
                <w:kern w:val="0"/>
                <w:sz w:val="21"/>
                <w:szCs w:val="21"/>
              </w:rPr>
            </w:pPr>
            <w:r>
              <w:rPr>
                <w:rFonts w:hint="eastAsia"/>
                <w:color w:val="000000"/>
                <w:kern w:val="0"/>
                <w:sz w:val="21"/>
                <w:szCs w:val="21"/>
              </w:rPr>
              <w:t>公共美术馆、图书馆、文化馆站免费开放补助(中央资金)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2A2D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122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42.00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14C4">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1B46">
            <w:pPr>
              <w:jc w:val="right"/>
              <w:rPr>
                <w:rFonts w:ascii="Arial Narrow" w:hAnsi="Arial Narrow" w:cs="Arial Narrow"/>
                <w:color w:val="000000"/>
                <w:sz w:val="21"/>
                <w:szCs w:val="21"/>
              </w:rPr>
            </w:pPr>
          </w:p>
        </w:tc>
      </w:tr>
      <w:tr w14:paraId="748EC3FC">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B927B">
            <w:pPr>
              <w:textAlignment w:val="center"/>
              <w:rPr>
                <w:color w:val="000000"/>
                <w:kern w:val="0"/>
                <w:sz w:val="21"/>
                <w:szCs w:val="21"/>
              </w:rPr>
            </w:pPr>
            <w:r>
              <w:rPr>
                <w:rFonts w:hint="eastAsia"/>
                <w:color w:val="000000"/>
                <w:kern w:val="0"/>
                <w:sz w:val="21"/>
                <w:szCs w:val="21"/>
              </w:rPr>
              <w:t>公共美术馆、图书馆、文化馆站免费开放补助(省级资金)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76A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127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43E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413A">
            <w:pPr>
              <w:jc w:val="right"/>
              <w:rPr>
                <w:rFonts w:ascii="Arial Narrow" w:hAnsi="Arial Narrow" w:cs="Arial Narrow"/>
                <w:color w:val="000000"/>
                <w:sz w:val="21"/>
                <w:szCs w:val="21"/>
              </w:rPr>
            </w:pPr>
          </w:p>
        </w:tc>
      </w:tr>
      <w:tr w14:paraId="2A2EDDB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9D19">
            <w:pPr>
              <w:textAlignment w:val="center"/>
              <w:rPr>
                <w:color w:val="000000"/>
                <w:kern w:val="0"/>
                <w:sz w:val="21"/>
                <w:szCs w:val="21"/>
              </w:rPr>
            </w:pPr>
            <w:r>
              <w:rPr>
                <w:rFonts w:hint="eastAsia"/>
                <w:color w:val="000000"/>
                <w:kern w:val="0"/>
                <w:sz w:val="21"/>
                <w:szCs w:val="21"/>
              </w:rPr>
              <w:t>图书购置项目经费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C2B7">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036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2DB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436E">
            <w:pPr>
              <w:jc w:val="right"/>
              <w:rPr>
                <w:rFonts w:ascii="Arial Narrow" w:hAnsi="Arial Narrow" w:cs="Arial Narrow"/>
                <w:color w:val="000000"/>
                <w:sz w:val="21"/>
                <w:szCs w:val="21"/>
              </w:rPr>
            </w:pPr>
          </w:p>
        </w:tc>
      </w:tr>
      <w:tr w14:paraId="28479A5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EC6AF">
            <w:pPr>
              <w:textAlignment w:val="center"/>
              <w:rPr>
                <w:color w:val="000000"/>
                <w:kern w:val="0"/>
                <w:sz w:val="21"/>
                <w:szCs w:val="21"/>
              </w:rPr>
            </w:pPr>
            <w:r>
              <w:rPr>
                <w:rFonts w:hint="eastAsia"/>
                <w:color w:val="000000"/>
                <w:kern w:val="0"/>
                <w:sz w:val="21"/>
                <w:szCs w:val="21"/>
              </w:rPr>
              <w:t>2023年图书馆公共文化服务体系(县级配套)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91A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FE0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6.00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9A66">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40CA">
            <w:pPr>
              <w:jc w:val="right"/>
              <w:rPr>
                <w:rFonts w:ascii="Arial Narrow" w:hAnsi="Arial Narrow" w:cs="Arial Narrow"/>
                <w:color w:val="000000"/>
                <w:sz w:val="21"/>
                <w:szCs w:val="21"/>
              </w:rPr>
            </w:pPr>
          </w:p>
        </w:tc>
      </w:tr>
      <w:tr w14:paraId="176AB1B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FAC7">
            <w:pPr>
              <w:textAlignment w:val="center"/>
              <w:rPr>
                <w:color w:val="000000"/>
                <w:kern w:val="0"/>
                <w:sz w:val="21"/>
                <w:szCs w:val="21"/>
              </w:rPr>
            </w:pPr>
            <w:r>
              <w:rPr>
                <w:rFonts w:hint="eastAsia"/>
                <w:color w:val="000000"/>
                <w:kern w:val="0"/>
                <w:sz w:val="21"/>
                <w:szCs w:val="21"/>
              </w:rPr>
              <w:t>2022年公共文化服务体系建设中央资金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4CE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4BC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22.95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96D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ECF1">
            <w:pPr>
              <w:jc w:val="right"/>
              <w:rPr>
                <w:rFonts w:ascii="Arial Narrow" w:hAnsi="Arial Narrow" w:cs="Arial Narrow"/>
                <w:color w:val="000000"/>
                <w:sz w:val="21"/>
                <w:szCs w:val="21"/>
              </w:rPr>
            </w:pPr>
          </w:p>
        </w:tc>
      </w:tr>
      <w:tr w14:paraId="77C390E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81E5">
            <w:pPr>
              <w:textAlignment w:val="center"/>
              <w:rPr>
                <w:color w:val="000000"/>
                <w:kern w:val="0"/>
                <w:sz w:val="21"/>
                <w:szCs w:val="21"/>
              </w:rPr>
            </w:pPr>
            <w:r>
              <w:rPr>
                <w:rFonts w:hint="eastAsia"/>
                <w:color w:val="000000"/>
                <w:kern w:val="0"/>
                <w:sz w:val="21"/>
                <w:szCs w:val="21"/>
              </w:rPr>
              <w:t>中央支持地方公共文化服务体系建设补助资金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D9A2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1BB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805A">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2C8D">
            <w:pPr>
              <w:jc w:val="right"/>
              <w:rPr>
                <w:rFonts w:ascii="Arial Narrow" w:hAnsi="Arial Narrow" w:cs="Arial Narrow"/>
                <w:color w:val="000000"/>
                <w:sz w:val="21"/>
                <w:szCs w:val="21"/>
              </w:rPr>
            </w:pPr>
          </w:p>
        </w:tc>
      </w:tr>
      <w:tr w14:paraId="5059E7BC">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A2EE">
            <w:pPr>
              <w:textAlignment w:val="center"/>
              <w:rPr>
                <w:color w:val="000000"/>
                <w:kern w:val="0"/>
                <w:sz w:val="21"/>
                <w:szCs w:val="21"/>
              </w:rPr>
            </w:pPr>
            <w:r>
              <w:rPr>
                <w:rFonts w:hint="eastAsia"/>
                <w:color w:val="000000"/>
                <w:kern w:val="0"/>
                <w:sz w:val="21"/>
                <w:szCs w:val="21"/>
              </w:rPr>
              <w:t>省级公共文化服务体系建设配套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7448">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15B9">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8687">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D512">
            <w:pPr>
              <w:jc w:val="right"/>
              <w:rPr>
                <w:rFonts w:ascii="Arial Narrow" w:hAnsi="Arial Narrow" w:cs="Arial Narrow"/>
                <w:color w:val="000000"/>
                <w:sz w:val="21"/>
                <w:szCs w:val="21"/>
              </w:rPr>
            </w:pPr>
          </w:p>
        </w:tc>
      </w:tr>
      <w:tr w14:paraId="1FB7E86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0D50">
            <w:pPr>
              <w:textAlignment w:val="center"/>
              <w:rPr>
                <w:color w:val="000000"/>
                <w:kern w:val="0"/>
                <w:sz w:val="21"/>
                <w:szCs w:val="21"/>
              </w:rPr>
            </w:pPr>
            <w:r>
              <w:rPr>
                <w:rFonts w:hint="eastAsia"/>
                <w:color w:val="000000"/>
                <w:kern w:val="0"/>
                <w:sz w:val="21"/>
                <w:szCs w:val="21"/>
              </w:rPr>
              <w:t>公共文化服务体系建设绩效奖励资金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0BB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9822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A0F8C">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41B93">
            <w:pPr>
              <w:jc w:val="right"/>
              <w:rPr>
                <w:rFonts w:ascii="Arial Narrow" w:hAnsi="Arial Narrow" w:cs="Arial Narrow"/>
                <w:color w:val="000000"/>
                <w:sz w:val="21"/>
                <w:szCs w:val="21"/>
              </w:rPr>
            </w:pPr>
          </w:p>
        </w:tc>
      </w:tr>
      <w:tr w14:paraId="384EECE7">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4965">
            <w:pPr>
              <w:textAlignment w:val="center"/>
              <w:rPr>
                <w:color w:val="000000"/>
                <w:kern w:val="0"/>
                <w:sz w:val="21"/>
                <w:szCs w:val="21"/>
              </w:rPr>
            </w:pPr>
            <w:r>
              <w:rPr>
                <w:rFonts w:hint="eastAsia"/>
                <w:color w:val="000000"/>
                <w:kern w:val="0"/>
                <w:sz w:val="21"/>
                <w:szCs w:val="21"/>
              </w:rPr>
              <w:t>中央支持地方公共文化服务体系建设补助资金美术馆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A2C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4F67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1.43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0320">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1917">
            <w:pPr>
              <w:jc w:val="right"/>
              <w:rPr>
                <w:rFonts w:ascii="Arial Narrow" w:hAnsi="Arial Narrow" w:cs="Arial Narrow"/>
                <w:color w:val="000000"/>
                <w:sz w:val="21"/>
                <w:szCs w:val="21"/>
              </w:rPr>
            </w:pPr>
          </w:p>
        </w:tc>
      </w:tr>
      <w:tr w14:paraId="70FDC944">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CFD4">
            <w:pPr>
              <w:textAlignment w:val="center"/>
              <w:rPr>
                <w:color w:val="000000"/>
                <w:kern w:val="0"/>
                <w:sz w:val="21"/>
                <w:szCs w:val="21"/>
              </w:rPr>
            </w:pPr>
            <w:r>
              <w:rPr>
                <w:rFonts w:hint="eastAsia"/>
                <w:color w:val="000000"/>
                <w:kern w:val="0"/>
                <w:sz w:val="21"/>
                <w:szCs w:val="21"/>
              </w:rPr>
              <w:t>高素质人才生活补助</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3204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2.88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90E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2.88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A1E6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3D65">
            <w:pPr>
              <w:jc w:val="right"/>
              <w:rPr>
                <w:rFonts w:ascii="Arial Narrow" w:hAnsi="Arial Narrow" w:cs="Arial Narrow"/>
                <w:color w:val="000000"/>
                <w:sz w:val="21"/>
                <w:szCs w:val="21"/>
              </w:rPr>
            </w:pPr>
          </w:p>
        </w:tc>
      </w:tr>
      <w:tr w14:paraId="0C137CA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5625">
            <w:pPr>
              <w:textAlignment w:val="center"/>
              <w:rPr>
                <w:color w:val="000000"/>
                <w:kern w:val="0"/>
                <w:sz w:val="21"/>
                <w:szCs w:val="21"/>
              </w:rPr>
            </w:pPr>
            <w:r>
              <w:rPr>
                <w:rFonts w:hint="eastAsia"/>
                <w:color w:val="000000"/>
                <w:kern w:val="0"/>
                <w:sz w:val="21"/>
                <w:szCs w:val="21"/>
              </w:rPr>
              <w:t>勘探配合费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474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2.11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EDB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2.11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2697">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4F59">
            <w:pPr>
              <w:jc w:val="right"/>
              <w:rPr>
                <w:rFonts w:ascii="Arial Narrow" w:hAnsi="Arial Narrow" w:cs="Arial Narrow"/>
                <w:color w:val="000000"/>
                <w:sz w:val="21"/>
                <w:szCs w:val="21"/>
              </w:rPr>
            </w:pPr>
          </w:p>
        </w:tc>
      </w:tr>
      <w:tr w14:paraId="3E8D5A4E">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8BAA">
            <w:pPr>
              <w:textAlignment w:val="center"/>
              <w:rPr>
                <w:color w:val="000000"/>
                <w:kern w:val="0"/>
                <w:sz w:val="21"/>
                <w:szCs w:val="21"/>
              </w:rPr>
            </w:pPr>
            <w:r>
              <w:rPr>
                <w:rFonts w:hint="eastAsia"/>
                <w:color w:val="000000"/>
                <w:kern w:val="0"/>
                <w:sz w:val="21"/>
                <w:szCs w:val="21"/>
              </w:rPr>
              <w:t>勘探配合费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38D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2.77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480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2.77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184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60BF">
            <w:pPr>
              <w:jc w:val="right"/>
              <w:rPr>
                <w:rFonts w:ascii="Arial Narrow" w:hAnsi="Arial Narrow" w:cs="Arial Narrow"/>
                <w:color w:val="000000"/>
                <w:sz w:val="21"/>
                <w:szCs w:val="21"/>
              </w:rPr>
            </w:pPr>
          </w:p>
        </w:tc>
      </w:tr>
      <w:tr w14:paraId="0539EF1E">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242F">
            <w:pPr>
              <w:textAlignment w:val="center"/>
              <w:rPr>
                <w:color w:val="000000"/>
                <w:kern w:val="0"/>
                <w:sz w:val="21"/>
                <w:szCs w:val="21"/>
              </w:rPr>
            </w:pPr>
            <w:r>
              <w:rPr>
                <w:rFonts w:hint="eastAsia"/>
                <w:color w:val="000000"/>
                <w:kern w:val="0"/>
                <w:sz w:val="21"/>
                <w:szCs w:val="21"/>
              </w:rPr>
              <w:t>文明守望工程奖</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447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514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1.50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786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E5D4">
            <w:pPr>
              <w:jc w:val="right"/>
              <w:rPr>
                <w:rFonts w:ascii="Arial Narrow" w:hAnsi="Arial Narrow" w:cs="Arial Narrow"/>
                <w:color w:val="000000"/>
                <w:sz w:val="21"/>
                <w:szCs w:val="21"/>
              </w:rPr>
            </w:pPr>
          </w:p>
        </w:tc>
      </w:tr>
      <w:tr w14:paraId="7E1530B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C3BA">
            <w:pPr>
              <w:textAlignment w:val="center"/>
              <w:rPr>
                <w:color w:val="000000"/>
                <w:kern w:val="0"/>
                <w:sz w:val="21"/>
                <w:szCs w:val="21"/>
              </w:rPr>
            </w:pPr>
            <w:r>
              <w:rPr>
                <w:rFonts w:hint="eastAsia"/>
                <w:color w:val="000000"/>
                <w:kern w:val="0"/>
                <w:sz w:val="21"/>
                <w:szCs w:val="21"/>
              </w:rPr>
              <w:t>省级文物保护专项补助资金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F36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049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75.00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F9BA7">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40D7">
            <w:pPr>
              <w:jc w:val="right"/>
              <w:rPr>
                <w:rFonts w:ascii="Arial Narrow" w:hAnsi="Arial Narrow" w:cs="Arial Narrow"/>
                <w:color w:val="000000"/>
                <w:sz w:val="21"/>
                <w:szCs w:val="21"/>
              </w:rPr>
            </w:pPr>
          </w:p>
        </w:tc>
      </w:tr>
      <w:tr w14:paraId="5EC0339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8DFC2">
            <w:pPr>
              <w:textAlignment w:val="center"/>
              <w:rPr>
                <w:color w:val="000000"/>
                <w:kern w:val="0"/>
                <w:sz w:val="21"/>
                <w:szCs w:val="21"/>
              </w:rPr>
            </w:pPr>
            <w:r>
              <w:rPr>
                <w:rFonts w:hint="eastAsia"/>
                <w:color w:val="000000"/>
                <w:kern w:val="0"/>
                <w:sz w:val="21"/>
                <w:szCs w:val="21"/>
              </w:rPr>
              <w:t>解决万固寺遗留问题所需资金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3D2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123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50.00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154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D86E">
            <w:pPr>
              <w:jc w:val="right"/>
              <w:rPr>
                <w:rFonts w:ascii="Arial Narrow" w:hAnsi="Arial Narrow" w:cs="Arial Narrow"/>
                <w:color w:val="000000"/>
                <w:sz w:val="21"/>
                <w:szCs w:val="21"/>
              </w:rPr>
            </w:pPr>
          </w:p>
        </w:tc>
      </w:tr>
      <w:tr w14:paraId="5A1859D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1BD8">
            <w:pPr>
              <w:textAlignment w:val="center"/>
              <w:rPr>
                <w:color w:val="000000"/>
                <w:kern w:val="0"/>
                <w:sz w:val="21"/>
                <w:szCs w:val="21"/>
              </w:rPr>
            </w:pPr>
            <w:r>
              <w:rPr>
                <w:rFonts w:hint="eastAsia"/>
                <w:color w:val="000000"/>
                <w:kern w:val="0"/>
                <w:sz w:val="21"/>
                <w:szCs w:val="21"/>
              </w:rPr>
              <w:t>2023年省级文物看护人员经费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7A7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10.95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A0A7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10.95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6ABA">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6187">
            <w:pPr>
              <w:jc w:val="right"/>
              <w:rPr>
                <w:rFonts w:ascii="Arial Narrow" w:hAnsi="Arial Narrow" w:cs="Arial Narrow"/>
                <w:color w:val="000000"/>
                <w:sz w:val="21"/>
                <w:szCs w:val="21"/>
              </w:rPr>
            </w:pPr>
          </w:p>
        </w:tc>
      </w:tr>
      <w:tr w14:paraId="5E9DF247">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6DB9">
            <w:pPr>
              <w:textAlignment w:val="center"/>
              <w:rPr>
                <w:color w:val="000000"/>
                <w:kern w:val="0"/>
                <w:sz w:val="21"/>
                <w:szCs w:val="21"/>
              </w:rPr>
            </w:pPr>
            <w:r>
              <w:rPr>
                <w:rFonts w:hint="eastAsia"/>
                <w:color w:val="000000"/>
                <w:kern w:val="0"/>
                <w:sz w:val="21"/>
                <w:szCs w:val="21"/>
              </w:rPr>
              <w:t>2023年古建筑日常养护经费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C22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4.14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55C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4.14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F7E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1B0B">
            <w:pPr>
              <w:jc w:val="right"/>
              <w:rPr>
                <w:rFonts w:ascii="Arial Narrow" w:hAnsi="Arial Narrow" w:cs="Arial Narrow"/>
                <w:color w:val="000000"/>
                <w:sz w:val="21"/>
                <w:szCs w:val="21"/>
              </w:rPr>
            </w:pPr>
          </w:p>
        </w:tc>
      </w:tr>
      <w:tr w14:paraId="0B27263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890E">
            <w:pPr>
              <w:textAlignment w:val="center"/>
              <w:rPr>
                <w:color w:val="000000"/>
                <w:kern w:val="0"/>
                <w:sz w:val="21"/>
                <w:szCs w:val="21"/>
              </w:rPr>
            </w:pPr>
            <w:r>
              <w:rPr>
                <w:rFonts w:hint="eastAsia"/>
                <w:color w:val="000000"/>
                <w:kern w:val="0"/>
                <w:sz w:val="21"/>
                <w:szCs w:val="21"/>
              </w:rPr>
              <w:t>2023年文物保护经费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E316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8E9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99.02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085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0.98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5B91">
            <w:pPr>
              <w:jc w:val="right"/>
              <w:rPr>
                <w:rFonts w:ascii="Arial Narrow" w:hAnsi="Arial Narrow" w:cs="Arial Narrow"/>
                <w:color w:val="000000"/>
                <w:sz w:val="21"/>
                <w:szCs w:val="21"/>
              </w:rPr>
            </w:pPr>
          </w:p>
        </w:tc>
      </w:tr>
      <w:tr w14:paraId="12924A2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3F22">
            <w:pPr>
              <w:textAlignment w:val="center"/>
              <w:rPr>
                <w:color w:val="000000"/>
                <w:kern w:val="0"/>
                <w:sz w:val="21"/>
                <w:szCs w:val="21"/>
              </w:rPr>
            </w:pPr>
            <w:r>
              <w:rPr>
                <w:rFonts w:hint="eastAsia"/>
                <w:color w:val="000000"/>
                <w:kern w:val="0"/>
                <w:sz w:val="21"/>
                <w:szCs w:val="21"/>
              </w:rPr>
              <w:t>解决万固寺遗留问题的所需经费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5BAA">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031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CC30">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19B6">
            <w:pPr>
              <w:jc w:val="right"/>
              <w:rPr>
                <w:rFonts w:ascii="Arial Narrow" w:hAnsi="Arial Narrow" w:cs="Arial Narrow"/>
                <w:color w:val="000000"/>
                <w:sz w:val="21"/>
                <w:szCs w:val="21"/>
              </w:rPr>
            </w:pPr>
          </w:p>
        </w:tc>
      </w:tr>
      <w:tr w14:paraId="5AC53C8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7C9A">
            <w:pPr>
              <w:textAlignment w:val="center"/>
              <w:rPr>
                <w:color w:val="000000"/>
                <w:kern w:val="0"/>
                <w:sz w:val="21"/>
                <w:szCs w:val="21"/>
              </w:rPr>
            </w:pPr>
            <w:r>
              <w:rPr>
                <w:rFonts w:hint="eastAsia"/>
                <w:color w:val="000000"/>
                <w:kern w:val="0"/>
                <w:sz w:val="21"/>
                <w:szCs w:val="21"/>
              </w:rPr>
              <w:t>2023年国家文物保护资金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C8FF">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303.00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1BD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123.65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6936">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F12A">
            <w:pPr>
              <w:jc w:val="right"/>
              <w:rPr>
                <w:rFonts w:ascii="Arial Narrow" w:hAnsi="Arial Narrow" w:cs="Arial Narrow"/>
                <w:color w:val="000000"/>
                <w:sz w:val="21"/>
                <w:szCs w:val="21"/>
              </w:rPr>
            </w:pPr>
          </w:p>
        </w:tc>
      </w:tr>
      <w:tr w14:paraId="52044611">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F1F3">
            <w:pPr>
              <w:textAlignment w:val="center"/>
              <w:rPr>
                <w:color w:val="000000"/>
                <w:kern w:val="0"/>
                <w:sz w:val="21"/>
                <w:szCs w:val="21"/>
              </w:rPr>
            </w:pPr>
            <w:r>
              <w:rPr>
                <w:rFonts w:hint="eastAsia"/>
                <w:color w:val="000000"/>
                <w:kern w:val="0"/>
                <w:sz w:val="21"/>
                <w:szCs w:val="21"/>
              </w:rPr>
              <w:t>栖岩寺边坡治理工程</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46FA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46.10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48C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46.10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A43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3FFC">
            <w:pPr>
              <w:jc w:val="right"/>
              <w:rPr>
                <w:rFonts w:ascii="Arial Narrow" w:hAnsi="Arial Narrow" w:cs="Arial Narrow"/>
                <w:color w:val="000000"/>
                <w:sz w:val="21"/>
                <w:szCs w:val="21"/>
              </w:rPr>
            </w:pPr>
          </w:p>
        </w:tc>
      </w:tr>
      <w:tr w14:paraId="15BE3CF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E805">
            <w:pPr>
              <w:textAlignment w:val="center"/>
              <w:rPr>
                <w:color w:val="000000"/>
                <w:kern w:val="0"/>
                <w:sz w:val="21"/>
                <w:szCs w:val="21"/>
              </w:rPr>
            </w:pPr>
            <w:r>
              <w:rPr>
                <w:rFonts w:hint="eastAsia"/>
                <w:color w:val="000000"/>
                <w:kern w:val="0"/>
                <w:sz w:val="21"/>
                <w:szCs w:val="21"/>
              </w:rPr>
              <w:t>万固寺抢险保护工程</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5F5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986B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178.30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C193">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A94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1.05 </w:t>
            </w:r>
          </w:p>
        </w:tc>
      </w:tr>
      <w:tr w14:paraId="3BE8FBDB">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DC72">
            <w:pPr>
              <w:textAlignment w:val="center"/>
              <w:rPr>
                <w:color w:val="000000"/>
                <w:kern w:val="0"/>
                <w:sz w:val="21"/>
                <w:szCs w:val="21"/>
              </w:rPr>
            </w:pPr>
            <w:r>
              <w:rPr>
                <w:rFonts w:hint="eastAsia"/>
                <w:color w:val="000000"/>
                <w:kern w:val="0"/>
                <w:sz w:val="21"/>
                <w:szCs w:val="21"/>
              </w:rPr>
              <w:t>2023年低级别文物保护项目</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D755">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44F7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300.00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7532">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BCC9">
            <w:pPr>
              <w:jc w:val="right"/>
              <w:rPr>
                <w:rFonts w:ascii="Arial Narrow" w:hAnsi="Arial Narrow" w:cs="Arial Narrow"/>
                <w:color w:val="000000"/>
                <w:sz w:val="21"/>
                <w:szCs w:val="21"/>
              </w:rPr>
            </w:pPr>
          </w:p>
        </w:tc>
      </w:tr>
      <w:tr w14:paraId="04CD7879">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FB51">
            <w:pPr>
              <w:textAlignment w:val="center"/>
              <w:rPr>
                <w:color w:val="000000"/>
                <w:kern w:val="0"/>
                <w:sz w:val="21"/>
                <w:szCs w:val="21"/>
              </w:rPr>
            </w:pPr>
            <w:r>
              <w:rPr>
                <w:rFonts w:hint="eastAsia"/>
                <w:color w:val="000000"/>
                <w:kern w:val="0"/>
                <w:sz w:val="21"/>
                <w:szCs w:val="21"/>
              </w:rPr>
              <w:t>其他经费补助类项目</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981D">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0.96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B2B6">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0.96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97F5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5961">
            <w:pPr>
              <w:jc w:val="right"/>
              <w:rPr>
                <w:rFonts w:ascii="Arial Narrow" w:hAnsi="Arial Narrow" w:cs="Arial Narrow"/>
                <w:color w:val="000000"/>
                <w:sz w:val="21"/>
                <w:szCs w:val="21"/>
              </w:rPr>
            </w:pPr>
          </w:p>
        </w:tc>
      </w:tr>
      <w:tr w14:paraId="4E31F119">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BBAD">
            <w:pPr>
              <w:textAlignment w:val="center"/>
              <w:rPr>
                <w:color w:val="000000"/>
                <w:kern w:val="0"/>
                <w:sz w:val="21"/>
                <w:szCs w:val="21"/>
              </w:rPr>
            </w:pPr>
            <w:r>
              <w:rPr>
                <w:rFonts w:hint="eastAsia"/>
                <w:color w:val="000000"/>
                <w:kern w:val="0"/>
                <w:sz w:val="21"/>
                <w:szCs w:val="21"/>
              </w:rPr>
              <w:t>23年勘探配合费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A912">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2C1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10.00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24E9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4DAC">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0.00 </w:t>
            </w:r>
          </w:p>
        </w:tc>
      </w:tr>
      <w:tr w14:paraId="22D3E919">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609C">
            <w:pPr>
              <w:textAlignment w:val="center"/>
              <w:rPr>
                <w:color w:val="000000"/>
                <w:kern w:val="0"/>
                <w:sz w:val="21"/>
                <w:szCs w:val="21"/>
              </w:rPr>
            </w:pPr>
            <w:r>
              <w:rPr>
                <w:rFonts w:hint="eastAsia"/>
                <w:color w:val="000000"/>
                <w:kern w:val="0"/>
                <w:sz w:val="21"/>
                <w:szCs w:val="21"/>
              </w:rPr>
              <w:t>非财政拨款结转</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7E0C">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0.06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7BE4">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0.06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966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AE16">
            <w:pPr>
              <w:jc w:val="right"/>
              <w:rPr>
                <w:rFonts w:ascii="Arial Narrow" w:hAnsi="Arial Narrow" w:cs="Arial Narrow"/>
                <w:color w:val="000000"/>
                <w:sz w:val="21"/>
                <w:szCs w:val="21"/>
              </w:rPr>
            </w:pPr>
          </w:p>
        </w:tc>
      </w:tr>
      <w:tr w14:paraId="7AB1D1F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F938">
            <w:pPr>
              <w:textAlignment w:val="center"/>
              <w:rPr>
                <w:color w:val="000000"/>
                <w:kern w:val="0"/>
                <w:sz w:val="21"/>
                <w:szCs w:val="21"/>
              </w:rPr>
            </w:pPr>
            <w:r>
              <w:rPr>
                <w:rFonts w:hint="eastAsia"/>
                <w:color w:val="000000"/>
                <w:kern w:val="0"/>
                <w:sz w:val="21"/>
                <w:szCs w:val="21"/>
              </w:rPr>
              <w:t>2023年第一批拟供应地块考古调查勘探经费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4F5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120.50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AC5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120.50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51A8">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4CF">
            <w:pPr>
              <w:jc w:val="right"/>
              <w:rPr>
                <w:rFonts w:ascii="Arial Narrow" w:hAnsi="Arial Narrow" w:cs="Arial Narrow"/>
                <w:color w:val="000000"/>
                <w:sz w:val="21"/>
                <w:szCs w:val="21"/>
              </w:rPr>
            </w:pPr>
          </w:p>
        </w:tc>
      </w:tr>
      <w:tr w14:paraId="0223B67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D2F3">
            <w:pPr>
              <w:textAlignment w:val="center"/>
              <w:rPr>
                <w:color w:val="000000"/>
                <w:kern w:val="0"/>
                <w:sz w:val="21"/>
                <w:szCs w:val="21"/>
              </w:rPr>
            </w:pPr>
            <w:r>
              <w:rPr>
                <w:rFonts w:hint="eastAsia"/>
                <w:color w:val="000000"/>
                <w:kern w:val="0"/>
                <w:sz w:val="21"/>
                <w:szCs w:val="21"/>
              </w:rPr>
              <w:t>2023年省级文物保护资金结转</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8161">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0.00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76653">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A27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FE67B">
            <w:pPr>
              <w:jc w:val="right"/>
              <w:rPr>
                <w:rFonts w:ascii="Arial Narrow" w:hAnsi="Arial Narrow" w:cs="Arial Narrow"/>
                <w:color w:val="000000"/>
                <w:sz w:val="21"/>
                <w:szCs w:val="21"/>
              </w:rPr>
            </w:pPr>
          </w:p>
        </w:tc>
      </w:tr>
      <w:tr w14:paraId="546BD9E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5BCF">
            <w:pPr>
              <w:textAlignment w:val="center"/>
              <w:rPr>
                <w:color w:val="000000"/>
                <w:kern w:val="0"/>
                <w:sz w:val="21"/>
                <w:szCs w:val="21"/>
              </w:rPr>
            </w:pPr>
            <w:r>
              <w:rPr>
                <w:rFonts w:hint="eastAsia"/>
                <w:color w:val="000000"/>
                <w:kern w:val="0"/>
                <w:sz w:val="21"/>
                <w:szCs w:val="21"/>
              </w:rPr>
              <w:t>高素质人才生活补助</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AD3E">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1.92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306B">
            <w:pPr>
              <w:jc w:val="right"/>
              <w:textAlignment w:val="center"/>
              <w:rPr>
                <w:rFonts w:ascii="Arial Narrow" w:hAnsi="Arial Narrow" w:cs="Arial Narrow"/>
                <w:color w:val="000000"/>
                <w:kern w:val="0"/>
                <w:sz w:val="21"/>
                <w:szCs w:val="21"/>
              </w:rPr>
            </w:pPr>
            <w:r>
              <w:rPr>
                <w:rFonts w:ascii="Arial Narrow" w:hAnsi="Arial Narrow" w:eastAsia="Arial Narrow" w:cs="Arial Narrow"/>
                <w:color w:val="000000"/>
                <w:kern w:val="0"/>
                <w:sz w:val="21"/>
                <w:szCs w:val="21"/>
              </w:rPr>
              <w:t xml:space="preserve"> 1.92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22B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B7C6">
            <w:pPr>
              <w:jc w:val="right"/>
              <w:rPr>
                <w:rFonts w:ascii="Arial Narrow" w:hAnsi="Arial Narrow" w:cs="Arial Narrow"/>
                <w:color w:val="000000"/>
                <w:sz w:val="21"/>
                <w:szCs w:val="21"/>
              </w:rPr>
            </w:pPr>
          </w:p>
        </w:tc>
      </w:tr>
      <w:tr w14:paraId="3EF44CB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D763">
            <w:pPr>
              <w:textAlignment w:val="center"/>
              <w:rPr>
                <w:color w:val="000000"/>
                <w:sz w:val="21"/>
                <w:szCs w:val="21"/>
              </w:rPr>
            </w:pPr>
            <w:r>
              <w:rPr>
                <w:rFonts w:hint="eastAsia"/>
                <w:color w:val="000000"/>
                <w:kern w:val="0"/>
                <w:sz w:val="21"/>
                <w:szCs w:val="21"/>
              </w:rPr>
              <w:t>山西省群众文化惠民工程(四个一批市县部分)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CDD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A32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A6D2">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FB91">
            <w:pPr>
              <w:jc w:val="right"/>
              <w:rPr>
                <w:rFonts w:ascii="Arial Narrow" w:hAnsi="Arial Narrow" w:cs="Arial Narrow"/>
                <w:color w:val="000000"/>
                <w:sz w:val="21"/>
                <w:szCs w:val="21"/>
              </w:rPr>
            </w:pPr>
          </w:p>
        </w:tc>
      </w:tr>
      <w:tr w14:paraId="078C53A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6BAD">
            <w:pPr>
              <w:textAlignment w:val="center"/>
              <w:rPr>
                <w:color w:val="000000"/>
                <w:sz w:val="21"/>
                <w:szCs w:val="21"/>
              </w:rPr>
            </w:pPr>
            <w:r>
              <w:rPr>
                <w:rFonts w:hint="eastAsia"/>
                <w:color w:val="000000"/>
                <w:kern w:val="0"/>
                <w:sz w:val="21"/>
                <w:szCs w:val="21"/>
              </w:rPr>
              <w:t>2023年文化大楼运行经费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C7E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18.00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865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17.95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907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0.05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363B">
            <w:pPr>
              <w:jc w:val="right"/>
              <w:rPr>
                <w:rFonts w:ascii="Arial Narrow" w:hAnsi="Arial Narrow" w:cs="Arial Narrow"/>
                <w:color w:val="000000"/>
                <w:sz w:val="21"/>
                <w:szCs w:val="21"/>
              </w:rPr>
            </w:pPr>
          </w:p>
        </w:tc>
      </w:tr>
      <w:tr w14:paraId="2C5959F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BEF4">
            <w:pPr>
              <w:textAlignment w:val="center"/>
              <w:rPr>
                <w:color w:val="000000"/>
                <w:sz w:val="21"/>
                <w:szCs w:val="21"/>
              </w:rPr>
            </w:pPr>
            <w:r>
              <w:rPr>
                <w:rFonts w:hint="eastAsia"/>
                <w:color w:val="000000"/>
                <w:kern w:val="0"/>
                <w:sz w:val="21"/>
                <w:szCs w:val="21"/>
              </w:rPr>
              <w:t>2023年文化馆活动经费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6EC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3.20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2C2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3.19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682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0.01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403FB">
            <w:pPr>
              <w:jc w:val="right"/>
              <w:rPr>
                <w:rFonts w:ascii="Arial Narrow" w:hAnsi="Arial Narrow" w:cs="Arial Narrow"/>
                <w:color w:val="000000"/>
                <w:sz w:val="21"/>
                <w:szCs w:val="21"/>
              </w:rPr>
            </w:pPr>
          </w:p>
        </w:tc>
      </w:tr>
      <w:tr w14:paraId="7E2EEA63">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FEA6">
            <w:pPr>
              <w:textAlignment w:val="center"/>
              <w:rPr>
                <w:color w:val="000000"/>
                <w:sz w:val="21"/>
                <w:szCs w:val="21"/>
              </w:rPr>
            </w:pPr>
            <w:r>
              <w:rPr>
                <w:rFonts w:hint="eastAsia"/>
                <w:color w:val="000000"/>
                <w:kern w:val="0"/>
                <w:sz w:val="21"/>
                <w:szCs w:val="21"/>
              </w:rPr>
              <w:t>2023年非物质文化保护经费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B11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49E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7E8A">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8FAB8">
            <w:pPr>
              <w:jc w:val="right"/>
              <w:rPr>
                <w:rFonts w:ascii="Arial Narrow" w:hAnsi="Arial Narrow" w:cs="Arial Narrow"/>
                <w:color w:val="000000"/>
                <w:sz w:val="21"/>
                <w:szCs w:val="21"/>
              </w:rPr>
            </w:pPr>
          </w:p>
        </w:tc>
      </w:tr>
      <w:tr w14:paraId="4A6E14D9">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5655">
            <w:pPr>
              <w:textAlignment w:val="center"/>
              <w:rPr>
                <w:color w:val="000000"/>
                <w:sz w:val="21"/>
                <w:szCs w:val="21"/>
              </w:rPr>
            </w:pPr>
            <w:r>
              <w:rPr>
                <w:rFonts w:hint="eastAsia"/>
                <w:color w:val="000000"/>
                <w:kern w:val="0"/>
                <w:sz w:val="21"/>
                <w:szCs w:val="21"/>
              </w:rPr>
              <w:t>遗属补助和取暖费</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EF1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2.10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CEA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2.10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A43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44DF">
            <w:pPr>
              <w:jc w:val="right"/>
              <w:rPr>
                <w:rFonts w:ascii="Arial Narrow" w:hAnsi="Arial Narrow" w:cs="Arial Narrow"/>
                <w:color w:val="000000"/>
                <w:sz w:val="21"/>
                <w:szCs w:val="21"/>
              </w:rPr>
            </w:pPr>
          </w:p>
        </w:tc>
      </w:tr>
      <w:tr w14:paraId="47BC906A">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DEF61">
            <w:pPr>
              <w:textAlignment w:val="center"/>
              <w:rPr>
                <w:color w:val="000000"/>
                <w:sz w:val="21"/>
                <w:szCs w:val="21"/>
              </w:rPr>
            </w:pPr>
            <w:r>
              <w:rPr>
                <w:rFonts w:hint="eastAsia"/>
                <w:color w:val="000000"/>
                <w:kern w:val="0"/>
                <w:sz w:val="21"/>
                <w:szCs w:val="21"/>
              </w:rPr>
              <w:t>山西省非物质文化遗产保护专项资金(市县部分)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9A2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7CD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2CD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20E5">
            <w:pPr>
              <w:jc w:val="right"/>
              <w:rPr>
                <w:rFonts w:ascii="Arial Narrow" w:hAnsi="Arial Narrow" w:cs="Arial Narrow"/>
                <w:color w:val="000000"/>
                <w:sz w:val="21"/>
                <w:szCs w:val="21"/>
              </w:rPr>
            </w:pPr>
          </w:p>
        </w:tc>
      </w:tr>
      <w:tr w14:paraId="3F17DDD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59D6">
            <w:pPr>
              <w:textAlignment w:val="center"/>
              <w:rPr>
                <w:color w:val="000000"/>
                <w:sz w:val="21"/>
                <w:szCs w:val="21"/>
              </w:rPr>
            </w:pPr>
            <w:r>
              <w:rPr>
                <w:rFonts w:hint="eastAsia"/>
                <w:color w:val="000000"/>
                <w:kern w:val="0"/>
                <w:sz w:val="21"/>
                <w:szCs w:val="21"/>
              </w:rPr>
              <w:t>2023年文化馆免费开放专项资金(县级配套)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2F5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834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A28F">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1110">
            <w:pPr>
              <w:jc w:val="right"/>
              <w:rPr>
                <w:rFonts w:ascii="Arial Narrow" w:hAnsi="Arial Narrow" w:cs="Arial Narrow"/>
                <w:color w:val="000000"/>
                <w:sz w:val="21"/>
                <w:szCs w:val="21"/>
              </w:rPr>
            </w:pPr>
          </w:p>
        </w:tc>
      </w:tr>
      <w:tr w14:paraId="34C3D645">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6E20">
            <w:pPr>
              <w:textAlignment w:val="center"/>
              <w:rPr>
                <w:color w:val="000000"/>
                <w:sz w:val="21"/>
                <w:szCs w:val="21"/>
              </w:rPr>
            </w:pPr>
            <w:r>
              <w:rPr>
                <w:rFonts w:hint="eastAsia"/>
                <w:color w:val="000000"/>
                <w:kern w:val="0"/>
                <w:sz w:val="21"/>
                <w:szCs w:val="21"/>
              </w:rPr>
              <w:t>2023年文化站免费开放专项资金(县级配套)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F14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33E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7.00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4F711">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EE44">
            <w:pPr>
              <w:jc w:val="right"/>
              <w:rPr>
                <w:rFonts w:ascii="Arial Narrow" w:hAnsi="Arial Narrow" w:cs="Arial Narrow"/>
                <w:color w:val="000000"/>
                <w:sz w:val="21"/>
                <w:szCs w:val="21"/>
              </w:rPr>
            </w:pPr>
          </w:p>
        </w:tc>
      </w:tr>
      <w:tr w14:paraId="55F98BCD">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09BA">
            <w:pPr>
              <w:textAlignment w:val="center"/>
              <w:rPr>
                <w:color w:val="000000"/>
                <w:sz w:val="21"/>
                <w:szCs w:val="21"/>
              </w:rPr>
            </w:pPr>
            <w:r>
              <w:rPr>
                <w:rFonts w:hint="eastAsia"/>
                <w:color w:val="000000"/>
                <w:kern w:val="0"/>
                <w:sz w:val="21"/>
                <w:szCs w:val="21"/>
              </w:rPr>
              <w:t>中央支持地方公共文化服务体系建设补助资金(公共数字文化)</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A00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07D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3.40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A1114">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B733">
            <w:pPr>
              <w:jc w:val="right"/>
              <w:rPr>
                <w:rFonts w:ascii="Arial Narrow" w:hAnsi="Arial Narrow" w:cs="Arial Narrow"/>
                <w:color w:val="000000"/>
                <w:sz w:val="21"/>
                <w:szCs w:val="21"/>
              </w:rPr>
            </w:pPr>
          </w:p>
        </w:tc>
      </w:tr>
      <w:tr w14:paraId="4FF24A77">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ECFD">
            <w:pPr>
              <w:textAlignment w:val="center"/>
              <w:rPr>
                <w:color w:val="000000"/>
                <w:sz w:val="21"/>
                <w:szCs w:val="21"/>
              </w:rPr>
            </w:pPr>
            <w:r>
              <w:rPr>
                <w:rFonts w:hint="eastAsia"/>
                <w:color w:val="000000"/>
                <w:kern w:val="0"/>
                <w:sz w:val="21"/>
                <w:szCs w:val="21"/>
              </w:rPr>
              <w:t>2022年“三馆一站”免费开放补助资金省级配套资金(文化站)</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8E2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0.66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4E6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0.66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E9EA">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842E">
            <w:pPr>
              <w:jc w:val="right"/>
              <w:rPr>
                <w:rFonts w:ascii="Arial Narrow" w:hAnsi="Arial Narrow" w:cs="Arial Narrow"/>
                <w:color w:val="000000"/>
                <w:sz w:val="21"/>
                <w:szCs w:val="21"/>
              </w:rPr>
            </w:pPr>
          </w:p>
        </w:tc>
      </w:tr>
      <w:tr w14:paraId="1EFD5314">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934C">
            <w:pPr>
              <w:textAlignment w:val="center"/>
              <w:rPr>
                <w:color w:val="000000"/>
                <w:sz w:val="21"/>
                <w:szCs w:val="21"/>
              </w:rPr>
            </w:pPr>
            <w:r>
              <w:rPr>
                <w:rFonts w:hint="eastAsia"/>
                <w:color w:val="000000"/>
                <w:kern w:val="0"/>
                <w:sz w:val="21"/>
                <w:szCs w:val="21"/>
              </w:rPr>
              <w:t>2022年中央补助地方美术馆、公共图书馆、文化馆(站)免费开放专项资金(文化站)</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FE7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6.87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85B7">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6.87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6C16">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1A6E">
            <w:pPr>
              <w:jc w:val="right"/>
              <w:rPr>
                <w:rFonts w:ascii="Arial Narrow" w:hAnsi="Arial Narrow" w:cs="Arial Narrow"/>
                <w:color w:val="000000"/>
                <w:sz w:val="21"/>
                <w:szCs w:val="21"/>
              </w:rPr>
            </w:pPr>
          </w:p>
        </w:tc>
      </w:tr>
      <w:tr w14:paraId="388B83B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4E96">
            <w:pPr>
              <w:textAlignment w:val="center"/>
              <w:rPr>
                <w:color w:val="000000"/>
                <w:sz w:val="21"/>
                <w:szCs w:val="21"/>
              </w:rPr>
            </w:pPr>
            <w:r>
              <w:rPr>
                <w:rFonts w:hint="eastAsia"/>
                <w:color w:val="000000"/>
                <w:kern w:val="0"/>
                <w:sz w:val="21"/>
                <w:szCs w:val="21"/>
              </w:rPr>
              <w:t>2022年中央补助地方美术馆、公共图书馆、文化馆(站)免费开放专项资金(文化馆)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E2F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5.85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7E29">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5.85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9C20">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9CB25">
            <w:pPr>
              <w:jc w:val="right"/>
              <w:rPr>
                <w:rFonts w:ascii="Arial Narrow" w:hAnsi="Arial Narrow" w:cs="Arial Narrow"/>
                <w:color w:val="000000"/>
                <w:sz w:val="21"/>
                <w:szCs w:val="21"/>
              </w:rPr>
            </w:pPr>
          </w:p>
        </w:tc>
      </w:tr>
      <w:tr w14:paraId="34515C54">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2637">
            <w:pPr>
              <w:textAlignment w:val="center"/>
              <w:rPr>
                <w:color w:val="000000"/>
                <w:sz w:val="21"/>
                <w:szCs w:val="21"/>
              </w:rPr>
            </w:pPr>
            <w:r>
              <w:rPr>
                <w:rFonts w:hint="eastAsia"/>
                <w:color w:val="000000"/>
                <w:kern w:val="0"/>
                <w:sz w:val="21"/>
                <w:szCs w:val="21"/>
              </w:rPr>
              <w:t>公共美术馆、图书馆、文化馆站免费开放补助(省级资金)(文化馆)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A9B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39DA">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2D62">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B44B">
            <w:pPr>
              <w:jc w:val="right"/>
              <w:rPr>
                <w:rFonts w:ascii="Arial Narrow" w:hAnsi="Arial Narrow" w:cs="Arial Narrow"/>
                <w:color w:val="000000"/>
                <w:sz w:val="21"/>
                <w:szCs w:val="21"/>
              </w:rPr>
            </w:pPr>
          </w:p>
        </w:tc>
      </w:tr>
      <w:tr w14:paraId="63FD19C2">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C609">
            <w:pPr>
              <w:textAlignment w:val="center"/>
              <w:rPr>
                <w:color w:val="000000"/>
                <w:sz w:val="21"/>
                <w:szCs w:val="21"/>
              </w:rPr>
            </w:pPr>
            <w:r>
              <w:rPr>
                <w:rFonts w:hint="eastAsia"/>
                <w:color w:val="000000"/>
                <w:kern w:val="0"/>
                <w:sz w:val="21"/>
                <w:szCs w:val="21"/>
              </w:rPr>
              <w:t>公共美术馆、图书馆、文化馆站免费开放补助(中央资金)(文化馆)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2E9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CFC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11.94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85E2">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C6B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0.06 </w:t>
            </w:r>
          </w:p>
        </w:tc>
      </w:tr>
      <w:tr w14:paraId="1478491C">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A08D">
            <w:pPr>
              <w:textAlignment w:val="center"/>
              <w:rPr>
                <w:color w:val="000000"/>
                <w:sz w:val="21"/>
                <w:szCs w:val="21"/>
              </w:rPr>
            </w:pPr>
            <w:r>
              <w:rPr>
                <w:rFonts w:hint="eastAsia"/>
                <w:color w:val="000000"/>
                <w:kern w:val="0"/>
                <w:sz w:val="21"/>
                <w:szCs w:val="21"/>
              </w:rPr>
              <w:t>公共美术馆、图书馆、文化馆站免费开放补助(省级资金)(文化站)</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589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6CE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2.00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B32C">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ADC4">
            <w:pPr>
              <w:jc w:val="right"/>
              <w:rPr>
                <w:rFonts w:ascii="Arial Narrow" w:hAnsi="Arial Narrow" w:cs="Arial Narrow"/>
                <w:color w:val="000000"/>
                <w:sz w:val="21"/>
                <w:szCs w:val="21"/>
              </w:rPr>
            </w:pPr>
          </w:p>
        </w:tc>
      </w:tr>
      <w:tr w14:paraId="03898F95">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67DC">
            <w:pPr>
              <w:textAlignment w:val="center"/>
              <w:rPr>
                <w:color w:val="000000"/>
                <w:sz w:val="21"/>
                <w:szCs w:val="21"/>
              </w:rPr>
            </w:pPr>
            <w:r>
              <w:rPr>
                <w:rFonts w:hint="eastAsia"/>
                <w:color w:val="000000"/>
                <w:kern w:val="0"/>
                <w:sz w:val="21"/>
                <w:szCs w:val="21"/>
              </w:rPr>
              <w:t>公共美术馆、图书馆、文化馆站免费开放补助(中央资金)(文化站)</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133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12.00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767F">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11.88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11BF">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EECD">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0.12 </w:t>
            </w:r>
          </w:p>
        </w:tc>
      </w:tr>
      <w:tr w14:paraId="4FB7131C">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07AF">
            <w:pPr>
              <w:textAlignment w:val="center"/>
              <w:rPr>
                <w:color w:val="000000"/>
                <w:sz w:val="21"/>
                <w:szCs w:val="21"/>
              </w:rPr>
            </w:pPr>
            <w:r>
              <w:rPr>
                <w:rFonts w:hint="eastAsia"/>
                <w:color w:val="000000"/>
                <w:kern w:val="0"/>
                <w:sz w:val="21"/>
                <w:szCs w:val="21"/>
              </w:rPr>
              <w:t>2023年公共文化体系建设专项资金(县级配套)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CDC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6.87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33CB">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6.87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DDC8">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4A8E">
            <w:pPr>
              <w:jc w:val="right"/>
              <w:rPr>
                <w:rFonts w:ascii="Arial Narrow" w:hAnsi="Arial Narrow" w:cs="Arial Narrow"/>
                <w:color w:val="000000"/>
                <w:sz w:val="21"/>
                <w:szCs w:val="21"/>
              </w:rPr>
            </w:pPr>
          </w:p>
        </w:tc>
      </w:tr>
      <w:tr w14:paraId="533BCE80">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DBAD">
            <w:pPr>
              <w:textAlignment w:val="center"/>
              <w:rPr>
                <w:color w:val="000000"/>
                <w:sz w:val="21"/>
                <w:szCs w:val="21"/>
              </w:rPr>
            </w:pPr>
            <w:r>
              <w:rPr>
                <w:rFonts w:hint="eastAsia"/>
                <w:color w:val="000000"/>
                <w:kern w:val="0"/>
                <w:sz w:val="21"/>
                <w:szCs w:val="21"/>
              </w:rPr>
              <w:t>2022年公共文化服务体系建设中央补助资金(奖励部分)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4AB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22.78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1101E">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22.78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BB5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DAA5">
            <w:pPr>
              <w:jc w:val="right"/>
              <w:rPr>
                <w:rFonts w:ascii="Arial Narrow" w:hAnsi="Arial Narrow" w:cs="Arial Narrow"/>
                <w:color w:val="000000"/>
                <w:sz w:val="21"/>
                <w:szCs w:val="21"/>
              </w:rPr>
            </w:pPr>
          </w:p>
        </w:tc>
      </w:tr>
      <w:tr w14:paraId="32B1ACD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BA6B">
            <w:pPr>
              <w:textAlignment w:val="center"/>
              <w:rPr>
                <w:color w:val="000000"/>
                <w:sz w:val="21"/>
                <w:szCs w:val="21"/>
              </w:rPr>
            </w:pPr>
            <w:r>
              <w:rPr>
                <w:rFonts w:hint="eastAsia"/>
                <w:color w:val="000000"/>
                <w:kern w:val="0"/>
                <w:sz w:val="21"/>
                <w:szCs w:val="21"/>
              </w:rPr>
              <w:t>2022年省级公共文化服务体系建设配套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C2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1.56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2932">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1.56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2A68">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31AB">
            <w:pPr>
              <w:jc w:val="right"/>
              <w:rPr>
                <w:rFonts w:ascii="Arial Narrow" w:hAnsi="Arial Narrow" w:cs="Arial Narrow"/>
                <w:color w:val="000000"/>
                <w:sz w:val="21"/>
                <w:szCs w:val="21"/>
              </w:rPr>
            </w:pPr>
          </w:p>
        </w:tc>
      </w:tr>
      <w:tr w14:paraId="71AD0786">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5C15">
            <w:pPr>
              <w:textAlignment w:val="center"/>
              <w:rPr>
                <w:color w:val="000000"/>
                <w:sz w:val="21"/>
                <w:szCs w:val="21"/>
              </w:rPr>
            </w:pPr>
            <w:r>
              <w:rPr>
                <w:rFonts w:hint="eastAsia"/>
                <w:color w:val="000000"/>
                <w:kern w:val="0"/>
                <w:sz w:val="21"/>
                <w:szCs w:val="21"/>
              </w:rPr>
              <w:t>省级公共文化服务体系建设配套</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2814">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16.03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7FE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16.03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D94B">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20FB8">
            <w:pPr>
              <w:jc w:val="right"/>
              <w:rPr>
                <w:rFonts w:ascii="Arial Narrow" w:hAnsi="Arial Narrow" w:cs="Arial Narrow"/>
                <w:color w:val="000000"/>
                <w:sz w:val="21"/>
                <w:szCs w:val="21"/>
              </w:rPr>
            </w:pPr>
          </w:p>
        </w:tc>
      </w:tr>
      <w:tr w14:paraId="12F41A0F">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C93D">
            <w:pPr>
              <w:textAlignment w:val="center"/>
              <w:rPr>
                <w:color w:val="000000"/>
                <w:sz w:val="21"/>
                <w:szCs w:val="21"/>
              </w:rPr>
            </w:pPr>
            <w:r>
              <w:rPr>
                <w:rFonts w:hint="eastAsia"/>
                <w:color w:val="000000"/>
                <w:kern w:val="0"/>
                <w:sz w:val="21"/>
                <w:szCs w:val="21"/>
              </w:rPr>
              <w:t>中央支持地方公共文化服务体系建设补助资金</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8870">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22.90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A2F3">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22.90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9E3E9">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5FE9">
            <w:pPr>
              <w:jc w:val="right"/>
              <w:rPr>
                <w:rFonts w:ascii="Arial Narrow" w:hAnsi="Arial Narrow" w:cs="Arial Narrow"/>
                <w:color w:val="000000"/>
                <w:sz w:val="21"/>
                <w:szCs w:val="21"/>
              </w:rPr>
            </w:pPr>
          </w:p>
        </w:tc>
      </w:tr>
      <w:tr w14:paraId="2BE40A28">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291BE">
            <w:pPr>
              <w:textAlignment w:val="center"/>
              <w:rPr>
                <w:color w:val="000000"/>
                <w:sz w:val="21"/>
                <w:szCs w:val="21"/>
              </w:rPr>
            </w:pPr>
            <w:r>
              <w:rPr>
                <w:rFonts w:hint="eastAsia"/>
                <w:color w:val="000000"/>
                <w:kern w:val="0"/>
                <w:sz w:val="21"/>
                <w:szCs w:val="21"/>
              </w:rPr>
              <w:t>中央支持地方公共文化服务体系建设补助资金(奖励部分)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23D1">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111.41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7576">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111.41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F7FD">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2286">
            <w:pPr>
              <w:jc w:val="right"/>
              <w:rPr>
                <w:rFonts w:ascii="Arial Narrow" w:hAnsi="Arial Narrow" w:cs="Arial Narrow"/>
                <w:color w:val="000000"/>
                <w:sz w:val="21"/>
                <w:szCs w:val="21"/>
              </w:rPr>
            </w:pPr>
          </w:p>
        </w:tc>
      </w:tr>
      <w:tr w14:paraId="77E6BB3E">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9504">
            <w:pPr>
              <w:textAlignment w:val="center"/>
              <w:rPr>
                <w:color w:val="000000"/>
                <w:sz w:val="21"/>
                <w:szCs w:val="21"/>
              </w:rPr>
            </w:pPr>
            <w:r>
              <w:rPr>
                <w:rFonts w:hint="eastAsia"/>
                <w:color w:val="000000"/>
                <w:kern w:val="0"/>
                <w:sz w:val="21"/>
                <w:szCs w:val="21"/>
              </w:rPr>
              <w:t>省级公共文化服务体系建设配套资金(奖励部分)</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1518">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10.26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EBB5">
            <w:pPr>
              <w:jc w:val="right"/>
              <w:textAlignment w:val="center"/>
              <w:rPr>
                <w:rFonts w:ascii="Arial Narrow" w:hAnsi="Arial Narrow" w:cs="Arial Narrow"/>
                <w:color w:val="000000"/>
                <w:sz w:val="21"/>
                <w:szCs w:val="21"/>
              </w:rPr>
            </w:pPr>
            <w:r>
              <w:rPr>
                <w:rFonts w:ascii="Arial Narrow" w:hAnsi="Arial Narrow" w:eastAsia="Arial Narrow" w:cs="Arial Narrow"/>
                <w:color w:val="000000"/>
                <w:kern w:val="0"/>
                <w:sz w:val="21"/>
                <w:szCs w:val="21"/>
              </w:rPr>
              <w:t xml:space="preserve"> 10.26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0C5F">
            <w:pPr>
              <w:jc w:val="right"/>
              <w:rPr>
                <w:rFonts w:ascii="Arial Narrow" w:hAnsi="Arial Narrow" w:cs="Arial Narrow"/>
                <w:color w:val="000000"/>
                <w:sz w:val="21"/>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980B">
            <w:pPr>
              <w:jc w:val="right"/>
              <w:rPr>
                <w:rFonts w:ascii="Arial Narrow" w:hAnsi="Arial Narrow" w:cs="Arial Narrow"/>
                <w:color w:val="000000"/>
                <w:sz w:val="21"/>
                <w:szCs w:val="21"/>
              </w:rPr>
            </w:pPr>
          </w:p>
        </w:tc>
      </w:tr>
      <w:tr w14:paraId="48177AF9">
        <w:tblPrEx>
          <w:tblCellMar>
            <w:top w:w="0" w:type="dxa"/>
            <w:left w:w="108" w:type="dxa"/>
            <w:bottom w:w="0" w:type="dxa"/>
            <w:right w:w="108" w:type="dxa"/>
          </w:tblCellMar>
        </w:tblPrEx>
        <w:trPr>
          <w:trHeight w:val="482" w:hRule="atLeast"/>
        </w:trPr>
        <w:tc>
          <w:tcPr>
            <w:tcW w:w="2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83DD">
            <w:pPr>
              <w:spacing w:line="240" w:lineRule="exact"/>
              <w:jc w:val="center"/>
              <w:textAlignment w:val="center"/>
              <w:rPr>
                <w:b/>
                <w:bCs/>
                <w:color w:val="000000"/>
                <w:sz w:val="21"/>
                <w:szCs w:val="21"/>
              </w:rPr>
            </w:pPr>
            <w:r>
              <w:rPr>
                <w:rFonts w:hint="eastAsia"/>
                <w:b/>
                <w:bCs/>
                <w:color w:val="000000"/>
                <w:kern w:val="0"/>
                <w:sz w:val="21"/>
                <w:szCs w:val="21"/>
              </w:rPr>
              <w:t>合计</w:t>
            </w:r>
          </w:p>
        </w:tc>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5A41">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8,287.45 </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AB2A">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8,278.33 </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A36A">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7.90 </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1F55">
            <w:pPr>
              <w:jc w:val="right"/>
              <w:textAlignment w:val="center"/>
              <w:rPr>
                <w:rFonts w:ascii="Arial Narrow" w:hAnsi="Arial Narrow" w:cs="Arial Narrow"/>
                <w:b/>
                <w:bCs/>
                <w:color w:val="000000"/>
                <w:sz w:val="21"/>
                <w:szCs w:val="21"/>
              </w:rPr>
            </w:pPr>
            <w:r>
              <w:rPr>
                <w:rFonts w:ascii="Arial Narrow" w:hAnsi="Arial Narrow" w:eastAsia="Arial Narrow" w:cs="Arial Narrow"/>
                <w:b/>
                <w:bCs/>
                <w:color w:val="000000"/>
                <w:kern w:val="0"/>
                <w:sz w:val="21"/>
                <w:szCs w:val="21"/>
              </w:rPr>
              <w:t xml:space="preserve"> 1.23 </w:t>
            </w:r>
          </w:p>
        </w:tc>
      </w:tr>
    </w:tbl>
    <w:p w14:paraId="41A0DB9E">
      <w:pPr>
        <w:widowControl w:val="0"/>
        <w:spacing w:line="580" w:lineRule="exact"/>
        <w:ind w:firstLine="482" w:firstLineChars="200"/>
        <w:outlineLvl w:val="1"/>
        <w:rPr>
          <w:sz w:val="24"/>
          <w:szCs w:val="24"/>
        </w:rPr>
      </w:pPr>
      <w:r>
        <w:rPr>
          <w:rFonts w:hint="eastAsia"/>
          <w:b/>
          <w:bCs/>
          <w:sz w:val="24"/>
          <w:szCs w:val="24"/>
        </w:rPr>
        <w:t>说明：</w:t>
      </w:r>
      <w:r>
        <w:rPr>
          <w:rFonts w:hint="eastAsia"/>
          <w:sz w:val="24"/>
          <w:szCs w:val="24"/>
        </w:rPr>
        <w:t>因2023年决算数据按以支定收方式核算，决算报表列示的年初结转数为文保中心非财政资金，本年度收入和支出预算8268.33万元，决算数为8278.33万元，差额10万元为非财政资金（运城市考古队拨付的勘探配合费）</w:t>
      </w:r>
    </w:p>
    <w:p w14:paraId="3D194FBC">
      <w:pPr>
        <w:pStyle w:val="3"/>
        <w:ind w:firstLine="562"/>
      </w:pPr>
      <w:bookmarkStart w:id="165" w:name="_Toc180503498"/>
      <w:bookmarkStart w:id="166" w:name="_Toc180138873"/>
      <w:r>
        <w:rPr>
          <w:rFonts w:hint="eastAsia"/>
        </w:rPr>
        <w:t>（三）部门整体绩效目标</w:t>
      </w:r>
      <w:bookmarkEnd w:id="161"/>
      <w:bookmarkEnd w:id="162"/>
      <w:bookmarkEnd w:id="163"/>
      <w:bookmarkEnd w:id="165"/>
      <w:bookmarkEnd w:id="166"/>
    </w:p>
    <w:p w14:paraId="25E8678A">
      <w:pPr>
        <w:widowControl w:val="0"/>
        <w:spacing w:line="580" w:lineRule="exact"/>
        <w:ind w:firstLine="562" w:firstLineChars="200"/>
        <w:outlineLvl w:val="3"/>
        <w:rPr>
          <w:b/>
        </w:rPr>
      </w:pPr>
      <w:bookmarkStart w:id="167" w:name="_Toc11691"/>
      <w:r>
        <w:rPr>
          <w:rFonts w:hint="eastAsia"/>
          <w:b/>
        </w:rPr>
        <w:t>1.总目标</w:t>
      </w:r>
      <w:bookmarkEnd w:id="167"/>
    </w:p>
    <w:p w14:paraId="1F170C34">
      <w:pPr>
        <w:pStyle w:val="8"/>
        <w:widowControl w:val="0"/>
        <w:snapToGrid/>
        <w:ind w:firstLine="560"/>
        <w:rPr>
          <w:rFonts w:ascii="仿宋" w:hAnsi="仿宋"/>
        </w:rPr>
      </w:pPr>
      <w:bookmarkStart w:id="168" w:name="_Toc13572"/>
      <w:r>
        <w:rPr>
          <w:rFonts w:hint="eastAsia" w:ascii="仿宋" w:hAnsi="仿宋"/>
        </w:rPr>
        <w:t>围绕构建“543”现代产业矩阵,着力建设“3大文旅经济带</w:t>
      </w:r>
      <w:r>
        <w:rPr>
          <w:rStyle w:val="31"/>
          <w:rFonts w:hint="eastAsia" w:ascii="仿宋" w:hAnsi="仿宋"/>
        </w:rPr>
        <w:footnoteReference w:id="0"/>
      </w:r>
      <w:r>
        <w:rPr>
          <w:rFonts w:hint="eastAsia" w:ascii="仿宋" w:hAnsi="仿宋"/>
        </w:rPr>
        <w:t>”，推动文化繁荣兴盛，促进旅游业高质量发展，实现文化和旅游深度融合，满足人民群众日益增长的精神文化需求，提升永济市文化软实力和旅游竞争力，促进经济社会的全面发展。</w:t>
      </w:r>
    </w:p>
    <w:bookmarkEnd w:id="168"/>
    <w:p w14:paraId="00B35C0A">
      <w:pPr>
        <w:pStyle w:val="8"/>
        <w:widowControl w:val="0"/>
        <w:snapToGrid/>
        <w:spacing w:line="580" w:lineRule="exact"/>
        <w:ind w:firstLine="562"/>
        <w:outlineLvl w:val="3"/>
        <w:rPr>
          <w:rFonts w:ascii="仿宋"/>
        </w:rPr>
      </w:pPr>
      <w:r>
        <w:rPr>
          <w:rFonts w:hint="eastAsia" w:ascii="仿宋"/>
          <w:b/>
          <w:bCs/>
        </w:rPr>
        <w:t>2</w:t>
      </w:r>
      <w:r>
        <w:rPr>
          <w:rFonts w:hint="eastAsia" w:ascii="仿宋" w:hAnsi="仿宋"/>
          <w:b/>
          <w:bCs/>
        </w:rPr>
        <w:t>.202</w:t>
      </w:r>
      <w:r>
        <w:rPr>
          <w:rFonts w:hint="eastAsia" w:ascii="仿宋"/>
          <w:b/>
          <w:bCs/>
        </w:rPr>
        <w:t>3年度目标任务</w:t>
      </w:r>
      <w:bookmarkStart w:id="169" w:name="_Toc6643"/>
      <w:bookmarkStart w:id="170" w:name="_Toc5313"/>
      <w:bookmarkStart w:id="171" w:name="_Toc15169"/>
      <w:bookmarkStart w:id="172" w:name="_Toc15846"/>
      <w:bookmarkStart w:id="173" w:name="_Toc28172"/>
      <w:bookmarkStart w:id="174" w:name="_Toc1584"/>
      <w:bookmarkStart w:id="175" w:name="_Toc26058"/>
    </w:p>
    <w:p w14:paraId="4DA2F21C">
      <w:pPr>
        <w:pStyle w:val="8"/>
        <w:snapToGrid/>
        <w:ind w:firstLine="560"/>
        <w:rPr>
          <w:rFonts w:ascii="仿宋" w:hAnsi="仿宋"/>
        </w:rPr>
      </w:pPr>
      <w:r>
        <w:rPr>
          <w:rFonts w:hint="eastAsia" w:ascii="仿宋"/>
        </w:rPr>
        <w:t>（1）局机关：</w:t>
      </w:r>
      <w:r>
        <w:rPr>
          <w:rFonts w:hint="eastAsia" w:ascii="仿宋" w:hAnsi="仿宋"/>
        </w:rPr>
        <w:t>实施重点项目建设行动，推进文旅产业高质量发展</w:t>
      </w:r>
      <w:r>
        <w:rPr>
          <w:rFonts w:hint="eastAsia" w:ascii="仿宋"/>
        </w:rPr>
        <w:t>。</w:t>
      </w:r>
      <w:r>
        <w:rPr>
          <w:rFonts w:hint="eastAsia" w:ascii="仿宋" w:hAnsi="仿宋"/>
        </w:rPr>
        <w:t>按序时进度完成2023年承担的重点项目</w:t>
      </w:r>
      <w:r>
        <w:rPr>
          <w:rFonts w:hint="eastAsia" w:ascii="仿宋"/>
        </w:rPr>
        <w:t>。</w:t>
      </w:r>
      <w:r>
        <w:rPr>
          <w:rFonts w:hint="eastAsia" w:ascii="仿宋" w:hAnsi="仿宋"/>
        </w:rPr>
        <w:t>分别是：五老峰景区创建国家5A级旅游景区建设项目</w:t>
      </w:r>
      <w:r>
        <w:rPr>
          <w:rFonts w:hint="eastAsia" w:ascii="仿宋"/>
        </w:rPr>
        <w:t>、鹳雀</w:t>
      </w:r>
      <w:r>
        <w:rPr>
          <w:rFonts w:hint="eastAsia" w:ascii="仿宋" w:hAnsi="仿宋"/>
        </w:rPr>
        <w:t>楼周边乡村振兴基础提升</w:t>
      </w:r>
      <w:r>
        <w:rPr>
          <w:rFonts w:hint="eastAsia" w:ascii="仿宋"/>
        </w:rPr>
        <w:t>工程</w:t>
      </w:r>
      <w:r>
        <w:rPr>
          <w:rFonts w:hint="eastAsia" w:ascii="仿宋" w:hAnsi="仿宋"/>
        </w:rPr>
        <w:t>和</w:t>
      </w:r>
      <w:r>
        <w:rPr>
          <w:rFonts w:hint="eastAsia" w:ascii="仿宋"/>
        </w:rPr>
        <w:t>万固寺至鹳雀楼旅游复合廊道项目；完成</w:t>
      </w:r>
      <w:r>
        <w:rPr>
          <w:rFonts w:hint="eastAsia" w:ascii="仿宋" w:hAnsi="仿宋"/>
        </w:rPr>
        <w:t>运城下达的五老峰景区停车场旅游厕所和中寺农文旅融合旅游厕所建设工作</w:t>
      </w:r>
      <w:r>
        <w:rPr>
          <w:rFonts w:hint="eastAsia" w:ascii="仿宋"/>
        </w:rPr>
        <w:t>；</w:t>
      </w:r>
      <w:r>
        <w:rPr>
          <w:rFonts w:hint="eastAsia" w:ascii="仿宋" w:hAnsi="仿宋"/>
        </w:rPr>
        <w:t>完成上级下达的市场主</w:t>
      </w:r>
      <w:r>
        <w:rPr>
          <w:rFonts w:hint="eastAsia" w:ascii="仿宋" w:hAnsi="仿宋"/>
          <w:lang w:val="en-US" w:eastAsia="zh-CN"/>
        </w:rPr>
        <w:t>体</w:t>
      </w:r>
      <w:r>
        <w:rPr>
          <w:rFonts w:hint="eastAsia" w:ascii="仿宋" w:hAnsi="仿宋"/>
        </w:rPr>
        <w:t>倍增任务</w:t>
      </w:r>
      <w:r>
        <w:rPr>
          <w:rFonts w:hint="eastAsia" w:ascii="仿宋"/>
        </w:rPr>
        <w:t>；完成送</w:t>
      </w:r>
      <w:r>
        <w:rPr>
          <w:rFonts w:hint="eastAsia" w:ascii="仿宋" w:hAnsi="仿宋"/>
        </w:rPr>
        <w:t>戏下乡120</w:t>
      </w:r>
      <w:r>
        <w:rPr>
          <w:rFonts w:hint="eastAsia" w:ascii="仿宋"/>
        </w:rPr>
        <w:t>场；</w:t>
      </w:r>
      <w:r>
        <w:rPr>
          <w:rFonts w:hint="eastAsia" w:ascii="仿宋" w:hAnsi="仿宋"/>
        </w:rPr>
        <w:t>加大招商引资力度，不断丰富全市旅游业态</w:t>
      </w:r>
      <w:r>
        <w:rPr>
          <w:rFonts w:hint="eastAsia" w:ascii="仿宋"/>
        </w:rPr>
        <w:t>。</w:t>
      </w:r>
      <w:r>
        <w:rPr>
          <w:rFonts w:hint="eastAsia" w:ascii="仿宋" w:hAnsi="仿宋"/>
        </w:rPr>
        <w:t>进一步加大招商引资力度，招引国内外知名旅游企业来永考察投资</w:t>
      </w:r>
      <w:r>
        <w:rPr>
          <w:rFonts w:hint="eastAsia" w:ascii="仿宋"/>
        </w:rPr>
        <w:t>，</w:t>
      </w:r>
      <w:r>
        <w:rPr>
          <w:rFonts w:hint="eastAsia" w:ascii="仿宋" w:hAnsi="仿宋"/>
        </w:rPr>
        <w:t>丰富旅游业态，提升全市民宿服务水平，打造运城“条山驿”特色民宿品牌</w:t>
      </w:r>
      <w:r>
        <w:rPr>
          <w:rFonts w:hint="eastAsia" w:ascii="仿宋"/>
        </w:rPr>
        <w:t>。</w:t>
      </w:r>
    </w:p>
    <w:p w14:paraId="4A9EAD1B">
      <w:pPr>
        <w:pStyle w:val="8"/>
        <w:ind w:firstLine="560"/>
        <w:rPr>
          <w:rFonts w:ascii="仿宋" w:hAnsi="仿宋"/>
        </w:rPr>
      </w:pPr>
      <w:r>
        <w:rPr>
          <w:rFonts w:hint="eastAsia" w:ascii="仿宋"/>
        </w:rPr>
        <w:t>（2）旅游服务中心：</w:t>
      </w:r>
      <w:r>
        <w:rPr>
          <w:rFonts w:hint="eastAsia" w:ascii="仿宋" w:hAnsi="仿宋"/>
        </w:rPr>
        <w:t>加快推进A级景区提质增效，2023年成功创建4</w:t>
      </w:r>
      <w:r>
        <w:rPr>
          <w:rFonts w:hint="eastAsia" w:ascii="仿宋"/>
        </w:rPr>
        <w:t>A</w:t>
      </w:r>
      <w:r>
        <w:rPr>
          <w:rFonts w:hint="eastAsia" w:ascii="仿宋" w:hAnsi="仿宋"/>
        </w:rPr>
        <w:t>级旅游景区1个</w:t>
      </w:r>
      <w:r>
        <w:rPr>
          <w:rFonts w:hint="eastAsia" w:ascii="仿宋"/>
        </w:rPr>
        <w:t>；实施</w:t>
      </w:r>
      <w:r>
        <w:rPr>
          <w:rFonts w:hint="eastAsia" w:ascii="仿宋" w:hAnsi="仿宋"/>
        </w:rPr>
        <w:t>宣传推介营销行动，塑造永济文旅品牌形象。坚持品牌赋能，在春节、五一、端午、国庆节等节假日策划组织一系列创意</w:t>
      </w:r>
      <w:r>
        <w:rPr>
          <w:rFonts w:hint="eastAsia" w:ascii="仿宋"/>
        </w:rPr>
        <w:t>新颖</w:t>
      </w:r>
      <w:r>
        <w:rPr>
          <w:rFonts w:hint="eastAsia" w:ascii="仿宋" w:hAnsi="仿宋"/>
        </w:rPr>
        <w:t>、独具特色的文旅活动；在西安、河南等地举办永济旅游</w:t>
      </w:r>
      <w:r>
        <w:rPr>
          <w:rFonts w:hint="eastAsia" w:ascii="仿宋"/>
        </w:rPr>
        <w:t>专场</w:t>
      </w:r>
      <w:r>
        <w:rPr>
          <w:rFonts w:hint="eastAsia" w:ascii="仿宋" w:hAnsi="仿宋"/>
        </w:rPr>
        <w:t>推介会；积极筹备普救寺爱情文化节，统筹全市农文旅结合的各项活动，推广我市自然风光、人文历史、特产美食等各种优质资源，确保我市旅游市场持续发展。</w:t>
      </w:r>
    </w:p>
    <w:p w14:paraId="179BB45B">
      <w:pPr>
        <w:pStyle w:val="8"/>
        <w:snapToGrid/>
        <w:ind w:firstLine="560"/>
        <w:rPr>
          <w:rFonts w:ascii="仿宋"/>
        </w:rPr>
      </w:pPr>
      <w:r>
        <w:rPr>
          <w:rFonts w:hint="eastAsia" w:ascii="仿宋"/>
        </w:rPr>
        <w:t>（3）文化馆：</w:t>
      </w:r>
      <w:r>
        <w:rPr>
          <w:rFonts w:hint="eastAsia" w:ascii="仿宋" w:hAnsi="仿宋"/>
        </w:rPr>
        <w:t>实施群众文化惠民行动，繁荣发展永济文旅事业</w:t>
      </w:r>
      <w:r>
        <w:rPr>
          <w:rFonts w:hint="eastAsia" w:ascii="仿宋"/>
        </w:rPr>
        <w:t>。</w:t>
      </w:r>
      <w:r>
        <w:rPr>
          <w:rFonts w:hint="eastAsia" w:ascii="仿宋" w:hAnsi="仿宋"/>
        </w:rPr>
        <w:t>组织开展“我有拿手戏”群众文艺大展演；培育乡村群众文艺队伍并开展基层演出活动；挖掘乡土文化能人开展各类农村活动；培养乡村文化带头人，组织各类群众活动</w:t>
      </w:r>
      <w:r>
        <w:rPr>
          <w:rFonts w:hint="eastAsia" w:ascii="仿宋"/>
        </w:rPr>
        <w:t>。</w:t>
      </w:r>
      <w:r>
        <w:rPr>
          <w:rFonts w:hint="eastAsia" w:ascii="仿宋" w:hAnsi="仿宋"/>
        </w:rPr>
        <w:t>全年共开展各类群众文化活动1818场</w:t>
      </w:r>
      <w:r>
        <w:rPr>
          <w:rFonts w:hint="eastAsia" w:ascii="仿宋"/>
        </w:rPr>
        <w:t>。</w:t>
      </w:r>
    </w:p>
    <w:p w14:paraId="16B1F01D">
      <w:pPr>
        <w:pStyle w:val="8"/>
        <w:snapToGrid/>
        <w:ind w:firstLine="560"/>
        <w:rPr>
          <w:rFonts w:ascii="仿宋" w:hAnsi="仿宋"/>
        </w:rPr>
      </w:pPr>
      <w:r>
        <w:rPr>
          <w:rFonts w:hint="eastAsia" w:ascii="仿宋"/>
        </w:rPr>
        <w:t>（4）图书馆：</w:t>
      </w:r>
      <w:r>
        <w:rPr>
          <w:rFonts w:hint="eastAsia" w:ascii="仿宋" w:hAnsi="仿宋"/>
        </w:rPr>
        <w:t>新建1个标志性特色“河东书房”，基本建成15分钟高品质文化生活</w:t>
      </w:r>
      <w:r>
        <w:rPr>
          <w:rFonts w:hint="eastAsia" w:ascii="仿宋"/>
        </w:rPr>
        <w:t>圈。</w:t>
      </w:r>
    </w:p>
    <w:p w14:paraId="58094B1E">
      <w:pPr>
        <w:pStyle w:val="8"/>
        <w:snapToGrid/>
        <w:ind w:firstLine="560"/>
        <w:rPr>
          <w:rFonts w:ascii="仿宋" w:hAnsi="仿宋"/>
        </w:rPr>
      </w:pPr>
      <w:r>
        <w:rPr>
          <w:rFonts w:hint="eastAsia" w:ascii="仿宋"/>
        </w:rPr>
        <w:t>（5）执法大队：</w:t>
      </w:r>
      <w:r>
        <w:rPr>
          <w:rFonts w:hint="eastAsia" w:ascii="仿宋" w:hAnsi="仿宋"/>
        </w:rPr>
        <w:t>实施服务质量提升行动，着力优化旅游发展环境。加大执法检查、巡查、督查力度，做好全市文化、旅游、文物行业领域安全生产专项整治和旅游服务提升等工作，助推文旅行业高质量发展。</w:t>
      </w:r>
    </w:p>
    <w:p w14:paraId="2E764D67">
      <w:pPr>
        <w:pStyle w:val="8"/>
        <w:widowControl w:val="0"/>
        <w:snapToGrid/>
        <w:spacing w:line="580" w:lineRule="exact"/>
        <w:ind w:firstLine="560"/>
        <w:outlineLvl w:val="0"/>
        <w:rPr>
          <w:rFonts w:ascii="仿宋"/>
          <w:bCs/>
          <w:szCs w:val="22"/>
        </w:rPr>
      </w:pPr>
      <w:r>
        <w:rPr>
          <w:rFonts w:hint="eastAsia" w:ascii="仿宋"/>
          <w:bCs/>
          <w:szCs w:val="22"/>
        </w:rPr>
        <w:t>（6）文保中心：</w:t>
      </w:r>
    </w:p>
    <w:p w14:paraId="32E87653">
      <w:pPr>
        <w:pStyle w:val="8"/>
        <w:widowControl w:val="0"/>
        <w:snapToGrid/>
        <w:spacing w:line="580" w:lineRule="exact"/>
        <w:ind w:firstLine="560"/>
        <w:outlineLvl w:val="0"/>
        <w:rPr>
          <w:rFonts w:ascii="仿宋"/>
          <w:bCs/>
          <w:szCs w:val="22"/>
        </w:rPr>
      </w:pPr>
      <w:r>
        <w:rPr>
          <w:rFonts w:hint="eastAsia" w:ascii="仿宋"/>
          <w:bCs/>
          <w:szCs w:val="22"/>
        </w:rPr>
        <w:t>①筹备召开永济市文物工作会议。</w:t>
      </w:r>
    </w:p>
    <w:p w14:paraId="0E17ABCC">
      <w:pPr>
        <w:pStyle w:val="8"/>
        <w:widowControl w:val="0"/>
        <w:snapToGrid/>
        <w:spacing w:line="580" w:lineRule="exact"/>
        <w:ind w:firstLine="560"/>
        <w:outlineLvl w:val="0"/>
        <w:rPr>
          <w:rFonts w:ascii="仿宋"/>
          <w:bCs/>
          <w:szCs w:val="22"/>
        </w:rPr>
      </w:pPr>
      <w:r>
        <w:rPr>
          <w:rFonts w:hint="eastAsia" w:ascii="仿宋"/>
          <w:bCs/>
          <w:szCs w:val="22"/>
        </w:rPr>
        <w:t>②实施各项文物保护工程。2024年5月底前，完成投资458万元的永济市万固寺抢险修缮工程；完成投资435万元的李雪峰故居保护修缮工程；完成投资50万元的杨村娘娘庙正殿保护修缮工程；完成投资53万元的杨庄关帝庙正殿保护修缮工程；完成投资40万元的永安真武庙戏台保护修缮工程；完成投资6万元的太谷屯祖师庙抢险加固工程；完成投资68万元的南梯娘娘庙戏台保护修缮工程；完成投资1017万元的尧台三庙环境整治工程的财评、招标、开工等工作；完成县级文物保护单位安防信息监控平台项目的立项、方案、评审、财评等前期准备工作。</w:t>
      </w:r>
    </w:p>
    <w:p w14:paraId="029DD9DF">
      <w:pPr>
        <w:pStyle w:val="8"/>
        <w:widowControl w:val="0"/>
        <w:snapToGrid/>
        <w:spacing w:line="580" w:lineRule="exact"/>
        <w:ind w:firstLine="560"/>
        <w:outlineLvl w:val="0"/>
        <w:rPr>
          <w:rFonts w:ascii="仿宋"/>
          <w:bCs/>
          <w:szCs w:val="22"/>
        </w:rPr>
      </w:pPr>
      <w:r>
        <w:rPr>
          <w:rFonts w:hint="eastAsia" w:ascii="仿宋"/>
          <w:bCs/>
          <w:szCs w:val="22"/>
        </w:rPr>
        <w:t>③积极编制项目计划书和设计方案，申请各类经费。编制永济市栖岩寺塔林平台前缘不稳定斜坡治理工程、解梁故城遗址保护及防护工程、永济扁鹊庙献殿修缮及扁鹊墓周边环境整治工程、董村戏台环境整治及展示工程、永济扁鹊庙彩塑壁画保护修复项目计划书，并上报审批；编制宋家卓舞台保护修缮工程设计方案、李荣故居保护修缮工程设计方案、晓朝戏台保护修缮工程设计方案；申请2024年国家、省文物保护专项补助经费；申请2024年专项债券资金；申请2024年政府一般债券资金；完成永济市文物数字化信息管理平台项目和永济扁鹊庙彩塑壁画保护修复项目立项及方案编制工作。</w:t>
      </w:r>
    </w:p>
    <w:p w14:paraId="64C10C09">
      <w:pPr>
        <w:pStyle w:val="8"/>
        <w:widowControl w:val="0"/>
        <w:snapToGrid/>
        <w:spacing w:line="580" w:lineRule="exact"/>
        <w:ind w:firstLine="560"/>
        <w:outlineLvl w:val="0"/>
        <w:rPr>
          <w:rFonts w:ascii="仿宋"/>
          <w:bCs/>
          <w:szCs w:val="22"/>
        </w:rPr>
      </w:pPr>
      <w:r>
        <w:rPr>
          <w:rFonts w:hint="eastAsia" w:ascii="仿宋"/>
          <w:bCs/>
          <w:szCs w:val="22"/>
        </w:rPr>
        <w:t>④推进文物资源普查调查工作。完成第四次全国文物普查前期准备工作；完成国、省保单位附属文物排查及登记造册工作；完成国有及非国有博物馆年检工作（博物馆）。</w:t>
      </w:r>
    </w:p>
    <w:p w14:paraId="229770D5">
      <w:pPr>
        <w:pStyle w:val="8"/>
        <w:widowControl w:val="0"/>
        <w:snapToGrid/>
        <w:spacing w:line="580" w:lineRule="exact"/>
        <w:ind w:firstLine="560"/>
        <w:outlineLvl w:val="0"/>
        <w:rPr>
          <w:rFonts w:ascii="仿宋"/>
          <w:bCs/>
          <w:szCs w:val="22"/>
        </w:rPr>
      </w:pPr>
      <w:r>
        <w:rPr>
          <w:rFonts w:hint="eastAsia" w:ascii="仿宋"/>
          <w:bCs/>
          <w:szCs w:val="22"/>
        </w:rPr>
        <w:t>⑤做好文物安全排查及培训工作。加大安全隐患排查工作，完成文保单位的安全责任人公示牌和承诺牌全覆盖；对文物保护单位保护员进行文物法律、法规及消防安全知识培训，并进行消防演练；对部分重要古建筑灭火器进行重装和更换；联合相关部门开展文物安全大检查。</w:t>
      </w:r>
    </w:p>
    <w:p w14:paraId="58200A56">
      <w:pPr>
        <w:pStyle w:val="8"/>
        <w:widowControl w:val="0"/>
        <w:snapToGrid/>
        <w:spacing w:line="580" w:lineRule="exact"/>
        <w:ind w:firstLine="560"/>
        <w:outlineLvl w:val="0"/>
        <w:rPr>
          <w:rFonts w:ascii="仿宋"/>
          <w:bCs/>
          <w:szCs w:val="22"/>
        </w:rPr>
      </w:pPr>
      <w:r>
        <w:rPr>
          <w:rFonts w:hint="eastAsia" w:ascii="仿宋"/>
          <w:bCs/>
          <w:szCs w:val="22"/>
        </w:rPr>
        <w:t>⑥提升文物宣传传播影响力。拍摄《我从蒲州来》12集系列宣传片（博物馆）；开展“5·18国际博物馆日”和“6·11文化和自然遗产日”主题宣传活动（博物馆）；积极开展文博知识进校园活动，推动文物保护与学校教育有机衔接（博物馆）；开展全省革命文物故事宣讲推介活动；开展第七届永济市博物馆“小小讲解员”活动（博物馆）。</w:t>
      </w:r>
    </w:p>
    <w:p w14:paraId="572CE292">
      <w:pPr>
        <w:pStyle w:val="8"/>
        <w:widowControl w:val="0"/>
        <w:snapToGrid/>
        <w:spacing w:line="580" w:lineRule="exact"/>
        <w:ind w:firstLine="560"/>
        <w:outlineLvl w:val="0"/>
        <w:rPr>
          <w:rFonts w:ascii="仿宋"/>
          <w:bCs/>
          <w:szCs w:val="22"/>
        </w:rPr>
      </w:pPr>
      <w:r>
        <w:rPr>
          <w:rFonts w:hint="eastAsia" w:ascii="仿宋"/>
          <w:bCs/>
          <w:szCs w:val="22"/>
        </w:rPr>
        <w:t>⑦加强人才队伍建设工作。继续引进一批高素质、高质量的文博专业人才，充实文物保护专业技术人才队伍；组织开展“文博大讲堂”活动，促进中心人员政治理论水平和业务工作能力提升。</w:t>
      </w:r>
    </w:p>
    <w:p w14:paraId="0D73A77B">
      <w:pPr>
        <w:pStyle w:val="2"/>
        <w:ind w:firstLine="562"/>
        <w:rPr>
          <w:bCs/>
        </w:rPr>
      </w:pPr>
      <w:bookmarkStart w:id="176" w:name="_Toc180138874"/>
      <w:bookmarkStart w:id="177" w:name="_Toc180503499"/>
      <w:r>
        <w:rPr>
          <w:rFonts w:hint="eastAsia"/>
        </w:rPr>
        <w:t>二、绩效评价</w:t>
      </w:r>
      <w:bookmarkEnd w:id="164"/>
      <w:bookmarkEnd w:id="169"/>
      <w:bookmarkStart w:id="178" w:name="_Toc8672_WPSOffice_Level2"/>
      <w:bookmarkStart w:id="179" w:name="_Toc664_WPSOffice_Level2"/>
      <w:bookmarkStart w:id="180" w:name="_Toc23969_WPSOffice_Level2"/>
      <w:bookmarkStart w:id="181" w:name="_Toc9883_WPSOffice_Level2"/>
      <w:bookmarkStart w:id="182" w:name="_Toc3613_WPSOffice_Level2"/>
      <w:r>
        <w:rPr>
          <w:rFonts w:hint="eastAsia"/>
        </w:rPr>
        <w:t>工作开展情况</w:t>
      </w:r>
      <w:bookmarkEnd w:id="170"/>
      <w:bookmarkEnd w:id="171"/>
      <w:bookmarkEnd w:id="172"/>
      <w:bookmarkEnd w:id="173"/>
      <w:bookmarkEnd w:id="174"/>
      <w:bookmarkEnd w:id="175"/>
      <w:bookmarkEnd w:id="176"/>
      <w:bookmarkEnd w:id="177"/>
    </w:p>
    <w:p w14:paraId="519FF6CC">
      <w:pPr>
        <w:pStyle w:val="3"/>
        <w:ind w:firstLine="562"/>
      </w:pPr>
      <w:bookmarkStart w:id="183" w:name="_Toc8532"/>
      <w:bookmarkStart w:id="184" w:name="_Toc30921"/>
      <w:bookmarkStart w:id="185" w:name="_Toc180503500"/>
      <w:bookmarkStart w:id="186" w:name="_Toc22625"/>
      <w:bookmarkStart w:id="187" w:name="_Toc180138875"/>
      <w:bookmarkStart w:id="188" w:name="_Toc1927"/>
      <w:bookmarkStart w:id="189" w:name="_Toc25229"/>
      <w:bookmarkStart w:id="190" w:name="_Toc2190"/>
      <w:bookmarkStart w:id="191" w:name="_Toc16289"/>
      <w:r>
        <w:rPr>
          <w:rFonts w:hint="eastAsia"/>
        </w:rPr>
        <w:t>（一）绩效评价的目的和依据</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FEA9AC6">
      <w:pPr>
        <w:widowControl w:val="0"/>
        <w:spacing w:line="580" w:lineRule="exact"/>
        <w:ind w:firstLine="562" w:firstLineChars="200"/>
        <w:outlineLvl w:val="3"/>
        <w:rPr>
          <w:b/>
        </w:rPr>
      </w:pPr>
      <w:bookmarkStart w:id="192" w:name="_Toc30571"/>
      <w:bookmarkStart w:id="193" w:name="_Toc21066_WPSOffice_Level2"/>
      <w:bookmarkStart w:id="194" w:name="_Toc61_WPSOffice_Level2"/>
      <w:bookmarkStart w:id="195" w:name="_Toc18487"/>
      <w:bookmarkStart w:id="196" w:name="_Toc7737"/>
      <w:bookmarkStart w:id="197" w:name="_Toc19807"/>
      <w:bookmarkStart w:id="198" w:name="_Toc4125_WPSOffice_Level2"/>
      <w:bookmarkStart w:id="199" w:name="_Toc2248_WPSOffice_Level2"/>
      <w:bookmarkStart w:id="200" w:name="_Toc4672_WPSOffice_Level2"/>
      <w:bookmarkStart w:id="201" w:name="_Toc19084_WPSOffice_Level2"/>
      <w:bookmarkStart w:id="202" w:name="_Toc25990_WPSOffice_Level2"/>
      <w:bookmarkStart w:id="203" w:name="_Toc341_WPSOffice_Level2"/>
      <w:bookmarkStart w:id="204" w:name="_Toc27934_WPSOffice_Level2"/>
      <w:bookmarkStart w:id="205" w:name="_Toc11172_WPSOffice_Level2"/>
      <w:bookmarkStart w:id="206" w:name="_Toc21223_WPSOffice_Level2"/>
      <w:bookmarkStart w:id="207" w:name="_Toc15003_WPSOffice_Level1"/>
      <w:bookmarkStart w:id="208" w:name="_Toc26397_WPSOffice_Level1"/>
      <w:r>
        <w:rPr>
          <w:rFonts w:hint="eastAsia"/>
          <w:b/>
        </w:rPr>
        <w:t>1.绩效评价的目的</w:t>
      </w:r>
      <w:bookmarkEnd w:id="192"/>
    </w:p>
    <w:p w14:paraId="4AF44C1D">
      <w:pPr>
        <w:widowControl w:val="0"/>
        <w:spacing w:line="580" w:lineRule="exact"/>
        <w:ind w:firstLine="560" w:firstLineChars="200"/>
      </w:pPr>
      <w:r>
        <w:rPr>
          <w:rFonts w:hint="eastAsia"/>
        </w:rPr>
        <w:t>财政支出绩效评价旨在通过评价改善预算部门的财政支出管理，优化资源配置及提高公共服务水平。本次绩效评价遵循《永济市财政局2024年重点绩效评价实施方案》（永财绩〔2024〕2号）等文件的相关规定，客观、公正、全面地评价永济市文化和旅游局2023年度整体支出情况，总结经验，发现问题，并提出改进的相关措施和建议。</w:t>
      </w:r>
    </w:p>
    <w:p w14:paraId="29D4920F">
      <w:pPr>
        <w:widowControl w:val="0"/>
        <w:spacing w:line="580" w:lineRule="exact"/>
        <w:ind w:firstLine="562" w:firstLineChars="200"/>
        <w:outlineLvl w:val="3"/>
        <w:rPr>
          <w:b/>
        </w:rPr>
      </w:pPr>
      <w:bookmarkStart w:id="209" w:name="_Toc17120"/>
      <w:r>
        <w:rPr>
          <w:rFonts w:hint="eastAsia"/>
          <w:b/>
        </w:rPr>
        <w:t>2.绩效评价依据</w:t>
      </w:r>
      <w:bookmarkEnd w:id="209"/>
    </w:p>
    <w:p w14:paraId="23A768C7">
      <w:pPr>
        <w:widowControl w:val="0"/>
        <w:spacing w:line="580" w:lineRule="exact"/>
        <w:ind w:firstLine="560" w:firstLineChars="200"/>
      </w:pPr>
      <w:r>
        <w:rPr>
          <w:rFonts w:hint="eastAsia"/>
        </w:rPr>
        <w:t>（1）《中华人民共和国预算法（2018年修正）》</w:t>
      </w:r>
    </w:p>
    <w:p w14:paraId="077067CD">
      <w:pPr>
        <w:widowControl w:val="0"/>
        <w:spacing w:line="580" w:lineRule="exact"/>
        <w:ind w:firstLine="560" w:firstLineChars="200"/>
      </w:pPr>
      <w:r>
        <w:rPr>
          <w:rFonts w:hint="eastAsia"/>
        </w:rPr>
        <w:t>（2）中共中央、国务院关于全面实施预算绩效管理的意见（中发〔2018〕34号）</w:t>
      </w:r>
    </w:p>
    <w:p w14:paraId="6D9C3BEE">
      <w:pPr>
        <w:widowControl w:val="0"/>
        <w:spacing w:line="580" w:lineRule="exact"/>
        <w:ind w:firstLine="560" w:firstLineChars="200"/>
      </w:pPr>
      <w:r>
        <w:rPr>
          <w:rFonts w:hint="eastAsia"/>
        </w:rPr>
        <w:t>（3）财政部关于贯彻落实《中共中央国务院关于全面实施预算绩效管理的意见》的通知（财预〔2018〕167号）</w:t>
      </w:r>
    </w:p>
    <w:p w14:paraId="59C3429C">
      <w:pPr>
        <w:widowControl w:val="0"/>
        <w:spacing w:line="580" w:lineRule="exact"/>
        <w:ind w:firstLine="560" w:firstLineChars="200"/>
      </w:pPr>
      <w:r>
        <w:rPr>
          <w:rFonts w:hint="eastAsia"/>
        </w:rPr>
        <w:t>（4）《关于印发&lt;项目支出绩效评价管理办法&gt;的通知》（财预〔2020〕10号）</w:t>
      </w:r>
    </w:p>
    <w:p w14:paraId="1F7B5173">
      <w:pPr>
        <w:widowControl w:val="0"/>
        <w:spacing w:line="580" w:lineRule="exact"/>
        <w:ind w:firstLine="560" w:firstLineChars="200"/>
      </w:pPr>
      <w:r>
        <w:rPr>
          <w:rFonts w:hint="eastAsia"/>
        </w:rPr>
        <w:t>（5）《中央部门项目支出核心绩效目标和指标设置及取值指引（试行）》（财预〔2021〕101号）</w:t>
      </w:r>
    </w:p>
    <w:p w14:paraId="12D9D9C3">
      <w:pPr>
        <w:widowControl w:val="0"/>
        <w:spacing w:line="580" w:lineRule="exact"/>
        <w:ind w:firstLine="560" w:firstLineChars="200"/>
      </w:pPr>
      <w:r>
        <w:rPr>
          <w:rFonts w:hint="eastAsia"/>
        </w:rPr>
        <w:t>（6）《财政专项资金管理办法》（晋财省直预〔2021〕9号）</w:t>
      </w:r>
    </w:p>
    <w:p w14:paraId="65B0567B">
      <w:pPr>
        <w:widowControl w:val="0"/>
        <w:spacing w:line="580" w:lineRule="exact"/>
        <w:ind w:firstLine="560" w:firstLineChars="200"/>
      </w:pPr>
      <w:r>
        <w:rPr>
          <w:rFonts w:hint="eastAsia"/>
        </w:rPr>
        <w:t>（7）中国注册会计师协会关于印发《会计师事务所财政支出绩效评价业务指引》的通知（会协〔2016〕10号）</w:t>
      </w:r>
    </w:p>
    <w:p w14:paraId="23F416F9">
      <w:pPr>
        <w:widowControl w:val="0"/>
        <w:spacing w:line="580" w:lineRule="exact"/>
        <w:ind w:firstLine="560" w:firstLineChars="200"/>
      </w:pPr>
      <w:r>
        <w:rPr>
          <w:rFonts w:hint="eastAsia"/>
        </w:rPr>
        <w:t>（8）《中国注册会计师执业准则》</w:t>
      </w:r>
    </w:p>
    <w:p w14:paraId="554A07DC">
      <w:pPr>
        <w:widowControl w:val="0"/>
        <w:spacing w:line="600" w:lineRule="exact"/>
        <w:ind w:firstLine="560" w:firstLineChars="200"/>
      </w:pPr>
      <w:r>
        <w:rPr>
          <w:rFonts w:hint="eastAsia"/>
        </w:rPr>
        <w:t>（9）《政府会计准则》《政府会计制度》《行政单位会计制度》</w:t>
      </w:r>
    </w:p>
    <w:p w14:paraId="7755FBB2">
      <w:pPr>
        <w:widowControl w:val="0"/>
        <w:spacing w:line="600" w:lineRule="exact"/>
        <w:ind w:firstLine="560" w:firstLineChars="200"/>
      </w:pPr>
      <w:r>
        <w:rPr>
          <w:rFonts w:hint="eastAsia"/>
        </w:rPr>
        <w:t>（10）《财政部关于加强专项资金财政财务管理与监督的通知》</w:t>
      </w:r>
    </w:p>
    <w:p w14:paraId="73157351">
      <w:pPr>
        <w:widowControl w:val="0"/>
        <w:spacing w:line="560" w:lineRule="exact"/>
        <w:ind w:firstLine="560" w:firstLineChars="200"/>
      </w:pPr>
      <w:r>
        <w:rPr>
          <w:rFonts w:hint="eastAsia"/>
        </w:rPr>
        <w:t>（11）《永济市财政局2024年重点绩效评价实施方案》（永财字〔2024〕2号）</w:t>
      </w:r>
    </w:p>
    <w:p w14:paraId="11002E71">
      <w:pPr>
        <w:widowControl w:val="0"/>
        <w:spacing w:line="600" w:lineRule="exact"/>
        <w:ind w:firstLine="560" w:firstLineChars="200"/>
        <w:rPr>
          <w:highlight w:val="yellow"/>
        </w:rPr>
      </w:pPr>
      <w:r>
        <w:rPr>
          <w:rFonts w:hint="eastAsia"/>
        </w:rPr>
        <w:t>（12）其他有关的法律法规、规章制度、政策文件</w:t>
      </w:r>
    </w:p>
    <w:p w14:paraId="2FD8106A">
      <w:pPr>
        <w:pStyle w:val="3"/>
        <w:ind w:firstLine="562"/>
      </w:pPr>
      <w:bookmarkStart w:id="210" w:name="_Toc180138876"/>
      <w:bookmarkStart w:id="211" w:name="_Toc25218"/>
      <w:bookmarkStart w:id="212" w:name="_Toc4505"/>
      <w:bookmarkStart w:id="213" w:name="_Toc5338"/>
      <w:bookmarkStart w:id="214" w:name="_Toc180503501"/>
      <w:bookmarkStart w:id="215" w:name="_Toc22787"/>
      <w:r>
        <w:rPr>
          <w:rFonts w:hint="eastAsia"/>
        </w:rPr>
        <w:t>（二）绩效评价的对象和范围</w:t>
      </w:r>
      <w:bookmarkEnd w:id="193"/>
      <w:bookmarkEnd w:id="194"/>
      <w:bookmarkEnd w:id="195"/>
      <w:bookmarkEnd w:id="196"/>
      <w:bookmarkEnd w:id="197"/>
      <w:bookmarkEnd w:id="198"/>
      <w:bookmarkEnd w:id="199"/>
      <w:bookmarkEnd w:id="200"/>
      <w:bookmarkEnd w:id="210"/>
      <w:bookmarkEnd w:id="211"/>
      <w:bookmarkEnd w:id="212"/>
      <w:bookmarkEnd w:id="213"/>
      <w:bookmarkEnd w:id="214"/>
      <w:bookmarkEnd w:id="215"/>
    </w:p>
    <w:p w14:paraId="5BC4A82F">
      <w:pPr>
        <w:widowControl w:val="0"/>
        <w:spacing w:line="600" w:lineRule="exact"/>
        <w:ind w:firstLine="562" w:firstLineChars="200"/>
        <w:outlineLvl w:val="3"/>
        <w:rPr>
          <w:b/>
          <w:bCs/>
        </w:rPr>
      </w:pPr>
      <w:bookmarkStart w:id="216" w:name="_Toc7923"/>
      <w:r>
        <w:rPr>
          <w:rFonts w:hint="eastAsia"/>
          <w:b/>
          <w:bCs/>
        </w:rPr>
        <w:t>1.绩效评价对象</w:t>
      </w:r>
      <w:bookmarkEnd w:id="216"/>
    </w:p>
    <w:p w14:paraId="1256D672">
      <w:pPr>
        <w:widowControl w:val="0"/>
        <w:spacing w:line="600" w:lineRule="exact"/>
        <w:ind w:firstLine="560" w:firstLineChars="200"/>
      </w:pPr>
      <w:r>
        <w:rPr>
          <w:rFonts w:hint="eastAsia"/>
        </w:rPr>
        <w:t>本次绩效评价对象为永济市文化和旅游局2023年度整体支出，金额8,278.33万元，其中：基本支出1,679.31万元、项目支出6,599.03万元。</w:t>
      </w:r>
    </w:p>
    <w:p w14:paraId="66A3D3A2">
      <w:pPr>
        <w:widowControl w:val="0"/>
        <w:spacing w:line="600" w:lineRule="exact"/>
        <w:ind w:firstLine="562" w:firstLineChars="200"/>
        <w:outlineLvl w:val="3"/>
        <w:rPr>
          <w:b/>
          <w:bCs/>
        </w:rPr>
      </w:pPr>
      <w:r>
        <w:rPr>
          <w:rFonts w:hint="eastAsia"/>
          <w:b/>
          <w:bCs/>
        </w:rPr>
        <w:t>2.绩效评价范围</w:t>
      </w:r>
    </w:p>
    <w:p w14:paraId="6E6FA0EF">
      <w:pPr>
        <w:widowControl w:val="0"/>
        <w:spacing w:line="600" w:lineRule="exact"/>
        <w:ind w:firstLine="560" w:firstLineChars="200"/>
      </w:pPr>
      <w:r>
        <w:rPr>
          <w:rFonts w:hint="eastAsia"/>
        </w:rPr>
        <w:t>在获取永济市文化和旅游局整体支出目标设定、预算配置、预算执行及管理、资产管理、基本职责履行情况及效益、相关项目实施情况及后期运行情况等基本资料的基础上，通过对所收集相关资料的分析，结合相关政策文件，利用指标体系对永济市文化和旅游局整体支出项目进行绩效评价。</w:t>
      </w:r>
    </w:p>
    <w:p w14:paraId="4D296353">
      <w:pPr>
        <w:pStyle w:val="3"/>
        <w:ind w:firstLine="562"/>
      </w:pPr>
      <w:bookmarkStart w:id="217" w:name="_Toc24219_WPSOffice_Level2"/>
      <w:bookmarkStart w:id="218" w:name="_Toc29239"/>
      <w:bookmarkStart w:id="219" w:name="_Toc29817_WPSOffice_Level2"/>
      <w:bookmarkStart w:id="220" w:name="_Toc769_WPSOffice_Level2"/>
      <w:bookmarkStart w:id="221" w:name="_Toc14012_WPSOffice_Level2"/>
      <w:bookmarkStart w:id="222" w:name="_Toc22145_WPSOffice_Level2"/>
      <w:bookmarkStart w:id="223" w:name="_Toc25078_WPSOffice_Level2"/>
      <w:bookmarkStart w:id="224" w:name="_Toc3041_WPSOffice_Level2"/>
      <w:bookmarkStart w:id="225" w:name="_Toc180503502"/>
      <w:bookmarkStart w:id="226" w:name="_Toc21593"/>
      <w:bookmarkStart w:id="227" w:name="_Toc23584"/>
      <w:bookmarkStart w:id="228" w:name="_Toc24701"/>
      <w:bookmarkStart w:id="229" w:name="_Toc22796"/>
      <w:bookmarkStart w:id="230" w:name="_Toc180138877"/>
      <w:bookmarkStart w:id="231" w:name="_Toc10472"/>
      <w:bookmarkStart w:id="232" w:name="_Toc147"/>
      <w:bookmarkStart w:id="233" w:name="_Toc205_WPSOffice_Level2"/>
      <w:bookmarkStart w:id="234" w:name="_Toc5442_WPSOffice_Level2"/>
      <w:r>
        <w:rPr>
          <w:rFonts w:hint="eastAsia"/>
        </w:rPr>
        <w:t>（三）绩效评价的原则</w:t>
      </w:r>
      <w:bookmarkEnd w:id="217"/>
      <w:bookmarkEnd w:id="218"/>
      <w:bookmarkEnd w:id="219"/>
      <w:bookmarkEnd w:id="220"/>
      <w:bookmarkEnd w:id="221"/>
      <w:bookmarkEnd w:id="222"/>
      <w:bookmarkEnd w:id="223"/>
      <w:bookmarkEnd w:id="224"/>
      <w:r>
        <w:rPr>
          <w:rFonts w:hint="eastAsia"/>
        </w:rPr>
        <w:t>和方法</w:t>
      </w:r>
      <w:bookmarkEnd w:id="225"/>
      <w:bookmarkEnd w:id="226"/>
      <w:bookmarkEnd w:id="227"/>
      <w:bookmarkEnd w:id="228"/>
      <w:bookmarkEnd w:id="229"/>
      <w:bookmarkEnd w:id="230"/>
      <w:bookmarkEnd w:id="231"/>
      <w:bookmarkEnd w:id="232"/>
    </w:p>
    <w:p w14:paraId="1CE1634B">
      <w:pPr>
        <w:widowControl w:val="0"/>
        <w:spacing w:line="600" w:lineRule="exact"/>
        <w:ind w:firstLine="562" w:firstLineChars="200"/>
        <w:outlineLvl w:val="3"/>
      </w:pPr>
      <w:bookmarkStart w:id="235" w:name="_Toc2490"/>
      <w:bookmarkStart w:id="236" w:name="_Toc19943"/>
      <w:r>
        <w:rPr>
          <w:rFonts w:hint="eastAsia"/>
          <w:b/>
          <w:bCs/>
        </w:rPr>
        <w:t>1.</w:t>
      </w:r>
      <w:bookmarkEnd w:id="235"/>
      <w:bookmarkEnd w:id="236"/>
      <w:r>
        <w:rPr>
          <w:rFonts w:hint="eastAsia"/>
          <w:b/>
          <w:bCs/>
        </w:rPr>
        <w:t>绩效评价原则</w:t>
      </w:r>
    </w:p>
    <w:p w14:paraId="428B7675">
      <w:pPr>
        <w:widowControl w:val="0"/>
        <w:spacing w:line="600" w:lineRule="exact"/>
        <w:ind w:firstLine="560" w:firstLineChars="200"/>
      </w:pPr>
      <w:r>
        <w:rPr>
          <w:rFonts w:hint="eastAsia"/>
        </w:rPr>
        <w:t>（1）科学规范原则。严格执行绩效评价准备阶段、绩效评价实施阶段、撰写和提交绩效评价报告阶段要求的各项程序，按照科学可行的要求，采用定量与定性分析相结合的方法。</w:t>
      </w:r>
    </w:p>
    <w:p w14:paraId="78063945">
      <w:pPr>
        <w:widowControl w:val="0"/>
        <w:spacing w:line="600" w:lineRule="exact"/>
        <w:ind w:firstLine="560" w:firstLineChars="200"/>
      </w:pPr>
      <w:r>
        <w:rPr>
          <w:rFonts w:hint="eastAsia"/>
        </w:rPr>
        <w:t>（2）公正公开原则。绩效评价应当符合真实、客观、公正的要求，依法公开并接受监督。</w:t>
      </w:r>
    </w:p>
    <w:p w14:paraId="347D3D56">
      <w:pPr>
        <w:widowControl w:val="0"/>
        <w:spacing w:line="600" w:lineRule="exact"/>
        <w:ind w:firstLine="560" w:firstLineChars="200"/>
      </w:pPr>
      <w:r>
        <w:rPr>
          <w:rFonts w:hint="eastAsia"/>
        </w:rPr>
        <w:t>（3）分级分类原则。绩效评价由各级财政部门、各预算部门根据评价对象的特点分类组织实施。</w:t>
      </w:r>
    </w:p>
    <w:p w14:paraId="397C6030">
      <w:pPr>
        <w:widowControl w:val="0"/>
        <w:spacing w:line="600" w:lineRule="exact"/>
        <w:ind w:firstLine="560" w:firstLineChars="200"/>
        <w:rPr>
          <w:highlight w:val="yellow"/>
        </w:rPr>
      </w:pPr>
      <w:r>
        <w:rPr>
          <w:rFonts w:hint="eastAsia"/>
        </w:rPr>
        <w:t>（4）绩效相关原则。绩效评价应当针对部门具体支出及其产出绩效进行，运用科学合理的绩效评价指标、评价标准和评价方法，对支出的经济性、效率性和效益性进行客观、公正的评价，评价结果应当清晰反映支出和产出绩效之间的紧密对应关系。</w:t>
      </w:r>
    </w:p>
    <w:p w14:paraId="663E0EFE">
      <w:pPr>
        <w:widowControl w:val="0"/>
        <w:spacing w:line="600" w:lineRule="exact"/>
        <w:ind w:firstLine="562" w:firstLineChars="200"/>
        <w:outlineLvl w:val="3"/>
        <w:rPr>
          <w:bCs/>
        </w:rPr>
      </w:pPr>
      <w:bookmarkStart w:id="237" w:name="_Toc30027_WPSOffice_Level2"/>
      <w:bookmarkStart w:id="238" w:name="_Toc23274"/>
      <w:bookmarkStart w:id="239" w:name="_Toc10410_WPSOffice_Level2"/>
      <w:bookmarkStart w:id="240" w:name="_Toc4043_WPSOffice_Level2"/>
      <w:bookmarkStart w:id="241" w:name="_Toc26534"/>
      <w:bookmarkStart w:id="242" w:name="_Toc22409"/>
      <w:r>
        <w:rPr>
          <w:rFonts w:hint="eastAsia"/>
          <w:b/>
          <w:bCs/>
        </w:rPr>
        <w:t>2.绩效评价方法</w:t>
      </w:r>
      <w:bookmarkEnd w:id="233"/>
      <w:bookmarkEnd w:id="234"/>
      <w:bookmarkEnd w:id="237"/>
      <w:bookmarkEnd w:id="238"/>
      <w:bookmarkEnd w:id="239"/>
      <w:bookmarkEnd w:id="240"/>
      <w:bookmarkEnd w:id="241"/>
      <w:bookmarkEnd w:id="242"/>
    </w:p>
    <w:p w14:paraId="037C9DAA">
      <w:pPr>
        <w:widowControl w:val="0"/>
        <w:spacing w:line="600" w:lineRule="exact"/>
        <w:ind w:firstLine="562" w:firstLineChars="200"/>
        <w:outlineLvl w:val="4"/>
        <w:rPr>
          <w:b/>
          <w:bCs/>
          <w:kern w:val="0"/>
        </w:rPr>
      </w:pPr>
      <w:r>
        <w:rPr>
          <w:rFonts w:hint="eastAsia"/>
          <w:b/>
          <w:bCs/>
          <w:kern w:val="0"/>
        </w:rPr>
        <w:t>（1）成本效益分析法</w:t>
      </w:r>
    </w:p>
    <w:p w14:paraId="6C8F74DE">
      <w:pPr>
        <w:widowControl w:val="0"/>
        <w:spacing w:line="600" w:lineRule="exact"/>
        <w:ind w:firstLine="560" w:firstLineChars="200"/>
        <w:rPr>
          <w:kern w:val="0"/>
        </w:rPr>
      </w:pPr>
      <w:r>
        <w:rPr>
          <w:rFonts w:hint="eastAsia"/>
          <w:kern w:val="0"/>
        </w:rPr>
        <w:t>将一定时期内总成本与总效益进行对比分析，以评价绩效目标实现程度。结合预算支出确定的目标，比较支出所产生的效益和付出的成本，评价绩效目标的合理性。</w:t>
      </w:r>
    </w:p>
    <w:p w14:paraId="65E15229">
      <w:pPr>
        <w:widowControl w:val="0"/>
        <w:spacing w:line="600" w:lineRule="exact"/>
        <w:ind w:firstLine="562" w:firstLineChars="200"/>
        <w:outlineLvl w:val="4"/>
        <w:rPr>
          <w:b/>
          <w:bCs/>
          <w:kern w:val="0"/>
        </w:rPr>
      </w:pPr>
      <w:r>
        <w:rPr>
          <w:rFonts w:hint="eastAsia"/>
          <w:b/>
          <w:bCs/>
          <w:kern w:val="0"/>
        </w:rPr>
        <w:t>（2）比较法</w:t>
      </w:r>
    </w:p>
    <w:p w14:paraId="00CA0327">
      <w:pPr>
        <w:widowControl w:val="0"/>
        <w:spacing w:line="600" w:lineRule="exact"/>
        <w:ind w:firstLine="560" w:firstLineChars="200"/>
        <w:rPr>
          <w:kern w:val="0"/>
        </w:rPr>
      </w:pPr>
      <w:r>
        <w:rPr>
          <w:rFonts w:hint="eastAsia"/>
          <w:kern w:val="0"/>
        </w:rPr>
        <w:t>依据永济市财政局下达的年度预算，对照部门实际支出情况，比较实际支出内容与预算批复内容的差异，深入分析原因；依据相关政策文件，评价整体支出是否按照规定执行；依据资金预算文件和会计凭证，评价资金到位及使用情况；结合预算支出确定的目标，将整体支出绩效目标与支出实际效果对比，分析判断整体支出目标的实现情况；将整体支出预期收益与实施效益数据对比，结合问卷调查情况，评价部门整体支出效益实现程度。</w:t>
      </w:r>
    </w:p>
    <w:p w14:paraId="04FB50BF">
      <w:pPr>
        <w:widowControl w:val="0"/>
        <w:spacing w:line="600" w:lineRule="exact"/>
        <w:ind w:firstLine="562" w:firstLineChars="200"/>
        <w:outlineLvl w:val="4"/>
        <w:rPr>
          <w:b/>
          <w:bCs/>
          <w:kern w:val="0"/>
        </w:rPr>
      </w:pPr>
      <w:r>
        <w:rPr>
          <w:rFonts w:hint="eastAsia"/>
          <w:b/>
          <w:bCs/>
          <w:kern w:val="0"/>
        </w:rPr>
        <w:t>（3）因素分析法</w:t>
      </w:r>
    </w:p>
    <w:p w14:paraId="2B7D7EB5">
      <w:pPr>
        <w:widowControl w:val="0"/>
        <w:spacing w:line="600" w:lineRule="exact"/>
        <w:ind w:firstLine="560" w:firstLineChars="200"/>
        <w:rPr>
          <w:kern w:val="0"/>
        </w:rPr>
      </w:pPr>
      <w:r>
        <w:rPr>
          <w:rFonts w:hint="eastAsia"/>
          <w:kern w:val="0"/>
        </w:rPr>
        <w:t>通过综合分析影响绩效目标实现、实施效果的内外因素，计算投入产出比的方法。</w:t>
      </w:r>
    </w:p>
    <w:p w14:paraId="5D75B22E">
      <w:pPr>
        <w:widowControl w:val="0"/>
        <w:spacing w:line="600" w:lineRule="exact"/>
        <w:ind w:firstLine="562" w:firstLineChars="200"/>
        <w:outlineLvl w:val="4"/>
        <w:rPr>
          <w:b/>
          <w:bCs/>
          <w:kern w:val="0"/>
        </w:rPr>
      </w:pPr>
      <w:r>
        <w:rPr>
          <w:rFonts w:hint="eastAsia"/>
          <w:b/>
          <w:bCs/>
          <w:kern w:val="0"/>
        </w:rPr>
        <w:t>（4）综合指数评价法</w:t>
      </w:r>
    </w:p>
    <w:p w14:paraId="2EFFDCC4">
      <w:pPr>
        <w:widowControl w:val="0"/>
        <w:spacing w:line="600" w:lineRule="exact"/>
        <w:ind w:firstLine="560" w:firstLineChars="200"/>
        <w:rPr>
          <w:kern w:val="0"/>
        </w:rPr>
      </w:pPr>
      <w:r>
        <w:rPr>
          <w:rFonts w:hint="eastAsia"/>
          <w:kern w:val="0"/>
        </w:rPr>
        <w:t>结合</w:t>
      </w:r>
      <w:r>
        <w:rPr>
          <w:rFonts w:hint="eastAsia"/>
        </w:rPr>
        <w:t>永济市文化和旅游局</w:t>
      </w:r>
      <w:r>
        <w:rPr>
          <w:rFonts w:hint="eastAsia"/>
          <w:kern w:val="0"/>
        </w:rPr>
        <w:t xml:space="preserve">的基本情况，搜集整理国家及省市县出台的相关政策法规，制定科学合理的评价指标体系及评价标准。然后根据各项绩效指标的实际水平，对照评价标准值，分别计算各项指标评价得分，再按照设定的各项指标权数计算出综合评价得分，分析评价绩效目标实现情况的评价方法。 </w:t>
      </w:r>
    </w:p>
    <w:p w14:paraId="6ACCA5F8">
      <w:pPr>
        <w:widowControl w:val="0"/>
        <w:spacing w:line="600" w:lineRule="exact"/>
        <w:ind w:firstLine="562" w:firstLineChars="200"/>
        <w:outlineLvl w:val="4"/>
        <w:rPr>
          <w:b/>
          <w:bCs/>
          <w:kern w:val="0"/>
        </w:rPr>
      </w:pPr>
      <w:r>
        <w:rPr>
          <w:rFonts w:hint="eastAsia"/>
          <w:b/>
          <w:bCs/>
          <w:kern w:val="0"/>
        </w:rPr>
        <w:t>（5）公众评判法</w:t>
      </w:r>
    </w:p>
    <w:p w14:paraId="7C2661DB">
      <w:pPr>
        <w:widowControl w:val="0"/>
        <w:spacing w:line="600" w:lineRule="exact"/>
        <w:ind w:firstLine="560" w:firstLineChars="200"/>
        <w:rPr>
          <w:kern w:val="0"/>
        </w:rPr>
      </w:pPr>
      <w:r>
        <w:rPr>
          <w:rFonts w:hint="eastAsia"/>
          <w:kern w:val="0"/>
        </w:rPr>
        <w:t>通过现场调查、访谈、问卷调查等方式，着重对产出、效益、满意度情况进行详细了解，获取定性与定量评价依据。</w:t>
      </w:r>
    </w:p>
    <w:bookmarkEnd w:id="201"/>
    <w:bookmarkEnd w:id="202"/>
    <w:bookmarkEnd w:id="203"/>
    <w:bookmarkEnd w:id="204"/>
    <w:bookmarkEnd w:id="205"/>
    <w:bookmarkEnd w:id="206"/>
    <w:p w14:paraId="6F3F143A">
      <w:pPr>
        <w:pStyle w:val="3"/>
        <w:ind w:firstLine="562"/>
      </w:pPr>
      <w:bookmarkStart w:id="243" w:name="_Toc28597"/>
      <w:bookmarkStart w:id="244" w:name="_Toc664_WPSOffice_Level1"/>
      <w:bookmarkStart w:id="245" w:name="_Toc180138878"/>
      <w:bookmarkStart w:id="246" w:name="_Toc9883_WPSOffice_Level1"/>
      <w:bookmarkStart w:id="247" w:name="_Toc3613_WPSOffice_Level1"/>
      <w:bookmarkStart w:id="248" w:name="_Toc9196"/>
      <w:bookmarkStart w:id="249" w:name="_Toc27726"/>
      <w:bookmarkStart w:id="250" w:name="_Toc23547"/>
      <w:bookmarkStart w:id="251" w:name="_Toc17760"/>
      <w:bookmarkStart w:id="252" w:name="_Toc27906"/>
      <w:bookmarkStart w:id="253" w:name="_Toc15522"/>
      <w:bookmarkStart w:id="254" w:name="_Toc180503503"/>
      <w:r>
        <w:rPr>
          <w:rFonts w:hint="eastAsia"/>
        </w:rPr>
        <w:t>（四）绩效评价的指标体系</w:t>
      </w:r>
      <w:bookmarkEnd w:id="207"/>
      <w:bookmarkEnd w:id="208"/>
      <w:bookmarkEnd w:id="243"/>
      <w:bookmarkEnd w:id="244"/>
      <w:bookmarkEnd w:id="245"/>
      <w:bookmarkEnd w:id="246"/>
      <w:bookmarkEnd w:id="247"/>
      <w:bookmarkEnd w:id="248"/>
      <w:bookmarkEnd w:id="249"/>
      <w:bookmarkEnd w:id="250"/>
      <w:bookmarkEnd w:id="251"/>
      <w:bookmarkEnd w:id="252"/>
      <w:bookmarkEnd w:id="253"/>
      <w:bookmarkEnd w:id="254"/>
      <w:bookmarkStart w:id="255" w:name="_Toc28008"/>
      <w:bookmarkStart w:id="256" w:name="_Toc514670444"/>
    </w:p>
    <w:bookmarkEnd w:id="255"/>
    <w:bookmarkEnd w:id="256"/>
    <w:p w14:paraId="3DB1C1D5">
      <w:pPr>
        <w:widowControl w:val="0"/>
        <w:spacing w:line="600" w:lineRule="exact"/>
        <w:ind w:firstLine="562" w:firstLineChars="200"/>
        <w:outlineLvl w:val="3"/>
        <w:rPr>
          <w:b/>
          <w:bCs/>
        </w:rPr>
      </w:pPr>
      <w:bookmarkStart w:id="257" w:name="_Toc16397"/>
      <w:bookmarkStart w:id="258" w:name="_Toc23766"/>
      <w:bookmarkStart w:id="259" w:name="_Toc25675_WPSOffice_Level2"/>
      <w:bookmarkStart w:id="260" w:name="_Toc29707_WPSOffice_Level2"/>
      <w:bookmarkStart w:id="261" w:name="_Toc19342_WPSOffice_Level2"/>
      <w:bookmarkStart w:id="262" w:name="_Toc15428_WPSOffice_Level2"/>
      <w:bookmarkStart w:id="263" w:name="_Toc29424_WPSOffice_Level2"/>
      <w:bookmarkStart w:id="264" w:name="_Toc21590_WPSOffice_Level2"/>
      <w:bookmarkStart w:id="265" w:name="_Toc23754_WPSOffice_Level2"/>
      <w:bookmarkStart w:id="266" w:name="_Toc17239_WPSOffice_Level2"/>
      <w:bookmarkStart w:id="267" w:name="_Toc22551_WPSOffice_Level2"/>
      <w:r>
        <w:rPr>
          <w:rFonts w:hint="eastAsia"/>
          <w:b/>
          <w:bCs/>
        </w:rPr>
        <w:t>1.指标体系设计思路</w:t>
      </w:r>
      <w:bookmarkEnd w:id="257"/>
      <w:bookmarkEnd w:id="258"/>
      <w:bookmarkEnd w:id="259"/>
      <w:bookmarkEnd w:id="260"/>
      <w:bookmarkEnd w:id="261"/>
    </w:p>
    <w:p w14:paraId="3835FF27">
      <w:pPr>
        <w:pStyle w:val="8"/>
        <w:widowControl w:val="0"/>
        <w:tabs>
          <w:tab w:val="left" w:pos="3150"/>
        </w:tabs>
        <w:snapToGrid/>
        <w:ind w:firstLine="560"/>
        <w:rPr>
          <w:rFonts w:ascii="仿宋" w:hAnsi="仿宋"/>
        </w:rPr>
      </w:pPr>
      <w:r>
        <w:rPr>
          <w:rFonts w:hint="eastAsia" w:ascii="仿宋" w:hAnsi="仿宋"/>
        </w:rPr>
        <w:t>根据绩效评价的基本原理、原则和项目特点，结合绩效目标，参考《项目支出绩效评价管理办法》（财预〔2020〕10号）和《永济市财政局2024年重点绩效评价实施方案》（永财绩〔2024〕2号）等相关文件规定，按照“部门决策-部门管理-部门产出-部门效果”的逻辑思路对绩效目标进行分解，结合计划标准、通用标准、历史标准等制定指标目标值，形成永济市文化和旅游局2023年度整体支出绩效评价指标评分体系。</w:t>
      </w:r>
    </w:p>
    <w:p w14:paraId="7B2334EA">
      <w:pPr>
        <w:widowControl w:val="0"/>
        <w:spacing w:line="600" w:lineRule="exact"/>
        <w:ind w:firstLine="562" w:firstLineChars="200"/>
        <w:outlineLvl w:val="3"/>
        <w:rPr>
          <w:b/>
          <w:bCs/>
        </w:rPr>
      </w:pPr>
      <w:bookmarkStart w:id="268" w:name="_Toc16396_WPSOffice_Level2"/>
      <w:bookmarkStart w:id="269" w:name="_Toc30392"/>
      <w:bookmarkStart w:id="270" w:name="_Toc8936_WPSOffice_Level2"/>
      <w:bookmarkStart w:id="271" w:name="_Toc17976_WPSOffice_Level2"/>
      <w:bookmarkStart w:id="272" w:name="_Toc14901_WPSOffice_Level2"/>
      <w:bookmarkStart w:id="273" w:name="_Toc28029"/>
      <w:bookmarkStart w:id="274" w:name="_Toc11719_WPSOffice_Level2"/>
      <w:bookmarkStart w:id="275" w:name="_Toc9340_WPSOffice_Level2"/>
      <w:r>
        <w:rPr>
          <w:rFonts w:hint="eastAsia"/>
          <w:b/>
          <w:bCs/>
        </w:rPr>
        <w:t>2.评价指标设置</w:t>
      </w:r>
      <w:bookmarkEnd w:id="268"/>
      <w:bookmarkEnd w:id="269"/>
      <w:bookmarkEnd w:id="270"/>
      <w:bookmarkEnd w:id="271"/>
      <w:bookmarkEnd w:id="272"/>
      <w:bookmarkEnd w:id="273"/>
      <w:bookmarkEnd w:id="274"/>
      <w:bookmarkEnd w:id="275"/>
    </w:p>
    <w:p w14:paraId="708AA58A">
      <w:pPr>
        <w:pStyle w:val="8"/>
        <w:widowControl w:val="0"/>
        <w:snapToGrid/>
        <w:ind w:firstLine="560"/>
        <w:rPr>
          <w:rFonts w:ascii="仿宋" w:hAnsi="仿宋"/>
        </w:rPr>
      </w:pPr>
      <w:r>
        <w:rPr>
          <w:rFonts w:hint="eastAsia" w:ascii="仿宋" w:hAnsi="仿宋"/>
        </w:rPr>
        <w:t>根据绩效评价的基本原理、原则，按照《永济市财政局2024年重点绩效评价实施方案》（永财绩〔2024〕2号）文件要求，结合永济市文化和旅游局的实际情况，评价组从部门决策、部门管理、部门产出、部门效果四方面设计指标体系进行评价，评价指标体系分为4个一级指标，14个二级指标，36个三级指标，具体指标见下表3：</w:t>
      </w:r>
    </w:p>
    <w:p w14:paraId="4B3D9E07">
      <w:pPr>
        <w:pStyle w:val="8"/>
        <w:widowControl w:val="0"/>
        <w:snapToGrid/>
        <w:ind w:firstLine="0" w:firstLineChars="0"/>
        <w:jc w:val="center"/>
        <w:rPr>
          <w:rFonts w:ascii="仿宋" w:hAnsi="仿宋"/>
          <w:b/>
          <w:bCs/>
        </w:rPr>
      </w:pPr>
      <w:r>
        <w:rPr>
          <w:rFonts w:hint="eastAsia" w:ascii="仿宋" w:hAnsi="仿宋"/>
          <w:b/>
          <w:bCs/>
        </w:rPr>
        <w:t>表3绩效评价指标体系</w:t>
      </w:r>
    </w:p>
    <w:tbl>
      <w:tblPr>
        <w:tblStyle w:val="24"/>
        <w:tblW w:w="4998" w:type="pct"/>
        <w:tblInd w:w="0" w:type="dxa"/>
        <w:tblLayout w:type="fixed"/>
        <w:tblCellMar>
          <w:top w:w="0" w:type="dxa"/>
          <w:left w:w="108" w:type="dxa"/>
          <w:bottom w:w="0" w:type="dxa"/>
          <w:right w:w="108" w:type="dxa"/>
        </w:tblCellMar>
      </w:tblPr>
      <w:tblGrid>
        <w:gridCol w:w="1733"/>
        <w:gridCol w:w="1955"/>
        <w:gridCol w:w="3257"/>
        <w:gridCol w:w="1568"/>
      </w:tblGrid>
      <w:tr w14:paraId="613E7933">
        <w:tblPrEx>
          <w:tblCellMar>
            <w:top w:w="0" w:type="dxa"/>
            <w:left w:w="108" w:type="dxa"/>
            <w:bottom w:w="0" w:type="dxa"/>
            <w:right w:w="108" w:type="dxa"/>
          </w:tblCellMar>
        </w:tblPrEx>
        <w:trPr>
          <w:trHeight w:val="425" w:hRule="atLeast"/>
          <w:tblHeader/>
        </w:trPr>
        <w:tc>
          <w:tcPr>
            <w:tcW w:w="101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E56FB9A">
            <w:pPr>
              <w:jc w:val="center"/>
              <w:textAlignment w:val="center"/>
              <w:rPr>
                <w:b/>
                <w:bCs/>
                <w:color w:val="000000"/>
                <w:sz w:val="21"/>
                <w:szCs w:val="21"/>
              </w:rPr>
            </w:pPr>
            <w:r>
              <w:rPr>
                <w:rFonts w:hint="eastAsia"/>
                <w:b/>
                <w:bCs/>
                <w:color w:val="000000"/>
                <w:kern w:val="0"/>
                <w:sz w:val="21"/>
                <w:szCs w:val="21"/>
              </w:rPr>
              <w:t>一级指标</w:t>
            </w:r>
          </w:p>
        </w:tc>
        <w:tc>
          <w:tcPr>
            <w:tcW w:w="1148"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68F3D10">
            <w:pPr>
              <w:jc w:val="center"/>
              <w:textAlignment w:val="center"/>
              <w:rPr>
                <w:b/>
                <w:bCs/>
                <w:color w:val="000000"/>
                <w:sz w:val="21"/>
                <w:szCs w:val="21"/>
              </w:rPr>
            </w:pPr>
            <w:r>
              <w:rPr>
                <w:rFonts w:hint="eastAsia"/>
                <w:b/>
                <w:bCs/>
                <w:color w:val="000000"/>
                <w:kern w:val="0"/>
                <w:sz w:val="21"/>
                <w:szCs w:val="21"/>
              </w:rPr>
              <w:t>二级指标</w:t>
            </w:r>
          </w:p>
        </w:tc>
        <w:tc>
          <w:tcPr>
            <w:tcW w:w="191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655EA21">
            <w:pPr>
              <w:jc w:val="center"/>
              <w:textAlignment w:val="center"/>
              <w:rPr>
                <w:b/>
                <w:bCs/>
                <w:color w:val="000000"/>
                <w:sz w:val="21"/>
                <w:szCs w:val="21"/>
              </w:rPr>
            </w:pPr>
            <w:r>
              <w:rPr>
                <w:rFonts w:hint="eastAsia"/>
                <w:b/>
                <w:bCs/>
                <w:color w:val="000000"/>
                <w:kern w:val="0"/>
                <w:sz w:val="21"/>
                <w:szCs w:val="21"/>
              </w:rPr>
              <w:t>三级指标</w:t>
            </w:r>
          </w:p>
        </w:tc>
        <w:tc>
          <w:tcPr>
            <w:tcW w:w="921"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B9C8CA1">
            <w:pPr>
              <w:jc w:val="center"/>
              <w:textAlignment w:val="center"/>
              <w:rPr>
                <w:b/>
                <w:bCs/>
                <w:color w:val="000000"/>
                <w:sz w:val="21"/>
                <w:szCs w:val="21"/>
              </w:rPr>
            </w:pPr>
            <w:r>
              <w:rPr>
                <w:rFonts w:hint="eastAsia"/>
                <w:b/>
                <w:bCs/>
                <w:color w:val="000000"/>
                <w:kern w:val="0"/>
                <w:sz w:val="21"/>
                <w:szCs w:val="21"/>
              </w:rPr>
              <w:t>权重</w:t>
            </w:r>
          </w:p>
        </w:tc>
      </w:tr>
      <w:tr w14:paraId="38F700EC">
        <w:tblPrEx>
          <w:tblCellMar>
            <w:top w:w="0" w:type="dxa"/>
            <w:left w:w="108" w:type="dxa"/>
            <w:bottom w:w="0" w:type="dxa"/>
            <w:right w:w="108" w:type="dxa"/>
          </w:tblCellMar>
        </w:tblPrEx>
        <w:trPr>
          <w:trHeight w:val="425" w:hRule="atLeast"/>
        </w:trPr>
        <w:tc>
          <w:tcPr>
            <w:tcW w:w="101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C963020">
            <w:pPr>
              <w:jc w:val="center"/>
              <w:textAlignment w:val="center"/>
              <w:rPr>
                <w:color w:val="000000"/>
                <w:kern w:val="0"/>
                <w:sz w:val="21"/>
                <w:szCs w:val="21"/>
              </w:rPr>
            </w:pPr>
            <w:r>
              <w:rPr>
                <w:rFonts w:hint="eastAsia"/>
                <w:color w:val="000000"/>
                <w:kern w:val="0"/>
                <w:sz w:val="21"/>
                <w:szCs w:val="21"/>
              </w:rPr>
              <w:t>部门决策</w:t>
            </w:r>
          </w:p>
          <w:p w14:paraId="336181F4">
            <w:pPr>
              <w:jc w:val="center"/>
              <w:textAlignment w:val="center"/>
              <w:rPr>
                <w:color w:val="000000"/>
                <w:sz w:val="21"/>
                <w:szCs w:val="21"/>
              </w:rPr>
            </w:pPr>
            <w:r>
              <w:rPr>
                <w:rFonts w:hint="eastAsia"/>
                <w:color w:val="000000"/>
                <w:kern w:val="0"/>
                <w:sz w:val="21"/>
                <w:szCs w:val="21"/>
              </w:rPr>
              <w:t>（10分）</w:t>
            </w:r>
          </w:p>
        </w:tc>
        <w:tc>
          <w:tcPr>
            <w:tcW w:w="114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B02E87">
            <w:pPr>
              <w:jc w:val="center"/>
              <w:textAlignment w:val="center"/>
              <w:rPr>
                <w:color w:val="000000"/>
                <w:sz w:val="21"/>
                <w:szCs w:val="21"/>
              </w:rPr>
            </w:pPr>
            <w:r>
              <w:rPr>
                <w:rFonts w:hint="eastAsia"/>
                <w:color w:val="000000"/>
                <w:sz w:val="21"/>
                <w:szCs w:val="21"/>
              </w:rPr>
              <w:t>目标设定</w:t>
            </w:r>
          </w:p>
        </w:tc>
        <w:tc>
          <w:tcPr>
            <w:tcW w:w="19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A65558">
            <w:pPr>
              <w:jc w:val="center"/>
              <w:textAlignment w:val="center"/>
              <w:rPr>
                <w:color w:val="000000"/>
                <w:sz w:val="21"/>
                <w:szCs w:val="21"/>
              </w:rPr>
            </w:pPr>
            <w:r>
              <w:rPr>
                <w:rFonts w:hint="eastAsia"/>
                <w:color w:val="000000"/>
                <w:sz w:val="21"/>
                <w:szCs w:val="21"/>
              </w:rPr>
              <w:t>绩效目标合理性</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220AF6">
            <w:pPr>
              <w:jc w:val="center"/>
              <w:textAlignment w:val="center"/>
              <w:rPr>
                <w:color w:val="000000"/>
                <w:sz w:val="21"/>
                <w:szCs w:val="21"/>
              </w:rPr>
            </w:pPr>
            <w:r>
              <w:rPr>
                <w:rFonts w:hint="eastAsia"/>
                <w:color w:val="000000"/>
                <w:kern w:val="0"/>
                <w:sz w:val="21"/>
                <w:szCs w:val="21"/>
              </w:rPr>
              <w:t>2</w:t>
            </w:r>
          </w:p>
        </w:tc>
      </w:tr>
      <w:tr w14:paraId="0A157C1F">
        <w:tblPrEx>
          <w:tblCellMar>
            <w:top w:w="0" w:type="dxa"/>
            <w:left w:w="108" w:type="dxa"/>
            <w:bottom w:w="0" w:type="dxa"/>
            <w:right w:w="108" w:type="dxa"/>
          </w:tblCellMar>
        </w:tblPrEx>
        <w:trPr>
          <w:trHeight w:val="425" w:hRule="atLeast"/>
        </w:trPr>
        <w:tc>
          <w:tcPr>
            <w:tcW w:w="1017"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8A2CA16">
            <w:pPr>
              <w:jc w:val="center"/>
              <w:rPr>
                <w:color w:val="000000"/>
                <w:sz w:val="21"/>
                <w:szCs w:val="21"/>
              </w:rPr>
            </w:pPr>
          </w:p>
        </w:tc>
        <w:tc>
          <w:tcPr>
            <w:tcW w:w="114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79FC559">
            <w:pPr>
              <w:jc w:val="center"/>
              <w:rPr>
                <w:color w:val="000000"/>
                <w:sz w:val="21"/>
                <w:szCs w:val="21"/>
              </w:rPr>
            </w:pPr>
          </w:p>
        </w:tc>
        <w:tc>
          <w:tcPr>
            <w:tcW w:w="19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BF1C36">
            <w:pPr>
              <w:jc w:val="center"/>
              <w:textAlignment w:val="center"/>
              <w:rPr>
                <w:color w:val="000000"/>
                <w:sz w:val="21"/>
                <w:szCs w:val="21"/>
              </w:rPr>
            </w:pPr>
            <w:r>
              <w:rPr>
                <w:rFonts w:hint="eastAsia"/>
                <w:color w:val="000000"/>
                <w:sz w:val="21"/>
                <w:szCs w:val="21"/>
              </w:rPr>
              <w:t>绩效指标明确性</w:t>
            </w:r>
          </w:p>
        </w:tc>
        <w:tc>
          <w:tcPr>
            <w:tcW w:w="9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BC838C">
            <w:pPr>
              <w:jc w:val="center"/>
              <w:textAlignment w:val="center"/>
              <w:rPr>
                <w:color w:val="000000"/>
                <w:sz w:val="21"/>
                <w:szCs w:val="21"/>
              </w:rPr>
            </w:pPr>
            <w:r>
              <w:rPr>
                <w:rFonts w:hint="eastAsia"/>
                <w:color w:val="000000"/>
                <w:kern w:val="0"/>
                <w:sz w:val="21"/>
                <w:szCs w:val="21"/>
              </w:rPr>
              <w:t>2</w:t>
            </w:r>
          </w:p>
        </w:tc>
      </w:tr>
      <w:tr w14:paraId="41D9DDFD">
        <w:tblPrEx>
          <w:tblCellMar>
            <w:top w:w="0" w:type="dxa"/>
            <w:left w:w="108" w:type="dxa"/>
            <w:bottom w:w="0" w:type="dxa"/>
            <w:right w:w="108" w:type="dxa"/>
          </w:tblCellMar>
        </w:tblPrEx>
        <w:trPr>
          <w:trHeight w:val="425" w:hRule="atLeast"/>
        </w:trPr>
        <w:tc>
          <w:tcPr>
            <w:tcW w:w="1017" w:type="pct"/>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14:paraId="23FBEC6C">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05BC3128">
            <w:pPr>
              <w:jc w:val="center"/>
              <w:textAlignment w:val="center"/>
              <w:rPr>
                <w:color w:val="000000"/>
                <w:sz w:val="21"/>
                <w:szCs w:val="21"/>
              </w:rPr>
            </w:pPr>
            <w:r>
              <w:rPr>
                <w:rFonts w:hint="eastAsia"/>
                <w:color w:val="000000"/>
                <w:sz w:val="21"/>
                <w:szCs w:val="21"/>
              </w:rPr>
              <w:t>预算配置</w:t>
            </w:r>
          </w:p>
        </w:tc>
        <w:tc>
          <w:tcPr>
            <w:tcW w:w="191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572F135">
            <w:pPr>
              <w:jc w:val="center"/>
              <w:textAlignment w:val="center"/>
              <w:rPr>
                <w:color w:val="000000"/>
                <w:sz w:val="21"/>
                <w:szCs w:val="21"/>
              </w:rPr>
            </w:pPr>
            <w:r>
              <w:rPr>
                <w:rFonts w:hint="eastAsia"/>
                <w:color w:val="000000"/>
                <w:sz w:val="21"/>
                <w:szCs w:val="21"/>
              </w:rPr>
              <w:t>预算编制科学性</w:t>
            </w:r>
          </w:p>
        </w:tc>
        <w:tc>
          <w:tcPr>
            <w:tcW w:w="921"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FF28089">
            <w:pPr>
              <w:jc w:val="center"/>
              <w:textAlignment w:val="center"/>
              <w:rPr>
                <w:color w:val="000000"/>
                <w:sz w:val="21"/>
                <w:szCs w:val="21"/>
              </w:rPr>
            </w:pPr>
            <w:r>
              <w:rPr>
                <w:rFonts w:hint="eastAsia"/>
                <w:color w:val="000000"/>
                <w:sz w:val="21"/>
                <w:szCs w:val="21"/>
              </w:rPr>
              <w:t>3</w:t>
            </w:r>
          </w:p>
        </w:tc>
      </w:tr>
      <w:tr w14:paraId="2AF149B8">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auto" w:sz="4" w:space="0"/>
              <w:right w:val="single" w:color="000000" w:sz="4" w:space="0"/>
            </w:tcBorders>
            <w:shd w:val="clear" w:color="auto" w:fill="auto"/>
            <w:noWrap/>
            <w:vAlign w:val="center"/>
          </w:tcPr>
          <w:p w14:paraId="243A3C99">
            <w:pPr>
              <w:jc w:val="center"/>
              <w:rPr>
                <w:color w:val="000000"/>
                <w:sz w:val="21"/>
                <w:szCs w:val="21"/>
              </w:rPr>
            </w:pPr>
          </w:p>
        </w:tc>
        <w:tc>
          <w:tcPr>
            <w:tcW w:w="1148" w:type="pct"/>
            <w:vMerge w:val="continue"/>
            <w:tcBorders>
              <w:left w:val="single" w:color="000000" w:sz="4" w:space="0"/>
              <w:bottom w:val="single" w:color="auto" w:sz="4" w:space="0"/>
              <w:right w:val="single" w:color="000000" w:sz="4" w:space="0"/>
            </w:tcBorders>
            <w:shd w:val="clear" w:color="auto" w:fill="auto"/>
            <w:noWrap/>
            <w:vAlign w:val="center"/>
          </w:tcPr>
          <w:p w14:paraId="40E8B1CF">
            <w:pPr>
              <w:jc w:val="center"/>
              <w:rPr>
                <w:color w:val="000000"/>
                <w:sz w:val="21"/>
                <w:szCs w:val="21"/>
              </w:rPr>
            </w:pPr>
          </w:p>
        </w:tc>
        <w:tc>
          <w:tcPr>
            <w:tcW w:w="191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03F8024">
            <w:pPr>
              <w:jc w:val="center"/>
              <w:textAlignment w:val="center"/>
              <w:rPr>
                <w:color w:val="000000"/>
                <w:sz w:val="21"/>
                <w:szCs w:val="21"/>
              </w:rPr>
            </w:pPr>
            <w:r>
              <w:rPr>
                <w:rFonts w:hint="eastAsia"/>
                <w:color w:val="000000"/>
                <w:sz w:val="21"/>
                <w:szCs w:val="21"/>
              </w:rPr>
              <w:t>预算配置合理性</w:t>
            </w:r>
          </w:p>
        </w:tc>
        <w:tc>
          <w:tcPr>
            <w:tcW w:w="921"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477BE34">
            <w:pPr>
              <w:jc w:val="center"/>
              <w:textAlignment w:val="center"/>
              <w:rPr>
                <w:color w:val="000000"/>
                <w:sz w:val="21"/>
                <w:szCs w:val="21"/>
              </w:rPr>
            </w:pPr>
            <w:r>
              <w:rPr>
                <w:rFonts w:hint="eastAsia"/>
                <w:color w:val="000000"/>
                <w:sz w:val="21"/>
                <w:szCs w:val="21"/>
              </w:rPr>
              <w:t>3</w:t>
            </w:r>
          </w:p>
        </w:tc>
      </w:tr>
      <w:tr w14:paraId="138029AC">
        <w:tblPrEx>
          <w:tblCellMar>
            <w:top w:w="0" w:type="dxa"/>
            <w:left w:w="108" w:type="dxa"/>
            <w:bottom w:w="0" w:type="dxa"/>
            <w:right w:w="108" w:type="dxa"/>
          </w:tblCellMar>
        </w:tblPrEx>
        <w:trPr>
          <w:trHeight w:val="425" w:hRule="atLeast"/>
        </w:trPr>
        <w:tc>
          <w:tcPr>
            <w:tcW w:w="1017" w:type="pct"/>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2FB9AA41">
            <w:pPr>
              <w:jc w:val="center"/>
              <w:textAlignment w:val="center"/>
              <w:rPr>
                <w:color w:val="000000"/>
                <w:kern w:val="0"/>
                <w:sz w:val="21"/>
                <w:szCs w:val="21"/>
              </w:rPr>
            </w:pPr>
            <w:r>
              <w:rPr>
                <w:rFonts w:hint="eastAsia"/>
                <w:color w:val="000000"/>
                <w:kern w:val="0"/>
                <w:sz w:val="21"/>
                <w:szCs w:val="21"/>
              </w:rPr>
              <w:t>部门管理</w:t>
            </w:r>
          </w:p>
          <w:p w14:paraId="000F67C9">
            <w:pPr>
              <w:jc w:val="center"/>
              <w:textAlignment w:val="center"/>
              <w:rPr>
                <w:color w:val="000000"/>
                <w:sz w:val="21"/>
                <w:szCs w:val="21"/>
              </w:rPr>
            </w:pPr>
            <w:r>
              <w:rPr>
                <w:rFonts w:hint="eastAsia"/>
                <w:color w:val="000000"/>
                <w:kern w:val="0"/>
                <w:sz w:val="21"/>
                <w:szCs w:val="21"/>
              </w:rPr>
              <w:t>（40分）</w:t>
            </w:r>
          </w:p>
        </w:tc>
        <w:tc>
          <w:tcPr>
            <w:tcW w:w="1148" w:type="pct"/>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79F4B631">
            <w:pPr>
              <w:jc w:val="center"/>
              <w:textAlignment w:val="center"/>
              <w:rPr>
                <w:color w:val="000000"/>
                <w:sz w:val="21"/>
                <w:szCs w:val="21"/>
              </w:rPr>
            </w:pPr>
            <w:r>
              <w:rPr>
                <w:rFonts w:hint="eastAsia"/>
                <w:color w:val="000000"/>
                <w:kern w:val="0"/>
                <w:sz w:val="21"/>
                <w:szCs w:val="21"/>
              </w:rPr>
              <w:t>预算管理</w:t>
            </w:r>
          </w:p>
        </w:tc>
        <w:tc>
          <w:tcPr>
            <w:tcW w:w="191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3CEB9C7">
            <w:pPr>
              <w:jc w:val="center"/>
              <w:textAlignment w:val="center"/>
              <w:rPr>
                <w:color w:val="000000"/>
                <w:sz w:val="21"/>
                <w:szCs w:val="21"/>
              </w:rPr>
            </w:pPr>
            <w:r>
              <w:rPr>
                <w:rFonts w:hint="eastAsia"/>
                <w:color w:val="000000"/>
                <w:kern w:val="0"/>
                <w:sz w:val="21"/>
                <w:szCs w:val="21"/>
              </w:rPr>
              <w:t>预算完成率</w:t>
            </w:r>
          </w:p>
        </w:tc>
        <w:tc>
          <w:tcPr>
            <w:tcW w:w="921" w:type="pct"/>
            <w:tcBorders>
              <w:top w:val="single" w:color="auto" w:sz="4" w:space="0"/>
              <w:left w:val="single" w:color="000000" w:sz="4" w:space="0"/>
              <w:bottom w:val="single" w:color="000000" w:sz="4" w:space="0"/>
              <w:right w:val="single" w:color="auto" w:sz="4" w:space="0"/>
            </w:tcBorders>
            <w:shd w:val="clear" w:color="auto" w:fill="auto"/>
            <w:noWrap/>
            <w:vAlign w:val="center"/>
          </w:tcPr>
          <w:p w14:paraId="29764B08">
            <w:pPr>
              <w:jc w:val="center"/>
              <w:textAlignment w:val="center"/>
              <w:rPr>
                <w:color w:val="000000"/>
                <w:sz w:val="21"/>
                <w:szCs w:val="21"/>
              </w:rPr>
            </w:pPr>
            <w:r>
              <w:rPr>
                <w:rFonts w:hint="eastAsia"/>
                <w:color w:val="000000"/>
                <w:kern w:val="0"/>
                <w:sz w:val="21"/>
                <w:szCs w:val="21"/>
              </w:rPr>
              <w:t>2</w:t>
            </w:r>
          </w:p>
        </w:tc>
      </w:tr>
      <w:tr w14:paraId="61580458">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5DC133E">
            <w:pPr>
              <w:jc w:val="center"/>
              <w:rPr>
                <w:color w:val="000000"/>
                <w:sz w:val="21"/>
                <w:szCs w:val="21"/>
              </w:rPr>
            </w:pPr>
          </w:p>
        </w:tc>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6BD26">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80C1">
            <w:pPr>
              <w:jc w:val="center"/>
              <w:textAlignment w:val="center"/>
              <w:rPr>
                <w:color w:val="000000"/>
                <w:sz w:val="21"/>
                <w:szCs w:val="21"/>
              </w:rPr>
            </w:pPr>
            <w:r>
              <w:rPr>
                <w:rFonts w:hint="eastAsia"/>
                <w:color w:val="000000"/>
                <w:kern w:val="0"/>
                <w:sz w:val="21"/>
                <w:szCs w:val="21"/>
              </w:rPr>
              <w:t>预算调整率</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88FECAF">
            <w:pPr>
              <w:jc w:val="center"/>
              <w:textAlignment w:val="center"/>
              <w:rPr>
                <w:color w:val="000000"/>
                <w:sz w:val="21"/>
                <w:szCs w:val="21"/>
              </w:rPr>
            </w:pPr>
            <w:r>
              <w:rPr>
                <w:rFonts w:hint="eastAsia"/>
                <w:color w:val="000000"/>
                <w:kern w:val="0"/>
                <w:sz w:val="21"/>
                <w:szCs w:val="21"/>
              </w:rPr>
              <w:t>2</w:t>
            </w:r>
          </w:p>
        </w:tc>
      </w:tr>
      <w:tr w14:paraId="45C5E627">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7CD77A46">
            <w:pPr>
              <w:jc w:val="center"/>
              <w:rPr>
                <w:color w:val="000000"/>
                <w:sz w:val="21"/>
                <w:szCs w:val="21"/>
              </w:rPr>
            </w:pPr>
          </w:p>
        </w:tc>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3EAF">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95AA">
            <w:pPr>
              <w:jc w:val="center"/>
              <w:textAlignment w:val="center"/>
              <w:rPr>
                <w:color w:val="000000"/>
                <w:sz w:val="21"/>
                <w:szCs w:val="21"/>
              </w:rPr>
            </w:pPr>
            <w:r>
              <w:rPr>
                <w:rFonts w:hint="eastAsia"/>
                <w:color w:val="000000"/>
                <w:kern w:val="0"/>
                <w:sz w:val="21"/>
                <w:szCs w:val="21"/>
              </w:rPr>
              <w:t>支付进度率</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D25A3CF">
            <w:pPr>
              <w:jc w:val="center"/>
              <w:textAlignment w:val="center"/>
              <w:rPr>
                <w:color w:val="000000"/>
                <w:sz w:val="21"/>
                <w:szCs w:val="21"/>
              </w:rPr>
            </w:pPr>
            <w:r>
              <w:rPr>
                <w:rFonts w:hint="eastAsia"/>
                <w:color w:val="000000"/>
                <w:kern w:val="0"/>
                <w:sz w:val="21"/>
                <w:szCs w:val="21"/>
              </w:rPr>
              <w:t>2</w:t>
            </w:r>
          </w:p>
        </w:tc>
      </w:tr>
      <w:tr w14:paraId="5F91D48D">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4203432">
            <w:pPr>
              <w:jc w:val="center"/>
              <w:rPr>
                <w:color w:val="000000"/>
                <w:sz w:val="21"/>
                <w:szCs w:val="21"/>
              </w:rPr>
            </w:pPr>
          </w:p>
        </w:tc>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219C">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05CC">
            <w:pPr>
              <w:jc w:val="center"/>
              <w:textAlignment w:val="center"/>
              <w:rPr>
                <w:color w:val="000000"/>
                <w:sz w:val="21"/>
                <w:szCs w:val="21"/>
              </w:rPr>
            </w:pPr>
            <w:r>
              <w:rPr>
                <w:rFonts w:hint="eastAsia"/>
                <w:color w:val="000000"/>
                <w:kern w:val="0"/>
                <w:sz w:val="21"/>
                <w:szCs w:val="21"/>
              </w:rPr>
              <w:t>结转结余率</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FD6F355">
            <w:pPr>
              <w:jc w:val="center"/>
              <w:textAlignment w:val="center"/>
              <w:rPr>
                <w:color w:val="000000"/>
                <w:sz w:val="21"/>
                <w:szCs w:val="21"/>
              </w:rPr>
            </w:pPr>
            <w:r>
              <w:rPr>
                <w:rFonts w:hint="eastAsia"/>
                <w:color w:val="000000"/>
                <w:kern w:val="0"/>
                <w:sz w:val="21"/>
                <w:szCs w:val="21"/>
              </w:rPr>
              <w:t>2</w:t>
            </w:r>
          </w:p>
        </w:tc>
      </w:tr>
      <w:tr w14:paraId="498FF1FB">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17B6A519">
            <w:pPr>
              <w:jc w:val="center"/>
              <w:rPr>
                <w:color w:val="000000"/>
                <w:sz w:val="21"/>
                <w:szCs w:val="21"/>
              </w:rPr>
            </w:pPr>
          </w:p>
        </w:tc>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C211">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D4826">
            <w:pPr>
              <w:jc w:val="center"/>
              <w:textAlignment w:val="center"/>
              <w:rPr>
                <w:color w:val="000000"/>
                <w:sz w:val="21"/>
                <w:szCs w:val="21"/>
              </w:rPr>
            </w:pPr>
            <w:r>
              <w:rPr>
                <w:rFonts w:hint="eastAsia"/>
                <w:color w:val="000000"/>
                <w:kern w:val="0"/>
                <w:sz w:val="21"/>
                <w:szCs w:val="21"/>
              </w:rPr>
              <w:t>结转结余变动率</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4EAC68E">
            <w:pPr>
              <w:jc w:val="center"/>
              <w:textAlignment w:val="center"/>
              <w:rPr>
                <w:color w:val="000000"/>
                <w:sz w:val="21"/>
                <w:szCs w:val="21"/>
              </w:rPr>
            </w:pPr>
            <w:r>
              <w:rPr>
                <w:rFonts w:hint="eastAsia"/>
                <w:color w:val="000000"/>
                <w:kern w:val="0"/>
                <w:sz w:val="21"/>
                <w:szCs w:val="21"/>
              </w:rPr>
              <w:t>2</w:t>
            </w:r>
          </w:p>
        </w:tc>
      </w:tr>
      <w:tr w14:paraId="29F272E8">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5CFFBDC3">
            <w:pPr>
              <w:jc w:val="center"/>
              <w:rPr>
                <w:color w:val="000000"/>
                <w:sz w:val="21"/>
                <w:szCs w:val="21"/>
              </w:rPr>
            </w:pPr>
          </w:p>
        </w:tc>
        <w:tc>
          <w:tcPr>
            <w:tcW w:w="11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66DC">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02DB">
            <w:pPr>
              <w:jc w:val="center"/>
              <w:textAlignment w:val="center"/>
              <w:rPr>
                <w:color w:val="000000"/>
                <w:kern w:val="0"/>
                <w:sz w:val="21"/>
                <w:szCs w:val="21"/>
              </w:rPr>
            </w:pPr>
            <w:r>
              <w:rPr>
                <w:rFonts w:hint="eastAsia"/>
                <w:color w:val="000000"/>
                <w:kern w:val="0"/>
                <w:sz w:val="21"/>
                <w:szCs w:val="21"/>
              </w:rPr>
              <w:t>预算绩效管理</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0CF0039">
            <w:pPr>
              <w:jc w:val="center"/>
              <w:textAlignment w:val="center"/>
              <w:rPr>
                <w:color w:val="000000"/>
                <w:sz w:val="21"/>
                <w:szCs w:val="21"/>
              </w:rPr>
            </w:pPr>
            <w:r>
              <w:rPr>
                <w:rFonts w:hint="eastAsia"/>
                <w:color w:val="000000"/>
                <w:sz w:val="21"/>
                <w:szCs w:val="21"/>
              </w:rPr>
              <w:t>2</w:t>
            </w:r>
          </w:p>
        </w:tc>
      </w:tr>
      <w:tr w14:paraId="6CB28001">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3B2B8071">
            <w:pPr>
              <w:jc w:val="center"/>
              <w:rPr>
                <w:color w:val="000000"/>
                <w:sz w:val="21"/>
                <w:szCs w:val="21"/>
              </w:rPr>
            </w:pPr>
          </w:p>
        </w:tc>
        <w:tc>
          <w:tcPr>
            <w:tcW w:w="1148" w:type="pct"/>
            <w:vMerge w:val="restart"/>
            <w:tcBorders>
              <w:top w:val="single" w:color="000000" w:sz="4" w:space="0"/>
              <w:left w:val="single" w:color="000000" w:sz="4" w:space="0"/>
              <w:right w:val="single" w:color="000000" w:sz="4" w:space="0"/>
            </w:tcBorders>
            <w:shd w:val="clear" w:color="auto" w:fill="auto"/>
            <w:noWrap/>
            <w:vAlign w:val="center"/>
          </w:tcPr>
          <w:p w14:paraId="0AD856A2">
            <w:pPr>
              <w:jc w:val="center"/>
              <w:rPr>
                <w:color w:val="000000"/>
                <w:sz w:val="21"/>
                <w:szCs w:val="21"/>
              </w:rPr>
            </w:pPr>
            <w:r>
              <w:rPr>
                <w:rFonts w:hint="eastAsia"/>
                <w:color w:val="000000"/>
                <w:sz w:val="21"/>
                <w:szCs w:val="21"/>
              </w:rPr>
              <w:t>收支管理</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FB41">
            <w:pPr>
              <w:jc w:val="center"/>
              <w:textAlignment w:val="center"/>
              <w:rPr>
                <w:color w:val="000000"/>
                <w:kern w:val="0"/>
                <w:sz w:val="21"/>
                <w:szCs w:val="21"/>
              </w:rPr>
            </w:pPr>
            <w:r>
              <w:rPr>
                <w:rFonts w:hint="eastAsia"/>
                <w:color w:val="000000"/>
                <w:kern w:val="0"/>
                <w:sz w:val="21"/>
                <w:szCs w:val="21"/>
              </w:rPr>
              <w:t>收支管理规范性</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0C794E4">
            <w:pPr>
              <w:jc w:val="center"/>
              <w:textAlignment w:val="center"/>
              <w:rPr>
                <w:color w:val="000000"/>
                <w:sz w:val="21"/>
                <w:szCs w:val="21"/>
              </w:rPr>
            </w:pPr>
            <w:r>
              <w:rPr>
                <w:rFonts w:hint="eastAsia"/>
                <w:color w:val="000000"/>
                <w:sz w:val="21"/>
                <w:szCs w:val="21"/>
              </w:rPr>
              <w:t>14</w:t>
            </w:r>
          </w:p>
        </w:tc>
      </w:tr>
      <w:tr w14:paraId="732A679D">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27344E3A">
            <w:pPr>
              <w:jc w:val="center"/>
              <w:rPr>
                <w:color w:val="000000"/>
                <w:sz w:val="21"/>
                <w:szCs w:val="21"/>
              </w:rPr>
            </w:pPr>
          </w:p>
        </w:tc>
        <w:tc>
          <w:tcPr>
            <w:tcW w:w="1148" w:type="pct"/>
            <w:vMerge w:val="continue"/>
            <w:tcBorders>
              <w:left w:val="single" w:color="000000" w:sz="4" w:space="0"/>
              <w:bottom w:val="single" w:color="000000" w:sz="4" w:space="0"/>
              <w:right w:val="single" w:color="000000" w:sz="4" w:space="0"/>
            </w:tcBorders>
            <w:shd w:val="clear" w:color="auto" w:fill="auto"/>
            <w:noWrap/>
            <w:vAlign w:val="center"/>
          </w:tcPr>
          <w:p w14:paraId="030F8687">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0A88">
            <w:pPr>
              <w:jc w:val="center"/>
              <w:textAlignment w:val="center"/>
              <w:rPr>
                <w:color w:val="000000"/>
                <w:kern w:val="0"/>
                <w:sz w:val="21"/>
                <w:szCs w:val="21"/>
              </w:rPr>
            </w:pPr>
            <w:r>
              <w:rPr>
                <w:rFonts w:hint="eastAsia"/>
                <w:color w:val="000000"/>
                <w:kern w:val="0"/>
                <w:sz w:val="21"/>
                <w:szCs w:val="21"/>
              </w:rPr>
              <w:t>支出结构合理性</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64E44E0">
            <w:pPr>
              <w:jc w:val="center"/>
              <w:textAlignment w:val="center"/>
              <w:rPr>
                <w:color w:val="000000"/>
                <w:sz w:val="21"/>
                <w:szCs w:val="21"/>
              </w:rPr>
            </w:pPr>
            <w:r>
              <w:rPr>
                <w:rFonts w:hint="eastAsia"/>
                <w:color w:val="000000"/>
                <w:sz w:val="21"/>
                <w:szCs w:val="21"/>
              </w:rPr>
              <w:t>2</w:t>
            </w:r>
          </w:p>
        </w:tc>
      </w:tr>
      <w:tr w14:paraId="58CC8313">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61198BA0">
            <w:pPr>
              <w:jc w:val="center"/>
              <w:rPr>
                <w:color w:val="000000"/>
                <w:sz w:val="21"/>
                <w:szCs w:val="21"/>
              </w:rPr>
            </w:pPr>
          </w:p>
        </w:tc>
        <w:tc>
          <w:tcPr>
            <w:tcW w:w="1148" w:type="pct"/>
            <w:vMerge w:val="restart"/>
            <w:tcBorders>
              <w:left w:val="single" w:color="000000" w:sz="4" w:space="0"/>
              <w:right w:val="single" w:color="000000" w:sz="4" w:space="0"/>
            </w:tcBorders>
            <w:shd w:val="clear" w:color="auto" w:fill="auto"/>
            <w:noWrap/>
            <w:vAlign w:val="center"/>
          </w:tcPr>
          <w:p w14:paraId="57E85F17">
            <w:pPr>
              <w:jc w:val="center"/>
              <w:rPr>
                <w:color w:val="000000"/>
                <w:sz w:val="21"/>
                <w:szCs w:val="21"/>
              </w:rPr>
            </w:pPr>
            <w:r>
              <w:rPr>
                <w:rFonts w:hint="eastAsia"/>
                <w:color w:val="000000"/>
                <w:sz w:val="21"/>
                <w:szCs w:val="21"/>
              </w:rPr>
              <w:t>资产管理</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A42B">
            <w:pPr>
              <w:jc w:val="center"/>
              <w:textAlignment w:val="center"/>
              <w:rPr>
                <w:color w:val="000000"/>
                <w:kern w:val="0"/>
                <w:sz w:val="21"/>
                <w:szCs w:val="21"/>
              </w:rPr>
            </w:pPr>
            <w:r>
              <w:rPr>
                <w:rFonts w:hint="eastAsia"/>
                <w:color w:val="000000"/>
                <w:kern w:val="0"/>
                <w:sz w:val="21"/>
                <w:szCs w:val="21"/>
              </w:rPr>
              <w:t>资产管理规范性</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1B87AA2">
            <w:pPr>
              <w:jc w:val="center"/>
              <w:textAlignment w:val="center"/>
              <w:rPr>
                <w:color w:val="000000"/>
                <w:sz w:val="21"/>
                <w:szCs w:val="21"/>
              </w:rPr>
            </w:pPr>
            <w:r>
              <w:rPr>
                <w:rFonts w:hint="eastAsia"/>
                <w:color w:val="000000"/>
                <w:sz w:val="21"/>
                <w:szCs w:val="21"/>
              </w:rPr>
              <w:t>5</w:t>
            </w:r>
          </w:p>
        </w:tc>
      </w:tr>
      <w:tr w14:paraId="3221FD0A">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79C07E08">
            <w:pPr>
              <w:jc w:val="center"/>
              <w:rPr>
                <w:color w:val="000000"/>
                <w:sz w:val="21"/>
                <w:szCs w:val="21"/>
              </w:rPr>
            </w:pPr>
          </w:p>
        </w:tc>
        <w:tc>
          <w:tcPr>
            <w:tcW w:w="1148" w:type="pct"/>
            <w:vMerge w:val="continue"/>
            <w:tcBorders>
              <w:left w:val="single" w:color="000000" w:sz="4" w:space="0"/>
              <w:bottom w:val="single" w:color="000000" w:sz="4" w:space="0"/>
              <w:right w:val="single" w:color="000000" w:sz="4" w:space="0"/>
            </w:tcBorders>
            <w:shd w:val="clear" w:color="auto" w:fill="auto"/>
            <w:noWrap/>
            <w:vAlign w:val="center"/>
          </w:tcPr>
          <w:p w14:paraId="255D2158">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F896">
            <w:pPr>
              <w:jc w:val="center"/>
              <w:textAlignment w:val="center"/>
              <w:rPr>
                <w:color w:val="000000"/>
                <w:kern w:val="0"/>
                <w:sz w:val="21"/>
                <w:szCs w:val="21"/>
              </w:rPr>
            </w:pPr>
            <w:r>
              <w:rPr>
                <w:rFonts w:hint="eastAsia"/>
                <w:color w:val="000000"/>
                <w:kern w:val="0"/>
                <w:sz w:val="21"/>
                <w:szCs w:val="21"/>
              </w:rPr>
              <w:t>固定资产利用率</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9F21C2F">
            <w:pPr>
              <w:jc w:val="center"/>
              <w:textAlignment w:val="center"/>
              <w:rPr>
                <w:color w:val="000000"/>
                <w:sz w:val="21"/>
                <w:szCs w:val="21"/>
              </w:rPr>
            </w:pPr>
            <w:r>
              <w:rPr>
                <w:rFonts w:hint="eastAsia"/>
                <w:color w:val="000000"/>
                <w:sz w:val="21"/>
                <w:szCs w:val="21"/>
              </w:rPr>
              <w:t>3</w:t>
            </w:r>
          </w:p>
        </w:tc>
      </w:tr>
      <w:tr w14:paraId="6C2BFFDB">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096ADB2D">
            <w:pPr>
              <w:jc w:val="center"/>
              <w:rPr>
                <w:color w:val="000000"/>
                <w:sz w:val="21"/>
                <w:szCs w:val="21"/>
              </w:rPr>
            </w:pPr>
          </w:p>
        </w:tc>
        <w:tc>
          <w:tcPr>
            <w:tcW w:w="114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627733A">
            <w:pPr>
              <w:jc w:val="center"/>
              <w:textAlignment w:val="center"/>
              <w:rPr>
                <w:color w:val="000000"/>
                <w:sz w:val="21"/>
                <w:szCs w:val="21"/>
              </w:rPr>
            </w:pPr>
            <w:r>
              <w:rPr>
                <w:rFonts w:hint="eastAsia"/>
                <w:color w:val="000000"/>
                <w:kern w:val="0"/>
                <w:sz w:val="21"/>
                <w:szCs w:val="21"/>
              </w:rPr>
              <w:t>其他管理</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D4BD8">
            <w:pPr>
              <w:jc w:val="center"/>
              <w:textAlignment w:val="center"/>
              <w:rPr>
                <w:color w:val="000000"/>
                <w:kern w:val="0"/>
                <w:sz w:val="21"/>
                <w:szCs w:val="21"/>
              </w:rPr>
            </w:pPr>
            <w:r>
              <w:rPr>
                <w:rFonts w:hint="eastAsia"/>
                <w:color w:val="000000"/>
                <w:kern w:val="0"/>
                <w:sz w:val="21"/>
                <w:szCs w:val="21"/>
              </w:rPr>
              <w:t>政府采购管理</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7390DED">
            <w:pPr>
              <w:jc w:val="center"/>
              <w:textAlignment w:val="center"/>
              <w:rPr>
                <w:color w:val="000000"/>
                <w:sz w:val="21"/>
                <w:szCs w:val="21"/>
              </w:rPr>
            </w:pPr>
            <w:r>
              <w:rPr>
                <w:rFonts w:hint="eastAsia"/>
                <w:color w:val="000000"/>
                <w:kern w:val="0"/>
                <w:sz w:val="21"/>
                <w:szCs w:val="21"/>
              </w:rPr>
              <w:t>2</w:t>
            </w:r>
          </w:p>
        </w:tc>
      </w:tr>
      <w:tr w14:paraId="1A53D225">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3FD3B0A2">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566927F9">
            <w:pPr>
              <w:jc w:val="center"/>
              <w:textAlignment w:val="center"/>
              <w:rPr>
                <w:color w:val="000000"/>
                <w:kern w:val="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9DBE">
            <w:pPr>
              <w:jc w:val="center"/>
              <w:textAlignment w:val="center"/>
              <w:rPr>
                <w:color w:val="000000"/>
                <w:kern w:val="0"/>
                <w:sz w:val="21"/>
                <w:szCs w:val="21"/>
              </w:rPr>
            </w:pPr>
            <w:r>
              <w:rPr>
                <w:rFonts w:hint="eastAsia"/>
                <w:color w:val="000000"/>
                <w:kern w:val="0"/>
                <w:sz w:val="21"/>
                <w:szCs w:val="21"/>
              </w:rPr>
              <w:t>预算信息公开</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814AA45">
            <w:pPr>
              <w:jc w:val="center"/>
              <w:textAlignment w:val="center"/>
              <w:rPr>
                <w:color w:val="000000"/>
                <w:sz w:val="21"/>
                <w:szCs w:val="21"/>
              </w:rPr>
            </w:pPr>
            <w:r>
              <w:rPr>
                <w:rFonts w:hint="eastAsia"/>
                <w:color w:val="000000"/>
                <w:kern w:val="0"/>
                <w:sz w:val="21"/>
                <w:szCs w:val="21"/>
              </w:rPr>
              <w:t>1</w:t>
            </w:r>
          </w:p>
        </w:tc>
      </w:tr>
      <w:tr w14:paraId="7210BBA6">
        <w:tblPrEx>
          <w:tblCellMar>
            <w:top w:w="0" w:type="dxa"/>
            <w:left w:w="108" w:type="dxa"/>
            <w:bottom w:w="0" w:type="dxa"/>
            <w:right w:w="108" w:type="dxa"/>
          </w:tblCellMar>
        </w:tblPrEx>
        <w:trPr>
          <w:trHeight w:val="425" w:hRule="atLeast"/>
        </w:trPr>
        <w:tc>
          <w:tcPr>
            <w:tcW w:w="1017"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00374BE4">
            <w:pPr>
              <w:jc w:val="center"/>
              <w:rPr>
                <w:color w:val="000000"/>
                <w:sz w:val="21"/>
                <w:szCs w:val="21"/>
              </w:rPr>
            </w:pPr>
          </w:p>
        </w:tc>
        <w:tc>
          <w:tcPr>
            <w:tcW w:w="114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BC50044">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629C">
            <w:pPr>
              <w:jc w:val="center"/>
              <w:textAlignment w:val="center"/>
              <w:rPr>
                <w:color w:val="000000"/>
                <w:kern w:val="0"/>
                <w:sz w:val="21"/>
                <w:szCs w:val="21"/>
              </w:rPr>
            </w:pPr>
            <w:r>
              <w:rPr>
                <w:rFonts w:hint="eastAsia"/>
                <w:color w:val="000000"/>
                <w:kern w:val="0"/>
                <w:sz w:val="21"/>
                <w:szCs w:val="21"/>
              </w:rPr>
              <w:t>资金监管</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CE63D17">
            <w:pPr>
              <w:jc w:val="center"/>
              <w:textAlignment w:val="center"/>
              <w:rPr>
                <w:color w:val="000000"/>
                <w:sz w:val="21"/>
                <w:szCs w:val="21"/>
              </w:rPr>
            </w:pPr>
            <w:r>
              <w:rPr>
                <w:rFonts w:hint="eastAsia"/>
                <w:color w:val="000000"/>
                <w:sz w:val="21"/>
                <w:szCs w:val="21"/>
              </w:rPr>
              <w:t>1</w:t>
            </w:r>
          </w:p>
        </w:tc>
      </w:tr>
      <w:tr w14:paraId="57B4E076">
        <w:tblPrEx>
          <w:tblCellMar>
            <w:top w:w="0" w:type="dxa"/>
            <w:left w:w="108" w:type="dxa"/>
            <w:bottom w:w="0" w:type="dxa"/>
            <w:right w:w="108" w:type="dxa"/>
          </w:tblCellMar>
        </w:tblPrEx>
        <w:trPr>
          <w:trHeight w:val="425" w:hRule="atLeast"/>
        </w:trPr>
        <w:tc>
          <w:tcPr>
            <w:tcW w:w="1017" w:type="pct"/>
            <w:vMerge w:val="restart"/>
            <w:tcBorders>
              <w:top w:val="single" w:color="000000" w:sz="4" w:space="0"/>
              <w:left w:val="single" w:color="auto" w:sz="4" w:space="0"/>
              <w:right w:val="single" w:color="000000" w:sz="4" w:space="0"/>
            </w:tcBorders>
            <w:shd w:val="clear" w:color="auto" w:fill="auto"/>
            <w:noWrap/>
            <w:vAlign w:val="center"/>
          </w:tcPr>
          <w:p w14:paraId="033B8FF6">
            <w:pPr>
              <w:jc w:val="center"/>
              <w:rPr>
                <w:color w:val="000000"/>
                <w:sz w:val="21"/>
                <w:szCs w:val="21"/>
              </w:rPr>
            </w:pPr>
            <w:r>
              <w:rPr>
                <w:rFonts w:hint="eastAsia"/>
                <w:color w:val="000000"/>
                <w:sz w:val="21"/>
                <w:szCs w:val="21"/>
              </w:rPr>
              <w:t>部门产出</w:t>
            </w:r>
          </w:p>
          <w:p w14:paraId="0A8B0CF9">
            <w:pPr>
              <w:jc w:val="center"/>
              <w:rPr>
                <w:color w:val="000000"/>
                <w:sz w:val="21"/>
                <w:szCs w:val="21"/>
              </w:rPr>
            </w:pPr>
            <w:r>
              <w:rPr>
                <w:rFonts w:hint="eastAsia"/>
                <w:color w:val="000000"/>
                <w:sz w:val="21"/>
                <w:szCs w:val="21"/>
              </w:rPr>
              <w:t>（30分）</w:t>
            </w:r>
          </w:p>
          <w:p w14:paraId="78D97A84">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5BE3B646">
            <w:pPr>
              <w:jc w:val="center"/>
              <w:rPr>
                <w:color w:val="000000"/>
                <w:sz w:val="21"/>
                <w:szCs w:val="21"/>
              </w:rPr>
            </w:pPr>
            <w:r>
              <w:rPr>
                <w:rFonts w:hint="eastAsia"/>
                <w:color w:val="000000"/>
                <w:sz w:val="21"/>
                <w:szCs w:val="21"/>
              </w:rPr>
              <w:t>目标任务实现程度</w:t>
            </w:r>
          </w:p>
          <w:p w14:paraId="1F410624">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D718">
            <w:pPr>
              <w:jc w:val="center"/>
              <w:textAlignment w:val="center"/>
              <w:rPr>
                <w:color w:val="000000"/>
                <w:kern w:val="0"/>
                <w:sz w:val="21"/>
                <w:szCs w:val="21"/>
              </w:rPr>
            </w:pPr>
            <w:r>
              <w:rPr>
                <w:rFonts w:hint="eastAsia"/>
                <w:color w:val="000000"/>
                <w:kern w:val="0"/>
                <w:sz w:val="21"/>
                <w:szCs w:val="21"/>
              </w:rPr>
              <w:t>旅游工作完成情况</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F5DD1A3">
            <w:pPr>
              <w:jc w:val="center"/>
              <w:rPr>
                <w:color w:val="000000"/>
                <w:sz w:val="21"/>
                <w:szCs w:val="21"/>
              </w:rPr>
            </w:pPr>
            <w:r>
              <w:rPr>
                <w:rFonts w:hint="eastAsia"/>
                <w:color w:val="000000"/>
                <w:sz w:val="21"/>
                <w:szCs w:val="21"/>
              </w:rPr>
              <w:t>8</w:t>
            </w:r>
          </w:p>
        </w:tc>
      </w:tr>
      <w:tr w14:paraId="3F28C4AF">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5962147F">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512A6287">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CBA8">
            <w:pPr>
              <w:jc w:val="center"/>
              <w:textAlignment w:val="center"/>
              <w:rPr>
                <w:color w:val="000000"/>
                <w:kern w:val="0"/>
                <w:sz w:val="21"/>
                <w:szCs w:val="21"/>
              </w:rPr>
            </w:pPr>
            <w:r>
              <w:rPr>
                <w:rFonts w:hint="eastAsia"/>
                <w:color w:val="000000"/>
                <w:kern w:val="0"/>
                <w:sz w:val="21"/>
                <w:szCs w:val="21"/>
              </w:rPr>
              <w:t>文化工作完成情况</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DB047BF">
            <w:pPr>
              <w:jc w:val="center"/>
              <w:rPr>
                <w:color w:val="000000"/>
                <w:sz w:val="21"/>
                <w:szCs w:val="21"/>
              </w:rPr>
            </w:pPr>
            <w:r>
              <w:rPr>
                <w:rFonts w:hint="eastAsia"/>
                <w:color w:val="000000"/>
                <w:sz w:val="21"/>
                <w:szCs w:val="21"/>
              </w:rPr>
              <w:t>3</w:t>
            </w:r>
          </w:p>
        </w:tc>
      </w:tr>
      <w:tr w14:paraId="19A42E47">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7AB25E94">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4D971A56">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B909">
            <w:pPr>
              <w:jc w:val="center"/>
              <w:textAlignment w:val="center"/>
              <w:rPr>
                <w:color w:val="000000"/>
                <w:kern w:val="0"/>
                <w:sz w:val="21"/>
                <w:szCs w:val="21"/>
              </w:rPr>
            </w:pPr>
            <w:r>
              <w:rPr>
                <w:rFonts w:hint="eastAsia"/>
                <w:color w:val="000000"/>
                <w:kern w:val="0"/>
                <w:sz w:val="21"/>
                <w:szCs w:val="21"/>
              </w:rPr>
              <w:t>执法工作完成情况</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5700383">
            <w:pPr>
              <w:jc w:val="center"/>
              <w:rPr>
                <w:color w:val="000000"/>
                <w:sz w:val="21"/>
                <w:szCs w:val="21"/>
              </w:rPr>
            </w:pPr>
            <w:r>
              <w:rPr>
                <w:rFonts w:hint="eastAsia"/>
                <w:color w:val="000000"/>
                <w:sz w:val="21"/>
                <w:szCs w:val="21"/>
              </w:rPr>
              <w:t>1</w:t>
            </w:r>
          </w:p>
        </w:tc>
      </w:tr>
      <w:tr w14:paraId="58284FD3">
        <w:trPr>
          <w:trHeight w:val="425" w:hRule="atLeast"/>
        </w:trPr>
        <w:tc>
          <w:tcPr>
            <w:tcW w:w="1017" w:type="pct"/>
            <w:vMerge w:val="continue"/>
            <w:tcBorders>
              <w:left w:val="single" w:color="auto" w:sz="4" w:space="0"/>
              <w:bottom w:val="single" w:color="auto" w:sz="4" w:space="0"/>
              <w:right w:val="single" w:color="000000" w:sz="4" w:space="0"/>
            </w:tcBorders>
            <w:shd w:val="clear" w:color="auto" w:fill="auto"/>
            <w:noWrap/>
            <w:vAlign w:val="center"/>
          </w:tcPr>
          <w:p w14:paraId="329C4202">
            <w:pPr>
              <w:jc w:val="center"/>
              <w:rPr>
                <w:color w:val="000000"/>
                <w:sz w:val="21"/>
                <w:szCs w:val="21"/>
              </w:rPr>
            </w:pPr>
          </w:p>
        </w:tc>
        <w:tc>
          <w:tcPr>
            <w:tcW w:w="1148" w:type="pct"/>
            <w:vMerge w:val="continue"/>
            <w:tcBorders>
              <w:left w:val="single" w:color="000000" w:sz="4" w:space="0"/>
              <w:bottom w:val="single" w:color="auto" w:sz="4" w:space="0"/>
              <w:right w:val="single" w:color="000000" w:sz="4" w:space="0"/>
            </w:tcBorders>
            <w:shd w:val="clear" w:color="auto" w:fill="auto"/>
            <w:noWrap/>
            <w:vAlign w:val="center"/>
          </w:tcPr>
          <w:p w14:paraId="3BED305B">
            <w:pPr>
              <w:jc w:val="center"/>
              <w:rPr>
                <w:color w:val="000000"/>
                <w:sz w:val="21"/>
                <w:szCs w:val="21"/>
              </w:rPr>
            </w:pPr>
          </w:p>
        </w:tc>
        <w:tc>
          <w:tcPr>
            <w:tcW w:w="191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D9AAF99">
            <w:pPr>
              <w:jc w:val="center"/>
              <w:textAlignment w:val="center"/>
              <w:rPr>
                <w:color w:val="000000"/>
                <w:kern w:val="0"/>
                <w:sz w:val="21"/>
                <w:szCs w:val="21"/>
              </w:rPr>
            </w:pPr>
            <w:r>
              <w:rPr>
                <w:rFonts w:hint="eastAsia"/>
                <w:color w:val="000000"/>
                <w:kern w:val="0"/>
                <w:sz w:val="21"/>
                <w:szCs w:val="21"/>
              </w:rPr>
              <w:t>党建工作完成情况</w:t>
            </w:r>
          </w:p>
        </w:tc>
        <w:tc>
          <w:tcPr>
            <w:tcW w:w="921" w:type="pct"/>
            <w:tcBorders>
              <w:top w:val="single" w:color="000000" w:sz="4" w:space="0"/>
              <w:left w:val="single" w:color="000000" w:sz="4" w:space="0"/>
              <w:bottom w:val="single" w:color="auto" w:sz="4" w:space="0"/>
              <w:right w:val="single" w:color="auto" w:sz="4" w:space="0"/>
            </w:tcBorders>
            <w:shd w:val="clear" w:color="auto" w:fill="auto"/>
            <w:noWrap/>
            <w:vAlign w:val="center"/>
          </w:tcPr>
          <w:p w14:paraId="559C649E">
            <w:pPr>
              <w:jc w:val="center"/>
              <w:rPr>
                <w:color w:val="000000"/>
                <w:sz w:val="21"/>
                <w:szCs w:val="21"/>
              </w:rPr>
            </w:pPr>
            <w:r>
              <w:rPr>
                <w:rFonts w:hint="eastAsia"/>
                <w:color w:val="000000"/>
                <w:sz w:val="21"/>
                <w:szCs w:val="21"/>
              </w:rPr>
              <w:t>2</w:t>
            </w:r>
          </w:p>
        </w:tc>
      </w:tr>
      <w:tr w14:paraId="39A396B2">
        <w:tblPrEx>
          <w:tblCellMar>
            <w:top w:w="0" w:type="dxa"/>
            <w:left w:w="108" w:type="dxa"/>
            <w:bottom w:w="0" w:type="dxa"/>
            <w:right w:w="108" w:type="dxa"/>
          </w:tblCellMar>
        </w:tblPrEx>
        <w:trPr>
          <w:trHeight w:val="425" w:hRule="atLeast"/>
        </w:trPr>
        <w:tc>
          <w:tcPr>
            <w:tcW w:w="1017" w:type="pct"/>
            <w:vMerge w:val="continue"/>
            <w:tcBorders>
              <w:top w:val="single" w:color="auto" w:sz="4" w:space="0"/>
              <w:left w:val="single" w:color="auto" w:sz="4" w:space="0"/>
              <w:right w:val="single" w:color="000000" w:sz="4" w:space="0"/>
            </w:tcBorders>
            <w:shd w:val="clear" w:color="auto" w:fill="auto"/>
            <w:noWrap/>
            <w:vAlign w:val="center"/>
          </w:tcPr>
          <w:p w14:paraId="6B68B173">
            <w:pPr>
              <w:jc w:val="center"/>
              <w:rPr>
                <w:color w:val="000000"/>
                <w:sz w:val="21"/>
                <w:szCs w:val="21"/>
              </w:rPr>
            </w:pPr>
          </w:p>
        </w:tc>
        <w:tc>
          <w:tcPr>
            <w:tcW w:w="114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79BBDC3">
            <w:pPr>
              <w:jc w:val="center"/>
              <w:rPr>
                <w:color w:val="000000"/>
                <w:sz w:val="21"/>
                <w:szCs w:val="21"/>
              </w:rPr>
            </w:pPr>
          </w:p>
        </w:tc>
        <w:tc>
          <w:tcPr>
            <w:tcW w:w="191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11EAA82">
            <w:pPr>
              <w:jc w:val="center"/>
              <w:textAlignment w:val="center"/>
              <w:rPr>
                <w:color w:val="000000"/>
                <w:kern w:val="0"/>
                <w:sz w:val="21"/>
                <w:szCs w:val="21"/>
              </w:rPr>
            </w:pPr>
            <w:r>
              <w:rPr>
                <w:rFonts w:hint="eastAsia"/>
                <w:color w:val="000000"/>
                <w:kern w:val="0"/>
                <w:sz w:val="21"/>
                <w:szCs w:val="21"/>
              </w:rPr>
              <w:t>文物保护工作完成情况</w:t>
            </w:r>
          </w:p>
        </w:tc>
        <w:tc>
          <w:tcPr>
            <w:tcW w:w="921"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078B5FD">
            <w:pPr>
              <w:jc w:val="center"/>
              <w:rPr>
                <w:color w:val="000000"/>
                <w:sz w:val="21"/>
                <w:szCs w:val="21"/>
              </w:rPr>
            </w:pPr>
            <w:r>
              <w:rPr>
                <w:rFonts w:hint="eastAsia"/>
                <w:color w:val="000000"/>
                <w:sz w:val="21"/>
                <w:szCs w:val="21"/>
              </w:rPr>
              <w:t>6</w:t>
            </w:r>
          </w:p>
        </w:tc>
      </w:tr>
      <w:tr w14:paraId="74CC1BD4">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26A2C7CE">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1ACD3ACB">
            <w:pPr>
              <w:jc w:val="center"/>
              <w:rPr>
                <w:color w:val="000000"/>
                <w:sz w:val="21"/>
                <w:szCs w:val="21"/>
              </w:rPr>
            </w:pPr>
            <w:r>
              <w:rPr>
                <w:rFonts w:hint="eastAsia"/>
                <w:color w:val="000000"/>
                <w:sz w:val="21"/>
                <w:szCs w:val="21"/>
              </w:rPr>
              <w:t>目标任务完成质量</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BBF8">
            <w:pPr>
              <w:jc w:val="center"/>
              <w:textAlignment w:val="center"/>
              <w:rPr>
                <w:color w:val="000000"/>
                <w:kern w:val="0"/>
                <w:sz w:val="21"/>
                <w:szCs w:val="21"/>
              </w:rPr>
            </w:pPr>
            <w:r>
              <w:rPr>
                <w:rFonts w:hint="eastAsia"/>
                <w:color w:val="000000"/>
                <w:kern w:val="0"/>
                <w:sz w:val="21"/>
                <w:szCs w:val="21"/>
              </w:rPr>
              <w:t>项目验收通过率</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3404">
            <w:pPr>
              <w:jc w:val="center"/>
              <w:rPr>
                <w:color w:val="000000"/>
                <w:sz w:val="21"/>
                <w:szCs w:val="21"/>
              </w:rPr>
            </w:pPr>
            <w:r>
              <w:rPr>
                <w:rFonts w:hint="eastAsia"/>
                <w:color w:val="000000"/>
                <w:sz w:val="21"/>
                <w:szCs w:val="21"/>
              </w:rPr>
              <w:t>2</w:t>
            </w:r>
          </w:p>
        </w:tc>
      </w:tr>
      <w:tr w14:paraId="7255A67C">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05429B38">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6ABF44F7">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CD52F">
            <w:pPr>
              <w:jc w:val="center"/>
              <w:textAlignment w:val="center"/>
              <w:rPr>
                <w:color w:val="000000"/>
                <w:kern w:val="0"/>
                <w:sz w:val="21"/>
                <w:szCs w:val="21"/>
              </w:rPr>
            </w:pPr>
            <w:r>
              <w:rPr>
                <w:rFonts w:hint="eastAsia"/>
                <w:color w:val="000000"/>
                <w:kern w:val="0"/>
                <w:sz w:val="21"/>
                <w:szCs w:val="21"/>
              </w:rPr>
              <w:t>目标责任考核等级</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D823">
            <w:pPr>
              <w:jc w:val="center"/>
              <w:rPr>
                <w:color w:val="000000"/>
                <w:sz w:val="21"/>
                <w:szCs w:val="21"/>
              </w:rPr>
            </w:pPr>
            <w:r>
              <w:rPr>
                <w:rFonts w:hint="eastAsia"/>
                <w:color w:val="000000"/>
                <w:sz w:val="21"/>
                <w:szCs w:val="21"/>
              </w:rPr>
              <w:t>2</w:t>
            </w:r>
          </w:p>
        </w:tc>
      </w:tr>
      <w:tr w14:paraId="310FDED3">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71E1C47D">
            <w:pPr>
              <w:jc w:val="center"/>
              <w:rPr>
                <w:color w:val="000000"/>
                <w:sz w:val="21"/>
                <w:szCs w:val="21"/>
              </w:rPr>
            </w:pPr>
          </w:p>
        </w:tc>
        <w:tc>
          <w:tcPr>
            <w:tcW w:w="1148"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EFCA36B">
            <w:pPr>
              <w:jc w:val="center"/>
              <w:rPr>
                <w:color w:val="000000"/>
                <w:sz w:val="21"/>
                <w:szCs w:val="21"/>
              </w:rPr>
            </w:pPr>
            <w:r>
              <w:rPr>
                <w:rFonts w:hint="eastAsia"/>
                <w:color w:val="000000"/>
                <w:sz w:val="21"/>
                <w:szCs w:val="21"/>
              </w:rPr>
              <w:t>完成及时情况</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064A">
            <w:pPr>
              <w:jc w:val="center"/>
              <w:textAlignment w:val="center"/>
              <w:rPr>
                <w:color w:val="000000"/>
                <w:kern w:val="0"/>
                <w:sz w:val="21"/>
                <w:szCs w:val="21"/>
              </w:rPr>
            </w:pPr>
            <w:r>
              <w:rPr>
                <w:rFonts w:hint="eastAsia"/>
                <w:color w:val="000000"/>
                <w:kern w:val="0"/>
                <w:sz w:val="21"/>
                <w:szCs w:val="21"/>
              </w:rPr>
              <w:t>各项目完成及时性</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4026">
            <w:pPr>
              <w:jc w:val="center"/>
              <w:rPr>
                <w:color w:val="000000"/>
                <w:sz w:val="21"/>
                <w:szCs w:val="21"/>
              </w:rPr>
            </w:pPr>
            <w:r>
              <w:rPr>
                <w:rFonts w:hint="eastAsia"/>
                <w:color w:val="000000"/>
                <w:sz w:val="21"/>
                <w:szCs w:val="21"/>
              </w:rPr>
              <w:t>3</w:t>
            </w:r>
          </w:p>
        </w:tc>
      </w:tr>
      <w:tr w14:paraId="69604B08">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0659D64C">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50D83ED9">
            <w:pPr>
              <w:jc w:val="center"/>
              <w:rPr>
                <w:color w:val="000000"/>
                <w:sz w:val="21"/>
                <w:szCs w:val="21"/>
              </w:rPr>
            </w:pPr>
            <w:r>
              <w:rPr>
                <w:rFonts w:hint="eastAsia"/>
                <w:color w:val="000000"/>
                <w:sz w:val="21"/>
                <w:szCs w:val="21"/>
              </w:rPr>
              <w:t>运行成本控制有效性</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406B">
            <w:pPr>
              <w:jc w:val="center"/>
              <w:textAlignment w:val="center"/>
              <w:rPr>
                <w:color w:val="000000"/>
                <w:kern w:val="0"/>
                <w:sz w:val="21"/>
                <w:szCs w:val="21"/>
              </w:rPr>
            </w:pPr>
            <w:r>
              <w:rPr>
                <w:rFonts w:hint="eastAsia"/>
                <w:color w:val="000000"/>
                <w:kern w:val="0"/>
                <w:sz w:val="21"/>
                <w:szCs w:val="21"/>
              </w:rPr>
              <w:t>公用经费控制率</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0392">
            <w:pPr>
              <w:jc w:val="center"/>
              <w:rPr>
                <w:color w:val="000000"/>
                <w:sz w:val="21"/>
                <w:szCs w:val="21"/>
              </w:rPr>
            </w:pPr>
            <w:r>
              <w:rPr>
                <w:rFonts w:hint="eastAsia"/>
                <w:color w:val="000000"/>
                <w:sz w:val="21"/>
                <w:szCs w:val="21"/>
              </w:rPr>
              <w:t>1</w:t>
            </w:r>
          </w:p>
        </w:tc>
      </w:tr>
      <w:tr w14:paraId="098AB28E">
        <w:tblPrEx>
          <w:tblCellMar>
            <w:top w:w="0" w:type="dxa"/>
            <w:left w:w="108" w:type="dxa"/>
            <w:bottom w:w="0" w:type="dxa"/>
            <w:right w:w="108" w:type="dxa"/>
          </w:tblCellMar>
        </w:tblPrEx>
        <w:trPr>
          <w:trHeight w:val="425" w:hRule="atLeast"/>
        </w:trPr>
        <w:tc>
          <w:tcPr>
            <w:tcW w:w="1017" w:type="pct"/>
            <w:vMerge w:val="continue"/>
            <w:tcBorders>
              <w:left w:val="single" w:color="auto" w:sz="4" w:space="0"/>
              <w:right w:val="single" w:color="000000" w:sz="4" w:space="0"/>
            </w:tcBorders>
            <w:shd w:val="clear" w:color="auto" w:fill="auto"/>
            <w:noWrap/>
            <w:vAlign w:val="center"/>
          </w:tcPr>
          <w:p w14:paraId="77C69EEF">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66D5409A">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DFA1">
            <w:pPr>
              <w:jc w:val="center"/>
              <w:textAlignment w:val="center"/>
              <w:rPr>
                <w:color w:val="000000"/>
                <w:kern w:val="0"/>
                <w:sz w:val="21"/>
                <w:szCs w:val="21"/>
              </w:rPr>
            </w:pPr>
            <w:r>
              <w:rPr>
                <w:rFonts w:hint="eastAsia"/>
                <w:color w:val="000000"/>
                <w:kern w:val="0"/>
                <w:sz w:val="21"/>
                <w:szCs w:val="21"/>
              </w:rPr>
              <w:t>三公经费控制率</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3BF6">
            <w:pPr>
              <w:jc w:val="center"/>
              <w:rPr>
                <w:color w:val="000000"/>
                <w:sz w:val="21"/>
                <w:szCs w:val="21"/>
              </w:rPr>
            </w:pPr>
            <w:r>
              <w:rPr>
                <w:rFonts w:hint="eastAsia"/>
                <w:color w:val="000000"/>
                <w:sz w:val="21"/>
                <w:szCs w:val="21"/>
              </w:rPr>
              <w:t>1</w:t>
            </w:r>
          </w:p>
        </w:tc>
      </w:tr>
      <w:tr w14:paraId="5FF42317">
        <w:tblPrEx>
          <w:tblCellMar>
            <w:top w:w="0" w:type="dxa"/>
            <w:left w:w="108" w:type="dxa"/>
            <w:bottom w:w="0" w:type="dxa"/>
            <w:right w:w="108" w:type="dxa"/>
          </w:tblCellMar>
        </w:tblPrEx>
        <w:trPr>
          <w:trHeight w:val="425" w:hRule="atLeast"/>
        </w:trPr>
        <w:tc>
          <w:tcPr>
            <w:tcW w:w="1017" w:type="pct"/>
            <w:vMerge w:val="continue"/>
            <w:tcBorders>
              <w:left w:val="single" w:color="auto" w:sz="4" w:space="0"/>
              <w:bottom w:val="single" w:color="000000" w:sz="4" w:space="0"/>
              <w:right w:val="single" w:color="000000" w:sz="4" w:space="0"/>
            </w:tcBorders>
            <w:shd w:val="clear" w:color="auto" w:fill="auto"/>
            <w:noWrap/>
            <w:vAlign w:val="center"/>
          </w:tcPr>
          <w:p w14:paraId="5D7D1116">
            <w:pPr>
              <w:jc w:val="center"/>
              <w:rPr>
                <w:color w:val="000000"/>
                <w:sz w:val="21"/>
                <w:szCs w:val="21"/>
              </w:rPr>
            </w:pPr>
          </w:p>
        </w:tc>
        <w:tc>
          <w:tcPr>
            <w:tcW w:w="1148" w:type="pct"/>
            <w:vMerge w:val="continue"/>
            <w:tcBorders>
              <w:left w:val="single" w:color="000000" w:sz="4" w:space="0"/>
              <w:bottom w:val="single" w:color="auto" w:sz="4" w:space="0"/>
              <w:right w:val="single" w:color="000000" w:sz="4" w:space="0"/>
            </w:tcBorders>
            <w:shd w:val="clear" w:color="auto" w:fill="auto"/>
            <w:noWrap/>
            <w:vAlign w:val="center"/>
          </w:tcPr>
          <w:p w14:paraId="08BD6926">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064B">
            <w:pPr>
              <w:jc w:val="center"/>
              <w:textAlignment w:val="center"/>
              <w:rPr>
                <w:color w:val="000000"/>
                <w:kern w:val="0"/>
                <w:sz w:val="21"/>
                <w:szCs w:val="21"/>
              </w:rPr>
            </w:pPr>
            <w:r>
              <w:rPr>
                <w:rFonts w:hint="eastAsia"/>
                <w:color w:val="000000"/>
                <w:kern w:val="0"/>
                <w:sz w:val="21"/>
                <w:szCs w:val="21"/>
              </w:rPr>
              <w:t>人员成本控制率</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B0D1">
            <w:pPr>
              <w:jc w:val="center"/>
              <w:rPr>
                <w:color w:val="000000"/>
                <w:sz w:val="21"/>
                <w:szCs w:val="21"/>
              </w:rPr>
            </w:pPr>
            <w:r>
              <w:rPr>
                <w:rFonts w:hint="eastAsia"/>
                <w:color w:val="000000"/>
                <w:sz w:val="21"/>
                <w:szCs w:val="21"/>
              </w:rPr>
              <w:t>1</w:t>
            </w:r>
          </w:p>
        </w:tc>
      </w:tr>
      <w:tr w14:paraId="7853FCD6">
        <w:tblPrEx>
          <w:tblCellMar>
            <w:top w:w="0" w:type="dxa"/>
            <w:left w:w="108" w:type="dxa"/>
            <w:bottom w:w="0" w:type="dxa"/>
            <w:right w:w="108" w:type="dxa"/>
          </w:tblCellMar>
        </w:tblPrEx>
        <w:trPr>
          <w:trHeight w:val="425" w:hRule="atLeast"/>
        </w:trPr>
        <w:tc>
          <w:tcPr>
            <w:tcW w:w="1017" w:type="pct"/>
            <w:vMerge w:val="restart"/>
            <w:tcBorders>
              <w:top w:val="single" w:color="000000" w:sz="4" w:space="0"/>
              <w:left w:val="single" w:color="000000" w:sz="4" w:space="0"/>
              <w:right w:val="single" w:color="000000" w:sz="4" w:space="0"/>
            </w:tcBorders>
            <w:shd w:val="clear" w:color="auto" w:fill="auto"/>
            <w:noWrap/>
            <w:vAlign w:val="center"/>
          </w:tcPr>
          <w:p w14:paraId="648C985F">
            <w:pPr>
              <w:jc w:val="center"/>
              <w:rPr>
                <w:color w:val="000000"/>
                <w:sz w:val="21"/>
                <w:szCs w:val="21"/>
              </w:rPr>
            </w:pPr>
            <w:r>
              <w:rPr>
                <w:rFonts w:hint="eastAsia"/>
                <w:color w:val="000000"/>
                <w:sz w:val="21"/>
                <w:szCs w:val="21"/>
              </w:rPr>
              <w:t>部门效果</w:t>
            </w:r>
          </w:p>
          <w:p w14:paraId="756D4586">
            <w:pPr>
              <w:pStyle w:val="8"/>
              <w:ind w:firstLine="420"/>
              <w:jc w:val="center"/>
            </w:pPr>
            <w:r>
              <w:rPr>
                <w:rFonts w:hint="eastAsia" w:ascii="仿宋" w:hAnsi="仿宋"/>
                <w:color w:val="000000"/>
                <w:sz w:val="21"/>
                <w:szCs w:val="21"/>
              </w:rPr>
              <w:t>（20分）</w:t>
            </w:r>
          </w:p>
        </w:tc>
        <w:tc>
          <w:tcPr>
            <w:tcW w:w="1148"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89476CD">
            <w:pPr>
              <w:jc w:val="center"/>
              <w:rPr>
                <w:color w:val="000000"/>
                <w:sz w:val="21"/>
                <w:szCs w:val="21"/>
              </w:rPr>
            </w:pPr>
            <w:r>
              <w:rPr>
                <w:rFonts w:hint="eastAsia"/>
                <w:color w:val="000000"/>
                <w:sz w:val="21"/>
                <w:szCs w:val="21"/>
              </w:rPr>
              <w:t>经济效益</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5435">
            <w:pPr>
              <w:jc w:val="center"/>
              <w:rPr>
                <w:color w:val="000000"/>
                <w:sz w:val="21"/>
                <w:szCs w:val="21"/>
              </w:rPr>
            </w:pPr>
            <w:r>
              <w:rPr>
                <w:rFonts w:hint="eastAsia"/>
                <w:color w:val="000000"/>
                <w:sz w:val="21"/>
                <w:szCs w:val="21"/>
              </w:rPr>
              <w:t>旅游收入增长幅度</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1B55">
            <w:pPr>
              <w:jc w:val="center"/>
              <w:rPr>
                <w:color w:val="000000"/>
                <w:sz w:val="21"/>
                <w:szCs w:val="21"/>
              </w:rPr>
            </w:pPr>
            <w:r>
              <w:rPr>
                <w:rFonts w:hint="eastAsia"/>
                <w:color w:val="000000"/>
                <w:sz w:val="21"/>
                <w:szCs w:val="21"/>
              </w:rPr>
              <w:t>2</w:t>
            </w:r>
          </w:p>
        </w:tc>
      </w:tr>
      <w:tr w14:paraId="58710E39">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26DA791B">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6B07A836">
            <w:pPr>
              <w:jc w:val="center"/>
              <w:rPr>
                <w:color w:val="000000"/>
                <w:sz w:val="21"/>
                <w:szCs w:val="21"/>
              </w:rPr>
            </w:pPr>
            <w:r>
              <w:rPr>
                <w:rFonts w:hint="eastAsia"/>
                <w:color w:val="000000"/>
                <w:sz w:val="21"/>
                <w:szCs w:val="21"/>
              </w:rPr>
              <w:t>社会效益</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95FF">
            <w:pPr>
              <w:jc w:val="center"/>
              <w:rPr>
                <w:color w:val="000000"/>
                <w:sz w:val="21"/>
                <w:szCs w:val="21"/>
              </w:rPr>
            </w:pPr>
            <w:r>
              <w:rPr>
                <w:rFonts w:hint="eastAsia"/>
                <w:color w:val="000000"/>
                <w:sz w:val="21"/>
                <w:szCs w:val="21"/>
              </w:rPr>
              <w:t>提升永济市形象和知名度</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5DB1">
            <w:pPr>
              <w:jc w:val="center"/>
              <w:rPr>
                <w:color w:val="000000"/>
                <w:sz w:val="21"/>
                <w:szCs w:val="21"/>
              </w:rPr>
            </w:pPr>
            <w:r>
              <w:rPr>
                <w:rFonts w:hint="eastAsia"/>
                <w:color w:val="000000"/>
                <w:sz w:val="21"/>
                <w:szCs w:val="21"/>
              </w:rPr>
              <w:t>2</w:t>
            </w:r>
          </w:p>
        </w:tc>
      </w:tr>
      <w:tr w14:paraId="7DBF4BBE">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3FF5302E">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7A91765A">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9B01">
            <w:pPr>
              <w:jc w:val="center"/>
              <w:rPr>
                <w:color w:val="000000"/>
                <w:sz w:val="21"/>
                <w:szCs w:val="21"/>
              </w:rPr>
            </w:pPr>
            <w:r>
              <w:rPr>
                <w:rFonts w:hint="eastAsia"/>
                <w:color w:val="000000"/>
                <w:sz w:val="21"/>
                <w:szCs w:val="21"/>
              </w:rPr>
              <w:t>文化传承与保护</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8CD3">
            <w:pPr>
              <w:jc w:val="center"/>
              <w:rPr>
                <w:color w:val="000000"/>
                <w:sz w:val="21"/>
                <w:szCs w:val="21"/>
              </w:rPr>
            </w:pPr>
            <w:r>
              <w:rPr>
                <w:rFonts w:hint="eastAsia"/>
                <w:color w:val="000000"/>
                <w:sz w:val="21"/>
                <w:szCs w:val="21"/>
              </w:rPr>
              <w:t>2</w:t>
            </w:r>
          </w:p>
        </w:tc>
      </w:tr>
      <w:tr w14:paraId="1A381C68">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50CAB7A1">
            <w:pPr>
              <w:jc w:val="center"/>
              <w:rPr>
                <w:color w:val="000000"/>
                <w:sz w:val="21"/>
                <w:szCs w:val="21"/>
              </w:rPr>
            </w:pPr>
          </w:p>
        </w:tc>
        <w:tc>
          <w:tcPr>
            <w:tcW w:w="1148" w:type="pct"/>
            <w:vMerge w:val="continue"/>
            <w:tcBorders>
              <w:left w:val="single" w:color="000000" w:sz="4" w:space="0"/>
              <w:bottom w:val="single" w:color="auto" w:sz="4" w:space="0"/>
              <w:right w:val="single" w:color="000000" w:sz="4" w:space="0"/>
            </w:tcBorders>
            <w:shd w:val="clear" w:color="auto" w:fill="auto"/>
            <w:noWrap/>
            <w:vAlign w:val="center"/>
          </w:tcPr>
          <w:p w14:paraId="5A7415E8">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7398">
            <w:pPr>
              <w:jc w:val="center"/>
              <w:rPr>
                <w:color w:val="000000"/>
                <w:sz w:val="21"/>
                <w:szCs w:val="21"/>
              </w:rPr>
            </w:pPr>
            <w:r>
              <w:rPr>
                <w:rFonts w:hint="eastAsia"/>
                <w:color w:val="000000"/>
                <w:sz w:val="21"/>
                <w:szCs w:val="21"/>
              </w:rPr>
              <w:t>丰富民众的精神生活</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3390">
            <w:pPr>
              <w:jc w:val="center"/>
              <w:rPr>
                <w:color w:val="000000"/>
                <w:sz w:val="21"/>
                <w:szCs w:val="21"/>
              </w:rPr>
            </w:pPr>
            <w:r>
              <w:rPr>
                <w:rFonts w:hint="eastAsia"/>
                <w:color w:val="000000"/>
                <w:sz w:val="21"/>
                <w:szCs w:val="21"/>
              </w:rPr>
              <w:t>2</w:t>
            </w:r>
          </w:p>
        </w:tc>
      </w:tr>
      <w:tr w14:paraId="71E621F1">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3B0A65C2">
            <w:pPr>
              <w:jc w:val="center"/>
              <w:rPr>
                <w:color w:val="000000"/>
                <w:sz w:val="21"/>
                <w:szCs w:val="21"/>
              </w:rPr>
            </w:pPr>
          </w:p>
        </w:tc>
        <w:tc>
          <w:tcPr>
            <w:tcW w:w="1148"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4DE2E73">
            <w:pPr>
              <w:jc w:val="center"/>
              <w:rPr>
                <w:color w:val="000000"/>
                <w:sz w:val="21"/>
                <w:szCs w:val="21"/>
              </w:rPr>
            </w:pPr>
            <w:r>
              <w:rPr>
                <w:rFonts w:hint="eastAsia"/>
                <w:color w:val="000000"/>
                <w:sz w:val="21"/>
                <w:szCs w:val="21"/>
              </w:rPr>
              <w:t>可持续性</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17A9">
            <w:pPr>
              <w:jc w:val="center"/>
              <w:rPr>
                <w:color w:val="000000"/>
                <w:sz w:val="21"/>
                <w:szCs w:val="21"/>
              </w:rPr>
            </w:pPr>
            <w:r>
              <w:rPr>
                <w:rFonts w:hint="eastAsia"/>
                <w:color w:val="000000"/>
                <w:sz w:val="21"/>
                <w:szCs w:val="21"/>
              </w:rPr>
              <w:t>体制机制改革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D8A5">
            <w:pPr>
              <w:jc w:val="center"/>
              <w:rPr>
                <w:color w:val="000000"/>
                <w:sz w:val="21"/>
                <w:szCs w:val="21"/>
              </w:rPr>
            </w:pPr>
            <w:r>
              <w:rPr>
                <w:rFonts w:hint="eastAsia"/>
                <w:color w:val="000000"/>
                <w:sz w:val="21"/>
                <w:szCs w:val="21"/>
              </w:rPr>
              <w:t>2</w:t>
            </w:r>
          </w:p>
        </w:tc>
      </w:tr>
      <w:tr w14:paraId="0CC2730B">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3172A884">
            <w:pPr>
              <w:jc w:val="center"/>
              <w:rPr>
                <w:color w:val="000000"/>
                <w:sz w:val="21"/>
                <w:szCs w:val="21"/>
              </w:rPr>
            </w:pPr>
          </w:p>
        </w:tc>
        <w:tc>
          <w:tcPr>
            <w:tcW w:w="1148"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ECA9672">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1CEF">
            <w:pPr>
              <w:jc w:val="center"/>
              <w:rPr>
                <w:color w:val="000000"/>
                <w:sz w:val="21"/>
                <w:szCs w:val="21"/>
              </w:rPr>
            </w:pPr>
            <w:r>
              <w:rPr>
                <w:rFonts w:hint="eastAsia"/>
                <w:color w:val="000000"/>
                <w:sz w:val="21"/>
                <w:szCs w:val="21"/>
              </w:rPr>
              <w:t>干部队伍建设</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6F7B">
            <w:pPr>
              <w:jc w:val="center"/>
              <w:rPr>
                <w:color w:val="000000"/>
                <w:sz w:val="21"/>
                <w:szCs w:val="21"/>
              </w:rPr>
            </w:pPr>
            <w:r>
              <w:rPr>
                <w:rFonts w:hint="eastAsia"/>
                <w:color w:val="000000"/>
                <w:sz w:val="21"/>
                <w:szCs w:val="21"/>
              </w:rPr>
              <w:t>2</w:t>
            </w:r>
          </w:p>
        </w:tc>
      </w:tr>
      <w:tr w14:paraId="3532856A">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48D1CEA3">
            <w:pPr>
              <w:jc w:val="center"/>
              <w:rPr>
                <w:color w:val="000000"/>
                <w:sz w:val="21"/>
                <w:szCs w:val="21"/>
              </w:rPr>
            </w:pPr>
          </w:p>
        </w:tc>
        <w:tc>
          <w:tcPr>
            <w:tcW w:w="1148" w:type="pct"/>
            <w:vMerge w:val="restart"/>
            <w:tcBorders>
              <w:top w:val="single" w:color="auto" w:sz="4" w:space="0"/>
              <w:left w:val="single" w:color="000000" w:sz="4" w:space="0"/>
              <w:right w:val="single" w:color="000000" w:sz="4" w:space="0"/>
            </w:tcBorders>
            <w:shd w:val="clear" w:color="auto" w:fill="auto"/>
            <w:noWrap/>
            <w:vAlign w:val="center"/>
          </w:tcPr>
          <w:p w14:paraId="19694B8C">
            <w:pPr>
              <w:jc w:val="center"/>
              <w:rPr>
                <w:color w:val="000000"/>
                <w:sz w:val="21"/>
                <w:szCs w:val="21"/>
              </w:rPr>
            </w:pPr>
            <w:r>
              <w:rPr>
                <w:rFonts w:hint="eastAsia"/>
                <w:color w:val="000000"/>
                <w:sz w:val="21"/>
                <w:szCs w:val="21"/>
              </w:rPr>
              <w:t>满意度</w:t>
            </w: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AD27">
            <w:pPr>
              <w:jc w:val="center"/>
              <w:rPr>
                <w:color w:val="000000"/>
                <w:sz w:val="21"/>
                <w:szCs w:val="21"/>
              </w:rPr>
            </w:pPr>
            <w:r>
              <w:rPr>
                <w:rFonts w:hint="eastAsia"/>
                <w:color w:val="000000"/>
                <w:sz w:val="21"/>
                <w:szCs w:val="21"/>
              </w:rPr>
              <w:t>游客满意度</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F7F1">
            <w:pPr>
              <w:jc w:val="center"/>
              <w:rPr>
                <w:color w:val="000000"/>
                <w:sz w:val="21"/>
                <w:szCs w:val="21"/>
              </w:rPr>
            </w:pPr>
            <w:r>
              <w:rPr>
                <w:rFonts w:hint="eastAsia"/>
                <w:color w:val="000000"/>
                <w:sz w:val="21"/>
                <w:szCs w:val="21"/>
              </w:rPr>
              <w:t>4</w:t>
            </w:r>
          </w:p>
        </w:tc>
      </w:tr>
      <w:tr w14:paraId="3689A27D">
        <w:tblPrEx>
          <w:tblCellMar>
            <w:top w:w="0" w:type="dxa"/>
            <w:left w:w="108" w:type="dxa"/>
            <w:bottom w:w="0" w:type="dxa"/>
            <w:right w:w="108" w:type="dxa"/>
          </w:tblCellMar>
        </w:tblPrEx>
        <w:trPr>
          <w:trHeight w:val="425" w:hRule="atLeast"/>
        </w:trPr>
        <w:tc>
          <w:tcPr>
            <w:tcW w:w="1017" w:type="pct"/>
            <w:vMerge w:val="continue"/>
            <w:tcBorders>
              <w:left w:val="single" w:color="000000" w:sz="4" w:space="0"/>
              <w:right w:val="single" w:color="000000" w:sz="4" w:space="0"/>
            </w:tcBorders>
            <w:shd w:val="clear" w:color="auto" w:fill="auto"/>
            <w:noWrap/>
            <w:vAlign w:val="center"/>
          </w:tcPr>
          <w:p w14:paraId="43386FE5">
            <w:pPr>
              <w:jc w:val="center"/>
              <w:rPr>
                <w:color w:val="000000"/>
                <w:sz w:val="21"/>
                <w:szCs w:val="21"/>
              </w:rPr>
            </w:pPr>
          </w:p>
        </w:tc>
        <w:tc>
          <w:tcPr>
            <w:tcW w:w="1148" w:type="pct"/>
            <w:vMerge w:val="continue"/>
            <w:tcBorders>
              <w:left w:val="single" w:color="000000" w:sz="4" w:space="0"/>
              <w:right w:val="single" w:color="000000" w:sz="4" w:space="0"/>
            </w:tcBorders>
            <w:shd w:val="clear" w:color="auto" w:fill="auto"/>
            <w:noWrap/>
            <w:vAlign w:val="center"/>
          </w:tcPr>
          <w:p w14:paraId="2DBB8354">
            <w:pPr>
              <w:jc w:val="center"/>
              <w:rPr>
                <w:color w:val="000000"/>
                <w:sz w:val="21"/>
                <w:szCs w:val="21"/>
              </w:rPr>
            </w:pPr>
          </w:p>
        </w:tc>
        <w:tc>
          <w:tcPr>
            <w:tcW w:w="19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9D2F">
            <w:pPr>
              <w:jc w:val="center"/>
              <w:rPr>
                <w:color w:val="000000"/>
                <w:sz w:val="21"/>
                <w:szCs w:val="21"/>
              </w:rPr>
            </w:pPr>
            <w:r>
              <w:rPr>
                <w:rFonts w:hint="eastAsia"/>
                <w:color w:val="000000"/>
                <w:sz w:val="21"/>
                <w:szCs w:val="21"/>
              </w:rPr>
              <w:t>管理对象满意度</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845F">
            <w:pPr>
              <w:jc w:val="center"/>
              <w:rPr>
                <w:color w:val="000000"/>
                <w:sz w:val="21"/>
                <w:szCs w:val="21"/>
              </w:rPr>
            </w:pPr>
            <w:r>
              <w:rPr>
                <w:rFonts w:hint="eastAsia"/>
                <w:color w:val="000000"/>
                <w:sz w:val="21"/>
                <w:szCs w:val="21"/>
              </w:rPr>
              <w:t>4</w:t>
            </w:r>
          </w:p>
        </w:tc>
      </w:tr>
      <w:tr w14:paraId="57BA6B1A">
        <w:tblPrEx>
          <w:tblCellMar>
            <w:top w:w="0" w:type="dxa"/>
            <w:left w:w="108" w:type="dxa"/>
            <w:bottom w:w="0" w:type="dxa"/>
            <w:right w:w="108" w:type="dxa"/>
          </w:tblCellMar>
        </w:tblPrEx>
        <w:trPr>
          <w:trHeight w:val="425" w:hRule="atLeast"/>
        </w:trPr>
        <w:tc>
          <w:tcPr>
            <w:tcW w:w="407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0BCE">
            <w:pPr>
              <w:jc w:val="center"/>
              <w:rPr>
                <w:color w:val="000000"/>
                <w:sz w:val="21"/>
                <w:szCs w:val="21"/>
              </w:rPr>
            </w:pPr>
            <w:r>
              <w:rPr>
                <w:rFonts w:hint="eastAsia"/>
                <w:color w:val="000000"/>
                <w:sz w:val="21"/>
                <w:szCs w:val="21"/>
              </w:rPr>
              <w:t>合计</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9B9D">
            <w:pPr>
              <w:jc w:val="center"/>
              <w:rPr>
                <w:color w:val="000000"/>
                <w:sz w:val="21"/>
                <w:szCs w:val="21"/>
              </w:rPr>
            </w:pPr>
            <w:r>
              <w:rPr>
                <w:rFonts w:hint="eastAsia"/>
                <w:color w:val="000000"/>
                <w:sz w:val="21"/>
                <w:szCs w:val="21"/>
              </w:rPr>
              <w:t>100</w:t>
            </w:r>
          </w:p>
        </w:tc>
      </w:tr>
    </w:tbl>
    <w:p w14:paraId="3DDE3AA1">
      <w:pPr>
        <w:widowControl w:val="0"/>
        <w:spacing w:line="560" w:lineRule="exact"/>
        <w:ind w:firstLine="560" w:firstLineChars="200"/>
        <w:rPr>
          <w:highlight w:val="yellow"/>
        </w:rPr>
      </w:pPr>
      <w:r>
        <w:rPr>
          <w:rFonts w:hint="eastAsia"/>
        </w:rPr>
        <w:t>具体评价指标解释、评分依据、评分标准见附件1。</w:t>
      </w:r>
    </w:p>
    <w:p w14:paraId="556A1177">
      <w:pPr>
        <w:pStyle w:val="3"/>
        <w:ind w:firstLine="562"/>
      </w:pPr>
      <w:bookmarkStart w:id="276" w:name="_Toc180138879"/>
      <w:bookmarkStart w:id="277" w:name="_Toc32001"/>
      <w:bookmarkStart w:id="278" w:name="_Toc15902"/>
      <w:bookmarkStart w:id="279" w:name="_Toc7482_WPSOffice_Level2"/>
      <w:bookmarkStart w:id="280" w:name="_Toc30882"/>
      <w:bookmarkStart w:id="281" w:name="_Toc11475"/>
      <w:bookmarkStart w:id="282" w:name="_Toc4789"/>
      <w:bookmarkStart w:id="283" w:name="_Toc180503504"/>
      <w:bookmarkStart w:id="284" w:name="_Toc19793"/>
      <w:bookmarkStart w:id="285" w:name="_Toc26252"/>
      <w:r>
        <w:rPr>
          <w:rFonts w:hint="eastAsia"/>
        </w:rPr>
        <w:t>（五）绩效评价的分值评级</w:t>
      </w:r>
      <w:bookmarkEnd w:id="262"/>
      <w:bookmarkEnd w:id="263"/>
      <w:bookmarkEnd w:id="264"/>
      <w:bookmarkEnd w:id="265"/>
      <w:bookmarkEnd w:id="266"/>
      <w:bookmarkEnd w:id="267"/>
      <w:bookmarkEnd w:id="276"/>
      <w:bookmarkEnd w:id="277"/>
      <w:bookmarkEnd w:id="278"/>
      <w:bookmarkEnd w:id="279"/>
      <w:bookmarkEnd w:id="280"/>
      <w:bookmarkEnd w:id="281"/>
      <w:bookmarkEnd w:id="282"/>
      <w:bookmarkEnd w:id="283"/>
      <w:bookmarkEnd w:id="284"/>
      <w:bookmarkEnd w:id="285"/>
    </w:p>
    <w:p w14:paraId="13C477F2">
      <w:pPr>
        <w:widowControl w:val="0"/>
        <w:spacing w:line="560" w:lineRule="exact"/>
        <w:ind w:firstLine="560" w:firstLineChars="200"/>
      </w:pPr>
      <w:r>
        <w:rPr>
          <w:rFonts w:hint="eastAsia"/>
        </w:rPr>
        <w:t>项目评价结果分为优、良、中、差四个档次，根据评价分值，确定评价对象对应的档次。具体分值与档次见表2-2：</w:t>
      </w:r>
    </w:p>
    <w:p w14:paraId="1FB1CC6C">
      <w:pPr>
        <w:pStyle w:val="8"/>
        <w:widowControl w:val="0"/>
        <w:spacing w:afterLines="20"/>
        <w:ind w:firstLine="562"/>
        <w:jc w:val="center"/>
        <w:rPr>
          <w:rFonts w:ascii="仿宋" w:hAnsi="仿宋"/>
          <w:b/>
          <w:bCs/>
        </w:rPr>
      </w:pPr>
      <w:r>
        <w:rPr>
          <w:rFonts w:hint="eastAsia" w:ascii="仿宋" w:hAnsi="仿宋"/>
          <w:b/>
        </w:rPr>
        <w:t>表2-</w:t>
      </w:r>
      <w:r>
        <w:rPr>
          <w:rFonts w:hint="eastAsia" w:ascii="仿宋"/>
          <w:b/>
        </w:rPr>
        <w:t xml:space="preserve">2 </w:t>
      </w:r>
      <w:r>
        <w:rPr>
          <w:rFonts w:hint="eastAsia" w:ascii="仿宋" w:hAnsi="仿宋"/>
          <w:b/>
        </w:rPr>
        <w:t>评价分值与评价等级表</w:t>
      </w:r>
    </w:p>
    <w:tbl>
      <w:tblPr>
        <w:tblStyle w:val="24"/>
        <w:tblW w:w="4911" w:type="pct"/>
        <w:jc w:val="center"/>
        <w:tblLayout w:type="autofit"/>
        <w:tblCellMar>
          <w:top w:w="0" w:type="dxa"/>
          <w:left w:w="0" w:type="dxa"/>
          <w:bottom w:w="0" w:type="dxa"/>
          <w:right w:w="0" w:type="dxa"/>
        </w:tblCellMar>
      </w:tblPr>
      <w:tblGrid>
        <w:gridCol w:w="1634"/>
        <w:gridCol w:w="1634"/>
        <w:gridCol w:w="1634"/>
        <w:gridCol w:w="1635"/>
        <w:gridCol w:w="1635"/>
      </w:tblGrid>
      <w:tr w14:paraId="0835821E">
        <w:tblPrEx>
          <w:tblCellMar>
            <w:top w:w="0" w:type="dxa"/>
            <w:left w:w="0" w:type="dxa"/>
            <w:bottom w:w="0" w:type="dxa"/>
            <w:right w:w="0" w:type="dxa"/>
          </w:tblCellMar>
        </w:tblPrEx>
        <w:trPr>
          <w:trHeight w:val="510" w:hRule="atLeast"/>
          <w:jc w:val="center"/>
        </w:trPr>
        <w:tc>
          <w:tcPr>
            <w:tcW w:w="100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4CD28F27">
            <w:pPr>
              <w:widowControl w:val="0"/>
              <w:jc w:val="center"/>
              <w:textAlignment w:val="center"/>
              <w:rPr>
                <w:b/>
                <w:bCs/>
                <w:sz w:val="21"/>
                <w:szCs w:val="21"/>
              </w:rPr>
            </w:pPr>
            <w:bookmarkStart w:id="286" w:name="_Toc206492829"/>
            <w:bookmarkStart w:id="287" w:name="_Toc255918133"/>
            <w:bookmarkStart w:id="288" w:name="_Toc256631237"/>
            <w:r>
              <w:rPr>
                <w:rFonts w:hint="eastAsia"/>
                <w:b/>
                <w:kern w:val="0"/>
                <w:sz w:val="21"/>
                <w:szCs w:val="21"/>
              </w:rPr>
              <w:t>等级</w:t>
            </w:r>
          </w:p>
        </w:tc>
        <w:tc>
          <w:tcPr>
            <w:tcW w:w="100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4A47F245">
            <w:pPr>
              <w:widowControl w:val="0"/>
              <w:jc w:val="center"/>
              <w:textAlignment w:val="center"/>
              <w:rPr>
                <w:b/>
                <w:bCs/>
                <w:sz w:val="21"/>
                <w:szCs w:val="21"/>
              </w:rPr>
            </w:pPr>
            <w:r>
              <w:rPr>
                <w:rFonts w:hint="eastAsia"/>
                <w:b/>
                <w:kern w:val="0"/>
                <w:sz w:val="21"/>
                <w:szCs w:val="21"/>
              </w:rPr>
              <w:t>优</w:t>
            </w:r>
          </w:p>
        </w:tc>
        <w:tc>
          <w:tcPr>
            <w:tcW w:w="100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63F842A4">
            <w:pPr>
              <w:widowControl w:val="0"/>
              <w:jc w:val="center"/>
              <w:textAlignment w:val="center"/>
              <w:rPr>
                <w:b/>
                <w:bCs/>
                <w:sz w:val="21"/>
                <w:szCs w:val="21"/>
              </w:rPr>
            </w:pPr>
            <w:r>
              <w:rPr>
                <w:rFonts w:hint="eastAsia"/>
                <w:b/>
                <w:kern w:val="0"/>
                <w:sz w:val="21"/>
                <w:szCs w:val="21"/>
              </w:rPr>
              <w:t>良</w:t>
            </w:r>
          </w:p>
        </w:tc>
        <w:tc>
          <w:tcPr>
            <w:tcW w:w="100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24A562B7">
            <w:pPr>
              <w:widowControl w:val="0"/>
              <w:jc w:val="center"/>
              <w:textAlignment w:val="center"/>
              <w:rPr>
                <w:b/>
                <w:bCs/>
                <w:sz w:val="21"/>
                <w:szCs w:val="21"/>
              </w:rPr>
            </w:pPr>
            <w:r>
              <w:rPr>
                <w:rFonts w:hint="eastAsia"/>
                <w:b/>
                <w:kern w:val="0"/>
                <w:sz w:val="21"/>
                <w:szCs w:val="21"/>
              </w:rPr>
              <w:t>中</w:t>
            </w:r>
          </w:p>
        </w:tc>
        <w:tc>
          <w:tcPr>
            <w:tcW w:w="100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2975426C">
            <w:pPr>
              <w:widowControl w:val="0"/>
              <w:jc w:val="center"/>
              <w:textAlignment w:val="center"/>
              <w:rPr>
                <w:b/>
                <w:bCs/>
                <w:sz w:val="21"/>
                <w:szCs w:val="21"/>
              </w:rPr>
            </w:pPr>
            <w:r>
              <w:rPr>
                <w:rFonts w:hint="eastAsia"/>
                <w:b/>
                <w:kern w:val="0"/>
                <w:sz w:val="21"/>
                <w:szCs w:val="21"/>
              </w:rPr>
              <w:t>差</w:t>
            </w:r>
          </w:p>
        </w:tc>
      </w:tr>
      <w:tr w14:paraId="0BCDAF7D">
        <w:tblPrEx>
          <w:tblCellMar>
            <w:top w:w="0" w:type="dxa"/>
            <w:left w:w="0" w:type="dxa"/>
            <w:bottom w:w="0" w:type="dxa"/>
            <w:right w:w="0" w:type="dxa"/>
          </w:tblCellMar>
        </w:tblPrEx>
        <w:trPr>
          <w:trHeight w:val="510" w:hRule="atLeast"/>
          <w:jc w:val="center"/>
        </w:trPr>
        <w:tc>
          <w:tcPr>
            <w:tcW w:w="100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907842">
            <w:pPr>
              <w:widowControl w:val="0"/>
              <w:jc w:val="center"/>
              <w:textAlignment w:val="center"/>
              <w:rPr>
                <w:sz w:val="21"/>
                <w:szCs w:val="21"/>
              </w:rPr>
            </w:pPr>
            <w:r>
              <w:rPr>
                <w:rFonts w:hint="eastAsia"/>
                <w:kern w:val="0"/>
                <w:sz w:val="21"/>
                <w:szCs w:val="21"/>
              </w:rPr>
              <w:t>分值</w:t>
            </w:r>
          </w:p>
        </w:tc>
        <w:tc>
          <w:tcPr>
            <w:tcW w:w="100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5317C1">
            <w:pPr>
              <w:widowControl w:val="0"/>
              <w:jc w:val="center"/>
              <w:textAlignment w:val="center"/>
              <w:rPr>
                <w:sz w:val="21"/>
                <w:szCs w:val="21"/>
              </w:rPr>
            </w:pPr>
            <w:r>
              <w:rPr>
                <w:rFonts w:hint="eastAsia"/>
                <w:kern w:val="0"/>
                <w:sz w:val="21"/>
                <w:szCs w:val="21"/>
              </w:rPr>
              <w:t>≥90</w:t>
            </w:r>
          </w:p>
        </w:tc>
        <w:tc>
          <w:tcPr>
            <w:tcW w:w="100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67CA9C">
            <w:pPr>
              <w:widowControl w:val="0"/>
              <w:jc w:val="center"/>
              <w:textAlignment w:val="center"/>
              <w:rPr>
                <w:sz w:val="21"/>
                <w:szCs w:val="21"/>
              </w:rPr>
            </w:pPr>
            <w:r>
              <w:rPr>
                <w:rFonts w:hint="eastAsia"/>
                <w:kern w:val="0"/>
                <w:sz w:val="21"/>
                <w:szCs w:val="21"/>
              </w:rPr>
              <w:t>≥80，＜90</w:t>
            </w:r>
          </w:p>
        </w:tc>
        <w:tc>
          <w:tcPr>
            <w:tcW w:w="100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D6B3D9A">
            <w:pPr>
              <w:widowControl w:val="0"/>
              <w:jc w:val="center"/>
              <w:textAlignment w:val="center"/>
              <w:rPr>
                <w:sz w:val="21"/>
                <w:szCs w:val="21"/>
              </w:rPr>
            </w:pPr>
            <w:r>
              <w:rPr>
                <w:rFonts w:hint="eastAsia"/>
                <w:kern w:val="0"/>
                <w:sz w:val="21"/>
                <w:szCs w:val="21"/>
              </w:rPr>
              <w:t>≥60，＜80</w:t>
            </w:r>
          </w:p>
        </w:tc>
        <w:tc>
          <w:tcPr>
            <w:tcW w:w="100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D7947D">
            <w:pPr>
              <w:widowControl w:val="0"/>
              <w:jc w:val="center"/>
              <w:textAlignment w:val="center"/>
              <w:rPr>
                <w:sz w:val="21"/>
                <w:szCs w:val="21"/>
              </w:rPr>
            </w:pPr>
            <w:r>
              <w:rPr>
                <w:rFonts w:hint="eastAsia"/>
                <w:kern w:val="0"/>
                <w:sz w:val="21"/>
                <w:szCs w:val="21"/>
              </w:rPr>
              <w:t>＜60</w:t>
            </w:r>
          </w:p>
        </w:tc>
      </w:tr>
    </w:tbl>
    <w:p w14:paraId="1266DA70">
      <w:pPr>
        <w:pStyle w:val="3"/>
        <w:ind w:firstLine="562"/>
        <w:rPr>
          <w:bCs/>
        </w:rPr>
      </w:pPr>
      <w:bookmarkStart w:id="289" w:name="_Toc180503505"/>
      <w:bookmarkStart w:id="290" w:name="_Toc180138880"/>
      <w:bookmarkStart w:id="291" w:name="_Toc15517"/>
      <w:bookmarkStart w:id="292" w:name="_Toc10081"/>
      <w:bookmarkStart w:id="293" w:name="_Toc17809"/>
      <w:bookmarkStart w:id="294" w:name="_Toc10448"/>
      <w:bookmarkStart w:id="295" w:name="_Toc30705"/>
      <w:bookmarkStart w:id="296" w:name="_Toc3538"/>
      <w:bookmarkStart w:id="297" w:name="_Toc30579_WPSOffice_Level2"/>
      <w:bookmarkStart w:id="298" w:name="_Toc23637"/>
      <w:bookmarkStart w:id="299" w:name="_Toc61_WPSOffice_Level1"/>
      <w:bookmarkStart w:id="300" w:name="_Toc25180"/>
      <w:r>
        <w:rPr>
          <w:rFonts w:hint="eastAsia"/>
        </w:rPr>
        <w:t>（六）评价的组织及实施</w:t>
      </w:r>
      <w:bookmarkEnd w:id="289"/>
      <w:bookmarkEnd w:id="290"/>
      <w:bookmarkEnd w:id="291"/>
      <w:bookmarkEnd w:id="292"/>
      <w:bookmarkEnd w:id="293"/>
      <w:bookmarkEnd w:id="294"/>
      <w:bookmarkEnd w:id="295"/>
      <w:bookmarkEnd w:id="296"/>
      <w:bookmarkEnd w:id="297"/>
      <w:bookmarkEnd w:id="298"/>
    </w:p>
    <w:bookmarkEnd w:id="299"/>
    <w:bookmarkEnd w:id="300"/>
    <w:p w14:paraId="711A772D">
      <w:pPr>
        <w:widowControl w:val="0"/>
        <w:spacing w:line="560" w:lineRule="exact"/>
        <w:ind w:firstLine="562" w:firstLineChars="200"/>
        <w:outlineLvl w:val="3"/>
        <w:rPr>
          <w:b/>
          <w:bCs/>
        </w:rPr>
      </w:pPr>
      <w:bookmarkStart w:id="301" w:name="_Toc28969_WPSOffice_Level3"/>
      <w:bookmarkStart w:id="302" w:name="_Toc16615"/>
      <w:bookmarkStart w:id="303" w:name="_Toc17341_WPSOffice_Level1"/>
      <w:bookmarkStart w:id="304" w:name="_Toc28462"/>
      <w:bookmarkStart w:id="305" w:name="_Toc13350_WPSOffice_Level1"/>
      <w:bookmarkStart w:id="306" w:name="_Toc2352"/>
      <w:bookmarkStart w:id="307" w:name="_Toc12001"/>
      <w:bookmarkStart w:id="308" w:name="_Toc3832"/>
      <w:r>
        <w:rPr>
          <w:rFonts w:hint="eastAsia"/>
          <w:b/>
          <w:bCs/>
        </w:rPr>
        <w:t>1.评价工作组人员及分工</w:t>
      </w:r>
      <w:bookmarkEnd w:id="301"/>
      <w:bookmarkEnd w:id="302"/>
    </w:p>
    <w:p w14:paraId="6D8B0D85">
      <w:pPr>
        <w:widowControl w:val="0"/>
        <w:spacing w:line="560" w:lineRule="exact"/>
        <w:ind w:firstLine="560" w:firstLineChars="200"/>
      </w:pPr>
      <w:r>
        <w:rPr>
          <w:rFonts w:hint="eastAsia"/>
        </w:rPr>
        <w:t>根据永济市文化和旅游局2023年度整体支出的情况，成立绩效评价工作组。</w:t>
      </w:r>
    </w:p>
    <w:p w14:paraId="68D80A72">
      <w:pPr>
        <w:widowControl w:val="0"/>
        <w:spacing w:line="560" w:lineRule="exact"/>
        <w:ind w:firstLine="560" w:firstLineChars="200"/>
      </w:pPr>
      <w:r>
        <w:rPr>
          <w:rFonts w:hint="eastAsia"/>
        </w:rPr>
        <w:t>本次绩效评价工作组成员名单见表2-3：</w:t>
      </w:r>
    </w:p>
    <w:p w14:paraId="52C6C702">
      <w:pPr>
        <w:spacing w:afterLines="30" w:line="560" w:lineRule="exact"/>
        <w:jc w:val="center"/>
      </w:pPr>
      <w:bookmarkStart w:id="309" w:name="_Toc30640_WPSOffice_Level3"/>
      <w:r>
        <w:rPr>
          <w:rFonts w:hint="eastAsia"/>
          <w:b/>
        </w:rPr>
        <w:t>表2-3评价组成员分工表</w:t>
      </w:r>
      <w:bookmarkEnd w:id="309"/>
    </w:p>
    <w:tbl>
      <w:tblPr>
        <w:tblStyle w:val="24"/>
        <w:tblW w:w="8984" w:type="dxa"/>
        <w:jc w:val="center"/>
        <w:tblLayout w:type="fixed"/>
        <w:tblCellMar>
          <w:top w:w="0" w:type="dxa"/>
          <w:left w:w="108" w:type="dxa"/>
          <w:bottom w:w="0" w:type="dxa"/>
          <w:right w:w="108" w:type="dxa"/>
        </w:tblCellMar>
      </w:tblPr>
      <w:tblGrid>
        <w:gridCol w:w="789"/>
        <w:gridCol w:w="978"/>
        <w:gridCol w:w="1400"/>
        <w:gridCol w:w="1842"/>
        <w:gridCol w:w="3975"/>
      </w:tblGrid>
      <w:tr w14:paraId="301F7BAA">
        <w:tblPrEx>
          <w:tblCellMar>
            <w:top w:w="0" w:type="dxa"/>
            <w:left w:w="108" w:type="dxa"/>
            <w:bottom w:w="0" w:type="dxa"/>
            <w:right w:w="108" w:type="dxa"/>
          </w:tblCellMar>
        </w:tblPrEx>
        <w:trPr>
          <w:trHeight w:val="794" w:hRule="atLeast"/>
          <w:tblHeader/>
          <w:jc w:val="center"/>
        </w:trPr>
        <w:tc>
          <w:tcPr>
            <w:tcW w:w="789"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14:paraId="1B41E0C4">
            <w:pPr>
              <w:spacing w:line="300" w:lineRule="exact"/>
              <w:jc w:val="center"/>
              <w:rPr>
                <w:rFonts w:cs="宋体"/>
                <w:b/>
                <w:bCs/>
                <w:kern w:val="0"/>
                <w:sz w:val="21"/>
                <w:szCs w:val="21"/>
              </w:rPr>
            </w:pPr>
            <w:bookmarkStart w:id="310" w:name="_Toc26280_WPSOffice_Level3"/>
            <w:r>
              <w:rPr>
                <w:rFonts w:hint="eastAsia" w:cs="宋体"/>
                <w:b/>
                <w:bCs/>
                <w:kern w:val="0"/>
                <w:sz w:val="21"/>
                <w:szCs w:val="21"/>
              </w:rPr>
              <w:t>序号</w:t>
            </w:r>
          </w:p>
        </w:tc>
        <w:tc>
          <w:tcPr>
            <w:tcW w:w="978"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14:paraId="6DF60037">
            <w:pPr>
              <w:spacing w:line="300" w:lineRule="exact"/>
              <w:jc w:val="center"/>
              <w:rPr>
                <w:rFonts w:cs="宋体"/>
                <w:b/>
                <w:bCs/>
                <w:kern w:val="0"/>
                <w:sz w:val="21"/>
                <w:szCs w:val="21"/>
              </w:rPr>
            </w:pPr>
            <w:r>
              <w:rPr>
                <w:rFonts w:hint="eastAsia" w:cs="宋体"/>
                <w:b/>
                <w:bCs/>
                <w:kern w:val="0"/>
                <w:sz w:val="21"/>
                <w:szCs w:val="21"/>
              </w:rPr>
              <w:t>姓  名</w:t>
            </w:r>
          </w:p>
        </w:tc>
        <w:tc>
          <w:tcPr>
            <w:tcW w:w="1400"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14:paraId="5ECB9AAE">
            <w:pPr>
              <w:spacing w:line="300" w:lineRule="exact"/>
              <w:jc w:val="center"/>
              <w:rPr>
                <w:rFonts w:cs="宋体"/>
                <w:b/>
                <w:bCs/>
                <w:kern w:val="0"/>
                <w:sz w:val="21"/>
                <w:szCs w:val="21"/>
              </w:rPr>
            </w:pPr>
            <w:r>
              <w:rPr>
                <w:rFonts w:hint="eastAsia" w:cs="宋体"/>
                <w:b/>
                <w:bCs/>
                <w:kern w:val="0"/>
                <w:sz w:val="21"/>
                <w:szCs w:val="21"/>
              </w:rPr>
              <w:t>在本项目中担任职责</w:t>
            </w:r>
          </w:p>
        </w:tc>
        <w:tc>
          <w:tcPr>
            <w:tcW w:w="1842"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14:paraId="7C312877">
            <w:pPr>
              <w:spacing w:line="300" w:lineRule="exact"/>
              <w:jc w:val="center"/>
              <w:rPr>
                <w:rFonts w:cs="宋体"/>
                <w:b/>
                <w:bCs/>
                <w:kern w:val="0"/>
                <w:sz w:val="21"/>
                <w:szCs w:val="21"/>
              </w:rPr>
            </w:pPr>
            <w:r>
              <w:rPr>
                <w:rFonts w:hint="eastAsia" w:cs="宋体"/>
                <w:b/>
                <w:bCs/>
                <w:kern w:val="0"/>
                <w:sz w:val="21"/>
                <w:szCs w:val="21"/>
              </w:rPr>
              <w:t>技术职称</w:t>
            </w:r>
          </w:p>
        </w:tc>
        <w:tc>
          <w:tcPr>
            <w:tcW w:w="3975"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14:paraId="745963C1">
            <w:pPr>
              <w:spacing w:line="300" w:lineRule="exact"/>
              <w:jc w:val="center"/>
              <w:rPr>
                <w:rFonts w:cs="宋体"/>
                <w:b/>
                <w:bCs/>
                <w:kern w:val="0"/>
                <w:sz w:val="21"/>
                <w:szCs w:val="21"/>
              </w:rPr>
            </w:pPr>
            <w:r>
              <w:rPr>
                <w:rFonts w:hint="eastAsia" w:cs="宋体"/>
                <w:b/>
                <w:bCs/>
                <w:kern w:val="0"/>
                <w:sz w:val="21"/>
                <w:szCs w:val="21"/>
              </w:rPr>
              <w:t>工作内容</w:t>
            </w:r>
          </w:p>
        </w:tc>
      </w:tr>
      <w:tr w14:paraId="63827642">
        <w:tblPrEx>
          <w:tblCellMar>
            <w:top w:w="0" w:type="dxa"/>
            <w:left w:w="108" w:type="dxa"/>
            <w:bottom w:w="0" w:type="dxa"/>
            <w:right w:w="108" w:type="dxa"/>
          </w:tblCellMar>
        </w:tblPrEx>
        <w:trPr>
          <w:trHeight w:val="794" w:hRule="atLeast"/>
          <w:jc w:val="center"/>
        </w:trPr>
        <w:tc>
          <w:tcPr>
            <w:tcW w:w="78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0B40D75">
            <w:pPr>
              <w:spacing w:line="300" w:lineRule="exact"/>
              <w:jc w:val="center"/>
              <w:rPr>
                <w:rFonts w:cs="宋体"/>
                <w:kern w:val="0"/>
                <w:sz w:val="21"/>
                <w:szCs w:val="21"/>
              </w:rPr>
            </w:pPr>
            <w:r>
              <w:rPr>
                <w:rFonts w:hint="eastAsia" w:cs="宋体"/>
                <w:kern w:val="0"/>
                <w:sz w:val="21"/>
                <w:szCs w:val="21"/>
              </w:rPr>
              <w:t>1</w:t>
            </w:r>
          </w:p>
        </w:tc>
        <w:tc>
          <w:tcPr>
            <w:tcW w:w="97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DFD0A">
            <w:pPr>
              <w:spacing w:line="300" w:lineRule="exact"/>
              <w:jc w:val="center"/>
              <w:rPr>
                <w:rFonts w:cs="宋体"/>
                <w:kern w:val="0"/>
                <w:sz w:val="21"/>
                <w:szCs w:val="21"/>
              </w:rPr>
            </w:pPr>
            <w:r>
              <w:rPr>
                <w:rFonts w:hint="eastAsia" w:cs="宋体"/>
                <w:kern w:val="0"/>
                <w:sz w:val="21"/>
                <w:szCs w:val="21"/>
              </w:rPr>
              <w:t>陈创存</w:t>
            </w:r>
          </w:p>
        </w:tc>
        <w:tc>
          <w:tcPr>
            <w:tcW w:w="140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FBD30A">
            <w:pPr>
              <w:spacing w:line="300" w:lineRule="exact"/>
              <w:jc w:val="center"/>
              <w:rPr>
                <w:rFonts w:cs="宋体"/>
                <w:kern w:val="0"/>
                <w:sz w:val="21"/>
                <w:szCs w:val="21"/>
              </w:rPr>
            </w:pPr>
            <w:r>
              <w:rPr>
                <w:rFonts w:hint="eastAsia" w:cs="宋体"/>
                <w:kern w:val="0"/>
                <w:sz w:val="21"/>
                <w:szCs w:val="21"/>
              </w:rPr>
              <w:t>质量控制复核人</w:t>
            </w:r>
          </w:p>
        </w:tc>
        <w:tc>
          <w:tcPr>
            <w:tcW w:w="184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C294AD">
            <w:pPr>
              <w:spacing w:line="300" w:lineRule="exact"/>
              <w:jc w:val="center"/>
              <w:rPr>
                <w:rFonts w:cs="宋体"/>
                <w:kern w:val="0"/>
                <w:sz w:val="21"/>
                <w:szCs w:val="21"/>
              </w:rPr>
            </w:pPr>
            <w:r>
              <w:rPr>
                <w:rFonts w:hint="eastAsia" w:cs="宋体"/>
                <w:kern w:val="0"/>
                <w:sz w:val="21"/>
                <w:szCs w:val="21"/>
              </w:rPr>
              <w:t>注册会计师、</w:t>
            </w:r>
          </w:p>
          <w:p w14:paraId="5C26747D">
            <w:pPr>
              <w:spacing w:line="300" w:lineRule="exact"/>
              <w:jc w:val="center"/>
              <w:rPr>
                <w:rFonts w:cs="宋体"/>
                <w:kern w:val="0"/>
                <w:sz w:val="21"/>
                <w:szCs w:val="21"/>
              </w:rPr>
            </w:pPr>
            <w:r>
              <w:rPr>
                <w:rFonts w:hint="eastAsia" w:cs="宋体"/>
                <w:kern w:val="0"/>
                <w:sz w:val="21"/>
                <w:szCs w:val="21"/>
              </w:rPr>
              <w:t>评估师</w:t>
            </w:r>
          </w:p>
        </w:tc>
        <w:tc>
          <w:tcPr>
            <w:tcW w:w="39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8ED3FB">
            <w:pPr>
              <w:spacing w:line="300" w:lineRule="exact"/>
              <w:jc w:val="left"/>
              <w:rPr>
                <w:rFonts w:cs="宋体"/>
                <w:kern w:val="0"/>
                <w:sz w:val="21"/>
                <w:szCs w:val="21"/>
              </w:rPr>
            </w:pPr>
            <w:r>
              <w:rPr>
                <w:rFonts w:hint="eastAsia" w:cs="宋体"/>
                <w:kern w:val="0"/>
                <w:sz w:val="21"/>
                <w:szCs w:val="21"/>
              </w:rPr>
              <w:t>协调沟通，参与制定实施方案，修改绩效评价报告，督导项目进度和项目质量。</w:t>
            </w:r>
          </w:p>
        </w:tc>
      </w:tr>
      <w:tr w14:paraId="5DF0E385">
        <w:tblPrEx>
          <w:tblCellMar>
            <w:top w:w="0" w:type="dxa"/>
            <w:left w:w="108" w:type="dxa"/>
            <w:bottom w:w="0" w:type="dxa"/>
            <w:right w:w="108" w:type="dxa"/>
          </w:tblCellMar>
        </w:tblPrEx>
        <w:trPr>
          <w:trHeight w:val="794" w:hRule="atLeast"/>
          <w:jc w:val="center"/>
        </w:trPr>
        <w:tc>
          <w:tcPr>
            <w:tcW w:w="78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E602CE">
            <w:pPr>
              <w:spacing w:line="300" w:lineRule="exact"/>
              <w:jc w:val="center"/>
              <w:rPr>
                <w:rFonts w:cs="宋体"/>
                <w:kern w:val="0"/>
                <w:sz w:val="21"/>
                <w:szCs w:val="21"/>
              </w:rPr>
            </w:pPr>
            <w:r>
              <w:rPr>
                <w:rFonts w:hint="eastAsia" w:cs="宋体"/>
                <w:kern w:val="0"/>
                <w:sz w:val="21"/>
                <w:szCs w:val="21"/>
              </w:rPr>
              <w:t>2</w:t>
            </w:r>
          </w:p>
        </w:tc>
        <w:tc>
          <w:tcPr>
            <w:tcW w:w="97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F83A0F">
            <w:pPr>
              <w:spacing w:line="300" w:lineRule="exact"/>
              <w:jc w:val="center"/>
              <w:rPr>
                <w:rFonts w:cs="宋体"/>
                <w:kern w:val="0"/>
                <w:sz w:val="21"/>
                <w:szCs w:val="21"/>
              </w:rPr>
            </w:pPr>
            <w:r>
              <w:rPr>
                <w:rFonts w:hint="eastAsia" w:cs="宋体"/>
                <w:kern w:val="0"/>
                <w:sz w:val="21"/>
                <w:szCs w:val="21"/>
              </w:rPr>
              <w:t>阴文平</w:t>
            </w:r>
          </w:p>
        </w:tc>
        <w:tc>
          <w:tcPr>
            <w:tcW w:w="140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39FC3B">
            <w:pPr>
              <w:spacing w:line="300" w:lineRule="exact"/>
              <w:jc w:val="center"/>
              <w:rPr>
                <w:rFonts w:cs="宋体"/>
                <w:kern w:val="0"/>
                <w:sz w:val="21"/>
                <w:szCs w:val="21"/>
              </w:rPr>
            </w:pPr>
            <w:r>
              <w:rPr>
                <w:rFonts w:hint="eastAsia" w:cs="宋体"/>
                <w:kern w:val="0"/>
                <w:sz w:val="21"/>
                <w:szCs w:val="21"/>
              </w:rPr>
              <w:t>二级复核人</w:t>
            </w:r>
          </w:p>
        </w:tc>
        <w:tc>
          <w:tcPr>
            <w:tcW w:w="184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87BE354">
            <w:pPr>
              <w:spacing w:line="300" w:lineRule="exact"/>
              <w:jc w:val="center"/>
              <w:rPr>
                <w:rFonts w:cs="宋体"/>
                <w:kern w:val="0"/>
                <w:sz w:val="21"/>
                <w:szCs w:val="21"/>
              </w:rPr>
            </w:pPr>
            <w:r>
              <w:rPr>
                <w:rFonts w:hint="eastAsia" w:cs="宋体"/>
                <w:kern w:val="0"/>
                <w:sz w:val="21"/>
                <w:szCs w:val="21"/>
              </w:rPr>
              <w:t>注册会计师、山西注协领军人才</w:t>
            </w:r>
          </w:p>
        </w:tc>
        <w:tc>
          <w:tcPr>
            <w:tcW w:w="39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435CC5">
            <w:pPr>
              <w:spacing w:line="300" w:lineRule="exact"/>
              <w:jc w:val="left"/>
              <w:rPr>
                <w:rFonts w:cs="宋体"/>
                <w:kern w:val="0"/>
                <w:sz w:val="21"/>
                <w:szCs w:val="21"/>
              </w:rPr>
            </w:pPr>
            <w:r>
              <w:rPr>
                <w:rFonts w:hint="eastAsia" w:cs="宋体"/>
                <w:kern w:val="0"/>
                <w:sz w:val="21"/>
                <w:szCs w:val="21"/>
              </w:rPr>
              <w:t>参与制定实施方案，督促各小组按照时间进度执行业务，参与总报告修改，审核总报告。</w:t>
            </w:r>
          </w:p>
        </w:tc>
      </w:tr>
      <w:tr w14:paraId="7D6374AA">
        <w:tblPrEx>
          <w:tblCellMar>
            <w:top w:w="0" w:type="dxa"/>
            <w:left w:w="108" w:type="dxa"/>
            <w:bottom w:w="0" w:type="dxa"/>
            <w:right w:w="108" w:type="dxa"/>
          </w:tblCellMar>
        </w:tblPrEx>
        <w:trPr>
          <w:trHeight w:val="794" w:hRule="atLeast"/>
          <w:jc w:val="center"/>
        </w:trPr>
        <w:tc>
          <w:tcPr>
            <w:tcW w:w="78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BF9281">
            <w:pPr>
              <w:spacing w:line="300" w:lineRule="exact"/>
              <w:jc w:val="center"/>
              <w:rPr>
                <w:rFonts w:cs="宋体"/>
                <w:kern w:val="0"/>
                <w:sz w:val="21"/>
                <w:szCs w:val="21"/>
              </w:rPr>
            </w:pPr>
            <w:r>
              <w:rPr>
                <w:rFonts w:hint="eastAsia" w:cs="宋体"/>
                <w:kern w:val="0"/>
                <w:sz w:val="21"/>
                <w:szCs w:val="21"/>
              </w:rPr>
              <w:t>3</w:t>
            </w:r>
          </w:p>
        </w:tc>
        <w:tc>
          <w:tcPr>
            <w:tcW w:w="97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C3E5CE">
            <w:pPr>
              <w:spacing w:line="300" w:lineRule="exact"/>
              <w:jc w:val="center"/>
              <w:rPr>
                <w:rFonts w:cs="宋体"/>
                <w:kern w:val="0"/>
                <w:sz w:val="21"/>
                <w:szCs w:val="21"/>
              </w:rPr>
            </w:pPr>
            <w:r>
              <w:rPr>
                <w:rFonts w:hint="eastAsia"/>
                <w:spacing w:val="105"/>
                <w:kern w:val="0"/>
                <w:sz w:val="21"/>
                <w:szCs w:val="21"/>
                <w:fitText w:val="630" w:id="1015028680"/>
              </w:rPr>
              <w:t>王</w:t>
            </w:r>
            <w:r>
              <w:rPr>
                <w:rFonts w:hint="eastAsia"/>
                <w:spacing w:val="0"/>
                <w:kern w:val="0"/>
                <w:sz w:val="21"/>
                <w:szCs w:val="21"/>
                <w:fitText w:val="630" w:id="1015028680"/>
              </w:rPr>
              <w:t>晶</w:t>
            </w:r>
          </w:p>
        </w:tc>
        <w:tc>
          <w:tcPr>
            <w:tcW w:w="140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11D537C">
            <w:pPr>
              <w:spacing w:line="300" w:lineRule="exact"/>
              <w:jc w:val="center"/>
              <w:rPr>
                <w:rFonts w:cs="宋体"/>
                <w:kern w:val="0"/>
                <w:sz w:val="21"/>
                <w:szCs w:val="21"/>
              </w:rPr>
            </w:pPr>
            <w:r>
              <w:rPr>
                <w:rFonts w:hint="eastAsia" w:cs="宋体"/>
                <w:kern w:val="0"/>
                <w:sz w:val="21"/>
                <w:szCs w:val="21"/>
              </w:rPr>
              <w:t>主评人/</w:t>
            </w:r>
          </w:p>
          <w:p w14:paraId="3C95EDA6">
            <w:pPr>
              <w:spacing w:line="300" w:lineRule="exact"/>
              <w:jc w:val="center"/>
              <w:rPr>
                <w:rFonts w:cs="宋体"/>
                <w:kern w:val="0"/>
                <w:sz w:val="21"/>
                <w:szCs w:val="21"/>
              </w:rPr>
            </w:pPr>
            <w:r>
              <w:rPr>
                <w:rFonts w:hint="eastAsia" w:cs="宋体"/>
                <w:kern w:val="0"/>
                <w:sz w:val="21"/>
                <w:szCs w:val="21"/>
              </w:rPr>
              <w:t>一级复核人</w:t>
            </w:r>
          </w:p>
        </w:tc>
        <w:tc>
          <w:tcPr>
            <w:tcW w:w="184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774FFB5">
            <w:pPr>
              <w:spacing w:line="300" w:lineRule="exact"/>
              <w:jc w:val="center"/>
              <w:rPr>
                <w:rFonts w:cs="宋体"/>
                <w:kern w:val="0"/>
                <w:sz w:val="21"/>
                <w:szCs w:val="21"/>
              </w:rPr>
            </w:pPr>
            <w:r>
              <w:rPr>
                <w:rFonts w:hint="eastAsia"/>
                <w:kern w:val="0"/>
                <w:sz w:val="21"/>
                <w:szCs w:val="21"/>
              </w:rPr>
              <w:t>注册会计师</w:t>
            </w:r>
          </w:p>
        </w:tc>
        <w:tc>
          <w:tcPr>
            <w:tcW w:w="39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FCE4EF">
            <w:pPr>
              <w:spacing w:line="300" w:lineRule="exact"/>
              <w:jc w:val="left"/>
              <w:rPr>
                <w:rFonts w:cs="宋体"/>
                <w:kern w:val="0"/>
                <w:sz w:val="21"/>
                <w:szCs w:val="21"/>
              </w:rPr>
            </w:pPr>
            <w:r>
              <w:rPr>
                <w:rFonts w:hint="eastAsia"/>
                <w:kern w:val="0"/>
                <w:sz w:val="21"/>
                <w:szCs w:val="21"/>
              </w:rPr>
              <w:t>组织制定方案与现场绩效监控、负责总报告撰写。</w:t>
            </w:r>
          </w:p>
        </w:tc>
      </w:tr>
      <w:tr w14:paraId="527F5FD6">
        <w:tblPrEx>
          <w:tblCellMar>
            <w:top w:w="0" w:type="dxa"/>
            <w:left w:w="108" w:type="dxa"/>
            <w:bottom w:w="0" w:type="dxa"/>
            <w:right w:w="108" w:type="dxa"/>
          </w:tblCellMar>
        </w:tblPrEx>
        <w:trPr>
          <w:trHeight w:val="794" w:hRule="atLeast"/>
          <w:jc w:val="center"/>
        </w:trPr>
        <w:tc>
          <w:tcPr>
            <w:tcW w:w="78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6BD133">
            <w:pPr>
              <w:spacing w:line="300" w:lineRule="exact"/>
              <w:jc w:val="center"/>
              <w:rPr>
                <w:rFonts w:cs="宋体"/>
                <w:kern w:val="0"/>
                <w:sz w:val="21"/>
                <w:szCs w:val="21"/>
              </w:rPr>
            </w:pPr>
            <w:r>
              <w:rPr>
                <w:rFonts w:hint="eastAsia" w:cs="宋体"/>
                <w:kern w:val="0"/>
                <w:sz w:val="21"/>
                <w:szCs w:val="21"/>
              </w:rPr>
              <w:t>4</w:t>
            </w:r>
          </w:p>
        </w:tc>
        <w:tc>
          <w:tcPr>
            <w:tcW w:w="97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43CF63D">
            <w:pPr>
              <w:spacing w:line="300" w:lineRule="exact"/>
              <w:jc w:val="center"/>
              <w:rPr>
                <w:kern w:val="0"/>
                <w:sz w:val="21"/>
                <w:szCs w:val="21"/>
              </w:rPr>
            </w:pPr>
            <w:r>
              <w:rPr>
                <w:rFonts w:hint="eastAsia"/>
                <w:kern w:val="0"/>
                <w:sz w:val="21"/>
                <w:szCs w:val="21"/>
              </w:rPr>
              <w:t>薛丽芳</w:t>
            </w:r>
          </w:p>
        </w:tc>
        <w:tc>
          <w:tcPr>
            <w:tcW w:w="140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35ADC9">
            <w:pPr>
              <w:jc w:val="center"/>
              <w:rPr>
                <w:rFonts w:cs="宋体"/>
                <w:color w:val="000000"/>
                <w:kern w:val="0"/>
                <w:sz w:val="21"/>
                <w:szCs w:val="21"/>
              </w:rPr>
            </w:pPr>
            <w:r>
              <w:rPr>
                <w:rFonts w:hint="eastAsia" w:cs="宋体"/>
                <w:color w:val="000000"/>
                <w:kern w:val="0"/>
                <w:sz w:val="22"/>
                <w:szCs w:val="22"/>
              </w:rPr>
              <w:t>绩效评价组成员</w:t>
            </w:r>
          </w:p>
        </w:tc>
        <w:tc>
          <w:tcPr>
            <w:tcW w:w="184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31380B0">
            <w:pPr>
              <w:spacing w:line="300" w:lineRule="exact"/>
              <w:jc w:val="center"/>
              <w:rPr>
                <w:kern w:val="0"/>
                <w:sz w:val="21"/>
                <w:szCs w:val="21"/>
              </w:rPr>
            </w:pPr>
            <w:r>
              <w:rPr>
                <w:rFonts w:hint="eastAsia"/>
                <w:kern w:val="0"/>
                <w:sz w:val="21"/>
                <w:szCs w:val="21"/>
              </w:rPr>
              <w:t>注册会计师</w:t>
            </w:r>
          </w:p>
        </w:tc>
        <w:tc>
          <w:tcPr>
            <w:tcW w:w="39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54195F">
            <w:pPr>
              <w:spacing w:line="300" w:lineRule="exact"/>
              <w:jc w:val="left"/>
              <w:rPr>
                <w:kern w:val="0"/>
                <w:sz w:val="21"/>
                <w:szCs w:val="21"/>
              </w:rPr>
            </w:pPr>
            <w:r>
              <w:rPr>
                <w:rFonts w:hint="eastAsia"/>
                <w:kern w:val="0"/>
                <w:sz w:val="22"/>
                <w:szCs w:val="22"/>
              </w:rPr>
              <w:t>参与现场绩效监控、问卷调查等</w:t>
            </w:r>
          </w:p>
        </w:tc>
      </w:tr>
      <w:tr w14:paraId="1BA0202F">
        <w:tblPrEx>
          <w:tblCellMar>
            <w:top w:w="0" w:type="dxa"/>
            <w:left w:w="108" w:type="dxa"/>
            <w:bottom w:w="0" w:type="dxa"/>
            <w:right w:w="108" w:type="dxa"/>
          </w:tblCellMar>
        </w:tblPrEx>
        <w:trPr>
          <w:trHeight w:val="794" w:hRule="atLeast"/>
          <w:jc w:val="center"/>
        </w:trPr>
        <w:tc>
          <w:tcPr>
            <w:tcW w:w="78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26AED8">
            <w:pPr>
              <w:spacing w:line="300" w:lineRule="exact"/>
              <w:jc w:val="center"/>
              <w:rPr>
                <w:rFonts w:cs="宋体"/>
                <w:kern w:val="0"/>
                <w:sz w:val="21"/>
                <w:szCs w:val="21"/>
              </w:rPr>
            </w:pPr>
            <w:r>
              <w:rPr>
                <w:rFonts w:hint="eastAsia" w:cs="宋体"/>
                <w:kern w:val="0"/>
                <w:sz w:val="21"/>
                <w:szCs w:val="21"/>
              </w:rPr>
              <w:t>5</w:t>
            </w:r>
          </w:p>
        </w:tc>
        <w:tc>
          <w:tcPr>
            <w:tcW w:w="978"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1335ED">
            <w:pPr>
              <w:spacing w:line="300" w:lineRule="exact"/>
              <w:jc w:val="center"/>
              <w:rPr>
                <w:rFonts w:cs="宋体"/>
                <w:color w:val="000000"/>
                <w:kern w:val="0"/>
                <w:sz w:val="21"/>
                <w:szCs w:val="21"/>
              </w:rPr>
            </w:pPr>
            <w:r>
              <w:rPr>
                <w:rFonts w:hint="eastAsia" w:cs="宋体"/>
                <w:color w:val="000000"/>
                <w:kern w:val="0"/>
                <w:sz w:val="22"/>
                <w:szCs w:val="22"/>
              </w:rPr>
              <w:t>张小兰</w:t>
            </w:r>
          </w:p>
        </w:tc>
        <w:tc>
          <w:tcPr>
            <w:tcW w:w="140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C5487F">
            <w:pPr>
              <w:jc w:val="center"/>
              <w:rPr>
                <w:rFonts w:cs="宋体"/>
                <w:color w:val="000000"/>
                <w:kern w:val="0"/>
                <w:sz w:val="21"/>
                <w:szCs w:val="21"/>
              </w:rPr>
            </w:pPr>
            <w:r>
              <w:rPr>
                <w:rFonts w:hint="eastAsia" w:cs="宋体"/>
                <w:color w:val="000000"/>
                <w:kern w:val="0"/>
                <w:sz w:val="22"/>
                <w:szCs w:val="22"/>
              </w:rPr>
              <w:t>绩效评价组成员</w:t>
            </w:r>
          </w:p>
        </w:tc>
        <w:tc>
          <w:tcPr>
            <w:tcW w:w="184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B2D5B4">
            <w:pPr>
              <w:spacing w:line="300" w:lineRule="exact"/>
              <w:jc w:val="center"/>
              <w:rPr>
                <w:rFonts w:cs="宋体"/>
                <w:color w:val="000000"/>
                <w:kern w:val="0"/>
                <w:sz w:val="21"/>
                <w:szCs w:val="21"/>
              </w:rPr>
            </w:pPr>
            <w:r>
              <w:rPr>
                <w:rFonts w:hint="eastAsia"/>
                <w:kern w:val="0"/>
                <w:sz w:val="22"/>
                <w:szCs w:val="22"/>
              </w:rPr>
              <w:t>经济师</w:t>
            </w:r>
          </w:p>
        </w:tc>
        <w:tc>
          <w:tcPr>
            <w:tcW w:w="397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EDED18">
            <w:pPr>
              <w:spacing w:line="300" w:lineRule="exact"/>
              <w:jc w:val="left"/>
              <w:rPr>
                <w:rFonts w:cs="宋体"/>
                <w:color w:val="000000"/>
                <w:kern w:val="0"/>
                <w:sz w:val="21"/>
                <w:szCs w:val="21"/>
              </w:rPr>
            </w:pPr>
            <w:r>
              <w:rPr>
                <w:rFonts w:hint="eastAsia"/>
                <w:kern w:val="0"/>
                <w:sz w:val="22"/>
                <w:szCs w:val="22"/>
              </w:rPr>
              <w:t>参与现场绩效监控、问卷调查等</w:t>
            </w:r>
          </w:p>
        </w:tc>
      </w:tr>
    </w:tbl>
    <w:p w14:paraId="1AB45561">
      <w:pPr>
        <w:widowControl w:val="0"/>
        <w:spacing w:line="600" w:lineRule="atLeast"/>
        <w:ind w:firstLine="562" w:firstLineChars="200"/>
        <w:outlineLvl w:val="3"/>
        <w:rPr>
          <w:b/>
          <w:bCs/>
        </w:rPr>
      </w:pPr>
      <w:bookmarkStart w:id="311" w:name="_Toc23228"/>
      <w:r>
        <w:rPr>
          <w:rFonts w:hint="eastAsia"/>
          <w:b/>
          <w:bCs/>
        </w:rPr>
        <w:t>2.评价时间及主要工作进程安排</w:t>
      </w:r>
      <w:bookmarkEnd w:id="310"/>
      <w:bookmarkEnd w:id="311"/>
    </w:p>
    <w:p w14:paraId="08015892">
      <w:pPr>
        <w:widowControl w:val="0"/>
        <w:spacing w:line="600" w:lineRule="atLeast"/>
        <w:ind w:firstLine="560" w:firstLineChars="200"/>
      </w:pPr>
      <w:r>
        <w:rPr>
          <w:rFonts w:hint="eastAsia"/>
        </w:rPr>
        <w:t>绩效评价工作分为评价准备阶段、评价实施阶段和评价报告撰写阶段。</w:t>
      </w:r>
    </w:p>
    <w:p w14:paraId="0E603C81">
      <w:pPr>
        <w:widowControl w:val="0"/>
        <w:spacing w:line="560" w:lineRule="exact"/>
        <w:ind w:firstLine="562" w:firstLineChars="200"/>
        <w:outlineLvl w:val="2"/>
        <w:rPr>
          <w:b/>
          <w:bCs/>
        </w:rPr>
      </w:pPr>
      <w:r>
        <w:rPr>
          <w:rFonts w:hint="eastAsia"/>
          <w:b/>
          <w:bCs/>
        </w:rPr>
        <w:t>（1）评价准备阶段（2024年7月10日—7月26日）</w:t>
      </w:r>
    </w:p>
    <w:p w14:paraId="6EFB50B1">
      <w:pPr>
        <w:widowControl w:val="0"/>
        <w:spacing w:line="560" w:lineRule="exact"/>
        <w:ind w:firstLine="560" w:firstLineChars="200"/>
      </w:pPr>
      <w:r>
        <w:rPr>
          <w:rFonts w:hint="eastAsia"/>
        </w:rPr>
        <w:t>制定绩效评价实施方案。评价小组研读了相关文件，并与永济市文化和旅游局人员就单位情况、项目具体实施情况进行了解，并进一步查阅相关资料。评价小组内部研讨后，拟定工作方案、指标体系、调查问卷及访谈内容，于2024年7月26日报永济市财政局绩效管理股，永济市财政局绩效管理股组织局机关相关部门业务股室和专家审核，审核后根据审核论证意见对方案和指标进行修改并完善，确定绩效评价方案、指标体系、调查问卷及访谈内容。</w:t>
      </w:r>
    </w:p>
    <w:p w14:paraId="0C58F674">
      <w:pPr>
        <w:widowControl w:val="0"/>
        <w:spacing w:line="560" w:lineRule="exact"/>
        <w:ind w:firstLine="562" w:firstLineChars="200"/>
        <w:outlineLvl w:val="2"/>
        <w:rPr>
          <w:b/>
          <w:bCs/>
        </w:rPr>
      </w:pPr>
      <w:r>
        <w:rPr>
          <w:rFonts w:hint="eastAsia"/>
          <w:b/>
          <w:bCs/>
        </w:rPr>
        <w:t>（2）评价实施阶段（2024年7月29日—9月13日）</w:t>
      </w:r>
    </w:p>
    <w:p w14:paraId="0C380F34">
      <w:pPr>
        <w:widowControl w:val="0"/>
        <w:spacing w:line="560" w:lineRule="exact"/>
        <w:ind w:firstLine="560" w:firstLineChars="200"/>
      </w:pPr>
      <w:r>
        <w:rPr>
          <w:rFonts w:hint="eastAsia"/>
        </w:rPr>
        <w:t>根据确定的绩效评价方案，评价小组将绩效评价实施方案、需要准备的资料清单等发至被评价部门，并要求被评价部门按照方案要求编写绩效自评报告、提供相关电子资料及纸质资料。</w:t>
      </w:r>
    </w:p>
    <w:p w14:paraId="28ECD315">
      <w:pPr>
        <w:widowControl w:val="0"/>
        <w:spacing w:line="560" w:lineRule="exact"/>
        <w:ind w:firstLine="560" w:firstLineChars="200"/>
      </w:pPr>
      <w:r>
        <w:rPr>
          <w:rFonts w:hint="eastAsia"/>
        </w:rPr>
        <w:t>首先，由评价小组组长根据访谈大纲，约谈项目负责人，完成访谈工作；第二，组织评价小组人员对被评价部门提供的资料进行审核，重点对部门的目标设定、预算执行及管理、资产管理、职责履行、相关项目资料等进行复核，并实地勘察部门工作完成情况、项目实施情况；第三，评价组对永济市文化和旅游局人员履职所针对的受益人群进行问卷调查。</w:t>
      </w:r>
    </w:p>
    <w:p w14:paraId="15D2486E">
      <w:pPr>
        <w:widowControl w:val="0"/>
        <w:spacing w:line="560" w:lineRule="exact"/>
        <w:ind w:firstLine="560" w:firstLineChars="200"/>
      </w:pPr>
      <w:r>
        <w:rPr>
          <w:rFonts w:hint="eastAsia"/>
        </w:rPr>
        <w:t>评价组根据搜集和整理的相关数据及实地核查情况，按照评价标准，对各项指标进行初步计算和打分。</w:t>
      </w:r>
    </w:p>
    <w:p w14:paraId="3A3A9E17">
      <w:pPr>
        <w:widowControl w:val="0"/>
        <w:spacing w:line="560" w:lineRule="exact"/>
        <w:ind w:firstLine="562" w:firstLineChars="200"/>
        <w:outlineLvl w:val="2"/>
        <w:rPr>
          <w:b/>
          <w:bCs/>
        </w:rPr>
      </w:pPr>
      <w:r>
        <w:rPr>
          <w:rFonts w:hint="eastAsia"/>
          <w:b/>
          <w:bCs/>
        </w:rPr>
        <w:t>（3）报告撰写提交阶段（2024年9月14日—10月20日）</w:t>
      </w:r>
    </w:p>
    <w:p w14:paraId="1B6A7B74">
      <w:pPr>
        <w:widowControl w:val="0"/>
        <w:spacing w:line="600" w:lineRule="atLeast"/>
        <w:ind w:firstLine="560" w:firstLineChars="200"/>
        <w:rPr>
          <w:highlight w:val="yellow"/>
        </w:rPr>
      </w:pPr>
      <w:r>
        <w:rPr>
          <w:rFonts w:hint="eastAsia"/>
        </w:rPr>
        <w:t>评价组整理、综合分析部门相关信息，根据评价指标体系、评价标准和评价方法，对评价对象的绩效情况进行全面的定量、定性分析和综合评价，并提炼结论撰写绩效评价报告，于2024年10月20日前提交永济市财政局绩效管理股，根据永济市财政局专家审核意见修改绩效评价报告，并提交正式绩效评价报告。</w:t>
      </w:r>
    </w:p>
    <w:p w14:paraId="4DCF9AC2">
      <w:pPr>
        <w:pStyle w:val="2"/>
        <w:ind w:firstLine="562"/>
      </w:pPr>
      <w:bookmarkStart w:id="312" w:name="_Toc13521"/>
      <w:bookmarkStart w:id="313" w:name="_Toc7148"/>
      <w:bookmarkStart w:id="314" w:name="_Toc16626"/>
      <w:bookmarkStart w:id="315" w:name="_Toc180503506"/>
      <w:bookmarkStart w:id="316" w:name="_Toc180138881"/>
      <w:bookmarkStart w:id="317" w:name="_Toc6823"/>
      <w:r>
        <w:rPr>
          <w:rFonts w:hint="eastAsia"/>
        </w:rPr>
        <w:t>三、</w:t>
      </w:r>
      <w:bookmarkEnd w:id="303"/>
      <w:bookmarkEnd w:id="304"/>
      <w:bookmarkEnd w:id="305"/>
      <w:bookmarkEnd w:id="306"/>
      <w:r>
        <w:rPr>
          <w:rFonts w:hint="eastAsia"/>
        </w:rPr>
        <w:t>综合评价情况及评价结论</w:t>
      </w:r>
      <w:bookmarkEnd w:id="307"/>
      <w:bookmarkEnd w:id="308"/>
      <w:bookmarkEnd w:id="312"/>
      <w:bookmarkEnd w:id="313"/>
      <w:bookmarkEnd w:id="314"/>
      <w:bookmarkEnd w:id="315"/>
      <w:bookmarkEnd w:id="316"/>
      <w:bookmarkEnd w:id="317"/>
    </w:p>
    <w:p w14:paraId="4DC871D7">
      <w:pPr>
        <w:pStyle w:val="3"/>
        <w:ind w:firstLine="562"/>
      </w:pPr>
      <w:bookmarkStart w:id="318" w:name="_Toc180138882"/>
      <w:bookmarkStart w:id="319" w:name="_Toc180503507"/>
      <w:r>
        <w:rPr>
          <w:rFonts w:hint="eastAsia"/>
        </w:rPr>
        <w:t>（一）综合评价情况</w:t>
      </w:r>
      <w:bookmarkEnd w:id="318"/>
      <w:bookmarkEnd w:id="319"/>
    </w:p>
    <w:p w14:paraId="315A8D25">
      <w:pPr>
        <w:widowControl w:val="0"/>
        <w:adjustRightInd w:val="0"/>
        <w:snapToGrid w:val="0"/>
        <w:spacing w:line="560" w:lineRule="exact"/>
        <w:ind w:firstLine="560" w:firstLineChars="200"/>
      </w:pPr>
      <w:r>
        <w:rPr>
          <w:rFonts w:hint="eastAsia" w:cs="Times New Roman"/>
        </w:rPr>
        <w:t>通过实施数据采集、现场勘查及访谈等评价程序，根据《永济市文化和旅游局2023年度整体支出绩效评价实施方案》中设定的评价指标体系及评分标准，评价组对永济市文化和旅游局</w:t>
      </w:r>
      <w:r>
        <w:rPr>
          <w:rFonts w:cs="Times New Roman"/>
        </w:rPr>
        <w:t>202</w:t>
      </w:r>
      <w:r>
        <w:rPr>
          <w:rFonts w:hint="eastAsia" w:cs="Times New Roman"/>
        </w:rPr>
        <w:t>3</w:t>
      </w:r>
      <w:r>
        <w:rPr>
          <w:rFonts w:cs="Times New Roman"/>
        </w:rPr>
        <w:t>年整体支出绩效</w:t>
      </w:r>
      <w:r>
        <w:rPr>
          <w:rFonts w:hint="eastAsia" w:cs="Times New Roman"/>
        </w:rPr>
        <w:t>进行客观评价，最终评分结果总得分89.44分，评价等级为“良”。</w:t>
      </w:r>
      <w:r>
        <w:rPr>
          <w:rFonts w:hint="eastAsia"/>
        </w:rPr>
        <w:t>各项指标分值及得分情况见表3：</w:t>
      </w:r>
    </w:p>
    <w:p w14:paraId="7A476A2A">
      <w:pPr>
        <w:widowControl w:val="0"/>
        <w:adjustRightInd w:val="0"/>
        <w:snapToGrid w:val="0"/>
        <w:spacing w:afterLines="20" w:line="560" w:lineRule="exact"/>
        <w:jc w:val="center"/>
        <w:rPr>
          <w:b/>
          <w:bCs/>
          <w:kern w:val="0"/>
          <w:szCs w:val="24"/>
          <w:lang w:val="zh-TW"/>
        </w:rPr>
      </w:pPr>
      <w:bookmarkStart w:id="320" w:name="_Toc23784_WPSOffice_Level2"/>
      <w:bookmarkStart w:id="321" w:name="_Toc6543_WPSOffice_Level2"/>
      <w:bookmarkStart w:id="322" w:name="_Toc6622_WPSOffice_Level2"/>
      <w:r>
        <w:rPr>
          <w:rFonts w:hint="eastAsia"/>
          <w:b/>
          <w:bCs/>
          <w:kern w:val="0"/>
          <w:szCs w:val="24"/>
          <w:lang w:val="zh-TW"/>
        </w:rPr>
        <w:t>表</w:t>
      </w:r>
      <w:r>
        <w:rPr>
          <w:rFonts w:hint="eastAsia"/>
          <w:b/>
          <w:bCs/>
          <w:kern w:val="0"/>
          <w:szCs w:val="24"/>
          <w:lang w:val="zh-TW" w:eastAsia="zh-TW"/>
        </w:rPr>
        <w:t>3绩效评价得分表</w:t>
      </w:r>
      <w:bookmarkEnd w:id="320"/>
      <w:bookmarkEnd w:id="321"/>
      <w:bookmarkEnd w:id="322"/>
    </w:p>
    <w:tbl>
      <w:tblPr>
        <w:tblStyle w:val="24"/>
        <w:tblW w:w="4998" w:type="pct"/>
        <w:tblInd w:w="0" w:type="dxa"/>
        <w:tblLayout w:type="autofit"/>
        <w:tblCellMar>
          <w:top w:w="0" w:type="dxa"/>
          <w:left w:w="108" w:type="dxa"/>
          <w:bottom w:w="0" w:type="dxa"/>
          <w:right w:w="108" w:type="dxa"/>
        </w:tblCellMar>
      </w:tblPr>
      <w:tblGrid>
        <w:gridCol w:w="1418"/>
        <w:gridCol w:w="1418"/>
        <w:gridCol w:w="1418"/>
        <w:gridCol w:w="1418"/>
        <w:gridCol w:w="1418"/>
        <w:gridCol w:w="1423"/>
      </w:tblGrid>
      <w:tr w14:paraId="6EF79F49">
        <w:tblPrEx>
          <w:tblCellMar>
            <w:top w:w="0" w:type="dxa"/>
            <w:left w:w="108" w:type="dxa"/>
            <w:bottom w:w="0" w:type="dxa"/>
            <w:right w:w="108" w:type="dxa"/>
          </w:tblCellMar>
        </w:tblPrEx>
        <w:trPr>
          <w:trHeight w:val="510" w:hRule="atLeast"/>
          <w:tblHeader/>
        </w:trPr>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29A699D">
            <w:pPr>
              <w:jc w:val="center"/>
              <w:textAlignment w:val="center"/>
              <w:rPr>
                <w:b/>
                <w:bCs/>
                <w:color w:val="000000"/>
                <w:sz w:val="21"/>
                <w:szCs w:val="21"/>
              </w:rPr>
            </w:pPr>
            <w:bookmarkStart w:id="323" w:name="_Toc21937"/>
            <w:bookmarkStart w:id="324" w:name="_Toc12898"/>
            <w:bookmarkStart w:id="325" w:name="_Toc15747"/>
            <w:bookmarkStart w:id="326" w:name="_Toc27998"/>
            <w:bookmarkStart w:id="327" w:name="_Toc13252"/>
            <w:r>
              <w:rPr>
                <w:rFonts w:hint="eastAsia"/>
                <w:b/>
                <w:bCs/>
                <w:color w:val="000000"/>
                <w:spacing w:val="105"/>
                <w:kern w:val="0"/>
                <w:sz w:val="21"/>
                <w:szCs w:val="21"/>
                <w:fitText w:val="630" w:id="1742960837"/>
              </w:rPr>
              <w:t>指</w:t>
            </w:r>
            <w:r>
              <w:rPr>
                <w:rFonts w:hint="eastAsia"/>
                <w:b/>
                <w:bCs/>
                <w:color w:val="000000"/>
                <w:spacing w:val="0"/>
                <w:kern w:val="0"/>
                <w:sz w:val="21"/>
                <w:szCs w:val="21"/>
                <w:fitText w:val="630" w:id="1742960837"/>
              </w:rPr>
              <w:t>标</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FFC45B">
            <w:pPr>
              <w:jc w:val="center"/>
              <w:textAlignment w:val="center"/>
              <w:rPr>
                <w:b/>
                <w:bCs/>
                <w:color w:val="000000"/>
                <w:sz w:val="21"/>
                <w:szCs w:val="21"/>
              </w:rPr>
            </w:pPr>
            <w:r>
              <w:rPr>
                <w:rFonts w:hint="eastAsia"/>
                <w:b/>
                <w:bCs/>
                <w:color w:val="000000"/>
                <w:kern w:val="0"/>
                <w:sz w:val="21"/>
                <w:szCs w:val="21"/>
              </w:rPr>
              <w:t>部门决策</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ED00D15">
            <w:pPr>
              <w:jc w:val="center"/>
              <w:textAlignment w:val="center"/>
              <w:rPr>
                <w:b/>
                <w:bCs/>
                <w:color w:val="000000"/>
                <w:sz w:val="21"/>
                <w:szCs w:val="21"/>
              </w:rPr>
            </w:pPr>
            <w:r>
              <w:rPr>
                <w:rFonts w:hint="eastAsia"/>
                <w:b/>
                <w:bCs/>
                <w:color w:val="000000"/>
                <w:sz w:val="21"/>
                <w:szCs w:val="21"/>
              </w:rPr>
              <w:t>部门管理</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50BD782">
            <w:pPr>
              <w:jc w:val="center"/>
              <w:textAlignment w:val="center"/>
              <w:rPr>
                <w:b/>
                <w:bCs/>
                <w:color w:val="000000"/>
                <w:sz w:val="21"/>
                <w:szCs w:val="21"/>
              </w:rPr>
            </w:pPr>
            <w:r>
              <w:rPr>
                <w:rFonts w:hint="eastAsia"/>
                <w:b/>
                <w:bCs/>
                <w:color w:val="000000"/>
                <w:sz w:val="21"/>
                <w:szCs w:val="21"/>
              </w:rPr>
              <w:t>部门产出</w:t>
            </w:r>
          </w:p>
        </w:tc>
        <w:tc>
          <w:tcPr>
            <w:tcW w:w="83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B138589">
            <w:pPr>
              <w:jc w:val="center"/>
              <w:textAlignment w:val="center"/>
              <w:rPr>
                <w:b/>
                <w:bCs/>
                <w:color w:val="000000"/>
                <w:sz w:val="21"/>
                <w:szCs w:val="21"/>
              </w:rPr>
            </w:pPr>
            <w:r>
              <w:rPr>
                <w:rFonts w:hint="eastAsia"/>
                <w:b/>
                <w:bCs/>
                <w:color w:val="000000"/>
                <w:sz w:val="21"/>
                <w:szCs w:val="21"/>
              </w:rPr>
              <w:t>部门效果</w:t>
            </w:r>
          </w:p>
        </w:tc>
        <w:tc>
          <w:tcPr>
            <w:tcW w:w="83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E70694F">
            <w:pPr>
              <w:jc w:val="center"/>
              <w:textAlignment w:val="center"/>
              <w:rPr>
                <w:b/>
                <w:bCs/>
                <w:color w:val="000000"/>
                <w:sz w:val="21"/>
                <w:szCs w:val="21"/>
              </w:rPr>
            </w:pPr>
            <w:r>
              <w:rPr>
                <w:rFonts w:hint="eastAsia"/>
                <w:b/>
                <w:bCs/>
                <w:color w:val="000000"/>
                <w:spacing w:val="105"/>
                <w:kern w:val="0"/>
                <w:sz w:val="21"/>
                <w:szCs w:val="21"/>
                <w:fitText w:val="630" w:id="1655598247"/>
              </w:rPr>
              <w:t>合</w:t>
            </w:r>
            <w:r>
              <w:rPr>
                <w:rFonts w:hint="eastAsia"/>
                <w:b/>
                <w:bCs/>
                <w:color w:val="000000"/>
                <w:spacing w:val="0"/>
                <w:kern w:val="0"/>
                <w:sz w:val="21"/>
                <w:szCs w:val="21"/>
                <w:fitText w:val="630" w:id="1655598247"/>
              </w:rPr>
              <w:t>计</w:t>
            </w:r>
          </w:p>
        </w:tc>
      </w:tr>
      <w:tr w14:paraId="61BAEF00">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D0EF">
            <w:pPr>
              <w:jc w:val="center"/>
              <w:textAlignment w:val="center"/>
              <w:rPr>
                <w:color w:val="000000"/>
                <w:sz w:val="21"/>
                <w:szCs w:val="21"/>
              </w:rPr>
            </w:pPr>
            <w:r>
              <w:rPr>
                <w:rFonts w:hint="eastAsia"/>
                <w:color w:val="000000"/>
                <w:spacing w:val="105"/>
                <w:kern w:val="0"/>
                <w:sz w:val="21"/>
                <w:szCs w:val="21"/>
                <w:fitText w:val="630" w:id="674775952"/>
              </w:rPr>
              <w:t>分</w:t>
            </w:r>
            <w:r>
              <w:rPr>
                <w:rFonts w:hint="eastAsia"/>
                <w:color w:val="000000"/>
                <w:spacing w:val="0"/>
                <w:kern w:val="0"/>
                <w:sz w:val="21"/>
                <w:szCs w:val="21"/>
                <w:fitText w:val="630" w:id="674775952"/>
              </w:rPr>
              <w:t>值</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A321">
            <w:pPr>
              <w:jc w:val="center"/>
              <w:textAlignment w:val="center"/>
              <w:rPr>
                <w:color w:val="000000"/>
                <w:sz w:val="21"/>
                <w:szCs w:val="21"/>
              </w:rPr>
            </w:pPr>
            <w:r>
              <w:rPr>
                <w:rFonts w:hint="eastAsia"/>
                <w:color w:val="000000"/>
                <w:kern w:val="0"/>
                <w:sz w:val="21"/>
                <w:szCs w:val="21"/>
              </w:rPr>
              <w:t xml:space="preserve"> 10.00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818C">
            <w:pPr>
              <w:jc w:val="center"/>
              <w:textAlignment w:val="center"/>
              <w:rPr>
                <w:color w:val="000000"/>
                <w:sz w:val="21"/>
                <w:szCs w:val="21"/>
              </w:rPr>
            </w:pPr>
            <w:r>
              <w:rPr>
                <w:rFonts w:hint="eastAsia"/>
                <w:color w:val="000000"/>
                <w:kern w:val="0"/>
                <w:sz w:val="21"/>
                <w:szCs w:val="21"/>
              </w:rPr>
              <w:t xml:space="preserve"> 40.00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7F3F">
            <w:pPr>
              <w:jc w:val="center"/>
              <w:textAlignment w:val="center"/>
              <w:rPr>
                <w:color w:val="000000"/>
                <w:sz w:val="21"/>
                <w:szCs w:val="21"/>
              </w:rPr>
            </w:pPr>
            <w:r>
              <w:rPr>
                <w:rFonts w:hint="eastAsia"/>
                <w:color w:val="000000"/>
                <w:kern w:val="0"/>
                <w:sz w:val="21"/>
                <w:szCs w:val="21"/>
              </w:rPr>
              <w:t xml:space="preserve"> 30.00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59AA">
            <w:pPr>
              <w:jc w:val="center"/>
              <w:textAlignment w:val="center"/>
              <w:rPr>
                <w:color w:val="000000"/>
                <w:sz w:val="21"/>
                <w:szCs w:val="21"/>
              </w:rPr>
            </w:pPr>
            <w:r>
              <w:rPr>
                <w:rFonts w:hint="eastAsia"/>
                <w:color w:val="000000"/>
                <w:kern w:val="0"/>
                <w:sz w:val="21"/>
                <w:szCs w:val="21"/>
              </w:rPr>
              <w:t xml:space="preserve"> 20.00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7B11">
            <w:pPr>
              <w:jc w:val="center"/>
              <w:textAlignment w:val="center"/>
              <w:rPr>
                <w:color w:val="000000"/>
                <w:sz w:val="21"/>
                <w:szCs w:val="21"/>
              </w:rPr>
            </w:pPr>
            <w:r>
              <w:rPr>
                <w:rFonts w:hint="eastAsia"/>
                <w:color w:val="000000"/>
                <w:kern w:val="0"/>
                <w:sz w:val="21"/>
                <w:szCs w:val="21"/>
              </w:rPr>
              <w:t xml:space="preserve"> 100.00 </w:t>
            </w:r>
          </w:p>
        </w:tc>
      </w:tr>
      <w:tr w14:paraId="7E678A10">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DDA9">
            <w:pPr>
              <w:jc w:val="center"/>
              <w:textAlignment w:val="center"/>
              <w:rPr>
                <w:color w:val="000000"/>
                <w:sz w:val="21"/>
                <w:szCs w:val="21"/>
              </w:rPr>
            </w:pPr>
            <w:r>
              <w:rPr>
                <w:rFonts w:hint="eastAsia"/>
                <w:color w:val="000000"/>
                <w:spacing w:val="105"/>
                <w:kern w:val="0"/>
                <w:sz w:val="21"/>
                <w:szCs w:val="21"/>
                <w:fitText w:val="630" w:id="908735434"/>
              </w:rPr>
              <w:t>得</w:t>
            </w:r>
            <w:r>
              <w:rPr>
                <w:rFonts w:hint="eastAsia"/>
                <w:color w:val="000000"/>
                <w:spacing w:val="0"/>
                <w:kern w:val="0"/>
                <w:sz w:val="21"/>
                <w:szCs w:val="21"/>
                <w:fitText w:val="630" w:id="908735434"/>
              </w:rPr>
              <w:t>分</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6E0FB">
            <w:pPr>
              <w:jc w:val="center"/>
              <w:textAlignment w:val="center"/>
              <w:rPr>
                <w:color w:val="000000"/>
                <w:sz w:val="21"/>
                <w:szCs w:val="21"/>
              </w:rPr>
            </w:pPr>
            <w:r>
              <w:rPr>
                <w:rFonts w:hint="eastAsia"/>
                <w:color w:val="000000"/>
                <w:kern w:val="0"/>
                <w:sz w:val="21"/>
                <w:szCs w:val="21"/>
              </w:rPr>
              <w:t xml:space="preserve"> 10.00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C7E9">
            <w:pPr>
              <w:jc w:val="center"/>
              <w:textAlignment w:val="center"/>
              <w:rPr>
                <w:color w:val="000000"/>
                <w:sz w:val="21"/>
                <w:szCs w:val="21"/>
              </w:rPr>
            </w:pPr>
            <w:r>
              <w:rPr>
                <w:rFonts w:hint="eastAsia"/>
                <w:color w:val="000000"/>
                <w:kern w:val="0"/>
                <w:sz w:val="21"/>
                <w:szCs w:val="21"/>
              </w:rPr>
              <w:t xml:space="preserve"> 34.21 </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972E8">
            <w:pPr>
              <w:jc w:val="center"/>
              <w:textAlignment w:val="center"/>
              <w:rPr>
                <w:color w:val="000000"/>
                <w:sz w:val="21"/>
                <w:szCs w:val="21"/>
              </w:rPr>
            </w:pPr>
            <w:r>
              <w:rPr>
                <w:rFonts w:hint="eastAsia"/>
                <w:color w:val="000000"/>
                <w:kern w:val="0"/>
                <w:sz w:val="21"/>
                <w:szCs w:val="21"/>
              </w:rPr>
              <w:t xml:space="preserve"> 26.00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CBF2">
            <w:pPr>
              <w:jc w:val="center"/>
              <w:textAlignment w:val="center"/>
              <w:rPr>
                <w:color w:val="000000"/>
                <w:sz w:val="21"/>
                <w:szCs w:val="21"/>
              </w:rPr>
            </w:pPr>
            <w:r>
              <w:rPr>
                <w:rFonts w:hint="eastAsia"/>
                <w:color w:val="000000"/>
                <w:kern w:val="0"/>
                <w:sz w:val="21"/>
                <w:szCs w:val="21"/>
              </w:rPr>
              <w:t xml:space="preserve"> 19.23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2078">
            <w:pPr>
              <w:jc w:val="center"/>
              <w:textAlignment w:val="center"/>
              <w:rPr>
                <w:color w:val="000000"/>
                <w:sz w:val="21"/>
                <w:szCs w:val="21"/>
              </w:rPr>
            </w:pPr>
            <w:r>
              <w:rPr>
                <w:rFonts w:hint="eastAsia"/>
                <w:color w:val="000000"/>
                <w:kern w:val="0"/>
                <w:sz w:val="21"/>
                <w:szCs w:val="21"/>
              </w:rPr>
              <w:t xml:space="preserve"> 89.44 </w:t>
            </w:r>
          </w:p>
        </w:tc>
      </w:tr>
      <w:tr w14:paraId="582F5BA4">
        <w:tblPrEx>
          <w:tblCellMar>
            <w:top w:w="0" w:type="dxa"/>
            <w:left w:w="108" w:type="dxa"/>
            <w:bottom w:w="0" w:type="dxa"/>
            <w:right w:w="108" w:type="dxa"/>
          </w:tblCellMar>
        </w:tblPrEx>
        <w:trPr>
          <w:trHeight w:val="51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3EB0">
            <w:pPr>
              <w:jc w:val="center"/>
              <w:textAlignment w:val="center"/>
              <w:rPr>
                <w:color w:val="000000"/>
                <w:sz w:val="21"/>
                <w:szCs w:val="21"/>
              </w:rPr>
            </w:pPr>
            <w:r>
              <w:rPr>
                <w:rFonts w:hint="eastAsia"/>
                <w:color w:val="000000"/>
                <w:kern w:val="0"/>
                <w:sz w:val="21"/>
                <w:szCs w:val="21"/>
              </w:rPr>
              <w:t>得分率</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8A68">
            <w:pPr>
              <w:jc w:val="center"/>
              <w:textAlignment w:val="center"/>
              <w:rPr>
                <w:color w:val="000000"/>
                <w:sz w:val="21"/>
                <w:szCs w:val="21"/>
              </w:rPr>
            </w:pPr>
            <w:r>
              <w:rPr>
                <w:rFonts w:hint="eastAsia"/>
                <w:color w:val="000000"/>
                <w:kern w:val="0"/>
                <w:sz w:val="21"/>
                <w:szCs w:val="21"/>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F851">
            <w:pPr>
              <w:jc w:val="center"/>
              <w:textAlignment w:val="center"/>
              <w:rPr>
                <w:color w:val="000000"/>
                <w:sz w:val="21"/>
                <w:szCs w:val="21"/>
              </w:rPr>
            </w:pPr>
            <w:r>
              <w:rPr>
                <w:rFonts w:hint="eastAsia"/>
                <w:color w:val="000000"/>
                <w:kern w:val="0"/>
                <w:sz w:val="21"/>
                <w:szCs w:val="21"/>
              </w:rPr>
              <w:t>85.53%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E3E5">
            <w:pPr>
              <w:jc w:val="center"/>
              <w:textAlignment w:val="center"/>
              <w:rPr>
                <w:color w:val="000000"/>
                <w:sz w:val="21"/>
                <w:szCs w:val="21"/>
              </w:rPr>
            </w:pPr>
            <w:r>
              <w:rPr>
                <w:rFonts w:hint="eastAsia"/>
                <w:color w:val="000000"/>
                <w:kern w:val="0"/>
                <w:sz w:val="21"/>
                <w:szCs w:val="21"/>
              </w:rPr>
              <w:t>86.67%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D66F">
            <w:pPr>
              <w:jc w:val="center"/>
              <w:textAlignment w:val="center"/>
              <w:rPr>
                <w:color w:val="000000"/>
                <w:sz w:val="21"/>
                <w:szCs w:val="21"/>
              </w:rPr>
            </w:pPr>
            <w:r>
              <w:rPr>
                <w:rFonts w:hint="eastAsia"/>
                <w:color w:val="000000"/>
                <w:kern w:val="0"/>
                <w:sz w:val="21"/>
                <w:szCs w:val="21"/>
              </w:rPr>
              <w:t>96.15%</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7F5A">
            <w:pPr>
              <w:jc w:val="center"/>
              <w:textAlignment w:val="center"/>
              <w:rPr>
                <w:color w:val="000000"/>
                <w:sz w:val="21"/>
                <w:szCs w:val="21"/>
              </w:rPr>
            </w:pPr>
            <w:r>
              <w:rPr>
                <w:rFonts w:hint="eastAsia"/>
                <w:color w:val="000000"/>
                <w:kern w:val="0"/>
                <w:sz w:val="21"/>
                <w:szCs w:val="21"/>
              </w:rPr>
              <w:t>89.44%</w:t>
            </w:r>
          </w:p>
        </w:tc>
      </w:tr>
    </w:tbl>
    <w:p w14:paraId="4ECC4DE8">
      <w:pPr>
        <w:pStyle w:val="3"/>
        <w:ind w:firstLine="562"/>
      </w:pPr>
      <w:bookmarkStart w:id="328" w:name="_Toc180138883"/>
      <w:bookmarkStart w:id="329" w:name="_Toc180503508"/>
      <w:r>
        <w:rPr>
          <w:rFonts w:hint="eastAsia"/>
        </w:rPr>
        <w:t>（二）评价结论</w:t>
      </w:r>
      <w:bookmarkEnd w:id="328"/>
      <w:bookmarkEnd w:id="329"/>
    </w:p>
    <w:p w14:paraId="50244F93">
      <w:pPr>
        <w:widowControl w:val="0"/>
        <w:spacing w:line="560" w:lineRule="exact"/>
        <w:ind w:firstLine="560" w:firstLineChars="200"/>
      </w:pPr>
      <w:r>
        <w:rPr>
          <w:rFonts w:hint="eastAsia"/>
        </w:rPr>
        <w:t>经过对永济市文化和旅游局2023年度整体支出从部门决策、管理效率、社会效应和可持续性方面进行综合评价，得出以下结论：</w:t>
      </w:r>
    </w:p>
    <w:p w14:paraId="14FC05CC">
      <w:pPr>
        <w:widowControl w:val="0"/>
        <w:spacing w:line="560" w:lineRule="exact"/>
        <w:ind w:firstLine="560" w:firstLineChars="200"/>
      </w:pPr>
      <w:r>
        <w:rPr>
          <w:rFonts w:hint="eastAsia"/>
        </w:rPr>
        <w:t>1.部门决策。目标设定方面，绩效目标合理，</w:t>
      </w:r>
      <w:r>
        <w:rPr>
          <w:rFonts w:hint="eastAsia"/>
          <w:bCs/>
        </w:rPr>
        <w:t>部门整体支出绩效目标申报表和项目支出绩效目标申报表均将绩效目标细化分解为具体的绩效指标，制定的绩效指标清晰、可衡量</w:t>
      </w:r>
      <w:r>
        <w:rPr>
          <w:rFonts w:hint="eastAsia"/>
        </w:rPr>
        <w:t>；预算配置方面，</w:t>
      </w:r>
      <w:r>
        <w:rPr>
          <w:rFonts w:hint="eastAsia"/>
          <w:bCs/>
        </w:rPr>
        <w:t>除图书馆人员经费和公用经费预算金额录入颠倒除外，基本支出真实、准确；项目支出按照项目分类细化为具体的项目</w:t>
      </w:r>
      <w:r>
        <w:rPr>
          <w:rFonts w:hint="eastAsia"/>
        </w:rPr>
        <w:t>，预算配置合理。</w:t>
      </w:r>
    </w:p>
    <w:p w14:paraId="5E629B70">
      <w:pPr>
        <w:pStyle w:val="8"/>
        <w:widowControl w:val="0"/>
        <w:autoSpaceDE w:val="0"/>
        <w:snapToGrid/>
        <w:spacing w:line="600" w:lineRule="exact"/>
        <w:ind w:firstLine="560"/>
      </w:pPr>
      <w:r>
        <w:rPr>
          <w:rFonts w:hint="eastAsia" w:ascii="仿宋" w:hAnsi="仿宋"/>
        </w:rPr>
        <w:t>2.</w:t>
      </w:r>
      <w:r>
        <w:rPr>
          <w:rFonts w:hint="eastAsia"/>
        </w:rPr>
        <w:t>部门管理。预算管理方面</w:t>
      </w:r>
      <w:r>
        <w:rPr>
          <w:rFonts w:hint="eastAsia" w:ascii="仿宋" w:hAnsi="仿宋"/>
        </w:rPr>
        <w:t>，</w:t>
      </w:r>
      <w:r>
        <w:rPr>
          <w:rFonts w:hint="eastAsia"/>
        </w:rPr>
        <w:t>本年度的预算执行方面较好；收支管理方面，存在实有资金户取得的收入未及时上缴财政、未按预算用途列支、财务核算和规范、审批程序不规范的情况；资产管理方面，</w:t>
      </w:r>
      <w:r>
        <w:rPr>
          <w:rFonts w:hint="eastAsia" w:ascii="仿宋" w:hAnsi="仿宋"/>
          <w:kern w:val="0"/>
        </w:rPr>
        <w:t>未能做到每年对固定资产进行一次全面清查盘点；</w:t>
      </w:r>
      <w:r>
        <w:rPr>
          <w:rFonts w:hint="eastAsia"/>
        </w:rPr>
        <w:t>政府采购管理方面，存在个别印刷费未执行政府采购程序。</w:t>
      </w:r>
    </w:p>
    <w:p w14:paraId="143D9F8C">
      <w:pPr>
        <w:pStyle w:val="8"/>
        <w:snapToGrid/>
        <w:ind w:firstLine="560"/>
        <w:rPr>
          <w:rFonts w:ascii="仿宋" w:hAnsi="仿宋"/>
        </w:rPr>
      </w:pPr>
      <w:r>
        <w:rPr>
          <w:rFonts w:hint="eastAsia" w:ascii="仿宋" w:hAnsi="仿宋"/>
        </w:rPr>
        <w:t>3.部门产出。旅游工作、执法工作、党建工作均按目标任务完成，文化工作除送戏下乡外其余均按目标任务完成，文物保护工作除</w:t>
      </w:r>
      <w:r>
        <w:rPr>
          <w:rFonts w:hint="eastAsia"/>
          <w:bCs/>
        </w:rPr>
        <w:t>李雪峰故居保护修缮工程</w:t>
      </w:r>
      <w:r>
        <w:rPr>
          <w:rFonts w:hint="eastAsia" w:ascii="仿宋" w:hAnsi="仿宋"/>
        </w:rPr>
        <w:t>外其余均按目标任务完成；产出质量方面，已验收的项目验收结果均为合格，文保中心目标责任</w:t>
      </w:r>
      <w:r>
        <w:rPr>
          <w:rFonts w:hint="eastAsia"/>
        </w:rPr>
        <w:t>考核结果为一般，需要提交整改方案；运行成本控制方面，公用经费、三公经费、人员经费控制率较好。</w:t>
      </w:r>
    </w:p>
    <w:p w14:paraId="1D6042C8">
      <w:pPr>
        <w:pStyle w:val="8"/>
        <w:snapToGrid/>
        <w:ind w:firstLine="560"/>
        <w:rPr>
          <w:rFonts w:ascii="仿宋"/>
          <w:highlight w:val="yellow"/>
        </w:rPr>
      </w:pPr>
      <w:r>
        <w:rPr>
          <w:rFonts w:hint="eastAsia" w:ascii="仿宋" w:hAnsi="仿宋"/>
        </w:rPr>
        <w:t>4.部门效果</w:t>
      </w:r>
      <w:r>
        <w:rPr>
          <w:rFonts w:hint="eastAsia" w:ascii="仿宋"/>
        </w:rPr>
        <w:t>。经济效益方面，2023年永济市旅游景区接待游客人次较2022年同比增长247.19%，门票收入同比增长240.97%，经营收入同比增长103.83%；社会效益方面，对提升永济形象和知名度、丰富群众文化生活、文化传承与保护方面起到了积极的作用；</w:t>
      </w:r>
      <w:r>
        <w:rPr>
          <w:rFonts w:hint="eastAsia" w:ascii="仿宋" w:hAnsi="仿宋"/>
        </w:rPr>
        <w:t>干部队伍配备方面，2023年干部考核结果均合格，需要加强干部培训。最后游客和在职人员的满意度较高</w:t>
      </w:r>
      <w:r>
        <w:rPr>
          <w:rFonts w:hint="eastAsia" w:ascii="仿宋"/>
        </w:rPr>
        <w:t>。</w:t>
      </w:r>
    </w:p>
    <w:p w14:paraId="54ABEF10">
      <w:pPr>
        <w:pStyle w:val="2"/>
        <w:ind w:firstLine="562"/>
      </w:pPr>
      <w:bookmarkStart w:id="330" w:name="_Toc180138884"/>
      <w:bookmarkStart w:id="331" w:name="_Toc24804"/>
      <w:bookmarkStart w:id="332" w:name="_Toc180503509"/>
      <w:r>
        <w:rPr>
          <w:rFonts w:hint="eastAsia"/>
        </w:rPr>
        <w:t>四、绩效评价指标分析</w:t>
      </w:r>
      <w:bookmarkEnd w:id="323"/>
      <w:bookmarkEnd w:id="324"/>
      <w:bookmarkEnd w:id="325"/>
      <w:bookmarkEnd w:id="326"/>
      <w:bookmarkEnd w:id="327"/>
      <w:bookmarkEnd w:id="330"/>
      <w:bookmarkEnd w:id="331"/>
      <w:bookmarkEnd w:id="332"/>
    </w:p>
    <w:p w14:paraId="562F587B">
      <w:pPr>
        <w:pStyle w:val="3"/>
        <w:ind w:firstLine="562"/>
      </w:pPr>
      <w:bookmarkStart w:id="333" w:name="_Toc2110"/>
      <w:bookmarkStart w:id="334" w:name="_Toc180138885"/>
      <w:bookmarkStart w:id="335" w:name="_Toc180503510"/>
      <w:bookmarkStart w:id="336" w:name="_Toc16469"/>
      <w:bookmarkStart w:id="337" w:name="_Toc1313"/>
      <w:bookmarkStart w:id="338" w:name="_Toc26003"/>
      <w:bookmarkStart w:id="339" w:name="_Toc23289"/>
      <w:bookmarkStart w:id="340" w:name="_Toc31733"/>
      <w:bookmarkStart w:id="341" w:name="_Toc11404"/>
      <w:bookmarkStart w:id="342" w:name="_Toc31220_WPSOffice_Level2"/>
      <w:r>
        <w:rPr>
          <w:rFonts w:hint="eastAsia"/>
        </w:rPr>
        <w:t>（一）部门决策分析</w:t>
      </w:r>
      <w:bookmarkEnd w:id="333"/>
      <w:bookmarkEnd w:id="334"/>
      <w:bookmarkEnd w:id="335"/>
      <w:bookmarkEnd w:id="336"/>
      <w:bookmarkEnd w:id="337"/>
      <w:bookmarkEnd w:id="338"/>
      <w:bookmarkEnd w:id="339"/>
      <w:bookmarkEnd w:id="340"/>
      <w:bookmarkEnd w:id="341"/>
      <w:bookmarkEnd w:id="342"/>
    </w:p>
    <w:p w14:paraId="54C9CEAB">
      <w:pPr>
        <w:widowControl w:val="0"/>
        <w:adjustRightInd w:val="0"/>
        <w:snapToGrid w:val="0"/>
        <w:spacing w:line="540" w:lineRule="atLeast"/>
        <w:ind w:firstLine="560" w:firstLineChars="200"/>
        <w:rPr>
          <w:highlight w:val="yellow"/>
        </w:rPr>
      </w:pPr>
      <w:bookmarkStart w:id="343" w:name="_Toc18477"/>
      <w:r>
        <w:rPr>
          <w:rFonts w:hint="eastAsia"/>
        </w:rPr>
        <w:t>部门决策分别从目标设定和预算配置两个方面进行评价，共设置2个二级指标4个三级指标。部门决策指标分值10分，实际得分10分，得分100%。各分项指标得分情况如表4-1所示：</w:t>
      </w:r>
    </w:p>
    <w:bookmarkEnd w:id="343"/>
    <w:p w14:paraId="12053C3E">
      <w:pPr>
        <w:widowControl w:val="0"/>
        <w:spacing w:afterLines="20" w:line="560" w:lineRule="exact"/>
        <w:jc w:val="center"/>
        <w:rPr>
          <w:b/>
          <w:bCs/>
        </w:rPr>
      </w:pPr>
      <w:bookmarkStart w:id="344" w:name="_Toc28114_WPSOffice_Level2"/>
      <w:bookmarkStart w:id="345" w:name="_Toc14818_WPSOffice_Level2"/>
      <w:bookmarkStart w:id="346" w:name="_Toc370"/>
      <w:bookmarkStart w:id="347" w:name="_Toc19843_WPSOffice_Level2"/>
      <w:bookmarkStart w:id="348" w:name="_Toc32103_WPSOffice_Level2"/>
      <w:bookmarkStart w:id="349" w:name="_Toc9198_WPSOffice_Level2"/>
      <w:bookmarkStart w:id="350" w:name="_Toc26873_WPSOffice_Level2"/>
      <w:bookmarkStart w:id="351" w:name="_Toc25524_WPSOffice_Level2"/>
      <w:bookmarkStart w:id="352" w:name="_Toc23835"/>
      <w:r>
        <w:rPr>
          <w:rFonts w:hint="eastAsia"/>
          <w:b/>
          <w:bCs/>
        </w:rPr>
        <w:t>表4-1 部门决策指标得分情况</w:t>
      </w:r>
    </w:p>
    <w:tbl>
      <w:tblPr>
        <w:tblStyle w:val="24"/>
        <w:tblW w:w="4998" w:type="pct"/>
        <w:tblInd w:w="0" w:type="dxa"/>
        <w:tblLayout w:type="autofit"/>
        <w:tblCellMar>
          <w:top w:w="0" w:type="dxa"/>
          <w:left w:w="108" w:type="dxa"/>
          <w:bottom w:w="0" w:type="dxa"/>
          <w:right w:w="108" w:type="dxa"/>
        </w:tblCellMar>
      </w:tblPr>
      <w:tblGrid>
        <w:gridCol w:w="2479"/>
        <w:gridCol w:w="3564"/>
        <w:gridCol w:w="1235"/>
        <w:gridCol w:w="1235"/>
      </w:tblGrid>
      <w:tr w14:paraId="55E7D973">
        <w:tblPrEx>
          <w:tblCellMar>
            <w:top w:w="0" w:type="dxa"/>
            <w:left w:w="108" w:type="dxa"/>
            <w:bottom w:w="0" w:type="dxa"/>
            <w:right w:w="108" w:type="dxa"/>
          </w:tblCellMar>
        </w:tblPrEx>
        <w:trPr>
          <w:trHeight w:val="482" w:hRule="atLeast"/>
          <w:tblHeader/>
        </w:trPr>
        <w:tc>
          <w:tcPr>
            <w:tcW w:w="145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B85EC52">
            <w:pPr>
              <w:jc w:val="center"/>
              <w:textAlignment w:val="center"/>
              <w:rPr>
                <w:b/>
                <w:bCs/>
                <w:color w:val="000000"/>
                <w:sz w:val="21"/>
                <w:szCs w:val="21"/>
              </w:rPr>
            </w:pPr>
            <w:r>
              <w:rPr>
                <w:rFonts w:hint="eastAsia"/>
                <w:b/>
                <w:bCs/>
                <w:color w:val="000000"/>
                <w:kern w:val="0"/>
                <w:sz w:val="21"/>
                <w:szCs w:val="21"/>
              </w:rPr>
              <w:t>二级指标</w:t>
            </w:r>
          </w:p>
        </w:tc>
        <w:tc>
          <w:tcPr>
            <w:tcW w:w="209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29E6E2B">
            <w:pPr>
              <w:jc w:val="center"/>
              <w:textAlignment w:val="center"/>
              <w:rPr>
                <w:b/>
                <w:bCs/>
                <w:color w:val="000000"/>
                <w:sz w:val="21"/>
                <w:szCs w:val="21"/>
              </w:rPr>
            </w:pPr>
            <w:r>
              <w:rPr>
                <w:rFonts w:hint="eastAsia"/>
                <w:b/>
                <w:bCs/>
                <w:color w:val="000000"/>
                <w:kern w:val="0"/>
                <w:sz w:val="21"/>
                <w:szCs w:val="21"/>
              </w:rPr>
              <w:t>三级指标</w:t>
            </w:r>
          </w:p>
        </w:tc>
        <w:tc>
          <w:tcPr>
            <w:tcW w:w="72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9A2CADB">
            <w:pPr>
              <w:jc w:val="center"/>
              <w:textAlignment w:val="center"/>
              <w:rPr>
                <w:b/>
                <w:bCs/>
                <w:color w:val="000000"/>
                <w:sz w:val="21"/>
                <w:szCs w:val="21"/>
              </w:rPr>
            </w:pPr>
            <w:r>
              <w:rPr>
                <w:rFonts w:hint="eastAsia"/>
                <w:b/>
                <w:bCs/>
                <w:color w:val="000000"/>
                <w:kern w:val="0"/>
                <w:sz w:val="21"/>
                <w:szCs w:val="21"/>
              </w:rPr>
              <w:t>权重</w:t>
            </w:r>
          </w:p>
        </w:tc>
        <w:tc>
          <w:tcPr>
            <w:tcW w:w="72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3394559">
            <w:pPr>
              <w:jc w:val="center"/>
              <w:textAlignment w:val="center"/>
              <w:rPr>
                <w:b/>
                <w:bCs/>
                <w:color w:val="000000"/>
                <w:sz w:val="21"/>
                <w:szCs w:val="21"/>
              </w:rPr>
            </w:pPr>
            <w:r>
              <w:rPr>
                <w:rFonts w:hint="eastAsia"/>
                <w:b/>
                <w:bCs/>
                <w:color w:val="000000"/>
                <w:kern w:val="0"/>
                <w:sz w:val="21"/>
                <w:szCs w:val="21"/>
              </w:rPr>
              <w:t>分值</w:t>
            </w:r>
          </w:p>
        </w:tc>
      </w:tr>
      <w:tr w14:paraId="78ABF0AF">
        <w:tblPrEx>
          <w:tblCellMar>
            <w:top w:w="0" w:type="dxa"/>
            <w:left w:w="108" w:type="dxa"/>
            <w:bottom w:w="0" w:type="dxa"/>
            <w:right w:w="108" w:type="dxa"/>
          </w:tblCellMar>
        </w:tblPrEx>
        <w:trPr>
          <w:trHeight w:val="482" w:hRule="atLeast"/>
        </w:trPr>
        <w:tc>
          <w:tcPr>
            <w:tcW w:w="1456" w:type="pct"/>
            <w:vMerge w:val="restart"/>
            <w:tcBorders>
              <w:top w:val="single" w:color="000000" w:sz="4" w:space="0"/>
              <w:left w:val="single" w:color="000000" w:sz="4" w:space="0"/>
              <w:right w:val="single" w:color="000000" w:sz="4" w:space="0"/>
            </w:tcBorders>
            <w:shd w:val="clear" w:color="auto" w:fill="auto"/>
            <w:vAlign w:val="center"/>
          </w:tcPr>
          <w:p w14:paraId="58184AAC">
            <w:pPr>
              <w:jc w:val="left"/>
              <w:textAlignment w:val="center"/>
              <w:rPr>
                <w:color w:val="000000"/>
                <w:sz w:val="21"/>
                <w:szCs w:val="21"/>
              </w:rPr>
            </w:pPr>
            <w:r>
              <w:rPr>
                <w:rFonts w:hint="eastAsia"/>
                <w:color w:val="000000"/>
                <w:kern w:val="0"/>
                <w:sz w:val="21"/>
                <w:szCs w:val="21"/>
              </w:rPr>
              <w:t>A1目标设定</w:t>
            </w: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1595">
            <w:pPr>
              <w:jc w:val="left"/>
              <w:textAlignment w:val="center"/>
              <w:rPr>
                <w:color w:val="000000"/>
                <w:sz w:val="21"/>
                <w:szCs w:val="21"/>
              </w:rPr>
            </w:pPr>
            <w:r>
              <w:rPr>
                <w:rFonts w:hint="eastAsia"/>
                <w:color w:val="000000"/>
                <w:kern w:val="0"/>
                <w:sz w:val="21"/>
                <w:szCs w:val="21"/>
              </w:rPr>
              <w:t>A1-1绩效目标合理性</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9346">
            <w:pPr>
              <w:ind w:right="280" w:rightChars="100"/>
              <w:jc w:val="right"/>
              <w:textAlignment w:val="center"/>
              <w:rPr>
                <w:color w:val="000000"/>
                <w:sz w:val="21"/>
                <w:szCs w:val="21"/>
              </w:rPr>
            </w:pPr>
            <w:r>
              <w:rPr>
                <w:rFonts w:hint="eastAsia"/>
                <w:color w:val="000000"/>
                <w:sz w:val="21"/>
                <w:szCs w:val="21"/>
              </w:rPr>
              <w:t>2.00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B7BB">
            <w:pPr>
              <w:ind w:right="280" w:rightChars="100"/>
              <w:jc w:val="right"/>
              <w:textAlignment w:val="center"/>
              <w:rPr>
                <w:color w:val="000000"/>
                <w:sz w:val="21"/>
                <w:szCs w:val="21"/>
              </w:rPr>
            </w:pPr>
            <w:r>
              <w:rPr>
                <w:rFonts w:hint="eastAsia"/>
                <w:color w:val="000000"/>
                <w:sz w:val="21"/>
                <w:szCs w:val="21"/>
              </w:rPr>
              <w:t>2.00</w:t>
            </w:r>
          </w:p>
        </w:tc>
      </w:tr>
      <w:tr w14:paraId="46274B74">
        <w:tblPrEx>
          <w:tblCellMar>
            <w:top w:w="0" w:type="dxa"/>
            <w:left w:w="108" w:type="dxa"/>
            <w:bottom w:w="0" w:type="dxa"/>
            <w:right w:w="108" w:type="dxa"/>
          </w:tblCellMar>
        </w:tblPrEx>
        <w:trPr>
          <w:trHeight w:val="482" w:hRule="atLeast"/>
        </w:trPr>
        <w:tc>
          <w:tcPr>
            <w:tcW w:w="1456" w:type="pct"/>
            <w:vMerge w:val="continue"/>
            <w:tcBorders>
              <w:left w:val="single" w:color="000000" w:sz="4" w:space="0"/>
              <w:right w:val="single" w:color="000000" w:sz="4" w:space="0"/>
            </w:tcBorders>
            <w:shd w:val="clear" w:color="auto" w:fill="auto"/>
            <w:vAlign w:val="center"/>
          </w:tcPr>
          <w:p w14:paraId="4BC614A8">
            <w:pPr>
              <w:jc w:val="left"/>
              <w:textAlignment w:val="center"/>
              <w:rPr>
                <w:color w:val="000000"/>
                <w:kern w:val="0"/>
                <w:sz w:val="21"/>
                <w:szCs w:val="21"/>
              </w:rPr>
            </w:pP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16A0">
            <w:pPr>
              <w:jc w:val="left"/>
              <w:textAlignment w:val="center"/>
              <w:rPr>
                <w:color w:val="000000"/>
                <w:kern w:val="0"/>
                <w:sz w:val="21"/>
                <w:szCs w:val="21"/>
              </w:rPr>
            </w:pPr>
            <w:r>
              <w:rPr>
                <w:rFonts w:hint="eastAsia"/>
                <w:color w:val="000000"/>
                <w:kern w:val="0"/>
                <w:sz w:val="21"/>
                <w:szCs w:val="21"/>
              </w:rPr>
              <w:t>A1-2绩效指标明确性</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71DD">
            <w:pPr>
              <w:ind w:right="280" w:rightChars="100"/>
              <w:jc w:val="right"/>
              <w:textAlignment w:val="center"/>
              <w:rPr>
                <w:color w:val="000000"/>
                <w:sz w:val="21"/>
                <w:szCs w:val="21"/>
              </w:rPr>
            </w:pPr>
            <w:r>
              <w:rPr>
                <w:rFonts w:hint="eastAsia"/>
                <w:color w:val="000000"/>
                <w:sz w:val="21"/>
                <w:szCs w:val="21"/>
              </w:rPr>
              <w:t>2.00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F0AD">
            <w:pPr>
              <w:ind w:right="280" w:rightChars="100"/>
              <w:jc w:val="right"/>
              <w:textAlignment w:val="center"/>
              <w:rPr>
                <w:color w:val="000000"/>
                <w:sz w:val="21"/>
                <w:szCs w:val="21"/>
              </w:rPr>
            </w:pPr>
            <w:r>
              <w:rPr>
                <w:rFonts w:hint="eastAsia"/>
                <w:color w:val="000000"/>
                <w:sz w:val="21"/>
                <w:szCs w:val="21"/>
              </w:rPr>
              <w:t>2.00</w:t>
            </w:r>
          </w:p>
        </w:tc>
      </w:tr>
      <w:tr w14:paraId="4A3521F8">
        <w:tblPrEx>
          <w:tblCellMar>
            <w:top w:w="0" w:type="dxa"/>
            <w:left w:w="108" w:type="dxa"/>
            <w:bottom w:w="0" w:type="dxa"/>
            <w:right w:w="108" w:type="dxa"/>
          </w:tblCellMar>
        </w:tblPrEx>
        <w:trPr>
          <w:trHeight w:val="482" w:hRule="atLeast"/>
        </w:trPr>
        <w:tc>
          <w:tcPr>
            <w:tcW w:w="1456" w:type="pct"/>
            <w:vMerge w:val="continue"/>
            <w:tcBorders>
              <w:left w:val="single" w:color="000000" w:sz="4" w:space="0"/>
              <w:bottom w:val="single" w:color="000000" w:sz="4" w:space="0"/>
              <w:right w:val="single" w:color="000000" w:sz="4" w:space="0"/>
            </w:tcBorders>
            <w:shd w:val="clear" w:color="auto" w:fill="auto"/>
            <w:vAlign w:val="center"/>
          </w:tcPr>
          <w:p w14:paraId="2C89AA7F">
            <w:pPr>
              <w:jc w:val="left"/>
              <w:textAlignment w:val="center"/>
              <w:rPr>
                <w:color w:val="000000"/>
                <w:kern w:val="0"/>
                <w:sz w:val="21"/>
                <w:szCs w:val="21"/>
              </w:rPr>
            </w:pP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14C2">
            <w:pPr>
              <w:jc w:val="center"/>
              <w:textAlignment w:val="center"/>
              <w:rPr>
                <w:b/>
                <w:bCs/>
                <w:color w:val="000000"/>
                <w:kern w:val="0"/>
                <w:sz w:val="21"/>
                <w:szCs w:val="21"/>
              </w:rPr>
            </w:pPr>
            <w:r>
              <w:rPr>
                <w:rFonts w:hint="eastAsia"/>
                <w:b/>
                <w:bCs/>
                <w:color w:val="000000"/>
                <w:kern w:val="0"/>
                <w:sz w:val="21"/>
                <w:szCs w:val="21"/>
              </w:rPr>
              <w:t>小计</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0859">
            <w:pPr>
              <w:ind w:right="280" w:rightChars="100"/>
              <w:jc w:val="right"/>
              <w:textAlignment w:val="center"/>
              <w:rPr>
                <w:b/>
                <w:bCs/>
                <w:color w:val="000000"/>
                <w:kern w:val="0"/>
                <w:sz w:val="21"/>
                <w:szCs w:val="21"/>
              </w:rPr>
            </w:pPr>
            <w:r>
              <w:rPr>
                <w:rFonts w:hint="eastAsia"/>
                <w:b/>
                <w:bCs/>
                <w:color w:val="000000"/>
                <w:kern w:val="0"/>
                <w:sz w:val="21"/>
                <w:szCs w:val="21"/>
              </w:rPr>
              <w:t>4.00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202F">
            <w:pPr>
              <w:ind w:right="280" w:rightChars="100"/>
              <w:jc w:val="right"/>
              <w:textAlignment w:val="center"/>
              <w:rPr>
                <w:b/>
                <w:bCs/>
                <w:color w:val="000000"/>
                <w:kern w:val="0"/>
                <w:sz w:val="21"/>
                <w:szCs w:val="21"/>
              </w:rPr>
            </w:pPr>
            <w:r>
              <w:rPr>
                <w:rFonts w:hint="eastAsia"/>
                <w:b/>
                <w:bCs/>
                <w:color w:val="000000"/>
                <w:kern w:val="0"/>
                <w:sz w:val="21"/>
                <w:szCs w:val="21"/>
              </w:rPr>
              <w:t>4.00</w:t>
            </w:r>
          </w:p>
        </w:tc>
      </w:tr>
      <w:tr w14:paraId="6F766AAD">
        <w:tblPrEx>
          <w:tblCellMar>
            <w:top w:w="0" w:type="dxa"/>
            <w:left w:w="108" w:type="dxa"/>
            <w:bottom w:w="0" w:type="dxa"/>
            <w:right w:w="108" w:type="dxa"/>
          </w:tblCellMar>
        </w:tblPrEx>
        <w:trPr>
          <w:trHeight w:val="482" w:hRule="atLeast"/>
        </w:trPr>
        <w:tc>
          <w:tcPr>
            <w:tcW w:w="1456" w:type="pct"/>
            <w:vMerge w:val="restart"/>
            <w:tcBorders>
              <w:top w:val="single" w:color="000000" w:sz="4" w:space="0"/>
              <w:left w:val="single" w:color="000000" w:sz="4" w:space="0"/>
              <w:right w:val="single" w:color="000000" w:sz="4" w:space="0"/>
            </w:tcBorders>
            <w:shd w:val="clear" w:color="auto" w:fill="auto"/>
            <w:vAlign w:val="center"/>
          </w:tcPr>
          <w:p w14:paraId="29A6A005">
            <w:pPr>
              <w:jc w:val="left"/>
              <w:textAlignment w:val="center"/>
              <w:rPr>
                <w:color w:val="000000"/>
                <w:sz w:val="21"/>
                <w:szCs w:val="21"/>
              </w:rPr>
            </w:pPr>
            <w:r>
              <w:rPr>
                <w:rFonts w:hint="eastAsia"/>
                <w:color w:val="000000"/>
                <w:kern w:val="0"/>
                <w:sz w:val="21"/>
                <w:szCs w:val="21"/>
              </w:rPr>
              <w:t>A2预算配置</w:t>
            </w: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3FE0">
            <w:pPr>
              <w:jc w:val="left"/>
              <w:textAlignment w:val="center"/>
              <w:rPr>
                <w:color w:val="000000"/>
                <w:sz w:val="21"/>
                <w:szCs w:val="21"/>
              </w:rPr>
            </w:pPr>
            <w:r>
              <w:rPr>
                <w:rFonts w:hint="eastAsia"/>
                <w:color w:val="000000"/>
                <w:kern w:val="0"/>
                <w:sz w:val="21"/>
                <w:szCs w:val="21"/>
              </w:rPr>
              <w:t>A2-1预算编制科学性</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9CE1">
            <w:pPr>
              <w:ind w:right="280" w:rightChars="100"/>
              <w:jc w:val="right"/>
              <w:textAlignment w:val="center"/>
              <w:rPr>
                <w:color w:val="000000"/>
                <w:sz w:val="21"/>
                <w:szCs w:val="21"/>
              </w:rPr>
            </w:pPr>
            <w:r>
              <w:rPr>
                <w:rFonts w:hint="eastAsia"/>
                <w:color w:val="000000"/>
                <w:sz w:val="21"/>
                <w:szCs w:val="21"/>
              </w:rPr>
              <w:t>3.00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1143">
            <w:pPr>
              <w:ind w:right="280" w:rightChars="100"/>
              <w:jc w:val="right"/>
              <w:textAlignment w:val="center"/>
              <w:rPr>
                <w:color w:val="000000"/>
                <w:sz w:val="21"/>
                <w:szCs w:val="21"/>
              </w:rPr>
            </w:pPr>
            <w:r>
              <w:rPr>
                <w:rFonts w:hint="eastAsia"/>
                <w:color w:val="000000"/>
                <w:sz w:val="21"/>
                <w:szCs w:val="21"/>
              </w:rPr>
              <w:t>3.00</w:t>
            </w:r>
          </w:p>
        </w:tc>
      </w:tr>
      <w:tr w14:paraId="7C02892B">
        <w:tblPrEx>
          <w:tblCellMar>
            <w:top w:w="0" w:type="dxa"/>
            <w:left w:w="108" w:type="dxa"/>
            <w:bottom w:w="0" w:type="dxa"/>
            <w:right w:w="108" w:type="dxa"/>
          </w:tblCellMar>
        </w:tblPrEx>
        <w:trPr>
          <w:trHeight w:val="482" w:hRule="atLeast"/>
        </w:trPr>
        <w:tc>
          <w:tcPr>
            <w:tcW w:w="1456" w:type="pct"/>
            <w:vMerge w:val="continue"/>
            <w:tcBorders>
              <w:left w:val="single" w:color="000000" w:sz="4" w:space="0"/>
              <w:bottom w:val="single" w:color="auto" w:sz="4" w:space="0"/>
              <w:right w:val="single" w:color="000000" w:sz="4" w:space="0"/>
            </w:tcBorders>
            <w:shd w:val="clear" w:color="auto" w:fill="auto"/>
            <w:vAlign w:val="center"/>
          </w:tcPr>
          <w:p w14:paraId="239E1C98">
            <w:pPr>
              <w:jc w:val="center"/>
              <w:rPr>
                <w:color w:val="000000"/>
                <w:sz w:val="21"/>
                <w:szCs w:val="21"/>
              </w:rPr>
            </w:pPr>
          </w:p>
        </w:tc>
        <w:tc>
          <w:tcPr>
            <w:tcW w:w="209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12A5D31">
            <w:pPr>
              <w:jc w:val="left"/>
              <w:textAlignment w:val="center"/>
              <w:rPr>
                <w:color w:val="000000"/>
                <w:sz w:val="21"/>
                <w:szCs w:val="21"/>
              </w:rPr>
            </w:pPr>
            <w:r>
              <w:rPr>
                <w:rFonts w:hint="eastAsia"/>
                <w:color w:val="000000"/>
                <w:kern w:val="0"/>
                <w:sz w:val="21"/>
                <w:szCs w:val="21"/>
              </w:rPr>
              <w:t>A2-2预算配置合理性</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6EB9">
            <w:pPr>
              <w:ind w:right="280" w:rightChars="100"/>
              <w:jc w:val="right"/>
              <w:textAlignment w:val="center"/>
              <w:rPr>
                <w:color w:val="000000"/>
                <w:sz w:val="21"/>
                <w:szCs w:val="21"/>
              </w:rPr>
            </w:pPr>
            <w:r>
              <w:rPr>
                <w:rFonts w:hint="eastAsia"/>
                <w:color w:val="000000"/>
                <w:sz w:val="21"/>
                <w:szCs w:val="21"/>
              </w:rPr>
              <w:t>3.00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3FA5">
            <w:pPr>
              <w:ind w:right="280" w:rightChars="100"/>
              <w:jc w:val="right"/>
              <w:textAlignment w:val="center"/>
              <w:rPr>
                <w:color w:val="000000"/>
                <w:sz w:val="21"/>
                <w:szCs w:val="21"/>
              </w:rPr>
            </w:pPr>
            <w:r>
              <w:rPr>
                <w:rFonts w:hint="eastAsia"/>
                <w:color w:val="000000"/>
                <w:sz w:val="21"/>
                <w:szCs w:val="21"/>
              </w:rPr>
              <w:t>3.00</w:t>
            </w:r>
          </w:p>
        </w:tc>
      </w:tr>
      <w:tr w14:paraId="616C2981">
        <w:tblPrEx>
          <w:tblCellMar>
            <w:top w:w="0" w:type="dxa"/>
            <w:left w:w="108" w:type="dxa"/>
            <w:bottom w:w="0" w:type="dxa"/>
            <w:right w:w="108" w:type="dxa"/>
          </w:tblCellMar>
        </w:tblPrEx>
        <w:trPr>
          <w:trHeight w:val="482" w:hRule="atLeast"/>
        </w:trPr>
        <w:tc>
          <w:tcPr>
            <w:tcW w:w="145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EC1198">
            <w:pPr>
              <w:jc w:val="left"/>
              <w:textAlignment w:val="center"/>
              <w:rPr>
                <w:color w:val="000000"/>
                <w:kern w:val="0"/>
                <w:sz w:val="21"/>
                <w:szCs w:val="21"/>
              </w:rPr>
            </w:pPr>
          </w:p>
        </w:tc>
        <w:tc>
          <w:tcPr>
            <w:tcW w:w="2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1109">
            <w:pPr>
              <w:jc w:val="center"/>
              <w:textAlignment w:val="center"/>
              <w:rPr>
                <w:b/>
                <w:bCs/>
                <w:color w:val="000000"/>
                <w:kern w:val="0"/>
                <w:sz w:val="21"/>
                <w:szCs w:val="21"/>
              </w:rPr>
            </w:pPr>
            <w:r>
              <w:rPr>
                <w:rFonts w:hint="eastAsia"/>
                <w:b/>
                <w:bCs/>
                <w:color w:val="000000"/>
                <w:kern w:val="0"/>
                <w:sz w:val="21"/>
                <w:szCs w:val="21"/>
              </w:rPr>
              <w:t>小 计</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474F">
            <w:pPr>
              <w:ind w:right="280" w:rightChars="100"/>
              <w:jc w:val="right"/>
              <w:textAlignment w:val="center"/>
              <w:rPr>
                <w:b/>
                <w:bCs/>
                <w:color w:val="000000"/>
                <w:kern w:val="0"/>
                <w:sz w:val="21"/>
                <w:szCs w:val="21"/>
              </w:rPr>
            </w:pPr>
            <w:r>
              <w:rPr>
                <w:rFonts w:hint="eastAsia"/>
                <w:b/>
                <w:bCs/>
                <w:color w:val="000000"/>
                <w:kern w:val="0"/>
                <w:sz w:val="21"/>
                <w:szCs w:val="21"/>
              </w:rPr>
              <w:t>6.00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4C6B">
            <w:pPr>
              <w:ind w:right="280" w:rightChars="100"/>
              <w:jc w:val="right"/>
              <w:textAlignment w:val="center"/>
              <w:rPr>
                <w:b/>
                <w:bCs/>
                <w:color w:val="000000"/>
                <w:kern w:val="0"/>
                <w:sz w:val="21"/>
                <w:szCs w:val="21"/>
              </w:rPr>
            </w:pPr>
            <w:r>
              <w:rPr>
                <w:rFonts w:hint="eastAsia"/>
                <w:b/>
                <w:bCs/>
                <w:color w:val="000000"/>
                <w:kern w:val="0"/>
                <w:sz w:val="21"/>
                <w:szCs w:val="21"/>
              </w:rPr>
              <w:t>6.00</w:t>
            </w:r>
          </w:p>
        </w:tc>
      </w:tr>
      <w:tr w14:paraId="20CE8DCE">
        <w:tblPrEx>
          <w:tblCellMar>
            <w:top w:w="0" w:type="dxa"/>
            <w:left w:w="108" w:type="dxa"/>
            <w:bottom w:w="0" w:type="dxa"/>
            <w:right w:w="108" w:type="dxa"/>
          </w:tblCellMar>
        </w:tblPrEx>
        <w:trPr>
          <w:trHeight w:val="482" w:hRule="atLeast"/>
        </w:trPr>
        <w:tc>
          <w:tcPr>
            <w:tcW w:w="3549" w:type="pct"/>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14:paraId="299658F5">
            <w:pPr>
              <w:jc w:val="center"/>
              <w:textAlignment w:val="center"/>
              <w:rPr>
                <w:b/>
                <w:bCs/>
                <w:color w:val="000000"/>
                <w:kern w:val="0"/>
                <w:sz w:val="21"/>
                <w:szCs w:val="21"/>
              </w:rPr>
            </w:pPr>
            <w:r>
              <w:rPr>
                <w:rFonts w:hint="eastAsia"/>
                <w:b/>
                <w:bCs/>
                <w:color w:val="000000"/>
                <w:kern w:val="0"/>
                <w:sz w:val="21"/>
                <w:szCs w:val="21"/>
              </w:rPr>
              <w:t>合计</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5F52">
            <w:pPr>
              <w:ind w:right="280" w:rightChars="100"/>
              <w:jc w:val="right"/>
              <w:textAlignment w:val="center"/>
              <w:rPr>
                <w:b/>
                <w:bCs/>
                <w:color w:val="000000"/>
                <w:sz w:val="21"/>
                <w:szCs w:val="21"/>
              </w:rPr>
            </w:pPr>
            <w:r>
              <w:rPr>
                <w:rFonts w:hint="eastAsia"/>
                <w:b/>
                <w:bCs/>
                <w:color w:val="000000"/>
                <w:sz w:val="21"/>
                <w:szCs w:val="21"/>
              </w:rPr>
              <w:t>10.00</w:t>
            </w:r>
          </w:p>
        </w:tc>
        <w:tc>
          <w:tcPr>
            <w:tcW w:w="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2581">
            <w:pPr>
              <w:ind w:right="280" w:rightChars="100"/>
              <w:jc w:val="right"/>
              <w:textAlignment w:val="center"/>
              <w:rPr>
                <w:b/>
                <w:bCs/>
                <w:color w:val="000000"/>
                <w:sz w:val="21"/>
                <w:szCs w:val="21"/>
              </w:rPr>
            </w:pPr>
            <w:r>
              <w:rPr>
                <w:rFonts w:hint="eastAsia"/>
                <w:b/>
                <w:bCs/>
                <w:color w:val="000000"/>
                <w:sz w:val="21"/>
                <w:szCs w:val="21"/>
              </w:rPr>
              <w:t>10.00</w:t>
            </w:r>
          </w:p>
        </w:tc>
      </w:tr>
    </w:tbl>
    <w:p w14:paraId="292E1320">
      <w:pPr>
        <w:widowControl w:val="0"/>
        <w:spacing w:line="560" w:lineRule="exact"/>
        <w:ind w:firstLine="562" w:firstLineChars="200"/>
        <w:outlineLvl w:val="3"/>
        <w:rPr>
          <w:b/>
          <w:highlight w:val="yellow"/>
        </w:rPr>
      </w:pPr>
      <w:r>
        <w:rPr>
          <w:rFonts w:hint="eastAsia"/>
          <w:b/>
        </w:rPr>
        <w:t>1.A1目标设定，权重4分，得分4分</w:t>
      </w:r>
    </w:p>
    <w:p w14:paraId="736776A7">
      <w:pPr>
        <w:widowControl w:val="0"/>
        <w:spacing w:line="560" w:lineRule="exact"/>
        <w:ind w:firstLine="562" w:firstLineChars="200"/>
        <w:outlineLvl w:val="4"/>
        <w:rPr>
          <w:b/>
        </w:rPr>
      </w:pPr>
      <w:r>
        <w:rPr>
          <w:rFonts w:hint="eastAsia"/>
          <w:b/>
        </w:rPr>
        <w:t>（1）A1-1绩效目标合理性</w:t>
      </w:r>
    </w:p>
    <w:p w14:paraId="317D4250">
      <w:pPr>
        <w:widowControl w:val="0"/>
        <w:spacing w:line="560" w:lineRule="exact"/>
        <w:ind w:firstLine="560" w:firstLineChars="200"/>
      </w:pPr>
      <w:r>
        <w:rPr>
          <w:rFonts w:hint="eastAsia"/>
        </w:rPr>
        <w:t>永济市文旅局设定的总目标是：锚定“两个转型，文旅先行”的目标要求，紧紧围绕构建“543”现代产业矩阵的决策部署，加快建设三大文旅经济带，为永济市高质量发展作出文旅贡献。并明确了2023年的目标任务，包括：①实施重点项目建设行动，推进文旅产业高质量发展②实施宣传推介营销行动，塑造永济文旅品牌形象③完成市场主体倍增任务及加大招商引资力度，不断丰富全市旅游业态④实施文化惠民行动，繁荣发展永济文旅事业⑤实施服务质量提升行动，着力优化旅游发展环境⑥实施各项文物保护工程⑦推进文物资源普查调查工作⑧做好文物安全排查及培训工作⑨提升文物宣传传播影响力等。</w:t>
      </w:r>
    </w:p>
    <w:p w14:paraId="43A95BA9">
      <w:pPr>
        <w:widowControl w:val="0"/>
        <w:spacing w:line="560" w:lineRule="exact"/>
        <w:ind w:firstLine="560" w:firstLineChars="200"/>
      </w:pPr>
      <w:r>
        <w:rPr>
          <w:rFonts w:hint="eastAsia"/>
        </w:rPr>
        <w:t>永济市文旅局设定的年度任务符合国家法律法规、经济和社会发展规划要求，符合经济社会发展及“十四五”规划要求，也与部门三定方案制定的职责相符，具有充分的法规依据，设定的工作目标科学合理、内容全面，工作目标可衡量，具备量化或定性条件。该指标分值2分，得分2分。</w:t>
      </w:r>
    </w:p>
    <w:p w14:paraId="2CFDC524">
      <w:pPr>
        <w:widowControl w:val="0"/>
        <w:spacing w:line="560" w:lineRule="exact"/>
        <w:ind w:firstLine="562" w:firstLineChars="200"/>
        <w:outlineLvl w:val="3"/>
        <w:rPr>
          <w:b/>
        </w:rPr>
      </w:pPr>
      <w:r>
        <w:rPr>
          <w:rFonts w:hint="eastAsia"/>
          <w:b/>
        </w:rPr>
        <w:t>（2）A1-2绩效指标明确性</w:t>
      </w:r>
    </w:p>
    <w:p w14:paraId="237AF968">
      <w:pPr>
        <w:widowControl w:val="0"/>
        <w:spacing w:line="560" w:lineRule="exact"/>
        <w:ind w:firstLine="560" w:firstLineChars="200"/>
      </w:pPr>
      <w:r>
        <w:rPr>
          <w:rFonts w:hint="eastAsia"/>
          <w:bCs/>
        </w:rPr>
        <w:t>贵单位部门整体支出绩效目标申报表和项目支出绩效目标申报表均将绩效目标细化分解为具体的绩效指标；制定的绩效指标清晰、可衡量；与部门整体（项目）的目标任务数或计划数相对应。</w:t>
      </w:r>
      <w:r>
        <w:rPr>
          <w:rFonts w:hint="eastAsia"/>
        </w:rPr>
        <w:t>该指标分值2分，得分2分。</w:t>
      </w:r>
    </w:p>
    <w:p w14:paraId="026A73BB">
      <w:pPr>
        <w:widowControl w:val="0"/>
        <w:spacing w:line="560" w:lineRule="exact"/>
        <w:ind w:firstLine="562" w:firstLineChars="200"/>
        <w:outlineLvl w:val="3"/>
        <w:rPr>
          <w:b/>
          <w:highlight w:val="yellow"/>
        </w:rPr>
      </w:pPr>
      <w:r>
        <w:rPr>
          <w:rFonts w:hint="eastAsia"/>
          <w:b/>
        </w:rPr>
        <w:t>1.A2预算配置，权重6分，得分6分</w:t>
      </w:r>
    </w:p>
    <w:p w14:paraId="77201DF6">
      <w:pPr>
        <w:widowControl w:val="0"/>
        <w:spacing w:line="560" w:lineRule="exact"/>
        <w:ind w:firstLine="562" w:firstLineChars="200"/>
        <w:outlineLvl w:val="4"/>
        <w:rPr>
          <w:b/>
        </w:rPr>
      </w:pPr>
      <w:r>
        <w:rPr>
          <w:rFonts w:hint="eastAsia"/>
          <w:b/>
        </w:rPr>
        <w:t>（1）A2-1预算编制科学性</w:t>
      </w:r>
    </w:p>
    <w:p w14:paraId="5161BA1B">
      <w:pPr>
        <w:widowControl w:val="0"/>
        <w:spacing w:line="560" w:lineRule="exact"/>
        <w:ind w:firstLine="560" w:firstLineChars="200"/>
      </w:pPr>
      <w:r>
        <w:rPr>
          <w:rFonts w:hint="eastAsia"/>
          <w:bCs/>
        </w:rPr>
        <w:t>永济市文旅局编报了2023年度的部门预算并经批复，部门预算按照财政规定的时间报送；基本支出分为人员经费和公用经费，根据在职人数和财政规定的标准等报送，除图书馆人员经费和公用经费预算金额录入颠倒除外，基本支出真实、准确；项目支出按照项目分类细化为具体的项目；预算执行资金分配计划及时、准确。</w:t>
      </w:r>
      <w:r>
        <w:rPr>
          <w:rFonts w:hint="eastAsia"/>
        </w:rPr>
        <w:t>该指标分值3分，得分3分。</w:t>
      </w:r>
    </w:p>
    <w:p w14:paraId="01C50102">
      <w:pPr>
        <w:pStyle w:val="8"/>
        <w:widowControl w:val="0"/>
        <w:snapToGrid/>
        <w:spacing w:line="580" w:lineRule="exact"/>
        <w:ind w:firstLine="562"/>
        <w:outlineLvl w:val="4"/>
        <w:rPr>
          <w:rFonts w:ascii="仿宋"/>
          <w:b/>
          <w:bCs/>
          <w:kern w:val="0"/>
        </w:rPr>
      </w:pPr>
      <w:r>
        <w:rPr>
          <w:rFonts w:hint="eastAsia" w:ascii="仿宋"/>
          <w:b/>
          <w:bCs/>
          <w:kern w:val="0"/>
        </w:rPr>
        <w:t>（2）</w:t>
      </w:r>
      <w:r>
        <w:rPr>
          <w:rFonts w:hint="eastAsia" w:ascii="仿宋" w:hAnsi="仿宋"/>
          <w:b/>
        </w:rPr>
        <w:t>A2-2预算配置合理性</w:t>
      </w:r>
    </w:p>
    <w:p w14:paraId="60CE0EDF">
      <w:pPr>
        <w:widowControl w:val="0"/>
        <w:spacing w:line="580" w:lineRule="exact"/>
        <w:ind w:firstLine="560" w:firstLineChars="200"/>
        <w:rPr>
          <w:bCs/>
        </w:rPr>
      </w:pPr>
      <w:r>
        <w:rPr>
          <w:rFonts w:hint="eastAsia"/>
          <w:bCs/>
        </w:rPr>
        <w:t>永济市文旅局预算按照部门编制的年初预算及追加预算申请报告的用途分配预算资金，得1分。</w:t>
      </w:r>
    </w:p>
    <w:p w14:paraId="1DD0CC3F">
      <w:pPr>
        <w:widowControl w:val="0"/>
        <w:spacing w:line="580" w:lineRule="exact"/>
        <w:ind w:firstLine="560" w:firstLineChars="200"/>
        <w:rPr>
          <w:bCs/>
        </w:rPr>
      </w:pPr>
      <w:r>
        <w:rPr>
          <w:rFonts w:hint="eastAsia"/>
          <w:bCs/>
        </w:rPr>
        <w:t>部门2022年三公经费预算3.6万元，2023年“三公经费”预算3.6万元，与上年预算持平。其中因公出国（境）费0万元，公务接待费1.4万元，公务用车运行维护费2.2万元。依据评分标准，得1分。</w:t>
      </w:r>
    </w:p>
    <w:p w14:paraId="0B4D0C73">
      <w:pPr>
        <w:pStyle w:val="8"/>
        <w:widowControl w:val="0"/>
        <w:snapToGrid/>
        <w:ind w:firstLine="560"/>
        <w:rPr>
          <w:rFonts w:ascii="仿宋" w:hAnsi="仿宋"/>
          <w:kern w:val="0"/>
        </w:rPr>
      </w:pPr>
      <w:r>
        <w:rPr>
          <w:rFonts w:hint="eastAsia" w:ascii="仿宋" w:hAnsi="仿宋"/>
          <w:kern w:val="0"/>
        </w:rPr>
        <w:t>永济市文旅局2023年预算公开信息中的重点绩效项目3个，分别为2023年春节活动经费300万元，主要用于2023年春节在鹳雀楼景区举行“鹳雀楼光影演绎嘉年华”文化演绎活动；2023年文物保护经费100万元，主要用于文物修缮、宣传、文创产品开发、文物保护人员经费、办公经费等支出；解决万固寺遗留问题所需经费150万元，主要用于回收李双喜在万固寺内投资的资产，重点支出安排率100%。</w:t>
      </w:r>
    </w:p>
    <w:p w14:paraId="7667780C">
      <w:pPr>
        <w:pStyle w:val="8"/>
        <w:widowControl w:val="0"/>
        <w:snapToGrid/>
        <w:ind w:firstLine="560"/>
        <w:rPr>
          <w:rFonts w:ascii="仿宋" w:hAnsi="仿宋"/>
          <w:kern w:val="0"/>
        </w:rPr>
      </w:pPr>
      <w:r>
        <w:rPr>
          <w:rFonts w:hint="eastAsia" w:ascii="仿宋" w:hAnsi="仿宋"/>
          <w:kern w:val="0"/>
        </w:rPr>
        <w:t>该指标分值3分，得</w:t>
      </w:r>
      <w:r>
        <w:rPr>
          <w:rFonts w:hint="eastAsia" w:ascii="仿宋"/>
          <w:kern w:val="0"/>
        </w:rPr>
        <w:t>3</w:t>
      </w:r>
      <w:r>
        <w:rPr>
          <w:rFonts w:hint="eastAsia" w:ascii="仿宋" w:hAnsi="仿宋"/>
          <w:kern w:val="0"/>
        </w:rPr>
        <w:t>分。</w:t>
      </w:r>
    </w:p>
    <w:p w14:paraId="01182C6E">
      <w:pPr>
        <w:pStyle w:val="3"/>
        <w:ind w:firstLine="562"/>
      </w:pPr>
      <w:bookmarkStart w:id="353" w:name="_Toc180138886"/>
      <w:bookmarkStart w:id="354" w:name="_Toc180503511"/>
      <w:bookmarkStart w:id="355" w:name="_Toc14781"/>
      <w:bookmarkStart w:id="356" w:name="_Toc21613"/>
      <w:bookmarkStart w:id="357" w:name="_Toc11409"/>
      <w:bookmarkStart w:id="358" w:name="_Toc13404"/>
      <w:r>
        <w:rPr>
          <w:rFonts w:hint="eastAsia"/>
        </w:rPr>
        <w:t>（二）部门管理分析</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281A24D1">
      <w:pPr>
        <w:widowControl w:val="0"/>
        <w:spacing w:line="560" w:lineRule="exact"/>
        <w:ind w:firstLine="560" w:firstLineChars="200"/>
      </w:pPr>
      <w:r>
        <w:rPr>
          <w:rFonts w:hint="eastAsia"/>
        </w:rPr>
        <w:t>部门管理分别从预算管理、收支管理、资产管理、其他管理四个方面进行分析，共设置4个二级指标13个三级指标。部门管理指标分值40分，实际得分34.21分，得分率85.53%。各分项指标得分情况如表4-2所示：</w:t>
      </w:r>
    </w:p>
    <w:p w14:paraId="550D4CE7">
      <w:pPr>
        <w:widowControl w:val="0"/>
        <w:spacing w:line="560" w:lineRule="exact"/>
        <w:jc w:val="center"/>
        <w:rPr>
          <w:b/>
        </w:rPr>
      </w:pPr>
      <w:bookmarkStart w:id="359" w:name="_Toc30281_WPSOffice_Level2"/>
      <w:bookmarkStart w:id="360" w:name="_Toc30298_WPSOffice_Level2"/>
      <w:bookmarkStart w:id="361" w:name="_Toc31868_WPSOffice_Level2"/>
      <w:bookmarkStart w:id="362" w:name="_Toc26043_WPSOffice_Level2"/>
      <w:bookmarkStart w:id="363" w:name="_Toc10374_WPSOffice_Level2"/>
      <w:bookmarkStart w:id="364" w:name="_Toc5760_WPSOffice_Level2"/>
      <w:bookmarkStart w:id="365" w:name="_Toc29290_WPSOffice_Level2"/>
      <w:bookmarkStart w:id="366" w:name="_Toc224_WPSOffice_Level2"/>
      <w:bookmarkStart w:id="367" w:name="_Toc14013_WPSOffice_Level2"/>
      <w:r>
        <w:rPr>
          <w:rFonts w:hint="eastAsia"/>
          <w:b/>
        </w:rPr>
        <w:t>表4-2部门管理指标得分情况</w:t>
      </w:r>
      <w:bookmarkEnd w:id="359"/>
      <w:bookmarkEnd w:id="360"/>
      <w:bookmarkEnd w:id="361"/>
      <w:bookmarkEnd w:id="362"/>
      <w:bookmarkEnd w:id="363"/>
      <w:bookmarkEnd w:id="364"/>
      <w:bookmarkEnd w:id="365"/>
      <w:bookmarkEnd w:id="366"/>
      <w:bookmarkEnd w:id="367"/>
    </w:p>
    <w:tbl>
      <w:tblPr>
        <w:tblStyle w:val="24"/>
        <w:tblW w:w="4998" w:type="pct"/>
        <w:tblInd w:w="0" w:type="dxa"/>
        <w:tblLayout w:type="autofit"/>
        <w:tblCellMar>
          <w:top w:w="0" w:type="dxa"/>
          <w:left w:w="108" w:type="dxa"/>
          <w:bottom w:w="0" w:type="dxa"/>
          <w:right w:w="108" w:type="dxa"/>
        </w:tblCellMar>
      </w:tblPr>
      <w:tblGrid>
        <w:gridCol w:w="1931"/>
        <w:gridCol w:w="3813"/>
        <w:gridCol w:w="1383"/>
        <w:gridCol w:w="1386"/>
      </w:tblGrid>
      <w:tr w14:paraId="1FECE800">
        <w:tblPrEx>
          <w:tblCellMar>
            <w:top w:w="0" w:type="dxa"/>
            <w:left w:w="108" w:type="dxa"/>
            <w:bottom w:w="0" w:type="dxa"/>
            <w:right w:w="108" w:type="dxa"/>
          </w:tblCellMar>
        </w:tblPrEx>
        <w:trPr>
          <w:trHeight w:val="499" w:hRule="atLeast"/>
          <w:tblHeader/>
        </w:trPr>
        <w:tc>
          <w:tcPr>
            <w:tcW w:w="113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E27CCC9">
            <w:pPr>
              <w:jc w:val="center"/>
              <w:textAlignment w:val="center"/>
              <w:rPr>
                <w:b/>
                <w:bCs/>
                <w:color w:val="000000"/>
                <w:sz w:val="21"/>
                <w:szCs w:val="21"/>
              </w:rPr>
            </w:pPr>
            <w:bookmarkStart w:id="368" w:name="_Toc20501_WPSOffice_Level3"/>
            <w:bookmarkStart w:id="369" w:name="_Toc9978_WPSOffice_Level3"/>
            <w:r>
              <w:rPr>
                <w:rFonts w:hint="eastAsia"/>
                <w:b/>
                <w:bCs/>
                <w:color w:val="000000"/>
                <w:kern w:val="0"/>
                <w:sz w:val="21"/>
                <w:szCs w:val="21"/>
              </w:rPr>
              <w:t>二级指标</w:t>
            </w:r>
          </w:p>
        </w:tc>
        <w:tc>
          <w:tcPr>
            <w:tcW w:w="223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67535CD">
            <w:pPr>
              <w:jc w:val="center"/>
              <w:textAlignment w:val="center"/>
              <w:rPr>
                <w:b/>
                <w:bCs/>
                <w:color w:val="000000"/>
                <w:sz w:val="21"/>
                <w:szCs w:val="21"/>
              </w:rPr>
            </w:pPr>
            <w:r>
              <w:rPr>
                <w:rFonts w:hint="eastAsia"/>
                <w:b/>
                <w:bCs/>
                <w:color w:val="000000"/>
                <w:kern w:val="0"/>
                <w:sz w:val="21"/>
                <w:szCs w:val="21"/>
              </w:rPr>
              <w:t>三级指标</w:t>
            </w:r>
          </w:p>
        </w:tc>
        <w:tc>
          <w:tcPr>
            <w:tcW w:w="8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BADEBD0">
            <w:pPr>
              <w:jc w:val="center"/>
              <w:textAlignment w:val="center"/>
              <w:rPr>
                <w:b/>
                <w:bCs/>
                <w:color w:val="000000"/>
                <w:sz w:val="21"/>
                <w:szCs w:val="21"/>
              </w:rPr>
            </w:pPr>
            <w:r>
              <w:rPr>
                <w:rFonts w:hint="eastAsia"/>
                <w:b/>
                <w:bCs/>
                <w:color w:val="000000"/>
                <w:kern w:val="0"/>
                <w:sz w:val="21"/>
                <w:szCs w:val="21"/>
              </w:rPr>
              <w:t>权重</w:t>
            </w:r>
          </w:p>
        </w:tc>
        <w:tc>
          <w:tcPr>
            <w:tcW w:w="8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9911E2C">
            <w:pPr>
              <w:jc w:val="center"/>
              <w:textAlignment w:val="center"/>
              <w:rPr>
                <w:b/>
                <w:bCs/>
                <w:color w:val="000000"/>
                <w:sz w:val="21"/>
                <w:szCs w:val="21"/>
              </w:rPr>
            </w:pPr>
            <w:r>
              <w:rPr>
                <w:rFonts w:hint="eastAsia"/>
                <w:b/>
                <w:bCs/>
                <w:color w:val="000000"/>
                <w:kern w:val="0"/>
                <w:sz w:val="21"/>
                <w:szCs w:val="21"/>
              </w:rPr>
              <w:t>得分</w:t>
            </w:r>
          </w:p>
        </w:tc>
      </w:tr>
      <w:tr w14:paraId="4CBCEB43">
        <w:tblPrEx>
          <w:tblCellMar>
            <w:top w:w="0" w:type="dxa"/>
            <w:left w:w="108" w:type="dxa"/>
            <w:bottom w:w="0" w:type="dxa"/>
            <w:right w:w="108" w:type="dxa"/>
          </w:tblCellMar>
        </w:tblPrEx>
        <w:trPr>
          <w:trHeight w:val="499" w:hRule="atLeast"/>
        </w:trPr>
        <w:tc>
          <w:tcPr>
            <w:tcW w:w="1134" w:type="pct"/>
            <w:vMerge w:val="restart"/>
            <w:tcBorders>
              <w:top w:val="single" w:color="000000" w:sz="4" w:space="0"/>
              <w:left w:val="single" w:color="000000" w:sz="4" w:space="0"/>
              <w:right w:val="single" w:color="000000" w:sz="4" w:space="0"/>
            </w:tcBorders>
            <w:shd w:val="clear" w:color="auto" w:fill="auto"/>
            <w:vAlign w:val="center"/>
          </w:tcPr>
          <w:p w14:paraId="35AD6ADE">
            <w:pPr>
              <w:jc w:val="left"/>
              <w:textAlignment w:val="center"/>
              <w:rPr>
                <w:color w:val="000000"/>
                <w:sz w:val="21"/>
                <w:szCs w:val="21"/>
              </w:rPr>
            </w:pPr>
            <w:r>
              <w:rPr>
                <w:rFonts w:hint="eastAsia"/>
                <w:color w:val="000000"/>
                <w:kern w:val="0"/>
                <w:sz w:val="21"/>
                <w:szCs w:val="21"/>
              </w:rPr>
              <w:t>B1预算管理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4B2B">
            <w:pPr>
              <w:textAlignment w:val="center"/>
              <w:rPr>
                <w:color w:val="000000"/>
                <w:sz w:val="21"/>
                <w:szCs w:val="21"/>
              </w:rPr>
            </w:pPr>
            <w:r>
              <w:rPr>
                <w:rFonts w:hint="eastAsia"/>
                <w:color w:val="000000"/>
                <w:kern w:val="0"/>
                <w:sz w:val="21"/>
                <w:szCs w:val="21"/>
              </w:rPr>
              <w:t>B1-1预算完成率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CFBB">
            <w:pPr>
              <w:ind w:right="280" w:rightChars="100"/>
              <w:jc w:val="right"/>
              <w:textAlignment w:val="center"/>
              <w:rPr>
                <w:color w:val="000000"/>
                <w:sz w:val="21"/>
                <w:szCs w:val="21"/>
              </w:rPr>
            </w:pPr>
            <w:r>
              <w:rPr>
                <w:rFonts w:hint="eastAsia"/>
                <w:color w:val="00000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6882">
            <w:pPr>
              <w:ind w:right="280" w:rightChars="100"/>
              <w:jc w:val="right"/>
              <w:textAlignment w:val="center"/>
              <w:rPr>
                <w:color w:val="000000"/>
                <w:sz w:val="21"/>
                <w:szCs w:val="21"/>
              </w:rPr>
            </w:pPr>
            <w:r>
              <w:rPr>
                <w:rFonts w:hint="eastAsia"/>
                <w:color w:val="000000"/>
                <w:sz w:val="21"/>
                <w:szCs w:val="21"/>
              </w:rPr>
              <w:t>2.00</w:t>
            </w:r>
          </w:p>
        </w:tc>
      </w:tr>
      <w:tr w14:paraId="5272B12E">
        <w:tblPrEx>
          <w:tblCellMar>
            <w:top w:w="0" w:type="dxa"/>
            <w:left w:w="108" w:type="dxa"/>
            <w:bottom w:w="0" w:type="dxa"/>
            <w:right w:w="108" w:type="dxa"/>
          </w:tblCellMar>
        </w:tblPrEx>
        <w:trPr>
          <w:trHeight w:val="499" w:hRule="atLeast"/>
        </w:trPr>
        <w:tc>
          <w:tcPr>
            <w:tcW w:w="1134" w:type="pct"/>
            <w:vMerge w:val="continue"/>
            <w:tcBorders>
              <w:left w:val="single" w:color="000000" w:sz="4" w:space="0"/>
              <w:right w:val="single" w:color="000000" w:sz="4" w:space="0"/>
            </w:tcBorders>
            <w:shd w:val="clear" w:color="auto" w:fill="auto"/>
            <w:vAlign w:val="center"/>
          </w:tcPr>
          <w:p w14:paraId="5F6179D0">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6FC3B">
            <w:pPr>
              <w:textAlignment w:val="center"/>
              <w:rPr>
                <w:color w:val="000000"/>
                <w:sz w:val="21"/>
                <w:szCs w:val="21"/>
              </w:rPr>
            </w:pPr>
            <w:r>
              <w:rPr>
                <w:rFonts w:hint="eastAsia"/>
                <w:color w:val="000000"/>
                <w:kern w:val="0"/>
                <w:sz w:val="21"/>
                <w:szCs w:val="21"/>
              </w:rPr>
              <w:t>B1-2预算调整率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5AC2">
            <w:pPr>
              <w:ind w:right="280" w:rightChars="100"/>
              <w:jc w:val="right"/>
              <w:textAlignment w:val="center"/>
              <w:rPr>
                <w:color w:val="000000"/>
                <w:sz w:val="21"/>
                <w:szCs w:val="21"/>
              </w:rPr>
            </w:pPr>
            <w:r>
              <w:rPr>
                <w:rFonts w:hint="eastAsia"/>
                <w:color w:val="00000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2023">
            <w:pPr>
              <w:ind w:right="280" w:rightChars="100"/>
              <w:jc w:val="right"/>
              <w:textAlignment w:val="center"/>
              <w:rPr>
                <w:color w:val="000000"/>
                <w:sz w:val="21"/>
                <w:szCs w:val="21"/>
              </w:rPr>
            </w:pPr>
            <w:r>
              <w:rPr>
                <w:rFonts w:hint="eastAsia"/>
                <w:color w:val="000000"/>
                <w:sz w:val="21"/>
                <w:szCs w:val="21"/>
              </w:rPr>
              <w:t>1.86</w:t>
            </w:r>
          </w:p>
        </w:tc>
      </w:tr>
      <w:tr w14:paraId="6A367D5A">
        <w:tblPrEx>
          <w:tblCellMar>
            <w:top w:w="0" w:type="dxa"/>
            <w:left w:w="108" w:type="dxa"/>
            <w:bottom w:w="0" w:type="dxa"/>
            <w:right w:w="108" w:type="dxa"/>
          </w:tblCellMar>
        </w:tblPrEx>
        <w:trPr>
          <w:trHeight w:val="499" w:hRule="atLeast"/>
        </w:trPr>
        <w:tc>
          <w:tcPr>
            <w:tcW w:w="1134" w:type="pct"/>
            <w:vMerge w:val="continue"/>
            <w:tcBorders>
              <w:left w:val="single" w:color="000000" w:sz="4" w:space="0"/>
              <w:right w:val="single" w:color="000000" w:sz="4" w:space="0"/>
            </w:tcBorders>
            <w:shd w:val="clear" w:color="auto" w:fill="auto"/>
            <w:vAlign w:val="center"/>
          </w:tcPr>
          <w:p w14:paraId="06B45333">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3ECD">
            <w:pPr>
              <w:textAlignment w:val="center"/>
              <w:rPr>
                <w:color w:val="000000"/>
                <w:sz w:val="21"/>
                <w:szCs w:val="21"/>
              </w:rPr>
            </w:pPr>
            <w:r>
              <w:rPr>
                <w:rFonts w:hint="eastAsia"/>
                <w:color w:val="000000"/>
                <w:kern w:val="0"/>
                <w:sz w:val="21"/>
                <w:szCs w:val="21"/>
              </w:rPr>
              <w:t>B1-3支付进度率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5416">
            <w:pPr>
              <w:ind w:right="280" w:rightChars="100"/>
              <w:jc w:val="right"/>
              <w:textAlignment w:val="center"/>
              <w:rPr>
                <w:color w:val="000000"/>
                <w:sz w:val="21"/>
                <w:szCs w:val="21"/>
              </w:rPr>
            </w:pPr>
            <w:r>
              <w:rPr>
                <w:rFonts w:hint="eastAsia"/>
                <w:color w:val="00000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BC00">
            <w:pPr>
              <w:ind w:right="280" w:rightChars="100"/>
              <w:jc w:val="right"/>
              <w:textAlignment w:val="center"/>
              <w:rPr>
                <w:color w:val="000000"/>
                <w:sz w:val="21"/>
                <w:szCs w:val="21"/>
              </w:rPr>
            </w:pPr>
            <w:r>
              <w:rPr>
                <w:rFonts w:hint="eastAsia"/>
                <w:color w:val="000000"/>
                <w:sz w:val="21"/>
                <w:szCs w:val="21"/>
              </w:rPr>
              <w:t>1.36</w:t>
            </w:r>
          </w:p>
        </w:tc>
      </w:tr>
      <w:tr w14:paraId="5C7322F8">
        <w:tblPrEx>
          <w:tblCellMar>
            <w:top w:w="0" w:type="dxa"/>
            <w:left w:w="108" w:type="dxa"/>
            <w:bottom w:w="0" w:type="dxa"/>
            <w:right w:w="108" w:type="dxa"/>
          </w:tblCellMar>
        </w:tblPrEx>
        <w:trPr>
          <w:trHeight w:val="499" w:hRule="atLeast"/>
        </w:trPr>
        <w:tc>
          <w:tcPr>
            <w:tcW w:w="1134" w:type="pct"/>
            <w:vMerge w:val="continue"/>
            <w:tcBorders>
              <w:left w:val="single" w:color="000000" w:sz="4" w:space="0"/>
              <w:right w:val="single" w:color="000000" w:sz="4" w:space="0"/>
            </w:tcBorders>
            <w:shd w:val="clear" w:color="auto" w:fill="auto"/>
            <w:vAlign w:val="center"/>
          </w:tcPr>
          <w:p w14:paraId="55EBDEBB">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7010F">
            <w:pPr>
              <w:textAlignment w:val="center"/>
              <w:rPr>
                <w:color w:val="000000"/>
                <w:kern w:val="0"/>
                <w:sz w:val="21"/>
                <w:szCs w:val="21"/>
              </w:rPr>
            </w:pPr>
            <w:r>
              <w:rPr>
                <w:rFonts w:hint="eastAsia"/>
                <w:color w:val="000000"/>
                <w:kern w:val="0"/>
                <w:sz w:val="21"/>
                <w:szCs w:val="21"/>
              </w:rPr>
              <w:t>B1-4结转结余率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5A3E">
            <w:pPr>
              <w:ind w:right="280" w:rightChars="100"/>
              <w:jc w:val="right"/>
              <w:textAlignment w:val="center"/>
              <w:rPr>
                <w:color w:val="000000"/>
                <w:kern w:val="0"/>
                <w:sz w:val="21"/>
                <w:szCs w:val="21"/>
              </w:rPr>
            </w:pPr>
            <w:r>
              <w:rPr>
                <w:rFonts w:hint="eastAsia"/>
                <w:color w:val="000000"/>
                <w:kern w:val="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1799">
            <w:pPr>
              <w:ind w:right="280" w:rightChars="100"/>
              <w:jc w:val="right"/>
              <w:textAlignment w:val="center"/>
              <w:rPr>
                <w:color w:val="000000"/>
                <w:kern w:val="0"/>
                <w:sz w:val="21"/>
                <w:szCs w:val="21"/>
              </w:rPr>
            </w:pPr>
            <w:r>
              <w:rPr>
                <w:rFonts w:hint="eastAsia"/>
                <w:color w:val="000000"/>
                <w:kern w:val="0"/>
                <w:sz w:val="21"/>
                <w:szCs w:val="21"/>
              </w:rPr>
              <w:t>1.98</w:t>
            </w:r>
          </w:p>
        </w:tc>
      </w:tr>
      <w:tr w14:paraId="3AF450F7">
        <w:tblPrEx>
          <w:tblCellMar>
            <w:top w:w="0" w:type="dxa"/>
            <w:left w:w="108" w:type="dxa"/>
            <w:bottom w:w="0" w:type="dxa"/>
            <w:right w:w="108" w:type="dxa"/>
          </w:tblCellMar>
        </w:tblPrEx>
        <w:trPr>
          <w:trHeight w:val="499" w:hRule="atLeast"/>
        </w:trPr>
        <w:tc>
          <w:tcPr>
            <w:tcW w:w="1134" w:type="pct"/>
            <w:vMerge w:val="continue"/>
            <w:tcBorders>
              <w:left w:val="single" w:color="000000" w:sz="4" w:space="0"/>
              <w:right w:val="single" w:color="000000" w:sz="4" w:space="0"/>
            </w:tcBorders>
            <w:shd w:val="clear" w:color="auto" w:fill="auto"/>
            <w:vAlign w:val="center"/>
          </w:tcPr>
          <w:p w14:paraId="3B9A6815">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BAA1">
            <w:pPr>
              <w:textAlignment w:val="center"/>
              <w:rPr>
                <w:color w:val="000000"/>
                <w:kern w:val="0"/>
                <w:sz w:val="21"/>
                <w:szCs w:val="21"/>
              </w:rPr>
            </w:pPr>
            <w:r>
              <w:rPr>
                <w:rFonts w:hint="eastAsia"/>
                <w:color w:val="000000"/>
                <w:kern w:val="0"/>
                <w:sz w:val="21"/>
                <w:szCs w:val="21"/>
              </w:rPr>
              <w:t>B1-5结转结余变动率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537B">
            <w:pPr>
              <w:ind w:right="280" w:rightChars="100"/>
              <w:jc w:val="right"/>
              <w:textAlignment w:val="center"/>
              <w:rPr>
                <w:color w:val="000000"/>
                <w:kern w:val="0"/>
                <w:sz w:val="21"/>
                <w:szCs w:val="21"/>
              </w:rPr>
            </w:pPr>
            <w:r>
              <w:rPr>
                <w:rFonts w:hint="eastAsia"/>
                <w:color w:val="000000"/>
                <w:kern w:val="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5516">
            <w:pPr>
              <w:ind w:right="280" w:rightChars="100"/>
              <w:jc w:val="right"/>
              <w:textAlignment w:val="center"/>
              <w:rPr>
                <w:color w:val="000000"/>
                <w:kern w:val="0"/>
                <w:sz w:val="21"/>
                <w:szCs w:val="21"/>
              </w:rPr>
            </w:pPr>
            <w:r>
              <w:rPr>
                <w:rFonts w:hint="eastAsia"/>
                <w:color w:val="000000"/>
                <w:kern w:val="0"/>
                <w:sz w:val="21"/>
                <w:szCs w:val="21"/>
              </w:rPr>
              <w:t>2.00</w:t>
            </w:r>
          </w:p>
        </w:tc>
      </w:tr>
      <w:tr w14:paraId="48B84A2F">
        <w:tblPrEx>
          <w:tblCellMar>
            <w:top w:w="0" w:type="dxa"/>
            <w:left w:w="108" w:type="dxa"/>
            <w:bottom w:w="0" w:type="dxa"/>
            <w:right w:w="108" w:type="dxa"/>
          </w:tblCellMar>
        </w:tblPrEx>
        <w:trPr>
          <w:trHeight w:val="499" w:hRule="atLeast"/>
        </w:trPr>
        <w:tc>
          <w:tcPr>
            <w:tcW w:w="1134" w:type="pct"/>
            <w:vMerge w:val="continue"/>
            <w:tcBorders>
              <w:left w:val="single" w:color="000000" w:sz="4" w:space="0"/>
              <w:bottom w:val="single" w:color="000000" w:sz="4" w:space="0"/>
              <w:right w:val="single" w:color="000000" w:sz="4" w:space="0"/>
            </w:tcBorders>
            <w:shd w:val="clear" w:color="auto" w:fill="auto"/>
            <w:vAlign w:val="center"/>
          </w:tcPr>
          <w:p w14:paraId="7F588768">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F355">
            <w:pPr>
              <w:textAlignment w:val="center"/>
              <w:rPr>
                <w:color w:val="000000"/>
                <w:kern w:val="0"/>
                <w:sz w:val="21"/>
                <w:szCs w:val="21"/>
              </w:rPr>
            </w:pPr>
            <w:r>
              <w:rPr>
                <w:rFonts w:hint="eastAsia"/>
                <w:color w:val="000000"/>
                <w:kern w:val="0"/>
                <w:sz w:val="21"/>
                <w:szCs w:val="21"/>
              </w:rPr>
              <w:t>B1-6预算绩效管理</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39D68">
            <w:pPr>
              <w:ind w:right="280" w:rightChars="100"/>
              <w:jc w:val="right"/>
              <w:textAlignment w:val="center"/>
              <w:rPr>
                <w:color w:val="000000"/>
                <w:kern w:val="0"/>
                <w:sz w:val="21"/>
                <w:szCs w:val="21"/>
              </w:rPr>
            </w:pPr>
            <w:r>
              <w:rPr>
                <w:rFonts w:hint="eastAsia"/>
                <w:color w:val="000000"/>
                <w:kern w:val="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055B">
            <w:pPr>
              <w:ind w:right="280" w:rightChars="100"/>
              <w:jc w:val="right"/>
              <w:textAlignment w:val="center"/>
              <w:rPr>
                <w:color w:val="000000"/>
                <w:kern w:val="0"/>
                <w:sz w:val="21"/>
                <w:szCs w:val="21"/>
              </w:rPr>
            </w:pPr>
            <w:r>
              <w:rPr>
                <w:rFonts w:hint="eastAsia"/>
                <w:color w:val="000000"/>
                <w:kern w:val="0"/>
                <w:sz w:val="21"/>
                <w:szCs w:val="21"/>
              </w:rPr>
              <w:t>2.00</w:t>
            </w:r>
          </w:p>
        </w:tc>
      </w:tr>
      <w:tr w14:paraId="053600DB">
        <w:tblPrEx>
          <w:tblCellMar>
            <w:top w:w="0" w:type="dxa"/>
            <w:left w:w="108" w:type="dxa"/>
            <w:bottom w:w="0" w:type="dxa"/>
            <w:right w:w="108" w:type="dxa"/>
          </w:tblCellMar>
        </w:tblPrEx>
        <w:trPr>
          <w:trHeight w:val="499" w:hRule="atLeast"/>
        </w:trPr>
        <w:tc>
          <w:tcPr>
            <w:tcW w:w="1134" w:type="pct"/>
            <w:vMerge w:val="continue"/>
            <w:tcBorders>
              <w:left w:val="single" w:color="000000" w:sz="4" w:space="0"/>
              <w:bottom w:val="single" w:color="000000" w:sz="4" w:space="0"/>
              <w:right w:val="single" w:color="000000" w:sz="4" w:space="0"/>
            </w:tcBorders>
            <w:shd w:val="clear" w:color="auto" w:fill="auto"/>
            <w:vAlign w:val="center"/>
          </w:tcPr>
          <w:p w14:paraId="3AF12740">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91306">
            <w:pPr>
              <w:jc w:val="center"/>
              <w:textAlignment w:val="center"/>
              <w:rPr>
                <w:b/>
                <w:bCs/>
                <w:color w:val="000000"/>
                <w:sz w:val="21"/>
                <w:szCs w:val="21"/>
              </w:rPr>
            </w:pPr>
            <w:r>
              <w:rPr>
                <w:rFonts w:hint="eastAsia"/>
                <w:b/>
                <w:bCs/>
                <w:color w:val="000000"/>
                <w:kern w:val="0"/>
                <w:sz w:val="21"/>
                <w:szCs w:val="21"/>
              </w:rPr>
              <w:t>小计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1EDCC">
            <w:pPr>
              <w:ind w:right="280" w:rightChars="100"/>
              <w:jc w:val="right"/>
              <w:textAlignment w:val="center"/>
              <w:rPr>
                <w:b/>
                <w:bCs/>
                <w:color w:val="000000"/>
                <w:sz w:val="21"/>
                <w:szCs w:val="21"/>
              </w:rPr>
            </w:pPr>
            <w:r>
              <w:rPr>
                <w:rFonts w:hint="eastAsia"/>
                <w:b/>
                <w:bCs/>
                <w:color w:val="000000"/>
                <w:sz w:val="21"/>
                <w:szCs w:val="21"/>
              </w:rPr>
              <w:t>12.00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263A">
            <w:pPr>
              <w:ind w:right="280" w:rightChars="100"/>
              <w:jc w:val="right"/>
              <w:textAlignment w:val="center"/>
              <w:rPr>
                <w:b/>
                <w:bCs/>
                <w:color w:val="000000"/>
                <w:sz w:val="21"/>
                <w:szCs w:val="21"/>
              </w:rPr>
            </w:pPr>
            <w:r>
              <w:rPr>
                <w:rFonts w:hint="eastAsia"/>
                <w:b/>
                <w:bCs/>
                <w:color w:val="000000"/>
                <w:sz w:val="21"/>
                <w:szCs w:val="21"/>
              </w:rPr>
              <w:t>11.20</w:t>
            </w:r>
          </w:p>
        </w:tc>
      </w:tr>
      <w:tr w14:paraId="347AB376">
        <w:tblPrEx>
          <w:tblCellMar>
            <w:top w:w="0" w:type="dxa"/>
            <w:left w:w="108" w:type="dxa"/>
            <w:bottom w:w="0" w:type="dxa"/>
            <w:right w:w="108" w:type="dxa"/>
          </w:tblCellMar>
        </w:tblPrEx>
        <w:trPr>
          <w:trHeight w:val="499" w:hRule="atLeast"/>
        </w:trPr>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73ECB">
            <w:pPr>
              <w:jc w:val="left"/>
              <w:textAlignment w:val="center"/>
              <w:rPr>
                <w:color w:val="000000"/>
                <w:sz w:val="21"/>
                <w:szCs w:val="21"/>
              </w:rPr>
            </w:pPr>
            <w:r>
              <w:rPr>
                <w:rFonts w:hint="eastAsia"/>
                <w:color w:val="000000"/>
                <w:kern w:val="0"/>
                <w:sz w:val="21"/>
                <w:szCs w:val="21"/>
              </w:rPr>
              <w:t>B2收支管理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28942">
            <w:pPr>
              <w:textAlignment w:val="center"/>
              <w:rPr>
                <w:color w:val="000000"/>
                <w:sz w:val="21"/>
                <w:szCs w:val="21"/>
              </w:rPr>
            </w:pPr>
            <w:r>
              <w:rPr>
                <w:rFonts w:hint="eastAsia"/>
                <w:color w:val="000000"/>
                <w:kern w:val="0"/>
                <w:sz w:val="21"/>
                <w:szCs w:val="21"/>
              </w:rPr>
              <w:t>B2-1收支管理规范性</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F15A5">
            <w:pPr>
              <w:ind w:right="280" w:rightChars="100"/>
              <w:jc w:val="right"/>
              <w:textAlignment w:val="center"/>
              <w:rPr>
                <w:color w:val="000000"/>
                <w:sz w:val="21"/>
                <w:szCs w:val="21"/>
              </w:rPr>
            </w:pPr>
            <w:r>
              <w:rPr>
                <w:rFonts w:hint="eastAsia"/>
                <w:color w:val="000000"/>
                <w:kern w:val="0"/>
                <w:sz w:val="21"/>
                <w:szCs w:val="21"/>
              </w:rPr>
              <w:t>14.00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513B">
            <w:pPr>
              <w:ind w:right="280" w:rightChars="100"/>
              <w:jc w:val="right"/>
              <w:textAlignment w:val="center"/>
              <w:rPr>
                <w:color w:val="000000"/>
                <w:sz w:val="21"/>
                <w:szCs w:val="21"/>
              </w:rPr>
            </w:pPr>
            <w:r>
              <w:rPr>
                <w:rFonts w:hint="eastAsia"/>
                <w:color w:val="000000"/>
                <w:sz w:val="21"/>
                <w:szCs w:val="21"/>
              </w:rPr>
              <w:t>10.50</w:t>
            </w:r>
          </w:p>
        </w:tc>
      </w:tr>
      <w:tr w14:paraId="2038D490">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0EC08">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D24EB">
            <w:pPr>
              <w:textAlignment w:val="center"/>
              <w:rPr>
                <w:color w:val="000000"/>
                <w:sz w:val="21"/>
                <w:szCs w:val="21"/>
              </w:rPr>
            </w:pPr>
            <w:r>
              <w:rPr>
                <w:rFonts w:hint="eastAsia"/>
                <w:color w:val="000000"/>
                <w:kern w:val="0"/>
                <w:sz w:val="21"/>
                <w:szCs w:val="21"/>
              </w:rPr>
              <w:t>B2-2支出结构合理性</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A3A3">
            <w:pPr>
              <w:ind w:right="280" w:rightChars="100"/>
              <w:jc w:val="right"/>
              <w:textAlignment w:val="center"/>
              <w:rPr>
                <w:color w:val="000000"/>
                <w:sz w:val="21"/>
                <w:szCs w:val="21"/>
              </w:rPr>
            </w:pPr>
            <w:r>
              <w:rPr>
                <w:rFonts w:hint="eastAsia"/>
                <w:color w:val="000000"/>
                <w:kern w:val="0"/>
                <w:sz w:val="21"/>
                <w:szCs w:val="21"/>
              </w:rPr>
              <w:t>2</w:t>
            </w:r>
            <w:r>
              <w:rPr>
                <w:color w:val="000000"/>
                <w:kern w:val="0"/>
                <w:sz w:val="21"/>
                <w:szCs w:val="21"/>
              </w:rPr>
              <w:t>.00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8C3B">
            <w:pPr>
              <w:ind w:right="280" w:rightChars="100"/>
              <w:jc w:val="right"/>
              <w:textAlignment w:val="center"/>
              <w:rPr>
                <w:color w:val="000000"/>
                <w:sz w:val="21"/>
                <w:szCs w:val="21"/>
              </w:rPr>
            </w:pPr>
            <w:r>
              <w:rPr>
                <w:rFonts w:hint="eastAsia"/>
                <w:color w:val="000000"/>
                <w:sz w:val="21"/>
                <w:szCs w:val="21"/>
              </w:rPr>
              <w:t>2.00</w:t>
            </w:r>
          </w:p>
        </w:tc>
      </w:tr>
      <w:tr w14:paraId="366C2A7E">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257AF">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A4560">
            <w:pPr>
              <w:jc w:val="center"/>
              <w:textAlignment w:val="center"/>
              <w:rPr>
                <w:b/>
                <w:bCs/>
                <w:color w:val="000000"/>
                <w:sz w:val="21"/>
                <w:szCs w:val="21"/>
              </w:rPr>
            </w:pPr>
            <w:r>
              <w:rPr>
                <w:rFonts w:hint="eastAsia"/>
                <w:b/>
                <w:bCs/>
                <w:color w:val="000000"/>
                <w:kern w:val="0"/>
                <w:sz w:val="21"/>
                <w:szCs w:val="21"/>
              </w:rPr>
              <w:t>小计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2F62">
            <w:pPr>
              <w:ind w:right="280" w:rightChars="100"/>
              <w:jc w:val="right"/>
              <w:textAlignment w:val="center"/>
              <w:rPr>
                <w:b/>
                <w:bCs/>
                <w:color w:val="000000"/>
                <w:sz w:val="21"/>
                <w:szCs w:val="21"/>
              </w:rPr>
            </w:pPr>
            <w:r>
              <w:rPr>
                <w:rFonts w:hint="eastAsia"/>
                <w:b/>
                <w:bCs/>
                <w:color w:val="000000"/>
                <w:kern w:val="0"/>
                <w:sz w:val="21"/>
                <w:szCs w:val="21"/>
              </w:rPr>
              <w:t>16.00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98F2">
            <w:pPr>
              <w:ind w:right="280" w:rightChars="100"/>
              <w:jc w:val="right"/>
              <w:textAlignment w:val="center"/>
              <w:rPr>
                <w:b/>
                <w:bCs/>
                <w:color w:val="000000"/>
                <w:sz w:val="21"/>
                <w:szCs w:val="21"/>
              </w:rPr>
            </w:pPr>
            <w:r>
              <w:rPr>
                <w:rFonts w:hint="eastAsia"/>
                <w:b/>
                <w:bCs/>
                <w:color w:val="000000"/>
                <w:sz w:val="21"/>
                <w:szCs w:val="21"/>
              </w:rPr>
              <w:t>12.50</w:t>
            </w:r>
          </w:p>
        </w:tc>
      </w:tr>
      <w:tr w14:paraId="6EF9E25A">
        <w:tblPrEx>
          <w:tblCellMar>
            <w:top w:w="0" w:type="dxa"/>
            <w:left w:w="108" w:type="dxa"/>
            <w:bottom w:w="0" w:type="dxa"/>
            <w:right w:w="108" w:type="dxa"/>
          </w:tblCellMar>
        </w:tblPrEx>
        <w:trPr>
          <w:trHeight w:val="499" w:hRule="atLeast"/>
        </w:trPr>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31AAC">
            <w:pPr>
              <w:jc w:val="left"/>
              <w:textAlignment w:val="center"/>
              <w:rPr>
                <w:color w:val="000000"/>
                <w:sz w:val="21"/>
                <w:szCs w:val="21"/>
              </w:rPr>
            </w:pPr>
            <w:r>
              <w:rPr>
                <w:rFonts w:hint="eastAsia"/>
                <w:color w:val="000000"/>
                <w:kern w:val="0"/>
                <w:sz w:val="21"/>
                <w:szCs w:val="21"/>
              </w:rPr>
              <w:t>B3资产管理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22E4">
            <w:pPr>
              <w:textAlignment w:val="center"/>
              <w:rPr>
                <w:color w:val="000000"/>
                <w:sz w:val="21"/>
                <w:szCs w:val="21"/>
              </w:rPr>
            </w:pPr>
            <w:r>
              <w:rPr>
                <w:rFonts w:hint="eastAsia"/>
                <w:color w:val="000000"/>
                <w:kern w:val="0"/>
                <w:sz w:val="21"/>
                <w:szCs w:val="21"/>
              </w:rPr>
              <w:t>B3-1资产管理规范性</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9656">
            <w:pPr>
              <w:ind w:right="280" w:rightChars="100"/>
              <w:jc w:val="right"/>
              <w:textAlignment w:val="center"/>
              <w:rPr>
                <w:color w:val="000000"/>
                <w:sz w:val="21"/>
                <w:szCs w:val="21"/>
              </w:rPr>
            </w:pPr>
            <w:r>
              <w:rPr>
                <w:rFonts w:hint="eastAsia"/>
                <w:color w:val="000000"/>
                <w:kern w:val="0"/>
                <w:sz w:val="21"/>
                <w:szCs w:val="21"/>
              </w:rPr>
              <w:t>5.00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522B">
            <w:pPr>
              <w:ind w:right="280" w:rightChars="100"/>
              <w:jc w:val="right"/>
              <w:textAlignment w:val="center"/>
              <w:rPr>
                <w:color w:val="000000"/>
                <w:sz w:val="21"/>
                <w:szCs w:val="21"/>
              </w:rPr>
            </w:pPr>
            <w:r>
              <w:rPr>
                <w:rFonts w:hint="eastAsia"/>
                <w:color w:val="000000"/>
                <w:sz w:val="21"/>
                <w:szCs w:val="21"/>
              </w:rPr>
              <w:t>4.00</w:t>
            </w:r>
          </w:p>
        </w:tc>
      </w:tr>
      <w:tr w14:paraId="08805C38">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9D3B6">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8521">
            <w:pPr>
              <w:textAlignment w:val="center"/>
              <w:rPr>
                <w:color w:val="000000"/>
                <w:sz w:val="21"/>
                <w:szCs w:val="21"/>
              </w:rPr>
            </w:pPr>
            <w:r>
              <w:rPr>
                <w:rFonts w:hint="eastAsia"/>
                <w:color w:val="000000"/>
                <w:kern w:val="0"/>
                <w:sz w:val="21"/>
                <w:szCs w:val="21"/>
              </w:rPr>
              <w:t>B3-2固定资产利用率</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9F4C">
            <w:pPr>
              <w:ind w:right="280" w:rightChars="100"/>
              <w:jc w:val="right"/>
              <w:textAlignment w:val="center"/>
              <w:rPr>
                <w:color w:val="000000"/>
                <w:sz w:val="21"/>
                <w:szCs w:val="21"/>
              </w:rPr>
            </w:pPr>
            <w:r>
              <w:rPr>
                <w:rFonts w:hint="eastAsia"/>
                <w:color w:val="000000"/>
                <w:kern w:val="0"/>
                <w:sz w:val="21"/>
                <w:szCs w:val="21"/>
              </w:rPr>
              <w:t>3.00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8209">
            <w:pPr>
              <w:ind w:right="280" w:rightChars="100"/>
              <w:jc w:val="right"/>
              <w:textAlignment w:val="center"/>
              <w:rPr>
                <w:color w:val="000000"/>
                <w:sz w:val="21"/>
                <w:szCs w:val="21"/>
              </w:rPr>
            </w:pPr>
            <w:r>
              <w:rPr>
                <w:rFonts w:hint="eastAsia"/>
                <w:color w:val="000000"/>
                <w:sz w:val="21"/>
                <w:szCs w:val="21"/>
              </w:rPr>
              <w:t>3.00</w:t>
            </w:r>
          </w:p>
        </w:tc>
      </w:tr>
      <w:tr w14:paraId="3B8D90BA">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3E943">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F9461">
            <w:pPr>
              <w:jc w:val="center"/>
              <w:textAlignment w:val="center"/>
              <w:rPr>
                <w:b/>
                <w:bCs/>
                <w:color w:val="000000"/>
                <w:sz w:val="21"/>
                <w:szCs w:val="21"/>
              </w:rPr>
            </w:pPr>
            <w:r>
              <w:rPr>
                <w:rFonts w:hint="eastAsia"/>
                <w:b/>
                <w:bCs/>
                <w:color w:val="000000"/>
                <w:kern w:val="0"/>
                <w:sz w:val="21"/>
                <w:szCs w:val="21"/>
              </w:rPr>
              <w:t>小计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F14D">
            <w:pPr>
              <w:ind w:right="280" w:rightChars="100"/>
              <w:jc w:val="right"/>
              <w:textAlignment w:val="center"/>
              <w:rPr>
                <w:b/>
                <w:bCs/>
                <w:color w:val="000000"/>
                <w:sz w:val="21"/>
                <w:szCs w:val="21"/>
              </w:rPr>
            </w:pPr>
            <w:r>
              <w:rPr>
                <w:rFonts w:hint="eastAsia"/>
                <w:b/>
                <w:bCs/>
                <w:color w:val="000000"/>
                <w:kern w:val="0"/>
                <w:sz w:val="21"/>
                <w:szCs w:val="21"/>
              </w:rPr>
              <w:t>8.00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1409">
            <w:pPr>
              <w:ind w:right="280" w:rightChars="100"/>
              <w:jc w:val="right"/>
              <w:textAlignment w:val="center"/>
              <w:rPr>
                <w:b/>
                <w:bCs/>
                <w:color w:val="000000"/>
                <w:sz w:val="21"/>
                <w:szCs w:val="21"/>
              </w:rPr>
            </w:pPr>
            <w:r>
              <w:rPr>
                <w:rFonts w:hint="eastAsia"/>
                <w:b/>
                <w:bCs/>
                <w:color w:val="000000"/>
                <w:sz w:val="21"/>
                <w:szCs w:val="21"/>
              </w:rPr>
              <w:t>7.00</w:t>
            </w:r>
          </w:p>
        </w:tc>
      </w:tr>
      <w:tr w14:paraId="4F7BC65B">
        <w:tblPrEx>
          <w:tblCellMar>
            <w:top w:w="0" w:type="dxa"/>
            <w:left w:w="108" w:type="dxa"/>
            <w:bottom w:w="0" w:type="dxa"/>
            <w:right w:w="108" w:type="dxa"/>
          </w:tblCellMar>
        </w:tblPrEx>
        <w:trPr>
          <w:trHeight w:val="499" w:hRule="atLeast"/>
        </w:trPr>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64D84">
            <w:pPr>
              <w:jc w:val="left"/>
              <w:textAlignment w:val="center"/>
              <w:rPr>
                <w:color w:val="000000"/>
                <w:sz w:val="21"/>
                <w:szCs w:val="21"/>
              </w:rPr>
            </w:pPr>
            <w:r>
              <w:rPr>
                <w:rFonts w:hint="eastAsia"/>
                <w:color w:val="000000"/>
                <w:kern w:val="0"/>
                <w:sz w:val="21"/>
                <w:szCs w:val="21"/>
              </w:rPr>
              <w:t>B4其他管理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2AE8">
            <w:pPr>
              <w:textAlignment w:val="center"/>
              <w:rPr>
                <w:color w:val="000000"/>
                <w:sz w:val="21"/>
                <w:szCs w:val="21"/>
              </w:rPr>
            </w:pPr>
            <w:r>
              <w:rPr>
                <w:rFonts w:hint="eastAsia"/>
                <w:color w:val="000000"/>
                <w:kern w:val="0"/>
                <w:sz w:val="21"/>
                <w:szCs w:val="21"/>
              </w:rPr>
              <w:t>B4-1政府采购管理</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053A">
            <w:pPr>
              <w:ind w:right="280" w:rightChars="100"/>
              <w:jc w:val="right"/>
              <w:textAlignment w:val="center"/>
              <w:rPr>
                <w:color w:val="000000"/>
                <w:sz w:val="21"/>
                <w:szCs w:val="21"/>
              </w:rPr>
            </w:pPr>
            <w:r>
              <w:rPr>
                <w:rFonts w:hint="eastAsia"/>
                <w:color w:val="000000"/>
                <w:kern w:val="0"/>
                <w:sz w:val="21"/>
                <w:szCs w:val="21"/>
              </w:rPr>
              <w:t>2.00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6B84">
            <w:pPr>
              <w:ind w:right="280" w:rightChars="100"/>
              <w:jc w:val="right"/>
              <w:textAlignment w:val="center"/>
              <w:rPr>
                <w:color w:val="000000"/>
                <w:sz w:val="21"/>
                <w:szCs w:val="21"/>
              </w:rPr>
            </w:pPr>
            <w:r>
              <w:rPr>
                <w:rFonts w:hint="eastAsia"/>
                <w:color w:val="000000"/>
                <w:sz w:val="21"/>
                <w:szCs w:val="21"/>
              </w:rPr>
              <w:t>1.51</w:t>
            </w:r>
          </w:p>
        </w:tc>
      </w:tr>
      <w:tr w14:paraId="24D6FBC7">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46604">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4173">
            <w:pPr>
              <w:textAlignment w:val="center"/>
              <w:rPr>
                <w:color w:val="000000"/>
                <w:sz w:val="21"/>
                <w:szCs w:val="21"/>
              </w:rPr>
            </w:pPr>
            <w:r>
              <w:rPr>
                <w:rFonts w:hint="eastAsia"/>
                <w:color w:val="000000"/>
                <w:kern w:val="0"/>
                <w:sz w:val="21"/>
                <w:szCs w:val="21"/>
              </w:rPr>
              <w:t>B4-2预算信息公开</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0FF0">
            <w:pPr>
              <w:ind w:right="280" w:rightChars="100"/>
              <w:jc w:val="right"/>
              <w:textAlignment w:val="center"/>
              <w:rPr>
                <w:color w:val="000000"/>
                <w:sz w:val="21"/>
                <w:szCs w:val="21"/>
              </w:rPr>
            </w:pPr>
            <w:r>
              <w:rPr>
                <w:rFonts w:hint="eastAsia"/>
                <w:color w:val="000000"/>
                <w:kern w:val="0"/>
                <w:sz w:val="21"/>
                <w:szCs w:val="21"/>
              </w:rPr>
              <w:t>1.00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206A">
            <w:pPr>
              <w:ind w:right="280" w:rightChars="100"/>
              <w:jc w:val="right"/>
              <w:textAlignment w:val="center"/>
              <w:rPr>
                <w:color w:val="000000"/>
                <w:sz w:val="21"/>
                <w:szCs w:val="21"/>
              </w:rPr>
            </w:pPr>
            <w:r>
              <w:rPr>
                <w:rFonts w:hint="eastAsia"/>
                <w:color w:val="000000"/>
                <w:sz w:val="21"/>
                <w:szCs w:val="21"/>
              </w:rPr>
              <w:t>1.00</w:t>
            </w:r>
          </w:p>
        </w:tc>
      </w:tr>
      <w:tr w14:paraId="6304D138">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0AE87">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93CC">
            <w:pPr>
              <w:textAlignment w:val="center"/>
              <w:rPr>
                <w:color w:val="000000"/>
                <w:kern w:val="0"/>
                <w:sz w:val="21"/>
                <w:szCs w:val="21"/>
              </w:rPr>
            </w:pPr>
            <w:r>
              <w:rPr>
                <w:rFonts w:hint="eastAsia"/>
                <w:color w:val="000000"/>
                <w:kern w:val="0"/>
                <w:sz w:val="21"/>
                <w:szCs w:val="21"/>
              </w:rPr>
              <w:t>B4-3资金监管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29D0">
            <w:pPr>
              <w:ind w:right="280" w:rightChars="100"/>
              <w:jc w:val="right"/>
              <w:textAlignment w:val="center"/>
              <w:rPr>
                <w:color w:val="000000"/>
                <w:kern w:val="0"/>
                <w:sz w:val="21"/>
                <w:szCs w:val="21"/>
              </w:rPr>
            </w:pPr>
            <w:r>
              <w:rPr>
                <w:rFonts w:hint="eastAsia"/>
                <w:color w:val="000000"/>
                <w:kern w:val="0"/>
                <w:sz w:val="21"/>
                <w:szCs w:val="21"/>
              </w:rPr>
              <w:t>1.00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AD10">
            <w:pPr>
              <w:ind w:right="280" w:rightChars="100"/>
              <w:jc w:val="right"/>
              <w:textAlignment w:val="center"/>
              <w:rPr>
                <w:color w:val="000000"/>
                <w:sz w:val="21"/>
                <w:szCs w:val="21"/>
              </w:rPr>
            </w:pPr>
            <w:r>
              <w:rPr>
                <w:rFonts w:hint="eastAsia"/>
                <w:color w:val="000000"/>
                <w:sz w:val="21"/>
                <w:szCs w:val="21"/>
              </w:rPr>
              <w:t>1.00</w:t>
            </w:r>
          </w:p>
        </w:tc>
      </w:tr>
      <w:tr w14:paraId="0141420F">
        <w:tblPrEx>
          <w:tblCellMar>
            <w:top w:w="0" w:type="dxa"/>
            <w:left w:w="108" w:type="dxa"/>
            <w:bottom w:w="0" w:type="dxa"/>
            <w:right w:w="108" w:type="dxa"/>
          </w:tblCellMar>
        </w:tblPrEx>
        <w:trPr>
          <w:trHeight w:val="499" w:hRule="atLeast"/>
        </w:trPr>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B0451">
            <w:pPr>
              <w:jc w:val="left"/>
              <w:rPr>
                <w:color w:val="000000"/>
                <w:sz w:val="21"/>
                <w:szCs w:val="21"/>
              </w:rPr>
            </w:pP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304AB">
            <w:pPr>
              <w:jc w:val="center"/>
              <w:textAlignment w:val="center"/>
              <w:rPr>
                <w:b/>
                <w:bCs/>
                <w:color w:val="000000"/>
                <w:sz w:val="21"/>
                <w:szCs w:val="21"/>
              </w:rPr>
            </w:pPr>
            <w:r>
              <w:rPr>
                <w:rFonts w:hint="eastAsia"/>
                <w:b/>
                <w:bCs/>
                <w:color w:val="000000"/>
                <w:kern w:val="0"/>
                <w:sz w:val="21"/>
                <w:szCs w:val="21"/>
              </w:rPr>
              <w:t>小计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FA03">
            <w:pPr>
              <w:ind w:right="280" w:rightChars="100"/>
              <w:jc w:val="right"/>
              <w:textAlignment w:val="center"/>
              <w:rPr>
                <w:b/>
                <w:bCs/>
                <w:color w:val="000000"/>
                <w:sz w:val="21"/>
                <w:szCs w:val="21"/>
              </w:rPr>
            </w:pPr>
            <w:r>
              <w:rPr>
                <w:rFonts w:hint="eastAsia"/>
                <w:b/>
                <w:bCs/>
                <w:color w:val="000000"/>
                <w:kern w:val="0"/>
                <w:sz w:val="21"/>
                <w:szCs w:val="21"/>
              </w:rPr>
              <w:t>4.00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DC68">
            <w:pPr>
              <w:ind w:right="280" w:rightChars="100"/>
              <w:jc w:val="right"/>
              <w:textAlignment w:val="center"/>
              <w:rPr>
                <w:b/>
                <w:bCs/>
                <w:color w:val="000000"/>
                <w:sz w:val="21"/>
                <w:szCs w:val="21"/>
              </w:rPr>
            </w:pPr>
            <w:r>
              <w:rPr>
                <w:rFonts w:hint="eastAsia"/>
                <w:b/>
                <w:bCs/>
                <w:color w:val="000000"/>
                <w:sz w:val="21"/>
                <w:szCs w:val="21"/>
              </w:rPr>
              <w:t>3.51</w:t>
            </w:r>
          </w:p>
        </w:tc>
      </w:tr>
      <w:tr w14:paraId="71B7CB0D">
        <w:tblPrEx>
          <w:tblCellMar>
            <w:top w:w="0" w:type="dxa"/>
            <w:left w:w="108" w:type="dxa"/>
            <w:bottom w:w="0" w:type="dxa"/>
            <w:right w:w="108" w:type="dxa"/>
          </w:tblCellMar>
        </w:tblPrEx>
        <w:trPr>
          <w:trHeight w:val="499" w:hRule="atLeast"/>
        </w:trPr>
        <w:tc>
          <w:tcPr>
            <w:tcW w:w="33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9B5D8">
            <w:pPr>
              <w:jc w:val="center"/>
              <w:textAlignment w:val="center"/>
              <w:rPr>
                <w:b/>
                <w:bCs/>
                <w:color w:val="000000"/>
                <w:sz w:val="21"/>
                <w:szCs w:val="21"/>
              </w:rPr>
            </w:pPr>
            <w:r>
              <w:rPr>
                <w:rFonts w:hint="eastAsia"/>
                <w:b/>
                <w:bCs/>
                <w:color w:val="000000"/>
                <w:kern w:val="0"/>
                <w:sz w:val="21"/>
                <w:szCs w:val="21"/>
              </w:rPr>
              <w:t>合计</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769B">
            <w:pPr>
              <w:ind w:right="280" w:rightChars="100"/>
              <w:jc w:val="right"/>
              <w:textAlignment w:val="center"/>
              <w:rPr>
                <w:b/>
                <w:bCs/>
                <w:color w:val="000000"/>
                <w:sz w:val="21"/>
                <w:szCs w:val="21"/>
              </w:rPr>
            </w:pPr>
            <w:r>
              <w:rPr>
                <w:rFonts w:hint="eastAsia"/>
                <w:b/>
                <w:bCs/>
                <w:color w:val="000000"/>
                <w:kern w:val="0"/>
                <w:sz w:val="21"/>
                <w:szCs w:val="21"/>
              </w:rPr>
              <w:t>40.00</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9888">
            <w:pPr>
              <w:ind w:right="280" w:rightChars="100"/>
              <w:jc w:val="right"/>
              <w:rPr>
                <w:b/>
                <w:bCs/>
                <w:color w:val="000000"/>
                <w:sz w:val="21"/>
                <w:szCs w:val="21"/>
              </w:rPr>
            </w:pPr>
            <w:r>
              <w:rPr>
                <w:rFonts w:hint="eastAsia"/>
                <w:b/>
                <w:bCs/>
                <w:color w:val="000000"/>
                <w:sz w:val="21"/>
                <w:szCs w:val="21"/>
              </w:rPr>
              <w:t>34.21</w:t>
            </w:r>
          </w:p>
        </w:tc>
      </w:tr>
    </w:tbl>
    <w:p w14:paraId="07B3B094">
      <w:pPr>
        <w:widowControl w:val="0"/>
        <w:spacing w:line="580" w:lineRule="exact"/>
        <w:ind w:firstLine="562" w:firstLineChars="200"/>
        <w:outlineLvl w:val="3"/>
        <w:rPr>
          <w:b/>
          <w:highlight w:val="yellow"/>
        </w:rPr>
      </w:pPr>
      <w:r>
        <w:rPr>
          <w:rFonts w:hint="eastAsia"/>
          <w:b/>
        </w:rPr>
        <w:t>1.B1预算管理，权重12分，得分11.20分</w:t>
      </w:r>
    </w:p>
    <w:p w14:paraId="2A3D1689">
      <w:pPr>
        <w:widowControl w:val="0"/>
        <w:spacing w:line="580" w:lineRule="exact"/>
        <w:ind w:firstLine="562" w:firstLineChars="200"/>
        <w:outlineLvl w:val="4"/>
        <w:rPr>
          <w:b/>
        </w:rPr>
      </w:pPr>
      <w:r>
        <w:rPr>
          <w:rFonts w:hint="eastAsia"/>
          <w:b/>
        </w:rPr>
        <w:t>（1）B1-1预算完成率</w:t>
      </w:r>
    </w:p>
    <w:p w14:paraId="08F98416">
      <w:pPr>
        <w:pStyle w:val="8"/>
        <w:widowControl w:val="0"/>
        <w:snapToGrid/>
        <w:spacing w:line="580" w:lineRule="exact"/>
        <w:ind w:firstLine="560"/>
        <w:rPr>
          <w:rFonts w:ascii="仿宋" w:hAnsi="仿宋"/>
          <w:kern w:val="0"/>
        </w:rPr>
      </w:pPr>
      <w:r>
        <w:rPr>
          <w:rFonts w:hint="eastAsia" w:ascii="仿宋"/>
          <w:kern w:val="0"/>
        </w:rPr>
        <w:t>永济市文旅局2023年年初预算3,225.64万元，追加预算5,009.27万元，年初结转52.54万元，全年下达预算资金8,287.45万元。经统计2023年度全年预算支出8,278.33万元，财政收回7.90万元，年末结转资金1.23万元。预算完成率=(8,278.33/8,287.45)×100%=99.89%。依据评分标准“预算完成率≥95%，得2分”，该指标分值2分，得分2分。</w:t>
      </w:r>
    </w:p>
    <w:p w14:paraId="10531CA7">
      <w:pPr>
        <w:widowControl w:val="0"/>
        <w:spacing w:line="580" w:lineRule="exact"/>
        <w:ind w:firstLine="562" w:firstLineChars="200"/>
        <w:outlineLvl w:val="4"/>
        <w:rPr>
          <w:b/>
        </w:rPr>
      </w:pPr>
      <w:r>
        <w:rPr>
          <w:rFonts w:hint="eastAsia"/>
          <w:b/>
        </w:rPr>
        <w:t>（2）B1-2预算调整率</w:t>
      </w:r>
    </w:p>
    <w:p w14:paraId="6D2B8B18">
      <w:pPr>
        <w:pStyle w:val="8"/>
        <w:widowControl w:val="0"/>
        <w:snapToGrid/>
        <w:spacing w:line="580" w:lineRule="exact"/>
        <w:ind w:firstLine="560"/>
        <w:rPr>
          <w:rFonts w:ascii="仿宋" w:hAnsi="仿宋"/>
          <w:kern w:val="0"/>
        </w:rPr>
      </w:pPr>
      <w:r>
        <w:rPr>
          <w:rFonts w:hint="eastAsia" w:ascii="仿宋" w:hAnsi="仿宋"/>
          <w:kern w:val="0"/>
        </w:rPr>
        <w:t>通过核对该部门提供的预算指标下达文件，该部门</w:t>
      </w:r>
      <w:r>
        <w:rPr>
          <w:rFonts w:hint="eastAsia" w:ascii="仿宋"/>
          <w:kern w:val="0"/>
        </w:rPr>
        <w:t>基本支出</w:t>
      </w:r>
      <w:r>
        <w:rPr>
          <w:rFonts w:hint="eastAsia" w:ascii="仿宋" w:hAnsi="仿宋"/>
          <w:kern w:val="0"/>
        </w:rPr>
        <w:t>年初预算</w:t>
      </w:r>
      <w:r>
        <w:rPr>
          <w:rFonts w:hint="eastAsia" w:ascii="仿宋"/>
          <w:kern w:val="0"/>
        </w:rPr>
        <w:t>1,589.14万元，追加预算96.01万元，为人员经费预算调整，基本支出预算调整率=（96.01/1,589.14）×100%=6.04%。项目支出年初预算1,636.50万元，追加预算4,913.25万元，项目支出预算调整率=（4,913.25/1,636.50）×100%=300.23%，项目支出预算调整的原因为落实国家政策、实施上级部门临时交办的项目等，本指标仅对基本支出预算调整情况进行评价。依据评分标准，</w:t>
      </w:r>
      <w:r>
        <w:rPr>
          <w:rFonts w:hint="eastAsia" w:ascii="仿宋" w:hAnsi="仿宋"/>
          <w:kern w:val="0"/>
        </w:rPr>
        <w:t>该指标得分=（</w:t>
      </w:r>
      <w:r>
        <w:rPr>
          <w:rFonts w:hint="eastAsia" w:ascii="仿宋"/>
          <w:kern w:val="0"/>
        </w:rPr>
        <w:t>2</w:t>
      </w:r>
      <w:r>
        <w:rPr>
          <w:rFonts w:hint="eastAsia" w:ascii="仿宋" w:hAnsi="仿宋"/>
          <w:kern w:val="0"/>
        </w:rPr>
        <w:t>0%-</w:t>
      </w:r>
      <w:r>
        <w:rPr>
          <w:rFonts w:hint="eastAsia" w:ascii="仿宋"/>
          <w:kern w:val="0"/>
        </w:rPr>
        <w:t>6.04%</w:t>
      </w:r>
      <w:r>
        <w:rPr>
          <w:rFonts w:hint="eastAsia" w:ascii="仿宋" w:hAnsi="仿宋"/>
          <w:kern w:val="0"/>
        </w:rPr>
        <w:t>）/（</w:t>
      </w:r>
      <w:r>
        <w:rPr>
          <w:rFonts w:hint="eastAsia" w:ascii="仿宋"/>
          <w:kern w:val="0"/>
        </w:rPr>
        <w:t>2</w:t>
      </w:r>
      <w:r>
        <w:rPr>
          <w:rFonts w:hint="eastAsia" w:ascii="仿宋" w:hAnsi="仿宋"/>
          <w:kern w:val="0"/>
        </w:rPr>
        <w:t>0%-</w:t>
      </w:r>
      <w:r>
        <w:rPr>
          <w:rFonts w:hint="eastAsia" w:ascii="仿宋"/>
          <w:kern w:val="0"/>
        </w:rPr>
        <w:t>5</w:t>
      </w:r>
      <w:r>
        <w:rPr>
          <w:rFonts w:hint="eastAsia" w:ascii="仿宋" w:hAnsi="仿宋"/>
          <w:kern w:val="0"/>
        </w:rPr>
        <w:t>%）×</w:t>
      </w:r>
      <w:r>
        <w:rPr>
          <w:rFonts w:hint="eastAsia" w:ascii="仿宋"/>
          <w:kern w:val="0"/>
        </w:rPr>
        <w:t>2</w:t>
      </w:r>
      <w:r>
        <w:rPr>
          <w:rFonts w:hint="eastAsia" w:ascii="仿宋" w:hAnsi="仿宋"/>
          <w:kern w:val="0"/>
        </w:rPr>
        <w:t>=</w:t>
      </w:r>
      <w:r>
        <w:rPr>
          <w:rFonts w:hint="eastAsia" w:ascii="仿宋"/>
          <w:kern w:val="0"/>
        </w:rPr>
        <w:t>1.86</w:t>
      </w:r>
      <w:r>
        <w:rPr>
          <w:rFonts w:hint="eastAsia" w:ascii="仿宋" w:hAnsi="仿宋"/>
          <w:kern w:val="0"/>
        </w:rPr>
        <w:t>。</w:t>
      </w:r>
    </w:p>
    <w:p w14:paraId="1201EAFD">
      <w:pPr>
        <w:widowControl w:val="0"/>
        <w:spacing w:line="580" w:lineRule="exact"/>
        <w:ind w:firstLine="562" w:firstLineChars="200"/>
        <w:outlineLvl w:val="4"/>
        <w:rPr>
          <w:b/>
        </w:rPr>
      </w:pPr>
      <w:r>
        <w:rPr>
          <w:rFonts w:hint="eastAsia"/>
          <w:b/>
        </w:rPr>
        <w:t>（3）B1-3支付进度率</w:t>
      </w:r>
    </w:p>
    <w:p w14:paraId="6322DD8C">
      <w:pPr>
        <w:pStyle w:val="8"/>
        <w:widowControl w:val="0"/>
        <w:snapToGrid/>
        <w:spacing w:line="580" w:lineRule="exact"/>
        <w:ind w:firstLine="560"/>
        <w:rPr>
          <w:rFonts w:ascii="仿宋" w:hAnsi="仿宋"/>
          <w:bCs/>
          <w:kern w:val="0"/>
        </w:rPr>
      </w:pPr>
      <w:r>
        <w:rPr>
          <w:rFonts w:hint="eastAsia" w:ascii="仿宋" w:hAnsi="仿宋"/>
          <w:bCs/>
          <w:kern w:val="0"/>
        </w:rPr>
        <w:t>根据资金的支出特点，仅对支付进度比较均匀的基本支出的支付进度率进行评价。一、二、三季度的标准支付进度以山西省财政厅的计算口径“序时进度的98%”为准，即一季度标准支付进度率=25%×98%=24.5%、二季度标准支付进度率=50%×98%=49%、三季度标准支付进度率=75%×98%=73.5%，四季度的标准支付进度率为100%。202</w:t>
      </w:r>
      <w:r>
        <w:rPr>
          <w:rFonts w:hint="eastAsia" w:ascii="仿宋"/>
          <w:bCs/>
          <w:kern w:val="0"/>
        </w:rPr>
        <w:t>3</w:t>
      </w:r>
      <w:r>
        <w:rPr>
          <w:rFonts w:hint="eastAsia" w:ascii="仿宋" w:hAnsi="仿宋"/>
          <w:bCs/>
          <w:kern w:val="0"/>
        </w:rPr>
        <w:t>年基本支出下达资金</w:t>
      </w:r>
      <w:r>
        <w:rPr>
          <w:rFonts w:hint="eastAsia" w:ascii="仿宋"/>
          <w:bCs/>
          <w:kern w:val="0"/>
        </w:rPr>
        <w:t>1,685.15</w:t>
      </w:r>
      <w:r>
        <w:rPr>
          <w:rFonts w:hint="eastAsia" w:ascii="仿宋" w:hAnsi="仿宋"/>
          <w:bCs/>
          <w:kern w:val="0"/>
        </w:rPr>
        <w:t>万元，各季度末基本支出及对应得分情况见表</w:t>
      </w:r>
      <w:r>
        <w:rPr>
          <w:rFonts w:hint="eastAsia" w:ascii="仿宋" w:hAnsi="仿宋"/>
          <w:kern w:val="0"/>
        </w:rPr>
        <w:t>4-2-1：</w:t>
      </w:r>
    </w:p>
    <w:p w14:paraId="6AA85D7C">
      <w:pPr>
        <w:pStyle w:val="8"/>
        <w:widowControl w:val="0"/>
        <w:ind w:firstLine="562"/>
        <w:jc w:val="center"/>
        <w:rPr>
          <w:rFonts w:ascii="仿宋" w:hAnsi="仿宋"/>
          <w:b/>
          <w:kern w:val="0"/>
        </w:rPr>
      </w:pPr>
      <w:r>
        <w:rPr>
          <w:rFonts w:hint="eastAsia" w:ascii="仿宋" w:hAnsi="仿宋"/>
          <w:b/>
          <w:kern w:val="0"/>
        </w:rPr>
        <w:t>表4-2-1基本支出支付进度及得分情况</w:t>
      </w:r>
    </w:p>
    <w:p w14:paraId="37C725F3">
      <w:pPr>
        <w:pStyle w:val="8"/>
        <w:ind w:firstLine="480"/>
        <w:jc w:val="right"/>
        <w:rPr>
          <w:rFonts w:ascii="仿宋" w:hAnsi="仿宋"/>
          <w:b/>
          <w:kern w:val="0"/>
        </w:rPr>
      </w:pPr>
      <w:r>
        <w:rPr>
          <w:rFonts w:hint="eastAsia" w:ascii="仿宋" w:hAnsi="仿宋"/>
          <w:kern w:val="0"/>
          <w:sz w:val="24"/>
          <w:szCs w:val="24"/>
        </w:rPr>
        <w:t>金额</w:t>
      </w:r>
      <w:r>
        <w:rPr>
          <w:rFonts w:hint="eastAsia" w:ascii="仿宋" w:hAnsi="仿宋"/>
          <w:sz w:val="24"/>
          <w:szCs w:val="22"/>
        </w:rPr>
        <w:t>单位</w:t>
      </w:r>
      <w:r>
        <w:rPr>
          <w:rFonts w:hint="eastAsia" w:ascii="仿宋" w:hAnsi="仿宋"/>
          <w:kern w:val="0"/>
          <w:sz w:val="24"/>
          <w:szCs w:val="24"/>
        </w:rPr>
        <w:t>：</w:t>
      </w:r>
      <w:r>
        <w:rPr>
          <w:rFonts w:hint="eastAsia" w:ascii="仿宋"/>
          <w:kern w:val="0"/>
          <w:sz w:val="24"/>
          <w:szCs w:val="24"/>
        </w:rPr>
        <w:t>万</w:t>
      </w:r>
      <w:r>
        <w:rPr>
          <w:rFonts w:hint="eastAsia" w:ascii="仿宋" w:hAnsi="仿宋"/>
          <w:kern w:val="0"/>
          <w:sz w:val="24"/>
          <w:szCs w:val="24"/>
        </w:rPr>
        <w:t>元</w:t>
      </w:r>
    </w:p>
    <w:tbl>
      <w:tblPr>
        <w:tblStyle w:val="24"/>
        <w:tblW w:w="4997" w:type="pct"/>
        <w:jc w:val="center"/>
        <w:tblLayout w:type="autofit"/>
        <w:tblCellMar>
          <w:top w:w="0" w:type="dxa"/>
          <w:left w:w="108" w:type="dxa"/>
          <w:bottom w:w="0" w:type="dxa"/>
          <w:right w:w="108" w:type="dxa"/>
        </w:tblCellMar>
      </w:tblPr>
      <w:tblGrid>
        <w:gridCol w:w="1266"/>
        <w:gridCol w:w="1481"/>
        <w:gridCol w:w="1060"/>
        <w:gridCol w:w="1271"/>
        <w:gridCol w:w="1271"/>
        <w:gridCol w:w="1159"/>
        <w:gridCol w:w="1003"/>
      </w:tblGrid>
      <w:tr w14:paraId="7D375C7F">
        <w:tblPrEx>
          <w:tblCellMar>
            <w:top w:w="0" w:type="dxa"/>
            <w:left w:w="108" w:type="dxa"/>
            <w:bottom w:w="0" w:type="dxa"/>
            <w:right w:w="108" w:type="dxa"/>
          </w:tblCellMar>
        </w:tblPrEx>
        <w:trPr>
          <w:trHeight w:val="624" w:hRule="atLeast"/>
          <w:jc w:val="center"/>
        </w:trPr>
        <w:tc>
          <w:tcPr>
            <w:tcW w:w="74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0AB97D0">
            <w:pPr>
              <w:spacing w:line="280" w:lineRule="exact"/>
              <w:jc w:val="center"/>
              <w:textAlignment w:val="center"/>
              <w:rPr>
                <w:b/>
                <w:bCs/>
                <w:color w:val="000000"/>
                <w:sz w:val="21"/>
                <w:szCs w:val="21"/>
              </w:rPr>
            </w:pPr>
            <w:r>
              <w:rPr>
                <w:rFonts w:hint="eastAsia"/>
                <w:b/>
                <w:bCs/>
                <w:color w:val="000000"/>
                <w:kern w:val="0"/>
                <w:sz w:val="21"/>
                <w:szCs w:val="21"/>
              </w:rPr>
              <w:t>截止日期</w:t>
            </w:r>
          </w:p>
        </w:tc>
        <w:tc>
          <w:tcPr>
            <w:tcW w:w="87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A7B5519">
            <w:pPr>
              <w:spacing w:line="280" w:lineRule="exact"/>
              <w:jc w:val="center"/>
              <w:textAlignment w:val="center"/>
              <w:rPr>
                <w:b/>
                <w:bCs/>
                <w:color w:val="000000"/>
                <w:sz w:val="21"/>
                <w:szCs w:val="21"/>
              </w:rPr>
            </w:pPr>
            <w:r>
              <w:rPr>
                <w:rFonts w:hint="eastAsia"/>
                <w:b/>
                <w:bCs/>
                <w:color w:val="000000"/>
                <w:kern w:val="0"/>
                <w:sz w:val="21"/>
                <w:szCs w:val="21"/>
              </w:rPr>
              <w:t>累计支付金额</w:t>
            </w:r>
          </w:p>
        </w:tc>
        <w:tc>
          <w:tcPr>
            <w:tcW w:w="62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7C90407">
            <w:pPr>
              <w:spacing w:line="280" w:lineRule="exact"/>
              <w:jc w:val="center"/>
              <w:textAlignment w:val="center"/>
              <w:rPr>
                <w:b/>
                <w:bCs/>
                <w:color w:val="000000"/>
                <w:kern w:val="0"/>
                <w:sz w:val="21"/>
                <w:szCs w:val="21"/>
              </w:rPr>
            </w:pPr>
            <w:r>
              <w:rPr>
                <w:rFonts w:hint="eastAsia"/>
                <w:b/>
                <w:bCs/>
                <w:color w:val="000000"/>
                <w:kern w:val="0"/>
                <w:sz w:val="21"/>
                <w:szCs w:val="21"/>
              </w:rPr>
              <w:t>预算金额</w:t>
            </w:r>
          </w:p>
        </w:tc>
        <w:tc>
          <w:tcPr>
            <w:tcW w:w="74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BF8FA82">
            <w:pPr>
              <w:spacing w:line="280" w:lineRule="exact"/>
              <w:jc w:val="center"/>
              <w:textAlignment w:val="center"/>
              <w:rPr>
                <w:b/>
                <w:bCs/>
                <w:color w:val="000000"/>
                <w:sz w:val="21"/>
                <w:szCs w:val="21"/>
              </w:rPr>
            </w:pPr>
            <w:r>
              <w:rPr>
                <w:rFonts w:hint="eastAsia"/>
                <w:b/>
                <w:bCs/>
                <w:color w:val="000000"/>
                <w:kern w:val="0"/>
                <w:sz w:val="21"/>
                <w:szCs w:val="21"/>
              </w:rPr>
              <w:t>实际支付率</w:t>
            </w:r>
          </w:p>
        </w:tc>
        <w:tc>
          <w:tcPr>
            <w:tcW w:w="74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995667D">
            <w:pPr>
              <w:spacing w:line="280" w:lineRule="exact"/>
              <w:jc w:val="center"/>
              <w:textAlignment w:val="center"/>
              <w:rPr>
                <w:b/>
                <w:bCs/>
                <w:color w:val="000000"/>
                <w:sz w:val="21"/>
                <w:szCs w:val="21"/>
              </w:rPr>
            </w:pPr>
            <w:r>
              <w:rPr>
                <w:rFonts w:hint="eastAsia"/>
                <w:b/>
                <w:bCs/>
                <w:color w:val="000000"/>
                <w:kern w:val="0"/>
                <w:sz w:val="21"/>
                <w:szCs w:val="21"/>
              </w:rPr>
              <w:t>标准支付率</w:t>
            </w:r>
          </w:p>
        </w:tc>
        <w:tc>
          <w:tcPr>
            <w:tcW w:w="67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B665F83">
            <w:pPr>
              <w:spacing w:line="280" w:lineRule="exact"/>
              <w:jc w:val="center"/>
              <w:textAlignment w:val="center"/>
              <w:rPr>
                <w:b/>
                <w:bCs/>
                <w:color w:val="000000"/>
                <w:kern w:val="0"/>
                <w:sz w:val="21"/>
                <w:szCs w:val="21"/>
              </w:rPr>
            </w:pPr>
            <w:r>
              <w:rPr>
                <w:rFonts w:hint="eastAsia"/>
                <w:b/>
                <w:bCs/>
                <w:color w:val="000000"/>
                <w:kern w:val="0"/>
                <w:sz w:val="21"/>
                <w:szCs w:val="21"/>
              </w:rPr>
              <w:t>支付进度</w:t>
            </w:r>
          </w:p>
          <w:p w14:paraId="41F63EF6">
            <w:pPr>
              <w:spacing w:line="280" w:lineRule="exact"/>
              <w:jc w:val="center"/>
              <w:textAlignment w:val="center"/>
              <w:rPr>
                <w:b/>
                <w:bCs/>
                <w:color w:val="000000"/>
                <w:sz w:val="21"/>
                <w:szCs w:val="21"/>
              </w:rPr>
            </w:pPr>
            <w:r>
              <w:rPr>
                <w:rFonts w:hint="eastAsia"/>
                <w:b/>
                <w:bCs/>
                <w:color w:val="000000"/>
                <w:kern w:val="0"/>
                <w:sz w:val="21"/>
                <w:szCs w:val="21"/>
              </w:rPr>
              <w:t>完成率</w:t>
            </w:r>
          </w:p>
        </w:tc>
        <w:tc>
          <w:tcPr>
            <w:tcW w:w="59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3BC5757">
            <w:pPr>
              <w:spacing w:line="280" w:lineRule="exact"/>
              <w:jc w:val="center"/>
              <w:textAlignment w:val="center"/>
              <w:rPr>
                <w:b/>
                <w:bCs/>
                <w:color w:val="000000"/>
                <w:sz w:val="21"/>
                <w:szCs w:val="21"/>
              </w:rPr>
            </w:pPr>
            <w:r>
              <w:rPr>
                <w:rFonts w:hint="eastAsia"/>
                <w:b/>
                <w:bCs/>
                <w:color w:val="000000"/>
                <w:kern w:val="0"/>
                <w:sz w:val="21"/>
                <w:szCs w:val="21"/>
              </w:rPr>
              <w:t>得分</w:t>
            </w:r>
          </w:p>
        </w:tc>
      </w:tr>
      <w:tr w14:paraId="200E788B">
        <w:tblPrEx>
          <w:tblCellMar>
            <w:top w:w="0" w:type="dxa"/>
            <w:left w:w="108" w:type="dxa"/>
            <w:bottom w:w="0" w:type="dxa"/>
            <w:right w:w="108" w:type="dxa"/>
          </w:tblCellMar>
        </w:tblPrEx>
        <w:trPr>
          <w:trHeight w:val="454"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8D78">
            <w:pPr>
              <w:jc w:val="center"/>
              <w:textAlignment w:val="center"/>
              <w:rPr>
                <w:color w:val="000000"/>
                <w:sz w:val="21"/>
                <w:szCs w:val="21"/>
              </w:rPr>
            </w:pPr>
            <w:r>
              <w:rPr>
                <w:rFonts w:hint="eastAsia"/>
                <w:color w:val="000000"/>
                <w:kern w:val="0"/>
                <w:sz w:val="21"/>
                <w:szCs w:val="21"/>
              </w:rPr>
              <w:t>2022/3/31</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B3E2B">
            <w:pPr>
              <w:jc w:val="right"/>
              <w:textAlignment w:val="center"/>
              <w:rPr>
                <w:color w:val="000000"/>
                <w:sz w:val="21"/>
                <w:szCs w:val="21"/>
                <w:highlight w:val="yellow"/>
              </w:rPr>
            </w:pPr>
            <w:r>
              <w:rPr>
                <w:rFonts w:hint="eastAsia"/>
                <w:color w:val="000000"/>
                <w:kern w:val="0"/>
                <w:sz w:val="21"/>
                <w:szCs w:val="21"/>
              </w:rPr>
              <w:t>397.78</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63EC">
            <w:pPr>
              <w:jc w:val="right"/>
              <w:textAlignment w:val="center"/>
              <w:rPr>
                <w:color w:val="000000"/>
                <w:kern w:val="0"/>
                <w:sz w:val="21"/>
                <w:szCs w:val="21"/>
                <w:highlight w:val="yellow"/>
              </w:rPr>
            </w:pPr>
            <w:r>
              <w:rPr>
                <w:rFonts w:hint="eastAsia"/>
                <w:color w:val="000000"/>
                <w:kern w:val="0"/>
                <w:sz w:val="21"/>
                <w:szCs w:val="21"/>
              </w:rPr>
              <w:t>1,685.15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EB67">
            <w:pPr>
              <w:jc w:val="center"/>
              <w:textAlignment w:val="center"/>
              <w:rPr>
                <w:color w:val="000000"/>
                <w:sz w:val="21"/>
                <w:szCs w:val="21"/>
                <w:highlight w:val="yellow"/>
              </w:rPr>
            </w:pPr>
            <w:r>
              <w:rPr>
                <w:rFonts w:hint="eastAsia"/>
                <w:color w:val="000000"/>
                <w:kern w:val="0"/>
                <w:sz w:val="21"/>
                <w:szCs w:val="21"/>
              </w:rPr>
              <w:t>23.60%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B6E2">
            <w:pPr>
              <w:jc w:val="center"/>
              <w:textAlignment w:val="center"/>
              <w:rPr>
                <w:color w:val="000000"/>
                <w:sz w:val="21"/>
                <w:szCs w:val="21"/>
                <w:highlight w:val="yellow"/>
              </w:rPr>
            </w:pPr>
            <w:r>
              <w:rPr>
                <w:rFonts w:hint="eastAsia"/>
                <w:color w:val="000000"/>
                <w:kern w:val="0"/>
                <w:sz w:val="21"/>
                <w:szCs w:val="21"/>
              </w:rPr>
              <w:t>24.50%</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48A9">
            <w:pPr>
              <w:jc w:val="center"/>
              <w:textAlignment w:val="center"/>
              <w:rPr>
                <w:color w:val="000000"/>
                <w:sz w:val="21"/>
                <w:szCs w:val="21"/>
                <w:highlight w:val="yellow"/>
              </w:rPr>
            </w:pPr>
            <w:r>
              <w:rPr>
                <w:rFonts w:hint="eastAsia"/>
                <w:color w:val="000000"/>
                <w:kern w:val="0"/>
                <w:sz w:val="21"/>
                <w:szCs w:val="21"/>
              </w:rPr>
              <w:t>96.35%</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7028E">
            <w:pPr>
              <w:jc w:val="center"/>
              <w:textAlignment w:val="center"/>
              <w:rPr>
                <w:color w:val="000000"/>
                <w:sz w:val="21"/>
                <w:szCs w:val="21"/>
                <w:highlight w:val="yellow"/>
              </w:rPr>
            </w:pPr>
            <w:r>
              <w:rPr>
                <w:rFonts w:hint="eastAsia"/>
                <w:color w:val="000000"/>
                <w:kern w:val="0"/>
                <w:sz w:val="21"/>
                <w:szCs w:val="21"/>
              </w:rPr>
              <w:t>0.32</w:t>
            </w:r>
          </w:p>
        </w:tc>
      </w:tr>
      <w:tr w14:paraId="7BF2739F">
        <w:tblPrEx>
          <w:tblCellMar>
            <w:top w:w="0" w:type="dxa"/>
            <w:left w:w="108" w:type="dxa"/>
            <w:bottom w:w="0" w:type="dxa"/>
            <w:right w:w="108" w:type="dxa"/>
          </w:tblCellMar>
        </w:tblPrEx>
        <w:trPr>
          <w:trHeight w:val="454"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8680">
            <w:pPr>
              <w:jc w:val="center"/>
              <w:textAlignment w:val="center"/>
              <w:rPr>
                <w:color w:val="000000"/>
                <w:sz w:val="21"/>
                <w:szCs w:val="21"/>
              </w:rPr>
            </w:pPr>
            <w:r>
              <w:rPr>
                <w:rFonts w:hint="eastAsia"/>
                <w:color w:val="000000"/>
                <w:kern w:val="0"/>
                <w:sz w:val="21"/>
                <w:szCs w:val="21"/>
              </w:rPr>
              <w:t>2022/6/30</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913D">
            <w:pPr>
              <w:jc w:val="right"/>
              <w:textAlignment w:val="center"/>
              <w:rPr>
                <w:color w:val="000000"/>
                <w:sz w:val="21"/>
                <w:szCs w:val="21"/>
                <w:highlight w:val="yellow"/>
              </w:rPr>
            </w:pPr>
            <w:r>
              <w:rPr>
                <w:rFonts w:hint="eastAsia"/>
                <w:color w:val="000000"/>
                <w:kern w:val="0"/>
                <w:sz w:val="21"/>
                <w:szCs w:val="21"/>
              </w:rPr>
              <w:t>768.40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BFEE">
            <w:pPr>
              <w:jc w:val="right"/>
              <w:textAlignment w:val="center"/>
              <w:rPr>
                <w:color w:val="000000"/>
                <w:kern w:val="0"/>
                <w:sz w:val="21"/>
                <w:szCs w:val="21"/>
                <w:highlight w:val="yellow"/>
              </w:rPr>
            </w:pPr>
            <w:r>
              <w:rPr>
                <w:rFonts w:hint="eastAsia"/>
                <w:color w:val="000000"/>
                <w:kern w:val="0"/>
                <w:sz w:val="21"/>
                <w:szCs w:val="21"/>
              </w:rPr>
              <w:t>1,685.15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4B0E">
            <w:pPr>
              <w:jc w:val="center"/>
              <w:textAlignment w:val="center"/>
              <w:rPr>
                <w:color w:val="000000"/>
                <w:sz w:val="21"/>
                <w:szCs w:val="21"/>
                <w:highlight w:val="yellow"/>
              </w:rPr>
            </w:pPr>
            <w:r>
              <w:rPr>
                <w:rFonts w:hint="eastAsia"/>
                <w:color w:val="000000"/>
                <w:kern w:val="0"/>
                <w:sz w:val="21"/>
                <w:szCs w:val="21"/>
              </w:rPr>
              <w:t>45.60%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63E7">
            <w:pPr>
              <w:jc w:val="center"/>
              <w:textAlignment w:val="center"/>
              <w:rPr>
                <w:color w:val="000000"/>
                <w:sz w:val="21"/>
                <w:szCs w:val="21"/>
                <w:highlight w:val="yellow"/>
              </w:rPr>
            </w:pPr>
            <w:r>
              <w:rPr>
                <w:rFonts w:hint="eastAsia"/>
                <w:color w:val="000000"/>
                <w:kern w:val="0"/>
                <w:sz w:val="21"/>
                <w:szCs w:val="21"/>
              </w:rPr>
              <w:t>49.00%</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7D40">
            <w:pPr>
              <w:jc w:val="center"/>
              <w:textAlignment w:val="center"/>
              <w:rPr>
                <w:color w:val="000000"/>
                <w:sz w:val="21"/>
                <w:szCs w:val="21"/>
                <w:highlight w:val="yellow"/>
              </w:rPr>
            </w:pPr>
            <w:r>
              <w:rPr>
                <w:rFonts w:hint="eastAsia"/>
                <w:color w:val="000000"/>
                <w:kern w:val="0"/>
                <w:sz w:val="21"/>
                <w:szCs w:val="21"/>
              </w:rPr>
              <w:t>93.06%</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BA88">
            <w:pPr>
              <w:jc w:val="center"/>
              <w:textAlignment w:val="center"/>
              <w:rPr>
                <w:color w:val="000000"/>
                <w:sz w:val="21"/>
                <w:szCs w:val="21"/>
                <w:highlight w:val="yellow"/>
              </w:rPr>
            </w:pPr>
            <w:r>
              <w:rPr>
                <w:rFonts w:hint="eastAsia"/>
                <w:color w:val="000000"/>
                <w:kern w:val="0"/>
                <w:sz w:val="21"/>
                <w:szCs w:val="21"/>
              </w:rPr>
              <w:t>0.15</w:t>
            </w:r>
          </w:p>
        </w:tc>
      </w:tr>
      <w:tr w14:paraId="69FEB990">
        <w:tblPrEx>
          <w:tblCellMar>
            <w:top w:w="0" w:type="dxa"/>
            <w:left w:w="108" w:type="dxa"/>
            <w:bottom w:w="0" w:type="dxa"/>
            <w:right w:w="108" w:type="dxa"/>
          </w:tblCellMar>
        </w:tblPrEx>
        <w:trPr>
          <w:trHeight w:val="454"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4680">
            <w:pPr>
              <w:jc w:val="center"/>
              <w:textAlignment w:val="center"/>
              <w:rPr>
                <w:color w:val="000000"/>
                <w:sz w:val="21"/>
                <w:szCs w:val="21"/>
              </w:rPr>
            </w:pPr>
            <w:r>
              <w:rPr>
                <w:rFonts w:hint="eastAsia"/>
                <w:color w:val="000000"/>
                <w:kern w:val="0"/>
                <w:sz w:val="21"/>
                <w:szCs w:val="21"/>
              </w:rPr>
              <w:t>2022/9/30</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72BB">
            <w:pPr>
              <w:jc w:val="right"/>
              <w:textAlignment w:val="center"/>
              <w:rPr>
                <w:color w:val="000000"/>
                <w:sz w:val="21"/>
                <w:szCs w:val="21"/>
                <w:highlight w:val="yellow"/>
              </w:rPr>
            </w:pPr>
            <w:r>
              <w:rPr>
                <w:rFonts w:hint="eastAsia"/>
                <w:color w:val="000000"/>
                <w:kern w:val="0"/>
                <w:sz w:val="21"/>
                <w:szCs w:val="21"/>
              </w:rPr>
              <w:t>1,216.14</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43F01">
            <w:pPr>
              <w:jc w:val="right"/>
              <w:textAlignment w:val="center"/>
              <w:rPr>
                <w:color w:val="000000"/>
                <w:kern w:val="0"/>
                <w:sz w:val="21"/>
                <w:szCs w:val="21"/>
                <w:highlight w:val="yellow"/>
              </w:rPr>
            </w:pPr>
            <w:r>
              <w:rPr>
                <w:rFonts w:hint="eastAsia"/>
                <w:color w:val="000000"/>
                <w:kern w:val="0"/>
                <w:sz w:val="21"/>
                <w:szCs w:val="21"/>
              </w:rPr>
              <w:t>1,685.15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C1FA">
            <w:pPr>
              <w:jc w:val="center"/>
              <w:textAlignment w:val="center"/>
              <w:rPr>
                <w:color w:val="000000"/>
                <w:sz w:val="21"/>
                <w:szCs w:val="21"/>
                <w:highlight w:val="yellow"/>
              </w:rPr>
            </w:pPr>
            <w:r>
              <w:rPr>
                <w:rFonts w:hint="eastAsia"/>
                <w:color w:val="000000"/>
                <w:kern w:val="0"/>
                <w:sz w:val="21"/>
                <w:szCs w:val="21"/>
              </w:rPr>
              <w:t>72.17%</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6BC7">
            <w:pPr>
              <w:jc w:val="center"/>
              <w:textAlignment w:val="center"/>
              <w:rPr>
                <w:color w:val="000000"/>
                <w:sz w:val="21"/>
                <w:szCs w:val="21"/>
                <w:highlight w:val="yellow"/>
              </w:rPr>
            </w:pPr>
            <w:r>
              <w:rPr>
                <w:rFonts w:hint="eastAsia"/>
                <w:color w:val="000000"/>
                <w:kern w:val="0"/>
                <w:sz w:val="21"/>
                <w:szCs w:val="21"/>
              </w:rPr>
              <w:t>73.50%</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DBE8">
            <w:pPr>
              <w:jc w:val="center"/>
              <w:textAlignment w:val="center"/>
              <w:rPr>
                <w:color w:val="000000"/>
                <w:sz w:val="21"/>
                <w:szCs w:val="21"/>
                <w:highlight w:val="yellow"/>
              </w:rPr>
            </w:pPr>
            <w:r>
              <w:rPr>
                <w:rFonts w:hint="eastAsia"/>
                <w:color w:val="000000"/>
                <w:kern w:val="0"/>
                <w:sz w:val="21"/>
                <w:szCs w:val="21"/>
              </w:rPr>
              <w:t>98.19%</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AF1C">
            <w:pPr>
              <w:jc w:val="center"/>
              <w:textAlignment w:val="center"/>
              <w:rPr>
                <w:color w:val="000000"/>
                <w:sz w:val="21"/>
                <w:szCs w:val="21"/>
                <w:highlight w:val="yellow"/>
              </w:rPr>
            </w:pPr>
            <w:r>
              <w:rPr>
                <w:rFonts w:hint="eastAsia"/>
                <w:color w:val="000000"/>
                <w:kern w:val="0"/>
                <w:sz w:val="21"/>
                <w:szCs w:val="21"/>
              </w:rPr>
              <w:t>0.41</w:t>
            </w:r>
          </w:p>
        </w:tc>
      </w:tr>
      <w:tr w14:paraId="1A356D0E">
        <w:tblPrEx>
          <w:tblCellMar>
            <w:top w:w="0" w:type="dxa"/>
            <w:left w:w="108" w:type="dxa"/>
            <w:bottom w:w="0" w:type="dxa"/>
            <w:right w:w="108" w:type="dxa"/>
          </w:tblCellMar>
        </w:tblPrEx>
        <w:trPr>
          <w:trHeight w:val="454" w:hRule="atLeast"/>
          <w:jc w:val="center"/>
        </w:trPr>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7153">
            <w:pPr>
              <w:jc w:val="center"/>
              <w:textAlignment w:val="center"/>
              <w:rPr>
                <w:color w:val="000000"/>
                <w:sz w:val="21"/>
                <w:szCs w:val="21"/>
              </w:rPr>
            </w:pPr>
            <w:r>
              <w:rPr>
                <w:rFonts w:hint="eastAsia"/>
                <w:color w:val="000000"/>
                <w:kern w:val="0"/>
                <w:sz w:val="21"/>
                <w:szCs w:val="21"/>
              </w:rPr>
              <w:t>2022/12/31</w:t>
            </w:r>
          </w:p>
        </w:tc>
        <w:tc>
          <w:tcPr>
            <w:tcW w:w="1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902C">
            <w:pPr>
              <w:jc w:val="right"/>
              <w:textAlignment w:val="center"/>
              <w:rPr>
                <w:color w:val="000000"/>
                <w:sz w:val="21"/>
                <w:szCs w:val="21"/>
                <w:highlight w:val="yellow"/>
              </w:rPr>
            </w:pPr>
            <w:r>
              <w:rPr>
                <w:rFonts w:hint="eastAsia"/>
                <w:color w:val="000000"/>
                <w:kern w:val="0"/>
                <w:sz w:val="21"/>
                <w:szCs w:val="21"/>
              </w:rPr>
              <w:t>1,679.31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0353">
            <w:pPr>
              <w:jc w:val="right"/>
              <w:textAlignment w:val="center"/>
              <w:rPr>
                <w:color w:val="000000"/>
                <w:kern w:val="0"/>
                <w:sz w:val="21"/>
                <w:szCs w:val="21"/>
                <w:highlight w:val="yellow"/>
              </w:rPr>
            </w:pPr>
            <w:r>
              <w:rPr>
                <w:rFonts w:hint="eastAsia"/>
                <w:color w:val="000000"/>
                <w:kern w:val="0"/>
                <w:sz w:val="21"/>
                <w:szCs w:val="21"/>
              </w:rPr>
              <w:t>1,685.15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8149">
            <w:pPr>
              <w:jc w:val="center"/>
              <w:textAlignment w:val="center"/>
              <w:rPr>
                <w:color w:val="000000"/>
                <w:sz w:val="21"/>
                <w:szCs w:val="21"/>
                <w:highlight w:val="yellow"/>
              </w:rPr>
            </w:pPr>
            <w:r>
              <w:rPr>
                <w:rFonts w:hint="eastAsia"/>
                <w:color w:val="000000"/>
                <w:kern w:val="0"/>
                <w:sz w:val="21"/>
                <w:szCs w:val="21"/>
              </w:rPr>
              <w:t>99.65%</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7EA1">
            <w:pPr>
              <w:jc w:val="center"/>
              <w:textAlignment w:val="center"/>
              <w:rPr>
                <w:color w:val="000000"/>
                <w:sz w:val="21"/>
                <w:szCs w:val="21"/>
                <w:highlight w:val="yellow"/>
              </w:rPr>
            </w:pPr>
            <w:r>
              <w:rPr>
                <w:rFonts w:hint="eastAsia"/>
                <w:color w:val="000000"/>
                <w:kern w:val="0"/>
                <w:sz w:val="21"/>
                <w:szCs w:val="21"/>
              </w:rPr>
              <w:t>100.00%</w:t>
            </w: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4EF3">
            <w:pPr>
              <w:jc w:val="center"/>
              <w:textAlignment w:val="center"/>
              <w:rPr>
                <w:color w:val="000000"/>
                <w:sz w:val="21"/>
                <w:szCs w:val="21"/>
                <w:highlight w:val="yellow"/>
              </w:rPr>
            </w:pPr>
            <w:r>
              <w:rPr>
                <w:rFonts w:hint="eastAsia"/>
                <w:color w:val="000000"/>
                <w:kern w:val="0"/>
                <w:sz w:val="21"/>
                <w:szCs w:val="21"/>
              </w:rPr>
              <w:t>99.65%</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7992">
            <w:pPr>
              <w:jc w:val="center"/>
              <w:textAlignment w:val="center"/>
              <w:rPr>
                <w:color w:val="000000"/>
                <w:sz w:val="21"/>
                <w:szCs w:val="21"/>
                <w:highlight w:val="yellow"/>
              </w:rPr>
            </w:pPr>
            <w:r>
              <w:rPr>
                <w:rFonts w:hint="eastAsia"/>
                <w:color w:val="000000"/>
                <w:kern w:val="0"/>
                <w:sz w:val="21"/>
                <w:szCs w:val="21"/>
              </w:rPr>
              <w:t>0.48</w:t>
            </w:r>
          </w:p>
        </w:tc>
      </w:tr>
      <w:tr w14:paraId="194E342D">
        <w:tblPrEx>
          <w:tblCellMar>
            <w:top w:w="0" w:type="dxa"/>
            <w:left w:w="108" w:type="dxa"/>
            <w:bottom w:w="0" w:type="dxa"/>
            <w:right w:w="108" w:type="dxa"/>
          </w:tblCellMar>
        </w:tblPrEx>
        <w:trPr>
          <w:trHeight w:val="454" w:hRule="atLeast"/>
          <w:jc w:val="center"/>
        </w:trPr>
        <w:tc>
          <w:tcPr>
            <w:tcW w:w="750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70A3">
            <w:pPr>
              <w:jc w:val="center"/>
              <w:textAlignment w:val="center"/>
              <w:rPr>
                <w:b/>
                <w:bCs/>
                <w:color w:val="000000"/>
                <w:sz w:val="21"/>
                <w:szCs w:val="21"/>
              </w:rPr>
            </w:pPr>
            <w:r>
              <w:rPr>
                <w:rFonts w:hint="eastAsia"/>
                <w:b/>
                <w:bCs/>
                <w:color w:val="000000"/>
                <w:kern w:val="0"/>
                <w:sz w:val="21"/>
                <w:szCs w:val="21"/>
              </w:rPr>
              <w:t>合计</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BB53">
            <w:pPr>
              <w:jc w:val="center"/>
              <w:textAlignment w:val="center"/>
              <w:rPr>
                <w:b/>
                <w:bCs/>
                <w:color w:val="000000"/>
                <w:sz w:val="21"/>
                <w:szCs w:val="21"/>
              </w:rPr>
            </w:pPr>
            <w:r>
              <w:rPr>
                <w:rFonts w:hint="eastAsia"/>
                <w:b/>
                <w:bCs/>
                <w:color w:val="000000"/>
                <w:kern w:val="0"/>
                <w:sz w:val="21"/>
                <w:szCs w:val="21"/>
              </w:rPr>
              <w:t>1.36</w:t>
            </w:r>
          </w:p>
        </w:tc>
      </w:tr>
    </w:tbl>
    <w:p w14:paraId="3FE1C11A">
      <w:pPr>
        <w:pStyle w:val="8"/>
        <w:widowControl w:val="0"/>
        <w:snapToGrid/>
        <w:ind w:firstLine="560"/>
        <w:rPr>
          <w:rFonts w:ascii="仿宋" w:hAnsi="仿宋"/>
          <w:kern w:val="0"/>
        </w:rPr>
      </w:pPr>
      <w:r>
        <w:rPr>
          <w:rFonts w:hint="eastAsia" w:ascii="仿宋" w:hAnsi="仿宋"/>
          <w:kern w:val="0"/>
        </w:rPr>
        <w:t>依据评分标准“①实际支付进度完成率大于或等于100%，得0.5分；②实际支付进度完成率小于90%，得0分；③实际支付进度完成率在90%-100%之间的，在0分和0.5分之间按完成率计算得分。”，</w:t>
      </w:r>
      <w:r>
        <w:rPr>
          <w:rFonts w:hint="eastAsia" w:ascii="仿宋"/>
          <w:kern w:val="0"/>
        </w:rPr>
        <w:t>该指标</w:t>
      </w:r>
      <w:r>
        <w:rPr>
          <w:rFonts w:hint="eastAsia" w:ascii="仿宋" w:hAnsi="仿宋"/>
          <w:kern w:val="0"/>
        </w:rPr>
        <w:t>分值2分，得分1.36分。</w:t>
      </w:r>
    </w:p>
    <w:p w14:paraId="443E5E55">
      <w:pPr>
        <w:widowControl w:val="0"/>
        <w:spacing w:line="560" w:lineRule="exact"/>
        <w:ind w:firstLine="562" w:firstLineChars="200"/>
        <w:outlineLvl w:val="4"/>
        <w:rPr>
          <w:b/>
        </w:rPr>
      </w:pPr>
      <w:r>
        <w:rPr>
          <w:rFonts w:hint="eastAsia"/>
          <w:b/>
        </w:rPr>
        <w:t>（4）B1-4结转结余率</w:t>
      </w:r>
    </w:p>
    <w:p w14:paraId="63BE4C2B">
      <w:pPr>
        <w:widowControl w:val="0"/>
        <w:spacing w:line="560" w:lineRule="exact"/>
        <w:ind w:firstLine="560" w:firstLineChars="200"/>
        <w:outlineLvl w:val="4"/>
        <w:rPr>
          <w:bCs/>
        </w:rPr>
      </w:pPr>
      <w:r>
        <w:rPr>
          <w:rFonts w:hint="eastAsia"/>
          <w:bCs/>
        </w:rPr>
        <w:t>2023年部门预算资金结转结余91,274.74元，其中基本支出58,416.52元，项目支出32,858.22元，具体</w:t>
      </w:r>
      <w:r>
        <w:rPr>
          <w:rFonts w:hint="eastAsia"/>
          <w:kern w:val="0"/>
        </w:rPr>
        <w:t>见表4-2-2：</w:t>
      </w:r>
    </w:p>
    <w:p w14:paraId="6F438633">
      <w:pPr>
        <w:pStyle w:val="8"/>
        <w:widowControl w:val="0"/>
        <w:snapToGrid/>
        <w:ind w:firstLine="562"/>
        <w:jc w:val="center"/>
        <w:rPr>
          <w:rFonts w:ascii="仿宋" w:hAnsi="仿宋"/>
          <w:b/>
          <w:kern w:val="0"/>
        </w:rPr>
      </w:pPr>
      <w:r>
        <w:rPr>
          <w:rFonts w:hint="eastAsia" w:ascii="仿宋" w:hAnsi="仿宋"/>
          <w:b/>
          <w:kern w:val="0"/>
        </w:rPr>
        <w:t>表4-2-</w:t>
      </w:r>
      <w:r>
        <w:rPr>
          <w:rFonts w:hint="eastAsia" w:ascii="仿宋"/>
          <w:b/>
          <w:kern w:val="0"/>
        </w:rPr>
        <w:t>2 2023年末部门预算资金结转结余统计表</w:t>
      </w:r>
    </w:p>
    <w:p w14:paraId="79D37A86">
      <w:pPr>
        <w:pStyle w:val="8"/>
        <w:snapToGrid/>
        <w:spacing w:line="240" w:lineRule="auto"/>
        <w:ind w:firstLine="480"/>
        <w:jc w:val="right"/>
        <w:rPr>
          <w:rFonts w:ascii="仿宋"/>
          <w:kern w:val="0"/>
          <w:highlight w:val="yellow"/>
        </w:rPr>
      </w:pPr>
      <w:r>
        <w:rPr>
          <w:rFonts w:hint="eastAsia" w:ascii="仿宋" w:hAnsi="仿宋"/>
          <w:sz w:val="24"/>
          <w:szCs w:val="22"/>
        </w:rPr>
        <w:t>单位</w:t>
      </w:r>
      <w:r>
        <w:rPr>
          <w:rFonts w:hint="eastAsia" w:ascii="仿宋" w:hAnsi="仿宋"/>
          <w:kern w:val="0"/>
          <w:sz w:val="24"/>
          <w:szCs w:val="24"/>
        </w:rPr>
        <w:t>：元</w:t>
      </w:r>
    </w:p>
    <w:tbl>
      <w:tblPr>
        <w:tblStyle w:val="24"/>
        <w:tblW w:w="4998" w:type="pct"/>
        <w:tblInd w:w="0" w:type="dxa"/>
        <w:tblLayout w:type="fixed"/>
        <w:tblCellMar>
          <w:top w:w="0" w:type="dxa"/>
          <w:left w:w="108" w:type="dxa"/>
          <w:bottom w:w="0" w:type="dxa"/>
          <w:right w:w="108" w:type="dxa"/>
        </w:tblCellMar>
      </w:tblPr>
      <w:tblGrid>
        <w:gridCol w:w="1089"/>
        <w:gridCol w:w="1320"/>
        <w:gridCol w:w="4607"/>
        <w:gridCol w:w="1497"/>
      </w:tblGrid>
      <w:tr w14:paraId="6C792EDC">
        <w:trPr>
          <w:trHeight w:val="454" w:hRule="atLeast"/>
          <w:tblHeader/>
        </w:trPr>
        <w:tc>
          <w:tcPr>
            <w:tcW w:w="64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5328F67">
            <w:pPr>
              <w:jc w:val="center"/>
              <w:textAlignment w:val="center"/>
              <w:rPr>
                <w:b/>
                <w:bCs/>
                <w:color w:val="000000"/>
                <w:sz w:val="21"/>
                <w:szCs w:val="21"/>
              </w:rPr>
            </w:pPr>
            <w:r>
              <w:rPr>
                <w:rFonts w:hint="eastAsia"/>
                <w:b/>
                <w:bCs/>
                <w:color w:val="000000"/>
                <w:sz w:val="21"/>
                <w:szCs w:val="21"/>
              </w:rPr>
              <w:t>部门</w:t>
            </w:r>
          </w:p>
        </w:tc>
        <w:tc>
          <w:tcPr>
            <w:tcW w:w="77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7F538A8">
            <w:pPr>
              <w:jc w:val="center"/>
              <w:textAlignment w:val="center"/>
              <w:rPr>
                <w:b/>
                <w:bCs/>
                <w:color w:val="000000"/>
                <w:sz w:val="21"/>
                <w:szCs w:val="21"/>
              </w:rPr>
            </w:pPr>
            <w:r>
              <w:rPr>
                <w:rFonts w:hint="eastAsia"/>
                <w:b/>
                <w:bCs/>
                <w:color w:val="000000"/>
                <w:kern w:val="0"/>
                <w:sz w:val="21"/>
                <w:szCs w:val="21"/>
              </w:rPr>
              <w:t>项目类别</w:t>
            </w:r>
          </w:p>
        </w:tc>
        <w:tc>
          <w:tcPr>
            <w:tcW w:w="270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61D54E2">
            <w:pPr>
              <w:jc w:val="center"/>
              <w:textAlignment w:val="center"/>
              <w:rPr>
                <w:b/>
                <w:bCs/>
                <w:color w:val="000000"/>
                <w:sz w:val="21"/>
                <w:szCs w:val="21"/>
              </w:rPr>
            </w:pPr>
            <w:r>
              <w:rPr>
                <w:rFonts w:hint="eastAsia"/>
                <w:b/>
                <w:bCs/>
                <w:color w:val="000000"/>
                <w:kern w:val="0"/>
                <w:sz w:val="21"/>
                <w:szCs w:val="21"/>
              </w:rPr>
              <w:t>项目名称</w:t>
            </w:r>
          </w:p>
        </w:tc>
        <w:tc>
          <w:tcPr>
            <w:tcW w:w="87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F203037">
            <w:pPr>
              <w:jc w:val="center"/>
              <w:textAlignment w:val="center"/>
              <w:rPr>
                <w:b/>
                <w:bCs/>
                <w:color w:val="000000"/>
                <w:kern w:val="0"/>
                <w:sz w:val="21"/>
                <w:szCs w:val="21"/>
              </w:rPr>
            </w:pPr>
            <w:r>
              <w:rPr>
                <w:rFonts w:hint="eastAsia"/>
                <w:b/>
                <w:bCs/>
                <w:color w:val="000000"/>
                <w:kern w:val="0"/>
                <w:sz w:val="21"/>
                <w:szCs w:val="21"/>
              </w:rPr>
              <w:t>指标金额</w:t>
            </w:r>
          </w:p>
        </w:tc>
      </w:tr>
      <w:tr w14:paraId="795450F8">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F077">
            <w:pPr>
              <w:jc w:val="center"/>
              <w:textAlignment w:val="center"/>
              <w:rPr>
                <w:color w:val="000000"/>
                <w:sz w:val="21"/>
                <w:szCs w:val="21"/>
              </w:rPr>
            </w:pPr>
            <w:r>
              <w:rPr>
                <w:rFonts w:hint="eastAsia"/>
                <w:color w:val="000000"/>
                <w:sz w:val="21"/>
                <w:szCs w:val="21"/>
              </w:rPr>
              <w:t>部门整体</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84B1">
            <w:pPr>
              <w:jc w:val="center"/>
              <w:textAlignment w:val="center"/>
              <w:rPr>
                <w:color w:val="000000"/>
                <w:sz w:val="21"/>
                <w:szCs w:val="21"/>
              </w:rPr>
            </w:pPr>
            <w:r>
              <w:rPr>
                <w:rFonts w:hint="eastAsia"/>
                <w:color w:val="000000"/>
                <w:sz w:val="21"/>
                <w:szCs w:val="21"/>
              </w:rPr>
              <w:t>人员类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8793">
            <w:pPr>
              <w:jc w:val="center"/>
              <w:textAlignment w:val="center"/>
              <w:rPr>
                <w:color w:val="000000"/>
                <w:sz w:val="21"/>
                <w:szCs w:val="21"/>
              </w:rPr>
            </w:pPr>
            <w:r>
              <w:rPr>
                <w:rFonts w:hint="eastAsia"/>
                <w:color w:val="000000"/>
                <w:sz w:val="21"/>
                <w:szCs w:val="21"/>
              </w:rPr>
              <w:t>人员支出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6ED4F">
            <w:pPr>
              <w:jc w:val="right"/>
              <w:textAlignment w:val="center"/>
              <w:rPr>
                <w:color w:val="000000"/>
                <w:sz w:val="21"/>
                <w:szCs w:val="21"/>
              </w:rPr>
            </w:pPr>
            <w:r>
              <w:rPr>
                <w:rFonts w:hint="eastAsia"/>
                <w:color w:val="000000"/>
                <w:sz w:val="21"/>
                <w:szCs w:val="21"/>
              </w:rPr>
              <w:t>33,669.59</w:t>
            </w:r>
          </w:p>
        </w:tc>
      </w:tr>
      <w:tr w14:paraId="02900858">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E126">
            <w:pPr>
              <w:jc w:val="center"/>
              <w:textAlignment w:val="center"/>
              <w:rPr>
                <w:color w:val="000000"/>
                <w:sz w:val="21"/>
                <w:szCs w:val="21"/>
              </w:rPr>
            </w:pPr>
            <w:r>
              <w:rPr>
                <w:rFonts w:hint="eastAsia"/>
                <w:color w:val="000000"/>
                <w:sz w:val="21"/>
                <w:szCs w:val="21"/>
              </w:rPr>
              <w:t>部门整体</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C765">
            <w:pPr>
              <w:jc w:val="center"/>
              <w:textAlignment w:val="center"/>
              <w:rPr>
                <w:color w:val="000000"/>
                <w:sz w:val="21"/>
                <w:szCs w:val="21"/>
              </w:rPr>
            </w:pPr>
            <w:r>
              <w:rPr>
                <w:rFonts w:hint="eastAsia"/>
                <w:color w:val="000000"/>
                <w:sz w:val="21"/>
                <w:szCs w:val="21"/>
              </w:rPr>
              <w:t>公用经费</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6BD1">
            <w:pPr>
              <w:jc w:val="center"/>
              <w:textAlignment w:val="center"/>
              <w:rPr>
                <w:color w:val="000000"/>
                <w:sz w:val="21"/>
                <w:szCs w:val="21"/>
              </w:rPr>
            </w:pPr>
            <w:r>
              <w:rPr>
                <w:rFonts w:hint="eastAsia"/>
                <w:color w:val="000000"/>
                <w:sz w:val="21"/>
                <w:szCs w:val="21"/>
              </w:rPr>
              <w:t>公用支出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34F8">
            <w:pPr>
              <w:jc w:val="right"/>
              <w:textAlignment w:val="center"/>
              <w:rPr>
                <w:color w:val="000000"/>
                <w:sz w:val="21"/>
                <w:szCs w:val="21"/>
              </w:rPr>
            </w:pPr>
            <w:r>
              <w:rPr>
                <w:rFonts w:hint="eastAsia"/>
                <w:color w:val="000000"/>
                <w:sz w:val="21"/>
                <w:szCs w:val="21"/>
              </w:rPr>
              <w:t>24,746.93</w:t>
            </w:r>
          </w:p>
        </w:tc>
      </w:tr>
      <w:tr w14:paraId="45682F3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A2496">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AD0A">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51D0">
            <w:pPr>
              <w:jc w:val="center"/>
              <w:textAlignment w:val="center"/>
              <w:rPr>
                <w:color w:val="000000"/>
                <w:sz w:val="21"/>
                <w:szCs w:val="21"/>
              </w:rPr>
            </w:pPr>
            <w:r>
              <w:rPr>
                <w:rFonts w:hint="eastAsia"/>
                <w:color w:val="000000"/>
                <w:sz w:val="21"/>
                <w:szCs w:val="21"/>
              </w:rPr>
              <w:t>文旅市场安全生产、疫情防控工作资金</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0CCB">
            <w:pPr>
              <w:jc w:val="right"/>
              <w:textAlignment w:val="center"/>
              <w:rPr>
                <w:color w:val="000000"/>
                <w:sz w:val="21"/>
                <w:szCs w:val="21"/>
              </w:rPr>
            </w:pPr>
            <w:r>
              <w:rPr>
                <w:rFonts w:hint="eastAsia"/>
                <w:color w:val="000000"/>
                <w:sz w:val="21"/>
                <w:szCs w:val="21"/>
              </w:rPr>
              <w:t>2.97</w:t>
            </w:r>
          </w:p>
        </w:tc>
      </w:tr>
      <w:tr w14:paraId="3CBF850F">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13D5">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1477">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C80D">
            <w:pPr>
              <w:jc w:val="center"/>
              <w:textAlignment w:val="center"/>
              <w:rPr>
                <w:color w:val="000000"/>
                <w:sz w:val="21"/>
                <w:szCs w:val="21"/>
              </w:rPr>
            </w:pPr>
            <w:r>
              <w:rPr>
                <w:rFonts w:hint="eastAsia"/>
                <w:color w:val="000000"/>
                <w:sz w:val="21"/>
                <w:szCs w:val="21"/>
              </w:rPr>
              <w:t>永济市思政课堂研学教育体验基地项目策划服务费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9456">
            <w:pPr>
              <w:jc w:val="right"/>
              <w:textAlignment w:val="center"/>
              <w:rPr>
                <w:color w:val="000000"/>
                <w:sz w:val="21"/>
                <w:szCs w:val="21"/>
              </w:rPr>
            </w:pPr>
            <w:r>
              <w:rPr>
                <w:rFonts w:hint="eastAsia"/>
                <w:color w:val="000000"/>
                <w:sz w:val="21"/>
                <w:szCs w:val="21"/>
              </w:rPr>
              <w:t>500.00</w:t>
            </w:r>
          </w:p>
        </w:tc>
      </w:tr>
      <w:tr w14:paraId="7F2AEFEF">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8993">
            <w:pPr>
              <w:jc w:val="center"/>
              <w:textAlignment w:val="center"/>
              <w:rPr>
                <w:color w:val="000000"/>
                <w:sz w:val="21"/>
                <w:szCs w:val="21"/>
              </w:rPr>
            </w:pPr>
            <w:r>
              <w:rPr>
                <w:rFonts w:hint="eastAsia"/>
                <w:color w:val="000000"/>
                <w:sz w:val="21"/>
                <w:szCs w:val="21"/>
              </w:rPr>
              <w:t>博物馆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A2B7">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0D6A">
            <w:pPr>
              <w:jc w:val="center"/>
              <w:textAlignment w:val="center"/>
              <w:rPr>
                <w:color w:val="000000"/>
                <w:sz w:val="21"/>
                <w:szCs w:val="21"/>
              </w:rPr>
            </w:pPr>
            <w:r>
              <w:rPr>
                <w:rFonts w:hint="eastAsia"/>
                <w:color w:val="000000"/>
                <w:sz w:val="21"/>
                <w:szCs w:val="21"/>
              </w:rPr>
              <w:t>2023博物馆运行经费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0E81">
            <w:pPr>
              <w:jc w:val="right"/>
              <w:textAlignment w:val="center"/>
              <w:rPr>
                <w:color w:val="000000"/>
                <w:sz w:val="21"/>
                <w:szCs w:val="21"/>
              </w:rPr>
            </w:pPr>
            <w:r>
              <w:rPr>
                <w:rFonts w:hint="eastAsia"/>
                <w:color w:val="000000"/>
                <w:sz w:val="21"/>
                <w:szCs w:val="21"/>
              </w:rPr>
              <w:t>0.07</w:t>
            </w:r>
          </w:p>
        </w:tc>
      </w:tr>
      <w:tr w14:paraId="1EFB7F11">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AD7C">
            <w:pPr>
              <w:jc w:val="center"/>
              <w:textAlignment w:val="center"/>
              <w:rPr>
                <w:color w:val="000000"/>
                <w:sz w:val="21"/>
                <w:szCs w:val="21"/>
              </w:rPr>
            </w:pPr>
            <w:r>
              <w:rPr>
                <w:rFonts w:hint="eastAsia"/>
                <w:color w:val="000000"/>
                <w:sz w:val="21"/>
                <w:szCs w:val="21"/>
              </w:rPr>
              <w:t>旅游服务中心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FBBE">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023C">
            <w:pPr>
              <w:jc w:val="center"/>
              <w:textAlignment w:val="center"/>
              <w:rPr>
                <w:color w:val="000000"/>
                <w:sz w:val="21"/>
                <w:szCs w:val="21"/>
              </w:rPr>
            </w:pPr>
            <w:r>
              <w:rPr>
                <w:rFonts w:hint="eastAsia"/>
                <w:color w:val="000000"/>
                <w:sz w:val="21"/>
                <w:szCs w:val="21"/>
              </w:rPr>
              <w:t>2023年旅游宣传资金</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220A">
            <w:pPr>
              <w:jc w:val="right"/>
              <w:textAlignment w:val="center"/>
              <w:rPr>
                <w:color w:val="000000"/>
                <w:sz w:val="21"/>
                <w:szCs w:val="21"/>
              </w:rPr>
            </w:pPr>
            <w:r>
              <w:rPr>
                <w:rFonts w:hint="eastAsia"/>
                <w:color w:val="000000"/>
                <w:sz w:val="21"/>
                <w:szCs w:val="21"/>
              </w:rPr>
              <w:t>9,584.00</w:t>
            </w:r>
          </w:p>
        </w:tc>
      </w:tr>
      <w:tr w14:paraId="6F018385">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6EA0">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1A9C">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D7EC">
            <w:pPr>
              <w:jc w:val="center"/>
              <w:textAlignment w:val="center"/>
              <w:rPr>
                <w:color w:val="000000"/>
                <w:sz w:val="21"/>
                <w:szCs w:val="21"/>
              </w:rPr>
            </w:pPr>
            <w:r>
              <w:rPr>
                <w:rFonts w:hint="eastAsia"/>
                <w:color w:val="000000"/>
                <w:sz w:val="21"/>
                <w:szCs w:val="21"/>
              </w:rPr>
              <w:t>2023年文物保护经费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765D">
            <w:pPr>
              <w:jc w:val="right"/>
              <w:textAlignment w:val="center"/>
              <w:rPr>
                <w:color w:val="000000"/>
                <w:sz w:val="21"/>
                <w:szCs w:val="21"/>
              </w:rPr>
            </w:pPr>
            <w:r>
              <w:rPr>
                <w:rFonts w:hint="eastAsia"/>
                <w:color w:val="000000"/>
                <w:sz w:val="21"/>
                <w:szCs w:val="21"/>
              </w:rPr>
              <w:t>9,842.15</w:t>
            </w:r>
          </w:p>
        </w:tc>
      </w:tr>
      <w:tr w14:paraId="2582FD66">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D9BB">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4367">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61D9">
            <w:pPr>
              <w:jc w:val="center"/>
              <w:textAlignment w:val="center"/>
              <w:rPr>
                <w:color w:val="000000"/>
                <w:sz w:val="21"/>
                <w:szCs w:val="21"/>
              </w:rPr>
            </w:pPr>
            <w:r>
              <w:rPr>
                <w:rFonts w:hint="eastAsia"/>
                <w:color w:val="000000"/>
                <w:sz w:val="21"/>
                <w:szCs w:val="21"/>
              </w:rPr>
              <w:t>万固寺抢险保护工程</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AFD04">
            <w:pPr>
              <w:jc w:val="right"/>
              <w:textAlignment w:val="center"/>
              <w:rPr>
                <w:color w:val="000000"/>
                <w:sz w:val="21"/>
                <w:szCs w:val="21"/>
              </w:rPr>
            </w:pPr>
            <w:r>
              <w:rPr>
                <w:rFonts w:hint="eastAsia"/>
                <w:color w:val="000000"/>
                <w:sz w:val="21"/>
                <w:szCs w:val="21"/>
              </w:rPr>
              <w:t>10,510.74</w:t>
            </w:r>
          </w:p>
        </w:tc>
      </w:tr>
      <w:tr w14:paraId="764751ED">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A8E3">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F2F2">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BA03">
            <w:pPr>
              <w:jc w:val="center"/>
              <w:textAlignment w:val="center"/>
              <w:rPr>
                <w:color w:val="000000"/>
                <w:sz w:val="21"/>
                <w:szCs w:val="21"/>
              </w:rPr>
            </w:pPr>
            <w:r>
              <w:rPr>
                <w:rFonts w:hint="eastAsia"/>
                <w:color w:val="000000"/>
                <w:sz w:val="21"/>
                <w:szCs w:val="21"/>
              </w:rPr>
              <w:t>23年勘探配合费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5326">
            <w:pPr>
              <w:jc w:val="right"/>
              <w:textAlignment w:val="center"/>
              <w:rPr>
                <w:color w:val="000000"/>
                <w:sz w:val="21"/>
                <w:szCs w:val="21"/>
              </w:rPr>
            </w:pPr>
            <w:r>
              <w:rPr>
                <w:rFonts w:hint="eastAsia"/>
                <w:color w:val="000000"/>
                <w:sz w:val="21"/>
                <w:szCs w:val="21"/>
              </w:rPr>
              <w:t>3.00</w:t>
            </w:r>
          </w:p>
        </w:tc>
      </w:tr>
      <w:tr w14:paraId="1D653F30">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CD0E">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43575">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729A">
            <w:pPr>
              <w:jc w:val="center"/>
              <w:textAlignment w:val="center"/>
              <w:rPr>
                <w:color w:val="000000"/>
                <w:sz w:val="21"/>
                <w:szCs w:val="21"/>
              </w:rPr>
            </w:pPr>
            <w:r>
              <w:rPr>
                <w:rFonts w:hint="eastAsia"/>
                <w:color w:val="000000"/>
                <w:sz w:val="21"/>
                <w:szCs w:val="21"/>
              </w:rPr>
              <w:t>2023年省级文物保护资金结转</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0CA2">
            <w:pPr>
              <w:jc w:val="right"/>
              <w:textAlignment w:val="center"/>
              <w:rPr>
                <w:color w:val="000000"/>
                <w:sz w:val="21"/>
                <w:szCs w:val="21"/>
              </w:rPr>
            </w:pPr>
            <w:r>
              <w:rPr>
                <w:rFonts w:hint="eastAsia"/>
                <w:color w:val="000000"/>
                <w:sz w:val="21"/>
                <w:szCs w:val="21"/>
              </w:rPr>
              <w:t>4.51</w:t>
            </w:r>
          </w:p>
        </w:tc>
      </w:tr>
      <w:tr w14:paraId="5D63A247">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562E">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C0F6">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A9353">
            <w:pPr>
              <w:jc w:val="center"/>
              <w:textAlignment w:val="center"/>
              <w:rPr>
                <w:color w:val="000000"/>
                <w:sz w:val="21"/>
                <w:szCs w:val="21"/>
              </w:rPr>
            </w:pPr>
            <w:r>
              <w:rPr>
                <w:rFonts w:hint="eastAsia"/>
                <w:color w:val="000000"/>
                <w:sz w:val="21"/>
                <w:szCs w:val="21"/>
              </w:rPr>
              <w:t>2023年文化大楼运行经费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933C">
            <w:pPr>
              <w:jc w:val="right"/>
              <w:textAlignment w:val="center"/>
              <w:rPr>
                <w:color w:val="000000"/>
                <w:sz w:val="21"/>
                <w:szCs w:val="21"/>
              </w:rPr>
            </w:pPr>
            <w:r>
              <w:rPr>
                <w:rFonts w:hint="eastAsia"/>
                <w:color w:val="000000"/>
                <w:sz w:val="21"/>
                <w:szCs w:val="21"/>
              </w:rPr>
              <w:t>500.00</w:t>
            </w:r>
          </w:p>
        </w:tc>
      </w:tr>
      <w:tr w14:paraId="4371EE93">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6BCC">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F436">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0FFF">
            <w:pPr>
              <w:jc w:val="center"/>
              <w:textAlignment w:val="center"/>
              <w:rPr>
                <w:color w:val="000000"/>
                <w:sz w:val="21"/>
                <w:szCs w:val="21"/>
              </w:rPr>
            </w:pPr>
            <w:r>
              <w:rPr>
                <w:rFonts w:hint="eastAsia"/>
                <w:color w:val="000000"/>
                <w:sz w:val="21"/>
                <w:szCs w:val="21"/>
              </w:rPr>
              <w:t>2023年文化馆活动经费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90629">
            <w:pPr>
              <w:jc w:val="right"/>
              <w:textAlignment w:val="center"/>
              <w:rPr>
                <w:color w:val="000000"/>
                <w:sz w:val="21"/>
                <w:szCs w:val="21"/>
              </w:rPr>
            </w:pPr>
            <w:r>
              <w:rPr>
                <w:rFonts w:hint="eastAsia"/>
                <w:color w:val="000000"/>
                <w:sz w:val="21"/>
                <w:szCs w:val="21"/>
              </w:rPr>
              <w:t>145.14</w:t>
            </w:r>
          </w:p>
        </w:tc>
      </w:tr>
      <w:tr w14:paraId="1801EA47">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0672">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D4EF">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ED4D">
            <w:pPr>
              <w:jc w:val="center"/>
              <w:textAlignment w:val="center"/>
              <w:rPr>
                <w:color w:val="000000"/>
                <w:sz w:val="21"/>
                <w:szCs w:val="21"/>
              </w:rPr>
            </w:pPr>
            <w:r>
              <w:rPr>
                <w:rFonts w:hint="eastAsia"/>
                <w:color w:val="000000"/>
                <w:sz w:val="21"/>
                <w:szCs w:val="21"/>
              </w:rPr>
              <w:t>公共美术馆、图书馆、文化馆站免费开放补助(中央资金)(文化馆)</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18FD">
            <w:pPr>
              <w:jc w:val="right"/>
              <w:textAlignment w:val="center"/>
              <w:rPr>
                <w:color w:val="000000"/>
                <w:sz w:val="21"/>
                <w:szCs w:val="21"/>
              </w:rPr>
            </w:pPr>
            <w:r>
              <w:rPr>
                <w:rFonts w:hint="eastAsia"/>
                <w:color w:val="000000"/>
                <w:sz w:val="21"/>
                <w:szCs w:val="21"/>
              </w:rPr>
              <w:t>599.50</w:t>
            </w:r>
          </w:p>
        </w:tc>
      </w:tr>
      <w:tr w14:paraId="677A56AC">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989F">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FCD4">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3C71">
            <w:pPr>
              <w:jc w:val="center"/>
              <w:textAlignment w:val="center"/>
              <w:rPr>
                <w:color w:val="000000"/>
                <w:sz w:val="21"/>
                <w:szCs w:val="21"/>
              </w:rPr>
            </w:pPr>
            <w:r>
              <w:rPr>
                <w:rFonts w:hint="eastAsia"/>
                <w:color w:val="000000"/>
                <w:sz w:val="21"/>
                <w:szCs w:val="21"/>
              </w:rPr>
              <w:t>公共美术馆、图书馆、文化馆站免费开放补助(中央资金)(文化站)</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5F9E">
            <w:pPr>
              <w:jc w:val="right"/>
              <w:textAlignment w:val="center"/>
              <w:rPr>
                <w:color w:val="000000"/>
                <w:sz w:val="21"/>
                <w:szCs w:val="21"/>
              </w:rPr>
            </w:pPr>
            <w:r>
              <w:rPr>
                <w:rFonts w:hint="eastAsia"/>
                <w:color w:val="000000"/>
                <w:sz w:val="21"/>
                <w:szCs w:val="21"/>
              </w:rPr>
              <w:t>1,166.14</w:t>
            </w:r>
          </w:p>
        </w:tc>
      </w:tr>
      <w:tr w14:paraId="24498FFC">
        <w:tblPrEx>
          <w:tblCellMar>
            <w:top w:w="0" w:type="dxa"/>
            <w:left w:w="108" w:type="dxa"/>
            <w:bottom w:w="0" w:type="dxa"/>
            <w:right w:w="108" w:type="dxa"/>
          </w:tblCellMar>
        </w:tblPrEx>
        <w:trPr>
          <w:trHeight w:val="454" w:hRule="atLeast"/>
        </w:trPr>
        <w:tc>
          <w:tcPr>
            <w:tcW w:w="412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D60E">
            <w:pPr>
              <w:jc w:val="center"/>
              <w:textAlignment w:val="center"/>
              <w:rPr>
                <w:b/>
                <w:bCs/>
                <w:color w:val="000000"/>
                <w:sz w:val="21"/>
                <w:szCs w:val="21"/>
              </w:rPr>
            </w:pPr>
            <w:r>
              <w:rPr>
                <w:rFonts w:hint="eastAsia"/>
                <w:b/>
                <w:bCs/>
                <w:color w:val="000000"/>
                <w:sz w:val="21"/>
                <w:szCs w:val="21"/>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1DA1">
            <w:pPr>
              <w:jc w:val="right"/>
              <w:textAlignment w:val="center"/>
              <w:rPr>
                <w:b/>
                <w:bCs/>
                <w:color w:val="000000"/>
                <w:sz w:val="21"/>
                <w:szCs w:val="21"/>
              </w:rPr>
            </w:pPr>
            <w:r>
              <w:rPr>
                <w:rFonts w:hint="eastAsia"/>
                <w:b/>
                <w:bCs/>
                <w:color w:val="000000"/>
                <w:sz w:val="21"/>
                <w:szCs w:val="21"/>
              </w:rPr>
              <w:t>91,274.74</w:t>
            </w:r>
          </w:p>
        </w:tc>
      </w:tr>
    </w:tbl>
    <w:p w14:paraId="31775577">
      <w:pPr>
        <w:snapToGrid w:val="0"/>
        <w:spacing w:line="560" w:lineRule="exact"/>
        <w:rPr>
          <w:kern w:val="0"/>
        </w:rPr>
      </w:pPr>
      <w:r>
        <w:rPr>
          <w:rFonts w:hint="eastAsia"/>
          <w:kern w:val="0"/>
        </w:rPr>
        <w:t>经统计2023年度全年预算支出8,278.33万元，结转结余率=(9.13/8,278.33)×100%=0.11%,依据评分标准，该指标得分=（10%-0.11%）/（10%-0%）×2=1.98。</w:t>
      </w:r>
    </w:p>
    <w:p w14:paraId="082F15E5">
      <w:pPr>
        <w:widowControl w:val="0"/>
        <w:spacing w:line="560" w:lineRule="exact"/>
        <w:ind w:firstLine="562" w:firstLineChars="200"/>
        <w:outlineLvl w:val="4"/>
        <w:rPr>
          <w:b/>
          <w:highlight w:val="yellow"/>
        </w:rPr>
      </w:pPr>
      <w:r>
        <w:rPr>
          <w:rFonts w:hint="eastAsia"/>
          <w:b/>
        </w:rPr>
        <w:t>（5）B1-5结转结余变动率</w:t>
      </w:r>
    </w:p>
    <w:p w14:paraId="62D7264C">
      <w:pPr>
        <w:pStyle w:val="8"/>
        <w:widowControl w:val="0"/>
        <w:snapToGrid/>
        <w:ind w:firstLine="560"/>
        <w:rPr>
          <w:rFonts w:ascii="仿宋" w:hAnsi="仿宋"/>
          <w:bCs/>
          <w:kern w:val="0"/>
        </w:rPr>
      </w:pPr>
      <w:r>
        <w:rPr>
          <w:rFonts w:hint="eastAsia" w:ascii="仿宋" w:hAnsi="仿宋"/>
          <w:kern w:val="0"/>
        </w:rPr>
        <w:t>202</w:t>
      </w:r>
      <w:r>
        <w:rPr>
          <w:rFonts w:hint="eastAsia" w:ascii="仿宋"/>
          <w:kern w:val="0"/>
        </w:rPr>
        <w:t>2</w:t>
      </w:r>
      <w:r>
        <w:rPr>
          <w:rFonts w:hint="eastAsia" w:ascii="仿宋" w:hAnsi="仿宋"/>
          <w:kern w:val="0"/>
        </w:rPr>
        <w:t>年部门预算资金结转结余</w:t>
      </w:r>
      <w:r>
        <w:rPr>
          <w:rFonts w:hint="eastAsia" w:ascii="仿宋"/>
          <w:kern w:val="0"/>
        </w:rPr>
        <w:t>2,063,760.61</w:t>
      </w:r>
      <w:r>
        <w:rPr>
          <w:rFonts w:hint="eastAsia" w:ascii="仿宋" w:hAnsi="仿宋"/>
          <w:kern w:val="0"/>
        </w:rPr>
        <w:t>元，其中：基本支出</w:t>
      </w:r>
      <w:r>
        <w:rPr>
          <w:rFonts w:hint="eastAsia" w:ascii="仿宋"/>
          <w:kern w:val="0"/>
        </w:rPr>
        <w:t>38,070.20</w:t>
      </w:r>
      <w:r>
        <w:rPr>
          <w:rFonts w:hint="eastAsia" w:ascii="仿宋" w:hAnsi="仿宋"/>
          <w:kern w:val="0"/>
        </w:rPr>
        <w:t>元，项目</w:t>
      </w:r>
      <w:r>
        <w:rPr>
          <w:rFonts w:hint="eastAsia" w:ascii="仿宋"/>
          <w:kern w:val="0"/>
        </w:rPr>
        <w:t>支出</w:t>
      </w:r>
      <w:r>
        <w:rPr>
          <w:rFonts w:hint="eastAsia" w:ascii="仿宋" w:hAnsi="仿宋"/>
          <w:kern w:val="0"/>
        </w:rPr>
        <w:t>结转结余</w:t>
      </w:r>
      <w:r>
        <w:rPr>
          <w:rFonts w:hint="eastAsia" w:ascii="仿宋"/>
          <w:kern w:val="0"/>
        </w:rPr>
        <w:t>2,025,690.41</w:t>
      </w:r>
      <w:r>
        <w:rPr>
          <w:rFonts w:hint="eastAsia" w:ascii="仿宋" w:hAnsi="仿宋"/>
          <w:kern w:val="0"/>
        </w:rPr>
        <w:t>元。</w:t>
      </w:r>
      <w:r>
        <w:rPr>
          <w:rFonts w:hint="eastAsia" w:ascii="仿宋"/>
          <w:kern w:val="0"/>
        </w:rPr>
        <w:t>具体见表</w:t>
      </w:r>
      <w:r>
        <w:rPr>
          <w:rFonts w:hint="eastAsia" w:ascii="仿宋" w:hAnsi="仿宋"/>
          <w:kern w:val="0"/>
        </w:rPr>
        <w:t>4-2-</w:t>
      </w:r>
      <w:r>
        <w:rPr>
          <w:rFonts w:hint="eastAsia" w:ascii="仿宋"/>
          <w:kern w:val="0"/>
        </w:rPr>
        <w:t>2</w:t>
      </w:r>
      <w:r>
        <w:rPr>
          <w:rFonts w:hint="eastAsia" w:ascii="仿宋" w:hAnsi="仿宋"/>
          <w:kern w:val="0"/>
        </w:rPr>
        <w:t>：</w:t>
      </w:r>
    </w:p>
    <w:p w14:paraId="374F7B88">
      <w:pPr>
        <w:pStyle w:val="8"/>
        <w:widowControl w:val="0"/>
        <w:snapToGrid/>
        <w:ind w:firstLine="562"/>
        <w:jc w:val="center"/>
        <w:rPr>
          <w:rFonts w:ascii="仿宋" w:hAnsi="仿宋"/>
          <w:b/>
          <w:kern w:val="0"/>
        </w:rPr>
      </w:pPr>
      <w:r>
        <w:rPr>
          <w:rFonts w:hint="eastAsia" w:ascii="仿宋" w:hAnsi="仿宋"/>
          <w:b/>
          <w:kern w:val="0"/>
        </w:rPr>
        <w:t>表4-2-</w:t>
      </w:r>
      <w:r>
        <w:rPr>
          <w:rFonts w:hint="eastAsia" w:ascii="仿宋"/>
          <w:b/>
          <w:kern w:val="0"/>
        </w:rPr>
        <w:t>3 2022年末部门预算资金结转结余统计表</w:t>
      </w:r>
    </w:p>
    <w:p w14:paraId="4CC7F643">
      <w:pPr>
        <w:pStyle w:val="8"/>
        <w:snapToGrid/>
        <w:spacing w:line="240" w:lineRule="auto"/>
        <w:ind w:firstLine="480"/>
        <w:jc w:val="right"/>
        <w:rPr>
          <w:rFonts w:ascii="仿宋"/>
          <w:kern w:val="0"/>
          <w:highlight w:val="yellow"/>
        </w:rPr>
      </w:pPr>
      <w:r>
        <w:rPr>
          <w:rFonts w:hint="eastAsia" w:ascii="仿宋" w:hAnsi="仿宋"/>
          <w:sz w:val="24"/>
          <w:szCs w:val="22"/>
        </w:rPr>
        <w:t>单位</w:t>
      </w:r>
      <w:r>
        <w:rPr>
          <w:rFonts w:hint="eastAsia" w:ascii="仿宋" w:hAnsi="仿宋"/>
          <w:kern w:val="0"/>
          <w:sz w:val="24"/>
          <w:szCs w:val="24"/>
        </w:rPr>
        <w:t>：元</w:t>
      </w:r>
    </w:p>
    <w:tbl>
      <w:tblPr>
        <w:tblStyle w:val="24"/>
        <w:tblW w:w="4998" w:type="pct"/>
        <w:tblInd w:w="0" w:type="dxa"/>
        <w:tblLayout w:type="fixed"/>
        <w:tblCellMar>
          <w:top w:w="0" w:type="dxa"/>
          <w:left w:w="108" w:type="dxa"/>
          <w:bottom w:w="0" w:type="dxa"/>
          <w:right w:w="108" w:type="dxa"/>
        </w:tblCellMar>
      </w:tblPr>
      <w:tblGrid>
        <w:gridCol w:w="1089"/>
        <w:gridCol w:w="1320"/>
        <w:gridCol w:w="4607"/>
        <w:gridCol w:w="1497"/>
      </w:tblGrid>
      <w:tr w14:paraId="69914688">
        <w:tblPrEx>
          <w:tblCellMar>
            <w:top w:w="0" w:type="dxa"/>
            <w:left w:w="108" w:type="dxa"/>
            <w:bottom w:w="0" w:type="dxa"/>
            <w:right w:w="108" w:type="dxa"/>
          </w:tblCellMar>
        </w:tblPrEx>
        <w:trPr>
          <w:trHeight w:val="454" w:hRule="atLeast"/>
          <w:tblHeader/>
        </w:trPr>
        <w:tc>
          <w:tcPr>
            <w:tcW w:w="64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59AC1A2">
            <w:pPr>
              <w:jc w:val="center"/>
              <w:textAlignment w:val="center"/>
              <w:rPr>
                <w:b/>
                <w:bCs/>
                <w:color w:val="000000"/>
                <w:sz w:val="21"/>
                <w:szCs w:val="21"/>
              </w:rPr>
            </w:pPr>
            <w:r>
              <w:rPr>
                <w:rFonts w:hint="eastAsia"/>
                <w:b/>
                <w:bCs/>
                <w:color w:val="000000"/>
                <w:sz w:val="21"/>
                <w:szCs w:val="21"/>
              </w:rPr>
              <w:t>部门</w:t>
            </w:r>
          </w:p>
        </w:tc>
        <w:tc>
          <w:tcPr>
            <w:tcW w:w="77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6AF86A3">
            <w:pPr>
              <w:jc w:val="center"/>
              <w:textAlignment w:val="center"/>
              <w:rPr>
                <w:b/>
                <w:bCs/>
                <w:color w:val="000000"/>
                <w:sz w:val="21"/>
                <w:szCs w:val="21"/>
              </w:rPr>
            </w:pPr>
            <w:r>
              <w:rPr>
                <w:rFonts w:hint="eastAsia"/>
                <w:b/>
                <w:bCs/>
                <w:color w:val="000000"/>
                <w:kern w:val="0"/>
                <w:sz w:val="21"/>
                <w:szCs w:val="21"/>
              </w:rPr>
              <w:t>项目类别</w:t>
            </w:r>
          </w:p>
        </w:tc>
        <w:tc>
          <w:tcPr>
            <w:tcW w:w="270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CCB6C90">
            <w:pPr>
              <w:jc w:val="center"/>
              <w:textAlignment w:val="center"/>
              <w:rPr>
                <w:b/>
                <w:bCs/>
                <w:color w:val="000000"/>
                <w:sz w:val="21"/>
                <w:szCs w:val="21"/>
              </w:rPr>
            </w:pPr>
            <w:r>
              <w:rPr>
                <w:rFonts w:hint="eastAsia"/>
                <w:b/>
                <w:bCs/>
                <w:color w:val="000000"/>
                <w:kern w:val="0"/>
                <w:sz w:val="21"/>
                <w:szCs w:val="21"/>
              </w:rPr>
              <w:t>项目名称</w:t>
            </w:r>
          </w:p>
        </w:tc>
        <w:tc>
          <w:tcPr>
            <w:tcW w:w="87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A14718">
            <w:pPr>
              <w:jc w:val="center"/>
              <w:textAlignment w:val="center"/>
              <w:rPr>
                <w:b/>
                <w:bCs/>
                <w:color w:val="000000"/>
                <w:kern w:val="0"/>
                <w:sz w:val="21"/>
                <w:szCs w:val="21"/>
              </w:rPr>
            </w:pPr>
            <w:r>
              <w:rPr>
                <w:rFonts w:hint="eastAsia"/>
                <w:b/>
                <w:bCs/>
                <w:color w:val="000000"/>
                <w:kern w:val="0"/>
                <w:sz w:val="21"/>
                <w:szCs w:val="21"/>
              </w:rPr>
              <w:t>指标金额</w:t>
            </w:r>
          </w:p>
        </w:tc>
      </w:tr>
      <w:tr w14:paraId="41FE7FA9">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566A">
            <w:pPr>
              <w:jc w:val="center"/>
              <w:textAlignment w:val="center"/>
              <w:rPr>
                <w:color w:val="000000"/>
                <w:sz w:val="21"/>
                <w:szCs w:val="21"/>
              </w:rPr>
            </w:pPr>
            <w:r>
              <w:rPr>
                <w:rFonts w:hint="eastAsia"/>
                <w:color w:val="000000"/>
                <w:sz w:val="21"/>
                <w:szCs w:val="21"/>
              </w:rPr>
              <w:t>部门整体</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C77D">
            <w:pPr>
              <w:jc w:val="center"/>
              <w:textAlignment w:val="center"/>
              <w:rPr>
                <w:color w:val="000000"/>
                <w:sz w:val="21"/>
                <w:szCs w:val="21"/>
              </w:rPr>
            </w:pPr>
            <w:r>
              <w:rPr>
                <w:rFonts w:hint="eastAsia"/>
                <w:color w:val="000000"/>
                <w:sz w:val="21"/>
                <w:szCs w:val="21"/>
              </w:rPr>
              <w:t>人员类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BFAB">
            <w:pPr>
              <w:jc w:val="center"/>
              <w:textAlignment w:val="center"/>
              <w:rPr>
                <w:color w:val="000000"/>
                <w:sz w:val="21"/>
                <w:szCs w:val="21"/>
              </w:rPr>
            </w:pPr>
            <w:r>
              <w:rPr>
                <w:rFonts w:hint="eastAsia"/>
                <w:color w:val="000000"/>
                <w:sz w:val="21"/>
                <w:szCs w:val="21"/>
              </w:rPr>
              <w:t>人员支出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23D9">
            <w:pPr>
              <w:jc w:val="right"/>
              <w:textAlignment w:val="center"/>
              <w:rPr>
                <w:color w:val="000000"/>
                <w:sz w:val="21"/>
                <w:szCs w:val="21"/>
              </w:rPr>
            </w:pPr>
            <w:r>
              <w:rPr>
                <w:rFonts w:hint="eastAsia"/>
                <w:color w:val="000000"/>
                <w:sz w:val="21"/>
                <w:szCs w:val="21"/>
              </w:rPr>
              <w:t>22,669.30</w:t>
            </w:r>
          </w:p>
        </w:tc>
      </w:tr>
      <w:tr w14:paraId="6521D376">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743F">
            <w:pPr>
              <w:jc w:val="center"/>
              <w:textAlignment w:val="center"/>
              <w:rPr>
                <w:color w:val="000000"/>
                <w:sz w:val="21"/>
                <w:szCs w:val="21"/>
              </w:rPr>
            </w:pPr>
            <w:r>
              <w:rPr>
                <w:rFonts w:hint="eastAsia"/>
                <w:color w:val="000000"/>
                <w:sz w:val="21"/>
                <w:szCs w:val="21"/>
              </w:rPr>
              <w:t>部门整体</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2D3C">
            <w:pPr>
              <w:jc w:val="center"/>
              <w:textAlignment w:val="center"/>
              <w:rPr>
                <w:color w:val="000000"/>
                <w:sz w:val="21"/>
                <w:szCs w:val="21"/>
              </w:rPr>
            </w:pPr>
            <w:r>
              <w:rPr>
                <w:rFonts w:hint="eastAsia"/>
                <w:color w:val="000000"/>
                <w:sz w:val="21"/>
                <w:szCs w:val="21"/>
              </w:rPr>
              <w:t>公用经费</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FF6DC">
            <w:pPr>
              <w:jc w:val="center"/>
              <w:textAlignment w:val="center"/>
              <w:rPr>
                <w:color w:val="000000"/>
                <w:sz w:val="21"/>
                <w:szCs w:val="21"/>
              </w:rPr>
            </w:pPr>
            <w:r>
              <w:rPr>
                <w:rFonts w:hint="eastAsia"/>
                <w:color w:val="000000"/>
                <w:sz w:val="21"/>
                <w:szCs w:val="21"/>
              </w:rPr>
              <w:t>公用支出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97BE">
            <w:pPr>
              <w:jc w:val="right"/>
              <w:textAlignment w:val="center"/>
              <w:rPr>
                <w:color w:val="000000"/>
                <w:sz w:val="21"/>
                <w:szCs w:val="21"/>
              </w:rPr>
            </w:pPr>
            <w:r>
              <w:rPr>
                <w:rFonts w:hint="eastAsia"/>
                <w:color w:val="000000"/>
                <w:sz w:val="21"/>
                <w:szCs w:val="21"/>
              </w:rPr>
              <w:t>15,400.90</w:t>
            </w:r>
          </w:p>
        </w:tc>
      </w:tr>
      <w:tr w14:paraId="3A9028C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9A05">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1ACD">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6554">
            <w:pPr>
              <w:jc w:val="center"/>
              <w:textAlignment w:val="center"/>
              <w:rPr>
                <w:color w:val="000000"/>
                <w:sz w:val="21"/>
                <w:szCs w:val="21"/>
              </w:rPr>
            </w:pPr>
            <w:r>
              <w:rPr>
                <w:rFonts w:hint="eastAsia"/>
                <w:color w:val="000000"/>
                <w:sz w:val="21"/>
                <w:szCs w:val="21"/>
              </w:rPr>
              <w:t>勘探配合费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CF8C">
            <w:pPr>
              <w:jc w:val="right"/>
              <w:textAlignment w:val="center"/>
              <w:rPr>
                <w:color w:val="000000"/>
                <w:sz w:val="21"/>
                <w:szCs w:val="21"/>
              </w:rPr>
            </w:pPr>
            <w:r>
              <w:rPr>
                <w:rFonts w:hint="eastAsia"/>
                <w:color w:val="000000"/>
                <w:sz w:val="21"/>
                <w:szCs w:val="21"/>
              </w:rPr>
              <w:t>21,113.00</w:t>
            </w:r>
          </w:p>
        </w:tc>
      </w:tr>
      <w:tr w14:paraId="70B959FB">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0A7D">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CB1E">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A560">
            <w:pPr>
              <w:jc w:val="center"/>
              <w:textAlignment w:val="center"/>
              <w:rPr>
                <w:color w:val="000000"/>
                <w:sz w:val="21"/>
                <w:szCs w:val="21"/>
              </w:rPr>
            </w:pPr>
            <w:r>
              <w:rPr>
                <w:rFonts w:hint="eastAsia"/>
                <w:color w:val="000000"/>
                <w:sz w:val="21"/>
                <w:szCs w:val="21"/>
              </w:rPr>
              <w:t>勘探配合费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D847">
            <w:pPr>
              <w:jc w:val="right"/>
              <w:textAlignment w:val="center"/>
              <w:rPr>
                <w:color w:val="000000"/>
                <w:sz w:val="21"/>
                <w:szCs w:val="21"/>
              </w:rPr>
            </w:pPr>
            <w:r>
              <w:rPr>
                <w:rFonts w:hint="eastAsia"/>
                <w:color w:val="000000"/>
                <w:sz w:val="21"/>
                <w:szCs w:val="21"/>
              </w:rPr>
              <w:t>27,747.26</w:t>
            </w:r>
          </w:p>
        </w:tc>
      </w:tr>
      <w:tr w14:paraId="4ED91733">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8B2F">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7507">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E51D">
            <w:pPr>
              <w:jc w:val="center"/>
              <w:textAlignment w:val="center"/>
              <w:rPr>
                <w:color w:val="000000"/>
                <w:sz w:val="21"/>
                <w:szCs w:val="21"/>
              </w:rPr>
            </w:pPr>
            <w:r>
              <w:rPr>
                <w:rFonts w:hint="eastAsia"/>
                <w:color w:val="000000"/>
                <w:sz w:val="21"/>
                <w:szCs w:val="21"/>
              </w:rPr>
              <w:t>文明守望工程奖</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EB9C">
            <w:pPr>
              <w:jc w:val="right"/>
              <w:textAlignment w:val="center"/>
              <w:rPr>
                <w:color w:val="000000"/>
                <w:sz w:val="21"/>
                <w:szCs w:val="21"/>
              </w:rPr>
            </w:pPr>
            <w:r>
              <w:rPr>
                <w:rFonts w:hint="eastAsia"/>
                <w:color w:val="000000"/>
                <w:sz w:val="21"/>
                <w:szCs w:val="21"/>
              </w:rPr>
              <w:t>15,000.00</w:t>
            </w:r>
          </w:p>
        </w:tc>
      </w:tr>
      <w:tr w14:paraId="412DB1BE">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8892">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C8CD">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FA71">
            <w:pPr>
              <w:jc w:val="center"/>
              <w:textAlignment w:val="center"/>
              <w:rPr>
                <w:color w:val="000000"/>
                <w:sz w:val="21"/>
                <w:szCs w:val="21"/>
              </w:rPr>
            </w:pPr>
            <w:r>
              <w:rPr>
                <w:rFonts w:hint="eastAsia"/>
                <w:color w:val="000000"/>
                <w:sz w:val="21"/>
                <w:szCs w:val="21"/>
              </w:rPr>
              <w:t>栖岩寺边坡治理工程</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C0A6">
            <w:pPr>
              <w:jc w:val="right"/>
              <w:textAlignment w:val="center"/>
              <w:rPr>
                <w:color w:val="000000"/>
                <w:sz w:val="21"/>
                <w:szCs w:val="21"/>
              </w:rPr>
            </w:pPr>
            <w:r>
              <w:rPr>
                <w:rFonts w:hint="eastAsia"/>
                <w:color w:val="000000"/>
                <w:sz w:val="21"/>
                <w:szCs w:val="21"/>
              </w:rPr>
              <w:t>460,987.00</w:t>
            </w:r>
          </w:p>
        </w:tc>
      </w:tr>
      <w:tr w14:paraId="1E8F181B">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C56D">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6E88">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FD1B">
            <w:pPr>
              <w:jc w:val="center"/>
              <w:textAlignment w:val="center"/>
              <w:rPr>
                <w:color w:val="000000"/>
                <w:sz w:val="21"/>
                <w:szCs w:val="21"/>
              </w:rPr>
            </w:pPr>
            <w:r>
              <w:rPr>
                <w:rFonts w:hint="eastAsia"/>
                <w:color w:val="000000"/>
                <w:sz w:val="21"/>
                <w:szCs w:val="21"/>
              </w:rPr>
              <w:t>非财政拨款结转</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BE1F">
            <w:pPr>
              <w:jc w:val="right"/>
              <w:textAlignment w:val="center"/>
              <w:rPr>
                <w:color w:val="000000"/>
                <w:sz w:val="21"/>
                <w:szCs w:val="21"/>
              </w:rPr>
            </w:pPr>
            <w:r>
              <w:rPr>
                <w:rFonts w:hint="eastAsia"/>
                <w:color w:val="000000"/>
                <w:sz w:val="21"/>
                <w:szCs w:val="21"/>
              </w:rPr>
              <w:t>578.74</w:t>
            </w:r>
          </w:p>
        </w:tc>
      </w:tr>
      <w:tr w14:paraId="0FF052BE">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F2DC">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2B1C">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FEDB">
            <w:pPr>
              <w:jc w:val="center"/>
              <w:textAlignment w:val="center"/>
              <w:rPr>
                <w:color w:val="000000"/>
                <w:sz w:val="21"/>
                <w:szCs w:val="21"/>
              </w:rPr>
            </w:pPr>
            <w:r>
              <w:rPr>
                <w:rFonts w:hint="eastAsia"/>
                <w:color w:val="000000"/>
                <w:sz w:val="21"/>
                <w:szCs w:val="21"/>
              </w:rPr>
              <w:t>2023年省级文物保护资金结转</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284B">
            <w:pPr>
              <w:jc w:val="right"/>
              <w:textAlignment w:val="center"/>
              <w:rPr>
                <w:color w:val="000000"/>
                <w:sz w:val="21"/>
                <w:szCs w:val="21"/>
              </w:rPr>
            </w:pPr>
            <w:r>
              <w:rPr>
                <w:rFonts w:hint="eastAsia"/>
                <w:color w:val="000000"/>
                <w:sz w:val="21"/>
                <w:szCs w:val="21"/>
              </w:rPr>
              <w:t>4.51</w:t>
            </w:r>
          </w:p>
        </w:tc>
      </w:tr>
      <w:tr w14:paraId="14D49B60">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CBB5">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2328">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AE5E">
            <w:pPr>
              <w:jc w:val="center"/>
              <w:textAlignment w:val="center"/>
              <w:rPr>
                <w:color w:val="000000"/>
                <w:sz w:val="21"/>
                <w:szCs w:val="21"/>
              </w:rPr>
            </w:pPr>
            <w:r>
              <w:rPr>
                <w:rFonts w:hint="eastAsia"/>
                <w:color w:val="000000"/>
                <w:sz w:val="21"/>
                <w:szCs w:val="21"/>
              </w:rPr>
              <w:t>2022年旅游厕所建设省级专项资金(上年结转)</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00B2">
            <w:pPr>
              <w:jc w:val="right"/>
              <w:textAlignment w:val="center"/>
              <w:rPr>
                <w:color w:val="000000"/>
                <w:sz w:val="21"/>
                <w:szCs w:val="21"/>
              </w:rPr>
            </w:pPr>
            <w:r>
              <w:rPr>
                <w:rFonts w:hint="eastAsia"/>
                <w:color w:val="000000"/>
                <w:sz w:val="21"/>
                <w:szCs w:val="21"/>
              </w:rPr>
              <w:t>400,000.00</w:t>
            </w:r>
          </w:p>
        </w:tc>
      </w:tr>
      <w:tr w14:paraId="0FF4D476">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289F">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B0B2">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60D9">
            <w:pPr>
              <w:jc w:val="center"/>
              <w:textAlignment w:val="center"/>
              <w:rPr>
                <w:color w:val="000000"/>
                <w:sz w:val="21"/>
                <w:szCs w:val="21"/>
              </w:rPr>
            </w:pPr>
            <w:r>
              <w:rPr>
                <w:rFonts w:hint="eastAsia"/>
                <w:color w:val="000000"/>
                <w:sz w:val="21"/>
                <w:szCs w:val="21"/>
              </w:rPr>
              <w:t>五老峰创建国家5A级景区补助资金(上年结转)</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2F8B">
            <w:pPr>
              <w:jc w:val="right"/>
              <w:textAlignment w:val="center"/>
              <w:rPr>
                <w:color w:val="000000"/>
                <w:sz w:val="21"/>
                <w:szCs w:val="21"/>
              </w:rPr>
            </w:pPr>
            <w:r>
              <w:rPr>
                <w:rFonts w:hint="eastAsia"/>
                <w:color w:val="000000"/>
                <w:sz w:val="21"/>
                <w:szCs w:val="21"/>
              </w:rPr>
              <w:t>14,000.00</w:t>
            </w:r>
          </w:p>
        </w:tc>
      </w:tr>
      <w:tr w14:paraId="5246CDC6">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8C09">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8967">
            <w:pPr>
              <w:jc w:val="center"/>
              <w:textAlignment w:val="center"/>
              <w:rPr>
                <w:color w:val="000000"/>
                <w:sz w:val="21"/>
                <w:szCs w:val="21"/>
              </w:rPr>
            </w:pPr>
            <w:r>
              <w:rPr>
                <w:rFonts w:hint="eastAsia"/>
                <w:color w:val="000000"/>
                <w:sz w:val="21"/>
                <w:szCs w:val="21"/>
              </w:rPr>
              <w:t>其他运转类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FB9F">
            <w:pPr>
              <w:jc w:val="center"/>
              <w:textAlignment w:val="center"/>
              <w:rPr>
                <w:color w:val="000000"/>
                <w:sz w:val="21"/>
                <w:szCs w:val="21"/>
              </w:rPr>
            </w:pPr>
            <w:r>
              <w:rPr>
                <w:rFonts w:hint="eastAsia"/>
                <w:color w:val="000000"/>
                <w:sz w:val="21"/>
                <w:szCs w:val="21"/>
              </w:rPr>
              <w:t>文化强县艺术创作经费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7EA6">
            <w:pPr>
              <w:jc w:val="right"/>
              <w:textAlignment w:val="center"/>
              <w:rPr>
                <w:color w:val="000000"/>
                <w:sz w:val="21"/>
                <w:szCs w:val="21"/>
              </w:rPr>
            </w:pPr>
            <w:r>
              <w:rPr>
                <w:rFonts w:hint="eastAsia"/>
                <w:color w:val="000000"/>
                <w:sz w:val="21"/>
                <w:szCs w:val="21"/>
              </w:rPr>
              <w:t>180.00</w:t>
            </w:r>
          </w:p>
        </w:tc>
      </w:tr>
      <w:tr w14:paraId="54E67F02">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6E68">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BCF07">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FCB2">
            <w:pPr>
              <w:jc w:val="center"/>
              <w:textAlignment w:val="center"/>
              <w:rPr>
                <w:color w:val="000000"/>
                <w:sz w:val="21"/>
                <w:szCs w:val="21"/>
              </w:rPr>
            </w:pPr>
            <w:r>
              <w:rPr>
                <w:rFonts w:hint="eastAsia"/>
                <w:color w:val="000000"/>
                <w:sz w:val="21"/>
                <w:szCs w:val="21"/>
              </w:rPr>
              <w:t>旅游机制体制改革等相关费用</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576D">
            <w:pPr>
              <w:jc w:val="right"/>
              <w:textAlignment w:val="center"/>
              <w:rPr>
                <w:color w:val="000000"/>
                <w:sz w:val="21"/>
                <w:szCs w:val="21"/>
              </w:rPr>
            </w:pPr>
            <w:r>
              <w:rPr>
                <w:rFonts w:hint="eastAsia"/>
                <w:color w:val="000000"/>
                <w:sz w:val="21"/>
                <w:szCs w:val="21"/>
              </w:rPr>
              <w:t>74.00</w:t>
            </w:r>
          </w:p>
        </w:tc>
      </w:tr>
      <w:tr w14:paraId="72542F5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A22F">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E4CF">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E895">
            <w:pPr>
              <w:jc w:val="center"/>
              <w:textAlignment w:val="center"/>
              <w:rPr>
                <w:color w:val="000000"/>
                <w:sz w:val="21"/>
                <w:szCs w:val="21"/>
              </w:rPr>
            </w:pPr>
            <w:r>
              <w:rPr>
                <w:rFonts w:hint="eastAsia"/>
                <w:color w:val="000000"/>
                <w:sz w:val="21"/>
                <w:szCs w:val="21"/>
              </w:rPr>
              <w:t>编制永济市万固寺至鹳雀楼旅游复合廊道项目初步设计及地质勘探费用</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3AAA">
            <w:pPr>
              <w:jc w:val="right"/>
              <w:textAlignment w:val="center"/>
              <w:rPr>
                <w:color w:val="000000"/>
                <w:sz w:val="21"/>
                <w:szCs w:val="21"/>
              </w:rPr>
            </w:pPr>
            <w:r>
              <w:rPr>
                <w:rFonts w:hint="eastAsia"/>
                <w:color w:val="000000"/>
                <w:sz w:val="21"/>
                <w:szCs w:val="21"/>
              </w:rPr>
              <w:t>220,900.00</w:t>
            </w:r>
          </w:p>
        </w:tc>
      </w:tr>
      <w:tr w14:paraId="2DB938A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81E2">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FA91">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7AA5">
            <w:pPr>
              <w:jc w:val="center"/>
              <w:textAlignment w:val="center"/>
              <w:rPr>
                <w:color w:val="000000"/>
                <w:sz w:val="21"/>
                <w:szCs w:val="21"/>
              </w:rPr>
            </w:pPr>
            <w:r>
              <w:rPr>
                <w:rFonts w:hint="eastAsia"/>
                <w:color w:val="000000"/>
                <w:sz w:val="21"/>
                <w:szCs w:val="21"/>
              </w:rPr>
              <w:t>唐尧民宿项目规划设计费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7D37">
            <w:pPr>
              <w:jc w:val="right"/>
              <w:textAlignment w:val="center"/>
              <w:rPr>
                <w:color w:val="000000"/>
                <w:sz w:val="21"/>
                <w:szCs w:val="21"/>
              </w:rPr>
            </w:pPr>
            <w:r>
              <w:rPr>
                <w:rFonts w:hint="eastAsia"/>
                <w:color w:val="000000"/>
                <w:sz w:val="21"/>
                <w:szCs w:val="21"/>
              </w:rPr>
              <w:t>149,500.00</w:t>
            </w:r>
          </w:p>
        </w:tc>
      </w:tr>
      <w:tr w14:paraId="2A17B1D9">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5C2D">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757E">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5CD5">
            <w:pPr>
              <w:jc w:val="center"/>
              <w:textAlignment w:val="center"/>
              <w:rPr>
                <w:color w:val="000000"/>
                <w:sz w:val="21"/>
                <w:szCs w:val="21"/>
              </w:rPr>
            </w:pPr>
            <w:r>
              <w:rPr>
                <w:rFonts w:hint="eastAsia"/>
                <w:color w:val="000000"/>
                <w:sz w:val="21"/>
                <w:szCs w:val="21"/>
              </w:rPr>
              <w:t>编制山西省永济市万固寺至鹳雀楼旅游复合廊道项目选址意见书费用</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6665">
            <w:pPr>
              <w:jc w:val="right"/>
              <w:textAlignment w:val="center"/>
              <w:rPr>
                <w:color w:val="000000"/>
                <w:sz w:val="21"/>
                <w:szCs w:val="21"/>
              </w:rPr>
            </w:pPr>
            <w:r>
              <w:rPr>
                <w:rFonts w:hint="eastAsia"/>
                <w:color w:val="000000"/>
                <w:sz w:val="21"/>
                <w:szCs w:val="21"/>
              </w:rPr>
              <w:t>27,800.00</w:t>
            </w:r>
          </w:p>
        </w:tc>
      </w:tr>
      <w:tr w14:paraId="0B9184D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1590">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20D1">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6F23">
            <w:pPr>
              <w:jc w:val="center"/>
              <w:textAlignment w:val="center"/>
              <w:rPr>
                <w:color w:val="000000"/>
                <w:sz w:val="21"/>
                <w:szCs w:val="21"/>
              </w:rPr>
            </w:pPr>
            <w:r>
              <w:rPr>
                <w:rFonts w:hint="eastAsia"/>
                <w:color w:val="000000"/>
                <w:sz w:val="21"/>
                <w:szCs w:val="21"/>
              </w:rPr>
              <w:t>旅发大会筹备经费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7B64B">
            <w:pPr>
              <w:jc w:val="right"/>
              <w:textAlignment w:val="center"/>
              <w:rPr>
                <w:color w:val="000000"/>
                <w:sz w:val="21"/>
                <w:szCs w:val="21"/>
              </w:rPr>
            </w:pPr>
            <w:r>
              <w:rPr>
                <w:rFonts w:hint="eastAsia"/>
                <w:color w:val="000000"/>
                <w:sz w:val="21"/>
                <w:szCs w:val="21"/>
              </w:rPr>
              <w:t>60.00</w:t>
            </w:r>
          </w:p>
        </w:tc>
      </w:tr>
      <w:tr w14:paraId="2CCF719A">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B2F2">
            <w:pPr>
              <w:jc w:val="center"/>
              <w:textAlignment w:val="center"/>
              <w:rPr>
                <w:color w:val="000000"/>
                <w:sz w:val="21"/>
                <w:szCs w:val="21"/>
              </w:rPr>
            </w:pPr>
            <w:r>
              <w:rPr>
                <w:rFonts w:hint="eastAsia"/>
                <w:color w:val="000000"/>
                <w:sz w:val="21"/>
                <w:szCs w:val="21"/>
              </w:rPr>
              <w:t>局机关</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B374">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2EC1">
            <w:pPr>
              <w:jc w:val="center"/>
              <w:textAlignment w:val="center"/>
              <w:rPr>
                <w:color w:val="000000"/>
                <w:sz w:val="21"/>
                <w:szCs w:val="21"/>
              </w:rPr>
            </w:pPr>
            <w:r>
              <w:rPr>
                <w:rFonts w:hint="eastAsia"/>
                <w:color w:val="000000"/>
                <w:sz w:val="21"/>
                <w:szCs w:val="21"/>
              </w:rPr>
              <w:t>2022年“戏曲惠民.欢乐百姓”送戏下乡补助(文旅产业发展资金)</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A4E2">
            <w:pPr>
              <w:jc w:val="right"/>
              <w:textAlignment w:val="center"/>
              <w:rPr>
                <w:color w:val="000000"/>
                <w:sz w:val="21"/>
                <w:szCs w:val="21"/>
              </w:rPr>
            </w:pPr>
            <w:r>
              <w:rPr>
                <w:rFonts w:hint="eastAsia"/>
                <w:color w:val="000000"/>
                <w:sz w:val="21"/>
                <w:szCs w:val="21"/>
              </w:rPr>
              <w:t>1,000.00</w:t>
            </w:r>
          </w:p>
        </w:tc>
      </w:tr>
      <w:tr w14:paraId="719DB6D9">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1810">
            <w:pPr>
              <w:jc w:val="center"/>
              <w:textAlignment w:val="center"/>
              <w:rPr>
                <w:color w:val="000000"/>
                <w:sz w:val="21"/>
                <w:szCs w:val="21"/>
              </w:rPr>
            </w:pPr>
            <w:r>
              <w:rPr>
                <w:rFonts w:hint="eastAsia"/>
                <w:color w:val="000000"/>
                <w:sz w:val="21"/>
                <w:szCs w:val="21"/>
              </w:rPr>
              <w:t>博物馆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7755">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0A48">
            <w:pPr>
              <w:jc w:val="center"/>
              <w:textAlignment w:val="center"/>
              <w:rPr>
                <w:color w:val="000000"/>
                <w:sz w:val="21"/>
                <w:szCs w:val="21"/>
              </w:rPr>
            </w:pPr>
            <w:r>
              <w:rPr>
                <w:rFonts w:hint="eastAsia"/>
                <w:color w:val="000000"/>
                <w:sz w:val="21"/>
                <w:szCs w:val="21"/>
              </w:rPr>
              <w:t>博物馆运行费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FFA25">
            <w:pPr>
              <w:jc w:val="right"/>
              <w:textAlignment w:val="center"/>
              <w:rPr>
                <w:color w:val="000000"/>
                <w:sz w:val="21"/>
                <w:szCs w:val="21"/>
              </w:rPr>
            </w:pPr>
            <w:r>
              <w:rPr>
                <w:rFonts w:hint="eastAsia"/>
                <w:color w:val="000000"/>
                <w:sz w:val="21"/>
                <w:szCs w:val="21"/>
              </w:rPr>
              <w:t>30.81</w:t>
            </w:r>
          </w:p>
        </w:tc>
      </w:tr>
      <w:tr w14:paraId="70258352">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980E">
            <w:pPr>
              <w:jc w:val="center"/>
              <w:textAlignment w:val="center"/>
              <w:rPr>
                <w:color w:val="000000"/>
                <w:sz w:val="21"/>
                <w:szCs w:val="21"/>
              </w:rPr>
            </w:pPr>
            <w:r>
              <w:rPr>
                <w:rFonts w:hint="eastAsia"/>
                <w:color w:val="000000"/>
                <w:sz w:val="21"/>
                <w:szCs w:val="21"/>
              </w:rPr>
              <w:t>图书馆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9AA7">
            <w:pPr>
              <w:jc w:val="center"/>
              <w:textAlignment w:val="center"/>
              <w:rPr>
                <w:color w:val="000000"/>
                <w:sz w:val="21"/>
                <w:szCs w:val="21"/>
              </w:rPr>
            </w:pPr>
            <w:r>
              <w:rPr>
                <w:rFonts w:hint="eastAsia"/>
                <w:color w:val="000000"/>
                <w:sz w:val="21"/>
                <w:szCs w:val="21"/>
              </w:rPr>
              <w:t>其他运转类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30B6">
            <w:pPr>
              <w:jc w:val="center"/>
              <w:textAlignment w:val="center"/>
              <w:rPr>
                <w:color w:val="000000"/>
                <w:sz w:val="21"/>
                <w:szCs w:val="21"/>
              </w:rPr>
            </w:pPr>
            <w:r>
              <w:rPr>
                <w:rFonts w:hint="eastAsia"/>
                <w:color w:val="000000"/>
                <w:sz w:val="21"/>
                <w:szCs w:val="21"/>
              </w:rPr>
              <w:t>图书购置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7324A">
            <w:pPr>
              <w:jc w:val="right"/>
              <w:textAlignment w:val="center"/>
              <w:rPr>
                <w:color w:val="000000"/>
                <w:sz w:val="21"/>
                <w:szCs w:val="21"/>
              </w:rPr>
            </w:pPr>
            <w:r>
              <w:rPr>
                <w:rFonts w:hint="eastAsia"/>
                <w:color w:val="000000"/>
                <w:sz w:val="21"/>
                <w:szCs w:val="21"/>
              </w:rPr>
              <w:t>50,000.00</w:t>
            </w:r>
          </w:p>
        </w:tc>
      </w:tr>
      <w:tr w14:paraId="2EA48044">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45CF">
            <w:pPr>
              <w:jc w:val="center"/>
              <w:textAlignment w:val="center"/>
              <w:rPr>
                <w:color w:val="000000"/>
                <w:sz w:val="21"/>
                <w:szCs w:val="21"/>
              </w:rPr>
            </w:pPr>
            <w:r>
              <w:rPr>
                <w:rFonts w:hint="eastAsia"/>
                <w:color w:val="000000"/>
                <w:sz w:val="21"/>
                <w:szCs w:val="21"/>
              </w:rPr>
              <w:t>图书馆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009C">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18C75">
            <w:pPr>
              <w:jc w:val="center"/>
              <w:textAlignment w:val="center"/>
              <w:rPr>
                <w:color w:val="000000"/>
                <w:sz w:val="21"/>
                <w:szCs w:val="21"/>
              </w:rPr>
            </w:pPr>
            <w:r>
              <w:rPr>
                <w:rFonts w:hint="eastAsia"/>
                <w:color w:val="000000"/>
                <w:sz w:val="21"/>
                <w:szCs w:val="21"/>
              </w:rPr>
              <w:t>图书馆2022年新增项目经费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74B5">
            <w:pPr>
              <w:jc w:val="right"/>
              <w:textAlignment w:val="center"/>
              <w:rPr>
                <w:color w:val="000000"/>
                <w:sz w:val="21"/>
                <w:szCs w:val="21"/>
              </w:rPr>
            </w:pPr>
            <w:r>
              <w:rPr>
                <w:rFonts w:hint="eastAsia"/>
                <w:color w:val="000000"/>
                <w:sz w:val="21"/>
                <w:szCs w:val="21"/>
              </w:rPr>
              <w:t>200,000.00</w:t>
            </w:r>
          </w:p>
        </w:tc>
      </w:tr>
      <w:tr w14:paraId="29EB9E9D">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B300">
            <w:pPr>
              <w:jc w:val="center"/>
              <w:textAlignment w:val="center"/>
              <w:rPr>
                <w:color w:val="000000"/>
                <w:sz w:val="21"/>
                <w:szCs w:val="21"/>
              </w:rPr>
            </w:pPr>
            <w:r>
              <w:rPr>
                <w:rFonts w:hint="eastAsia"/>
                <w:color w:val="000000"/>
                <w:sz w:val="21"/>
                <w:szCs w:val="21"/>
              </w:rPr>
              <w:t>图书馆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A595">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10AC">
            <w:pPr>
              <w:jc w:val="center"/>
              <w:textAlignment w:val="center"/>
              <w:rPr>
                <w:color w:val="000000"/>
                <w:sz w:val="21"/>
                <w:szCs w:val="21"/>
              </w:rPr>
            </w:pPr>
            <w:r>
              <w:rPr>
                <w:rFonts w:hint="eastAsia"/>
                <w:color w:val="000000"/>
                <w:sz w:val="21"/>
                <w:szCs w:val="21"/>
              </w:rPr>
              <w:t>图书馆运行经费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C568">
            <w:pPr>
              <w:jc w:val="right"/>
              <w:textAlignment w:val="center"/>
              <w:rPr>
                <w:color w:val="000000"/>
                <w:sz w:val="21"/>
                <w:szCs w:val="21"/>
              </w:rPr>
            </w:pPr>
            <w:r>
              <w:rPr>
                <w:rFonts w:hint="eastAsia"/>
                <w:color w:val="000000"/>
                <w:sz w:val="21"/>
                <w:szCs w:val="21"/>
              </w:rPr>
              <w:t>760.00</w:t>
            </w:r>
          </w:p>
        </w:tc>
      </w:tr>
      <w:tr w14:paraId="5B16C556">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8248">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013D">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32D5">
            <w:pPr>
              <w:jc w:val="center"/>
              <w:textAlignment w:val="center"/>
              <w:rPr>
                <w:color w:val="000000"/>
                <w:sz w:val="21"/>
                <w:szCs w:val="21"/>
              </w:rPr>
            </w:pPr>
            <w:r>
              <w:rPr>
                <w:rFonts w:hint="eastAsia"/>
                <w:color w:val="000000"/>
                <w:sz w:val="21"/>
                <w:szCs w:val="21"/>
              </w:rPr>
              <w:t>2022年文物保护经费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E8A5">
            <w:pPr>
              <w:jc w:val="right"/>
              <w:textAlignment w:val="center"/>
              <w:rPr>
                <w:color w:val="000000"/>
                <w:sz w:val="21"/>
                <w:szCs w:val="21"/>
              </w:rPr>
            </w:pPr>
            <w:r>
              <w:rPr>
                <w:rFonts w:hint="eastAsia"/>
                <w:color w:val="000000"/>
                <w:sz w:val="21"/>
                <w:szCs w:val="21"/>
              </w:rPr>
              <w:t>3,252.12</w:t>
            </w:r>
          </w:p>
        </w:tc>
      </w:tr>
      <w:tr w14:paraId="143E65AC">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8420">
            <w:pPr>
              <w:jc w:val="center"/>
              <w:textAlignment w:val="center"/>
              <w:rPr>
                <w:color w:val="000000"/>
                <w:sz w:val="21"/>
                <w:szCs w:val="21"/>
              </w:rPr>
            </w:pPr>
            <w:r>
              <w:rPr>
                <w:rFonts w:hint="eastAsia"/>
                <w:color w:val="000000"/>
                <w:sz w:val="21"/>
                <w:szCs w:val="21"/>
              </w:rPr>
              <w:t>文保中心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2DD0">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DADF3">
            <w:pPr>
              <w:jc w:val="center"/>
              <w:textAlignment w:val="center"/>
              <w:rPr>
                <w:color w:val="000000"/>
                <w:sz w:val="21"/>
                <w:szCs w:val="21"/>
              </w:rPr>
            </w:pPr>
            <w:r>
              <w:rPr>
                <w:rFonts w:hint="eastAsia"/>
                <w:color w:val="000000"/>
                <w:sz w:val="21"/>
                <w:szCs w:val="21"/>
              </w:rPr>
              <w:t>县级文物保护标志碑项目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96E6">
            <w:pPr>
              <w:jc w:val="right"/>
              <w:textAlignment w:val="center"/>
              <w:rPr>
                <w:color w:val="000000"/>
                <w:sz w:val="21"/>
                <w:szCs w:val="21"/>
              </w:rPr>
            </w:pPr>
            <w:r>
              <w:rPr>
                <w:rFonts w:hint="eastAsia"/>
                <w:color w:val="000000"/>
                <w:sz w:val="21"/>
                <w:szCs w:val="21"/>
              </w:rPr>
              <w:t>1.00</w:t>
            </w:r>
          </w:p>
        </w:tc>
      </w:tr>
      <w:tr w14:paraId="71274133">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B2AF">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C1C5">
            <w:pPr>
              <w:jc w:val="center"/>
              <w:textAlignment w:val="center"/>
              <w:rPr>
                <w:color w:val="000000"/>
                <w:sz w:val="21"/>
                <w:szCs w:val="21"/>
              </w:rPr>
            </w:pPr>
            <w:r>
              <w:rPr>
                <w:rFonts w:hint="eastAsia"/>
                <w:color w:val="000000"/>
                <w:sz w:val="21"/>
                <w:szCs w:val="21"/>
              </w:rPr>
              <w:t>其他运转类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C6767">
            <w:pPr>
              <w:jc w:val="center"/>
              <w:textAlignment w:val="center"/>
              <w:rPr>
                <w:color w:val="000000"/>
                <w:sz w:val="21"/>
                <w:szCs w:val="21"/>
              </w:rPr>
            </w:pPr>
            <w:r>
              <w:rPr>
                <w:rFonts w:hint="eastAsia"/>
                <w:color w:val="000000"/>
                <w:sz w:val="21"/>
                <w:szCs w:val="21"/>
              </w:rPr>
              <w:t>文化馆活动经费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26A4A">
            <w:pPr>
              <w:jc w:val="right"/>
              <w:textAlignment w:val="center"/>
              <w:rPr>
                <w:color w:val="000000"/>
                <w:sz w:val="21"/>
                <w:szCs w:val="21"/>
              </w:rPr>
            </w:pPr>
            <w:r>
              <w:rPr>
                <w:rFonts w:hint="eastAsia"/>
                <w:color w:val="000000"/>
                <w:sz w:val="21"/>
                <w:szCs w:val="21"/>
              </w:rPr>
              <w:t>19,189.09</w:t>
            </w:r>
          </w:p>
        </w:tc>
      </w:tr>
      <w:tr w14:paraId="307AB4F3">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C80F">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89C9">
            <w:pPr>
              <w:jc w:val="center"/>
              <w:textAlignment w:val="center"/>
              <w:rPr>
                <w:color w:val="000000"/>
                <w:sz w:val="21"/>
                <w:szCs w:val="21"/>
              </w:rPr>
            </w:pPr>
            <w:r>
              <w:rPr>
                <w:rFonts w:hint="eastAsia"/>
                <w:color w:val="000000"/>
                <w:sz w:val="21"/>
                <w:szCs w:val="21"/>
              </w:rPr>
              <w:t>其他运转类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D827">
            <w:pPr>
              <w:jc w:val="center"/>
              <w:textAlignment w:val="center"/>
              <w:rPr>
                <w:color w:val="000000"/>
                <w:sz w:val="21"/>
                <w:szCs w:val="21"/>
              </w:rPr>
            </w:pPr>
            <w:r>
              <w:rPr>
                <w:rFonts w:hint="eastAsia"/>
                <w:color w:val="000000"/>
                <w:sz w:val="21"/>
                <w:szCs w:val="21"/>
              </w:rPr>
              <w:t>非物质文化保护</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1A97">
            <w:pPr>
              <w:jc w:val="right"/>
              <w:textAlignment w:val="center"/>
              <w:rPr>
                <w:color w:val="000000"/>
                <w:sz w:val="21"/>
                <w:szCs w:val="21"/>
              </w:rPr>
            </w:pPr>
            <w:r>
              <w:rPr>
                <w:rFonts w:hint="eastAsia"/>
                <w:color w:val="000000"/>
                <w:sz w:val="21"/>
                <w:szCs w:val="21"/>
              </w:rPr>
              <w:t>13,520.00</w:t>
            </w:r>
          </w:p>
        </w:tc>
      </w:tr>
      <w:tr w14:paraId="4D52C1F7">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72DD">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7BE9">
            <w:pPr>
              <w:jc w:val="center"/>
              <w:textAlignment w:val="center"/>
              <w:rPr>
                <w:color w:val="000000"/>
                <w:sz w:val="21"/>
                <w:szCs w:val="21"/>
              </w:rPr>
            </w:pPr>
            <w:r>
              <w:rPr>
                <w:rFonts w:hint="eastAsia"/>
                <w:color w:val="000000"/>
                <w:sz w:val="21"/>
                <w:szCs w:val="21"/>
              </w:rPr>
              <w:t>其他运转类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ADBE">
            <w:pPr>
              <w:jc w:val="center"/>
              <w:textAlignment w:val="center"/>
              <w:rPr>
                <w:color w:val="000000"/>
                <w:sz w:val="21"/>
                <w:szCs w:val="21"/>
              </w:rPr>
            </w:pPr>
            <w:r>
              <w:rPr>
                <w:rFonts w:hint="eastAsia"/>
                <w:color w:val="000000"/>
                <w:sz w:val="21"/>
                <w:szCs w:val="21"/>
              </w:rPr>
              <w:t>文化大楼运行经费</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8139">
            <w:pPr>
              <w:jc w:val="right"/>
              <w:textAlignment w:val="center"/>
              <w:rPr>
                <w:color w:val="000000"/>
                <w:sz w:val="21"/>
                <w:szCs w:val="21"/>
              </w:rPr>
            </w:pPr>
            <w:r>
              <w:rPr>
                <w:rFonts w:hint="eastAsia"/>
                <w:color w:val="000000"/>
                <w:sz w:val="21"/>
                <w:szCs w:val="21"/>
              </w:rPr>
              <w:t>10,976.50</w:t>
            </w:r>
          </w:p>
        </w:tc>
      </w:tr>
      <w:tr w14:paraId="6341C7BD">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F702">
            <w:pPr>
              <w:jc w:val="center"/>
              <w:textAlignment w:val="center"/>
              <w:rPr>
                <w:color w:val="000000"/>
                <w:sz w:val="21"/>
                <w:szCs w:val="21"/>
              </w:rPr>
            </w:pPr>
            <w:r>
              <w:rPr>
                <w:rFonts w:hint="eastAsia"/>
                <w:color w:val="000000"/>
                <w:sz w:val="21"/>
                <w:szCs w:val="21"/>
              </w:rPr>
              <w:t>文化馆</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C953">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0B29">
            <w:pPr>
              <w:jc w:val="center"/>
              <w:textAlignment w:val="center"/>
              <w:rPr>
                <w:color w:val="000000"/>
                <w:sz w:val="21"/>
                <w:szCs w:val="21"/>
              </w:rPr>
            </w:pPr>
            <w:r>
              <w:rPr>
                <w:rFonts w:hint="eastAsia"/>
                <w:color w:val="000000"/>
                <w:sz w:val="21"/>
                <w:szCs w:val="21"/>
              </w:rPr>
              <w:t>2021年非物质文化遗产保护专项资金</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B50B">
            <w:pPr>
              <w:jc w:val="right"/>
              <w:textAlignment w:val="center"/>
              <w:rPr>
                <w:color w:val="000000"/>
                <w:sz w:val="21"/>
                <w:szCs w:val="21"/>
              </w:rPr>
            </w:pPr>
            <w:r>
              <w:rPr>
                <w:rFonts w:hint="eastAsia"/>
                <w:color w:val="000000"/>
                <w:sz w:val="21"/>
                <w:szCs w:val="21"/>
              </w:rPr>
              <w:t>258,080.00</w:t>
            </w:r>
          </w:p>
        </w:tc>
      </w:tr>
      <w:tr w14:paraId="47A25EB0">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30670">
            <w:pPr>
              <w:jc w:val="center"/>
              <w:textAlignment w:val="center"/>
              <w:rPr>
                <w:color w:val="000000"/>
                <w:sz w:val="21"/>
                <w:szCs w:val="21"/>
              </w:rPr>
            </w:pPr>
            <w:r>
              <w:rPr>
                <w:rFonts w:hint="eastAsia"/>
                <w:color w:val="000000"/>
                <w:sz w:val="21"/>
                <w:szCs w:val="21"/>
              </w:rPr>
              <w:t>执法队</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80FA">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1D57">
            <w:pPr>
              <w:jc w:val="center"/>
              <w:textAlignment w:val="center"/>
              <w:rPr>
                <w:color w:val="000000"/>
                <w:sz w:val="21"/>
                <w:szCs w:val="21"/>
              </w:rPr>
            </w:pPr>
            <w:r>
              <w:rPr>
                <w:rFonts w:hint="eastAsia"/>
                <w:color w:val="000000"/>
                <w:sz w:val="21"/>
                <w:szCs w:val="21"/>
              </w:rPr>
              <w:t>执法经费1</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FF2B">
            <w:pPr>
              <w:jc w:val="right"/>
              <w:textAlignment w:val="center"/>
              <w:rPr>
                <w:color w:val="000000"/>
                <w:sz w:val="21"/>
                <w:szCs w:val="21"/>
              </w:rPr>
            </w:pPr>
            <w:r>
              <w:rPr>
                <w:rFonts w:hint="eastAsia"/>
                <w:color w:val="000000"/>
                <w:sz w:val="21"/>
                <w:szCs w:val="21"/>
              </w:rPr>
              <w:t>3,575.50</w:t>
            </w:r>
          </w:p>
        </w:tc>
      </w:tr>
      <w:tr w14:paraId="42122F9D">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975A">
            <w:pPr>
              <w:jc w:val="center"/>
              <w:textAlignment w:val="center"/>
              <w:rPr>
                <w:color w:val="000000"/>
                <w:sz w:val="21"/>
                <w:szCs w:val="21"/>
              </w:rPr>
            </w:pPr>
            <w:r>
              <w:rPr>
                <w:rFonts w:hint="eastAsia"/>
                <w:color w:val="000000"/>
                <w:sz w:val="21"/>
                <w:szCs w:val="21"/>
              </w:rPr>
              <w:t>执法队</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F392">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F8BD">
            <w:pPr>
              <w:jc w:val="center"/>
              <w:textAlignment w:val="center"/>
              <w:rPr>
                <w:color w:val="000000"/>
                <w:sz w:val="21"/>
                <w:szCs w:val="21"/>
              </w:rPr>
            </w:pPr>
            <w:r>
              <w:rPr>
                <w:rFonts w:hint="eastAsia"/>
                <w:color w:val="000000"/>
                <w:sz w:val="21"/>
                <w:szCs w:val="21"/>
              </w:rPr>
              <w:t>配发制式服装和标志</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089F">
            <w:pPr>
              <w:jc w:val="right"/>
              <w:textAlignment w:val="center"/>
              <w:rPr>
                <w:color w:val="000000"/>
                <w:sz w:val="21"/>
                <w:szCs w:val="21"/>
              </w:rPr>
            </w:pPr>
            <w:r>
              <w:rPr>
                <w:rFonts w:hint="eastAsia"/>
                <w:color w:val="000000"/>
                <w:sz w:val="21"/>
                <w:szCs w:val="21"/>
              </w:rPr>
              <w:t>1,228.38</w:t>
            </w:r>
          </w:p>
        </w:tc>
      </w:tr>
      <w:tr w14:paraId="249962F8">
        <w:tblPrEx>
          <w:tblCellMar>
            <w:top w:w="0" w:type="dxa"/>
            <w:left w:w="108" w:type="dxa"/>
            <w:bottom w:w="0" w:type="dxa"/>
            <w:right w:w="108" w:type="dxa"/>
          </w:tblCellMar>
        </w:tblPrEx>
        <w:trPr>
          <w:trHeight w:val="454" w:hRule="atLeast"/>
        </w:trPr>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A4EE">
            <w:pPr>
              <w:jc w:val="center"/>
              <w:textAlignment w:val="center"/>
              <w:rPr>
                <w:color w:val="000000"/>
                <w:sz w:val="21"/>
                <w:szCs w:val="21"/>
              </w:rPr>
            </w:pPr>
            <w:r>
              <w:rPr>
                <w:rFonts w:hint="eastAsia"/>
                <w:color w:val="000000"/>
                <w:sz w:val="21"/>
                <w:szCs w:val="21"/>
              </w:rPr>
              <w:t>旅游服务中心</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0085E">
            <w:pPr>
              <w:jc w:val="center"/>
              <w:textAlignment w:val="center"/>
              <w:rPr>
                <w:color w:val="000000"/>
                <w:sz w:val="21"/>
                <w:szCs w:val="21"/>
              </w:rPr>
            </w:pPr>
            <w:r>
              <w:rPr>
                <w:rFonts w:hint="eastAsia"/>
                <w:color w:val="000000"/>
                <w:sz w:val="21"/>
                <w:szCs w:val="21"/>
              </w:rPr>
              <w:t>特定目标类</w:t>
            </w:r>
          </w:p>
        </w:tc>
        <w:tc>
          <w:tcPr>
            <w:tcW w:w="2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BCAF">
            <w:pPr>
              <w:jc w:val="center"/>
              <w:textAlignment w:val="center"/>
              <w:rPr>
                <w:color w:val="000000"/>
                <w:sz w:val="21"/>
                <w:szCs w:val="21"/>
              </w:rPr>
            </w:pPr>
            <w:r>
              <w:rPr>
                <w:rFonts w:hint="eastAsia"/>
                <w:color w:val="000000"/>
                <w:sz w:val="21"/>
                <w:szCs w:val="21"/>
              </w:rPr>
              <w:t>文旅发展资金(文旅产业发展资金)</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5E1D">
            <w:pPr>
              <w:jc w:val="right"/>
              <w:textAlignment w:val="center"/>
              <w:rPr>
                <w:color w:val="000000"/>
                <w:sz w:val="21"/>
                <w:szCs w:val="21"/>
              </w:rPr>
            </w:pPr>
            <w:r>
              <w:rPr>
                <w:rFonts w:hint="eastAsia"/>
                <w:color w:val="000000"/>
                <w:sz w:val="21"/>
                <w:szCs w:val="21"/>
              </w:rPr>
              <w:t>126,132.50</w:t>
            </w:r>
          </w:p>
        </w:tc>
      </w:tr>
      <w:tr w14:paraId="47768FFA">
        <w:tblPrEx>
          <w:tblCellMar>
            <w:top w:w="0" w:type="dxa"/>
            <w:left w:w="108" w:type="dxa"/>
            <w:bottom w:w="0" w:type="dxa"/>
            <w:right w:w="108" w:type="dxa"/>
          </w:tblCellMar>
        </w:tblPrEx>
        <w:trPr>
          <w:trHeight w:val="454" w:hRule="atLeast"/>
        </w:trPr>
        <w:tc>
          <w:tcPr>
            <w:tcW w:w="412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826A">
            <w:pPr>
              <w:jc w:val="center"/>
              <w:textAlignment w:val="center"/>
              <w:rPr>
                <w:b/>
                <w:bCs/>
                <w:color w:val="000000"/>
                <w:sz w:val="21"/>
                <w:szCs w:val="21"/>
              </w:rPr>
            </w:pPr>
            <w:r>
              <w:rPr>
                <w:rFonts w:hint="eastAsia"/>
                <w:b/>
                <w:bCs/>
                <w:color w:val="000000"/>
                <w:sz w:val="21"/>
                <w:szCs w:val="21"/>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E130">
            <w:pPr>
              <w:jc w:val="right"/>
              <w:textAlignment w:val="center"/>
              <w:rPr>
                <w:b/>
                <w:bCs/>
                <w:color w:val="000000"/>
                <w:sz w:val="21"/>
                <w:szCs w:val="21"/>
              </w:rPr>
            </w:pPr>
            <w:r>
              <w:rPr>
                <w:rFonts w:hint="eastAsia"/>
                <w:b/>
                <w:bCs/>
                <w:color w:val="000000"/>
                <w:sz w:val="21"/>
                <w:szCs w:val="21"/>
              </w:rPr>
              <w:t>2,063,760.61</w:t>
            </w:r>
          </w:p>
        </w:tc>
      </w:tr>
    </w:tbl>
    <w:p w14:paraId="2F39D211">
      <w:pPr>
        <w:pStyle w:val="8"/>
        <w:widowControl w:val="0"/>
        <w:snapToGrid/>
        <w:ind w:firstLine="560"/>
        <w:rPr>
          <w:rFonts w:ascii="仿宋" w:hAnsi="仿宋"/>
          <w:kern w:val="0"/>
        </w:rPr>
      </w:pPr>
      <w:r>
        <w:rPr>
          <w:rFonts w:hint="eastAsia" w:ascii="仿宋" w:hAnsi="仿宋"/>
          <w:kern w:val="0"/>
        </w:rPr>
        <w:t>部门预算结转结余</w:t>
      </w:r>
      <w:r>
        <w:rPr>
          <w:rFonts w:hint="eastAsia" w:ascii="仿宋"/>
          <w:kern w:val="0"/>
        </w:rPr>
        <w:t>资金</w:t>
      </w:r>
      <w:r>
        <w:rPr>
          <w:rFonts w:hint="eastAsia" w:ascii="仿宋" w:hAnsi="仿宋"/>
          <w:kern w:val="0"/>
        </w:rPr>
        <w:t>202</w:t>
      </w:r>
      <w:r>
        <w:rPr>
          <w:rFonts w:hint="eastAsia" w:ascii="仿宋"/>
          <w:kern w:val="0"/>
        </w:rPr>
        <w:t>3</w:t>
      </w:r>
      <w:r>
        <w:rPr>
          <w:rFonts w:hint="eastAsia" w:ascii="仿宋" w:hAnsi="仿宋"/>
          <w:kern w:val="0"/>
        </w:rPr>
        <w:t>年较20</w:t>
      </w:r>
      <w:r>
        <w:rPr>
          <w:rFonts w:hint="eastAsia" w:ascii="仿宋"/>
          <w:kern w:val="0"/>
        </w:rPr>
        <w:t>22</w:t>
      </w:r>
      <w:r>
        <w:rPr>
          <w:rFonts w:hint="eastAsia" w:ascii="仿宋" w:hAnsi="仿宋"/>
          <w:kern w:val="0"/>
        </w:rPr>
        <w:t>年</w:t>
      </w:r>
      <w:r>
        <w:rPr>
          <w:rFonts w:hint="eastAsia" w:ascii="仿宋"/>
          <w:kern w:val="0"/>
        </w:rPr>
        <w:t>减少1,972,485.87</w:t>
      </w:r>
      <w:r>
        <w:rPr>
          <w:rFonts w:hint="eastAsia" w:ascii="仿宋" w:hAnsi="仿宋"/>
          <w:kern w:val="0"/>
        </w:rPr>
        <w:t>元</w:t>
      </w:r>
      <w:r>
        <w:rPr>
          <w:rFonts w:hint="eastAsia" w:ascii="仿宋"/>
          <w:kern w:val="0"/>
        </w:rPr>
        <w:t>，</w:t>
      </w:r>
      <w:r>
        <w:rPr>
          <w:rFonts w:hint="eastAsia" w:ascii="仿宋" w:hAnsi="仿宋"/>
          <w:kern w:val="0"/>
        </w:rPr>
        <w:t>结转结余变动率=</w:t>
      </w:r>
      <w:r>
        <w:rPr>
          <w:rFonts w:hint="eastAsia" w:ascii="仿宋"/>
          <w:kern w:val="0"/>
        </w:rPr>
        <w:t>-95.58</w:t>
      </w:r>
      <w:r>
        <w:rPr>
          <w:rFonts w:hint="eastAsia" w:ascii="仿宋" w:hAnsi="仿宋"/>
          <w:kern w:val="0"/>
        </w:rPr>
        <w:t>%，依据评分标准“</w:t>
      </w:r>
      <w:r>
        <w:rPr>
          <w:rFonts w:hint="eastAsia" w:ascii="仿宋"/>
          <w:kern w:val="0"/>
        </w:rPr>
        <w:t>①</w:t>
      </w:r>
      <w:r>
        <w:rPr>
          <w:rFonts w:hint="eastAsia" w:ascii="仿宋" w:hAnsi="仿宋"/>
          <w:kern w:val="0"/>
        </w:rPr>
        <w:t>结转结余变动率</w:t>
      </w:r>
      <w:r>
        <w:rPr>
          <w:rFonts w:hint="eastAsia" w:ascii="仿宋"/>
          <w:kern w:val="0"/>
        </w:rPr>
        <w:t>≤0</w:t>
      </w:r>
      <w:r>
        <w:rPr>
          <w:rFonts w:hint="eastAsia" w:ascii="仿宋" w:hAnsi="仿宋"/>
          <w:kern w:val="0"/>
        </w:rPr>
        <w:t>，得</w:t>
      </w:r>
      <w:r>
        <w:rPr>
          <w:rFonts w:hint="eastAsia" w:ascii="仿宋"/>
          <w:kern w:val="0"/>
        </w:rPr>
        <w:t>2</w:t>
      </w:r>
      <w:r>
        <w:rPr>
          <w:rFonts w:hint="eastAsia" w:ascii="仿宋" w:hAnsi="仿宋"/>
          <w:kern w:val="0"/>
        </w:rPr>
        <w:t>分”，</w:t>
      </w:r>
      <w:r>
        <w:rPr>
          <w:rFonts w:hint="eastAsia" w:ascii="仿宋"/>
          <w:kern w:val="0"/>
        </w:rPr>
        <w:t>该指标</w:t>
      </w:r>
      <w:r>
        <w:rPr>
          <w:rFonts w:hint="eastAsia" w:ascii="仿宋" w:hAnsi="仿宋"/>
          <w:kern w:val="0"/>
        </w:rPr>
        <w:t>分值2分，得分</w:t>
      </w:r>
      <w:r>
        <w:rPr>
          <w:rFonts w:hint="eastAsia" w:ascii="仿宋"/>
          <w:kern w:val="0"/>
        </w:rPr>
        <w:t>2</w:t>
      </w:r>
      <w:r>
        <w:rPr>
          <w:rFonts w:hint="eastAsia" w:ascii="仿宋" w:hAnsi="仿宋"/>
          <w:kern w:val="0"/>
        </w:rPr>
        <w:t>分。</w:t>
      </w:r>
    </w:p>
    <w:p w14:paraId="53E4E129">
      <w:pPr>
        <w:widowControl w:val="0"/>
        <w:spacing w:line="560" w:lineRule="exact"/>
        <w:ind w:firstLine="562" w:firstLineChars="200"/>
        <w:outlineLvl w:val="4"/>
        <w:rPr>
          <w:b/>
        </w:rPr>
      </w:pPr>
      <w:r>
        <w:rPr>
          <w:rFonts w:hint="eastAsia"/>
          <w:b/>
        </w:rPr>
        <w:t>（6）B1-6预算绩效管理</w:t>
      </w:r>
    </w:p>
    <w:p w14:paraId="64865E23">
      <w:pPr>
        <w:widowControl w:val="0"/>
        <w:spacing w:line="560" w:lineRule="exact"/>
        <w:ind w:firstLine="560" w:firstLineChars="200"/>
        <w:rPr>
          <w:bCs/>
        </w:rPr>
      </w:pPr>
      <w:r>
        <w:rPr>
          <w:rFonts w:hint="eastAsia"/>
          <w:bCs/>
        </w:rPr>
        <w:t>2023年部门整体支出和项目支出均编制了绩效目标申报表、自评表、自评报告、绩效监控分析报告、绩效运行监控表。</w:t>
      </w:r>
    </w:p>
    <w:p w14:paraId="0D4EC8D8">
      <w:pPr>
        <w:widowControl w:val="0"/>
        <w:spacing w:line="560" w:lineRule="exact"/>
        <w:ind w:firstLine="560" w:firstLineChars="200"/>
        <w:rPr>
          <w:bCs/>
        </w:rPr>
      </w:pPr>
      <w:r>
        <w:rPr>
          <w:rFonts w:hint="eastAsia"/>
          <w:bCs/>
        </w:rPr>
        <w:t>该指标分值2分，得分2分。</w:t>
      </w:r>
    </w:p>
    <w:p w14:paraId="276C0FC3">
      <w:pPr>
        <w:pStyle w:val="8"/>
        <w:widowControl w:val="0"/>
        <w:snapToGrid/>
        <w:spacing w:line="580" w:lineRule="exact"/>
        <w:ind w:firstLine="562"/>
        <w:outlineLvl w:val="3"/>
        <w:rPr>
          <w:rFonts w:ascii="仿宋" w:hAnsi="仿宋"/>
          <w:b/>
        </w:rPr>
      </w:pPr>
      <w:r>
        <w:rPr>
          <w:rFonts w:hint="eastAsia" w:ascii="仿宋" w:hAnsi="仿宋"/>
          <w:b/>
        </w:rPr>
        <w:t>2.B2</w:t>
      </w:r>
      <w:r>
        <w:rPr>
          <w:rFonts w:hint="eastAsia" w:ascii="仿宋"/>
          <w:b/>
        </w:rPr>
        <w:t>收支管理</w:t>
      </w:r>
      <w:r>
        <w:rPr>
          <w:rFonts w:hint="eastAsia" w:ascii="仿宋" w:hAnsi="仿宋"/>
          <w:b/>
        </w:rPr>
        <w:t>，权重</w:t>
      </w:r>
      <w:r>
        <w:rPr>
          <w:rFonts w:hint="eastAsia" w:ascii="仿宋"/>
          <w:b/>
        </w:rPr>
        <w:t>16</w:t>
      </w:r>
      <w:r>
        <w:rPr>
          <w:rFonts w:hint="eastAsia" w:ascii="仿宋" w:hAnsi="仿宋"/>
          <w:b/>
        </w:rPr>
        <w:t>分，得分12分</w:t>
      </w:r>
    </w:p>
    <w:p w14:paraId="4E07B80A">
      <w:pPr>
        <w:pStyle w:val="8"/>
        <w:widowControl w:val="0"/>
        <w:snapToGrid/>
        <w:spacing w:line="600" w:lineRule="exact"/>
        <w:ind w:firstLine="562"/>
        <w:outlineLvl w:val="4"/>
        <w:rPr>
          <w:rFonts w:ascii="仿宋" w:hAnsi="仿宋"/>
          <w:b/>
          <w:bCs/>
          <w:kern w:val="0"/>
        </w:rPr>
      </w:pPr>
      <w:r>
        <w:rPr>
          <w:rFonts w:hint="eastAsia"/>
          <w:b/>
        </w:rPr>
        <w:t>（1）B2-1收支管理规范性</w:t>
      </w:r>
    </w:p>
    <w:p w14:paraId="0146CCC2">
      <w:pPr>
        <w:pStyle w:val="8"/>
        <w:widowControl w:val="0"/>
        <w:snapToGrid/>
        <w:spacing w:line="600" w:lineRule="exact"/>
        <w:ind w:firstLine="560"/>
        <w:outlineLvl w:val="4"/>
        <w:rPr>
          <w:rFonts w:ascii="仿宋" w:hAnsi="仿宋"/>
          <w:bCs/>
        </w:rPr>
      </w:pPr>
      <w:r>
        <w:rPr>
          <w:rFonts w:hint="eastAsia" w:ascii="仿宋" w:hAnsi="仿宋"/>
          <w:bCs/>
        </w:rPr>
        <w:t>通过检查该部门原始单据、记账凭证、总账、明细账、财务报表等相关资料，发现财务管理方面存在以下问题：</w:t>
      </w:r>
    </w:p>
    <w:p w14:paraId="423D4E56">
      <w:pPr>
        <w:widowControl w:val="0"/>
        <w:spacing w:line="600" w:lineRule="exact"/>
        <w:ind w:firstLine="560" w:firstLineChars="200"/>
        <w:outlineLvl w:val="5"/>
      </w:pPr>
      <w:r>
        <w:rPr>
          <w:rFonts w:hint="eastAsia"/>
          <w:bCs/>
        </w:rPr>
        <w:t>①</w:t>
      </w:r>
      <w:r>
        <w:rPr>
          <w:rFonts w:hint="eastAsia"/>
        </w:rPr>
        <w:t>实有资金户取得的收入未及时上缴财政</w:t>
      </w:r>
    </w:p>
    <w:p w14:paraId="44646C86">
      <w:pPr>
        <w:widowControl w:val="0"/>
        <w:spacing w:line="600" w:lineRule="exact"/>
        <w:ind w:firstLine="560" w:firstLineChars="200"/>
      </w:pPr>
      <w:r>
        <w:rPr>
          <w:rFonts w:hint="eastAsia"/>
          <w:bCs/>
        </w:rPr>
        <w:t>文保中心2023年收扁鹊庙管理费7,000.00元，2023年末及时上交国库，仍在“应缴国库”挂账，</w:t>
      </w:r>
      <w:r>
        <w:rPr>
          <w:rFonts w:hint="eastAsia"/>
        </w:rPr>
        <w:t>违反了《行政单位财务规则》第七章负债管理“行政单位取得罚没收入、行政事业性收费收入、政府性基金收入、国有资源（资产）有偿使用收入等，应当按照国库集中收缴的有关规定及时足额上缴，不得隐瞒、滞留、截留、占用、挪用、拖欠或者坐支。”的规定，依据评分标准扣0.5分。</w:t>
      </w:r>
    </w:p>
    <w:p w14:paraId="4B1187BC">
      <w:pPr>
        <w:pStyle w:val="8"/>
        <w:widowControl w:val="0"/>
        <w:snapToGrid/>
        <w:spacing w:line="600" w:lineRule="exact"/>
        <w:ind w:firstLine="560"/>
        <w:outlineLvl w:val="4"/>
        <w:rPr>
          <w:rFonts w:ascii="仿宋" w:hAnsi="仿宋"/>
          <w:bCs/>
        </w:rPr>
      </w:pPr>
      <w:r>
        <w:rPr>
          <w:rFonts w:hint="eastAsia" w:ascii="仿宋" w:hAnsi="仿宋"/>
          <w:bCs/>
        </w:rPr>
        <w:t>②未按预算用途列支</w:t>
      </w:r>
    </w:p>
    <w:p w14:paraId="30E1A34E">
      <w:pPr>
        <w:pStyle w:val="8"/>
        <w:widowControl w:val="0"/>
        <w:snapToGrid/>
        <w:spacing w:line="600" w:lineRule="exact"/>
        <w:ind w:firstLine="560"/>
        <w:outlineLvl w:val="4"/>
        <w:rPr>
          <w:rFonts w:ascii="仿宋"/>
          <w:bCs/>
        </w:rPr>
      </w:pPr>
      <w:r>
        <w:rPr>
          <w:rFonts w:hint="eastAsia" w:ascii="仿宋"/>
          <w:bCs/>
        </w:rPr>
        <w:t>部门资金未按预算用途列支，涉及金额58,326.00元，具体明细见下表：</w:t>
      </w:r>
    </w:p>
    <w:p w14:paraId="14839042">
      <w:pPr>
        <w:pStyle w:val="8"/>
        <w:widowControl w:val="0"/>
        <w:snapToGrid/>
        <w:ind w:firstLine="562"/>
        <w:jc w:val="center"/>
        <w:rPr>
          <w:rFonts w:ascii="仿宋" w:hAnsi="仿宋"/>
          <w:b/>
          <w:kern w:val="0"/>
        </w:rPr>
      </w:pPr>
      <w:r>
        <w:rPr>
          <w:rFonts w:hint="eastAsia" w:ascii="仿宋" w:hAnsi="仿宋"/>
          <w:b/>
          <w:kern w:val="0"/>
        </w:rPr>
        <w:t>表4-2-</w:t>
      </w:r>
      <w:r>
        <w:rPr>
          <w:rFonts w:hint="eastAsia" w:ascii="仿宋"/>
          <w:b/>
          <w:kern w:val="0"/>
        </w:rPr>
        <w:t>4未按预算用途列支统计表</w:t>
      </w:r>
    </w:p>
    <w:p w14:paraId="714C5B2A">
      <w:pPr>
        <w:pStyle w:val="8"/>
        <w:snapToGrid/>
        <w:spacing w:line="240" w:lineRule="auto"/>
        <w:ind w:firstLine="480"/>
        <w:jc w:val="right"/>
        <w:rPr>
          <w:rFonts w:ascii="仿宋"/>
          <w:kern w:val="0"/>
          <w:highlight w:val="yellow"/>
        </w:rPr>
      </w:pPr>
      <w:r>
        <w:rPr>
          <w:rFonts w:hint="eastAsia" w:ascii="仿宋" w:hAnsi="仿宋"/>
          <w:sz w:val="24"/>
          <w:szCs w:val="22"/>
        </w:rPr>
        <w:t>单位</w:t>
      </w:r>
      <w:r>
        <w:rPr>
          <w:rFonts w:hint="eastAsia" w:ascii="仿宋" w:hAnsi="仿宋"/>
          <w:kern w:val="0"/>
          <w:sz w:val="24"/>
          <w:szCs w:val="24"/>
        </w:rPr>
        <w:t>：元</w:t>
      </w:r>
    </w:p>
    <w:tbl>
      <w:tblPr>
        <w:tblStyle w:val="24"/>
        <w:tblW w:w="5321" w:type="pct"/>
        <w:tblInd w:w="0" w:type="dxa"/>
        <w:tblLayout w:type="fixed"/>
        <w:tblCellMar>
          <w:top w:w="0" w:type="dxa"/>
          <w:left w:w="108" w:type="dxa"/>
          <w:bottom w:w="0" w:type="dxa"/>
          <w:right w:w="108" w:type="dxa"/>
        </w:tblCellMar>
      </w:tblPr>
      <w:tblGrid>
        <w:gridCol w:w="1090"/>
        <w:gridCol w:w="1321"/>
        <w:gridCol w:w="3140"/>
        <w:gridCol w:w="1756"/>
        <w:gridCol w:w="1756"/>
      </w:tblGrid>
      <w:tr w14:paraId="7EA8BAC2">
        <w:tblPrEx>
          <w:tblCellMar>
            <w:top w:w="0" w:type="dxa"/>
            <w:left w:w="108" w:type="dxa"/>
            <w:bottom w:w="0" w:type="dxa"/>
            <w:right w:w="108" w:type="dxa"/>
          </w:tblCellMar>
        </w:tblPrEx>
        <w:trPr>
          <w:trHeight w:val="454" w:hRule="atLeast"/>
          <w:tblHeader/>
        </w:trPr>
        <w:tc>
          <w:tcPr>
            <w:tcW w:w="6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02B1493">
            <w:pPr>
              <w:jc w:val="center"/>
              <w:textAlignment w:val="center"/>
              <w:rPr>
                <w:b/>
                <w:bCs/>
                <w:color w:val="000000"/>
                <w:sz w:val="21"/>
                <w:szCs w:val="21"/>
              </w:rPr>
            </w:pPr>
            <w:r>
              <w:rPr>
                <w:rFonts w:hint="eastAsia"/>
                <w:b/>
                <w:bCs/>
                <w:color w:val="000000"/>
                <w:sz w:val="21"/>
                <w:szCs w:val="21"/>
              </w:rPr>
              <w:t>部门</w:t>
            </w:r>
          </w:p>
        </w:tc>
        <w:tc>
          <w:tcPr>
            <w:tcW w:w="72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03CC73F">
            <w:pPr>
              <w:jc w:val="center"/>
              <w:textAlignment w:val="center"/>
              <w:rPr>
                <w:b/>
                <w:bCs/>
                <w:color w:val="000000"/>
                <w:sz w:val="21"/>
                <w:szCs w:val="21"/>
              </w:rPr>
            </w:pPr>
            <w:r>
              <w:rPr>
                <w:rFonts w:hint="eastAsia"/>
                <w:b/>
                <w:bCs/>
                <w:color w:val="000000"/>
                <w:sz w:val="21"/>
                <w:szCs w:val="21"/>
              </w:rPr>
              <w:t>凭证号</w:t>
            </w:r>
          </w:p>
        </w:tc>
        <w:tc>
          <w:tcPr>
            <w:tcW w:w="173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E252C79">
            <w:pPr>
              <w:jc w:val="center"/>
              <w:textAlignment w:val="center"/>
              <w:rPr>
                <w:b/>
                <w:bCs/>
                <w:color w:val="000000"/>
                <w:sz w:val="21"/>
                <w:szCs w:val="21"/>
              </w:rPr>
            </w:pPr>
            <w:r>
              <w:rPr>
                <w:rFonts w:hint="eastAsia"/>
                <w:b/>
                <w:bCs/>
                <w:color w:val="000000"/>
                <w:sz w:val="21"/>
                <w:szCs w:val="21"/>
              </w:rPr>
              <w:t>摘要</w:t>
            </w:r>
          </w:p>
        </w:tc>
        <w:tc>
          <w:tcPr>
            <w:tcW w:w="96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51966AF">
            <w:pPr>
              <w:jc w:val="center"/>
              <w:textAlignment w:val="center"/>
              <w:rPr>
                <w:b/>
                <w:bCs/>
                <w:color w:val="000000"/>
                <w:kern w:val="0"/>
                <w:sz w:val="21"/>
                <w:szCs w:val="21"/>
              </w:rPr>
            </w:pPr>
            <w:r>
              <w:rPr>
                <w:rFonts w:hint="eastAsia"/>
                <w:b/>
                <w:bCs/>
                <w:color w:val="000000"/>
                <w:kern w:val="0"/>
                <w:sz w:val="21"/>
                <w:szCs w:val="21"/>
              </w:rPr>
              <w:t>金额</w:t>
            </w:r>
          </w:p>
        </w:tc>
        <w:tc>
          <w:tcPr>
            <w:tcW w:w="96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C33691D">
            <w:pPr>
              <w:jc w:val="center"/>
              <w:textAlignment w:val="center"/>
              <w:rPr>
                <w:b/>
                <w:bCs/>
                <w:color w:val="000000"/>
                <w:kern w:val="0"/>
                <w:sz w:val="21"/>
                <w:szCs w:val="21"/>
              </w:rPr>
            </w:pPr>
            <w:r>
              <w:rPr>
                <w:rFonts w:hint="eastAsia"/>
                <w:b/>
                <w:bCs/>
                <w:color w:val="000000"/>
                <w:kern w:val="0"/>
                <w:sz w:val="21"/>
                <w:szCs w:val="21"/>
              </w:rPr>
              <w:t>项目名称/部门科目名称</w:t>
            </w:r>
          </w:p>
        </w:tc>
      </w:tr>
      <w:tr w14:paraId="762E0C11">
        <w:tblPrEx>
          <w:tblCellMar>
            <w:top w:w="0" w:type="dxa"/>
            <w:left w:w="108" w:type="dxa"/>
            <w:bottom w:w="0" w:type="dxa"/>
            <w:right w:w="108" w:type="dxa"/>
          </w:tblCellMar>
        </w:tblPrEx>
        <w:trPr>
          <w:trHeight w:val="454" w:hRule="atLeast"/>
        </w:trPr>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232F">
            <w:pPr>
              <w:jc w:val="center"/>
              <w:textAlignment w:val="center"/>
              <w:rPr>
                <w:color w:val="000000"/>
                <w:sz w:val="21"/>
                <w:szCs w:val="21"/>
              </w:rPr>
            </w:pPr>
            <w:r>
              <w:rPr>
                <w:rFonts w:hint="eastAsia"/>
                <w:color w:val="000000"/>
                <w:kern w:val="0"/>
                <w:sz w:val="21"/>
                <w:szCs w:val="21"/>
              </w:rPr>
              <w:t>图书馆</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B7B5">
            <w:pPr>
              <w:jc w:val="center"/>
              <w:rPr>
                <w:color w:val="000000"/>
                <w:sz w:val="21"/>
                <w:szCs w:val="21"/>
              </w:rPr>
            </w:pPr>
            <w:r>
              <w:rPr>
                <w:rFonts w:hint="eastAsia"/>
                <w:color w:val="000000"/>
                <w:sz w:val="21"/>
                <w:szCs w:val="21"/>
              </w:rPr>
              <w:t>2023年</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E631">
            <w:pPr>
              <w:jc w:val="center"/>
              <w:textAlignment w:val="center"/>
              <w:rPr>
                <w:color w:val="000000"/>
                <w:sz w:val="21"/>
                <w:szCs w:val="21"/>
              </w:rPr>
            </w:pPr>
            <w:r>
              <w:rPr>
                <w:rFonts w:hint="eastAsia"/>
                <w:color w:val="000000"/>
                <w:kern w:val="0"/>
                <w:sz w:val="21"/>
                <w:szCs w:val="21"/>
              </w:rPr>
              <w:t>退休人员补贴</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6FA3">
            <w:pPr>
              <w:jc w:val="right"/>
              <w:textAlignment w:val="center"/>
              <w:rPr>
                <w:color w:val="000000"/>
                <w:sz w:val="21"/>
                <w:szCs w:val="21"/>
              </w:rPr>
            </w:pPr>
            <w:r>
              <w:rPr>
                <w:rFonts w:hint="eastAsia"/>
                <w:color w:val="000000"/>
                <w:kern w:val="0"/>
                <w:sz w:val="21"/>
                <w:szCs w:val="21"/>
              </w:rPr>
              <w:t>25,944.00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19E5">
            <w:pPr>
              <w:jc w:val="right"/>
              <w:textAlignment w:val="center"/>
              <w:rPr>
                <w:color w:val="000000"/>
                <w:sz w:val="21"/>
                <w:szCs w:val="21"/>
              </w:rPr>
            </w:pPr>
            <w:r>
              <w:rPr>
                <w:rFonts w:hint="eastAsia"/>
                <w:color w:val="000000"/>
                <w:kern w:val="0"/>
                <w:sz w:val="21"/>
                <w:szCs w:val="21"/>
              </w:rPr>
              <w:t>奖金</w:t>
            </w:r>
          </w:p>
        </w:tc>
      </w:tr>
      <w:tr w14:paraId="5E3B4C03">
        <w:tblPrEx>
          <w:tblCellMar>
            <w:top w:w="0" w:type="dxa"/>
            <w:left w:w="108" w:type="dxa"/>
            <w:bottom w:w="0" w:type="dxa"/>
            <w:right w:w="108" w:type="dxa"/>
          </w:tblCellMar>
        </w:tblPrEx>
        <w:trPr>
          <w:trHeight w:val="454" w:hRule="atLeast"/>
        </w:trPr>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96B5">
            <w:pPr>
              <w:jc w:val="center"/>
              <w:textAlignment w:val="center"/>
              <w:rPr>
                <w:color w:val="000000"/>
                <w:sz w:val="21"/>
                <w:szCs w:val="21"/>
              </w:rPr>
            </w:pPr>
            <w:r>
              <w:rPr>
                <w:rFonts w:hint="eastAsia"/>
                <w:color w:val="000000"/>
                <w:kern w:val="0"/>
                <w:sz w:val="21"/>
                <w:szCs w:val="21"/>
              </w:rPr>
              <w:t>图书馆</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82AB">
            <w:pPr>
              <w:jc w:val="center"/>
              <w:rPr>
                <w:color w:val="000000"/>
                <w:sz w:val="21"/>
                <w:szCs w:val="21"/>
              </w:rPr>
            </w:pPr>
            <w:r>
              <w:rPr>
                <w:rFonts w:hint="eastAsia"/>
                <w:color w:val="000000"/>
                <w:sz w:val="21"/>
                <w:szCs w:val="21"/>
              </w:rPr>
              <w:t>2023年</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9A42">
            <w:pPr>
              <w:jc w:val="center"/>
              <w:textAlignment w:val="center"/>
              <w:rPr>
                <w:color w:val="000000"/>
                <w:sz w:val="21"/>
                <w:szCs w:val="21"/>
              </w:rPr>
            </w:pPr>
            <w:r>
              <w:rPr>
                <w:rFonts w:hint="eastAsia"/>
                <w:color w:val="000000"/>
                <w:kern w:val="0"/>
                <w:sz w:val="21"/>
                <w:szCs w:val="21"/>
              </w:rPr>
              <w:t>在职人员工资保险</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BCDC4">
            <w:pPr>
              <w:jc w:val="right"/>
              <w:textAlignment w:val="center"/>
              <w:rPr>
                <w:color w:val="000000"/>
                <w:sz w:val="21"/>
                <w:szCs w:val="21"/>
              </w:rPr>
            </w:pPr>
            <w:r>
              <w:rPr>
                <w:rFonts w:hint="eastAsia"/>
                <w:color w:val="000000"/>
                <w:kern w:val="0"/>
                <w:sz w:val="21"/>
                <w:szCs w:val="21"/>
              </w:rPr>
              <w:t>30,336.00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E5B3">
            <w:pPr>
              <w:jc w:val="right"/>
              <w:textAlignment w:val="center"/>
              <w:rPr>
                <w:color w:val="000000"/>
                <w:sz w:val="21"/>
                <w:szCs w:val="21"/>
              </w:rPr>
            </w:pPr>
            <w:r>
              <w:rPr>
                <w:rFonts w:hint="eastAsia"/>
                <w:color w:val="000000"/>
                <w:kern w:val="0"/>
                <w:sz w:val="21"/>
                <w:szCs w:val="21"/>
              </w:rPr>
              <w:t>退休费</w:t>
            </w:r>
          </w:p>
        </w:tc>
      </w:tr>
      <w:tr w14:paraId="01F1EB6A">
        <w:tblPrEx>
          <w:tblCellMar>
            <w:top w:w="0" w:type="dxa"/>
            <w:left w:w="108" w:type="dxa"/>
            <w:bottom w:w="0" w:type="dxa"/>
            <w:right w:w="108" w:type="dxa"/>
          </w:tblCellMar>
        </w:tblPrEx>
        <w:trPr>
          <w:trHeight w:val="454" w:hRule="atLeast"/>
        </w:trPr>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F708">
            <w:pPr>
              <w:textAlignment w:val="center"/>
              <w:rPr>
                <w:color w:val="000000"/>
                <w:sz w:val="21"/>
                <w:szCs w:val="21"/>
              </w:rPr>
            </w:pPr>
            <w:r>
              <w:rPr>
                <w:rFonts w:hint="eastAsia"/>
                <w:color w:val="000000"/>
                <w:kern w:val="0"/>
                <w:sz w:val="21"/>
                <w:szCs w:val="21"/>
              </w:rPr>
              <w:t>文化馆</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07B0">
            <w:pPr>
              <w:jc w:val="center"/>
              <w:textAlignment w:val="center"/>
              <w:rPr>
                <w:color w:val="000000"/>
                <w:sz w:val="21"/>
                <w:szCs w:val="21"/>
              </w:rPr>
            </w:pPr>
            <w:r>
              <w:rPr>
                <w:rFonts w:hint="eastAsia"/>
                <w:color w:val="000000"/>
                <w:kern w:val="0"/>
                <w:sz w:val="21"/>
                <w:szCs w:val="21"/>
              </w:rPr>
              <w:t>9月20#、11月29#</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D563">
            <w:pPr>
              <w:jc w:val="center"/>
              <w:textAlignment w:val="center"/>
              <w:rPr>
                <w:color w:val="000000"/>
                <w:sz w:val="21"/>
                <w:szCs w:val="21"/>
              </w:rPr>
            </w:pPr>
            <w:r>
              <w:rPr>
                <w:rFonts w:hint="eastAsia"/>
                <w:color w:val="000000"/>
                <w:kern w:val="0"/>
                <w:sz w:val="21"/>
                <w:szCs w:val="21"/>
              </w:rPr>
              <w:t>9月11</w:t>
            </w:r>
            <w:r>
              <w:rPr>
                <w:rFonts w:hint="eastAsia"/>
                <w:color w:val="000000"/>
                <w:kern w:val="0"/>
                <w:sz w:val="21"/>
                <w:szCs w:val="21"/>
                <w:lang w:val="en-US" w:eastAsia="zh-CN"/>
              </w:rPr>
              <w:t>日</w:t>
            </w:r>
            <w:bookmarkStart w:id="478" w:name="_GoBack"/>
            <w:bookmarkEnd w:id="478"/>
            <w:r>
              <w:rPr>
                <w:rFonts w:hint="eastAsia"/>
                <w:color w:val="000000"/>
                <w:kern w:val="0"/>
                <w:sz w:val="21"/>
                <w:szCs w:val="21"/>
              </w:rPr>
              <w:t>职工医保</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D8FC0">
            <w:pPr>
              <w:jc w:val="right"/>
              <w:textAlignment w:val="center"/>
              <w:rPr>
                <w:color w:val="000000"/>
                <w:sz w:val="21"/>
                <w:szCs w:val="21"/>
              </w:rPr>
            </w:pPr>
            <w:r>
              <w:rPr>
                <w:rFonts w:hint="eastAsia"/>
                <w:color w:val="000000"/>
                <w:kern w:val="0"/>
                <w:sz w:val="21"/>
                <w:szCs w:val="21"/>
              </w:rPr>
              <w:t>720.00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3A52">
            <w:pPr>
              <w:jc w:val="right"/>
              <w:textAlignment w:val="center"/>
              <w:rPr>
                <w:color w:val="000000"/>
                <w:sz w:val="21"/>
                <w:szCs w:val="21"/>
              </w:rPr>
            </w:pPr>
            <w:r>
              <w:rPr>
                <w:rFonts w:hint="eastAsia"/>
                <w:color w:val="000000"/>
                <w:kern w:val="0"/>
                <w:sz w:val="21"/>
                <w:szCs w:val="21"/>
              </w:rPr>
              <w:t>退休人员住宅取暖补贴（含新中国成立前老工人）</w:t>
            </w:r>
          </w:p>
        </w:tc>
      </w:tr>
      <w:tr w14:paraId="2548AA6E">
        <w:tblPrEx>
          <w:tblCellMar>
            <w:top w:w="0" w:type="dxa"/>
            <w:left w:w="108" w:type="dxa"/>
            <w:bottom w:w="0" w:type="dxa"/>
            <w:right w:w="108" w:type="dxa"/>
          </w:tblCellMar>
        </w:tblPrEx>
        <w:trPr>
          <w:trHeight w:val="454" w:hRule="atLeast"/>
        </w:trPr>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D49B6">
            <w:pPr>
              <w:jc w:val="center"/>
              <w:textAlignment w:val="center"/>
              <w:rPr>
                <w:color w:val="000000"/>
                <w:sz w:val="21"/>
                <w:szCs w:val="21"/>
              </w:rPr>
            </w:pPr>
            <w:r>
              <w:rPr>
                <w:rFonts w:hint="eastAsia"/>
                <w:color w:val="000000"/>
                <w:kern w:val="0"/>
                <w:sz w:val="21"/>
                <w:szCs w:val="21"/>
              </w:rPr>
              <w:t>文化馆</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271E">
            <w:pPr>
              <w:jc w:val="center"/>
              <w:textAlignment w:val="center"/>
              <w:rPr>
                <w:color w:val="000000"/>
                <w:sz w:val="21"/>
                <w:szCs w:val="21"/>
              </w:rPr>
            </w:pPr>
            <w:r>
              <w:rPr>
                <w:rFonts w:hint="eastAsia"/>
                <w:color w:val="000000"/>
                <w:kern w:val="0"/>
                <w:sz w:val="21"/>
                <w:szCs w:val="21"/>
              </w:rPr>
              <w:t>10月19#</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F42A">
            <w:pPr>
              <w:jc w:val="center"/>
              <w:textAlignment w:val="center"/>
              <w:rPr>
                <w:color w:val="000000"/>
                <w:sz w:val="21"/>
                <w:szCs w:val="21"/>
              </w:rPr>
            </w:pPr>
            <w:r>
              <w:rPr>
                <w:rFonts w:hint="eastAsia"/>
                <w:color w:val="000000"/>
                <w:kern w:val="0"/>
                <w:sz w:val="21"/>
                <w:szCs w:val="21"/>
              </w:rPr>
              <w:t>10月职工医保</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C776">
            <w:pPr>
              <w:jc w:val="right"/>
              <w:textAlignment w:val="center"/>
              <w:rPr>
                <w:color w:val="000000"/>
                <w:sz w:val="21"/>
                <w:szCs w:val="21"/>
              </w:rPr>
            </w:pPr>
            <w:r>
              <w:rPr>
                <w:rFonts w:hint="eastAsia"/>
                <w:color w:val="000000"/>
                <w:kern w:val="0"/>
                <w:sz w:val="21"/>
                <w:szCs w:val="21"/>
              </w:rPr>
              <w:t>1,080.00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4C6D">
            <w:pPr>
              <w:jc w:val="right"/>
              <w:textAlignment w:val="center"/>
              <w:rPr>
                <w:color w:val="000000"/>
                <w:sz w:val="21"/>
                <w:szCs w:val="21"/>
              </w:rPr>
            </w:pPr>
            <w:r>
              <w:rPr>
                <w:rFonts w:hint="eastAsia"/>
                <w:color w:val="000000"/>
                <w:kern w:val="0"/>
                <w:sz w:val="21"/>
                <w:szCs w:val="21"/>
              </w:rPr>
              <w:t>退休人员补充医疗保险</w:t>
            </w:r>
          </w:p>
        </w:tc>
      </w:tr>
      <w:tr w14:paraId="6CB34F08">
        <w:tblPrEx>
          <w:tblCellMar>
            <w:top w:w="0" w:type="dxa"/>
            <w:left w:w="108" w:type="dxa"/>
            <w:bottom w:w="0" w:type="dxa"/>
            <w:right w:w="108" w:type="dxa"/>
          </w:tblCellMar>
        </w:tblPrEx>
        <w:trPr>
          <w:trHeight w:val="454" w:hRule="atLeast"/>
        </w:trPr>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6425">
            <w:pPr>
              <w:jc w:val="center"/>
              <w:textAlignment w:val="center"/>
              <w:rPr>
                <w:color w:val="000000"/>
                <w:sz w:val="21"/>
                <w:szCs w:val="21"/>
              </w:rPr>
            </w:pPr>
            <w:r>
              <w:rPr>
                <w:rFonts w:hint="eastAsia"/>
                <w:color w:val="000000"/>
                <w:kern w:val="0"/>
                <w:sz w:val="21"/>
                <w:szCs w:val="21"/>
              </w:rPr>
              <w:t>局机关</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FFB58">
            <w:pPr>
              <w:jc w:val="center"/>
              <w:textAlignment w:val="center"/>
              <w:rPr>
                <w:color w:val="000000"/>
                <w:sz w:val="21"/>
                <w:szCs w:val="21"/>
              </w:rPr>
            </w:pPr>
            <w:r>
              <w:rPr>
                <w:rFonts w:hint="eastAsia"/>
                <w:color w:val="000000"/>
                <w:kern w:val="0"/>
                <w:sz w:val="21"/>
                <w:szCs w:val="21"/>
              </w:rPr>
              <w:t>11月7#</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D89F">
            <w:pPr>
              <w:jc w:val="center"/>
              <w:textAlignment w:val="center"/>
              <w:rPr>
                <w:color w:val="000000"/>
                <w:sz w:val="21"/>
                <w:szCs w:val="21"/>
              </w:rPr>
            </w:pPr>
            <w:r>
              <w:rPr>
                <w:rFonts w:hint="eastAsia"/>
                <w:color w:val="000000"/>
                <w:kern w:val="0"/>
                <w:sz w:val="21"/>
                <w:szCs w:val="21"/>
              </w:rPr>
              <w:t>重阳节慰问老干部</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CDF2">
            <w:pPr>
              <w:jc w:val="right"/>
              <w:textAlignment w:val="center"/>
              <w:rPr>
                <w:color w:val="000000"/>
                <w:sz w:val="21"/>
                <w:szCs w:val="21"/>
              </w:rPr>
            </w:pPr>
            <w:r>
              <w:rPr>
                <w:rFonts w:hint="eastAsia"/>
                <w:color w:val="000000"/>
                <w:kern w:val="0"/>
                <w:sz w:val="21"/>
                <w:szCs w:val="21"/>
              </w:rPr>
              <w:t>246.00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A387">
            <w:pPr>
              <w:jc w:val="right"/>
              <w:textAlignment w:val="center"/>
              <w:rPr>
                <w:color w:val="000000"/>
                <w:sz w:val="21"/>
                <w:szCs w:val="21"/>
              </w:rPr>
            </w:pPr>
            <w:r>
              <w:rPr>
                <w:rFonts w:hint="eastAsia"/>
                <w:color w:val="000000"/>
                <w:kern w:val="0"/>
                <w:sz w:val="21"/>
                <w:szCs w:val="21"/>
              </w:rPr>
              <w:t>目标责任考核奖</w:t>
            </w:r>
          </w:p>
        </w:tc>
      </w:tr>
      <w:tr w14:paraId="43FD0B6A">
        <w:tblPrEx>
          <w:tblCellMar>
            <w:top w:w="0" w:type="dxa"/>
            <w:left w:w="108" w:type="dxa"/>
            <w:bottom w:w="0" w:type="dxa"/>
            <w:right w:w="108" w:type="dxa"/>
          </w:tblCellMar>
        </w:tblPrEx>
        <w:trPr>
          <w:trHeight w:val="454" w:hRule="atLeast"/>
        </w:trPr>
        <w:tc>
          <w:tcPr>
            <w:tcW w:w="30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1E37">
            <w:pPr>
              <w:jc w:val="center"/>
              <w:rPr>
                <w:color w:val="000000"/>
                <w:sz w:val="21"/>
                <w:szCs w:val="21"/>
              </w:rPr>
            </w:pPr>
            <w:r>
              <w:rPr>
                <w:rFonts w:hint="eastAsia"/>
                <w:color w:val="000000"/>
                <w:sz w:val="21"/>
                <w:szCs w:val="21"/>
              </w:rPr>
              <w:t>合计</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0B1E">
            <w:pPr>
              <w:jc w:val="right"/>
              <w:textAlignment w:val="center"/>
              <w:rPr>
                <w:color w:val="000000"/>
                <w:sz w:val="21"/>
                <w:szCs w:val="21"/>
              </w:rPr>
            </w:pPr>
            <w:r>
              <w:rPr>
                <w:rFonts w:hint="eastAsia"/>
                <w:color w:val="000000"/>
                <w:kern w:val="0"/>
                <w:sz w:val="21"/>
                <w:szCs w:val="21"/>
              </w:rPr>
              <w:t>58,326.00</w:t>
            </w:r>
          </w:p>
        </w:tc>
        <w:tc>
          <w:tcPr>
            <w:tcW w:w="9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8CAE">
            <w:pPr>
              <w:rPr>
                <w:color w:val="000000"/>
                <w:sz w:val="21"/>
                <w:szCs w:val="21"/>
              </w:rPr>
            </w:pPr>
          </w:p>
        </w:tc>
      </w:tr>
    </w:tbl>
    <w:p w14:paraId="75D92B3B">
      <w:pPr>
        <w:widowControl w:val="0"/>
        <w:spacing w:line="600" w:lineRule="exact"/>
        <w:ind w:firstLine="560" w:firstLineChars="200"/>
      </w:pPr>
      <w:r>
        <w:rPr>
          <w:rFonts w:hint="eastAsia"/>
        </w:rPr>
        <w:t>依据评分标准扣2分。</w:t>
      </w:r>
    </w:p>
    <w:p w14:paraId="5F00F466">
      <w:pPr>
        <w:pStyle w:val="8"/>
        <w:widowControl w:val="0"/>
        <w:snapToGrid/>
        <w:spacing w:line="600" w:lineRule="exact"/>
        <w:ind w:firstLine="560"/>
        <w:outlineLvl w:val="4"/>
        <w:rPr>
          <w:rFonts w:ascii="仿宋"/>
          <w:bCs/>
        </w:rPr>
      </w:pPr>
      <w:r>
        <w:rPr>
          <w:rFonts w:hint="eastAsia" w:ascii="仿宋"/>
          <w:bCs/>
        </w:rPr>
        <w:t>③财务核算不规范</w:t>
      </w:r>
    </w:p>
    <w:p w14:paraId="38D190F2">
      <w:pPr>
        <w:pStyle w:val="8"/>
        <w:widowControl w:val="0"/>
        <w:snapToGrid/>
        <w:ind w:firstLine="560"/>
        <w:rPr>
          <w:rFonts w:ascii="仿宋"/>
          <w:bCs/>
        </w:rPr>
      </w:pPr>
      <w:r>
        <w:rPr>
          <w:rFonts w:hint="eastAsia" w:ascii="仿宋"/>
          <w:bCs/>
        </w:rPr>
        <w:t>未代扣个税：文化馆2023年12月8日33#凭证支付法律顾问咨询费用2400元，聘请个人孙兴赤为法律顾问，开具的发票备注栏标注“购买方应在次月15日前代扣代缴销售方个人所得税”，文化馆未实际代扣代缴个税，扣0.5分。</w:t>
      </w:r>
    </w:p>
    <w:p w14:paraId="6B476198">
      <w:pPr>
        <w:widowControl w:val="0"/>
        <w:spacing w:line="600" w:lineRule="exact"/>
        <w:ind w:firstLine="560" w:firstLineChars="200"/>
      </w:pPr>
      <w:r>
        <w:rPr>
          <w:rFonts w:hint="eastAsia"/>
        </w:rPr>
        <w:t>依据评分标准扣0.5分。</w:t>
      </w:r>
    </w:p>
    <w:p w14:paraId="145C9855">
      <w:pPr>
        <w:pStyle w:val="8"/>
        <w:widowControl w:val="0"/>
        <w:snapToGrid/>
        <w:spacing w:line="600" w:lineRule="exact"/>
        <w:ind w:firstLine="560"/>
        <w:outlineLvl w:val="4"/>
        <w:rPr>
          <w:rFonts w:ascii="仿宋"/>
          <w:bCs/>
        </w:rPr>
      </w:pPr>
      <w:r>
        <w:rPr>
          <w:rFonts w:hint="eastAsia" w:ascii="仿宋"/>
          <w:bCs/>
        </w:rPr>
        <w:t>④审批程序不规范</w:t>
      </w:r>
    </w:p>
    <w:p w14:paraId="3A2E5D47">
      <w:pPr>
        <w:pStyle w:val="8"/>
        <w:widowControl w:val="0"/>
        <w:snapToGrid/>
        <w:ind w:firstLine="560"/>
        <w:rPr>
          <w:rFonts w:ascii="仿宋"/>
          <w:bCs/>
        </w:rPr>
      </w:pPr>
      <w:r>
        <w:rPr>
          <w:rFonts w:hint="eastAsia" w:ascii="仿宋"/>
          <w:bCs/>
        </w:rPr>
        <w:t>核销程序不合规：永济市文保中心核销其他应收款212,600.00元，未经主管部门审核（审批），不符合《行政事业单位资产清查核实管理办法》（财资〔2016〕1号）第三十六条行政事业单位资产核实的一般程序的规定，扣0.5分。</w:t>
      </w:r>
    </w:p>
    <w:p w14:paraId="482F3710">
      <w:pPr>
        <w:spacing w:line="560" w:lineRule="atLeast"/>
        <w:ind w:firstLine="560" w:firstLineChars="200"/>
      </w:pPr>
      <w:r>
        <w:rPr>
          <w:rFonts w:hint="eastAsia"/>
          <w:bCs/>
        </w:rPr>
        <w:t>综上，永济市文旅局在收支管理方面，存在实有资金户取得的收入未及时上缴财政、未按预算用途列支、财务核算不规范、审批程序不规范</w:t>
      </w:r>
      <w:r>
        <w:rPr>
          <w:rFonts w:hint="eastAsia"/>
        </w:rPr>
        <w:t>的情况。指标分值14分，依据评分标准，扣3.5分，得分10.5分。</w:t>
      </w:r>
    </w:p>
    <w:p w14:paraId="2ABD60BD">
      <w:pPr>
        <w:widowControl w:val="0"/>
        <w:spacing w:line="600" w:lineRule="exact"/>
        <w:ind w:firstLine="562" w:firstLineChars="200"/>
        <w:outlineLvl w:val="3"/>
        <w:rPr>
          <w:b/>
          <w:highlight w:val="yellow"/>
        </w:rPr>
      </w:pPr>
      <w:r>
        <w:rPr>
          <w:rFonts w:hint="eastAsia"/>
          <w:b/>
        </w:rPr>
        <w:t>（2）B2-2支出结构合理性</w:t>
      </w:r>
    </w:p>
    <w:p w14:paraId="1A116D61">
      <w:pPr>
        <w:spacing w:line="560" w:lineRule="atLeast"/>
        <w:ind w:firstLine="560" w:firstLineChars="200"/>
        <w:rPr>
          <w:bCs/>
        </w:rPr>
      </w:pPr>
      <w:r>
        <w:rPr>
          <w:rFonts w:hint="eastAsia"/>
          <w:bCs/>
        </w:rPr>
        <w:t>永济市文旅局部门支出分配与部门年度工作任务相匹配，重点支出安排的支出能够满足重点工作任务所需。依据评分标准，本指标得2分。</w:t>
      </w:r>
    </w:p>
    <w:p w14:paraId="7870C959">
      <w:pPr>
        <w:widowControl w:val="0"/>
        <w:spacing w:line="600" w:lineRule="exact"/>
        <w:ind w:firstLine="562" w:firstLineChars="200"/>
        <w:outlineLvl w:val="3"/>
        <w:rPr>
          <w:b/>
        </w:rPr>
      </w:pPr>
      <w:r>
        <w:rPr>
          <w:rFonts w:hint="eastAsia"/>
          <w:b/>
        </w:rPr>
        <w:t>3.B3资产管理，权重8分，得分7分</w:t>
      </w:r>
    </w:p>
    <w:p w14:paraId="7F98DA53">
      <w:pPr>
        <w:pStyle w:val="8"/>
        <w:autoSpaceDE w:val="0"/>
        <w:snapToGrid/>
        <w:spacing w:line="600" w:lineRule="exact"/>
        <w:ind w:firstLine="562"/>
        <w:outlineLvl w:val="4"/>
        <w:rPr>
          <w:rFonts w:ascii="仿宋" w:hAnsi="仿宋"/>
          <w:b/>
          <w:bCs/>
        </w:rPr>
      </w:pPr>
      <w:r>
        <w:rPr>
          <w:rFonts w:hint="eastAsia" w:ascii="仿宋" w:hAnsi="仿宋"/>
          <w:b/>
        </w:rPr>
        <w:t>（1）B3-1资产管理规范性</w:t>
      </w:r>
    </w:p>
    <w:p w14:paraId="6FB0E6D2">
      <w:pPr>
        <w:pStyle w:val="8"/>
        <w:autoSpaceDE w:val="0"/>
        <w:snapToGrid/>
        <w:spacing w:line="600" w:lineRule="exact"/>
        <w:ind w:firstLine="560"/>
        <w:rPr>
          <w:rFonts w:ascii="仿宋" w:hAnsi="仿宋"/>
        </w:rPr>
      </w:pPr>
      <w:r>
        <w:rPr>
          <w:rFonts w:hint="eastAsia" w:ascii="仿宋" w:hAnsi="仿宋"/>
        </w:rPr>
        <w:t>永济市文旅局制定了《固定资产管理制度》，规定了固定资产的购置、管理保管与使用、</w:t>
      </w:r>
      <w:r>
        <w:rPr>
          <w:rFonts w:hint="eastAsia" w:ascii="仿宋"/>
        </w:rPr>
        <w:t>核算与</w:t>
      </w:r>
      <w:r>
        <w:rPr>
          <w:rFonts w:hint="eastAsia" w:ascii="仿宋" w:hAnsi="仿宋"/>
        </w:rPr>
        <w:t>处置、固定资产的清查的管理。202</w:t>
      </w:r>
      <w:r>
        <w:rPr>
          <w:rFonts w:hint="eastAsia" w:ascii="仿宋"/>
        </w:rPr>
        <w:t>3</w:t>
      </w:r>
      <w:r>
        <w:rPr>
          <w:rFonts w:hint="eastAsia" w:ascii="仿宋" w:hAnsi="仿宋"/>
        </w:rPr>
        <w:t>年购入的固定资产符合《永济市行政单位资产配置标准》的规定。</w:t>
      </w:r>
    </w:p>
    <w:p w14:paraId="483606F0">
      <w:pPr>
        <w:pStyle w:val="8"/>
        <w:autoSpaceDE w:val="0"/>
        <w:snapToGrid/>
        <w:spacing w:line="600" w:lineRule="exact"/>
        <w:ind w:firstLine="560"/>
        <w:rPr>
          <w:rFonts w:ascii="仿宋" w:hAnsi="仿宋"/>
        </w:rPr>
      </w:pPr>
      <w:r>
        <w:rPr>
          <w:rFonts w:hint="eastAsia" w:ascii="仿宋" w:hAnsi="仿宋"/>
        </w:rPr>
        <w:t>通过查看永济市文旅局决算报表、资产账簿、资产卡片台账等资料以及对固定资产进行抽查盘点，资产管理存在以下问题：</w:t>
      </w:r>
    </w:p>
    <w:p w14:paraId="69396B99">
      <w:pPr>
        <w:pStyle w:val="8"/>
        <w:widowControl w:val="0"/>
        <w:autoSpaceDE w:val="0"/>
        <w:snapToGrid/>
        <w:spacing w:line="600" w:lineRule="exact"/>
        <w:ind w:firstLine="560"/>
        <w:rPr>
          <w:rFonts w:ascii="仿宋" w:hAnsi="仿宋"/>
          <w:kern w:val="0"/>
        </w:rPr>
      </w:pPr>
      <w:r>
        <w:rPr>
          <w:rFonts w:hint="eastAsia" w:ascii="仿宋"/>
          <w:kern w:val="0"/>
        </w:rPr>
        <w:t>①</w:t>
      </w:r>
      <w:r>
        <w:rPr>
          <w:rFonts w:hint="eastAsia" w:ascii="仿宋" w:hAnsi="仿宋"/>
          <w:kern w:val="0"/>
        </w:rPr>
        <w:t>资产实物未粘贴固定资产卡片，无法进行账实一一对应；</w:t>
      </w:r>
      <w:r>
        <w:rPr>
          <w:rFonts w:hint="eastAsia" w:ascii="仿宋"/>
          <w:kern w:val="0"/>
        </w:rPr>
        <w:t>②</w:t>
      </w:r>
      <w:r>
        <w:rPr>
          <w:rFonts w:hint="eastAsia" w:ascii="仿宋" w:hAnsi="仿宋"/>
          <w:kern w:val="0"/>
        </w:rPr>
        <w:t>未能做到每年对固定资产进行一次全面清查盘点</w:t>
      </w:r>
    </w:p>
    <w:p w14:paraId="0B6CF707">
      <w:pPr>
        <w:pStyle w:val="8"/>
        <w:widowControl w:val="0"/>
        <w:autoSpaceDE w:val="0"/>
        <w:snapToGrid/>
        <w:spacing w:line="600" w:lineRule="exact"/>
        <w:ind w:firstLine="560"/>
        <w:rPr>
          <w:rFonts w:ascii="仿宋" w:hAnsi="仿宋"/>
          <w:kern w:val="0"/>
        </w:rPr>
      </w:pPr>
      <w:r>
        <w:rPr>
          <w:rFonts w:hint="eastAsia" w:ascii="仿宋" w:hAnsi="仿宋"/>
          <w:kern w:val="0"/>
        </w:rPr>
        <w:t>依据评分标准扣</w:t>
      </w:r>
      <w:r>
        <w:rPr>
          <w:rFonts w:hint="eastAsia" w:ascii="仿宋"/>
          <w:kern w:val="0"/>
        </w:rPr>
        <w:t>1</w:t>
      </w:r>
      <w:r>
        <w:rPr>
          <w:rFonts w:hint="eastAsia" w:ascii="仿宋" w:hAnsi="仿宋"/>
          <w:kern w:val="0"/>
        </w:rPr>
        <w:t>分，该指标分值5分，得分</w:t>
      </w:r>
      <w:r>
        <w:rPr>
          <w:rFonts w:hint="eastAsia" w:ascii="仿宋"/>
          <w:kern w:val="0"/>
        </w:rPr>
        <w:t>4</w:t>
      </w:r>
      <w:r>
        <w:rPr>
          <w:rFonts w:hint="eastAsia" w:ascii="仿宋" w:hAnsi="仿宋"/>
          <w:kern w:val="0"/>
        </w:rPr>
        <w:t>分。</w:t>
      </w:r>
    </w:p>
    <w:p w14:paraId="509B9A8B">
      <w:pPr>
        <w:pStyle w:val="8"/>
        <w:autoSpaceDE w:val="0"/>
        <w:snapToGrid/>
        <w:spacing w:line="600" w:lineRule="exact"/>
        <w:ind w:firstLine="562"/>
        <w:outlineLvl w:val="4"/>
        <w:rPr>
          <w:rFonts w:ascii="仿宋" w:hAnsi="仿宋"/>
          <w:b/>
          <w:bCs/>
        </w:rPr>
      </w:pPr>
      <w:r>
        <w:rPr>
          <w:rFonts w:hint="eastAsia" w:ascii="仿宋" w:hAnsi="仿宋"/>
          <w:b/>
        </w:rPr>
        <w:t>（2）B3-2固定资产利用率</w:t>
      </w:r>
    </w:p>
    <w:p w14:paraId="6FF97994">
      <w:pPr>
        <w:pStyle w:val="8"/>
        <w:widowControl w:val="0"/>
        <w:snapToGrid/>
        <w:spacing w:line="600" w:lineRule="exact"/>
        <w:ind w:firstLine="560"/>
        <w:rPr>
          <w:rFonts w:ascii="仿宋" w:hAnsi="仿宋"/>
          <w:kern w:val="0"/>
        </w:rPr>
      </w:pPr>
      <w:r>
        <w:rPr>
          <w:rFonts w:hint="eastAsia" w:ascii="仿宋" w:hAnsi="仿宋"/>
          <w:kern w:val="0"/>
        </w:rPr>
        <w:t>截至202</w:t>
      </w:r>
      <w:r>
        <w:rPr>
          <w:rFonts w:hint="eastAsia" w:ascii="仿宋"/>
          <w:kern w:val="0"/>
        </w:rPr>
        <w:t>3</w:t>
      </w:r>
      <w:r>
        <w:rPr>
          <w:rFonts w:hint="eastAsia" w:ascii="仿宋" w:hAnsi="仿宋"/>
          <w:kern w:val="0"/>
        </w:rPr>
        <w:t>年末，永济市文旅局固定资产29,595,890.72元；现场抽查盘点发现</w:t>
      </w:r>
      <w:r>
        <w:rPr>
          <w:rFonts w:hint="eastAsia" w:ascii="仿宋"/>
          <w:kern w:val="0"/>
        </w:rPr>
        <w:t>2</w:t>
      </w:r>
      <w:r>
        <w:rPr>
          <w:rFonts w:hint="eastAsia" w:ascii="仿宋" w:hAnsi="仿宋"/>
          <w:kern w:val="0"/>
        </w:rPr>
        <w:t>项资产</w:t>
      </w:r>
      <w:r>
        <w:rPr>
          <w:rFonts w:hint="eastAsia" w:ascii="仿宋"/>
          <w:kern w:val="0"/>
        </w:rPr>
        <w:t>闲置</w:t>
      </w:r>
      <w:r>
        <w:rPr>
          <w:rFonts w:hint="eastAsia" w:ascii="仿宋" w:hAnsi="仿宋"/>
          <w:kern w:val="0"/>
        </w:rPr>
        <w:t>，账面价值</w:t>
      </w:r>
      <w:r>
        <w:rPr>
          <w:rFonts w:hint="eastAsia" w:ascii="仿宋"/>
          <w:kern w:val="0"/>
        </w:rPr>
        <w:t>为5,932.00</w:t>
      </w:r>
      <w:r>
        <w:rPr>
          <w:rFonts w:hint="eastAsia" w:ascii="仿宋" w:hAnsi="仿宋"/>
          <w:kern w:val="0"/>
        </w:rPr>
        <w:t>元，固定资产利用率=（实际在用固定资产总额/所有固定资产总额）×100%=（29,589,958.72/29,595,890.72元）×100%=9</w:t>
      </w:r>
      <w:r>
        <w:rPr>
          <w:rFonts w:hint="eastAsia" w:ascii="仿宋"/>
          <w:kern w:val="0"/>
        </w:rPr>
        <w:t>9</w:t>
      </w:r>
      <w:r>
        <w:rPr>
          <w:rFonts w:hint="eastAsia" w:ascii="仿宋" w:hAnsi="仿宋"/>
          <w:kern w:val="0"/>
        </w:rPr>
        <w:t>.</w:t>
      </w:r>
      <w:r>
        <w:rPr>
          <w:rFonts w:hint="eastAsia" w:ascii="仿宋"/>
          <w:kern w:val="0"/>
        </w:rPr>
        <w:t>98</w:t>
      </w:r>
      <w:r>
        <w:rPr>
          <w:rFonts w:hint="eastAsia" w:ascii="仿宋" w:hAnsi="仿宋"/>
          <w:kern w:val="0"/>
        </w:rPr>
        <w:t>%。依据评分标准，固定资产利用率≥90%，得3分，该指标分值3分，得分3分。</w:t>
      </w:r>
    </w:p>
    <w:p w14:paraId="2CA21DAA">
      <w:pPr>
        <w:widowControl w:val="0"/>
        <w:spacing w:line="560" w:lineRule="exact"/>
        <w:ind w:firstLine="562" w:firstLineChars="200"/>
        <w:outlineLvl w:val="3"/>
        <w:rPr>
          <w:b/>
          <w:highlight w:val="yellow"/>
        </w:rPr>
      </w:pPr>
      <w:r>
        <w:rPr>
          <w:rFonts w:hint="eastAsia"/>
          <w:b/>
        </w:rPr>
        <w:t>4.B4其他管理，权重4分，得分3.51分</w:t>
      </w:r>
    </w:p>
    <w:p w14:paraId="58472673">
      <w:pPr>
        <w:widowControl w:val="0"/>
        <w:spacing w:line="560" w:lineRule="exact"/>
        <w:ind w:firstLine="562" w:firstLineChars="200"/>
        <w:outlineLvl w:val="4"/>
        <w:rPr>
          <w:b/>
          <w:bCs/>
        </w:rPr>
      </w:pPr>
      <w:r>
        <w:rPr>
          <w:rFonts w:hint="eastAsia"/>
          <w:b/>
        </w:rPr>
        <w:t>（1）B4-1政府采购管理</w:t>
      </w:r>
    </w:p>
    <w:p w14:paraId="7714D3F0">
      <w:pPr>
        <w:widowControl w:val="0"/>
        <w:spacing w:afterLines="50" w:line="560" w:lineRule="exact"/>
        <w:ind w:firstLine="560" w:firstLineChars="200"/>
      </w:pPr>
      <w:r>
        <w:rPr>
          <w:rFonts w:hint="eastAsia"/>
        </w:rPr>
        <w:t>永济市文旅局2023年度按照合同支付进度应备案政府采购预算资金16,337,448.53元，完成政府采购15,940,298.53元，政府采购执行率97.57%，该指标分值2分，得分1.51分。具体情况见表4-2-5：</w:t>
      </w:r>
    </w:p>
    <w:p w14:paraId="6707060A">
      <w:pPr>
        <w:pStyle w:val="8"/>
        <w:snapToGrid/>
        <w:ind w:firstLine="562"/>
        <w:jc w:val="center"/>
        <w:rPr>
          <w:rFonts w:ascii="仿宋" w:hAnsi="仿宋"/>
          <w:b/>
          <w:bCs/>
        </w:rPr>
      </w:pPr>
      <w:r>
        <w:rPr>
          <w:rFonts w:hint="eastAsia" w:ascii="仿宋" w:hAnsi="仿宋"/>
          <w:b/>
          <w:bCs/>
        </w:rPr>
        <w:t>表4-2-5未执行政府采购统计表</w:t>
      </w:r>
    </w:p>
    <w:tbl>
      <w:tblPr>
        <w:tblStyle w:val="24"/>
        <w:tblW w:w="5052" w:type="pct"/>
        <w:jc w:val="center"/>
        <w:tblLayout w:type="fixed"/>
        <w:tblCellMar>
          <w:top w:w="0" w:type="dxa"/>
          <w:left w:w="108" w:type="dxa"/>
          <w:bottom w:w="0" w:type="dxa"/>
          <w:right w:w="108" w:type="dxa"/>
        </w:tblCellMar>
      </w:tblPr>
      <w:tblGrid>
        <w:gridCol w:w="634"/>
        <w:gridCol w:w="1035"/>
        <w:gridCol w:w="892"/>
        <w:gridCol w:w="1925"/>
        <w:gridCol w:w="1327"/>
        <w:gridCol w:w="1396"/>
        <w:gridCol w:w="1396"/>
      </w:tblGrid>
      <w:tr w14:paraId="245160A4">
        <w:tblPrEx>
          <w:tblCellMar>
            <w:top w:w="0" w:type="dxa"/>
            <w:left w:w="108" w:type="dxa"/>
            <w:bottom w:w="0" w:type="dxa"/>
            <w:right w:w="108" w:type="dxa"/>
          </w:tblCellMar>
        </w:tblPrEx>
        <w:trPr>
          <w:trHeight w:val="397" w:hRule="atLeast"/>
          <w:tblHeader/>
          <w:jc w:val="center"/>
        </w:trPr>
        <w:tc>
          <w:tcPr>
            <w:tcW w:w="36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BAE9646">
            <w:pPr>
              <w:spacing w:line="240" w:lineRule="exact"/>
              <w:jc w:val="center"/>
              <w:textAlignment w:val="center"/>
              <w:rPr>
                <w:rFonts w:ascii="Arial Narrow" w:hAnsi="Arial Narrow" w:cs="Arial Narrow"/>
                <w:b/>
                <w:bCs/>
                <w:color w:val="000000"/>
                <w:sz w:val="18"/>
                <w:szCs w:val="18"/>
              </w:rPr>
            </w:pPr>
            <w:r>
              <w:rPr>
                <w:rFonts w:ascii="Arial Narrow" w:hAnsi="Arial Narrow" w:cs="Arial Narrow"/>
                <w:b/>
                <w:bCs/>
                <w:color w:val="000000"/>
                <w:kern w:val="0"/>
                <w:sz w:val="18"/>
                <w:szCs w:val="18"/>
              </w:rPr>
              <w:t>序号</w:t>
            </w:r>
          </w:p>
        </w:tc>
        <w:tc>
          <w:tcPr>
            <w:tcW w:w="6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AD3925B">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部门</w:t>
            </w:r>
          </w:p>
        </w:tc>
        <w:tc>
          <w:tcPr>
            <w:tcW w:w="51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90F5750">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凭证号</w:t>
            </w:r>
          </w:p>
        </w:tc>
        <w:tc>
          <w:tcPr>
            <w:tcW w:w="11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FC05B05">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摘要</w:t>
            </w:r>
          </w:p>
        </w:tc>
        <w:tc>
          <w:tcPr>
            <w:tcW w:w="77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A5A9CB2">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金额</w:t>
            </w:r>
          </w:p>
        </w:tc>
        <w:tc>
          <w:tcPr>
            <w:tcW w:w="81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DED1B38">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供应商</w:t>
            </w:r>
          </w:p>
        </w:tc>
        <w:tc>
          <w:tcPr>
            <w:tcW w:w="81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67FDFC2">
            <w:pPr>
              <w:spacing w:line="240" w:lineRule="exact"/>
              <w:jc w:val="center"/>
              <w:textAlignment w:val="center"/>
              <w:rPr>
                <w:rFonts w:ascii="Arial Narrow" w:hAnsi="Arial Narrow" w:cs="Arial Narrow"/>
                <w:b/>
                <w:bCs/>
                <w:color w:val="000000"/>
                <w:sz w:val="18"/>
                <w:szCs w:val="18"/>
              </w:rPr>
            </w:pPr>
            <w:r>
              <w:rPr>
                <w:rFonts w:hint="eastAsia" w:ascii="Arial Narrow" w:hAnsi="Arial Narrow" w:cs="Arial Narrow"/>
                <w:b/>
                <w:bCs/>
                <w:color w:val="000000"/>
                <w:sz w:val="18"/>
                <w:szCs w:val="18"/>
              </w:rPr>
              <w:t>备注</w:t>
            </w:r>
          </w:p>
        </w:tc>
      </w:tr>
      <w:tr w14:paraId="7A77F6EE">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787B">
            <w:pPr>
              <w:jc w:val="center"/>
              <w:textAlignment w:val="center"/>
              <w:rPr>
                <w:color w:val="000000"/>
                <w:kern w:val="0"/>
                <w:sz w:val="18"/>
                <w:szCs w:val="18"/>
              </w:rPr>
            </w:pPr>
            <w:r>
              <w:rPr>
                <w:rFonts w:hint="eastAsia"/>
                <w:color w:val="000000"/>
                <w:kern w:val="0"/>
                <w:sz w:val="18"/>
                <w:szCs w:val="18"/>
              </w:rPr>
              <w:t>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C31E">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5FCE">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90E5">
            <w:pPr>
              <w:jc w:val="center"/>
              <w:textAlignment w:val="center"/>
              <w:rPr>
                <w:color w:val="000000"/>
                <w:sz w:val="18"/>
                <w:szCs w:val="18"/>
              </w:rPr>
            </w:pPr>
            <w:r>
              <w:rPr>
                <w:rFonts w:hint="eastAsia"/>
                <w:color w:val="000000"/>
                <w:kern w:val="0"/>
                <w:sz w:val="18"/>
                <w:szCs w:val="18"/>
              </w:rPr>
              <w:t>购买LED屏</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993E">
            <w:pPr>
              <w:jc w:val="right"/>
              <w:textAlignment w:val="center"/>
              <w:rPr>
                <w:color w:val="000000"/>
                <w:kern w:val="0"/>
                <w:sz w:val="18"/>
                <w:szCs w:val="18"/>
              </w:rPr>
            </w:pPr>
            <w:r>
              <w:rPr>
                <w:rFonts w:hint="eastAsia"/>
                <w:color w:val="000000"/>
                <w:kern w:val="0"/>
                <w:sz w:val="18"/>
                <w:szCs w:val="18"/>
              </w:rPr>
              <w:t>3,000.00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83BB">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1F3755B4">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06559414">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E60BC">
            <w:pPr>
              <w:jc w:val="center"/>
              <w:textAlignment w:val="center"/>
              <w:rPr>
                <w:color w:val="000000"/>
                <w:kern w:val="0"/>
                <w:sz w:val="18"/>
                <w:szCs w:val="18"/>
              </w:rPr>
            </w:pPr>
            <w:r>
              <w:rPr>
                <w:rFonts w:hint="eastAsia"/>
                <w:color w:val="000000"/>
                <w:kern w:val="0"/>
                <w:sz w:val="18"/>
                <w:szCs w:val="18"/>
              </w:rPr>
              <w:t>2</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66473">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8DDE7">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B215">
            <w:pPr>
              <w:jc w:val="center"/>
              <w:textAlignment w:val="center"/>
              <w:rPr>
                <w:color w:val="000000"/>
                <w:sz w:val="18"/>
                <w:szCs w:val="18"/>
              </w:rPr>
            </w:pPr>
            <w:r>
              <w:rPr>
                <w:rFonts w:hint="eastAsia"/>
                <w:color w:val="000000"/>
                <w:kern w:val="0"/>
                <w:sz w:val="18"/>
                <w:szCs w:val="18"/>
              </w:rPr>
              <w:t>购买蓄电池</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6090">
            <w:pPr>
              <w:jc w:val="right"/>
              <w:textAlignment w:val="center"/>
              <w:rPr>
                <w:color w:val="000000"/>
                <w:kern w:val="0"/>
                <w:sz w:val="18"/>
                <w:szCs w:val="18"/>
              </w:rPr>
            </w:pPr>
            <w:r>
              <w:rPr>
                <w:rFonts w:hint="eastAsia"/>
                <w:color w:val="000000"/>
                <w:kern w:val="0"/>
                <w:sz w:val="18"/>
                <w:szCs w:val="18"/>
              </w:rPr>
              <w:t>28,500.00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2887C">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0BFB2FCF">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36BA41D8">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7532">
            <w:pPr>
              <w:jc w:val="center"/>
              <w:textAlignment w:val="center"/>
              <w:rPr>
                <w:color w:val="000000"/>
                <w:kern w:val="0"/>
                <w:sz w:val="18"/>
                <w:szCs w:val="18"/>
              </w:rPr>
            </w:pPr>
            <w:r>
              <w:rPr>
                <w:rFonts w:hint="eastAsia"/>
                <w:color w:val="000000"/>
                <w:kern w:val="0"/>
                <w:sz w:val="18"/>
                <w:szCs w:val="18"/>
              </w:rPr>
              <w:t>3</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E4A0">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B976">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E377">
            <w:pPr>
              <w:jc w:val="center"/>
              <w:textAlignment w:val="center"/>
              <w:rPr>
                <w:color w:val="000000"/>
                <w:sz w:val="18"/>
                <w:szCs w:val="18"/>
              </w:rPr>
            </w:pPr>
            <w:r>
              <w:rPr>
                <w:rFonts w:hint="eastAsia"/>
                <w:color w:val="000000"/>
                <w:kern w:val="0"/>
                <w:sz w:val="18"/>
                <w:szCs w:val="18"/>
              </w:rPr>
              <w:t>购买地中柜</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EFB9">
            <w:pPr>
              <w:jc w:val="right"/>
              <w:textAlignment w:val="center"/>
              <w:rPr>
                <w:color w:val="000000"/>
                <w:kern w:val="0"/>
                <w:sz w:val="18"/>
                <w:szCs w:val="18"/>
              </w:rPr>
            </w:pPr>
            <w:r>
              <w:rPr>
                <w:rFonts w:hint="eastAsia"/>
                <w:color w:val="000000"/>
                <w:kern w:val="0"/>
                <w:sz w:val="18"/>
                <w:szCs w:val="18"/>
              </w:rPr>
              <w:t>13,000.00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A794">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4C7CECE8">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3E4DFD86">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8EE0">
            <w:pPr>
              <w:jc w:val="center"/>
              <w:textAlignment w:val="center"/>
              <w:rPr>
                <w:color w:val="000000"/>
                <w:kern w:val="0"/>
                <w:sz w:val="18"/>
                <w:szCs w:val="18"/>
              </w:rPr>
            </w:pPr>
            <w:r>
              <w:rPr>
                <w:rFonts w:hint="eastAsia"/>
                <w:color w:val="000000"/>
                <w:kern w:val="0"/>
                <w:sz w:val="18"/>
                <w:szCs w:val="18"/>
              </w:rPr>
              <w:t>4</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4F3C">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5683">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B04E">
            <w:pPr>
              <w:jc w:val="center"/>
              <w:textAlignment w:val="center"/>
              <w:rPr>
                <w:color w:val="000000"/>
                <w:sz w:val="18"/>
                <w:szCs w:val="18"/>
              </w:rPr>
            </w:pPr>
            <w:r>
              <w:rPr>
                <w:rFonts w:hint="eastAsia"/>
                <w:color w:val="000000"/>
                <w:kern w:val="0"/>
                <w:sz w:val="18"/>
                <w:szCs w:val="18"/>
              </w:rPr>
              <w:t>购买俯视柜</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BDEF">
            <w:pPr>
              <w:jc w:val="right"/>
              <w:textAlignment w:val="center"/>
              <w:rPr>
                <w:color w:val="000000"/>
                <w:kern w:val="0"/>
                <w:sz w:val="18"/>
                <w:szCs w:val="18"/>
              </w:rPr>
            </w:pPr>
            <w:r>
              <w:rPr>
                <w:rFonts w:hint="eastAsia"/>
                <w:color w:val="000000"/>
                <w:kern w:val="0"/>
                <w:sz w:val="18"/>
                <w:szCs w:val="18"/>
              </w:rPr>
              <w:t>42,000.00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026A">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1A2C921B">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64053B28">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5D7A">
            <w:pPr>
              <w:jc w:val="center"/>
              <w:textAlignment w:val="center"/>
              <w:rPr>
                <w:color w:val="000000"/>
                <w:kern w:val="0"/>
                <w:sz w:val="18"/>
                <w:szCs w:val="18"/>
              </w:rPr>
            </w:pPr>
            <w:r>
              <w:rPr>
                <w:rFonts w:hint="eastAsia"/>
                <w:color w:val="000000"/>
                <w:kern w:val="0"/>
                <w:sz w:val="18"/>
                <w:szCs w:val="18"/>
              </w:rPr>
              <w:t>5</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408D">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35CF">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96E80">
            <w:pPr>
              <w:jc w:val="center"/>
              <w:textAlignment w:val="center"/>
              <w:rPr>
                <w:color w:val="000000"/>
                <w:sz w:val="18"/>
                <w:szCs w:val="18"/>
              </w:rPr>
            </w:pPr>
            <w:r>
              <w:rPr>
                <w:rFonts w:hint="eastAsia"/>
                <w:color w:val="000000"/>
                <w:kern w:val="0"/>
                <w:sz w:val="18"/>
                <w:szCs w:val="18"/>
              </w:rPr>
              <w:t>购买展柜</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6DE6">
            <w:pPr>
              <w:jc w:val="right"/>
              <w:textAlignment w:val="center"/>
              <w:rPr>
                <w:color w:val="000000"/>
                <w:kern w:val="0"/>
                <w:sz w:val="18"/>
                <w:szCs w:val="18"/>
              </w:rPr>
            </w:pPr>
            <w:r>
              <w:rPr>
                <w:rFonts w:hint="eastAsia"/>
                <w:color w:val="000000"/>
                <w:kern w:val="0"/>
                <w:sz w:val="18"/>
                <w:szCs w:val="18"/>
              </w:rPr>
              <w:t>42,000.00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380A">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37DDD06D">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6BB4C7CA">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B83F">
            <w:pPr>
              <w:jc w:val="center"/>
              <w:textAlignment w:val="center"/>
              <w:rPr>
                <w:color w:val="000000"/>
                <w:kern w:val="0"/>
                <w:sz w:val="18"/>
                <w:szCs w:val="18"/>
              </w:rPr>
            </w:pPr>
            <w:r>
              <w:rPr>
                <w:rFonts w:hint="eastAsia"/>
                <w:color w:val="000000"/>
                <w:kern w:val="0"/>
                <w:sz w:val="18"/>
                <w:szCs w:val="18"/>
              </w:rPr>
              <w:t>6</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B72E">
            <w:pPr>
              <w:jc w:val="center"/>
              <w:textAlignment w:val="center"/>
              <w:rPr>
                <w:color w:val="000000"/>
                <w:sz w:val="18"/>
                <w:szCs w:val="18"/>
              </w:rPr>
            </w:pPr>
            <w:r>
              <w:rPr>
                <w:rFonts w:hint="eastAsia"/>
                <w:color w:val="000000"/>
                <w:kern w:val="0"/>
                <w:sz w:val="18"/>
                <w:szCs w:val="18"/>
              </w:rPr>
              <w:t>博物馆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80EA">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60C1">
            <w:pPr>
              <w:jc w:val="center"/>
              <w:textAlignment w:val="center"/>
              <w:rPr>
                <w:color w:val="000000"/>
                <w:sz w:val="18"/>
                <w:szCs w:val="18"/>
              </w:rPr>
            </w:pPr>
            <w:r>
              <w:rPr>
                <w:rFonts w:hint="eastAsia"/>
                <w:color w:val="000000"/>
                <w:kern w:val="0"/>
                <w:sz w:val="18"/>
                <w:szCs w:val="18"/>
              </w:rPr>
              <w:t>购买展柜</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15D7">
            <w:pPr>
              <w:jc w:val="right"/>
              <w:textAlignment w:val="center"/>
              <w:rPr>
                <w:color w:val="000000"/>
                <w:kern w:val="0"/>
                <w:sz w:val="18"/>
                <w:szCs w:val="18"/>
              </w:rPr>
            </w:pPr>
            <w:r>
              <w:rPr>
                <w:rFonts w:hint="eastAsia"/>
                <w:color w:val="000000"/>
                <w:kern w:val="0"/>
                <w:sz w:val="18"/>
                <w:szCs w:val="18"/>
              </w:rPr>
              <w:t>13,000.00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C205">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53B6A782">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13D733E8">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0395">
            <w:pPr>
              <w:jc w:val="center"/>
              <w:textAlignment w:val="center"/>
              <w:rPr>
                <w:color w:val="000000"/>
                <w:kern w:val="0"/>
                <w:sz w:val="18"/>
                <w:szCs w:val="18"/>
              </w:rPr>
            </w:pPr>
            <w:r>
              <w:rPr>
                <w:rFonts w:hint="eastAsia"/>
                <w:color w:val="000000"/>
                <w:kern w:val="0"/>
                <w:sz w:val="18"/>
                <w:szCs w:val="18"/>
              </w:rPr>
              <w:t>7</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00C8">
            <w:pPr>
              <w:jc w:val="center"/>
              <w:textAlignment w:val="center"/>
              <w:rPr>
                <w:color w:val="000000"/>
                <w:sz w:val="18"/>
                <w:szCs w:val="18"/>
              </w:rPr>
            </w:pPr>
            <w:r>
              <w:rPr>
                <w:rFonts w:hint="eastAsia"/>
                <w:color w:val="000000"/>
                <w:kern w:val="0"/>
                <w:sz w:val="18"/>
                <w:szCs w:val="18"/>
              </w:rPr>
              <w:t>图书馆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BFDB">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E282">
            <w:pPr>
              <w:jc w:val="center"/>
              <w:textAlignment w:val="center"/>
              <w:rPr>
                <w:color w:val="000000"/>
                <w:sz w:val="18"/>
                <w:szCs w:val="18"/>
              </w:rPr>
            </w:pPr>
            <w:r>
              <w:rPr>
                <w:rFonts w:hint="eastAsia"/>
                <w:color w:val="000000"/>
                <w:kern w:val="0"/>
                <w:sz w:val="18"/>
                <w:szCs w:val="18"/>
              </w:rPr>
              <w:t>购买图书</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146E">
            <w:pPr>
              <w:jc w:val="right"/>
              <w:textAlignment w:val="center"/>
              <w:rPr>
                <w:color w:val="000000"/>
                <w:kern w:val="0"/>
                <w:sz w:val="18"/>
                <w:szCs w:val="18"/>
              </w:rPr>
            </w:pPr>
            <w:r>
              <w:rPr>
                <w:rFonts w:hint="eastAsia"/>
                <w:color w:val="000000"/>
                <w:kern w:val="0"/>
                <w:sz w:val="18"/>
                <w:szCs w:val="18"/>
              </w:rPr>
              <w:t>250,000.00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9A1B">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7C5E8020">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2FFE3F18">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0EE2">
            <w:pPr>
              <w:jc w:val="center"/>
              <w:textAlignment w:val="center"/>
              <w:rPr>
                <w:color w:val="000000"/>
                <w:kern w:val="0"/>
                <w:sz w:val="18"/>
                <w:szCs w:val="18"/>
              </w:rPr>
            </w:pPr>
            <w:r>
              <w:rPr>
                <w:rFonts w:hint="eastAsia"/>
                <w:color w:val="000000"/>
                <w:kern w:val="0"/>
                <w:sz w:val="18"/>
                <w:szCs w:val="18"/>
              </w:rPr>
              <w:t>8</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EF36">
            <w:pPr>
              <w:jc w:val="center"/>
              <w:textAlignment w:val="center"/>
              <w:rPr>
                <w:color w:val="000000"/>
                <w:sz w:val="18"/>
                <w:szCs w:val="18"/>
              </w:rPr>
            </w:pPr>
            <w:r>
              <w:rPr>
                <w:rFonts w:hint="eastAsia"/>
                <w:color w:val="000000"/>
                <w:kern w:val="0"/>
                <w:sz w:val="18"/>
                <w:szCs w:val="18"/>
              </w:rPr>
              <w:t>图书馆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B289">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3A8A">
            <w:pPr>
              <w:jc w:val="center"/>
              <w:textAlignment w:val="center"/>
              <w:rPr>
                <w:color w:val="000000"/>
                <w:sz w:val="18"/>
                <w:szCs w:val="18"/>
              </w:rPr>
            </w:pPr>
            <w:r>
              <w:rPr>
                <w:rFonts w:hint="eastAsia"/>
                <w:color w:val="000000"/>
                <w:kern w:val="0"/>
                <w:sz w:val="18"/>
                <w:szCs w:val="18"/>
              </w:rPr>
              <w:t>购买图书</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C795">
            <w:pPr>
              <w:jc w:val="right"/>
              <w:textAlignment w:val="center"/>
              <w:rPr>
                <w:color w:val="000000"/>
                <w:kern w:val="0"/>
                <w:sz w:val="18"/>
                <w:szCs w:val="18"/>
              </w:rPr>
            </w:pPr>
            <w:r>
              <w:rPr>
                <w:rFonts w:hint="eastAsia"/>
                <w:color w:val="000000"/>
                <w:kern w:val="0"/>
                <w:sz w:val="18"/>
                <w:szCs w:val="18"/>
              </w:rPr>
              <w:t>220,000.00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CFB3">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5E75C22F">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34CB2F25">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306E">
            <w:pPr>
              <w:jc w:val="center"/>
              <w:textAlignment w:val="center"/>
              <w:rPr>
                <w:color w:val="000000"/>
                <w:kern w:val="0"/>
                <w:sz w:val="18"/>
                <w:szCs w:val="18"/>
              </w:rPr>
            </w:pPr>
            <w:r>
              <w:rPr>
                <w:rFonts w:hint="eastAsia"/>
                <w:color w:val="000000"/>
                <w:kern w:val="0"/>
                <w:sz w:val="18"/>
                <w:szCs w:val="18"/>
              </w:rPr>
              <w:t>9</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3714">
            <w:pPr>
              <w:jc w:val="center"/>
              <w:textAlignment w:val="center"/>
              <w:rPr>
                <w:color w:val="000000"/>
                <w:sz w:val="18"/>
                <w:szCs w:val="18"/>
              </w:rPr>
            </w:pPr>
            <w:r>
              <w:rPr>
                <w:rFonts w:hint="eastAsia"/>
                <w:color w:val="000000"/>
                <w:kern w:val="0"/>
                <w:sz w:val="18"/>
                <w:szCs w:val="18"/>
              </w:rPr>
              <w:t>文保中心</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7D51">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B5DC">
            <w:pPr>
              <w:jc w:val="center"/>
              <w:textAlignment w:val="center"/>
              <w:rPr>
                <w:color w:val="000000"/>
                <w:sz w:val="18"/>
                <w:szCs w:val="18"/>
              </w:rPr>
            </w:pPr>
            <w:r>
              <w:rPr>
                <w:rFonts w:hint="eastAsia"/>
                <w:color w:val="000000"/>
                <w:kern w:val="0"/>
                <w:sz w:val="18"/>
                <w:szCs w:val="18"/>
              </w:rPr>
              <w:t>付南梯娘娘庙保护修缮工程尾款</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BE32">
            <w:pPr>
              <w:jc w:val="right"/>
              <w:textAlignment w:val="center"/>
              <w:rPr>
                <w:color w:val="000000"/>
                <w:kern w:val="0"/>
                <w:sz w:val="18"/>
                <w:szCs w:val="18"/>
              </w:rPr>
            </w:pPr>
            <w:r>
              <w:rPr>
                <w:rFonts w:hint="eastAsia"/>
                <w:color w:val="000000"/>
                <w:kern w:val="0"/>
                <w:sz w:val="18"/>
                <w:szCs w:val="18"/>
              </w:rPr>
              <w:t>88,093.23</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8EF4">
            <w:pPr>
              <w:jc w:val="center"/>
              <w:textAlignment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33569EEE">
            <w:pPr>
              <w:jc w:val="center"/>
              <w:textAlignment w:val="center"/>
              <w:rPr>
                <w:rFonts w:ascii="Arial Narrow" w:hAnsi="Arial Narrow" w:cs="Arial Narrow"/>
                <w:color w:val="000000"/>
                <w:sz w:val="18"/>
                <w:szCs w:val="18"/>
              </w:rPr>
            </w:pPr>
            <w:r>
              <w:rPr>
                <w:rFonts w:hint="eastAsia"/>
                <w:color w:val="000000"/>
                <w:kern w:val="0"/>
                <w:sz w:val="18"/>
                <w:szCs w:val="18"/>
              </w:rPr>
              <w:t>已执行未备案</w:t>
            </w:r>
          </w:p>
        </w:tc>
      </w:tr>
      <w:tr w14:paraId="4E0CCF09">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0477">
            <w:pPr>
              <w:jc w:val="center"/>
              <w:textAlignment w:val="center"/>
              <w:rPr>
                <w:b/>
                <w:bCs/>
                <w:color w:val="000000"/>
                <w:kern w:val="0"/>
                <w:sz w:val="18"/>
                <w:szCs w:val="18"/>
              </w:rPr>
            </w:pPr>
            <w:r>
              <w:rPr>
                <w:rFonts w:hint="eastAsia"/>
                <w:b/>
                <w:bCs/>
                <w:color w:val="000000"/>
                <w:kern w:val="0"/>
                <w:sz w:val="18"/>
                <w:szCs w:val="18"/>
              </w:rPr>
              <w:t>10</w:t>
            </w:r>
          </w:p>
        </w:tc>
        <w:tc>
          <w:tcPr>
            <w:tcW w:w="22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6A88">
            <w:pPr>
              <w:jc w:val="center"/>
              <w:rPr>
                <w:b/>
                <w:bCs/>
                <w:color w:val="000000"/>
                <w:sz w:val="18"/>
                <w:szCs w:val="18"/>
              </w:rPr>
            </w:pPr>
            <w:r>
              <w:rPr>
                <w:rFonts w:hint="eastAsia"/>
                <w:b/>
                <w:bCs/>
                <w:color w:val="000000"/>
                <w:kern w:val="0"/>
                <w:sz w:val="18"/>
                <w:szCs w:val="18"/>
              </w:rPr>
              <w:t>小计</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7979">
            <w:pPr>
              <w:jc w:val="right"/>
              <w:textAlignment w:val="center"/>
              <w:rPr>
                <w:b/>
                <w:bCs/>
                <w:color w:val="000000"/>
                <w:kern w:val="0"/>
                <w:sz w:val="18"/>
                <w:szCs w:val="18"/>
              </w:rPr>
            </w:pPr>
            <w:r>
              <w:rPr>
                <w:rFonts w:hint="eastAsia"/>
                <w:b/>
                <w:bCs/>
                <w:color w:val="000000"/>
                <w:kern w:val="0"/>
                <w:sz w:val="18"/>
                <w:szCs w:val="18"/>
              </w:rPr>
              <w:t>699,593.23</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C832">
            <w:pPr>
              <w:jc w:val="center"/>
              <w:rPr>
                <w:b/>
                <w:bCs/>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3B78BEB1">
            <w:pPr>
              <w:jc w:val="center"/>
              <w:rPr>
                <w:rFonts w:ascii="Arial Narrow" w:hAnsi="Arial Narrow" w:cs="Arial Narrow"/>
                <w:b/>
                <w:bCs/>
                <w:color w:val="000000"/>
                <w:sz w:val="18"/>
                <w:szCs w:val="18"/>
              </w:rPr>
            </w:pPr>
          </w:p>
        </w:tc>
      </w:tr>
      <w:tr w14:paraId="00B960B5">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194D">
            <w:pPr>
              <w:jc w:val="center"/>
              <w:textAlignment w:val="center"/>
              <w:rPr>
                <w:color w:val="000000"/>
                <w:kern w:val="0"/>
                <w:sz w:val="18"/>
                <w:szCs w:val="18"/>
              </w:rPr>
            </w:pPr>
            <w:r>
              <w:rPr>
                <w:rFonts w:hint="eastAsia"/>
                <w:color w:val="000000"/>
                <w:kern w:val="0"/>
                <w:sz w:val="18"/>
                <w:szCs w:val="18"/>
              </w:rPr>
              <w:t>11</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EEBA">
            <w:pPr>
              <w:jc w:val="center"/>
              <w:textAlignment w:val="center"/>
              <w:rPr>
                <w:color w:val="000000"/>
                <w:sz w:val="18"/>
                <w:szCs w:val="18"/>
              </w:rPr>
            </w:pPr>
            <w:r>
              <w:rPr>
                <w:rFonts w:hint="eastAsia"/>
                <w:color w:val="000000"/>
                <w:kern w:val="0"/>
                <w:sz w:val="18"/>
                <w:szCs w:val="18"/>
              </w:rPr>
              <w:t>文保中心</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F442">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082CC">
            <w:pPr>
              <w:jc w:val="center"/>
              <w:rPr>
                <w:color w:val="000000"/>
                <w:sz w:val="18"/>
                <w:szCs w:val="18"/>
              </w:rPr>
            </w:pP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29A7">
            <w:pPr>
              <w:jc w:val="right"/>
              <w:textAlignment w:val="center"/>
              <w:rPr>
                <w:color w:val="000000"/>
                <w:kern w:val="0"/>
                <w:sz w:val="18"/>
                <w:szCs w:val="18"/>
              </w:rPr>
            </w:pPr>
            <w:r>
              <w:rPr>
                <w:rFonts w:hint="eastAsia"/>
                <w:color w:val="000000"/>
                <w:kern w:val="0"/>
                <w:sz w:val="18"/>
                <w:szCs w:val="18"/>
              </w:rPr>
              <w:t>355,000.00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E0AF">
            <w:pPr>
              <w:jc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30F94A1F">
            <w:pPr>
              <w:jc w:val="center"/>
              <w:textAlignment w:val="center"/>
              <w:rPr>
                <w:rFonts w:ascii="Arial Narrow" w:hAnsi="Arial Narrow" w:cs="Arial Narrow"/>
                <w:color w:val="000000"/>
                <w:sz w:val="18"/>
                <w:szCs w:val="18"/>
              </w:rPr>
            </w:pPr>
            <w:r>
              <w:rPr>
                <w:rFonts w:hint="eastAsia"/>
                <w:color w:val="000000"/>
                <w:kern w:val="0"/>
                <w:sz w:val="18"/>
                <w:szCs w:val="18"/>
              </w:rPr>
              <w:t>已备案未执行</w:t>
            </w:r>
          </w:p>
        </w:tc>
      </w:tr>
      <w:tr w14:paraId="20CBF980">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D263">
            <w:pPr>
              <w:jc w:val="center"/>
              <w:textAlignment w:val="center"/>
              <w:rPr>
                <w:color w:val="000000"/>
                <w:kern w:val="0"/>
                <w:sz w:val="18"/>
                <w:szCs w:val="18"/>
              </w:rPr>
            </w:pPr>
            <w:r>
              <w:rPr>
                <w:rFonts w:hint="eastAsia"/>
                <w:color w:val="000000"/>
                <w:kern w:val="0"/>
                <w:sz w:val="18"/>
                <w:szCs w:val="18"/>
              </w:rPr>
              <w:t>12</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4363">
            <w:pPr>
              <w:jc w:val="center"/>
              <w:textAlignment w:val="center"/>
              <w:rPr>
                <w:color w:val="000000"/>
                <w:sz w:val="18"/>
                <w:szCs w:val="18"/>
              </w:rPr>
            </w:pPr>
            <w:r>
              <w:rPr>
                <w:rFonts w:hint="eastAsia"/>
                <w:color w:val="000000"/>
                <w:kern w:val="0"/>
                <w:sz w:val="18"/>
                <w:szCs w:val="18"/>
              </w:rPr>
              <w:t>文保中心</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3A50">
            <w:pPr>
              <w:jc w:val="center"/>
              <w:rPr>
                <w:color w:val="000000"/>
                <w:sz w:val="18"/>
                <w:szCs w:val="18"/>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388E">
            <w:pPr>
              <w:jc w:val="center"/>
              <w:rPr>
                <w:color w:val="000000"/>
                <w:sz w:val="18"/>
                <w:szCs w:val="18"/>
              </w:rPr>
            </w:pP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3129A">
            <w:pPr>
              <w:jc w:val="right"/>
              <w:textAlignment w:val="center"/>
              <w:rPr>
                <w:color w:val="000000"/>
                <w:kern w:val="0"/>
                <w:sz w:val="18"/>
                <w:szCs w:val="18"/>
              </w:rPr>
            </w:pPr>
            <w:r>
              <w:rPr>
                <w:rFonts w:hint="eastAsia"/>
                <w:color w:val="000000"/>
                <w:kern w:val="0"/>
                <w:sz w:val="18"/>
                <w:szCs w:val="18"/>
              </w:rPr>
              <w:t>29,000.00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11C37">
            <w:pPr>
              <w:jc w:val="center"/>
              <w:rPr>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4C51154C">
            <w:pPr>
              <w:jc w:val="center"/>
              <w:textAlignment w:val="center"/>
              <w:rPr>
                <w:rFonts w:ascii="Arial Narrow" w:hAnsi="Arial Narrow" w:cs="Arial Narrow"/>
                <w:color w:val="000000"/>
                <w:sz w:val="18"/>
                <w:szCs w:val="18"/>
              </w:rPr>
            </w:pPr>
            <w:r>
              <w:rPr>
                <w:rFonts w:hint="eastAsia"/>
                <w:color w:val="000000"/>
                <w:kern w:val="0"/>
                <w:sz w:val="18"/>
                <w:szCs w:val="18"/>
              </w:rPr>
              <w:t>已备案未执行</w:t>
            </w:r>
          </w:p>
        </w:tc>
      </w:tr>
      <w:tr w14:paraId="5E5279B2">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7E3C">
            <w:pPr>
              <w:jc w:val="center"/>
              <w:textAlignment w:val="center"/>
              <w:rPr>
                <w:b/>
                <w:bCs/>
                <w:color w:val="000000"/>
                <w:sz w:val="18"/>
                <w:szCs w:val="18"/>
              </w:rPr>
            </w:pPr>
            <w:r>
              <w:rPr>
                <w:rFonts w:hint="eastAsia"/>
                <w:b/>
                <w:bCs/>
                <w:color w:val="000000"/>
                <w:kern w:val="0"/>
                <w:sz w:val="18"/>
                <w:szCs w:val="18"/>
              </w:rPr>
              <w:t>13</w:t>
            </w:r>
          </w:p>
        </w:tc>
        <w:tc>
          <w:tcPr>
            <w:tcW w:w="22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0F7AB">
            <w:pPr>
              <w:jc w:val="center"/>
              <w:rPr>
                <w:b/>
                <w:bCs/>
                <w:color w:val="000000"/>
                <w:sz w:val="18"/>
                <w:szCs w:val="18"/>
              </w:rPr>
            </w:pPr>
            <w:r>
              <w:rPr>
                <w:rFonts w:hint="eastAsia"/>
                <w:b/>
                <w:bCs/>
                <w:color w:val="000000"/>
                <w:kern w:val="0"/>
                <w:sz w:val="18"/>
                <w:szCs w:val="18"/>
              </w:rPr>
              <w:t>小计</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5B9B">
            <w:pPr>
              <w:jc w:val="right"/>
              <w:textAlignment w:val="center"/>
              <w:rPr>
                <w:b/>
                <w:bCs/>
                <w:color w:val="000000"/>
                <w:sz w:val="18"/>
                <w:szCs w:val="18"/>
              </w:rPr>
            </w:pPr>
            <w:r>
              <w:rPr>
                <w:rFonts w:hint="eastAsia"/>
                <w:b/>
                <w:bCs/>
                <w:color w:val="000000"/>
                <w:kern w:val="0"/>
                <w:sz w:val="18"/>
                <w:szCs w:val="18"/>
              </w:rPr>
              <w:t>384,000.00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7869">
            <w:pPr>
              <w:jc w:val="right"/>
              <w:rPr>
                <w:b/>
                <w:bCs/>
                <w:color w:val="000000"/>
                <w:sz w:val="18"/>
                <w:szCs w:val="18"/>
              </w:rPr>
            </w:pPr>
          </w:p>
        </w:tc>
        <w:tc>
          <w:tcPr>
            <w:tcW w:w="811" w:type="pct"/>
            <w:tcBorders>
              <w:top w:val="single" w:color="000000" w:sz="4" w:space="0"/>
              <w:left w:val="single" w:color="000000" w:sz="4" w:space="0"/>
              <w:right w:val="single" w:color="000000" w:sz="4" w:space="0"/>
            </w:tcBorders>
            <w:shd w:val="clear" w:color="auto" w:fill="auto"/>
            <w:noWrap/>
            <w:vAlign w:val="center"/>
          </w:tcPr>
          <w:p w14:paraId="0FF9A07A">
            <w:pPr>
              <w:jc w:val="left"/>
              <w:rPr>
                <w:rFonts w:ascii="Arial Narrow" w:hAnsi="Arial Narrow" w:cs="Arial Narrow"/>
                <w:b/>
                <w:bCs/>
                <w:color w:val="000000"/>
                <w:sz w:val="18"/>
                <w:szCs w:val="18"/>
              </w:rPr>
            </w:pPr>
          </w:p>
        </w:tc>
      </w:tr>
      <w:tr w14:paraId="3A17F03B">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5209">
            <w:pPr>
              <w:jc w:val="center"/>
              <w:textAlignment w:val="center"/>
              <w:rPr>
                <w:color w:val="000000"/>
                <w:sz w:val="18"/>
                <w:szCs w:val="18"/>
              </w:rPr>
            </w:pPr>
            <w:r>
              <w:rPr>
                <w:rFonts w:hint="eastAsia"/>
                <w:color w:val="000000"/>
                <w:kern w:val="0"/>
                <w:sz w:val="18"/>
                <w:szCs w:val="18"/>
              </w:rPr>
              <w:t>14</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0D83">
            <w:pPr>
              <w:jc w:val="left"/>
              <w:textAlignment w:val="center"/>
              <w:rPr>
                <w:color w:val="000000"/>
                <w:sz w:val="18"/>
                <w:szCs w:val="18"/>
              </w:rPr>
            </w:pPr>
            <w:r>
              <w:rPr>
                <w:rFonts w:hint="eastAsia"/>
                <w:color w:val="000000"/>
                <w:kern w:val="0"/>
                <w:sz w:val="18"/>
                <w:szCs w:val="18"/>
              </w:rPr>
              <w:t>图书馆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DFCF">
            <w:pPr>
              <w:jc w:val="center"/>
              <w:textAlignment w:val="center"/>
              <w:rPr>
                <w:color w:val="000000"/>
                <w:sz w:val="18"/>
                <w:szCs w:val="18"/>
              </w:rPr>
            </w:pPr>
            <w:r>
              <w:rPr>
                <w:rFonts w:hint="eastAsia"/>
                <w:color w:val="000000"/>
                <w:kern w:val="0"/>
                <w:sz w:val="18"/>
                <w:szCs w:val="18"/>
              </w:rPr>
              <w:t>12月22#</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32DA">
            <w:pPr>
              <w:jc w:val="left"/>
              <w:textAlignment w:val="center"/>
              <w:rPr>
                <w:color w:val="000000"/>
                <w:sz w:val="18"/>
                <w:szCs w:val="18"/>
              </w:rPr>
            </w:pPr>
            <w:r>
              <w:rPr>
                <w:rFonts w:hint="eastAsia"/>
                <w:color w:val="000000"/>
                <w:kern w:val="0"/>
                <w:sz w:val="18"/>
                <w:szCs w:val="18"/>
              </w:rPr>
              <w:t>免费开放活动资料彩印装订费</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75B8">
            <w:pPr>
              <w:jc w:val="right"/>
              <w:textAlignment w:val="center"/>
              <w:rPr>
                <w:color w:val="000000"/>
                <w:sz w:val="18"/>
                <w:szCs w:val="18"/>
              </w:rPr>
            </w:pPr>
            <w:r>
              <w:rPr>
                <w:rFonts w:hint="eastAsia"/>
                <w:color w:val="000000"/>
                <w:kern w:val="0"/>
                <w:sz w:val="18"/>
                <w:szCs w:val="18"/>
              </w:rPr>
              <w:t>1,090.00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6ED6D">
            <w:pPr>
              <w:jc w:val="right"/>
              <w:textAlignment w:val="center"/>
              <w:rPr>
                <w:color w:val="000000"/>
                <w:sz w:val="18"/>
                <w:szCs w:val="18"/>
              </w:rPr>
            </w:pPr>
            <w:r>
              <w:rPr>
                <w:rFonts w:hint="eastAsia"/>
                <w:color w:val="000000"/>
                <w:kern w:val="0"/>
                <w:sz w:val="18"/>
                <w:szCs w:val="18"/>
              </w:rPr>
              <w:t>永济市佳澜图文广告有限公司</w:t>
            </w:r>
          </w:p>
        </w:tc>
        <w:tc>
          <w:tcPr>
            <w:tcW w:w="811" w:type="pct"/>
            <w:vMerge w:val="restart"/>
            <w:tcBorders>
              <w:left w:val="single" w:color="000000" w:sz="4" w:space="0"/>
              <w:right w:val="single" w:color="000000" w:sz="4" w:space="0"/>
            </w:tcBorders>
            <w:shd w:val="clear" w:color="auto" w:fill="auto"/>
            <w:noWrap/>
            <w:vAlign w:val="center"/>
          </w:tcPr>
          <w:p w14:paraId="3987C2C8">
            <w:pPr>
              <w:jc w:val="left"/>
              <w:textAlignment w:val="center"/>
              <w:rPr>
                <w:rFonts w:ascii="Arial Narrow" w:hAnsi="Arial Narrow" w:cs="Arial Narrow"/>
                <w:color w:val="000000"/>
                <w:sz w:val="18"/>
                <w:szCs w:val="18"/>
              </w:rPr>
            </w:pPr>
            <w:r>
              <w:rPr>
                <w:rFonts w:hint="eastAsia"/>
                <w:b/>
                <w:bCs/>
                <w:color w:val="000000"/>
                <w:kern w:val="0"/>
                <w:sz w:val="18"/>
                <w:szCs w:val="18"/>
              </w:rPr>
              <w:t>未备案未执行</w:t>
            </w:r>
            <w:r>
              <w:rPr>
                <w:rFonts w:hint="eastAsia"/>
                <w:color w:val="000000"/>
                <w:kern w:val="0"/>
                <w:sz w:val="18"/>
                <w:szCs w:val="18"/>
              </w:rPr>
              <w:t>，据山西省财政厅关于印发《</w:t>
            </w:r>
            <w:r>
              <w:rPr>
                <w:rFonts w:ascii="Arial Narrow" w:hAnsi="Arial Narrow" w:eastAsia="Arial Narrow" w:cs="Arial Narrow"/>
                <w:color w:val="000000"/>
                <w:kern w:val="0"/>
                <w:sz w:val="18"/>
                <w:szCs w:val="18"/>
              </w:rPr>
              <w:t>2022-2023</w:t>
            </w:r>
            <w:r>
              <w:rPr>
                <w:rFonts w:hint="eastAsia"/>
                <w:color w:val="000000"/>
                <w:kern w:val="0"/>
                <w:sz w:val="18"/>
                <w:szCs w:val="18"/>
              </w:rPr>
              <w:t>年集中采购目录及采购限额标准的通知》（晋财购</w:t>
            </w:r>
            <w:r>
              <w:rPr>
                <w:rFonts w:ascii="Arial Narrow" w:hAnsi="Arial Narrow" w:eastAsia="Arial Narrow" w:cs="Arial Narrow"/>
                <w:color w:val="000000"/>
                <w:kern w:val="0"/>
                <w:sz w:val="18"/>
                <w:szCs w:val="18"/>
              </w:rPr>
              <w:t>[2022]3</w:t>
            </w:r>
            <w:r>
              <w:rPr>
                <w:rFonts w:hint="eastAsia"/>
                <w:color w:val="000000"/>
                <w:kern w:val="0"/>
                <w:sz w:val="18"/>
                <w:szCs w:val="18"/>
              </w:rPr>
              <w:t>号）文件，该项服务属于</w:t>
            </w:r>
            <w:r>
              <w:rPr>
                <w:rFonts w:ascii="Arial Narrow" w:hAnsi="Arial Narrow" w:eastAsia="Arial Narrow" w:cs="Arial Narrow"/>
                <w:color w:val="000000"/>
                <w:kern w:val="0"/>
                <w:sz w:val="18"/>
                <w:szCs w:val="18"/>
              </w:rPr>
              <w:t>”C</w:t>
            </w:r>
            <w:r>
              <w:rPr>
                <w:rFonts w:hint="eastAsia"/>
                <w:color w:val="000000"/>
                <w:kern w:val="0"/>
                <w:sz w:val="18"/>
                <w:szCs w:val="18"/>
              </w:rPr>
              <w:t>服务</w:t>
            </w:r>
            <w:r>
              <w:rPr>
                <w:rFonts w:ascii="Arial Narrow" w:hAnsi="Arial Narrow" w:eastAsia="Arial Narrow" w:cs="Arial Narrow"/>
                <w:color w:val="000000"/>
                <w:kern w:val="0"/>
                <w:sz w:val="18"/>
                <w:szCs w:val="18"/>
              </w:rPr>
              <w:t>—C0081401</w:t>
            </w:r>
            <w:r>
              <w:rPr>
                <w:rFonts w:hint="eastAsia"/>
                <w:color w:val="000000"/>
                <w:kern w:val="0"/>
                <w:sz w:val="18"/>
                <w:szCs w:val="18"/>
              </w:rPr>
              <w:t>印刷服务</w:t>
            </w:r>
            <w:r>
              <w:rPr>
                <w:rFonts w:ascii="Arial Narrow" w:hAnsi="Arial Narrow" w:eastAsia="Arial Narrow" w:cs="Arial Narrow"/>
                <w:color w:val="000000"/>
                <w:kern w:val="0"/>
                <w:sz w:val="18"/>
                <w:szCs w:val="18"/>
              </w:rPr>
              <w:t>”</w:t>
            </w:r>
            <w:r>
              <w:rPr>
                <w:rFonts w:hint="eastAsia"/>
                <w:color w:val="000000"/>
                <w:kern w:val="0"/>
                <w:sz w:val="18"/>
                <w:szCs w:val="18"/>
              </w:rPr>
              <w:t>的范围</w:t>
            </w:r>
          </w:p>
        </w:tc>
      </w:tr>
      <w:tr w14:paraId="3D005017">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0C28">
            <w:pPr>
              <w:jc w:val="center"/>
              <w:textAlignment w:val="center"/>
              <w:rPr>
                <w:color w:val="000000"/>
                <w:sz w:val="18"/>
                <w:szCs w:val="18"/>
              </w:rPr>
            </w:pPr>
            <w:r>
              <w:rPr>
                <w:rFonts w:hint="eastAsia"/>
                <w:color w:val="000000"/>
                <w:kern w:val="0"/>
                <w:sz w:val="18"/>
                <w:szCs w:val="18"/>
              </w:rPr>
              <w:t>15</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DF5E">
            <w:pPr>
              <w:jc w:val="left"/>
              <w:textAlignment w:val="center"/>
              <w:rPr>
                <w:color w:val="000000"/>
                <w:sz w:val="18"/>
                <w:szCs w:val="18"/>
              </w:rPr>
            </w:pPr>
            <w:r>
              <w:rPr>
                <w:rFonts w:hint="eastAsia"/>
                <w:color w:val="000000"/>
                <w:kern w:val="0"/>
                <w:sz w:val="18"/>
                <w:szCs w:val="18"/>
              </w:rPr>
              <w:t>图书馆</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58A7">
            <w:pPr>
              <w:jc w:val="center"/>
              <w:textAlignment w:val="center"/>
              <w:rPr>
                <w:color w:val="000000"/>
                <w:sz w:val="18"/>
                <w:szCs w:val="18"/>
              </w:rPr>
            </w:pPr>
            <w:r>
              <w:rPr>
                <w:rFonts w:hint="eastAsia"/>
                <w:color w:val="000000"/>
                <w:kern w:val="0"/>
                <w:sz w:val="18"/>
                <w:szCs w:val="18"/>
              </w:rPr>
              <w:t>6月42#</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F547">
            <w:pPr>
              <w:jc w:val="left"/>
              <w:textAlignment w:val="center"/>
              <w:rPr>
                <w:color w:val="000000"/>
                <w:sz w:val="18"/>
                <w:szCs w:val="18"/>
              </w:rPr>
            </w:pPr>
            <w:r>
              <w:rPr>
                <w:rFonts w:hint="eastAsia"/>
                <w:color w:val="000000"/>
                <w:kern w:val="0"/>
                <w:sz w:val="18"/>
                <w:szCs w:val="18"/>
              </w:rPr>
              <w:t>第七次评估定级资料打印装订费</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9F9F">
            <w:pPr>
              <w:jc w:val="right"/>
              <w:textAlignment w:val="center"/>
              <w:rPr>
                <w:color w:val="000000"/>
                <w:sz w:val="18"/>
                <w:szCs w:val="18"/>
              </w:rPr>
            </w:pPr>
            <w:r>
              <w:rPr>
                <w:rFonts w:hint="eastAsia"/>
                <w:color w:val="000000"/>
                <w:kern w:val="0"/>
                <w:sz w:val="18"/>
                <w:szCs w:val="18"/>
              </w:rPr>
              <w:t>4,639.00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7578">
            <w:pPr>
              <w:jc w:val="right"/>
              <w:textAlignment w:val="center"/>
              <w:rPr>
                <w:color w:val="000000"/>
                <w:sz w:val="18"/>
                <w:szCs w:val="18"/>
              </w:rPr>
            </w:pPr>
            <w:r>
              <w:rPr>
                <w:rFonts w:hint="eastAsia"/>
                <w:color w:val="000000"/>
                <w:kern w:val="0"/>
                <w:sz w:val="18"/>
                <w:szCs w:val="18"/>
              </w:rPr>
              <w:t>永济市佳澜图文广告有限公司</w:t>
            </w:r>
          </w:p>
        </w:tc>
        <w:tc>
          <w:tcPr>
            <w:tcW w:w="811" w:type="pct"/>
            <w:vMerge w:val="continue"/>
            <w:tcBorders>
              <w:left w:val="single" w:color="000000" w:sz="4" w:space="0"/>
              <w:right w:val="single" w:color="000000" w:sz="4" w:space="0"/>
            </w:tcBorders>
            <w:shd w:val="clear" w:color="auto" w:fill="auto"/>
            <w:noWrap/>
            <w:vAlign w:val="center"/>
          </w:tcPr>
          <w:p w14:paraId="2DDC1AA8">
            <w:pPr>
              <w:jc w:val="left"/>
              <w:rPr>
                <w:rFonts w:ascii="Arial Narrow" w:hAnsi="Arial Narrow" w:cs="Arial Narrow"/>
                <w:color w:val="000000"/>
                <w:sz w:val="18"/>
                <w:szCs w:val="18"/>
              </w:rPr>
            </w:pPr>
          </w:p>
        </w:tc>
      </w:tr>
      <w:tr w14:paraId="085C3D55">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C336">
            <w:pPr>
              <w:jc w:val="center"/>
              <w:textAlignment w:val="center"/>
              <w:rPr>
                <w:color w:val="000000"/>
                <w:sz w:val="18"/>
                <w:szCs w:val="18"/>
              </w:rPr>
            </w:pPr>
            <w:r>
              <w:rPr>
                <w:rFonts w:hint="eastAsia"/>
                <w:color w:val="000000"/>
                <w:kern w:val="0"/>
                <w:sz w:val="18"/>
                <w:szCs w:val="18"/>
              </w:rPr>
              <w:t>16</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FE25">
            <w:pPr>
              <w:jc w:val="left"/>
              <w:textAlignment w:val="center"/>
              <w:rPr>
                <w:color w:val="000000"/>
                <w:sz w:val="18"/>
                <w:szCs w:val="18"/>
              </w:rPr>
            </w:pPr>
            <w:r>
              <w:rPr>
                <w:rFonts w:hint="eastAsia"/>
                <w:color w:val="000000"/>
                <w:kern w:val="0"/>
                <w:sz w:val="18"/>
                <w:szCs w:val="18"/>
              </w:rPr>
              <w:t>局机关</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56DF">
            <w:pPr>
              <w:jc w:val="center"/>
              <w:textAlignment w:val="center"/>
              <w:rPr>
                <w:color w:val="000000"/>
                <w:sz w:val="18"/>
                <w:szCs w:val="18"/>
              </w:rPr>
            </w:pPr>
            <w:r>
              <w:rPr>
                <w:rFonts w:hint="eastAsia"/>
                <w:color w:val="000000"/>
                <w:kern w:val="0"/>
                <w:sz w:val="18"/>
                <w:szCs w:val="18"/>
              </w:rPr>
              <w:t>8月5#</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CDF1">
            <w:pPr>
              <w:jc w:val="left"/>
              <w:textAlignment w:val="center"/>
              <w:rPr>
                <w:color w:val="000000"/>
                <w:sz w:val="18"/>
                <w:szCs w:val="18"/>
              </w:rPr>
            </w:pPr>
            <w:r>
              <w:rPr>
                <w:rFonts w:hint="eastAsia"/>
                <w:color w:val="000000"/>
                <w:kern w:val="0"/>
                <w:sz w:val="18"/>
                <w:szCs w:val="18"/>
              </w:rPr>
              <w:t>打印复印</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7B85">
            <w:pPr>
              <w:jc w:val="right"/>
              <w:textAlignment w:val="center"/>
              <w:rPr>
                <w:color w:val="000000"/>
                <w:sz w:val="18"/>
                <w:szCs w:val="18"/>
              </w:rPr>
            </w:pPr>
            <w:r>
              <w:rPr>
                <w:rFonts w:hint="eastAsia"/>
                <w:color w:val="000000"/>
                <w:kern w:val="0"/>
                <w:sz w:val="18"/>
                <w:szCs w:val="18"/>
              </w:rPr>
              <w:t>851.00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27CF">
            <w:pPr>
              <w:jc w:val="right"/>
              <w:textAlignment w:val="center"/>
              <w:rPr>
                <w:color w:val="000000"/>
                <w:sz w:val="18"/>
                <w:szCs w:val="18"/>
              </w:rPr>
            </w:pPr>
            <w:r>
              <w:rPr>
                <w:rFonts w:hint="eastAsia"/>
                <w:color w:val="000000"/>
                <w:kern w:val="0"/>
                <w:sz w:val="18"/>
                <w:szCs w:val="18"/>
              </w:rPr>
              <w:t>永济市财政综合服务中心</w:t>
            </w:r>
          </w:p>
        </w:tc>
        <w:tc>
          <w:tcPr>
            <w:tcW w:w="811" w:type="pct"/>
            <w:vMerge w:val="continue"/>
            <w:tcBorders>
              <w:left w:val="single" w:color="000000" w:sz="4" w:space="0"/>
              <w:right w:val="single" w:color="000000" w:sz="4" w:space="0"/>
            </w:tcBorders>
            <w:shd w:val="clear" w:color="auto" w:fill="auto"/>
            <w:noWrap/>
            <w:vAlign w:val="center"/>
          </w:tcPr>
          <w:p w14:paraId="19B7A907">
            <w:pPr>
              <w:jc w:val="left"/>
              <w:rPr>
                <w:rFonts w:ascii="Arial Narrow" w:hAnsi="Arial Narrow" w:cs="Arial Narrow"/>
                <w:color w:val="000000"/>
                <w:sz w:val="18"/>
                <w:szCs w:val="18"/>
              </w:rPr>
            </w:pPr>
          </w:p>
        </w:tc>
      </w:tr>
      <w:tr w14:paraId="036EF35B">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9B85">
            <w:pPr>
              <w:jc w:val="center"/>
              <w:textAlignment w:val="center"/>
              <w:rPr>
                <w:color w:val="000000"/>
                <w:sz w:val="18"/>
                <w:szCs w:val="18"/>
              </w:rPr>
            </w:pPr>
            <w:r>
              <w:rPr>
                <w:rFonts w:hint="eastAsia"/>
                <w:color w:val="000000"/>
                <w:kern w:val="0"/>
                <w:sz w:val="18"/>
                <w:szCs w:val="18"/>
              </w:rPr>
              <w:t>17</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4F56">
            <w:pPr>
              <w:jc w:val="left"/>
              <w:textAlignment w:val="center"/>
              <w:rPr>
                <w:color w:val="000000"/>
                <w:sz w:val="18"/>
                <w:szCs w:val="18"/>
              </w:rPr>
            </w:pPr>
            <w:r>
              <w:rPr>
                <w:rFonts w:hint="eastAsia"/>
                <w:color w:val="000000"/>
                <w:kern w:val="0"/>
                <w:sz w:val="18"/>
                <w:szCs w:val="18"/>
              </w:rPr>
              <w:t>文保中心</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FAA4">
            <w:pPr>
              <w:jc w:val="center"/>
              <w:textAlignment w:val="center"/>
              <w:rPr>
                <w:color w:val="000000"/>
                <w:sz w:val="18"/>
                <w:szCs w:val="18"/>
              </w:rPr>
            </w:pPr>
            <w:r>
              <w:rPr>
                <w:rFonts w:hint="eastAsia"/>
                <w:color w:val="000000"/>
                <w:kern w:val="0"/>
                <w:sz w:val="18"/>
                <w:szCs w:val="18"/>
              </w:rPr>
              <w:t>5月2#</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6278">
            <w:pPr>
              <w:jc w:val="left"/>
              <w:textAlignment w:val="center"/>
              <w:rPr>
                <w:color w:val="000000"/>
                <w:sz w:val="18"/>
                <w:szCs w:val="18"/>
              </w:rPr>
            </w:pPr>
            <w:r>
              <w:rPr>
                <w:rFonts w:hint="eastAsia"/>
                <w:color w:val="000000"/>
                <w:kern w:val="0"/>
                <w:sz w:val="18"/>
                <w:szCs w:val="18"/>
              </w:rPr>
              <w:t>打印复印费</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CEDD">
            <w:pPr>
              <w:jc w:val="right"/>
              <w:textAlignment w:val="center"/>
              <w:rPr>
                <w:color w:val="000000"/>
                <w:sz w:val="18"/>
                <w:szCs w:val="18"/>
              </w:rPr>
            </w:pPr>
            <w:r>
              <w:rPr>
                <w:rFonts w:hint="eastAsia"/>
                <w:color w:val="000000"/>
                <w:kern w:val="0"/>
                <w:sz w:val="18"/>
                <w:szCs w:val="18"/>
              </w:rPr>
              <w:t>4,600.00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35C8">
            <w:pPr>
              <w:jc w:val="right"/>
              <w:textAlignment w:val="center"/>
              <w:rPr>
                <w:color w:val="000000"/>
                <w:sz w:val="18"/>
                <w:szCs w:val="18"/>
              </w:rPr>
            </w:pPr>
            <w:r>
              <w:rPr>
                <w:rFonts w:hint="eastAsia"/>
                <w:color w:val="000000"/>
                <w:kern w:val="0"/>
                <w:sz w:val="18"/>
                <w:szCs w:val="18"/>
              </w:rPr>
              <w:t>永济市西城博霞复印部</w:t>
            </w:r>
          </w:p>
        </w:tc>
        <w:tc>
          <w:tcPr>
            <w:tcW w:w="811" w:type="pct"/>
            <w:vMerge w:val="continue"/>
            <w:tcBorders>
              <w:left w:val="single" w:color="000000" w:sz="4" w:space="0"/>
              <w:bottom w:val="single" w:color="000000" w:sz="4" w:space="0"/>
              <w:right w:val="single" w:color="000000" w:sz="4" w:space="0"/>
            </w:tcBorders>
            <w:shd w:val="clear" w:color="auto" w:fill="auto"/>
            <w:noWrap/>
            <w:vAlign w:val="center"/>
          </w:tcPr>
          <w:p w14:paraId="62F17824">
            <w:pPr>
              <w:jc w:val="left"/>
              <w:rPr>
                <w:rFonts w:ascii="Arial Narrow" w:hAnsi="Arial Narrow" w:cs="Arial Narrow"/>
                <w:color w:val="000000"/>
                <w:sz w:val="18"/>
                <w:szCs w:val="18"/>
              </w:rPr>
            </w:pPr>
          </w:p>
        </w:tc>
      </w:tr>
      <w:tr w14:paraId="1C0DA373">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026E">
            <w:pPr>
              <w:jc w:val="center"/>
              <w:textAlignment w:val="center"/>
              <w:rPr>
                <w:color w:val="000000"/>
                <w:sz w:val="18"/>
                <w:szCs w:val="18"/>
              </w:rPr>
            </w:pPr>
            <w:r>
              <w:rPr>
                <w:rFonts w:hint="eastAsia"/>
                <w:color w:val="000000"/>
                <w:kern w:val="0"/>
                <w:sz w:val="18"/>
                <w:szCs w:val="18"/>
              </w:rPr>
              <w:t>18</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5731">
            <w:pPr>
              <w:jc w:val="left"/>
              <w:textAlignment w:val="center"/>
              <w:rPr>
                <w:sz w:val="18"/>
                <w:szCs w:val="18"/>
              </w:rPr>
            </w:pPr>
            <w:r>
              <w:rPr>
                <w:rFonts w:hint="eastAsia"/>
                <w:color w:val="000000"/>
                <w:kern w:val="0"/>
                <w:sz w:val="18"/>
                <w:szCs w:val="18"/>
              </w:rPr>
              <w:t>文保中心</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23B6">
            <w:pPr>
              <w:jc w:val="center"/>
              <w:textAlignment w:val="center"/>
              <w:rPr>
                <w:sz w:val="18"/>
                <w:szCs w:val="18"/>
              </w:rPr>
            </w:pPr>
            <w:r>
              <w:rPr>
                <w:rFonts w:hint="eastAsia"/>
                <w:color w:val="000000"/>
                <w:kern w:val="0"/>
                <w:sz w:val="18"/>
                <w:szCs w:val="18"/>
              </w:rPr>
              <w:t>2月8#</w:t>
            </w:r>
          </w:p>
        </w:tc>
        <w:tc>
          <w:tcPr>
            <w:tcW w:w="11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29C3">
            <w:pPr>
              <w:jc w:val="left"/>
              <w:textAlignment w:val="center"/>
              <w:rPr>
                <w:sz w:val="18"/>
                <w:szCs w:val="18"/>
              </w:rPr>
            </w:pPr>
            <w:r>
              <w:rPr>
                <w:rFonts w:hint="eastAsia"/>
                <w:color w:val="000000"/>
                <w:kern w:val="0"/>
                <w:sz w:val="18"/>
                <w:szCs w:val="18"/>
              </w:rPr>
              <w:t>打印复印费</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40FED">
            <w:pPr>
              <w:jc w:val="right"/>
              <w:textAlignment w:val="center"/>
              <w:rPr>
                <w:color w:val="000000"/>
                <w:sz w:val="18"/>
                <w:szCs w:val="18"/>
              </w:rPr>
            </w:pPr>
            <w:r>
              <w:rPr>
                <w:rFonts w:hint="eastAsia"/>
                <w:color w:val="000000"/>
                <w:kern w:val="0"/>
                <w:sz w:val="18"/>
                <w:szCs w:val="18"/>
              </w:rPr>
              <w:t>1,970.00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450D">
            <w:pPr>
              <w:jc w:val="right"/>
              <w:textAlignment w:val="center"/>
              <w:rPr>
                <w:color w:val="000000"/>
                <w:sz w:val="18"/>
                <w:szCs w:val="18"/>
              </w:rPr>
            </w:pPr>
            <w:r>
              <w:rPr>
                <w:rFonts w:hint="eastAsia"/>
                <w:color w:val="000000"/>
                <w:kern w:val="0"/>
                <w:sz w:val="18"/>
                <w:szCs w:val="18"/>
              </w:rPr>
              <w:t>永济市西城博霞复印部</w:t>
            </w:r>
          </w:p>
        </w:tc>
        <w:tc>
          <w:tcPr>
            <w:tcW w:w="8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059E">
            <w:pPr>
              <w:jc w:val="left"/>
              <w:rPr>
                <w:rFonts w:ascii="Arial Narrow" w:hAnsi="Arial Narrow" w:cs="Arial Narrow"/>
                <w:b/>
                <w:bCs/>
                <w:color w:val="000000"/>
                <w:kern w:val="0"/>
                <w:sz w:val="18"/>
                <w:szCs w:val="18"/>
              </w:rPr>
            </w:pPr>
          </w:p>
        </w:tc>
      </w:tr>
      <w:tr w14:paraId="6791CB67">
        <w:tblPrEx>
          <w:tblCellMar>
            <w:top w:w="0" w:type="dxa"/>
            <w:left w:w="108" w:type="dxa"/>
            <w:bottom w:w="0" w:type="dxa"/>
            <w:right w:w="108" w:type="dxa"/>
          </w:tblCellMar>
        </w:tblPrEx>
        <w:trPr>
          <w:trHeight w:val="39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C949">
            <w:pPr>
              <w:jc w:val="center"/>
              <w:textAlignment w:val="center"/>
              <w:rPr>
                <w:b/>
                <w:bCs/>
                <w:color w:val="000000"/>
                <w:kern w:val="0"/>
                <w:sz w:val="18"/>
                <w:szCs w:val="18"/>
              </w:rPr>
            </w:pPr>
            <w:r>
              <w:rPr>
                <w:rFonts w:hint="eastAsia"/>
                <w:b/>
                <w:bCs/>
                <w:color w:val="000000"/>
                <w:kern w:val="0"/>
                <w:sz w:val="18"/>
                <w:szCs w:val="18"/>
              </w:rPr>
              <w:t>19</w:t>
            </w:r>
          </w:p>
        </w:tc>
        <w:tc>
          <w:tcPr>
            <w:tcW w:w="22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7D99">
            <w:pPr>
              <w:jc w:val="center"/>
              <w:textAlignment w:val="center"/>
              <w:rPr>
                <w:b/>
                <w:bCs/>
                <w:color w:val="000000"/>
                <w:kern w:val="0"/>
                <w:sz w:val="18"/>
                <w:szCs w:val="18"/>
              </w:rPr>
            </w:pPr>
            <w:r>
              <w:rPr>
                <w:rFonts w:hint="eastAsia"/>
                <w:b/>
                <w:bCs/>
                <w:color w:val="000000"/>
                <w:kern w:val="0"/>
                <w:sz w:val="18"/>
                <w:szCs w:val="18"/>
              </w:rPr>
              <w:t>小计</w:t>
            </w:r>
          </w:p>
        </w:tc>
        <w:tc>
          <w:tcPr>
            <w:tcW w:w="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76DF">
            <w:pPr>
              <w:jc w:val="right"/>
              <w:textAlignment w:val="center"/>
              <w:rPr>
                <w:rFonts w:ascii="Arial Narrow" w:hAnsi="Arial Narrow" w:eastAsia="Arial Narrow" w:cs="Arial Narrow"/>
                <w:b/>
                <w:bCs/>
                <w:color w:val="000000"/>
                <w:sz w:val="18"/>
                <w:szCs w:val="18"/>
              </w:rPr>
            </w:pPr>
            <w:r>
              <w:rPr>
                <w:rFonts w:ascii="Arial Narrow" w:hAnsi="Arial Narrow" w:eastAsia="Arial Narrow" w:cs="Arial Narrow"/>
                <w:b/>
                <w:bCs/>
                <w:color w:val="000000"/>
                <w:kern w:val="0"/>
                <w:sz w:val="18"/>
                <w:szCs w:val="18"/>
              </w:rPr>
              <w:t>13,150.00</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765D">
            <w:pPr>
              <w:jc w:val="right"/>
              <w:textAlignment w:val="center"/>
              <w:rPr>
                <w:b/>
                <w:bCs/>
                <w:color w:val="000000"/>
                <w:kern w:val="0"/>
                <w:sz w:val="18"/>
                <w:szCs w:val="18"/>
              </w:rPr>
            </w:pP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B003">
            <w:pPr>
              <w:jc w:val="left"/>
              <w:rPr>
                <w:rFonts w:ascii="Arial Narrow" w:hAnsi="Arial Narrow" w:cs="Arial Narrow"/>
                <w:b/>
                <w:bCs/>
                <w:color w:val="000000"/>
                <w:kern w:val="0"/>
                <w:sz w:val="18"/>
                <w:szCs w:val="18"/>
              </w:rPr>
            </w:pPr>
          </w:p>
        </w:tc>
      </w:tr>
    </w:tbl>
    <w:p w14:paraId="17D67C45">
      <w:pPr>
        <w:pStyle w:val="8"/>
        <w:widowControl w:val="0"/>
        <w:snapToGrid/>
        <w:spacing w:line="580" w:lineRule="exact"/>
        <w:ind w:firstLine="562"/>
        <w:outlineLvl w:val="4"/>
        <w:rPr>
          <w:rFonts w:ascii="仿宋" w:hAnsi="仿宋"/>
          <w:b/>
          <w:szCs w:val="24"/>
        </w:rPr>
      </w:pPr>
      <w:r>
        <w:rPr>
          <w:rFonts w:hint="eastAsia" w:ascii="仿宋" w:hAnsi="仿宋"/>
          <w:b/>
          <w:szCs w:val="24"/>
        </w:rPr>
        <w:t>（2）B4-2预算信息公开</w:t>
      </w:r>
    </w:p>
    <w:p w14:paraId="2F2C7E5A">
      <w:pPr>
        <w:pStyle w:val="8"/>
        <w:widowControl w:val="0"/>
        <w:snapToGrid/>
        <w:spacing w:line="580" w:lineRule="exact"/>
        <w:ind w:firstLine="560"/>
        <w:rPr>
          <w:rFonts w:ascii="仿宋" w:hAnsi="仿宋"/>
          <w:kern w:val="0"/>
        </w:rPr>
      </w:pPr>
      <w:r>
        <w:rPr>
          <w:rFonts w:hint="eastAsia" w:ascii="仿宋"/>
          <w:kern w:val="0"/>
        </w:rPr>
        <w:t>永济市文旅局</w:t>
      </w:r>
      <w:r>
        <w:rPr>
          <w:rFonts w:hint="eastAsia" w:ascii="仿宋" w:hAnsi="仿宋"/>
          <w:kern w:val="0"/>
        </w:rPr>
        <w:t>已根据相关规定在永济市</w:t>
      </w:r>
      <w:r>
        <w:rPr>
          <w:rFonts w:hint="eastAsia" w:ascii="仿宋"/>
          <w:kern w:val="0"/>
        </w:rPr>
        <w:t>人民</w:t>
      </w:r>
      <w:r>
        <w:rPr>
          <w:rFonts w:hint="eastAsia" w:ascii="仿宋" w:hAnsi="仿宋"/>
          <w:kern w:val="0"/>
        </w:rPr>
        <w:t>政府网站公开了202</w:t>
      </w:r>
      <w:r>
        <w:rPr>
          <w:rFonts w:hint="eastAsia" w:ascii="仿宋"/>
          <w:kern w:val="0"/>
        </w:rPr>
        <w:t>3</w:t>
      </w:r>
      <w:r>
        <w:rPr>
          <w:rFonts w:hint="eastAsia" w:ascii="仿宋" w:hAnsi="仿宋"/>
          <w:kern w:val="0"/>
        </w:rPr>
        <w:t>年度预算公开信息；于202</w:t>
      </w:r>
      <w:r>
        <w:rPr>
          <w:rFonts w:hint="eastAsia" w:ascii="仿宋"/>
          <w:kern w:val="0"/>
        </w:rPr>
        <w:t>4</w:t>
      </w:r>
      <w:r>
        <w:rPr>
          <w:rFonts w:hint="eastAsia" w:ascii="仿宋" w:hAnsi="仿宋"/>
          <w:kern w:val="0"/>
        </w:rPr>
        <w:t>年</w:t>
      </w:r>
      <w:r>
        <w:rPr>
          <w:rFonts w:hint="eastAsia" w:ascii="仿宋"/>
          <w:kern w:val="0"/>
        </w:rPr>
        <w:t>8</w:t>
      </w:r>
      <w:r>
        <w:rPr>
          <w:rFonts w:hint="eastAsia" w:ascii="仿宋" w:hAnsi="仿宋"/>
          <w:kern w:val="0"/>
        </w:rPr>
        <w:t>月</w:t>
      </w:r>
      <w:r>
        <w:rPr>
          <w:rFonts w:hint="eastAsia" w:ascii="仿宋"/>
          <w:kern w:val="0"/>
        </w:rPr>
        <w:t>23</w:t>
      </w:r>
      <w:r>
        <w:rPr>
          <w:rFonts w:hint="eastAsia" w:ascii="仿宋" w:hAnsi="仿宋"/>
          <w:kern w:val="0"/>
        </w:rPr>
        <w:t>日，在永济市</w:t>
      </w:r>
      <w:r>
        <w:rPr>
          <w:rFonts w:hint="eastAsia" w:ascii="仿宋"/>
          <w:kern w:val="0"/>
        </w:rPr>
        <w:t>人民</w:t>
      </w:r>
      <w:r>
        <w:rPr>
          <w:rFonts w:hint="eastAsia" w:ascii="仿宋" w:hAnsi="仿宋"/>
          <w:kern w:val="0"/>
        </w:rPr>
        <w:t>政府网站公开了202</w:t>
      </w:r>
      <w:r>
        <w:rPr>
          <w:rFonts w:hint="eastAsia" w:ascii="仿宋"/>
          <w:kern w:val="0"/>
        </w:rPr>
        <w:t>3</w:t>
      </w:r>
      <w:r>
        <w:rPr>
          <w:rFonts w:hint="eastAsia" w:ascii="仿宋" w:hAnsi="仿宋"/>
          <w:kern w:val="0"/>
        </w:rPr>
        <w:t>年度部门决算公开信息。依据评分标准，该指标</w:t>
      </w:r>
      <w:r>
        <w:rPr>
          <w:rFonts w:hint="eastAsia" w:ascii="仿宋"/>
          <w:kern w:val="0"/>
        </w:rPr>
        <w:t>分值1</w:t>
      </w:r>
      <w:r>
        <w:rPr>
          <w:rFonts w:hint="eastAsia" w:ascii="仿宋" w:hAnsi="仿宋"/>
          <w:kern w:val="0"/>
        </w:rPr>
        <w:t>分，得分</w:t>
      </w:r>
      <w:r>
        <w:rPr>
          <w:rFonts w:hint="eastAsia" w:ascii="仿宋"/>
          <w:kern w:val="0"/>
        </w:rPr>
        <w:t>1</w:t>
      </w:r>
      <w:r>
        <w:rPr>
          <w:rFonts w:hint="eastAsia" w:ascii="仿宋" w:hAnsi="仿宋"/>
          <w:kern w:val="0"/>
        </w:rPr>
        <w:t>分。</w:t>
      </w:r>
    </w:p>
    <w:bookmarkEnd w:id="368"/>
    <w:bookmarkEnd w:id="369"/>
    <w:p w14:paraId="437AE8A7">
      <w:pPr>
        <w:pStyle w:val="8"/>
        <w:widowControl w:val="0"/>
        <w:snapToGrid/>
        <w:ind w:firstLine="562"/>
        <w:outlineLvl w:val="4"/>
        <w:rPr>
          <w:rFonts w:ascii="仿宋" w:hAnsi="仿宋"/>
          <w:b/>
          <w:bCs/>
          <w:highlight w:val="yellow"/>
        </w:rPr>
      </w:pPr>
      <w:bookmarkStart w:id="370" w:name="_Toc32382"/>
      <w:bookmarkStart w:id="371" w:name="_Toc20089"/>
      <w:bookmarkStart w:id="372" w:name="_Toc16225"/>
      <w:bookmarkStart w:id="373" w:name="_Toc25168"/>
      <w:bookmarkStart w:id="374" w:name="_Toc10503"/>
      <w:bookmarkStart w:id="375" w:name="_Toc13762_WPSOffice_Level2"/>
      <w:bookmarkStart w:id="376" w:name="_Toc22492"/>
      <w:r>
        <w:rPr>
          <w:rFonts w:hint="eastAsia" w:ascii="仿宋" w:hAnsi="仿宋"/>
          <w:b/>
        </w:rPr>
        <w:t>（</w:t>
      </w:r>
      <w:r>
        <w:rPr>
          <w:rFonts w:hint="eastAsia" w:ascii="仿宋"/>
          <w:b/>
        </w:rPr>
        <w:t>3</w:t>
      </w:r>
      <w:r>
        <w:rPr>
          <w:rFonts w:hint="eastAsia" w:ascii="仿宋" w:hAnsi="仿宋"/>
          <w:b/>
        </w:rPr>
        <w:t>）B</w:t>
      </w:r>
      <w:r>
        <w:rPr>
          <w:rFonts w:hint="eastAsia" w:ascii="仿宋"/>
          <w:b/>
        </w:rPr>
        <w:t>4</w:t>
      </w:r>
      <w:r>
        <w:rPr>
          <w:rFonts w:hint="eastAsia" w:ascii="仿宋" w:hAnsi="仿宋"/>
          <w:b/>
        </w:rPr>
        <w:t>-</w:t>
      </w:r>
      <w:r>
        <w:rPr>
          <w:rFonts w:hint="eastAsia" w:ascii="仿宋"/>
          <w:b/>
        </w:rPr>
        <w:t>3资金监管</w:t>
      </w:r>
    </w:p>
    <w:p w14:paraId="39F2307F">
      <w:pPr>
        <w:widowControl w:val="0"/>
        <w:spacing w:line="560" w:lineRule="exact"/>
        <w:ind w:firstLine="560" w:firstLineChars="200"/>
        <w:rPr>
          <w:b/>
        </w:rPr>
      </w:pPr>
      <w:r>
        <w:rPr>
          <w:rFonts w:hint="eastAsia"/>
          <w:bCs/>
        </w:rPr>
        <w:t>永济市财政局对永济市文旅局2023年度预算信息和决算信息已进行审核并公示，未发现不良问题,该部门按时填报了部门整体支出绩效运行监控表和绩效监控分析报告，各项目支出绩效运行监控表和绩效监控分析报告。该指标分值1分，依据评分标准，得分1分。</w:t>
      </w:r>
    </w:p>
    <w:p w14:paraId="0C571D8E">
      <w:pPr>
        <w:pStyle w:val="3"/>
        <w:ind w:firstLine="562"/>
      </w:pPr>
      <w:bookmarkStart w:id="377" w:name="_Toc180138887"/>
      <w:bookmarkStart w:id="378" w:name="_Toc180503512"/>
      <w:r>
        <w:rPr>
          <w:rFonts w:hint="eastAsia"/>
        </w:rPr>
        <w:t>（三）部门产出分析</w:t>
      </w:r>
      <w:bookmarkEnd w:id="377"/>
      <w:bookmarkEnd w:id="378"/>
    </w:p>
    <w:p w14:paraId="3CB64BFD">
      <w:pPr>
        <w:widowControl w:val="0"/>
        <w:spacing w:line="560" w:lineRule="exact"/>
        <w:ind w:firstLine="560" w:firstLineChars="200"/>
        <w:rPr>
          <w:highlight w:val="yellow"/>
        </w:rPr>
      </w:pPr>
      <w:r>
        <w:rPr>
          <w:rFonts w:hint="eastAsia"/>
        </w:rPr>
        <w:t>部门产出分别从目标任务实现程度、目标任务完成质量、目标任务完成及时性、运行成本控制有效性四个方面进行分析，共设置4个二级指标11个三级指标。部门产出指标分值30分，实际得分26.00分，得分率86.67%。各分项指标得分情况如下表4-3所示：</w:t>
      </w:r>
    </w:p>
    <w:p w14:paraId="52E55790">
      <w:pPr>
        <w:widowControl w:val="0"/>
        <w:spacing w:afterLines="20" w:line="560" w:lineRule="exact"/>
        <w:jc w:val="center"/>
        <w:rPr>
          <w:b/>
        </w:rPr>
      </w:pPr>
      <w:r>
        <w:rPr>
          <w:rFonts w:hint="eastAsia"/>
          <w:b/>
        </w:rPr>
        <w:t>表4-3部门产出指标得分情况</w:t>
      </w:r>
    </w:p>
    <w:tbl>
      <w:tblPr>
        <w:tblStyle w:val="24"/>
        <w:tblW w:w="4998" w:type="pct"/>
        <w:tblInd w:w="0" w:type="dxa"/>
        <w:tblLayout w:type="autofit"/>
        <w:tblCellMar>
          <w:top w:w="0" w:type="dxa"/>
          <w:left w:w="108" w:type="dxa"/>
          <w:bottom w:w="0" w:type="dxa"/>
          <w:right w:w="108" w:type="dxa"/>
        </w:tblCellMar>
      </w:tblPr>
      <w:tblGrid>
        <w:gridCol w:w="2573"/>
        <w:gridCol w:w="3328"/>
        <w:gridCol w:w="1306"/>
        <w:gridCol w:w="1306"/>
      </w:tblGrid>
      <w:tr w14:paraId="3DC02D18">
        <w:tblPrEx>
          <w:tblCellMar>
            <w:top w:w="0" w:type="dxa"/>
            <w:left w:w="108" w:type="dxa"/>
            <w:bottom w:w="0" w:type="dxa"/>
            <w:right w:w="108" w:type="dxa"/>
          </w:tblCellMar>
        </w:tblPrEx>
        <w:trPr>
          <w:trHeight w:val="499" w:hRule="atLeast"/>
          <w:tblHeader/>
        </w:trPr>
        <w:tc>
          <w:tcPr>
            <w:tcW w:w="151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9E7BE8F">
            <w:pPr>
              <w:jc w:val="center"/>
              <w:textAlignment w:val="center"/>
              <w:rPr>
                <w:b/>
                <w:bCs/>
                <w:color w:val="000000"/>
                <w:sz w:val="21"/>
                <w:szCs w:val="21"/>
              </w:rPr>
            </w:pPr>
            <w:r>
              <w:rPr>
                <w:rFonts w:hint="eastAsia"/>
                <w:b/>
                <w:bCs/>
                <w:color w:val="000000"/>
                <w:kern w:val="0"/>
                <w:sz w:val="21"/>
                <w:szCs w:val="21"/>
              </w:rPr>
              <w:t>二级指标</w:t>
            </w:r>
          </w:p>
        </w:tc>
        <w:tc>
          <w:tcPr>
            <w:tcW w:w="195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2AD0CEB">
            <w:pPr>
              <w:jc w:val="center"/>
              <w:textAlignment w:val="center"/>
              <w:rPr>
                <w:b/>
                <w:bCs/>
                <w:color w:val="000000"/>
                <w:sz w:val="21"/>
                <w:szCs w:val="21"/>
              </w:rPr>
            </w:pPr>
            <w:r>
              <w:rPr>
                <w:rFonts w:hint="eastAsia"/>
                <w:b/>
                <w:bCs/>
                <w:color w:val="000000"/>
                <w:kern w:val="0"/>
                <w:sz w:val="21"/>
                <w:szCs w:val="21"/>
              </w:rPr>
              <w:t>三级指标</w:t>
            </w:r>
          </w:p>
        </w:tc>
        <w:tc>
          <w:tcPr>
            <w:tcW w:w="7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6423EF9">
            <w:pPr>
              <w:jc w:val="center"/>
              <w:textAlignment w:val="center"/>
              <w:rPr>
                <w:b/>
                <w:bCs/>
                <w:color w:val="000000"/>
                <w:sz w:val="21"/>
                <w:szCs w:val="21"/>
              </w:rPr>
            </w:pPr>
            <w:r>
              <w:rPr>
                <w:rFonts w:hint="eastAsia"/>
                <w:b/>
                <w:bCs/>
                <w:color w:val="000000"/>
                <w:kern w:val="0"/>
                <w:sz w:val="21"/>
                <w:szCs w:val="21"/>
              </w:rPr>
              <w:t>权重</w:t>
            </w:r>
          </w:p>
        </w:tc>
        <w:tc>
          <w:tcPr>
            <w:tcW w:w="7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CEF7F2B">
            <w:pPr>
              <w:jc w:val="center"/>
              <w:textAlignment w:val="center"/>
              <w:rPr>
                <w:b/>
                <w:bCs/>
                <w:color w:val="000000"/>
                <w:sz w:val="21"/>
                <w:szCs w:val="21"/>
              </w:rPr>
            </w:pPr>
            <w:r>
              <w:rPr>
                <w:rFonts w:hint="eastAsia"/>
                <w:b/>
                <w:bCs/>
                <w:color w:val="000000"/>
                <w:kern w:val="0"/>
                <w:sz w:val="21"/>
                <w:szCs w:val="21"/>
              </w:rPr>
              <w:t>得分</w:t>
            </w:r>
          </w:p>
        </w:tc>
      </w:tr>
      <w:tr w14:paraId="7E19E9B5">
        <w:tblPrEx>
          <w:tblCellMar>
            <w:top w:w="0" w:type="dxa"/>
            <w:left w:w="108" w:type="dxa"/>
            <w:bottom w:w="0" w:type="dxa"/>
            <w:right w:w="108" w:type="dxa"/>
          </w:tblCellMar>
        </w:tblPrEx>
        <w:trPr>
          <w:trHeight w:val="499" w:hRule="atLeast"/>
        </w:trPr>
        <w:tc>
          <w:tcPr>
            <w:tcW w:w="15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C2760">
            <w:pPr>
              <w:jc w:val="center"/>
              <w:textAlignment w:val="center"/>
              <w:rPr>
                <w:color w:val="000000"/>
                <w:sz w:val="21"/>
                <w:szCs w:val="21"/>
              </w:rPr>
            </w:pPr>
            <w:r>
              <w:rPr>
                <w:rFonts w:hint="eastAsia"/>
                <w:color w:val="000000"/>
                <w:kern w:val="0"/>
                <w:sz w:val="21"/>
                <w:szCs w:val="21"/>
              </w:rPr>
              <w:t>C1目标任务实现程度</w:t>
            </w: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BE3B">
            <w:pPr>
              <w:jc w:val="left"/>
              <w:textAlignment w:val="center"/>
              <w:rPr>
                <w:color w:val="000000"/>
                <w:sz w:val="21"/>
                <w:szCs w:val="21"/>
              </w:rPr>
            </w:pPr>
            <w:r>
              <w:rPr>
                <w:rFonts w:hint="eastAsia"/>
                <w:color w:val="000000"/>
                <w:kern w:val="0"/>
                <w:sz w:val="21"/>
                <w:szCs w:val="21"/>
              </w:rPr>
              <w:t>C1-1</w:t>
            </w:r>
            <w:r>
              <w:rPr>
                <w:rFonts w:hint="eastAsia"/>
                <w:color w:val="000000"/>
                <w:sz w:val="21"/>
                <w:szCs w:val="21"/>
              </w:rPr>
              <w:t>旅游工作完成情况</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7EF72">
            <w:pPr>
              <w:ind w:right="280" w:rightChars="100"/>
              <w:jc w:val="right"/>
              <w:textAlignment w:val="center"/>
              <w:rPr>
                <w:color w:val="000000"/>
                <w:sz w:val="21"/>
                <w:szCs w:val="21"/>
              </w:rPr>
            </w:pPr>
            <w:r>
              <w:rPr>
                <w:rFonts w:hint="eastAsia"/>
                <w:color w:val="000000"/>
                <w:sz w:val="21"/>
                <w:szCs w:val="21"/>
              </w:rPr>
              <w:t>8.00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1E57">
            <w:pPr>
              <w:ind w:right="280" w:rightChars="100"/>
              <w:jc w:val="right"/>
              <w:textAlignment w:val="center"/>
              <w:rPr>
                <w:color w:val="000000"/>
                <w:sz w:val="21"/>
                <w:szCs w:val="21"/>
              </w:rPr>
            </w:pPr>
            <w:r>
              <w:rPr>
                <w:rFonts w:hint="eastAsia"/>
                <w:color w:val="000000"/>
                <w:sz w:val="21"/>
                <w:szCs w:val="21"/>
              </w:rPr>
              <w:t>7.50</w:t>
            </w:r>
          </w:p>
        </w:tc>
      </w:tr>
      <w:tr w14:paraId="727D3C11">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7EB7">
            <w:pPr>
              <w:jc w:val="center"/>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FD892">
            <w:pPr>
              <w:jc w:val="left"/>
              <w:textAlignment w:val="center"/>
              <w:rPr>
                <w:color w:val="000000"/>
                <w:kern w:val="0"/>
                <w:sz w:val="21"/>
                <w:szCs w:val="21"/>
              </w:rPr>
            </w:pPr>
            <w:r>
              <w:rPr>
                <w:rFonts w:hint="eastAsia"/>
                <w:color w:val="000000"/>
                <w:kern w:val="0"/>
                <w:sz w:val="21"/>
                <w:szCs w:val="21"/>
              </w:rPr>
              <w:t>C1-2文化工作完成情况</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0157">
            <w:pPr>
              <w:ind w:right="280" w:rightChars="100"/>
              <w:jc w:val="right"/>
              <w:textAlignment w:val="center"/>
              <w:rPr>
                <w:color w:val="000000"/>
                <w:kern w:val="0"/>
                <w:sz w:val="21"/>
                <w:szCs w:val="21"/>
              </w:rPr>
            </w:pPr>
            <w:r>
              <w:rPr>
                <w:rFonts w:hint="eastAsia"/>
                <w:color w:val="000000"/>
                <w:kern w:val="0"/>
                <w:sz w:val="21"/>
                <w:szCs w:val="21"/>
              </w:rPr>
              <w:t>3.00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4522">
            <w:pPr>
              <w:ind w:right="280" w:rightChars="100"/>
              <w:jc w:val="right"/>
              <w:textAlignment w:val="center"/>
              <w:rPr>
                <w:color w:val="000000"/>
                <w:kern w:val="0"/>
                <w:sz w:val="21"/>
                <w:szCs w:val="21"/>
              </w:rPr>
            </w:pPr>
            <w:r>
              <w:rPr>
                <w:rFonts w:hint="eastAsia"/>
                <w:color w:val="000000"/>
                <w:kern w:val="0"/>
                <w:sz w:val="21"/>
                <w:szCs w:val="21"/>
              </w:rPr>
              <w:t>2.50</w:t>
            </w:r>
          </w:p>
        </w:tc>
      </w:tr>
      <w:tr w14:paraId="0BE9D072">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3D000">
            <w:pPr>
              <w:jc w:val="center"/>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E6CB">
            <w:pPr>
              <w:jc w:val="left"/>
              <w:textAlignment w:val="center"/>
              <w:rPr>
                <w:color w:val="000000"/>
                <w:sz w:val="21"/>
                <w:szCs w:val="21"/>
              </w:rPr>
            </w:pPr>
            <w:r>
              <w:rPr>
                <w:rFonts w:hint="eastAsia"/>
                <w:color w:val="000000"/>
                <w:kern w:val="0"/>
                <w:sz w:val="21"/>
                <w:szCs w:val="21"/>
              </w:rPr>
              <w:t>C1-3</w:t>
            </w:r>
            <w:r>
              <w:rPr>
                <w:rFonts w:hint="eastAsia"/>
                <w:color w:val="000000"/>
                <w:sz w:val="21"/>
                <w:szCs w:val="21"/>
              </w:rPr>
              <w:t>执法工作完成情况</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F178">
            <w:pPr>
              <w:ind w:right="280" w:rightChars="100"/>
              <w:jc w:val="right"/>
              <w:textAlignment w:val="center"/>
              <w:rPr>
                <w:color w:val="000000"/>
                <w:sz w:val="21"/>
                <w:szCs w:val="21"/>
              </w:rPr>
            </w:pPr>
            <w:r>
              <w:rPr>
                <w:rFonts w:hint="eastAsia"/>
                <w:color w:val="000000"/>
                <w:sz w:val="21"/>
                <w:szCs w:val="21"/>
              </w:rPr>
              <w:t>1.00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825C">
            <w:pPr>
              <w:ind w:right="280" w:rightChars="100"/>
              <w:jc w:val="right"/>
              <w:textAlignment w:val="center"/>
              <w:rPr>
                <w:color w:val="000000"/>
                <w:sz w:val="21"/>
                <w:szCs w:val="21"/>
              </w:rPr>
            </w:pPr>
            <w:r>
              <w:rPr>
                <w:rFonts w:hint="eastAsia"/>
                <w:color w:val="000000"/>
                <w:sz w:val="21"/>
                <w:szCs w:val="21"/>
              </w:rPr>
              <w:t>1.00</w:t>
            </w:r>
          </w:p>
        </w:tc>
      </w:tr>
      <w:tr w14:paraId="7268C57B">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45CB4">
            <w:pPr>
              <w:jc w:val="center"/>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3B144">
            <w:pPr>
              <w:jc w:val="left"/>
              <w:textAlignment w:val="center"/>
              <w:rPr>
                <w:color w:val="000000"/>
                <w:sz w:val="21"/>
                <w:szCs w:val="21"/>
              </w:rPr>
            </w:pPr>
            <w:r>
              <w:rPr>
                <w:rFonts w:hint="eastAsia"/>
                <w:color w:val="000000"/>
                <w:kern w:val="0"/>
                <w:sz w:val="21"/>
                <w:szCs w:val="21"/>
              </w:rPr>
              <w:t>C1-4</w:t>
            </w:r>
            <w:r>
              <w:rPr>
                <w:rFonts w:hint="eastAsia"/>
                <w:color w:val="000000"/>
                <w:sz w:val="21"/>
                <w:szCs w:val="21"/>
              </w:rPr>
              <w:t>党建工作完成情况</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077C">
            <w:pPr>
              <w:ind w:right="280" w:rightChars="100"/>
              <w:jc w:val="right"/>
              <w:textAlignment w:val="center"/>
              <w:rPr>
                <w:color w:val="000000"/>
                <w:sz w:val="21"/>
                <w:szCs w:val="21"/>
              </w:rPr>
            </w:pPr>
            <w:r>
              <w:rPr>
                <w:rFonts w:hint="eastAsia"/>
                <w:color w:val="000000"/>
                <w:sz w:val="21"/>
                <w:szCs w:val="21"/>
              </w:rPr>
              <w:t>2.00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91F2">
            <w:pPr>
              <w:ind w:right="280" w:rightChars="100"/>
              <w:jc w:val="right"/>
              <w:textAlignment w:val="center"/>
              <w:rPr>
                <w:color w:val="000000"/>
                <w:sz w:val="21"/>
                <w:szCs w:val="21"/>
              </w:rPr>
            </w:pPr>
            <w:r>
              <w:rPr>
                <w:rFonts w:hint="eastAsia"/>
                <w:color w:val="000000"/>
                <w:sz w:val="21"/>
                <w:szCs w:val="21"/>
              </w:rPr>
              <w:t>2.00</w:t>
            </w:r>
          </w:p>
        </w:tc>
      </w:tr>
      <w:tr w14:paraId="41AF1638">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AC4CB">
            <w:pPr>
              <w:jc w:val="center"/>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E57A">
            <w:pPr>
              <w:jc w:val="left"/>
              <w:textAlignment w:val="center"/>
              <w:rPr>
                <w:color w:val="000000"/>
                <w:sz w:val="21"/>
                <w:szCs w:val="21"/>
              </w:rPr>
            </w:pPr>
            <w:r>
              <w:rPr>
                <w:rFonts w:hint="eastAsia"/>
                <w:color w:val="000000"/>
                <w:kern w:val="0"/>
                <w:sz w:val="21"/>
                <w:szCs w:val="21"/>
              </w:rPr>
              <w:t>C1-5</w:t>
            </w:r>
            <w:r>
              <w:rPr>
                <w:rFonts w:hint="eastAsia"/>
                <w:color w:val="000000"/>
                <w:sz w:val="21"/>
                <w:szCs w:val="21"/>
              </w:rPr>
              <w:t>文物保护工作完成情况</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3E43">
            <w:pPr>
              <w:ind w:right="280" w:rightChars="100"/>
              <w:jc w:val="right"/>
              <w:textAlignment w:val="center"/>
              <w:rPr>
                <w:color w:val="000000"/>
                <w:sz w:val="21"/>
                <w:szCs w:val="21"/>
              </w:rPr>
            </w:pPr>
            <w:r>
              <w:rPr>
                <w:rFonts w:hint="eastAsia"/>
                <w:color w:val="000000"/>
                <w:sz w:val="21"/>
                <w:szCs w:val="21"/>
              </w:rPr>
              <w:t>6.00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1177">
            <w:pPr>
              <w:ind w:right="280" w:rightChars="100"/>
              <w:jc w:val="right"/>
              <w:textAlignment w:val="center"/>
              <w:rPr>
                <w:color w:val="000000"/>
                <w:sz w:val="21"/>
                <w:szCs w:val="21"/>
              </w:rPr>
            </w:pPr>
            <w:r>
              <w:rPr>
                <w:rFonts w:hint="eastAsia"/>
                <w:color w:val="000000"/>
                <w:sz w:val="21"/>
                <w:szCs w:val="21"/>
              </w:rPr>
              <w:t>5.50</w:t>
            </w:r>
          </w:p>
        </w:tc>
      </w:tr>
      <w:tr w14:paraId="14BDAB35">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20284">
            <w:pPr>
              <w:jc w:val="center"/>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6612">
            <w:pPr>
              <w:jc w:val="center"/>
              <w:textAlignment w:val="center"/>
              <w:rPr>
                <w:b/>
                <w:bCs/>
                <w:color w:val="000000"/>
                <w:sz w:val="21"/>
                <w:szCs w:val="21"/>
              </w:rPr>
            </w:pPr>
            <w:r>
              <w:rPr>
                <w:rFonts w:hint="eastAsia"/>
                <w:b/>
                <w:bCs/>
                <w:color w:val="000000"/>
                <w:kern w:val="0"/>
                <w:sz w:val="21"/>
                <w:szCs w:val="21"/>
              </w:rPr>
              <w:t>小计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8A1D">
            <w:pPr>
              <w:ind w:right="280" w:rightChars="100"/>
              <w:jc w:val="right"/>
              <w:textAlignment w:val="center"/>
              <w:rPr>
                <w:b/>
                <w:bCs/>
                <w:color w:val="000000"/>
                <w:sz w:val="21"/>
                <w:szCs w:val="21"/>
              </w:rPr>
            </w:pPr>
            <w:r>
              <w:rPr>
                <w:rFonts w:hint="eastAsia"/>
                <w:b/>
                <w:bCs/>
                <w:color w:val="000000"/>
                <w:sz w:val="21"/>
                <w:szCs w:val="21"/>
              </w:rPr>
              <w:t>20.00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0B2D">
            <w:pPr>
              <w:ind w:right="280" w:rightChars="100"/>
              <w:jc w:val="right"/>
              <w:textAlignment w:val="center"/>
              <w:rPr>
                <w:b/>
                <w:bCs/>
                <w:color w:val="000000"/>
                <w:sz w:val="21"/>
                <w:szCs w:val="21"/>
                <w:highlight w:val="yellow"/>
              </w:rPr>
            </w:pPr>
            <w:r>
              <w:rPr>
                <w:rFonts w:hint="eastAsia"/>
                <w:b/>
                <w:bCs/>
                <w:color w:val="000000"/>
                <w:sz w:val="21"/>
                <w:szCs w:val="21"/>
              </w:rPr>
              <w:t>18.50</w:t>
            </w:r>
          </w:p>
        </w:tc>
      </w:tr>
      <w:tr w14:paraId="2B1D1086">
        <w:tblPrEx>
          <w:tblCellMar>
            <w:top w:w="0" w:type="dxa"/>
            <w:left w:w="108" w:type="dxa"/>
            <w:bottom w:w="0" w:type="dxa"/>
            <w:right w:w="108" w:type="dxa"/>
          </w:tblCellMar>
        </w:tblPrEx>
        <w:trPr>
          <w:trHeight w:val="499" w:hRule="atLeast"/>
        </w:trPr>
        <w:tc>
          <w:tcPr>
            <w:tcW w:w="15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0842C">
            <w:pPr>
              <w:jc w:val="left"/>
              <w:textAlignment w:val="center"/>
              <w:rPr>
                <w:color w:val="000000"/>
                <w:sz w:val="21"/>
                <w:szCs w:val="21"/>
              </w:rPr>
            </w:pPr>
            <w:r>
              <w:rPr>
                <w:rFonts w:hint="eastAsia"/>
                <w:color w:val="000000"/>
                <w:kern w:val="0"/>
                <w:sz w:val="21"/>
                <w:szCs w:val="21"/>
              </w:rPr>
              <w:t>C2目标任务完成质量</w:t>
            </w: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59E9">
            <w:pPr>
              <w:jc w:val="left"/>
              <w:textAlignment w:val="center"/>
              <w:rPr>
                <w:color w:val="000000"/>
                <w:sz w:val="21"/>
                <w:szCs w:val="21"/>
              </w:rPr>
            </w:pPr>
            <w:r>
              <w:rPr>
                <w:rFonts w:hint="eastAsia"/>
                <w:color w:val="000000"/>
                <w:kern w:val="0"/>
                <w:sz w:val="21"/>
                <w:szCs w:val="21"/>
              </w:rPr>
              <w:t>C2-1项目验收通过率</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5BA7">
            <w:pPr>
              <w:ind w:right="280" w:rightChars="100"/>
              <w:jc w:val="right"/>
              <w:textAlignment w:val="center"/>
              <w:rPr>
                <w:color w:val="000000"/>
                <w:sz w:val="21"/>
                <w:szCs w:val="21"/>
              </w:rPr>
            </w:pPr>
            <w:r>
              <w:rPr>
                <w:rFonts w:hint="eastAsia"/>
                <w:color w:val="000000"/>
                <w:sz w:val="21"/>
                <w:szCs w:val="21"/>
              </w:rPr>
              <w:t>2.00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26B9">
            <w:pPr>
              <w:ind w:right="280" w:rightChars="100"/>
              <w:jc w:val="right"/>
              <w:textAlignment w:val="center"/>
              <w:rPr>
                <w:color w:val="000000"/>
                <w:sz w:val="21"/>
                <w:szCs w:val="21"/>
              </w:rPr>
            </w:pPr>
            <w:r>
              <w:rPr>
                <w:rFonts w:hint="eastAsia"/>
                <w:color w:val="000000"/>
                <w:sz w:val="21"/>
                <w:szCs w:val="21"/>
              </w:rPr>
              <w:t>2.00</w:t>
            </w:r>
          </w:p>
        </w:tc>
      </w:tr>
      <w:tr w14:paraId="37F63AEE">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8AE5C">
            <w:pPr>
              <w:jc w:val="left"/>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4A428">
            <w:pPr>
              <w:jc w:val="left"/>
              <w:textAlignment w:val="center"/>
              <w:rPr>
                <w:color w:val="000000"/>
                <w:sz w:val="21"/>
                <w:szCs w:val="21"/>
              </w:rPr>
            </w:pPr>
            <w:r>
              <w:rPr>
                <w:rFonts w:hint="eastAsia"/>
                <w:color w:val="000000"/>
                <w:kern w:val="0"/>
                <w:sz w:val="21"/>
                <w:szCs w:val="21"/>
              </w:rPr>
              <w:t>C2-2目标责任考核等级</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13A5">
            <w:pPr>
              <w:ind w:right="280" w:rightChars="100"/>
              <w:jc w:val="right"/>
              <w:textAlignment w:val="center"/>
              <w:rPr>
                <w:color w:val="000000"/>
                <w:sz w:val="21"/>
                <w:szCs w:val="21"/>
              </w:rPr>
            </w:pPr>
            <w:r>
              <w:rPr>
                <w:rFonts w:hint="eastAsia"/>
                <w:color w:val="000000"/>
                <w:sz w:val="21"/>
                <w:szCs w:val="21"/>
              </w:rPr>
              <w:t>2.00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7DA3">
            <w:pPr>
              <w:ind w:right="280" w:rightChars="100"/>
              <w:jc w:val="right"/>
              <w:textAlignment w:val="center"/>
              <w:rPr>
                <w:color w:val="000000"/>
                <w:sz w:val="21"/>
                <w:szCs w:val="21"/>
              </w:rPr>
            </w:pPr>
            <w:r>
              <w:rPr>
                <w:rFonts w:hint="eastAsia"/>
                <w:color w:val="000000"/>
                <w:sz w:val="21"/>
                <w:szCs w:val="21"/>
              </w:rPr>
              <w:t>1.00</w:t>
            </w:r>
          </w:p>
        </w:tc>
      </w:tr>
      <w:tr w14:paraId="63AE8D77">
        <w:tblPrEx>
          <w:tblCellMar>
            <w:top w:w="0" w:type="dxa"/>
            <w:left w:w="108" w:type="dxa"/>
            <w:bottom w:w="0" w:type="dxa"/>
            <w:right w:w="108" w:type="dxa"/>
          </w:tblCellMar>
        </w:tblPrEx>
        <w:trPr>
          <w:trHeight w:val="499" w:hRule="atLeast"/>
        </w:trPr>
        <w:tc>
          <w:tcPr>
            <w:tcW w:w="15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10794">
            <w:pPr>
              <w:jc w:val="left"/>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980B">
            <w:pPr>
              <w:jc w:val="center"/>
              <w:textAlignment w:val="center"/>
              <w:rPr>
                <w:b/>
                <w:bCs/>
                <w:color w:val="000000"/>
                <w:sz w:val="21"/>
                <w:szCs w:val="21"/>
              </w:rPr>
            </w:pPr>
            <w:r>
              <w:rPr>
                <w:rFonts w:hint="eastAsia"/>
                <w:b/>
                <w:bCs/>
                <w:color w:val="000000"/>
                <w:kern w:val="0"/>
                <w:sz w:val="21"/>
                <w:szCs w:val="21"/>
              </w:rPr>
              <w:t>小计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BD76">
            <w:pPr>
              <w:ind w:right="280" w:rightChars="100"/>
              <w:jc w:val="right"/>
              <w:textAlignment w:val="center"/>
              <w:rPr>
                <w:b/>
                <w:bCs/>
                <w:color w:val="000000"/>
                <w:sz w:val="21"/>
                <w:szCs w:val="21"/>
              </w:rPr>
            </w:pPr>
            <w:r>
              <w:rPr>
                <w:rFonts w:hint="eastAsia"/>
                <w:b/>
                <w:bCs/>
                <w:color w:val="000000"/>
                <w:sz w:val="21"/>
                <w:szCs w:val="21"/>
              </w:rPr>
              <w:t>4.00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8D05">
            <w:pPr>
              <w:ind w:right="280" w:rightChars="100"/>
              <w:jc w:val="right"/>
              <w:textAlignment w:val="center"/>
              <w:rPr>
                <w:b/>
                <w:bCs/>
                <w:color w:val="000000"/>
                <w:sz w:val="21"/>
                <w:szCs w:val="21"/>
              </w:rPr>
            </w:pPr>
            <w:r>
              <w:rPr>
                <w:rFonts w:hint="eastAsia"/>
                <w:b/>
                <w:bCs/>
                <w:color w:val="000000"/>
                <w:sz w:val="21"/>
                <w:szCs w:val="21"/>
              </w:rPr>
              <w:t>3.00</w:t>
            </w:r>
          </w:p>
        </w:tc>
      </w:tr>
      <w:tr w14:paraId="75EFE1AA">
        <w:tblPrEx>
          <w:tblCellMar>
            <w:top w:w="0" w:type="dxa"/>
            <w:left w:w="108" w:type="dxa"/>
            <w:bottom w:w="0" w:type="dxa"/>
            <w:right w:w="108" w:type="dxa"/>
          </w:tblCellMar>
        </w:tblPrEx>
        <w:trPr>
          <w:trHeight w:val="499" w:hRule="atLeast"/>
        </w:trPr>
        <w:tc>
          <w:tcPr>
            <w:tcW w:w="1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95F49">
            <w:pPr>
              <w:jc w:val="left"/>
              <w:rPr>
                <w:color w:val="000000"/>
                <w:sz w:val="21"/>
                <w:szCs w:val="21"/>
              </w:rPr>
            </w:pPr>
            <w:r>
              <w:rPr>
                <w:rFonts w:hint="eastAsia"/>
                <w:color w:val="000000"/>
                <w:kern w:val="0"/>
                <w:sz w:val="21"/>
                <w:szCs w:val="21"/>
              </w:rPr>
              <w:t>C3目标任务完成及时性</w:t>
            </w: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66E0">
            <w:pPr>
              <w:jc w:val="left"/>
              <w:textAlignment w:val="center"/>
              <w:rPr>
                <w:color w:val="000000"/>
                <w:kern w:val="0"/>
                <w:sz w:val="21"/>
                <w:szCs w:val="21"/>
              </w:rPr>
            </w:pPr>
            <w:r>
              <w:rPr>
                <w:rFonts w:hint="eastAsia"/>
                <w:color w:val="000000"/>
                <w:kern w:val="0"/>
                <w:sz w:val="21"/>
                <w:szCs w:val="21"/>
              </w:rPr>
              <w:t>各项目完成及时性</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FE18E">
            <w:pPr>
              <w:ind w:right="280" w:rightChars="100"/>
              <w:jc w:val="right"/>
              <w:textAlignment w:val="center"/>
              <w:rPr>
                <w:color w:val="000000"/>
                <w:sz w:val="21"/>
                <w:szCs w:val="21"/>
              </w:rPr>
            </w:pPr>
            <w:r>
              <w:rPr>
                <w:rFonts w:hint="eastAsia"/>
                <w:color w:val="000000"/>
                <w:sz w:val="21"/>
                <w:szCs w:val="21"/>
              </w:rPr>
              <w:t>3.00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96C2">
            <w:pPr>
              <w:ind w:right="280" w:rightChars="100"/>
              <w:jc w:val="right"/>
              <w:textAlignment w:val="center"/>
              <w:rPr>
                <w:color w:val="000000"/>
                <w:sz w:val="21"/>
                <w:szCs w:val="21"/>
              </w:rPr>
            </w:pPr>
            <w:r>
              <w:rPr>
                <w:rFonts w:hint="eastAsia"/>
                <w:color w:val="000000"/>
                <w:sz w:val="21"/>
                <w:szCs w:val="21"/>
              </w:rPr>
              <w:t>2.00</w:t>
            </w:r>
          </w:p>
        </w:tc>
      </w:tr>
      <w:tr w14:paraId="284DB504">
        <w:tblPrEx>
          <w:tblCellMar>
            <w:top w:w="0" w:type="dxa"/>
            <w:left w:w="108" w:type="dxa"/>
            <w:bottom w:w="0" w:type="dxa"/>
            <w:right w:w="108" w:type="dxa"/>
          </w:tblCellMar>
        </w:tblPrEx>
        <w:trPr>
          <w:trHeight w:val="499" w:hRule="atLeast"/>
        </w:trPr>
        <w:tc>
          <w:tcPr>
            <w:tcW w:w="1511" w:type="pct"/>
            <w:vMerge w:val="restart"/>
            <w:tcBorders>
              <w:top w:val="single" w:color="000000" w:sz="4" w:space="0"/>
              <w:left w:val="single" w:color="000000" w:sz="4" w:space="0"/>
              <w:right w:val="single" w:color="000000" w:sz="4" w:space="0"/>
            </w:tcBorders>
            <w:shd w:val="clear" w:color="auto" w:fill="auto"/>
            <w:vAlign w:val="center"/>
          </w:tcPr>
          <w:p w14:paraId="7A8B3D3B">
            <w:pPr>
              <w:jc w:val="left"/>
              <w:rPr>
                <w:color w:val="000000"/>
                <w:sz w:val="21"/>
                <w:szCs w:val="21"/>
              </w:rPr>
            </w:pPr>
            <w:r>
              <w:rPr>
                <w:rFonts w:hint="eastAsia"/>
                <w:color w:val="000000"/>
                <w:kern w:val="0"/>
                <w:sz w:val="21"/>
                <w:szCs w:val="21"/>
              </w:rPr>
              <w:t>C4</w:t>
            </w:r>
            <w:r>
              <w:rPr>
                <w:rFonts w:hint="eastAsia"/>
                <w:color w:val="000000"/>
                <w:sz w:val="21"/>
                <w:szCs w:val="21"/>
              </w:rPr>
              <w:t>运行成本控制有效性</w:t>
            </w: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2DCCE">
            <w:pPr>
              <w:jc w:val="left"/>
              <w:textAlignment w:val="center"/>
              <w:rPr>
                <w:b/>
                <w:bCs/>
                <w:color w:val="000000"/>
                <w:kern w:val="0"/>
                <w:sz w:val="21"/>
                <w:szCs w:val="21"/>
              </w:rPr>
            </w:pPr>
            <w:r>
              <w:rPr>
                <w:rFonts w:hint="eastAsia"/>
                <w:color w:val="000000"/>
                <w:kern w:val="0"/>
                <w:sz w:val="21"/>
                <w:szCs w:val="21"/>
              </w:rPr>
              <w:t>C4-1“公用经费”控制率</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64B6">
            <w:pPr>
              <w:ind w:right="280" w:rightChars="100"/>
              <w:jc w:val="right"/>
              <w:textAlignment w:val="center"/>
              <w:rPr>
                <w:color w:val="000000"/>
                <w:kern w:val="0"/>
                <w:sz w:val="21"/>
                <w:szCs w:val="21"/>
              </w:rPr>
            </w:pPr>
            <w:r>
              <w:rPr>
                <w:rFonts w:hint="eastAsia"/>
                <w:color w:val="000000"/>
                <w:kern w:val="0"/>
                <w:sz w:val="21"/>
                <w:szCs w:val="21"/>
              </w:rPr>
              <w:t>1.00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B910">
            <w:pPr>
              <w:ind w:right="280" w:rightChars="100"/>
              <w:jc w:val="right"/>
              <w:textAlignment w:val="center"/>
              <w:rPr>
                <w:color w:val="000000"/>
                <w:sz w:val="21"/>
                <w:szCs w:val="21"/>
              </w:rPr>
            </w:pPr>
            <w:r>
              <w:rPr>
                <w:rFonts w:hint="eastAsia"/>
                <w:color w:val="000000"/>
                <w:sz w:val="21"/>
                <w:szCs w:val="21"/>
              </w:rPr>
              <w:t>1.00</w:t>
            </w:r>
          </w:p>
        </w:tc>
      </w:tr>
      <w:tr w14:paraId="15C548DF">
        <w:tblPrEx>
          <w:tblCellMar>
            <w:top w:w="0" w:type="dxa"/>
            <w:left w:w="108" w:type="dxa"/>
            <w:bottom w:w="0" w:type="dxa"/>
            <w:right w:w="108" w:type="dxa"/>
          </w:tblCellMar>
        </w:tblPrEx>
        <w:trPr>
          <w:trHeight w:val="499" w:hRule="atLeast"/>
        </w:trPr>
        <w:tc>
          <w:tcPr>
            <w:tcW w:w="1511" w:type="pct"/>
            <w:vMerge w:val="continue"/>
            <w:tcBorders>
              <w:left w:val="single" w:color="000000" w:sz="4" w:space="0"/>
              <w:right w:val="single" w:color="000000" w:sz="4" w:space="0"/>
            </w:tcBorders>
            <w:shd w:val="clear" w:color="auto" w:fill="auto"/>
            <w:vAlign w:val="center"/>
          </w:tcPr>
          <w:p w14:paraId="4299D299">
            <w:pPr>
              <w:jc w:val="left"/>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B2241">
            <w:pPr>
              <w:jc w:val="left"/>
              <w:textAlignment w:val="center"/>
              <w:rPr>
                <w:b/>
                <w:bCs/>
                <w:color w:val="000000"/>
                <w:kern w:val="0"/>
                <w:sz w:val="21"/>
                <w:szCs w:val="21"/>
              </w:rPr>
            </w:pPr>
            <w:r>
              <w:rPr>
                <w:rFonts w:hint="eastAsia"/>
                <w:color w:val="000000"/>
                <w:kern w:val="0"/>
                <w:sz w:val="21"/>
                <w:szCs w:val="21"/>
              </w:rPr>
              <w:t>C4-2“三公经费”控制率</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B64B">
            <w:pPr>
              <w:ind w:right="280" w:rightChars="100"/>
              <w:jc w:val="right"/>
              <w:textAlignment w:val="center"/>
              <w:rPr>
                <w:color w:val="000000"/>
                <w:kern w:val="0"/>
                <w:sz w:val="21"/>
                <w:szCs w:val="21"/>
              </w:rPr>
            </w:pPr>
            <w:r>
              <w:rPr>
                <w:rFonts w:hint="eastAsia"/>
                <w:color w:val="000000"/>
                <w:kern w:val="0"/>
                <w:sz w:val="21"/>
                <w:szCs w:val="21"/>
              </w:rPr>
              <w:t>1.00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509D">
            <w:pPr>
              <w:ind w:right="280" w:rightChars="100"/>
              <w:jc w:val="right"/>
              <w:textAlignment w:val="center"/>
              <w:rPr>
                <w:color w:val="000000"/>
                <w:sz w:val="21"/>
                <w:szCs w:val="21"/>
              </w:rPr>
            </w:pPr>
            <w:r>
              <w:rPr>
                <w:rFonts w:hint="eastAsia"/>
                <w:color w:val="000000"/>
                <w:sz w:val="21"/>
                <w:szCs w:val="21"/>
              </w:rPr>
              <w:t>1.00</w:t>
            </w:r>
          </w:p>
        </w:tc>
      </w:tr>
      <w:tr w14:paraId="656375D1">
        <w:tblPrEx>
          <w:tblCellMar>
            <w:top w:w="0" w:type="dxa"/>
            <w:left w:w="108" w:type="dxa"/>
            <w:bottom w:w="0" w:type="dxa"/>
            <w:right w:w="108" w:type="dxa"/>
          </w:tblCellMar>
        </w:tblPrEx>
        <w:trPr>
          <w:trHeight w:val="499" w:hRule="atLeast"/>
        </w:trPr>
        <w:tc>
          <w:tcPr>
            <w:tcW w:w="1511" w:type="pct"/>
            <w:vMerge w:val="continue"/>
            <w:tcBorders>
              <w:left w:val="single" w:color="000000" w:sz="4" w:space="0"/>
              <w:right w:val="single" w:color="000000" w:sz="4" w:space="0"/>
            </w:tcBorders>
            <w:shd w:val="clear" w:color="auto" w:fill="auto"/>
            <w:vAlign w:val="center"/>
          </w:tcPr>
          <w:p w14:paraId="4AF95A4F">
            <w:pPr>
              <w:jc w:val="left"/>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E09A">
            <w:pPr>
              <w:jc w:val="left"/>
              <w:textAlignment w:val="center"/>
              <w:rPr>
                <w:b/>
                <w:bCs/>
                <w:color w:val="000000"/>
                <w:kern w:val="0"/>
                <w:sz w:val="21"/>
                <w:szCs w:val="21"/>
              </w:rPr>
            </w:pPr>
            <w:r>
              <w:rPr>
                <w:rFonts w:hint="eastAsia"/>
                <w:color w:val="000000"/>
                <w:kern w:val="0"/>
                <w:sz w:val="21"/>
                <w:szCs w:val="21"/>
              </w:rPr>
              <w:t>C4-3“人员成本”控制率</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AE0C">
            <w:pPr>
              <w:ind w:right="280" w:rightChars="100"/>
              <w:jc w:val="right"/>
              <w:textAlignment w:val="center"/>
              <w:rPr>
                <w:color w:val="000000"/>
                <w:kern w:val="0"/>
                <w:sz w:val="21"/>
                <w:szCs w:val="21"/>
              </w:rPr>
            </w:pPr>
            <w:r>
              <w:rPr>
                <w:rFonts w:hint="eastAsia"/>
                <w:color w:val="000000"/>
                <w:kern w:val="0"/>
                <w:sz w:val="21"/>
                <w:szCs w:val="21"/>
              </w:rPr>
              <w:t>1.00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97AE">
            <w:pPr>
              <w:ind w:right="280" w:rightChars="100"/>
              <w:jc w:val="right"/>
              <w:textAlignment w:val="center"/>
              <w:rPr>
                <w:color w:val="000000"/>
                <w:sz w:val="21"/>
                <w:szCs w:val="21"/>
              </w:rPr>
            </w:pPr>
            <w:r>
              <w:rPr>
                <w:rFonts w:hint="eastAsia"/>
                <w:color w:val="000000"/>
                <w:sz w:val="21"/>
                <w:szCs w:val="21"/>
              </w:rPr>
              <w:t>0.50</w:t>
            </w:r>
          </w:p>
        </w:tc>
      </w:tr>
      <w:tr w14:paraId="6AE23E25">
        <w:tblPrEx>
          <w:tblCellMar>
            <w:top w:w="0" w:type="dxa"/>
            <w:left w:w="108" w:type="dxa"/>
            <w:bottom w:w="0" w:type="dxa"/>
            <w:right w:w="108" w:type="dxa"/>
          </w:tblCellMar>
        </w:tblPrEx>
        <w:trPr>
          <w:trHeight w:val="499" w:hRule="atLeast"/>
        </w:trPr>
        <w:tc>
          <w:tcPr>
            <w:tcW w:w="1511" w:type="pct"/>
            <w:vMerge w:val="continue"/>
            <w:tcBorders>
              <w:left w:val="single" w:color="000000" w:sz="4" w:space="0"/>
              <w:bottom w:val="single" w:color="000000" w:sz="4" w:space="0"/>
              <w:right w:val="single" w:color="000000" w:sz="4" w:space="0"/>
            </w:tcBorders>
            <w:shd w:val="clear" w:color="auto" w:fill="auto"/>
            <w:vAlign w:val="center"/>
          </w:tcPr>
          <w:p w14:paraId="6B7278E3">
            <w:pPr>
              <w:jc w:val="left"/>
              <w:rPr>
                <w:color w:val="000000"/>
                <w:sz w:val="21"/>
                <w:szCs w:val="21"/>
              </w:rPr>
            </w:pPr>
          </w:p>
        </w:tc>
        <w:tc>
          <w:tcPr>
            <w:tcW w:w="1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EAD40">
            <w:pPr>
              <w:jc w:val="center"/>
              <w:textAlignment w:val="center"/>
              <w:rPr>
                <w:b/>
                <w:bCs/>
                <w:color w:val="000000"/>
                <w:sz w:val="21"/>
                <w:szCs w:val="21"/>
              </w:rPr>
            </w:pPr>
            <w:r>
              <w:rPr>
                <w:rFonts w:hint="eastAsia"/>
                <w:b/>
                <w:bCs/>
                <w:color w:val="000000"/>
                <w:kern w:val="0"/>
                <w:sz w:val="21"/>
                <w:szCs w:val="21"/>
              </w:rPr>
              <w:t>小计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4139">
            <w:pPr>
              <w:ind w:right="280" w:rightChars="100"/>
              <w:jc w:val="right"/>
              <w:textAlignment w:val="center"/>
              <w:rPr>
                <w:b/>
                <w:bCs/>
                <w:color w:val="000000"/>
                <w:sz w:val="21"/>
                <w:szCs w:val="21"/>
              </w:rPr>
            </w:pPr>
            <w:r>
              <w:rPr>
                <w:rFonts w:hint="eastAsia"/>
                <w:b/>
                <w:bCs/>
                <w:color w:val="000000"/>
                <w:sz w:val="21"/>
                <w:szCs w:val="21"/>
              </w:rPr>
              <w:t>3.00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8F64">
            <w:pPr>
              <w:ind w:right="280" w:rightChars="100"/>
              <w:jc w:val="right"/>
              <w:textAlignment w:val="center"/>
              <w:rPr>
                <w:b/>
                <w:bCs/>
                <w:color w:val="000000"/>
                <w:sz w:val="21"/>
                <w:szCs w:val="21"/>
              </w:rPr>
            </w:pPr>
            <w:r>
              <w:rPr>
                <w:rFonts w:hint="eastAsia"/>
                <w:b/>
                <w:bCs/>
                <w:color w:val="000000"/>
                <w:sz w:val="21"/>
                <w:szCs w:val="21"/>
              </w:rPr>
              <w:t>2.50</w:t>
            </w:r>
          </w:p>
        </w:tc>
      </w:tr>
      <w:tr w14:paraId="752CE8A2">
        <w:tblPrEx>
          <w:tblCellMar>
            <w:top w:w="0" w:type="dxa"/>
            <w:left w:w="108" w:type="dxa"/>
            <w:bottom w:w="0" w:type="dxa"/>
            <w:right w:w="108" w:type="dxa"/>
          </w:tblCellMar>
        </w:tblPrEx>
        <w:trPr>
          <w:trHeight w:val="499" w:hRule="atLeast"/>
        </w:trPr>
        <w:tc>
          <w:tcPr>
            <w:tcW w:w="3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BCCB8">
            <w:pPr>
              <w:jc w:val="center"/>
              <w:textAlignment w:val="center"/>
              <w:rPr>
                <w:b/>
                <w:bCs/>
                <w:color w:val="000000"/>
                <w:sz w:val="21"/>
                <w:szCs w:val="21"/>
              </w:rPr>
            </w:pPr>
            <w:r>
              <w:rPr>
                <w:rFonts w:hint="eastAsia"/>
                <w:b/>
                <w:bCs/>
                <w:color w:val="000000"/>
                <w:kern w:val="0"/>
                <w:sz w:val="21"/>
                <w:szCs w:val="21"/>
              </w:rPr>
              <w:t>合计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4B3CF">
            <w:pPr>
              <w:ind w:right="280" w:rightChars="100"/>
              <w:jc w:val="right"/>
              <w:textAlignment w:val="center"/>
              <w:rPr>
                <w:b/>
                <w:bCs/>
                <w:color w:val="000000"/>
                <w:sz w:val="21"/>
                <w:szCs w:val="21"/>
              </w:rPr>
            </w:pPr>
            <w:r>
              <w:rPr>
                <w:rFonts w:hint="eastAsia"/>
                <w:b/>
                <w:bCs/>
                <w:color w:val="000000"/>
                <w:sz w:val="21"/>
                <w:szCs w:val="21"/>
              </w:rPr>
              <w:t>30.00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EAD2">
            <w:pPr>
              <w:ind w:right="280" w:rightChars="100"/>
              <w:jc w:val="right"/>
              <w:textAlignment w:val="center"/>
              <w:rPr>
                <w:b/>
                <w:bCs/>
                <w:color w:val="000000"/>
                <w:sz w:val="21"/>
                <w:szCs w:val="21"/>
              </w:rPr>
            </w:pPr>
            <w:r>
              <w:rPr>
                <w:rFonts w:hint="eastAsia"/>
                <w:b/>
                <w:bCs/>
                <w:color w:val="000000"/>
                <w:sz w:val="21"/>
                <w:szCs w:val="21"/>
              </w:rPr>
              <w:t>26.00</w:t>
            </w:r>
          </w:p>
        </w:tc>
      </w:tr>
    </w:tbl>
    <w:p w14:paraId="3720A8DF">
      <w:pPr>
        <w:spacing w:line="540" w:lineRule="exact"/>
        <w:ind w:firstLine="562" w:firstLineChars="200"/>
        <w:outlineLvl w:val="3"/>
        <w:rPr>
          <w:b/>
          <w:bCs/>
        </w:rPr>
      </w:pPr>
      <w:r>
        <w:rPr>
          <w:rFonts w:hint="eastAsia"/>
          <w:b/>
          <w:bCs/>
        </w:rPr>
        <w:t>1.C1目标任务实现程度，权重20分，得分18.50分</w:t>
      </w:r>
    </w:p>
    <w:p w14:paraId="018A9554">
      <w:pPr>
        <w:pStyle w:val="8"/>
        <w:snapToGrid/>
        <w:spacing w:line="580" w:lineRule="exact"/>
        <w:ind w:firstLine="560"/>
        <w:outlineLvl w:val="4"/>
        <w:rPr>
          <w:rFonts w:ascii="仿宋" w:hAnsi="仿宋"/>
        </w:rPr>
      </w:pPr>
      <w:r>
        <w:rPr>
          <w:rFonts w:hint="eastAsia" w:ascii="仿宋" w:hAnsi="仿宋"/>
        </w:rPr>
        <w:t>（1）C1-1旅游工作完成情况</w:t>
      </w:r>
    </w:p>
    <w:p w14:paraId="25C1E482">
      <w:pPr>
        <w:pStyle w:val="8"/>
        <w:snapToGrid/>
        <w:ind w:firstLine="560"/>
        <w:rPr>
          <w:rFonts w:ascii="仿宋" w:hAnsi="仿宋"/>
        </w:rPr>
      </w:pPr>
      <w:r>
        <w:rPr>
          <w:rFonts w:hint="eastAsia" w:ascii="仿宋" w:hAnsi="仿宋"/>
        </w:rPr>
        <w:t>目标任务：</w:t>
      </w:r>
    </w:p>
    <w:p w14:paraId="2645E735">
      <w:pPr>
        <w:pStyle w:val="8"/>
        <w:snapToGrid/>
        <w:ind w:firstLine="560"/>
        <w:rPr>
          <w:rFonts w:ascii="仿宋" w:hAnsi="仿宋"/>
        </w:rPr>
      </w:pPr>
      <w:r>
        <w:rPr>
          <w:rFonts w:hint="eastAsia" w:ascii="仿宋" w:hAnsi="仿宋"/>
        </w:rPr>
        <w:t>①永济市万固寺至鹳雀楼旅游复合廊道建设项目，建设9.8km的自行车道，新建鹳雀楼景区停车场1座、制作万鹳路全线旅游标识标牌50个、新建3座旅游厕所和污水处理站2座。</w:t>
      </w:r>
    </w:p>
    <w:p w14:paraId="2E3EF092">
      <w:pPr>
        <w:pStyle w:val="8"/>
        <w:snapToGrid/>
        <w:ind w:firstLine="560"/>
        <w:rPr>
          <w:rFonts w:ascii="仿宋" w:hAnsi="仿宋"/>
        </w:rPr>
      </w:pPr>
      <w:r>
        <w:rPr>
          <w:rFonts w:hint="eastAsia" w:ascii="仿宋" w:hAnsi="仿宋"/>
        </w:rPr>
        <w:t>②推进旅游提质增效，完成创建1个4A级旅游景区。</w:t>
      </w:r>
    </w:p>
    <w:p w14:paraId="2A0E3C6C">
      <w:pPr>
        <w:pStyle w:val="8"/>
        <w:snapToGrid/>
        <w:ind w:firstLine="560"/>
        <w:rPr>
          <w:rFonts w:ascii="仿宋" w:hAnsi="仿宋"/>
        </w:rPr>
      </w:pPr>
      <w:r>
        <w:rPr>
          <w:rFonts w:hint="eastAsia" w:ascii="仿宋" w:hAnsi="仿宋"/>
        </w:rPr>
        <w:t>③完成五老峰景区停车场厕所和中寺农文旅融合旅游厕所建设工作。</w:t>
      </w:r>
    </w:p>
    <w:p w14:paraId="0FEA3117">
      <w:pPr>
        <w:pStyle w:val="8"/>
        <w:snapToGrid/>
        <w:ind w:firstLine="560"/>
        <w:rPr>
          <w:rFonts w:ascii="仿宋" w:hAnsi="仿宋"/>
        </w:rPr>
      </w:pPr>
      <w:r>
        <w:rPr>
          <w:rFonts w:hint="eastAsia" w:ascii="仿宋" w:hAnsi="仿宋"/>
        </w:rPr>
        <w:t>④完成上级下达的市场主体倍增任务。</w:t>
      </w:r>
    </w:p>
    <w:p w14:paraId="7CCF76D9">
      <w:pPr>
        <w:pStyle w:val="8"/>
        <w:snapToGrid/>
        <w:ind w:firstLine="560"/>
        <w:rPr>
          <w:rFonts w:ascii="仿宋" w:hAnsi="仿宋"/>
        </w:rPr>
      </w:pPr>
      <w:r>
        <w:rPr>
          <w:rFonts w:hint="eastAsia" w:ascii="仿宋" w:hAnsi="仿宋"/>
        </w:rPr>
        <w:t>⑤实施宣传推介营销活动，完成春节、五一、端午、国庆等节庆活动。</w:t>
      </w:r>
    </w:p>
    <w:p w14:paraId="12AED5C9">
      <w:pPr>
        <w:pStyle w:val="8"/>
        <w:snapToGrid/>
        <w:ind w:firstLine="560"/>
        <w:rPr>
          <w:rFonts w:ascii="仿宋" w:hAnsi="仿宋"/>
        </w:rPr>
      </w:pPr>
      <w:r>
        <w:rPr>
          <w:rFonts w:hint="eastAsia" w:ascii="仿宋" w:hAnsi="仿宋"/>
        </w:rPr>
        <w:t>⑥完成西安、河南等地举办永济旅游专场推介会。</w:t>
      </w:r>
    </w:p>
    <w:p w14:paraId="7B2A6FF0">
      <w:pPr>
        <w:pStyle w:val="8"/>
        <w:snapToGrid/>
        <w:ind w:firstLine="560"/>
        <w:rPr>
          <w:rFonts w:ascii="仿宋" w:hAnsi="仿宋"/>
        </w:rPr>
      </w:pPr>
      <w:r>
        <w:rPr>
          <w:rFonts w:hint="eastAsia" w:ascii="仿宋" w:hAnsi="仿宋"/>
        </w:rPr>
        <w:t>⑦完成普救寺爱情文化节活动，统筹全市农文旅结合的各项活动，推广永济市自然风光、人文历史、特产美食等各种优质资源。</w:t>
      </w:r>
    </w:p>
    <w:p w14:paraId="403C62D0">
      <w:pPr>
        <w:pStyle w:val="8"/>
        <w:snapToGrid/>
        <w:ind w:firstLine="560"/>
        <w:rPr>
          <w:rFonts w:ascii="仿宋" w:hAnsi="仿宋"/>
        </w:rPr>
      </w:pPr>
      <w:r>
        <w:rPr>
          <w:rFonts w:hint="eastAsia" w:ascii="仿宋" w:hAnsi="仿宋"/>
        </w:rPr>
        <w:t>⑧加大招商引资力度，招引国内外知名旅游企业来永考察投资，丰富旅游业态，提升永济市民宿服务水平，打造运城“条山驿”特色民宿品牌。</w:t>
      </w:r>
    </w:p>
    <w:p w14:paraId="4CDCF943">
      <w:pPr>
        <w:pStyle w:val="8"/>
        <w:snapToGrid/>
        <w:ind w:firstLine="560"/>
        <w:rPr>
          <w:rFonts w:ascii="仿宋" w:hAnsi="仿宋"/>
        </w:rPr>
      </w:pPr>
      <w:r>
        <w:rPr>
          <w:rFonts w:hint="eastAsia" w:ascii="仿宋" w:hAnsi="仿宋"/>
        </w:rPr>
        <w:t>完成情况：</w:t>
      </w:r>
    </w:p>
    <w:p w14:paraId="72C12984">
      <w:pPr>
        <w:pStyle w:val="8"/>
        <w:snapToGrid/>
        <w:ind w:firstLine="560"/>
        <w:rPr>
          <w:rFonts w:ascii="仿宋" w:hAnsi="仿宋"/>
        </w:rPr>
      </w:pPr>
      <w:r>
        <w:rPr>
          <w:rFonts w:hint="eastAsia" w:ascii="仿宋" w:hAnsi="仿宋"/>
        </w:rPr>
        <w:t>①截至绩效评价日，永济市万固寺至鹳雀楼旅游复合廊道建设项目，完成建设9.8km的自行车道，万鹳路全线旅游标识标牌50个、3座旅游厕所和污水处理站2座，但项目停车场充电工程尚未全部完成，扣0.5分。</w:t>
      </w:r>
    </w:p>
    <w:p w14:paraId="2D8A921A">
      <w:pPr>
        <w:widowControl w:val="0"/>
        <w:spacing w:line="560" w:lineRule="exact"/>
        <w:ind w:firstLine="560" w:firstLineChars="200"/>
        <w:outlineLvl w:val="1"/>
        <w:rPr>
          <w:bCs/>
        </w:rPr>
      </w:pPr>
      <w:r>
        <w:rPr>
          <w:rFonts w:hint="eastAsia"/>
          <w:bCs/>
        </w:rPr>
        <w:t>②永济市尧王台景区经有关市文化和旅游行政部门推荐，省文化和旅游厅按程序组织综合评定，被评为国家4A及旅游景区，得1分。</w:t>
      </w:r>
    </w:p>
    <w:p w14:paraId="524C45B8">
      <w:pPr>
        <w:pStyle w:val="8"/>
        <w:ind w:firstLine="560"/>
      </w:pPr>
      <w:r>
        <w:rPr>
          <w:rFonts w:hint="eastAsia"/>
        </w:rPr>
        <w:t>③五老峰景区停车场旅游厕所和中寺农文旅融合旅游厕所均已完工并验收。</w:t>
      </w:r>
    </w:p>
    <w:p w14:paraId="46B00A19">
      <w:pPr>
        <w:widowControl w:val="0"/>
        <w:spacing w:line="560" w:lineRule="exact"/>
        <w:ind w:firstLine="560" w:firstLineChars="200"/>
        <w:outlineLvl w:val="1"/>
        <w:rPr>
          <w:bCs/>
        </w:rPr>
      </w:pPr>
      <w:r>
        <w:rPr>
          <w:rFonts w:hint="eastAsia"/>
          <w:bCs/>
        </w:rPr>
        <w:t>④根据永济市市场主体倍增工作目标，文旅康养市场主体新增企业86户，根据上级文件要求，对86户市场主体进行自查，存在“一人多户”4户、“一址多照”4户、“短期内大量登记”6户，“同一登记机关在同一天4户以上企业或个体户登记注册系同一委托代理人”6户等情况，截至绩效评价日全部整改完成，得1分。</w:t>
      </w:r>
    </w:p>
    <w:p w14:paraId="6F9A3AEA">
      <w:pPr>
        <w:widowControl w:val="0"/>
        <w:spacing w:line="560" w:lineRule="exact"/>
        <w:ind w:firstLine="560" w:firstLineChars="200"/>
        <w:outlineLvl w:val="1"/>
        <w:rPr>
          <w:bCs/>
        </w:rPr>
      </w:pPr>
      <w:r>
        <w:rPr>
          <w:rFonts w:hint="eastAsia"/>
          <w:bCs/>
        </w:rPr>
        <w:t>⑤在春节、清明、五一、国庆等假期举办“新春冰雪嘉年华”“五月永济看山水·舜唐蒲坂梦境游”“浓情端午”“红娘牵秦晋 醉梦西厢情”第25届爱情文化节等系列主题活动，同时开展了“奋进正当时 聚力谱新篇“我们的节日”“文化进万家”、民俗文化进景区、戏迷活动展演等文化活动。</w:t>
      </w:r>
    </w:p>
    <w:p w14:paraId="39178AE2">
      <w:pPr>
        <w:widowControl w:val="0"/>
        <w:spacing w:line="560" w:lineRule="exact"/>
        <w:ind w:firstLine="560" w:firstLineChars="200"/>
        <w:outlineLvl w:val="1"/>
        <w:rPr>
          <w:bCs/>
        </w:rPr>
      </w:pPr>
      <w:r>
        <w:rPr>
          <w:rFonts w:hint="eastAsia"/>
          <w:bCs/>
        </w:rPr>
        <w:t>⑥永济市文旅局承办了文旅部“黄河主题旅游海外推广季”活动、2023环中国自驾游集结赛-万里黄河生态之旅山西永济站等相关活动，在鹳雀楼举办了2023年“缘来永济，等您相遇”旅游推介会、2023年贵州茅台山西茅粉嘉年华活动、在西安市易俗社文化街区广场成功举办永济旅游资源（西安）推介会，参加第六届山西文化产业博览交易会、“多彩非遗·晋在身边”山西文旅推介会、2023第二届中国（武汉）文化旅游博览会等8次大型旅游宣传推广等活动。</w:t>
      </w:r>
    </w:p>
    <w:p w14:paraId="35270901">
      <w:pPr>
        <w:widowControl w:val="0"/>
        <w:spacing w:line="560" w:lineRule="exact"/>
        <w:ind w:firstLine="560" w:firstLineChars="200"/>
        <w:outlineLvl w:val="1"/>
        <w:rPr>
          <w:bCs/>
        </w:rPr>
      </w:pPr>
      <w:r>
        <w:rPr>
          <w:rFonts w:hint="eastAsia"/>
          <w:bCs/>
        </w:rPr>
        <w:t>⑦永济市文旅局于2023年9月8日至10月28日举办了“红娘牵秦晋·醉梦西厢情”第25届爱情文化节活动。本次活动包括内容发布仪式、爱情文化节开幕式、秦晋之好红歌会和红娘文化交流研讨会等四个阶段，并举办了农特产品为主的文化节，包括首届黄河滩荷花节暨黄河文化风情游活动、首届河鲜文化节暨生态大虾开塘节、首届葡萄文化节暨卿头克伦生葡萄开园节、首届黄河鲤鱼节暨“鱼”你一起“游”蒲州河鲜美食文化节和首届张营米醋文化节暨“村光大道”村歌大赛等5大活动。</w:t>
      </w:r>
    </w:p>
    <w:p w14:paraId="51C7E184">
      <w:pPr>
        <w:widowControl w:val="0"/>
        <w:spacing w:line="560" w:lineRule="exact"/>
        <w:ind w:firstLine="560" w:firstLineChars="200"/>
        <w:outlineLvl w:val="1"/>
        <w:rPr>
          <w:bCs/>
        </w:rPr>
      </w:pPr>
      <w:r>
        <w:rPr>
          <w:rFonts w:hint="eastAsia"/>
          <w:bCs/>
        </w:rPr>
        <w:t>⑧全年对接国内重点文旅企业13家，开展招商活动8次，落地项目3个，分别是与晟景文化旅游发展（北京）有限公司签订的五老峰斜行电梯项目、与山西省松德新能源科技有限公司签订的景区内部交通车项目、与山西涌吉三和置业有限公司签订了永济市万固寺文化旅游产业一体化项目投资框架协议书，并依托优良的自然地理优势布局建设了尧王台雲尚民宿、蒲舍南谷里、望西厢窑洞民宿等高标准民宿。</w:t>
      </w:r>
    </w:p>
    <w:p w14:paraId="0E53CB09">
      <w:pPr>
        <w:widowControl w:val="0"/>
        <w:spacing w:line="560" w:lineRule="exact"/>
        <w:ind w:firstLine="560" w:firstLineChars="200"/>
        <w:outlineLvl w:val="1"/>
        <w:rPr>
          <w:bCs/>
        </w:rPr>
      </w:pPr>
      <w:r>
        <w:rPr>
          <w:rFonts w:hint="eastAsia"/>
          <w:bCs/>
        </w:rPr>
        <w:t>（2）C1-2文化工作完成情况</w:t>
      </w:r>
    </w:p>
    <w:p w14:paraId="73758843">
      <w:pPr>
        <w:widowControl w:val="0"/>
        <w:spacing w:line="560" w:lineRule="exact"/>
        <w:ind w:firstLine="560" w:firstLineChars="200"/>
        <w:outlineLvl w:val="1"/>
        <w:rPr>
          <w:bCs/>
        </w:rPr>
      </w:pPr>
      <w:r>
        <w:rPr>
          <w:rFonts w:hint="eastAsia"/>
          <w:bCs/>
        </w:rPr>
        <w:t>目标任务：</w:t>
      </w:r>
    </w:p>
    <w:p w14:paraId="68DC456A">
      <w:pPr>
        <w:widowControl w:val="0"/>
        <w:spacing w:line="560" w:lineRule="exact"/>
        <w:ind w:firstLine="560" w:firstLineChars="200"/>
        <w:outlineLvl w:val="1"/>
        <w:rPr>
          <w:bCs/>
        </w:rPr>
      </w:pPr>
      <w:r>
        <w:rPr>
          <w:rFonts w:hint="eastAsia"/>
          <w:bCs/>
        </w:rPr>
        <w:t>①组织开展“我有拿手戏”群众文艺大展演。</w:t>
      </w:r>
    </w:p>
    <w:p w14:paraId="0C152419">
      <w:pPr>
        <w:widowControl w:val="0"/>
        <w:spacing w:line="560" w:lineRule="exact"/>
        <w:ind w:firstLine="560" w:firstLineChars="200"/>
        <w:outlineLvl w:val="1"/>
        <w:rPr>
          <w:bCs/>
        </w:rPr>
      </w:pPr>
      <w:r>
        <w:rPr>
          <w:rFonts w:hint="eastAsia"/>
          <w:bCs/>
        </w:rPr>
        <w:t>②组织开展“我有拿手戏”群众文艺大展演；培育乡村群众文艺队伍并开展基层演出活动；挖掘乡土文化能人开展各类农村活动；培养乡村文化带头人，组织各类群众活动。全年共开展各类群众文化活动1818场，送戏下乡120场。</w:t>
      </w:r>
    </w:p>
    <w:p w14:paraId="349724EF">
      <w:pPr>
        <w:widowControl w:val="0"/>
        <w:spacing w:line="560" w:lineRule="exact"/>
        <w:ind w:firstLine="560" w:firstLineChars="200"/>
        <w:outlineLvl w:val="1"/>
        <w:rPr>
          <w:bCs/>
        </w:rPr>
      </w:pPr>
      <w:r>
        <w:rPr>
          <w:rFonts w:hint="eastAsia"/>
          <w:bCs/>
        </w:rPr>
        <w:t>③新建1座“河东书房”，基本建设15分钟高品质文化生活圈。</w:t>
      </w:r>
    </w:p>
    <w:p w14:paraId="031958D8">
      <w:pPr>
        <w:widowControl w:val="0"/>
        <w:spacing w:line="560" w:lineRule="exact"/>
        <w:ind w:firstLine="560" w:firstLineChars="200"/>
        <w:outlineLvl w:val="1"/>
        <w:rPr>
          <w:bCs/>
        </w:rPr>
      </w:pPr>
      <w:r>
        <w:rPr>
          <w:rFonts w:hint="eastAsia"/>
          <w:bCs/>
        </w:rPr>
        <w:t>完成情况：</w:t>
      </w:r>
    </w:p>
    <w:p w14:paraId="1EF26031">
      <w:pPr>
        <w:widowControl w:val="0"/>
        <w:spacing w:line="560" w:lineRule="exact"/>
        <w:ind w:firstLine="560" w:firstLineChars="200"/>
        <w:outlineLvl w:val="1"/>
        <w:rPr>
          <w:bCs/>
        </w:rPr>
      </w:pPr>
      <w:r>
        <w:rPr>
          <w:rFonts w:hint="eastAsia"/>
          <w:bCs/>
        </w:rPr>
        <w:t>①创新开展“我有拿手戏”群众文艺大展演活动。在十个镇（街道）、舜帝山森林公园、人民剧院广场、各景区等地开展了“礼赞新时代 奋进新征程”运城市第五届“我有拿手戏”群众文艺节目大展演、“奋进正当时 聚力谱新篇 我有拿手戏”群众文艺大展演活动（镇级）、“我有拿手戏”群众文艺大展演暨2023年永济市消夏文化活动（市级）、庆中秋 迎国庆 我有拿手戏”优秀群文作品展演活动等20余场大型演出活动。</w:t>
      </w:r>
    </w:p>
    <w:p w14:paraId="5063242D">
      <w:pPr>
        <w:widowControl w:val="0"/>
        <w:spacing w:line="560" w:lineRule="exact"/>
        <w:ind w:firstLine="560" w:firstLineChars="200"/>
        <w:outlineLvl w:val="1"/>
        <w:rPr>
          <w:bCs/>
        </w:rPr>
      </w:pPr>
      <w:r>
        <w:rPr>
          <w:rFonts w:hint="eastAsia"/>
          <w:bCs/>
        </w:rPr>
        <w:t>②2023年共培育43个文艺小分队(28个文化带头人、16个文化能人艺人），并围绕重要节庆日开展“文化进万家”、民俗文化进景区、戏迷活动展演、“新时代文化馆 开放·融合·创新”服务宣传周展演等各类文艺活动1989场，送戏下乡113场，扣0.5分，做好图书馆和博物馆免费开放工作，开展总馆和分馆免费书法、美术、舞蹈、戏曲、合唱、锣鼓等课程辅导课时，完成了全市基层文艺骨干业务技能培训活动，图书借还累计达20余万册次，累计培训1700余课时，服务群众32万余人次。</w:t>
      </w:r>
    </w:p>
    <w:p w14:paraId="61BC4D9E">
      <w:pPr>
        <w:widowControl w:val="0"/>
        <w:spacing w:line="560" w:lineRule="exact"/>
        <w:ind w:firstLine="560" w:firstLineChars="200"/>
        <w:outlineLvl w:val="1"/>
        <w:rPr>
          <w:bCs/>
        </w:rPr>
      </w:pPr>
      <w:r>
        <w:rPr>
          <w:rFonts w:hint="eastAsia"/>
          <w:bCs/>
        </w:rPr>
        <w:t>③新建“河东书房”，为打通全民阅读“最后一公里”，在中国邮政永济分公司振兴街网点规划建设了一座高标准、高质量河东书房邮政馆，已正式开馆运行。</w:t>
      </w:r>
    </w:p>
    <w:p w14:paraId="0B747DC9">
      <w:pPr>
        <w:widowControl w:val="0"/>
        <w:spacing w:line="560" w:lineRule="exact"/>
        <w:ind w:firstLine="560" w:firstLineChars="200"/>
        <w:outlineLvl w:val="1"/>
        <w:rPr>
          <w:bCs/>
        </w:rPr>
      </w:pPr>
      <w:r>
        <w:rPr>
          <w:rFonts w:hint="eastAsia"/>
          <w:bCs/>
        </w:rPr>
        <w:t>（3）C1-3执法工作完成情况</w:t>
      </w:r>
    </w:p>
    <w:p w14:paraId="2B26F8BD">
      <w:pPr>
        <w:widowControl w:val="0"/>
        <w:spacing w:line="560" w:lineRule="exact"/>
        <w:ind w:firstLine="560" w:firstLineChars="200"/>
        <w:outlineLvl w:val="1"/>
        <w:rPr>
          <w:bCs/>
        </w:rPr>
      </w:pPr>
      <w:r>
        <w:rPr>
          <w:rFonts w:hint="eastAsia"/>
          <w:bCs/>
        </w:rPr>
        <w:t>2023年共检查市场主体569家次，出动执法人员1700余人次，发现安全隐患47处，已全部整改到位，未发现重大安全隐患；办案总数量33件，行政处罚罚款17253.5元；办理完结各类投诉77起；执法数据1709条、双随机355条、移动数据1089条。</w:t>
      </w:r>
    </w:p>
    <w:p w14:paraId="41754A18">
      <w:pPr>
        <w:widowControl w:val="0"/>
        <w:spacing w:line="560" w:lineRule="exact"/>
        <w:ind w:firstLine="560" w:firstLineChars="200"/>
        <w:outlineLvl w:val="1"/>
        <w:rPr>
          <w:bCs/>
        </w:rPr>
      </w:pPr>
      <w:r>
        <w:rPr>
          <w:rFonts w:hint="eastAsia"/>
          <w:bCs/>
        </w:rPr>
        <w:t>（4）C1-4党建工作完成情况</w:t>
      </w:r>
    </w:p>
    <w:p w14:paraId="2983C6A8">
      <w:pPr>
        <w:widowControl w:val="0"/>
        <w:spacing w:line="560" w:lineRule="exact"/>
        <w:ind w:firstLine="560" w:firstLineChars="200"/>
        <w:outlineLvl w:val="1"/>
        <w:rPr>
          <w:bCs/>
        </w:rPr>
      </w:pPr>
      <w:r>
        <w:rPr>
          <w:rFonts w:hint="eastAsia"/>
          <w:bCs/>
        </w:rPr>
        <w:t>①加强政治学习，强化理论武装：突出重点，增加学习的针对性；突出创新，增强学习的吸引力；多措并举，推动主题教育走深走实；健全机制，推进学习型党组织建设。</w:t>
      </w:r>
    </w:p>
    <w:p w14:paraId="51761568">
      <w:pPr>
        <w:widowControl w:val="0"/>
        <w:spacing w:line="560" w:lineRule="exact"/>
        <w:ind w:firstLine="560" w:firstLineChars="200"/>
        <w:outlineLvl w:val="1"/>
        <w:rPr>
          <w:bCs/>
        </w:rPr>
      </w:pPr>
      <w:r>
        <w:rPr>
          <w:rFonts w:hint="eastAsia"/>
          <w:bCs/>
        </w:rPr>
        <w:t>②加强组织建设，提升基层党组织凝聚力和战斗力：加强班子建设，突出党总支的核心作用；加强支部建设，突出战斗堡垒作用；落实党组主体责任，突出抓好党风廉政建设。</w:t>
      </w:r>
    </w:p>
    <w:p w14:paraId="120D97BF">
      <w:pPr>
        <w:widowControl w:val="0"/>
        <w:spacing w:line="560" w:lineRule="exact"/>
        <w:ind w:firstLine="560" w:firstLineChars="200"/>
        <w:outlineLvl w:val="1"/>
        <w:rPr>
          <w:bCs/>
        </w:rPr>
      </w:pPr>
      <w:r>
        <w:rPr>
          <w:rFonts w:hint="eastAsia"/>
          <w:bCs/>
        </w:rPr>
        <w:t>③加强作风建设，营造风清气正的氛围：开展了整治“吃拿卡要”优化营商环境专项行动；加强廉政警示教育，增强廉洁自律意识。</w:t>
      </w:r>
    </w:p>
    <w:p w14:paraId="78A86958">
      <w:pPr>
        <w:widowControl w:val="0"/>
        <w:spacing w:line="560" w:lineRule="exact"/>
        <w:ind w:firstLine="560" w:firstLineChars="200"/>
        <w:outlineLvl w:val="1"/>
        <w:rPr>
          <w:bCs/>
        </w:rPr>
      </w:pPr>
      <w:r>
        <w:rPr>
          <w:rFonts w:hint="eastAsia"/>
          <w:bCs/>
        </w:rPr>
        <w:t>④加强党建引领，促进文旅产业高质量发展：一是以品牌打造为核心，在提升永济文旅知名度上实现新突破；二是以项目建设为抓手，在彰显永济文旅美誉度上取得新成绩；三是以拓展客源为重点，在扩大永济文旅影响力上再创新辉煌；四是以文化惠民为根本，在厚植永济文旅感染力上作出新贡献；五是以安全生产为底线，在巩固永济文旅穿透力上迈上新台阶。</w:t>
      </w:r>
    </w:p>
    <w:p w14:paraId="37280C91">
      <w:pPr>
        <w:widowControl w:val="0"/>
        <w:spacing w:line="560" w:lineRule="exact"/>
        <w:ind w:firstLine="560" w:firstLineChars="200"/>
        <w:outlineLvl w:val="1"/>
        <w:rPr>
          <w:bCs/>
        </w:rPr>
      </w:pPr>
      <w:r>
        <w:rPr>
          <w:rFonts w:hint="eastAsia"/>
          <w:bCs/>
        </w:rPr>
        <w:t>（5）C1-5文物保护工作完成情况</w:t>
      </w:r>
    </w:p>
    <w:p w14:paraId="74D41572">
      <w:pPr>
        <w:widowControl w:val="0"/>
        <w:spacing w:line="560" w:lineRule="exact"/>
        <w:ind w:firstLine="560" w:firstLineChars="200"/>
        <w:outlineLvl w:val="1"/>
        <w:rPr>
          <w:bCs/>
        </w:rPr>
      </w:pPr>
      <w:r>
        <w:rPr>
          <w:rFonts w:hint="eastAsia"/>
          <w:bCs/>
        </w:rPr>
        <w:t>①召开文物工作会议，实施各项文物保护工程。2024年5月底前，完成投资458万元的永济市万固寺抢险修缮工程；完成投资435万元的李雪峰故居保护修缮工程；完成投资50万元的杨村娘娘庙正殿保护修缮工程；完成投资53万元的杨庄关帝庙正殿保护修缮工程；完成投资40万元的永安真武庙戏台保护修缮工程；完成投资6万元的太谷屯祖师庙抢险加固工程；完成投资68万元的南梯娘娘庙戏台保护修缮工程；完成投资1017万元的尧台三庙环境整治工程的财评、招标、开工等工作；完成县级文物保护单位安防信息监控平台项目的立项、方案、评审、财评等前期准备工作。</w:t>
      </w:r>
    </w:p>
    <w:p w14:paraId="318580D2">
      <w:pPr>
        <w:widowControl w:val="0"/>
        <w:spacing w:line="560" w:lineRule="exact"/>
        <w:ind w:firstLine="560" w:firstLineChars="200"/>
        <w:outlineLvl w:val="1"/>
        <w:rPr>
          <w:bCs/>
        </w:rPr>
      </w:pPr>
      <w:r>
        <w:rPr>
          <w:rFonts w:hint="eastAsia"/>
          <w:bCs/>
        </w:rPr>
        <w:t>②积极编制项目计划书和设计方案，申请各类经费。编制永济市栖岩寺塔林平台前缘不稳定斜坡治理工程、解梁故城遗址保护及防护工程、永济扁鹊庙献殿修缮及扁鹊墓周边环境整治工程、董村戏台环境整治及展示工程、永济扁鹊庙彩塑壁画保护修复项目计划书，并上报审批；编制宋家卓舞台保护修缮工程设计方案、李荣故居保护修缮工程设计方案、晓朝戏台保护修缮工程设计方案；申请2024年国家、省文物保护专项补助经费；申请2024年专项债券资金；申请2024年政府一般债券资金；完成永济市文物数字化信息管理平台项目和永济扁鹊庙彩塑壁画保护修复项目立项及方案编制工作。</w:t>
      </w:r>
    </w:p>
    <w:p w14:paraId="7D9669AE">
      <w:pPr>
        <w:widowControl w:val="0"/>
        <w:spacing w:line="560" w:lineRule="exact"/>
        <w:ind w:firstLine="560" w:firstLineChars="200"/>
        <w:outlineLvl w:val="1"/>
        <w:rPr>
          <w:bCs/>
        </w:rPr>
      </w:pPr>
      <w:r>
        <w:rPr>
          <w:rFonts w:hint="eastAsia"/>
          <w:bCs/>
        </w:rPr>
        <w:t>③推进文物资源普查调查工作。完成第四次全国文物普查前期准备工作；完成国、省保单位附属文物排查及登记造册工作；完成国有及非国有博物馆年检工作（博物馆）。</w:t>
      </w:r>
    </w:p>
    <w:p w14:paraId="5CB65D15">
      <w:pPr>
        <w:widowControl w:val="0"/>
        <w:spacing w:line="560" w:lineRule="exact"/>
        <w:ind w:firstLine="560" w:firstLineChars="200"/>
        <w:outlineLvl w:val="1"/>
        <w:rPr>
          <w:bCs/>
        </w:rPr>
      </w:pPr>
      <w:r>
        <w:rPr>
          <w:rFonts w:hint="eastAsia"/>
          <w:bCs/>
        </w:rPr>
        <w:t>④做好文物安全排查及培训工作。加大安全隐患排查工作，完成文保单位的安全责任人公示牌和承诺牌全覆盖；对文物保护单位保护员进行文物法律、法规及消防安全知识培训，并进行消防演练；对部分重要古建筑灭火器进行重装和更换；联合相关部门开展文物安全大检查。</w:t>
      </w:r>
    </w:p>
    <w:p w14:paraId="38DC8DEF">
      <w:pPr>
        <w:widowControl w:val="0"/>
        <w:spacing w:line="560" w:lineRule="exact"/>
        <w:ind w:firstLine="560" w:firstLineChars="200"/>
        <w:outlineLvl w:val="1"/>
        <w:rPr>
          <w:bCs/>
        </w:rPr>
      </w:pPr>
      <w:r>
        <w:rPr>
          <w:rFonts w:hint="eastAsia"/>
          <w:bCs/>
        </w:rPr>
        <w:t>⑤提升文物宣传传播影响力。拍摄《我从蒲州来》12集系列宣传片（博物馆）；开展“5·18国际博物馆日”和“6·11文化和自然遗产日”主题宣传活动（博物馆）；积极开展文博知识进校园活动，推动文物保护与学校教育有机衔接（博物馆）；开展全省革命文物故事宣讲推介活动；开展第七届永济市博物馆“小小讲解员”活动（博物馆）。</w:t>
      </w:r>
    </w:p>
    <w:p w14:paraId="03BC1A59">
      <w:pPr>
        <w:widowControl w:val="0"/>
        <w:spacing w:line="560" w:lineRule="exact"/>
        <w:ind w:firstLine="560" w:firstLineChars="200"/>
        <w:outlineLvl w:val="1"/>
        <w:rPr>
          <w:bCs/>
        </w:rPr>
      </w:pPr>
      <w:r>
        <w:rPr>
          <w:rFonts w:hint="eastAsia"/>
          <w:bCs/>
        </w:rPr>
        <w:t>⑥加强人才队伍建设工作。继续引进一批高素质、高质量的文博专业人才，充实文物保护专业技术人才队伍；组织开展“文博大讲堂”活动，促进中心人员政治理论水平和业务工作能力提升。</w:t>
      </w:r>
    </w:p>
    <w:p w14:paraId="73F3CC01">
      <w:pPr>
        <w:widowControl w:val="0"/>
        <w:spacing w:line="560" w:lineRule="exact"/>
        <w:ind w:firstLine="560" w:firstLineChars="200"/>
        <w:outlineLvl w:val="1"/>
        <w:rPr>
          <w:bCs/>
        </w:rPr>
      </w:pPr>
      <w:r>
        <w:rPr>
          <w:rFonts w:hint="eastAsia"/>
          <w:bCs/>
        </w:rPr>
        <w:t>完成情况：</w:t>
      </w:r>
    </w:p>
    <w:p w14:paraId="5D437B03">
      <w:pPr>
        <w:widowControl w:val="0"/>
        <w:spacing w:line="560" w:lineRule="exact"/>
        <w:ind w:firstLine="560" w:firstLineChars="200"/>
        <w:outlineLvl w:val="1"/>
        <w:rPr>
          <w:bCs/>
          <w:highlight w:val="yellow"/>
        </w:rPr>
      </w:pPr>
      <w:r>
        <w:rPr>
          <w:rFonts w:hint="eastAsia"/>
          <w:bCs/>
        </w:rPr>
        <w:t>①永济市文保中心2023年共实施9处文物修缮工程，截至绩效评价日已完工6处，未完工3处，分别为尧台三庙周边环境整治工程按照目标任务应完成财评、招标、开工工作，项目已完成财评、招标工作并于2023年11月开工，不扣分；安防信息监控平台工程按照目标任务应完成立项、方案、评审、财评等前期工作，目前已完成立项、方案、评审、财评工作并于2023年12月1日开工，不扣分；李雪峰故居保护修缮工程按照目标任务应完工，但由于后院和偏院的产权归属问题尚未完工，扣0.5分。具体明细下表：</w:t>
      </w:r>
    </w:p>
    <w:p w14:paraId="6C4F4FC0">
      <w:pPr>
        <w:pStyle w:val="8"/>
        <w:widowControl w:val="0"/>
        <w:snapToGrid/>
        <w:ind w:firstLine="562"/>
        <w:jc w:val="center"/>
        <w:rPr>
          <w:rFonts w:ascii="仿宋" w:hAnsi="仿宋"/>
          <w:b/>
          <w:kern w:val="0"/>
        </w:rPr>
      </w:pPr>
      <w:r>
        <w:rPr>
          <w:rFonts w:hint="eastAsia" w:ascii="仿宋" w:hAnsi="仿宋"/>
          <w:b/>
          <w:kern w:val="0"/>
        </w:rPr>
        <w:t>表4-3-</w:t>
      </w:r>
      <w:r>
        <w:rPr>
          <w:rFonts w:hint="eastAsia" w:ascii="仿宋"/>
          <w:b/>
          <w:kern w:val="0"/>
        </w:rPr>
        <w:t>1永济市文保中心2023年实施工程情况表</w:t>
      </w:r>
    </w:p>
    <w:p w14:paraId="012F107B">
      <w:pPr>
        <w:pStyle w:val="8"/>
        <w:snapToGrid/>
        <w:spacing w:line="240" w:lineRule="auto"/>
        <w:ind w:firstLine="480"/>
        <w:jc w:val="right"/>
        <w:rPr>
          <w:rFonts w:ascii="仿宋"/>
          <w:kern w:val="0"/>
          <w:highlight w:val="yellow"/>
        </w:rPr>
      </w:pPr>
      <w:r>
        <w:rPr>
          <w:rFonts w:hint="eastAsia" w:ascii="仿宋" w:hAnsi="仿宋"/>
          <w:sz w:val="24"/>
          <w:szCs w:val="22"/>
        </w:rPr>
        <w:t>单位</w:t>
      </w:r>
      <w:r>
        <w:rPr>
          <w:rFonts w:hint="eastAsia" w:ascii="仿宋" w:hAnsi="仿宋"/>
          <w:kern w:val="0"/>
          <w:sz w:val="24"/>
          <w:szCs w:val="24"/>
        </w:rPr>
        <w:t>：元</w:t>
      </w:r>
    </w:p>
    <w:tbl>
      <w:tblPr>
        <w:tblStyle w:val="24"/>
        <w:tblW w:w="5437" w:type="pct"/>
        <w:tblInd w:w="0" w:type="dxa"/>
        <w:tblLayout w:type="fixed"/>
        <w:tblCellMar>
          <w:top w:w="0" w:type="dxa"/>
          <w:left w:w="108" w:type="dxa"/>
          <w:bottom w:w="0" w:type="dxa"/>
          <w:right w:w="108" w:type="dxa"/>
        </w:tblCellMar>
      </w:tblPr>
      <w:tblGrid>
        <w:gridCol w:w="855"/>
        <w:gridCol w:w="1325"/>
        <w:gridCol w:w="1320"/>
        <w:gridCol w:w="2126"/>
        <w:gridCol w:w="1817"/>
        <w:gridCol w:w="1817"/>
      </w:tblGrid>
      <w:tr w14:paraId="48AE1F35">
        <w:tblPrEx>
          <w:tblCellMar>
            <w:top w:w="0" w:type="dxa"/>
            <w:left w:w="108" w:type="dxa"/>
            <w:bottom w:w="0" w:type="dxa"/>
            <w:right w:w="108" w:type="dxa"/>
          </w:tblCellMar>
        </w:tblPrEx>
        <w:trPr>
          <w:trHeight w:val="454" w:hRule="atLeast"/>
          <w:tblHeader/>
        </w:trPr>
        <w:tc>
          <w:tcPr>
            <w:tcW w:w="46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F3278CC">
            <w:pPr>
              <w:jc w:val="center"/>
              <w:textAlignment w:val="center"/>
              <w:rPr>
                <w:b/>
                <w:bCs/>
                <w:color w:val="000000"/>
                <w:sz w:val="21"/>
                <w:szCs w:val="21"/>
              </w:rPr>
            </w:pPr>
            <w:r>
              <w:rPr>
                <w:rFonts w:hint="eastAsia"/>
                <w:b/>
                <w:bCs/>
                <w:color w:val="000000"/>
                <w:sz w:val="21"/>
                <w:szCs w:val="21"/>
              </w:rPr>
              <w:t>序号</w:t>
            </w:r>
          </w:p>
        </w:tc>
        <w:tc>
          <w:tcPr>
            <w:tcW w:w="71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1BFF626">
            <w:pPr>
              <w:jc w:val="center"/>
              <w:textAlignment w:val="center"/>
              <w:rPr>
                <w:b/>
                <w:bCs/>
                <w:color w:val="000000"/>
                <w:sz w:val="21"/>
                <w:szCs w:val="21"/>
              </w:rPr>
            </w:pPr>
            <w:r>
              <w:rPr>
                <w:rFonts w:hint="eastAsia"/>
                <w:b/>
                <w:bCs/>
                <w:color w:val="000000"/>
                <w:sz w:val="21"/>
                <w:szCs w:val="21"/>
              </w:rPr>
              <w:t>工程名称</w:t>
            </w:r>
          </w:p>
        </w:tc>
        <w:tc>
          <w:tcPr>
            <w:tcW w:w="7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8F87E14">
            <w:pPr>
              <w:jc w:val="center"/>
              <w:textAlignment w:val="center"/>
              <w:rPr>
                <w:b/>
                <w:bCs/>
                <w:color w:val="000000"/>
                <w:sz w:val="21"/>
                <w:szCs w:val="21"/>
              </w:rPr>
            </w:pPr>
            <w:r>
              <w:rPr>
                <w:rFonts w:hint="eastAsia"/>
                <w:b/>
                <w:bCs/>
                <w:color w:val="000000"/>
                <w:sz w:val="21"/>
                <w:szCs w:val="21"/>
              </w:rPr>
              <w:t>中标单位</w:t>
            </w:r>
          </w:p>
        </w:tc>
        <w:tc>
          <w:tcPr>
            <w:tcW w:w="114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A78BD1F">
            <w:pPr>
              <w:jc w:val="center"/>
              <w:textAlignment w:val="center"/>
              <w:rPr>
                <w:b/>
                <w:bCs/>
                <w:color w:val="000000"/>
                <w:sz w:val="21"/>
                <w:szCs w:val="21"/>
              </w:rPr>
            </w:pPr>
            <w:r>
              <w:rPr>
                <w:rFonts w:hint="eastAsia"/>
                <w:b/>
                <w:bCs/>
                <w:color w:val="000000"/>
                <w:sz w:val="21"/>
                <w:szCs w:val="21"/>
              </w:rPr>
              <w:t>中标价</w:t>
            </w:r>
          </w:p>
        </w:tc>
        <w:tc>
          <w:tcPr>
            <w:tcW w:w="98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1D16D95">
            <w:pPr>
              <w:jc w:val="center"/>
              <w:textAlignment w:val="center"/>
              <w:rPr>
                <w:b/>
                <w:bCs/>
                <w:color w:val="000000"/>
                <w:kern w:val="0"/>
                <w:sz w:val="21"/>
                <w:szCs w:val="21"/>
              </w:rPr>
            </w:pPr>
            <w:r>
              <w:rPr>
                <w:rFonts w:hint="eastAsia"/>
                <w:b/>
                <w:bCs/>
                <w:color w:val="000000"/>
                <w:kern w:val="0"/>
                <w:sz w:val="21"/>
                <w:szCs w:val="21"/>
              </w:rPr>
              <w:t>工程内容</w:t>
            </w:r>
          </w:p>
        </w:tc>
        <w:tc>
          <w:tcPr>
            <w:tcW w:w="98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9058242">
            <w:pPr>
              <w:jc w:val="center"/>
              <w:textAlignment w:val="center"/>
              <w:rPr>
                <w:b/>
                <w:bCs/>
                <w:color w:val="000000"/>
                <w:kern w:val="0"/>
                <w:sz w:val="21"/>
                <w:szCs w:val="21"/>
              </w:rPr>
            </w:pPr>
            <w:r>
              <w:rPr>
                <w:rFonts w:hint="eastAsia"/>
                <w:b/>
                <w:bCs/>
                <w:color w:val="000000"/>
                <w:kern w:val="0"/>
                <w:sz w:val="21"/>
                <w:szCs w:val="21"/>
              </w:rPr>
              <w:t>目前工程进度</w:t>
            </w:r>
          </w:p>
        </w:tc>
      </w:tr>
      <w:tr w14:paraId="45BAE7F3">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8226">
            <w:pPr>
              <w:jc w:val="center"/>
              <w:textAlignment w:val="center"/>
              <w:rPr>
                <w:color w:val="000000"/>
                <w:sz w:val="21"/>
                <w:szCs w:val="21"/>
              </w:rPr>
            </w:pPr>
            <w:r>
              <w:rPr>
                <w:rFonts w:hint="eastAsia"/>
                <w:color w:val="000000"/>
                <w:sz w:val="21"/>
                <w:szCs w:val="21"/>
              </w:rPr>
              <w:t>1</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45F4">
            <w:pPr>
              <w:jc w:val="center"/>
              <w:textAlignment w:val="center"/>
              <w:rPr>
                <w:color w:val="000000"/>
                <w:sz w:val="21"/>
                <w:szCs w:val="21"/>
              </w:rPr>
            </w:pPr>
            <w:r>
              <w:rPr>
                <w:rFonts w:hint="eastAsia"/>
                <w:color w:val="000000"/>
                <w:sz w:val="21"/>
                <w:szCs w:val="21"/>
              </w:rPr>
              <w:t>尧台三庙周边环境整治工程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5F24">
            <w:pPr>
              <w:jc w:val="center"/>
              <w:textAlignment w:val="center"/>
              <w:rPr>
                <w:color w:val="000000"/>
                <w:sz w:val="21"/>
                <w:szCs w:val="21"/>
              </w:rPr>
            </w:pPr>
            <w:r>
              <w:rPr>
                <w:rFonts w:hint="eastAsia"/>
                <w:color w:val="000000"/>
                <w:sz w:val="21"/>
                <w:szCs w:val="21"/>
              </w:rPr>
              <w:t>山西盛世经典古建景观雕塑工程有限公司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ABFF">
            <w:pPr>
              <w:jc w:val="center"/>
              <w:textAlignment w:val="center"/>
              <w:rPr>
                <w:color w:val="000000"/>
                <w:sz w:val="21"/>
                <w:szCs w:val="21"/>
              </w:rPr>
            </w:pPr>
            <w:r>
              <w:rPr>
                <w:rFonts w:hint="eastAsia"/>
                <w:color w:val="000000"/>
                <w:sz w:val="21"/>
                <w:szCs w:val="21"/>
              </w:rPr>
              <w:t>9221088.37</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DE96">
            <w:pPr>
              <w:jc w:val="left"/>
              <w:textAlignment w:val="center"/>
              <w:rPr>
                <w:color w:val="000000"/>
                <w:sz w:val="21"/>
                <w:szCs w:val="21"/>
              </w:rPr>
            </w:pPr>
            <w:r>
              <w:rPr>
                <w:rFonts w:hint="eastAsia"/>
                <w:color w:val="000000"/>
                <w:sz w:val="21"/>
                <w:szCs w:val="21"/>
              </w:rPr>
              <w:t>景区道路南侧边坡、玉皇庙道路西侧边坡、尧像广场等边坡治理工程13处，长约1062.52m;沥青道路3500㎡，青石板路面1400㎡，广场青石板地面4256.4㎡，广场排水沟280m</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C826">
            <w:pPr>
              <w:jc w:val="left"/>
              <w:textAlignment w:val="center"/>
              <w:rPr>
                <w:color w:val="000000"/>
                <w:sz w:val="21"/>
                <w:szCs w:val="21"/>
              </w:rPr>
            </w:pPr>
            <w:r>
              <w:rPr>
                <w:rFonts w:hint="eastAsia"/>
                <w:color w:val="000000"/>
                <w:sz w:val="21"/>
                <w:szCs w:val="21"/>
              </w:rPr>
              <w:t>尚未完工，2023年11月7日开工，基本完成护坡砌筑、路基平整工作</w:t>
            </w:r>
          </w:p>
        </w:tc>
      </w:tr>
      <w:tr w14:paraId="55744286">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F69E6">
            <w:pPr>
              <w:jc w:val="center"/>
              <w:textAlignment w:val="center"/>
              <w:rPr>
                <w:color w:val="000000"/>
                <w:sz w:val="21"/>
                <w:szCs w:val="21"/>
              </w:rPr>
            </w:pPr>
            <w:r>
              <w:rPr>
                <w:rFonts w:hint="eastAsia"/>
                <w:color w:val="000000"/>
                <w:sz w:val="21"/>
                <w:szCs w:val="21"/>
              </w:rPr>
              <w:t>2</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022B">
            <w:pPr>
              <w:jc w:val="center"/>
              <w:textAlignment w:val="center"/>
              <w:rPr>
                <w:color w:val="000000"/>
                <w:sz w:val="21"/>
                <w:szCs w:val="21"/>
              </w:rPr>
            </w:pPr>
            <w:r>
              <w:rPr>
                <w:rFonts w:hint="eastAsia"/>
                <w:color w:val="000000"/>
                <w:sz w:val="21"/>
                <w:szCs w:val="21"/>
              </w:rPr>
              <w:t>杨村娘娘庙正殿保护修缮工程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A042">
            <w:pPr>
              <w:jc w:val="center"/>
              <w:textAlignment w:val="center"/>
              <w:rPr>
                <w:color w:val="000000"/>
                <w:sz w:val="21"/>
                <w:szCs w:val="21"/>
              </w:rPr>
            </w:pPr>
            <w:r>
              <w:rPr>
                <w:rFonts w:hint="eastAsia"/>
                <w:color w:val="000000"/>
                <w:sz w:val="21"/>
                <w:szCs w:val="21"/>
              </w:rPr>
              <w:t>山西华岳建设工程有限公司（政府采购）</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CB24">
            <w:pPr>
              <w:jc w:val="center"/>
              <w:textAlignment w:val="center"/>
              <w:rPr>
                <w:color w:val="000000"/>
                <w:sz w:val="21"/>
                <w:szCs w:val="21"/>
              </w:rPr>
            </w:pPr>
            <w:r>
              <w:rPr>
                <w:rFonts w:hint="eastAsia"/>
                <w:color w:val="000000"/>
                <w:sz w:val="21"/>
                <w:szCs w:val="21"/>
              </w:rPr>
              <w:t>458788</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CDA6">
            <w:pPr>
              <w:jc w:val="left"/>
              <w:textAlignment w:val="center"/>
              <w:rPr>
                <w:color w:val="000000"/>
                <w:sz w:val="21"/>
                <w:szCs w:val="21"/>
              </w:rPr>
            </w:pPr>
            <w:r>
              <w:rPr>
                <w:rFonts w:hint="eastAsia"/>
                <w:color w:val="000000"/>
                <w:sz w:val="21"/>
                <w:szCs w:val="21"/>
              </w:rPr>
              <w:t>屋面工程、屋面木基层工程、木构架、墙体、台明、木装修等</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1994">
            <w:pPr>
              <w:jc w:val="left"/>
              <w:textAlignment w:val="center"/>
              <w:rPr>
                <w:color w:val="000000"/>
                <w:sz w:val="21"/>
                <w:szCs w:val="21"/>
              </w:rPr>
            </w:pPr>
            <w:r>
              <w:rPr>
                <w:rFonts w:hint="eastAsia"/>
                <w:color w:val="000000"/>
                <w:sz w:val="21"/>
                <w:szCs w:val="21"/>
              </w:rPr>
              <w:t>已完工，2023年3月26日开工，2023年8月5日验收通过，2023年12月6日竣工结算审核，审定价462439.54元</w:t>
            </w:r>
          </w:p>
        </w:tc>
      </w:tr>
      <w:tr w14:paraId="16B2A708">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0CC1">
            <w:pPr>
              <w:jc w:val="center"/>
              <w:textAlignment w:val="center"/>
              <w:rPr>
                <w:color w:val="000000"/>
                <w:sz w:val="21"/>
                <w:szCs w:val="21"/>
              </w:rPr>
            </w:pPr>
            <w:r>
              <w:rPr>
                <w:rFonts w:hint="eastAsia"/>
                <w:color w:val="000000"/>
                <w:sz w:val="21"/>
                <w:szCs w:val="21"/>
              </w:rPr>
              <w:t>3</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ADD6">
            <w:pPr>
              <w:jc w:val="center"/>
              <w:textAlignment w:val="center"/>
              <w:rPr>
                <w:color w:val="000000"/>
                <w:sz w:val="21"/>
                <w:szCs w:val="21"/>
              </w:rPr>
            </w:pPr>
            <w:r>
              <w:rPr>
                <w:rFonts w:hint="eastAsia"/>
                <w:color w:val="000000"/>
                <w:sz w:val="21"/>
                <w:szCs w:val="21"/>
              </w:rPr>
              <w:t>杨庄关帝庙正殿保护修缮工程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CFD8">
            <w:pPr>
              <w:jc w:val="center"/>
              <w:textAlignment w:val="center"/>
              <w:rPr>
                <w:color w:val="000000"/>
                <w:sz w:val="21"/>
                <w:szCs w:val="21"/>
              </w:rPr>
            </w:pPr>
            <w:r>
              <w:rPr>
                <w:rFonts w:hint="eastAsia"/>
                <w:color w:val="000000"/>
                <w:sz w:val="21"/>
                <w:szCs w:val="21"/>
              </w:rPr>
              <w:t>山西园林古建筑有限公司（政府采购）</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D8EE">
            <w:pPr>
              <w:jc w:val="center"/>
              <w:textAlignment w:val="center"/>
              <w:rPr>
                <w:color w:val="000000"/>
                <w:sz w:val="21"/>
                <w:szCs w:val="21"/>
              </w:rPr>
            </w:pPr>
            <w:r>
              <w:rPr>
                <w:rFonts w:hint="eastAsia"/>
                <w:color w:val="000000"/>
                <w:sz w:val="21"/>
                <w:szCs w:val="21"/>
              </w:rPr>
              <w:t>491000</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31AA">
            <w:pPr>
              <w:jc w:val="left"/>
              <w:textAlignment w:val="center"/>
              <w:rPr>
                <w:color w:val="000000"/>
                <w:sz w:val="21"/>
                <w:szCs w:val="21"/>
              </w:rPr>
            </w:pPr>
            <w:r>
              <w:rPr>
                <w:rFonts w:hint="eastAsia"/>
                <w:color w:val="000000"/>
                <w:sz w:val="21"/>
                <w:szCs w:val="21"/>
              </w:rPr>
              <w:t>屋面工程、屋面木基层工程、木构架、墙体、台明、木装修等</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8A2A">
            <w:pPr>
              <w:jc w:val="left"/>
              <w:textAlignment w:val="center"/>
              <w:rPr>
                <w:color w:val="000000"/>
                <w:sz w:val="21"/>
                <w:szCs w:val="21"/>
              </w:rPr>
            </w:pPr>
            <w:r>
              <w:rPr>
                <w:rFonts w:hint="eastAsia"/>
                <w:color w:val="000000"/>
                <w:sz w:val="21"/>
                <w:szCs w:val="21"/>
              </w:rPr>
              <w:t>已完工，2023年3月24日开工，2023年8月5日验收通过，2023年12月7日竣工结算审核，审定价505887.54元</w:t>
            </w:r>
          </w:p>
        </w:tc>
      </w:tr>
      <w:tr w14:paraId="0149255B">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A434">
            <w:pPr>
              <w:jc w:val="center"/>
              <w:textAlignment w:val="center"/>
              <w:rPr>
                <w:color w:val="000000"/>
                <w:sz w:val="21"/>
                <w:szCs w:val="21"/>
              </w:rPr>
            </w:pPr>
            <w:r>
              <w:rPr>
                <w:rFonts w:hint="eastAsia"/>
                <w:color w:val="000000"/>
                <w:sz w:val="21"/>
                <w:szCs w:val="21"/>
              </w:rPr>
              <w:t>4</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F5BD">
            <w:pPr>
              <w:jc w:val="center"/>
              <w:textAlignment w:val="center"/>
              <w:rPr>
                <w:color w:val="000000"/>
                <w:sz w:val="21"/>
                <w:szCs w:val="21"/>
              </w:rPr>
            </w:pPr>
            <w:r>
              <w:rPr>
                <w:rFonts w:hint="eastAsia"/>
                <w:color w:val="000000"/>
                <w:sz w:val="21"/>
                <w:szCs w:val="21"/>
              </w:rPr>
              <w:t>万固寺抢险保护工程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C24A">
            <w:pPr>
              <w:jc w:val="center"/>
              <w:textAlignment w:val="center"/>
              <w:rPr>
                <w:color w:val="000000"/>
                <w:sz w:val="21"/>
                <w:szCs w:val="21"/>
              </w:rPr>
            </w:pPr>
            <w:r>
              <w:rPr>
                <w:rFonts w:hint="eastAsia"/>
                <w:color w:val="000000"/>
                <w:sz w:val="21"/>
                <w:szCs w:val="21"/>
              </w:rPr>
              <w:t>山西万荣古建工程有限公司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7790">
            <w:pPr>
              <w:jc w:val="center"/>
              <w:textAlignment w:val="center"/>
              <w:rPr>
                <w:color w:val="000000"/>
                <w:sz w:val="21"/>
                <w:szCs w:val="21"/>
              </w:rPr>
            </w:pPr>
            <w:r>
              <w:rPr>
                <w:rFonts w:hint="eastAsia"/>
                <w:color w:val="000000"/>
                <w:sz w:val="21"/>
                <w:szCs w:val="21"/>
              </w:rPr>
              <w:t>3861088</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9A52">
            <w:pPr>
              <w:jc w:val="left"/>
              <w:textAlignment w:val="center"/>
              <w:rPr>
                <w:color w:val="000000"/>
                <w:sz w:val="21"/>
                <w:szCs w:val="21"/>
              </w:rPr>
            </w:pPr>
            <w:r>
              <w:rPr>
                <w:rFonts w:hint="eastAsia"/>
                <w:color w:val="000000"/>
                <w:sz w:val="21"/>
                <w:szCs w:val="21"/>
              </w:rPr>
              <w:t>无梁殿、南北耳房、药师洞后檐护坡修缮</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4EB7">
            <w:pPr>
              <w:jc w:val="left"/>
              <w:textAlignment w:val="center"/>
              <w:rPr>
                <w:color w:val="000000"/>
                <w:sz w:val="21"/>
                <w:szCs w:val="21"/>
              </w:rPr>
            </w:pPr>
            <w:r>
              <w:rPr>
                <w:rFonts w:hint="eastAsia"/>
                <w:color w:val="000000"/>
                <w:sz w:val="21"/>
                <w:szCs w:val="21"/>
              </w:rPr>
              <w:t>已完工，尚未验收。2023年9月6日开工，目前已完工</w:t>
            </w:r>
          </w:p>
        </w:tc>
      </w:tr>
      <w:tr w14:paraId="171DFECF">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25F5">
            <w:pPr>
              <w:jc w:val="center"/>
              <w:textAlignment w:val="center"/>
              <w:rPr>
                <w:color w:val="000000"/>
                <w:sz w:val="21"/>
                <w:szCs w:val="21"/>
              </w:rPr>
            </w:pPr>
            <w:r>
              <w:rPr>
                <w:rFonts w:hint="eastAsia"/>
                <w:color w:val="000000"/>
                <w:sz w:val="21"/>
                <w:szCs w:val="21"/>
              </w:rPr>
              <w:t>5</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93F0">
            <w:pPr>
              <w:jc w:val="center"/>
              <w:textAlignment w:val="center"/>
              <w:rPr>
                <w:color w:val="000000"/>
                <w:sz w:val="21"/>
                <w:szCs w:val="21"/>
              </w:rPr>
            </w:pPr>
            <w:r>
              <w:rPr>
                <w:rFonts w:hint="eastAsia"/>
                <w:color w:val="000000"/>
                <w:sz w:val="21"/>
                <w:szCs w:val="21"/>
              </w:rPr>
              <w:t>安防信息监控平台工程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BE43">
            <w:pPr>
              <w:jc w:val="center"/>
              <w:textAlignment w:val="center"/>
              <w:rPr>
                <w:color w:val="000000"/>
                <w:sz w:val="21"/>
                <w:szCs w:val="21"/>
              </w:rPr>
            </w:pPr>
            <w:r>
              <w:rPr>
                <w:rFonts w:hint="eastAsia"/>
                <w:color w:val="000000"/>
                <w:sz w:val="21"/>
                <w:szCs w:val="21"/>
              </w:rPr>
              <w:t>中电信数智科技有限公司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05B14">
            <w:pPr>
              <w:jc w:val="center"/>
              <w:textAlignment w:val="center"/>
              <w:rPr>
                <w:color w:val="000000"/>
                <w:sz w:val="21"/>
                <w:szCs w:val="21"/>
              </w:rPr>
            </w:pPr>
            <w:r>
              <w:rPr>
                <w:rFonts w:hint="eastAsia"/>
                <w:color w:val="000000"/>
                <w:sz w:val="21"/>
                <w:szCs w:val="21"/>
              </w:rPr>
              <w:t>5161969.55</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1278">
            <w:pPr>
              <w:jc w:val="left"/>
              <w:textAlignment w:val="center"/>
              <w:rPr>
                <w:color w:val="000000"/>
                <w:sz w:val="21"/>
                <w:szCs w:val="21"/>
              </w:rPr>
            </w:pPr>
            <w:r>
              <w:rPr>
                <w:rFonts w:hint="eastAsia"/>
                <w:color w:val="000000"/>
                <w:sz w:val="21"/>
                <w:szCs w:val="21"/>
              </w:rPr>
              <w:t>城东、城西、城北等共计397处文物保护单位监控摄像头、室外音柱、烟感、温湿度传感器、无人机等</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EC46">
            <w:pPr>
              <w:jc w:val="left"/>
              <w:textAlignment w:val="center"/>
              <w:rPr>
                <w:color w:val="000000"/>
                <w:sz w:val="21"/>
                <w:szCs w:val="21"/>
              </w:rPr>
            </w:pPr>
            <w:r>
              <w:rPr>
                <w:rFonts w:hint="eastAsia"/>
                <w:color w:val="000000"/>
                <w:sz w:val="21"/>
                <w:szCs w:val="21"/>
              </w:rPr>
              <w:t>未完工，2023年12月1日开工，指挥中心已建设完成，为340处文保单位安装416个摄像头，已完成总工程量的83%。</w:t>
            </w:r>
          </w:p>
        </w:tc>
      </w:tr>
      <w:tr w14:paraId="592B0025">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CE9F">
            <w:pPr>
              <w:jc w:val="center"/>
              <w:textAlignment w:val="center"/>
              <w:rPr>
                <w:color w:val="000000"/>
                <w:sz w:val="21"/>
                <w:szCs w:val="21"/>
              </w:rPr>
            </w:pPr>
            <w:r>
              <w:rPr>
                <w:rFonts w:hint="eastAsia"/>
                <w:color w:val="000000"/>
                <w:sz w:val="21"/>
                <w:szCs w:val="21"/>
              </w:rPr>
              <w:t>6</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EB82">
            <w:pPr>
              <w:jc w:val="center"/>
              <w:textAlignment w:val="center"/>
              <w:rPr>
                <w:color w:val="000000"/>
                <w:sz w:val="21"/>
                <w:szCs w:val="21"/>
              </w:rPr>
            </w:pPr>
            <w:r>
              <w:rPr>
                <w:rFonts w:hint="eastAsia"/>
                <w:color w:val="000000"/>
                <w:sz w:val="21"/>
                <w:szCs w:val="21"/>
              </w:rPr>
              <w:t>李雪峰故居保护修缮工程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2CCC">
            <w:pPr>
              <w:jc w:val="center"/>
              <w:textAlignment w:val="center"/>
              <w:rPr>
                <w:color w:val="000000"/>
                <w:sz w:val="21"/>
                <w:szCs w:val="21"/>
              </w:rPr>
            </w:pPr>
            <w:r>
              <w:rPr>
                <w:rFonts w:hint="eastAsia"/>
                <w:color w:val="000000"/>
                <w:sz w:val="21"/>
                <w:szCs w:val="21"/>
              </w:rPr>
              <w:t>五台县第二建筑有限公司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54C6">
            <w:pPr>
              <w:jc w:val="center"/>
              <w:textAlignment w:val="center"/>
              <w:rPr>
                <w:color w:val="000000"/>
                <w:sz w:val="21"/>
                <w:szCs w:val="21"/>
              </w:rPr>
            </w:pPr>
            <w:r>
              <w:rPr>
                <w:rFonts w:hint="eastAsia"/>
                <w:color w:val="000000"/>
                <w:sz w:val="21"/>
                <w:szCs w:val="21"/>
              </w:rPr>
              <w:t>3877655</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3983">
            <w:pPr>
              <w:jc w:val="left"/>
              <w:textAlignment w:val="center"/>
              <w:rPr>
                <w:color w:val="000000"/>
                <w:sz w:val="21"/>
                <w:szCs w:val="21"/>
              </w:rPr>
            </w:pPr>
            <w:r>
              <w:rPr>
                <w:rFonts w:hint="eastAsia"/>
                <w:color w:val="000000"/>
                <w:sz w:val="21"/>
                <w:szCs w:val="21"/>
              </w:rPr>
              <w:t>正院包括修缮北厢房，修复西上方、南厢房、南房；偏院包括修缮西上房，修复夹房、门房，对北厢房进行风貌整改；后院包括修复门房，对北厢房、南厢房、西上房进行风貌改造</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6380">
            <w:pPr>
              <w:jc w:val="left"/>
              <w:textAlignment w:val="center"/>
              <w:rPr>
                <w:color w:val="000000"/>
                <w:sz w:val="21"/>
                <w:szCs w:val="21"/>
              </w:rPr>
            </w:pPr>
            <w:r>
              <w:rPr>
                <w:rFonts w:hint="eastAsia"/>
                <w:color w:val="000000"/>
                <w:sz w:val="21"/>
                <w:szCs w:val="21"/>
              </w:rPr>
              <w:t>未完工，2022年5月16日开工，</w:t>
            </w:r>
            <w:r>
              <w:rPr>
                <w:rFonts w:hint="eastAsia"/>
                <w:sz w:val="21"/>
                <w:szCs w:val="21"/>
              </w:rPr>
              <w:t>现因李雪峰故居偏院、后院产权归属于个人，省文物局对个人产权停止投资，须将该产权变更为集体或国有方可继续投资，致使工程无法继续推进，目前正在协调产权问题。</w:t>
            </w:r>
          </w:p>
        </w:tc>
      </w:tr>
      <w:tr w14:paraId="67FAEE35">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6D59">
            <w:pPr>
              <w:jc w:val="center"/>
              <w:textAlignment w:val="center"/>
              <w:rPr>
                <w:color w:val="000000"/>
                <w:sz w:val="21"/>
                <w:szCs w:val="21"/>
              </w:rPr>
            </w:pPr>
            <w:r>
              <w:rPr>
                <w:rFonts w:hint="eastAsia"/>
                <w:color w:val="000000"/>
                <w:sz w:val="21"/>
                <w:szCs w:val="21"/>
              </w:rPr>
              <w:t>7</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1D61">
            <w:pPr>
              <w:jc w:val="center"/>
              <w:textAlignment w:val="center"/>
              <w:rPr>
                <w:color w:val="000000"/>
                <w:sz w:val="21"/>
                <w:szCs w:val="21"/>
              </w:rPr>
            </w:pPr>
            <w:r>
              <w:rPr>
                <w:color w:val="000000"/>
                <w:sz w:val="21"/>
                <w:szCs w:val="21"/>
              </w:rPr>
              <w:t>永安真武庙戏台保护修缮工程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2D7B">
            <w:pPr>
              <w:jc w:val="center"/>
              <w:textAlignment w:val="center"/>
              <w:rPr>
                <w:color w:val="000000"/>
                <w:sz w:val="21"/>
                <w:szCs w:val="21"/>
              </w:rPr>
            </w:pPr>
            <w:r>
              <w:rPr>
                <w:rFonts w:hint="eastAsia"/>
                <w:color w:val="000000"/>
                <w:sz w:val="21"/>
                <w:szCs w:val="21"/>
              </w:rPr>
              <w:t>山西万荣古建工程有限公司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5346">
            <w:pPr>
              <w:jc w:val="center"/>
              <w:textAlignment w:val="center"/>
              <w:rPr>
                <w:color w:val="000000"/>
                <w:sz w:val="21"/>
                <w:szCs w:val="21"/>
              </w:rPr>
            </w:pPr>
            <w:r>
              <w:rPr>
                <w:rFonts w:hint="eastAsia"/>
                <w:color w:val="000000"/>
                <w:sz w:val="21"/>
                <w:szCs w:val="21"/>
              </w:rPr>
              <w:t>371849.2</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39FF">
            <w:pPr>
              <w:jc w:val="left"/>
              <w:textAlignment w:val="center"/>
              <w:rPr>
                <w:color w:val="000000"/>
                <w:sz w:val="21"/>
                <w:szCs w:val="21"/>
              </w:rPr>
            </w:pPr>
            <w:r>
              <w:rPr>
                <w:rFonts w:hint="eastAsia"/>
                <w:color w:val="000000"/>
                <w:sz w:val="21"/>
                <w:szCs w:val="21"/>
              </w:rPr>
              <w:t>对永安真武庙戏台本体建筑进行保护修缮。</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C178">
            <w:pPr>
              <w:jc w:val="left"/>
              <w:textAlignment w:val="center"/>
              <w:rPr>
                <w:color w:val="000000"/>
                <w:sz w:val="21"/>
                <w:szCs w:val="21"/>
              </w:rPr>
            </w:pPr>
            <w:r>
              <w:rPr>
                <w:rFonts w:hint="eastAsia"/>
                <w:color w:val="000000"/>
                <w:sz w:val="21"/>
                <w:szCs w:val="21"/>
              </w:rPr>
              <w:t>已完工，2023年4月开工，2023年8月验收通过，2023年12月5日竣工结算审核，审定价399084.84元</w:t>
            </w:r>
          </w:p>
        </w:tc>
      </w:tr>
      <w:tr w14:paraId="0969BD9D">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26A7">
            <w:pPr>
              <w:jc w:val="center"/>
              <w:textAlignment w:val="center"/>
              <w:rPr>
                <w:color w:val="000000"/>
                <w:sz w:val="21"/>
                <w:szCs w:val="21"/>
              </w:rPr>
            </w:pPr>
            <w:r>
              <w:rPr>
                <w:rFonts w:hint="eastAsia"/>
                <w:color w:val="000000"/>
                <w:sz w:val="21"/>
                <w:szCs w:val="21"/>
              </w:rPr>
              <w:t>8</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3565">
            <w:pPr>
              <w:jc w:val="center"/>
              <w:textAlignment w:val="center"/>
              <w:rPr>
                <w:color w:val="000000"/>
                <w:sz w:val="21"/>
                <w:szCs w:val="21"/>
              </w:rPr>
            </w:pPr>
            <w:r>
              <w:rPr>
                <w:color w:val="000000"/>
                <w:sz w:val="21"/>
                <w:szCs w:val="21"/>
              </w:rPr>
              <w:t>太谷屯祖师庙抢险加固工程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20A4">
            <w:pPr>
              <w:jc w:val="center"/>
              <w:textAlignment w:val="center"/>
              <w:rPr>
                <w:color w:val="000000"/>
                <w:sz w:val="21"/>
                <w:szCs w:val="21"/>
              </w:rPr>
            </w:pPr>
            <w:r>
              <w:rPr>
                <w:rFonts w:hint="eastAsia"/>
                <w:color w:val="000000"/>
                <w:sz w:val="21"/>
                <w:szCs w:val="21"/>
              </w:rPr>
              <w:t>山西万荣古建工程有限公司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2DCE">
            <w:pPr>
              <w:jc w:val="center"/>
              <w:textAlignment w:val="center"/>
              <w:rPr>
                <w:color w:val="000000"/>
                <w:sz w:val="21"/>
                <w:szCs w:val="21"/>
              </w:rPr>
            </w:pPr>
            <w:r>
              <w:rPr>
                <w:rFonts w:hint="eastAsia"/>
                <w:color w:val="000000"/>
                <w:sz w:val="21"/>
                <w:szCs w:val="21"/>
              </w:rPr>
              <w:t>59100</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B107">
            <w:pPr>
              <w:jc w:val="left"/>
              <w:textAlignment w:val="center"/>
              <w:rPr>
                <w:color w:val="000000"/>
                <w:sz w:val="21"/>
                <w:szCs w:val="21"/>
              </w:rPr>
            </w:pPr>
            <w:r>
              <w:rPr>
                <w:color w:val="000000"/>
                <w:sz w:val="21"/>
                <w:szCs w:val="21"/>
              </w:rPr>
              <w:t>采用剔补酥碱砖件、重新铺墁地面、整修屋顶的方法保护大殿及献殿</w:t>
            </w:r>
            <w:r>
              <w:rPr>
                <w:rFonts w:hint="eastAsia"/>
                <w:color w:val="000000"/>
                <w:sz w:val="21"/>
                <w:szCs w:val="21"/>
              </w:rPr>
              <w:t>。</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E552E">
            <w:pPr>
              <w:jc w:val="left"/>
              <w:textAlignment w:val="center"/>
              <w:rPr>
                <w:color w:val="000000"/>
                <w:sz w:val="21"/>
                <w:szCs w:val="21"/>
              </w:rPr>
            </w:pPr>
            <w:r>
              <w:rPr>
                <w:rFonts w:hint="eastAsia"/>
                <w:color w:val="000000"/>
                <w:sz w:val="21"/>
                <w:szCs w:val="21"/>
              </w:rPr>
              <w:t>已完工，2023年4月开工，2023年8月验收通过，2023年12月5日竣工结算审核，审定价65010.26元</w:t>
            </w:r>
          </w:p>
        </w:tc>
      </w:tr>
      <w:tr w14:paraId="7D917613">
        <w:tblPrEx>
          <w:tblCellMar>
            <w:top w:w="0" w:type="dxa"/>
            <w:left w:w="108" w:type="dxa"/>
            <w:bottom w:w="0" w:type="dxa"/>
            <w:right w:w="108" w:type="dxa"/>
          </w:tblCellMar>
        </w:tblPrEx>
        <w:trPr>
          <w:trHeight w:val="454"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4BA8">
            <w:pPr>
              <w:jc w:val="center"/>
              <w:textAlignment w:val="center"/>
              <w:rPr>
                <w:color w:val="000000"/>
                <w:sz w:val="21"/>
                <w:szCs w:val="21"/>
              </w:rPr>
            </w:pPr>
            <w:r>
              <w:rPr>
                <w:rFonts w:hint="eastAsia"/>
                <w:color w:val="000000"/>
                <w:sz w:val="21"/>
                <w:szCs w:val="21"/>
              </w:rPr>
              <w:t>9</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0F9B">
            <w:pPr>
              <w:jc w:val="center"/>
              <w:textAlignment w:val="center"/>
              <w:rPr>
                <w:color w:val="000000"/>
                <w:sz w:val="21"/>
                <w:szCs w:val="21"/>
              </w:rPr>
            </w:pPr>
            <w:r>
              <w:rPr>
                <w:color w:val="000000"/>
                <w:sz w:val="21"/>
                <w:szCs w:val="21"/>
              </w:rPr>
              <w:t>南梯娘娘庙戏台保护修缮工程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F5C4">
            <w:pPr>
              <w:jc w:val="center"/>
              <w:textAlignment w:val="center"/>
              <w:rPr>
                <w:color w:val="000000"/>
                <w:sz w:val="21"/>
                <w:szCs w:val="21"/>
              </w:rPr>
            </w:pPr>
            <w:r>
              <w:rPr>
                <w:rFonts w:hint="eastAsia"/>
                <w:color w:val="000000"/>
                <w:sz w:val="21"/>
                <w:szCs w:val="21"/>
              </w:rPr>
              <w:t>山西万荣古建工程有限公司</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387A">
            <w:pPr>
              <w:jc w:val="center"/>
              <w:textAlignment w:val="center"/>
              <w:rPr>
                <w:color w:val="000000"/>
                <w:sz w:val="21"/>
                <w:szCs w:val="21"/>
              </w:rPr>
            </w:pPr>
            <w:r>
              <w:rPr>
                <w:rFonts w:hint="eastAsia"/>
                <w:color w:val="000000"/>
                <w:sz w:val="21"/>
                <w:szCs w:val="21"/>
              </w:rPr>
              <w:t>622168</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1733">
            <w:pPr>
              <w:jc w:val="left"/>
              <w:textAlignment w:val="center"/>
              <w:rPr>
                <w:color w:val="000000"/>
                <w:sz w:val="21"/>
                <w:szCs w:val="21"/>
              </w:rPr>
            </w:pPr>
            <w:r>
              <w:rPr>
                <w:color w:val="000000"/>
                <w:sz w:val="21"/>
                <w:szCs w:val="21"/>
              </w:rPr>
              <w:t>采用拨正加固、补配构件、整修屋顶、铺墁散水的方法保护戏台、东门楼及西耳房</w:t>
            </w:r>
            <w:r>
              <w:rPr>
                <w:rFonts w:hint="eastAsia"/>
                <w:color w:val="000000"/>
                <w:sz w:val="21"/>
                <w:szCs w:val="21"/>
              </w:rPr>
              <w:t>。</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3838">
            <w:pPr>
              <w:jc w:val="left"/>
              <w:textAlignment w:val="center"/>
              <w:rPr>
                <w:color w:val="000000"/>
                <w:sz w:val="21"/>
                <w:szCs w:val="21"/>
              </w:rPr>
            </w:pPr>
            <w:r>
              <w:rPr>
                <w:rFonts w:hint="eastAsia"/>
                <w:color w:val="000000"/>
                <w:sz w:val="21"/>
                <w:szCs w:val="21"/>
              </w:rPr>
              <w:t>已完工，2022年11月开工，2023年8月验收通过，2023年12月5日竣工结算审核，审定价619150.76元</w:t>
            </w:r>
          </w:p>
        </w:tc>
      </w:tr>
    </w:tbl>
    <w:p w14:paraId="67DA4153">
      <w:pPr>
        <w:widowControl w:val="0"/>
        <w:spacing w:line="560" w:lineRule="exact"/>
        <w:ind w:firstLine="560" w:firstLineChars="200"/>
        <w:outlineLvl w:val="1"/>
        <w:rPr>
          <w:bCs/>
        </w:rPr>
      </w:pPr>
      <w:r>
        <w:rPr>
          <w:rFonts w:hint="eastAsia"/>
          <w:bCs/>
        </w:rPr>
        <w:t>②编制完成了永济市栖岩寺塔林平台前缘不稳定斜坡治理工程、解梁故城遗址保护及防护工程、永济扁鹊庙献殿修缮及扁鹊墓周边环境整治工程、董村戏台环境整治及展示工程、永济扁鹊庙彩塑壁画保护修复等项目计划书，并上报国家文物局审批，其中解梁故城遗址防护工程已通过国家文物局立项，正在组织资质单位编制设计方案；已聘请资质单位编制完成宋家卓舞台、李荣故居、晓朝戏台等保护修缮工程设计方案；申请完成2024年国家、省文物保护专项补助经费2606.7万元，专项债券资金3998万元，政府一般债券资金约3600万元；永济市文物数字化信息管理平台项目目前已完成立项和方案编制工作，正在进行财评，永济扁鹊庙彩塑壁画保护修复项目计划书已报国家文物局审批。</w:t>
      </w:r>
    </w:p>
    <w:p w14:paraId="5E184DD2">
      <w:pPr>
        <w:widowControl w:val="0"/>
        <w:spacing w:line="560" w:lineRule="exact"/>
        <w:ind w:firstLine="560" w:firstLineChars="200"/>
        <w:outlineLvl w:val="1"/>
        <w:rPr>
          <w:bCs/>
        </w:rPr>
      </w:pPr>
      <w:r>
        <w:rPr>
          <w:rFonts w:hint="eastAsia"/>
          <w:bCs/>
        </w:rPr>
        <w:t>③第四次文物普查前期资料核实准备工作已完成，现已完成永济市文物保护单位实有名录等上报，汇总完成各镇（街）内新发现不可移动文物名录、历史建筑、行业遗产清单；国、省保单位附属文物排查及登记造册工作，目前，国保中除蒲津渡与蒲州故城因产权问题尚未登记，省保中除杨瞻墓正在修复，其余全部完成；全市备案博物馆5所全部完成2023年度年检工作。</w:t>
      </w:r>
    </w:p>
    <w:p w14:paraId="00401F7D">
      <w:pPr>
        <w:pStyle w:val="8"/>
        <w:ind w:firstLine="560"/>
        <w:rPr>
          <w:rFonts w:ascii="仿宋" w:hAnsi="仿宋"/>
          <w:bCs/>
        </w:rPr>
      </w:pPr>
      <w:r>
        <w:rPr>
          <w:rFonts w:hint="eastAsia" w:ascii="仿宋" w:hAnsi="仿宋"/>
          <w:bCs/>
        </w:rPr>
        <w:t>④加大安全隐患排查工作，对全市416处文保单位张贴公示牌，并在政府网站对文物安全直接责任人进行了公示，做到了全覆盖；在市级文物保护单位尧台三庙、阎敬铭别墅对各镇（街道）对文物保护员进行文物法律、法规及消防安全知识培训，并进行了实地演练；对全市各级文物保护单位失效的灭火器充装、更换，配备新的灭火器100余具；联合公安机关、民族宗教事务局、消防救援大队等部门开展文物安全大检查13次，检查文保单位47处；全年共出动文物安全检查人员260次，专项安全检查42次，检查文保单位115处；出动巡查人数320人/次，排查安全隐患36处，完成公益诉讼4起7处，已全部整改到位。</w:t>
      </w:r>
    </w:p>
    <w:p w14:paraId="031F1945">
      <w:pPr>
        <w:widowControl w:val="0"/>
        <w:spacing w:line="560" w:lineRule="exact"/>
        <w:ind w:firstLine="560" w:firstLineChars="200"/>
        <w:outlineLvl w:val="1"/>
        <w:rPr>
          <w:bCs/>
        </w:rPr>
      </w:pPr>
      <w:r>
        <w:rPr>
          <w:rFonts w:hint="eastAsia"/>
          <w:bCs/>
        </w:rPr>
        <w:t>⑤拍摄完成第三季《我从蒲州来》12期系列片，并在电视台及各大公园和公共场所滚屏播放；积极开展“5·18国际博物馆日”和“文化和自然遗产日”主题宣传活动，举办“博物馆之美—博物馆文化专题展”“镜界乾坤—馆藏铜镜专题展”等，通过微信公众号等平台打造网上云展厅，介绍馆藏优秀藏品；积极开展文博知识进校园活动，以“移动展览进校园·爱上博物馆”为主题开展馆校合作新模式，推动文物保护与学校教育有机衔接；深入挖掘红色文化资源，积极参加省、市举办的革命文物故事宣讲活动，先后荣获“优秀讲述人”、二等奖、“优秀组织奖”；完成第八届永济市博物馆“小小讲解员”培训活动，共培训24名“小小讲解员”队伍，推动文物保护与学校教育有机衔接。</w:t>
      </w:r>
    </w:p>
    <w:p w14:paraId="02B38547">
      <w:pPr>
        <w:pStyle w:val="8"/>
        <w:ind w:firstLine="560"/>
        <w:rPr>
          <w:rFonts w:ascii="仿宋" w:hAnsi="仿宋"/>
          <w:bCs/>
        </w:rPr>
      </w:pPr>
      <w:r>
        <w:rPr>
          <w:rFonts w:hint="eastAsia" w:ascii="仿宋" w:hAnsi="仿宋"/>
          <w:bCs/>
        </w:rPr>
        <w:t>⑥2023年引进高素质青年人才（研究生）2名（文保中心1名，博物馆1名）；举办24期“文博大讲堂”，促进中心人员政治理论水平和业务工作能力提升。</w:t>
      </w:r>
    </w:p>
    <w:p w14:paraId="50C3A575">
      <w:pPr>
        <w:spacing w:line="540" w:lineRule="exact"/>
        <w:ind w:firstLine="560" w:firstLineChars="200"/>
        <w:outlineLvl w:val="3"/>
        <w:rPr>
          <w:bCs/>
        </w:rPr>
      </w:pPr>
      <w:r>
        <w:rPr>
          <w:rFonts w:hint="eastAsia"/>
          <w:bCs/>
        </w:rPr>
        <w:t>综上，目标任务实现程度分值20分，扣1.5分，得分18.5分。</w:t>
      </w:r>
    </w:p>
    <w:p w14:paraId="55AF6B84">
      <w:pPr>
        <w:spacing w:line="540" w:lineRule="exact"/>
        <w:ind w:firstLine="562" w:firstLineChars="200"/>
        <w:outlineLvl w:val="3"/>
        <w:rPr>
          <w:b/>
          <w:bCs/>
        </w:rPr>
      </w:pPr>
      <w:r>
        <w:rPr>
          <w:rFonts w:hint="eastAsia"/>
          <w:b/>
          <w:bCs/>
        </w:rPr>
        <w:t>2.C2目标任务完成质量，权重4分，得分3分</w:t>
      </w:r>
    </w:p>
    <w:p w14:paraId="7F5A0633">
      <w:pPr>
        <w:pStyle w:val="8"/>
        <w:snapToGrid/>
        <w:spacing w:line="580" w:lineRule="exact"/>
        <w:ind w:firstLine="560"/>
        <w:outlineLvl w:val="4"/>
        <w:rPr>
          <w:rFonts w:ascii="仿宋" w:hAnsi="仿宋"/>
        </w:rPr>
      </w:pPr>
      <w:r>
        <w:rPr>
          <w:rFonts w:hint="eastAsia" w:ascii="仿宋" w:hAnsi="仿宋"/>
        </w:rPr>
        <w:t>（1）C2-1项目验收通过率</w:t>
      </w:r>
    </w:p>
    <w:p w14:paraId="1E63F043">
      <w:pPr>
        <w:pStyle w:val="8"/>
        <w:snapToGrid/>
        <w:ind w:firstLine="560"/>
        <w:rPr>
          <w:rFonts w:ascii="仿宋" w:hAnsi="仿宋"/>
        </w:rPr>
      </w:pPr>
      <w:r>
        <w:rPr>
          <w:rFonts w:hint="eastAsia" w:ascii="仿宋" w:hAnsi="仿宋"/>
        </w:rPr>
        <w:t>经抽查，已验收的项目验收结果均为合格，该指标</w:t>
      </w:r>
      <w:r>
        <w:rPr>
          <w:rFonts w:hint="eastAsia" w:ascii="仿宋"/>
        </w:rPr>
        <w:t>分值</w:t>
      </w:r>
      <w:r>
        <w:rPr>
          <w:rFonts w:hint="eastAsia" w:ascii="仿宋" w:hAnsi="仿宋"/>
        </w:rPr>
        <w:t>2分，得分2分。</w:t>
      </w:r>
    </w:p>
    <w:p w14:paraId="5AD96F35">
      <w:pPr>
        <w:widowControl w:val="0"/>
        <w:numPr>
          <w:ilvl w:val="0"/>
          <w:numId w:val="2"/>
        </w:numPr>
        <w:spacing w:line="560" w:lineRule="exact"/>
        <w:ind w:firstLine="560" w:firstLineChars="200"/>
        <w:outlineLvl w:val="1"/>
        <w:rPr>
          <w:bCs/>
        </w:rPr>
      </w:pPr>
      <w:r>
        <w:rPr>
          <w:rFonts w:hint="eastAsia"/>
        </w:rPr>
        <w:t>C2-2</w:t>
      </w:r>
      <w:r>
        <w:rPr>
          <w:rFonts w:hint="eastAsia"/>
          <w:bCs/>
        </w:rPr>
        <w:t>目标责任考核</w:t>
      </w:r>
    </w:p>
    <w:p w14:paraId="62DE58D3">
      <w:pPr>
        <w:pStyle w:val="8"/>
        <w:snapToGrid/>
        <w:ind w:firstLine="560"/>
        <w:rPr>
          <w:rFonts w:ascii="仿宋" w:hAnsi="仿宋"/>
        </w:rPr>
      </w:pPr>
      <w:r>
        <w:rPr>
          <w:rFonts w:hint="eastAsia" w:ascii="仿宋" w:hAnsi="仿宋"/>
        </w:rPr>
        <w:t>根据《关于永济市2023年度目标责任考核等次评定结果的通知》（永考办发〔2024〕2号）文件，对市文旅局和市文保中心作为单独考核，具体考核情况如下表：</w:t>
      </w:r>
    </w:p>
    <w:p w14:paraId="28CB88C9">
      <w:pPr>
        <w:pStyle w:val="8"/>
        <w:widowControl w:val="0"/>
        <w:snapToGrid/>
        <w:ind w:firstLine="562"/>
        <w:jc w:val="center"/>
        <w:rPr>
          <w:rFonts w:ascii="仿宋" w:hAnsi="仿宋"/>
          <w:b/>
          <w:kern w:val="0"/>
        </w:rPr>
      </w:pPr>
      <w:r>
        <w:rPr>
          <w:rFonts w:hint="eastAsia" w:ascii="仿宋" w:hAnsi="仿宋"/>
          <w:b/>
          <w:kern w:val="0"/>
        </w:rPr>
        <w:t>表4-3-</w:t>
      </w:r>
      <w:r>
        <w:rPr>
          <w:rFonts w:hint="eastAsia" w:ascii="仿宋"/>
          <w:b/>
          <w:kern w:val="0"/>
        </w:rPr>
        <w:t>2 2023年目标责任考核情况统计表</w:t>
      </w:r>
    </w:p>
    <w:tbl>
      <w:tblPr>
        <w:tblStyle w:val="24"/>
        <w:tblW w:w="4998" w:type="pct"/>
        <w:tblInd w:w="0" w:type="dxa"/>
        <w:tblLayout w:type="autofit"/>
        <w:tblCellMar>
          <w:top w:w="0" w:type="dxa"/>
          <w:left w:w="108" w:type="dxa"/>
          <w:bottom w:w="0" w:type="dxa"/>
          <w:right w:w="108" w:type="dxa"/>
        </w:tblCellMar>
      </w:tblPr>
      <w:tblGrid>
        <w:gridCol w:w="2556"/>
        <w:gridCol w:w="3026"/>
        <w:gridCol w:w="2931"/>
      </w:tblGrid>
      <w:tr w14:paraId="3D43494F">
        <w:tblPrEx>
          <w:tblCellMar>
            <w:top w:w="0" w:type="dxa"/>
            <w:left w:w="108" w:type="dxa"/>
            <w:bottom w:w="0" w:type="dxa"/>
            <w:right w:w="108" w:type="dxa"/>
          </w:tblCellMar>
        </w:tblPrEx>
        <w:trPr>
          <w:trHeight w:val="454" w:hRule="atLeast"/>
          <w:tblHeader/>
        </w:trPr>
        <w:tc>
          <w:tcPr>
            <w:tcW w:w="1501" w:type="pct"/>
            <w:vMerge w:val="restart"/>
            <w:tcBorders>
              <w:top w:val="single" w:color="000000" w:sz="4" w:space="0"/>
              <w:left w:val="single" w:color="000000" w:sz="4" w:space="0"/>
              <w:right w:val="single" w:color="000000" w:sz="4" w:space="0"/>
            </w:tcBorders>
            <w:shd w:val="clear" w:color="auto" w:fill="BEBEBE" w:themeFill="background1" w:themeFillShade="BF"/>
            <w:noWrap/>
            <w:vAlign w:val="center"/>
          </w:tcPr>
          <w:p w14:paraId="2D99C235">
            <w:pPr>
              <w:jc w:val="center"/>
              <w:textAlignment w:val="center"/>
              <w:rPr>
                <w:b/>
                <w:bCs/>
                <w:color w:val="000000"/>
                <w:sz w:val="21"/>
                <w:szCs w:val="21"/>
              </w:rPr>
            </w:pPr>
            <w:r>
              <w:rPr>
                <w:rFonts w:hint="eastAsia"/>
                <w:b/>
                <w:bCs/>
                <w:color w:val="000000"/>
                <w:sz w:val="21"/>
                <w:szCs w:val="21"/>
              </w:rPr>
              <w:t>考核项目</w:t>
            </w:r>
          </w:p>
        </w:tc>
        <w:tc>
          <w:tcPr>
            <w:tcW w:w="3498" w:type="pct"/>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5AEA8DB">
            <w:pPr>
              <w:jc w:val="center"/>
              <w:textAlignment w:val="center"/>
              <w:rPr>
                <w:b/>
                <w:bCs/>
                <w:color w:val="000000"/>
                <w:sz w:val="21"/>
                <w:szCs w:val="21"/>
              </w:rPr>
            </w:pPr>
            <w:r>
              <w:rPr>
                <w:rFonts w:hint="eastAsia"/>
                <w:b/>
                <w:bCs/>
                <w:color w:val="000000"/>
                <w:sz w:val="21"/>
                <w:szCs w:val="21"/>
              </w:rPr>
              <w:t>考核结果</w:t>
            </w:r>
          </w:p>
        </w:tc>
      </w:tr>
      <w:tr w14:paraId="0233DF5B">
        <w:tblPrEx>
          <w:tblCellMar>
            <w:top w:w="0" w:type="dxa"/>
            <w:left w:w="108" w:type="dxa"/>
            <w:bottom w:w="0" w:type="dxa"/>
            <w:right w:w="108" w:type="dxa"/>
          </w:tblCellMar>
        </w:tblPrEx>
        <w:trPr>
          <w:trHeight w:val="454" w:hRule="atLeast"/>
        </w:trPr>
        <w:tc>
          <w:tcPr>
            <w:tcW w:w="1501" w:type="pct"/>
            <w:vMerge w:val="continue"/>
            <w:tcBorders>
              <w:left w:val="single" w:color="000000" w:sz="4" w:space="0"/>
              <w:bottom w:val="single" w:color="000000" w:sz="4" w:space="0"/>
              <w:right w:val="single" w:color="000000" w:sz="4" w:space="0"/>
            </w:tcBorders>
            <w:shd w:val="clear" w:color="auto" w:fill="auto"/>
            <w:noWrap/>
            <w:vAlign w:val="center"/>
          </w:tcPr>
          <w:p w14:paraId="74656116">
            <w:pPr>
              <w:jc w:val="center"/>
              <w:textAlignment w:val="center"/>
              <w:rPr>
                <w:color w:val="000000"/>
                <w:sz w:val="21"/>
                <w:szCs w:val="21"/>
              </w:rPr>
            </w:pPr>
          </w:p>
        </w:tc>
        <w:tc>
          <w:tcPr>
            <w:tcW w:w="1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3D82">
            <w:pPr>
              <w:jc w:val="center"/>
              <w:textAlignment w:val="center"/>
              <w:rPr>
                <w:color w:val="000000"/>
                <w:sz w:val="21"/>
                <w:szCs w:val="21"/>
              </w:rPr>
            </w:pPr>
            <w:r>
              <w:rPr>
                <w:rFonts w:hint="eastAsia"/>
                <w:color w:val="000000"/>
                <w:sz w:val="21"/>
                <w:szCs w:val="21"/>
              </w:rPr>
              <w:t>市文旅局</w:t>
            </w:r>
          </w:p>
        </w:tc>
        <w:tc>
          <w:tcPr>
            <w:tcW w:w="1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549A0">
            <w:pPr>
              <w:jc w:val="center"/>
              <w:textAlignment w:val="center"/>
              <w:rPr>
                <w:color w:val="000000"/>
                <w:sz w:val="21"/>
                <w:szCs w:val="21"/>
              </w:rPr>
            </w:pPr>
            <w:r>
              <w:rPr>
                <w:rFonts w:hint="eastAsia"/>
                <w:color w:val="000000"/>
                <w:sz w:val="21"/>
                <w:szCs w:val="21"/>
              </w:rPr>
              <w:t>市文保中心</w:t>
            </w:r>
          </w:p>
        </w:tc>
      </w:tr>
      <w:tr w14:paraId="6C3FE2F4">
        <w:tblPrEx>
          <w:tblCellMar>
            <w:top w:w="0" w:type="dxa"/>
            <w:left w:w="108" w:type="dxa"/>
            <w:bottom w:w="0" w:type="dxa"/>
            <w:right w:w="108" w:type="dxa"/>
          </w:tblCellMar>
        </w:tblPrEx>
        <w:trPr>
          <w:trHeight w:val="454" w:hRule="atLeast"/>
        </w:trPr>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A76A">
            <w:pPr>
              <w:jc w:val="center"/>
              <w:textAlignment w:val="center"/>
              <w:rPr>
                <w:color w:val="000000"/>
                <w:sz w:val="21"/>
                <w:szCs w:val="21"/>
              </w:rPr>
            </w:pPr>
            <w:r>
              <w:rPr>
                <w:rFonts w:hint="eastAsia"/>
                <w:color w:val="000000"/>
                <w:sz w:val="21"/>
                <w:szCs w:val="21"/>
              </w:rPr>
              <w:t>党建工作考核等次</w:t>
            </w:r>
          </w:p>
        </w:tc>
        <w:tc>
          <w:tcPr>
            <w:tcW w:w="1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0F2E">
            <w:pPr>
              <w:jc w:val="center"/>
              <w:textAlignment w:val="center"/>
              <w:rPr>
                <w:color w:val="000000"/>
                <w:sz w:val="21"/>
                <w:szCs w:val="21"/>
              </w:rPr>
            </w:pPr>
            <w:r>
              <w:rPr>
                <w:rFonts w:hint="eastAsia"/>
                <w:color w:val="000000"/>
                <w:sz w:val="21"/>
                <w:szCs w:val="21"/>
              </w:rPr>
              <w:t>优秀</w:t>
            </w:r>
          </w:p>
        </w:tc>
        <w:tc>
          <w:tcPr>
            <w:tcW w:w="1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D108">
            <w:pPr>
              <w:jc w:val="center"/>
              <w:textAlignment w:val="center"/>
              <w:rPr>
                <w:color w:val="000000"/>
                <w:sz w:val="21"/>
                <w:szCs w:val="21"/>
              </w:rPr>
            </w:pPr>
            <w:r>
              <w:rPr>
                <w:rFonts w:hint="eastAsia"/>
                <w:color w:val="000000"/>
                <w:sz w:val="21"/>
                <w:szCs w:val="21"/>
              </w:rPr>
              <w:t>一般</w:t>
            </w:r>
          </w:p>
        </w:tc>
      </w:tr>
      <w:tr w14:paraId="3AB1CD84">
        <w:tblPrEx>
          <w:tblCellMar>
            <w:top w:w="0" w:type="dxa"/>
            <w:left w:w="108" w:type="dxa"/>
            <w:bottom w:w="0" w:type="dxa"/>
            <w:right w:w="108" w:type="dxa"/>
          </w:tblCellMar>
        </w:tblPrEx>
        <w:trPr>
          <w:trHeight w:val="454" w:hRule="atLeast"/>
        </w:trPr>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F357">
            <w:pPr>
              <w:jc w:val="center"/>
              <w:textAlignment w:val="center"/>
              <w:rPr>
                <w:color w:val="000000"/>
                <w:sz w:val="21"/>
                <w:szCs w:val="21"/>
              </w:rPr>
            </w:pPr>
            <w:r>
              <w:rPr>
                <w:rFonts w:hint="eastAsia"/>
                <w:color w:val="000000"/>
                <w:sz w:val="21"/>
                <w:szCs w:val="21"/>
              </w:rPr>
              <w:t>发展任务考核等次</w:t>
            </w:r>
          </w:p>
        </w:tc>
        <w:tc>
          <w:tcPr>
            <w:tcW w:w="1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71E6">
            <w:pPr>
              <w:jc w:val="center"/>
              <w:textAlignment w:val="center"/>
              <w:rPr>
                <w:color w:val="000000"/>
                <w:sz w:val="21"/>
                <w:szCs w:val="21"/>
              </w:rPr>
            </w:pPr>
            <w:r>
              <w:rPr>
                <w:rFonts w:hint="eastAsia"/>
                <w:color w:val="000000"/>
                <w:sz w:val="21"/>
                <w:szCs w:val="21"/>
              </w:rPr>
              <w:t>良好</w:t>
            </w:r>
          </w:p>
        </w:tc>
        <w:tc>
          <w:tcPr>
            <w:tcW w:w="1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E70D">
            <w:pPr>
              <w:jc w:val="center"/>
              <w:textAlignment w:val="center"/>
              <w:rPr>
                <w:color w:val="000000"/>
                <w:sz w:val="21"/>
                <w:szCs w:val="21"/>
              </w:rPr>
            </w:pPr>
            <w:r>
              <w:rPr>
                <w:rFonts w:hint="eastAsia"/>
                <w:color w:val="000000"/>
                <w:sz w:val="21"/>
                <w:szCs w:val="21"/>
              </w:rPr>
              <w:t>一般</w:t>
            </w:r>
          </w:p>
        </w:tc>
      </w:tr>
      <w:tr w14:paraId="06195D5A">
        <w:tblPrEx>
          <w:tblCellMar>
            <w:top w:w="0" w:type="dxa"/>
            <w:left w:w="108" w:type="dxa"/>
            <w:bottom w:w="0" w:type="dxa"/>
            <w:right w:w="108" w:type="dxa"/>
          </w:tblCellMar>
        </w:tblPrEx>
        <w:trPr>
          <w:trHeight w:val="454" w:hRule="atLeast"/>
        </w:trPr>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5739">
            <w:pPr>
              <w:jc w:val="center"/>
              <w:textAlignment w:val="center"/>
              <w:rPr>
                <w:color w:val="000000"/>
                <w:sz w:val="21"/>
                <w:szCs w:val="21"/>
              </w:rPr>
            </w:pPr>
            <w:r>
              <w:rPr>
                <w:rFonts w:hint="eastAsia"/>
                <w:color w:val="000000"/>
                <w:sz w:val="21"/>
                <w:szCs w:val="21"/>
              </w:rPr>
              <w:t>专项工作考核等次</w:t>
            </w:r>
          </w:p>
        </w:tc>
        <w:tc>
          <w:tcPr>
            <w:tcW w:w="1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F2F27">
            <w:pPr>
              <w:jc w:val="center"/>
              <w:textAlignment w:val="center"/>
              <w:rPr>
                <w:color w:val="000000"/>
                <w:sz w:val="21"/>
                <w:szCs w:val="21"/>
              </w:rPr>
            </w:pPr>
            <w:r>
              <w:rPr>
                <w:rFonts w:hint="eastAsia"/>
                <w:color w:val="000000"/>
                <w:sz w:val="21"/>
                <w:szCs w:val="21"/>
              </w:rPr>
              <w:t>良好</w:t>
            </w:r>
          </w:p>
        </w:tc>
        <w:tc>
          <w:tcPr>
            <w:tcW w:w="1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DF29">
            <w:pPr>
              <w:jc w:val="center"/>
              <w:textAlignment w:val="center"/>
              <w:rPr>
                <w:color w:val="000000"/>
                <w:sz w:val="21"/>
                <w:szCs w:val="21"/>
              </w:rPr>
            </w:pPr>
            <w:r>
              <w:rPr>
                <w:rFonts w:hint="eastAsia"/>
                <w:color w:val="000000"/>
                <w:sz w:val="21"/>
                <w:szCs w:val="21"/>
              </w:rPr>
              <w:t>良好</w:t>
            </w:r>
          </w:p>
        </w:tc>
      </w:tr>
      <w:tr w14:paraId="516DD914">
        <w:tblPrEx>
          <w:tblCellMar>
            <w:top w:w="0" w:type="dxa"/>
            <w:left w:w="108" w:type="dxa"/>
            <w:bottom w:w="0" w:type="dxa"/>
            <w:right w:w="108" w:type="dxa"/>
          </w:tblCellMar>
        </w:tblPrEx>
        <w:trPr>
          <w:trHeight w:val="454" w:hRule="atLeast"/>
        </w:trPr>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7887">
            <w:pPr>
              <w:jc w:val="center"/>
              <w:textAlignment w:val="center"/>
              <w:rPr>
                <w:color w:val="000000"/>
                <w:sz w:val="21"/>
                <w:szCs w:val="21"/>
              </w:rPr>
            </w:pPr>
            <w:r>
              <w:rPr>
                <w:rFonts w:hint="eastAsia"/>
                <w:color w:val="000000"/>
                <w:sz w:val="21"/>
                <w:szCs w:val="21"/>
              </w:rPr>
              <w:t>综合考核等次</w:t>
            </w:r>
          </w:p>
        </w:tc>
        <w:tc>
          <w:tcPr>
            <w:tcW w:w="17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982E">
            <w:pPr>
              <w:jc w:val="center"/>
              <w:textAlignment w:val="center"/>
              <w:rPr>
                <w:color w:val="000000"/>
                <w:sz w:val="21"/>
                <w:szCs w:val="21"/>
              </w:rPr>
            </w:pPr>
            <w:r>
              <w:rPr>
                <w:rFonts w:hint="eastAsia"/>
                <w:color w:val="000000"/>
                <w:sz w:val="21"/>
                <w:szCs w:val="21"/>
              </w:rPr>
              <w:t>优秀</w:t>
            </w:r>
          </w:p>
        </w:tc>
        <w:tc>
          <w:tcPr>
            <w:tcW w:w="17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0060B">
            <w:pPr>
              <w:jc w:val="center"/>
              <w:textAlignment w:val="center"/>
              <w:rPr>
                <w:color w:val="000000"/>
                <w:sz w:val="21"/>
                <w:szCs w:val="21"/>
              </w:rPr>
            </w:pPr>
            <w:r>
              <w:rPr>
                <w:rFonts w:hint="eastAsia"/>
                <w:color w:val="000000"/>
                <w:sz w:val="21"/>
                <w:szCs w:val="21"/>
              </w:rPr>
              <w:t>一般</w:t>
            </w:r>
          </w:p>
        </w:tc>
      </w:tr>
    </w:tbl>
    <w:p w14:paraId="2EF3865A">
      <w:pPr>
        <w:widowControl w:val="0"/>
        <w:spacing w:line="560" w:lineRule="exact"/>
        <w:ind w:firstLine="560" w:firstLineChars="200"/>
        <w:outlineLvl w:val="1"/>
        <w:rPr>
          <w:b/>
        </w:rPr>
      </w:pPr>
      <w:r>
        <w:rPr>
          <w:rFonts w:hint="eastAsia"/>
        </w:rPr>
        <w:t>根据《关于开展2023年度目标责任考核工作的通知》（永考办发</w:t>
      </w:r>
      <w:r>
        <w:rPr>
          <w:rFonts w:hint="eastAsia"/>
          <w:spacing w:val="16"/>
        </w:rPr>
        <w:t>〔2024〕1号</w:t>
      </w:r>
      <w:r>
        <w:rPr>
          <w:rFonts w:hint="eastAsia"/>
        </w:rPr>
        <w:t>）文件，各项考核结果中有一般或较差等次的镇（街道）、市直部门（单位），在结果公示后一个月内向市考核领导组提交整改方案。通过项目单位提供的整改报告无法确定存在的问题和整改情况，扣1分。</w:t>
      </w:r>
    </w:p>
    <w:p w14:paraId="3F73336C">
      <w:pPr>
        <w:spacing w:line="540" w:lineRule="exact"/>
        <w:ind w:firstLine="562" w:firstLineChars="200"/>
        <w:outlineLvl w:val="3"/>
        <w:rPr>
          <w:b/>
          <w:bCs/>
        </w:rPr>
      </w:pPr>
      <w:r>
        <w:rPr>
          <w:rFonts w:hint="eastAsia"/>
          <w:b/>
          <w:bCs/>
        </w:rPr>
        <w:t>3.C3完成及时情况，权重3分，得2分</w:t>
      </w:r>
    </w:p>
    <w:p w14:paraId="5249DDEE">
      <w:pPr>
        <w:widowControl w:val="0"/>
        <w:spacing w:line="560" w:lineRule="exact"/>
        <w:ind w:firstLine="560" w:firstLineChars="200"/>
        <w:outlineLvl w:val="1"/>
        <w:rPr>
          <w:bCs/>
        </w:rPr>
      </w:pPr>
      <w:r>
        <w:rPr>
          <w:rFonts w:hint="eastAsia"/>
          <w:bCs/>
        </w:rPr>
        <w:t>通过抽查项目资料，除李雪峰故居保护修缮工程未按目标任务时间完成、万固寺复合廊道项目进展缓慢外，其余项目均已按目标任务完成，扣1分，本指标得2分。</w:t>
      </w:r>
    </w:p>
    <w:p w14:paraId="05AA7659">
      <w:pPr>
        <w:widowControl w:val="0"/>
        <w:spacing w:line="560" w:lineRule="exact"/>
        <w:ind w:firstLine="562" w:firstLineChars="200"/>
        <w:outlineLvl w:val="1"/>
        <w:rPr>
          <w:b/>
          <w:bCs/>
        </w:rPr>
      </w:pPr>
      <w:r>
        <w:rPr>
          <w:rFonts w:hint="eastAsia"/>
          <w:b/>
        </w:rPr>
        <w:t>4.</w:t>
      </w:r>
      <w:r>
        <w:rPr>
          <w:rFonts w:hint="eastAsia"/>
          <w:b/>
          <w:bCs/>
        </w:rPr>
        <w:t>C4运行成本控制有效性，权重3分，得3分</w:t>
      </w:r>
    </w:p>
    <w:p w14:paraId="6F436B38">
      <w:pPr>
        <w:pStyle w:val="8"/>
        <w:ind w:firstLine="560"/>
        <w:rPr>
          <w:rFonts w:ascii="仿宋" w:hAnsi="仿宋"/>
          <w:bCs/>
        </w:rPr>
      </w:pPr>
      <w:r>
        <w:rPr>
          <w:rFonts w:hint="eastAsia" w:ascii="仿宋" w:hAnsi="仿宋"/>
          <w:bCs/>
        </w:rPr>
        <w:t>（1）C4-1“公用经费”控制率</w:t>
      </w:r>
    </w:p>
    <w:p w14:paraId="7F120496">
      <w:pPr>
        <w:pStyle w:val="8"/>
        <w:widowControl w:val="0"/>
        <w:snapToGrid/>
        <w:ind w:firstLine="560"/>
        <w:rPr>
          <w:rFonts w:ascii="仿宋" w:hAnsi="仿宋"/>
          <w:kern w:val="0"/>
        </w:rPr>
      </w:pPr>
      <w:r>
        <w:rPr>
          <w:rFonts w:hint="eastAsia" w:ascii="仿宋" w:hAnsi="仿宋"/>
          <w:kern w:val="0"/>
        </w:rPr>
        <w:t>202</w:t>
      </w:r>
      <w:r>
        <w:rPr>
          <w:rFonts w:hint="eastAsia" w:ascii="仿宋"/>
          <w:kern w:val="0"/>
        </w:rPr>
        <w:t>3</w:t>
      </w:r>
      <w:r>
        <w:rPr>
          <w:rFonts w:hint="eastAsia" w:ascii="仿宋" w:hAnsi="仿宋"/>
          <w:kern w:val="0"/>
        </w:rPr>
        <w:t>年部门公用经费预算金额为818,984.66元，账面公用经费支出794,237.73元，</w:t>
      </w:r>
      <w:r>
        <w:rPr>
          <w:rFonts w:hint="eastAsia" w:ascii="仿宋"/>
          <w:kern w:val="0"/>
        </w:rPr>
        <w:t>在项目支出（目标责任考核奖、文游发展经费、2023年文物保护经费）中列支报纸订阅费、报刊费等9,072.30元，</w:t>
      </w:r>
      <w:r>
        <w:rPr>
          <w:rFonts w:hint="eastAsia" w:ascii="仿宋" w:hAnsi="仿宋"/>
          <w:kern w:val="0"/>
        </w:rPr>
        <w:t>经调整后，本年度实际发生的公用经费支出为803,310.03元。公用经费控制率=（803,310.03/818,984.66）×100%=98.09</w:t>
      </w:r>
      <w:r>
        <w:rPr>
          <w:rFonts w:hint="eastAsia" w:ascii="仿宋"/>
          <w:kern w:val="0"/>
        </w:rPr>
        <w:t>%</w:t>
      </w:r>
      <w:r>
        <w:rPr>
          <w:rFonts w:hint="eastAsia" w:ascii="仿宋" w:hAnsi="仿宋"/>
          <w:kern w:val="0"/>
        </w:rPr>
        <w:t>，依据评分标准“①公用经费控制率≤100%，得1分。”，该指标得1分。</w:t>
      </w:r>
    </w:p>
    <w:p w14:paraId="1D1368BD">
      <w:pPr>
        <w:widowControl w:val="0"/>
        <w:spacing w:line="560" w:lineRule="exact"/>
        <w:ind w:firstLine="560" w:firstLineChars="200"/>
        <w:outlineLvl w:val="4"/>
        <w:rPr>
          <w:bCs/>
        </w:rPr>
      </w:pPr>
      <w:r>
        <w:rPr>
          <w:rFonts w:hint="eastAsia"/>
          <w:bCs/>
        </w:rPr>
        <w:t>（2）C4-2“三公经费”控制率</w:t>
      </w:r>
    </w:p>
    <w:p w14:paraId="2D6A681E">
      <w:pPr>
        <w:widowControl w:val="0"/>
        <w:spacing w:line="560" w:lineRule="exact"/>
        <w:ind w:firstLine="560" w:firstLineChars="200"/>
        <w:outlineLvl w:val="1"/>
        <w:rPr>
          <w:kern w:val="0"/>
        </w:rPr>
      </w:pPr>
      <w:r>
        <w:rPr>
          <w:rFonts w:hint="eastAsia"/>
          <w:kern w:val="0"/>
        </w:rPr>
        <w:t>该部门2023年度“三公经费”预算金额为36,000.00元，其中公务用车运行维护费22,000.00元,公务接待费支出14,000.00元。账面“三公经费”支出27,755.00元，其中公务用车运行维护费18,975.00元,公务接待费支出8,780.00元。旅游服务中心在“其他商品和服务支出”科目列支公务接待费7,140.00元，本年实际发生的三公经费支出为34,895.00元,“三公经费”控制率为（34,895.00/36,000.00）×100%=96.93%，依据评分标准“①三公经费”控制率≤100%，得1分”，该指标得分1分。</w:t>
      </w:r>
    </w:p>
    <w:p w14:paraId="26FA432C">
      <w:pPr>
        <w:widowControl w:val="0"/>
        <w:spacing w:line="560" w:lineRule="exact"/>
        <w:ind w:firstLine="560" w:firstLineChars="200"/>
        <w:outlineLvl w:val="4"/>
        <w:rPr>
          <w:bCs/>
        </w:rPr>
      </w:pPr>
      <w:r>
        <w:rPr>
          <w:rFonts w:hint="eastAsia"/>
          <w:bCs/>
        </w:rPr>
        <w:t>（2）C4-3“人员成本”控制率</w:t>
      </w:r>
    </w:p>
    <w:p w14:paraId="6F568130">
      <w:pPr>
        <w:widowControl w:val="0"/>
        <w:spacing w:line="560" w:lineRule="exact"/>
        <w:ind w:firstLine="560" w:firstLineChars="200"/>
        <w:outlineLvl w:val="1"/>
        <w:rPr>
          <w:kern w:val="0"/>
        </w:rPr>
      </w:pPr>
      <w:r>
        <w:rPr>
          <w:rFonts w:hint="eastAsia"/>
          <w:bCs/>
        </w:rPr>
        <w:t>2023年部门人员费用的预算金额15,998,869.10元，账面决算金额为15,998,869.10元，博物馆、图书馆向财政申请的运行费用及文保中心文物保护经费中包含临时人员费用606,900.00元，本年人员费用总预算16,605,769.10元，本年实际支出的人员费用16,589,364.46元，人员成本控制率=</w:t>
      </w:r>
      <w:r>
        <w:rPr>
          <w:rFonts w:hint="eastAsia"/>
          <w:kern w:val="0"/>
        </w:rPr>
        <w:t>（</w:t>
      </w:r>
      <w:r>
        <w:rPr>
          <w:rFonts w:hint="eastAsia"/>
          <w:bCs/>
        </w:rPr>
        <w:t>16,589,364.46</w:t>
      </w:r>
      <w:r>
        <w:rPr>
          <w:rFonts w:hint="eastAsia"/>
          <w:kern w:val="0"/>
        </w:rPr>
        <w:t>/</w:t>
      </w:r>
      <w:r>
        <w:rPr>
          <w:rFonts w:hint="eastAsia"/>
          <w:bCs/>
        </w:rPr>
        <w:t>16,605,769.10</w:t>
      </w:r>
      <w:r>
        <w:rPr>
          <w:rFonts w:hint="eastAsia"/>
          <w:kern w:val="0"/>
        </w:rPr>
        <w:t>）×100%=99.9%，依据评分标准“①三公经费”控制率≤100%，得0.5分”，该指标得分0.5分。</w:t>
      </w:r>
    </w:p>
    <w:p w14:paraId="6F725237">
      <w:pPr>
        <w:widowControl w:val="0"/>
        <w:spacing w:line="560" w:lineRule="exact"/>
        <w:ind w:firstLine="560" w:firstLineChars="200"/>
      </w:pPr>
      <w:bookmarkStart w:id="379" w:name="_Toc180138888"/>
      <w:r>
        <w:rPr>
          <w:rFonts w:hint="eastAsia"/>
        </w:rPr>
        <w:t>贵单位存在临时人员与保安部分职责重复的情况，具体为永济市博物馆临时人员10人，其中监控室4人（监护室已有正式人员2人），巡护员1人（巡护室已有正式人员4人），讲解4人，办公室1人；监护员主要职责为实时查看馆内各个展厅、库房、通道、出入口等重点区域的监控画面，巡护员主要职责为对场馆的日常巡视、检查；同时与永济市神鹰安防服务有限公司签订安保服务协议，协议约定安保人员9人，保安人员职责提供巡逻服务（提供博物馆24小时日常巡视、检查等）、秩序维护服务、人群控制服务、编制博物馆外围安保应急预案、承担各类重要活动的安全保卫工作等，保安人员与监控室、巡护员部分职责重复，扣0.5分。</w:t>
      </w:r>
    </w:p>
    <w:p w14:paraId="6F898B3A">
      <w:pPr>
        <w:pStyle w:val="3"/>
        <w:ind w:firstLine="562"/>
      </w:pPr>
      <w:bookmarkStart w:id="380" w:name="_Toc180503513"/>
      <w:r>
        <w:rPr>
          <w:rFonts w:hint="eastAsia" w:ascii="仿宋" w:hAnsi="仿宋"/>
        </w:rPr>
        <w:t>（</w:t>
      </w:r>
      <w:r>
        <w:rPr>
          <w:rFonts w:hint="eastAsia"/>
        </w:rPr>
        <w:t>四</w:t>
      </w:r>
      <w:r>
        <w:rPr>
          <w:rFonts w:hint="eastAsia" w:ascii="仿宋" w:hAnsi="仿宋"/>
        </w:rPr>
        <w:t>）</w:t>
      </w:r>
      <w:r>
        <w:rPr>
          <w:rFonts w:hint="eastAsia"/>
        </w:rPr>
        <w:t>部门效果</w:t>
      </w:r>
      <w:r>
        <w:rPr>
          <w:rFonts w:hint="eastAsia" w:ascii="仿宋" w:hAnsi="仿宋"/>
        </w:rPr>
        <w:t>分析</w:t>
      </w:r>
      <w:bookmarkEnd w:id="370"/>
      <w:bookmarkEnd w:id="371"/>
      <w:bookmarkEnd w:id="372"/>
      <w:bookmarkEnd w:id="373"/>
      <w:bookmarkEnd w:id="374"/>
      <w:bookmarkEnd w:id="375"/>
      <w:bookmarkEnd w:id="376"/>
      <w:bookmarkEnd w:id="379"/>
      <w:bookmarkEnd w:id="380"/>
    </w:p>
    <w:p w14:paraId="5A5BDCF9">
      <w:pPr>
        <w:widowControl w:val="0"/>
        <w:spacing w:line="560" w:lineRule="exact"/>
        <w:ind w:firstLine="560" w:firstLineChars="200"/>
        <w:rPr>
          <w:highlight w:val="yellow"/>
        </w:rPr>
      </w:pPr>
      <w:r>
        <w:rPr>
          <w:rFonts w:hint="eastAsia"/>
        </w:rPr>
        <w:t>部门效果分别从经济效益、社会效益、可持续性、满意度四个方面进行分析，共设置4个二级指标8个三级指标。社会效应指标分值20分，实际得分19.23分，得分率96.15%。各分项指标得分情况如下表4-4所示：</w:t>
      </w:r>
    </w:p>
    <w:p w14:paraId="75CCE05D">
      <w:pPr>
        <w:widowControl w:val="0"/>
        <w:spacing w:afterLines="20" w:line="560" w:lineRule="exact"/>
        <w:jc w:val="center"/>
        <w:rPr>
          <w:b/>
        </w:rPr>
      </w:pPr>
      <w:r>
        <w:rPr>
          <w:rFonts w:hint="eastAsia"/>
          <w:b/>
        </w:rPr>
        <w:t>表4-4部门效果指标得分情况</w:t>
      </w:r>
    </w:p>
    <w:tbl>
      <w:tblPr>
        <w:tblStyle w:val="24"/>
        <w:tblW w:w="4998" w:type="pct"/>
        <w:tblInd w:w="0" w:type="dxa"/>
        <w:tblLayout w:type="autofit"/>
        <w:tblCellMar>
          <w:top w:w="0" w:type="dxa"/>
          <w:left w:w="108" w:type="dxa"/>
          <w:bottom w:w="0" w:type="dxa"/>
          <w:right w:w="108" w:type="dxa"/>
        </w:tblCellMar>
      </w:tblPr>
      <w:tblGrid>
        <w:gridCol w:w="2076"/>
        <w:gridCol w:w="3825"/>
        <w:gridCol w:w="1306"/>
        <w:gridCol w:w="1306"/>
      </w:tblGrid>
      <w:tr w14:paraId="65426870">
        <w:tblPrEx>
          <w:tblCellMar>
            <w:top w:w="0" w:type="dxa"/>
            <w:left w:w="108" w:type="dxa"/>
            <w:bottom w:w="0" w:type="dxa"/>
            <w:right w:w="108" w:type="dxa"/>
          </w:tblCellMar>
        </w:tblPrEx>
        <w:trPr>
          <w:trHeight w:val="499" w:hRule="atLeast"/>
          <w:tblHeader/>
        </w:trPr>
        <w:tc>
          <w:tcPr>
            <w:tcW w:w="121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E8D4236">
            <w:pPr>
              <w:jc w:val="center"/>
              <w:textAlignment w:val="center"/>
              <w:rPr>
                <w:b/>
                <w:bCs/>
                <w:color w:val="000000"/>
                <w:sz w:val="21"/>
                <w:szCs w:val="21"/>
              </w:rPr>
            </w:pPr>
            <w:r>
              <w:rPr>
                <w:rFonts w:hint="eastAsia"/>
                <w:b/>
                <w:bCs/>
                <w:color w:val="000000"/>
                <w:kern w:val="0"/>
                <w:sz w:val="21"/>
                <w:szCs w:val="21"/>
              </w:rPr>
              <w:t>二级指标</w:t>
            </w:r>
          </w:p>
        </w:tc>
        <w:tc>
          <w:tcPr>
            <w:tcW w:w="224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02248B6">
            <w:pPr>
              <w:jc w:val="center"/>
              <w:textAlignment w:val="center"/>
              <w:rPr>
                <w:b/>
                <w:bCs/>
                <w:color w:val="000000"/>
                <w:sz w:val="21"/>
                <w:szCs w:val="21"/>
              </w:rPr>
            </w:pPr>
            <w:r>
              <w:rPr>
                <w:rFonts w:hint="eastAsia"/>
                <w:b/>
                <w:bCs/>
                <w:color w:val="000000"/>
                <w:kern w:val="0"/>
                <w:sz w:val="21"/>
                <w:szCs w:val="21"/>
              </w:rPr>
              <w:t>三级指标</w:t>
            </w:r>
          </w:p>
        </w:tc>
        <w:tc>
          <w:tcPr>
            <w:tcW w:w="7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8D4CF06">
            <w:pPr>
              <w:jc w:val="center"/>
              <w:textAlignment w:val="center"/>
              <w:rPr>
                <w:b/>
                <w:bCs/>
                <w:color w:val="000000"/>
                <w:sz w:val="21"/>
                <w:szCs w:val="21"/>
              </w:rPr>
            </w:pPr>
            <w:r>
              <w:rPr>
                <w:rFonts w:hint="eastAsia"/>
                <w:b/>
                <w:bCs/>
                <w:color w:val="000000"/>
                <w:kern w:val="0"/>
                <w:sz w:val="21"/>
                <w:szCs w:val="21"/>
              </w:rPr>
              <w:t>权重</w:t>
            </w:r>
          </w:p>
        </w:tc>
        <w:tc>
          <w:tcPr>
            <w:tcW w:w="76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34BD09B">
            <w:pPr>
              <w:jc w:val="center"/>
              <w:textAlignment w:val="center"/>
              <w:rPr>
                <w:b/>
                <w:bCs/>
                <w:color w:val="000000"/>
                <w:sz w:val="21"/>
                <w:szCs w:val="21"/>
              </w:rPr>
            </w:pPr>
            <w:r>
              <w:rPr>
                <w:rFonts w:hint="eastAsia"/>
                <w:b/>
                <w:bCs/>
                <w:color w:val="000000"/>
                <w:kern w:val="0"/>
                <w:sz w:val="21"/>
                <w:szCs w:val="21"/>
              </w:rPr>
              <w:t>得分</w:t>
            </w:r>
          </w:p>
        </w:tc>
      </w:tr>
      <w:tr w14:paraId="0ECC7F8E">
        <w:tblPrEx>
          <w:tblCellMar>
            <w:top w:w="0" w:type="dxa"/>
            <w:left w:w="108" w:type="dxa"/>
            <w:bottom w:w="0" w:type="dxa"/>
            <w:right w:w="108" w:type="dxa"/>
          </w:tblCellMar>
        </w:tblPrEx>
        <w:trPr>
          <w:trHeight w:val="499" w:hRule="atLeast"/>
        </w:trPr>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20DF4">
            <w:pPr>
              <w:jc w:val="left"/>
              <w:textAlignment w:val="center"/>
              <w:rPr>
                <w:color w:val="000000"/>
                <w:sz w:val="21"/>
                <w:szCs w:val="21"/>
              </w:rPr>
            </w:pPr>
            <w:r>
              <w:rPr>
                <w:rFonts w:hint="eastAsia"/>
                <w:color w:val="000000"/>
                <w:kern w:val="0"/>
                <w:sz w:val="21"/>
                <w:szCs w:val="21"/>
              </w:rPr>
              <w:t>D1经济效益</w:t>
            </w: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54E2A">
            <w:pPr>
              <w:jc w:val="left"/>
              <w:textAlignment w:val="center"/>
              <w:rPr>
                <w:color w:val="000000"/>
                <w:sz w:val="21"/>
                <w:szCs w:val="21"/>
              </w:rPr>
            </w:pPr>
            <w:r>
              <w:rPr>
                <w:rFonts w:hint="eastAsia"/>
                <w:color w:val="000000"/>
                <w:kern w:val="0"/>
                <w:sz w:val="21"/>
                <w:szCs w:val="21"/>
              </w:rPr>
              <w:t>旅游收入增长幅度</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40B9A">
            <w:pPr>
              <w:ind w:right="280" w:rightChars="100"/>
              <w:jc w:val="right"/>
              <w:textAlignment w:val="center"/>
              <w:rPr>
                <w:color w:val="000000"/>
                <w:sz w:val="21"/>
                <w:szCs w:val="21"/>
              </w:rPr>
            </w:pPr>
            <w:r>
              <w:rPr>
                <w:rFonts w:hint="eastAsia"/>
                <w:color w:val="000000"/>
                <w:kern w:val="0"/>
                <w:sz w:val="21"/>
                <w:szCs w:val="21"/>
              </w:rPr>
              <w:t>2.00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5064">
            <w:pPr>
              <w:ind w:right="280" w:rightChars="100"/>
              <w:jc w:val="right"/>
              <w:textAlignment w:val="center"/>
              <w:rPr>
                <w:color w:val="000000"/>
                <w:sz w:val="21"/>
                <w:szCs w:val="21"/>
              </w:rPr>
            </w:pPr>
            <w:r>
              <w:rPr>
                <w:rFonts w:hint="eastAsia"/>
                <w:color w:val="000000"/>
                <w:kern w:val="0"/>
                <w:sz w:val="21"/>
                <w:szCs w:val="21"/>
              </w:rPr>
              <w:t>2.00</w:t>
            </w:r>
          </w:p>
        </w:tc>
      </w:tr>
      <w:tr w14:paraId="7E4D7DEE">
        <w:tblPrEx>
          <w:tblCellMar>
            <w:top w:w="0" w:type="dxa"/>
            <w:left w:w="108" w:type="dxa"/>
            <w:bottom w:w="0" w:type="dxa"/>
            <w:right w:w="108" w:type="dxa"/>
          </w:tblCellMar>
        </w:tblPrEx>
        <w:trPr>
          <w:trHeight w:val="499" w:hRule="atLeast"/>
        </w:trPr>
        <w:tc>
          <w:tcPr>
            <w:tcW w:w="12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D62AA">
            <w:pPr>
              <w:jc w:val="left"/>
              <w:textAlignment w:val="center"/>
              <w:rPr>
                <w:color w:val="000000"/>
                <w:sz w:val="21"/>
                <w:szCs w:val="21"/>
              </w:rPr>
            </w:pPr>
            <w:r>
              <w:rPr>
                <w:rFonts w:hint="eastAsia"/>
                <w:color w:val="000000"/>
                <w:kern w:val="0"/>
                <w:sz w:val="21"/>
                <w:szCs w:val="21"/>
              </w:rPr>
              <w:t>D2社会效益</w:t>
            </w: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795CE">
            <w:pPr>
              <w:jc w:val="left"/>
              <w:textAlignment w:val="center"/>
              <w:rPr>
                <w:color w:val="000000"/>
                <w:sz w:val="21"/>
                <w:szCs w:val="21"/>
              </w:rPr>
            </w:pPr>
            <w:r>
              <w:rPr>
                <w:rFonts w:hint="eastAsia"/>
                <w:color w:val="000000"/>
                <w:kern w:val="0"/>
                <w:sz w:val="21"/>
                <w:szCs w:val="21"/>
              </w:rPr>
              <w:t>D2-1提升永济市形象和知名度</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F5EA">
            <w:pPr>
              <w:ind w:right="280" w:rightChars="100"/>
              <w:jc w:val="right"/>
              <w:textAlignment w:val="center"/>
              <w:rPr>
                <w:color w:val="000000"/>
                <w:sz w:val="21"/>
                <w:szCs w:val="21"/>
              </w:rPr>
            </w:pPr>
            <w:r>
              <w:rPr>
                <w:rFonts w:hint="eastAsia"/>
                <w:color w:val="000000"/>
                <w:kern w:val="0"/>
                <w:sz w:val="21"/>
                <w:szCs w:val="21"/>
              </w:rPr>
              <w:t>2.00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6AD9">
            <w:pPr>
              <w:ind w:right="280" w:rightChars="100"/>
              <w:jc w:val="right"/>
              <w:textAlignment w:val="center"/>
              <w:rPr>
                <w:color w:val="000000"/>
                <w:sz w:val="21"/>
                <w:szCs w:val="21"/>
                <w:highlight w:val="yellow"/>
              </w:rPr>
            </w:pPr>
            <w:r>
              <w:rPr>
                <w:rFonts w:hint="eastAsia"/>
                <w:color w:val="000000"/>
                <w:kern w:val="0"/>
                <w:sz w:val="21"/>
                <w:szCs w:val="21"/>
              </w:rPr>
              <w:t>2.00</w:t>
            </w:r>
          </w:p>
        </w:tc>
      </w:tr>
      <w:tr w14:paraId="3037F384">
        <w:tblPrEx>
          <w:tblCellMar>
            <w:top w:w="0" w:type="dxa"/>
            <w:left w:w="108" w:type="dxa"/>
            <w:bottom w:w="0" w:type="dxa"/>
            <w:right w:w="108" w:type="dxa"/>
          </w:tblCellMar>
        </w:tblPrEx>
        <w:trPr>
          <w:trHeight w:val="499" w:hRule="atLeast"/>
        </w:trPr>
        <w:tc>
          <w:tcPr>
            <w:tcW w:w="1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ABE35">
            <w:pPr>
              <w:jc w:val="left"/>
              <w:rPr>
                <w:color w:val="000000"/>
                <w:sz w:val="21"/>
                <w:szCs w:val="21"/>
              </w:rPr>
            </w:pP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9CA7B">
            <w:pPr>
              <w:jc w:val="left"/>
              <w:textAlignment w:val="center"/>
              <w:rPr>
                <w:color w:val="000000"/>
                <w:sz w:val="21"/>
                <w:szCs w:val="21"/>
              </w:rPr>
            </w:pPr>
            <w:r>
              <w:rPr>
                <w:rFonts w:hint="eastAsia"/>
                <w:color w:val="000000"/>
                <w:kern w:val="0"/>
                <w:sz w:val="21"/>
                <w:szCs w:val="21"/>
              </w:rPr>
              <w:t>D2-2文化传承与保护</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3320">
            <w:pPr>
              <w:ind w:right="280" w:rightChars="100"/>
              <w:jc w:val="right"/>
              <w:textAlignment w:val="center"/>
              <w:rPr>
                <w:color w:val="000000"/>
                <w:sz w:val="21"/>
                <w:szCs w:val="21"/>
              </w:rPr>
            </w:pPr>
            <w:r>
              <w:rPr>
                <w:rFonts w:hint="eastAsia"/>
                <w:color w:val="000000"/>
                <w:kern w:val="0"/>
                <w:sz w:val="21"/>
                <w:szCs w:val="21"/>
              </w:rPr>
              <w:t>2.00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AE1E">
            <w:pPr>
              <w:ind w:right="280" w:rightChars="100"/>
              <w:jc w:val="right"/>
              <w:textAlignment w:val="center"/>
              <w:rPr>
                <w:color w:val="000000"/>
                <w:sz w:val="21"/>
                <w:szCs w:val="21"/>
              </w:rPr>
            </w:pPr>
            <w:r>
              <w:rPr>
                <w:rFonts w:hint="eastAsia"/>
                <w:color w:val="000000"/>
                <w:kern w:val="0"/>
                <w:sz w:val="21"/>
                <w:szCs w:val="21"/>
              </w:rPr>
              <w:t>2.00</w:t>
            </w:r>
          </w:p>
        </w:tc>
      </w:tr>
      <w:tr w14:paraId="7F22420E">
        <w:tblPrEx>
          <w:tblCellMar>
            <w:top w:w="0" w:type="dxa"/>
            <w:left w:w="108" w:type="dxa"/>
            <w:bottom w:w="0" w:type="dxa"/>
            <w:right w:w="108" w:type="dxa"/>
          </w:tblCellMar>
        </w:tblPrEx>
        <w:trPr>
          <w:trHeight w:val="499" w:hRule="atLeast"/>
        </w:trPr>
        <w:tc>
          <w:tcPr>
            <w:tcW w:w="12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E8C35">
            <w:pPr>
              <w:jc w:val="left"/>
              <w:rPr>
                <w:color w:val="000000"/>
                <w:sz w:val="21"/>
                <w:szCs w:val="21"/>
              </w:rPr>
            </w:pP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713D7">
            <w:pPr>
              <w:jc w:val="left"/>
              <w:textAlignment w:val="center"/>
              <w:rPr>
                <w:color w:val="000000"/>
                <w:kern w:val="0"/>
                <w:sz w:val="21"/>
                <w:szCs w:val="21"/>
              </w:rPr>
            </w:pPr>
            <w:r>
              <w:rPr>
                <w:rFonts w:hint="eastAsia"/>
                <w:color w:val="000000"/>
                <w:kern w:val="0"/>
                <w:sz w:val="21"/>
                <w:szCs w:val="21"/>
              </w:rPr>
              <w:t>D2-3丰富民众的精神生活</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A195">
            <w:pPr>
              <w:ind w:right="280" w:rightChars="100"/>
              <w:jc w:val="right"/>
              <w:textAlignment w:val="center"/>
              <w:rPr>
                <w:color w:val="000000"/>
                <w:kern w:val="0"/>
                <w:sz w:val="21"/>
                <w:szCs w:val="21"/>
              </w:rPr>
            </w:pPr>
            <w:r>
              <w:rPr>
                <w:rFonts w:hint="eastAsia"/>
                <w:color w:val="000000"/>
                <w:kern w:val="0"/>
                <w:sz w:val="21"/>
                <w:szCs w:val="21"/>
              </w:rPr>
              <w:t>2.00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3D0C4">
            <w:pPr>
              <w:ind w:right="280" w:rightChars="100"/>
              <w:jc w:val="right"/>
              <w:textAlignment w:val="center"/>
              <w:rPr>
                <w:color w:val="000000"/>
                <w:sz w:val="21"/>
                <w:szCs w:val="21"/>
              </w:rPr>
            </w:pPr>
            <w:r>
              <w:rPr>
                <w:rFonts w:hint="eastAsia"/>
                <w:color w:val="000000"/>
                <w:kern w:val="0"/>
                <w:sz w:val="21"/>
                <w:szCs w:val="21"/>
              </w:rPr>
              <w:t>2.00</w:t>
            </w:r>
          </w:p>
        </w:tc>
      </w:tr>
      <w:tr w14:paraId="117C75F1">
        <w:tblPrEx>
          <w:tblCellMar>
            <w:top w:w="0" w:type="dxa"/>
            <w:left w:w="108" w:type="dxa"/>
            <w:bottom w:w="0" w:type="dxa"/>
            <w:right w:w="108" w:type="dxa"/>
          </w:tblCellMar>
        </w:tblPrEx>
        <w:trPr>
          <w:trHeight w:val="499" w:hRule="atLeast"/>
        </w:trPr>
        <w:tc>
          <w:tcPr>
            <w:tcW w:w="1219"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1A88939">
            <w:pPr>
              <w:jc w:val="left"/>
              <w:rPr>
                <w:color w:val="000000"/>
                <w:sz w:val="21"/>
                <w:szCs w:val="21"/>
              </w:rPr>
            </w:pPr>
          </w:p>
        </w:tc>
        <w:tc>
          <w:tcPr>
            <w:tcW w:w="2246" w:type="pct"/>
            <w:tcBorders>
              <w:top w:val="single" w:color="000000" w:sz="4" w:space="0"/>
              <w:left w:val="single" w:color="000000" w:sz="4" w:space="0"/>
              <w:bottom w:val="single" w:color="auto" w:sz="4" w:space="0"/>
              <w:right w:val="single" w:color="000000" w:sz="4" w:space="0"/>
            </w:tcBorders>
            <w:shd w:val="clear" w:color="auto" w:fill="auto"/>
            <w:vAlign w:val="center"/>
          </w:tcPr>
          <w:p w14:paraId="5856825F">
            <w:pPr>
              <w:jc w:val="center"/>
              <w:textAlignment w:val="center"/>
              <w:rPr>
                <w:b/>
                <w:bCs/>
                <w:color w:val="000000"/>
                <w:sz w:val="21"/>
                <w:szCs w:val="21"/>
              </w:rPr>
            </w:pPr>
            <w:r>
              <w:rPr>
                <w:rFonts w:hint="eastAsia"/>
                <w:b/>
                <w:bCs/>
                <w:color w:val="000000"/>
                <w:kern w:val="0"/>
                <w:sz w:val="21"/>
                <w:szCs w:val="21"/>
              </w:rPr>
              <w:t>小计</w:t>
            </w:r>
          </w:p>
        </w:tc>
        <w:tc>
          <w:tcPr>
            <w:tcW w:w="76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3469ED1">
            <w:pPr>
              <w:ind w:right="280" w:rightChars="100"/>
              <w:jc w:val="right"/>
              <w:textAlignment w:val="center"/>
              <w:rPr>
                <w:b/>
                <w:bCs/>
                <w:color w:val="000000"/>
                <w:sz w:val="21"/>
                <w:szCs w:val="21"/>
              </w:rPr>
            </w:pPr>
            <w:r>
              <w:rPr>
                <w:rFonts w:hint="eastAsia"/>
                <w:b/>
                <w:bCs/>
                <w:color w:val="000000"/>
                <w:kern w:val="0"/>
                <w:sz w:val="21"/>
                <w:szCs w:val="21"/>
              </w:rPr>
              <w:t>6.00</w:t>
            </w:r>
          </w:p>
        </w:tc>
        <w:tc>
          <w:tcPr>
            <w:tcW w:w="130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02539D">
            <w:pPr>
              <w:ind w:right="280" w:rightChars="100"/>
              <w:jc w:val="right"/>
              <w:textAlignment w:val="center"/>
              <w:rPr>
                <w:b/>
                <w:bCs/>
                <w:color w:val="000000"/>
                <w:sz w:val="21"/>
                <w:szCs w:val="21"/>
              </w:rPr>
            </w:pPr>
            <w:r>
              <w:rPr>
                <w:rFonts w:hint="eastAsia"/>
                <w:b/>
                <w:bCs/>
                <w:color w:val="000000"/>
                <w:kern w:val="0"/>
                <w:sz w:val="21"/>
                <w:szCs w:val="21"/>
              </w:rPr>
              <w:t>6.00</w:t>
            </w:r>
          </w:p>
        </w:tc>
      </w:tr>
      <w:tr w14:paraId="71004DEB">
        <w:tblPrEx>
          <w:tblCellMar>
            <w:top w:w="0" w:type="dxa"/>
            <w:left w:w="108" w:type="dxa"/>
            <w:bottom w:w="0" w:type="dxa"/>
            <w:right w:w="108" w:type="dxa"/>
          </w:tblCellMar>
        </w:tblPrEx>
        <w:trPr>
          <w:trHeight w:val="499" w:hRule="atLeast"/>
        </w:trPr>
        <w:tc>
          <w:tcPr>
            <w:tcW w:w="1219" w:type="pct"/>
            <w:vMerge w:val="restart"/>
            <w:tcBorders>
              <w:top w:val="single" w:color="auto" w:sz="4" w:space="0"/>
              <w:left w:val="single" w:color="auto" w:sz="4" w:space="0"/>
              <w:right w:val="single" w:color="000000" w:sz="4" w:space="0"/>
            </w:tcBorders>
            <w:shd w:val="clear" w:color="auto" w:fill="auto"/>
            <w:vAlign w:val="center"/>
          </w:tcPr>
          <w:p w14:paraId="0A16F47D">
            <w:pPr>
              <w:jc w:val="left"/>
              <w:rPr>
                <w:color w:val="000000"/>
                <w:sz w:val="21"/>
                <w:szCs w:val="21"/>
              </w:rPr>
            </w:pPr>
            <w:r>
              <w:rPr>
                <w:rFonts w:hint="eastAsia"/>
                <w:color w:val="000000"/>
                <w:kern w:val="0"/>
                <w:sz w:val="21"/>
                <w:szCs w:val="21"/>
              </w:rPr>
              <w:t>D3可持续性</w:t>
            </w:r>
          </w:p>
        </w:tc>
        <w:tc>
          <w:tcPr>
            <w:tcW w:w="2246" w:type="pct"/>
            <w:tcBorders>
              <w:top w:val="single" w:color="auto" w:sz="4" w:space="0"/>
              <w:left w:val="single" w:color="000000" w:sz="4" w:space="0"/>
              <w:bottom w:val="single" w:color="000000" w:sz="4" w:space="0"/>
              <w:right w:val="single" w:color="000000" w:sz="4" w:space="0"/>
            </w:tcBorders>
            <w:shd w:val="clear" w:color="auto" w:fill="auto"/>
            <w:vAlign w:val="center"/>
          </w:tcPr>
          <w:p w14:paraId="5FC2DEC1">
            <w:pPr>
              <w:jc w:val="left"/>
              <w:textAlignment w:val="center"/>
              <w:rPr>
                <w:color w:val="000000"/>
                <w:kern w:val="0"/>
                <w:sz w:val="21"/>
                <w:szCs w:val="21"/>
              </w:rPr>
            </w:pPr>
            <w:r>
              <w:rPr>
                <w:rFonts w:hint="eastAsia"/>
                <w:color w:val="000000"/>
                <w:kern w:val="0"/>
                <w:sz w:val="21"/>
                <w:szCs w:val="21"/>
              </w:rPr>
              <w:t>D3-1体制机制改革</w:t>
            </w:r>
          </w:p>
        </w:tc>
        <w:tc>
          <w:tcPr>
            <w:tcW w:w="76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E5B2E59">
            <w:pPr>
              <w:ind w:right="280" w:rightChars="100"/>
              <w:jc w:val="right"/>
              <w:textAlignment w:val="center"/>
              <w:rPr>
                <w:color w:val="000000"/>
                <w:kern w:val="0"/>
                <w:sz w:val="21"/>
                <w:szCs w:val="21"/>
              </w:rPr>
            </w:pPr>
            <w:r>
              <w:rPr>
                <w:rFonts w:hint="eastAsia"/>
                <w:color w:val="000000"/>
                <w:kern w:val="0"/>
                <w:sz w:val="21"/>
                <w:szCs w:val="21"/>
              </w:rPr>
              <w:t>2.00</w:t>
            </w:r>
          </w:p>
        </w:tc>
        <w:tc>
          <w:tcPr>
            <w:tcW w:w="767" w:type="pct"/>
            <w:tcBorders>
              <w:top w:val="single" w:color="auto" w:sz="4" w:space="0"/>
              <w:left w:val="single" w:color="000000" w:sz="4" w:space="0"/>
              <w:bottom w:val="single" w:color="000000" w:sz="4" w:space="0"/>
              <w:right w:val="single" w:color="auto" w:sz="4" w:space="0"/>
            </w:tcBorders>
            <w:shd w:val="clear" w:color="auto" w:fill="auto"/>
            <w:noWrap/>
            <w:vAlign w:val="center"/>
          </w:tcPr>
          <w:p w14:paraId="065A3AF7">
            <w:pPr>
              <w:ind w:right="280" w:rightChars="100"/>
              <w:jc w:val="right"/>
              <w:textAlignment w:val="center"/>
              <w:rPr>
                <w:color w:val="000000"/>
                <w:kern w:val="0"/>
                <w:sz w:val="21"/>
                <w:szCs w:val="21"/>
              </w:rPr>
            </w:pPr>
            <w:r>
              <w:rPr>
                <w:rFonts w:hint="eastAsia"/>
                <w:color w:val="000000"/>
                <w:kern w:val="0"/>
                <w:sz w:val="21"/>
                <w:szCs w:val="21"/>
              </w:rPr>
              <w:t>2.00</w:t>
            </w:r>
          </w:p>
        </w:tc>
      </w:tr>
      <w:tr w14:paraId="3464BE4D">
        <w:tblPrEx>
          <w:tblCellMar>
            <w:top w:w="0" w:type="dxa"/>
            <w:left w:w="108" w:type="dxa"/>
            <w:bottom w:w="0" w:type="dxa"/>
            <w:right w:w="108" w:type="dxa"/>
          </w:tblCellMar>
        </w:tblPrEx>
        <w:trPr>
          <w:trHeight w:val="499" w:hRule="atLeast"/>
        </w:trPr>
        <w:tc>
          <w:tcPr>
            <w:tcW w:w="1219" w:type="pct"/>
            <w:vMerge w:val="continue"/>
            <w:tcBorders>
              <w:left w:val="single" w:color="auto" w:sz="4" w:space="0"/>
              <w:right w:val="single" w:color="000000" w:sz="4" w:space="0"/>
            </w:tcBorders>
            <w:shd w:val="clear" w:color="auto" w:fill="auto"/>
            <w:vAlign w:val="center"/>
          </w:tcPr>
          <w:p w14:paraId="02F997B5">
            <w:pPr>
              <w:jc w:val="left"/>
              <w:rPr>
                <w:color w:val="000000"/>
                <w:sz w:val="21"/>
                <w:szCs w:val="21"/>
              </w:rPr>
            </w:pP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D115">
            <w:pPr>
              <w:jc w:val="left"/>
              <w:textAlignment w:val="center"/>
              <w:rPr>
                <w:color w:val="000000"/>
                <w:kern w:val="0"/>
                <w:sz w:val="21"/>
                <w:szCs w:val="21"/>
              </w:rPr>
            </w:pPr>
            <w:r>
              <w:rPr>
                <w:rFonts w:hint="eastAsia"/>
                <w:color w:val="000000"/>
                <w:kern w:val="0"/>
                <w:sz w:val="21"/>
                <w:szCs w:val="21"/>
              </w:rPr>
              <w:t>D3-2干部队伍建设</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898A">
            <w:pPr>
              <w:ind w:right="280" w:rightChars="100"/>
              <w:jc w:val="right"/>
              <w:textAlignment w:val="center"/>
              <w:rPr>
                <w:color w:val="000000"/>
                <w:kern w:val="0"/>
                <w:sz w:val="21"/>
                <w:szCs w:val="21"/>
              </w:rPr>
            </w:pPr>
            <w:r>
              <w:rPr>
                <w:rFonts w:hint="eastAsia"/>
                <w:color w:val="000000"/>
                <w:kern w:val="0"/>
                <w:sz w:val="21"/>
                <w:szCs w:val="21"/>
              </w:rPr>
              <w:t>2.00</w:t>
            </w:r>
          </w:p>
        </w:tc>
        <w:tc>
          <w:tcPr>
            <w:tcW w:w="767"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558B06F2">
            <w:pPr>
              <w:ind w:right="280" w:rightChars="100"/>
              <w:jc w:val="right"/>
              <w:textAlignment w:val="center"/>
              <w:rPr>
                <w:color w:val="000000"/>
                <w:kern w:val="0"/>
                <w:sz w:val="21"/>
                <w:szCs w:val="21"/>
              </w:rPr>
            </w:pPr>
            <w:r>
              <w:rPr>
                <w:rFonts w:hint="eastAsia"/>
                <w:color w:val="000000"/>
                <w:kern w:val="0"/>
                <w:sz w:val="21"/>
                <w:szCs w:val="21"/>
              </w:rPr>
              <w:t>1.50</w:t>
            </w:r>
          </w:p>
        </w:tc>
      </w:tr>
      <w:tr w14:paraId="095DE38A">
        <w:tblPrEx>
          <w:tblCellMar>
            <w:top w:w="0" w:type="dxa"/>
            <w:left w:w="108" w:type="dxa"/>
            <w:bottom w:w="0" w:type="dxa"/>
            <w:right w:w="108" w:type="dxa"/>
          </w:tblCellMar>
        </w:tblPrEx>
        <w:trPr>
          <w:trHeight w:val="499" w:hRule="atLeast"/>
        </w:trPr>
        <w:tc>
          <w:tcPr>
            <w:tcW w:w="1219" w:type="pct"/>
            <w:vMerge w:val="continue"/>
            <w:tcBorders>
              <w:left w:val="single" w:color="auto" w:sz="4" w:space="0"/>
              <w:bottom w:val="single" w:color="000000" w:sz="4" w:space="0"/>
              <w:right w:val="single" w:color="000000" w:sz="4" w:space="0"/>
            </w:tcBorders>
            <w:shd w:val="clear" w:color="auto" w:fill="auto"/>
            <w:vAlign w:val="center"/>
          </w:tcPr>
          <w:p w14:paraId="66895426">
            <w:pPr>
              <w:jc w:val="left"/>
              <w:rPr>
                <w:color w:val="000000"/>
                <w:sz w:val="21"/>
                <w:szCs w:val="21"/>
              </w:rPr>
            </w:pP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C6CA9">
            <w:pPr>
              <w:jc w:val="center"/>
              <w:textAlignment w:val="center"/>
              <w:rPr>
                <w:b/>
                <w:bCs/>
                <w:color w:val="000000"/>
                <w:sz w:val="21"/>
                <w:szCs w:val="21"/>
              </w:rPr>
            </w:pPr>
            <w:r>
              <w:rPr>
                <w:rFonts w:hint="eastAsia"/>
                <w:b/>
                <w:bCs/>
                <w:color w:val="000000"/>
                <w:kern w:val="0"/>
                <w:sz w:val="21"/>
                <w:szCs w:val="21"/>
              </w:rPr>
              <w:t>小计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7842">
            <w:pPr>
              <w:ind w:right="280" w:rightChars="100"/>
              <w:jc w:val="right"/>
              <w:textAlignment w:val="center"/>
              <w:rPr>
                <w:b/>
                <w:bCs/>
                <w:color w:val="000000"/>
                <w:sz w:val="21"/>
                <w:szCs w:val="21"/>
              </w:rPr>
            </w:pPr>
            <w:r>
              <w:rPr>
                <w:rFonts w:hint="eastAsia"/>
                <w:b/>
                <w:bCs/>
                <w:color w:val="000000"/>
                <w:kern w:val="0"/>
                <w:sz w:val="21"/>
                <w:szCs w:val="21"/>
              </w:rPr>
              <w:t>4.00</w:t>
            </w:r>
          </w:p>
        </w:tc>
        <w:tc>
          <w:tcPr>
            <w:tcW w:w="767"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0828B37">
            <w:pPr>
              <w:ind w:right="280" w:rightChars="100"/>
              <w:jc w:val="right"/>
              <w:textAlignment w:val="center"/>
              <w:rPr>
                <w:color w:val="000000"/>
                <w:kern w:val="0"/>
                <w:sz w:val="21"/>
                <w:szCs w:val="21"/>
              </w:rPr>
            </w:pPr>
            <w:r>
              <w:rPr>
                <w:rFonts w:hint="eastAsia"/>
                <w:b/>
                <w:bCs/>
                <w:color w:val="000000"/>
                <w:kern w:val="0"/>
                <w:sz w:val="21"/>
                <w:szCs w:val="21"/>
              </w:rPr>
              <w:t>3.50</w:t>
            </w:r>
          </w:p>
        </w:tc>
      </w:tr>
      <w:tr w14:paraId="7884D83D">
        <w:tblPrEx>
          <w:tblCellMar>
            <w:top w:w="0" w:type="dxa"/>
            <w:left w:w="108" w:type="dxa"/>
            <w:bottom w:w="0" w:type="dxa"/>
            <w:right w:w="108" w:type="dxa"/>
          </w:tblCellMar>
        </w:tblPrEx>
        <w:trPr>
          <w:trHeight w:val="499" w:hRule="atLeast"/>
        </w:trPr>
        <w:tc>
          <w:tcPr>
            <w:tcW w:w="1219" w:type="pct"/>
            <w:vMerge w:val="restart"/>
            <w:tcBorders>
              <w:left w:val="single" w:color="auto" w:sz="4" w:space="0"/>
              <w:right w:val="single" w:color="000000" w:sz="4" w:space="0"/>
            </w:tcBorders>
            <w:shd w:val="clear" w:color="auto" w:fill="auto"/>
            <w:vAlign w:val="center"/>
          </w:tcPr>
          <w:p w14:paraId="1BC4772D">
            <w:pPr>
              <w:jc w:val="left"/>
              <w:rPr>
                <w:color w:val="000000"/>
                <w:sz w:val="21"/>
                <w:szCs w:val="21"/>
              </w:rPr>
            </w:pPr>
            <w:r>
              <w:rPr>
                <w:rFonts w:hint="eastAsia"/>
                <w:color w:val="000000"/>
                <w:kern w:val="0"/>
                <w:sz w:val="21"/>
                <w:szCs w:val="21"/>
              </w:rPr>
              <w:t>D4满意度</w:t>
            </w:r>
          </w:p>
        </w:tc>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FE8E5">
            <w:pPr>
              <w:jc w:val="left"/>
              <w:textAlignment w:val="center"/>
              <w:rPr>
                <w:color w:val="000000"/>
                <w:kern w:val="0"/>
                <w:sz w:val="21"/>
                <w:szCs w:val="21"/>
              </w:rPr>
            </w:pPr>
            <w:r>
              <w:rPr>
                <w:rFonts w:hint="eastAsia"/>
                <w:color w:val="000000"/>
                <w:kern w:val="0"/>
                <w:sz w:val="21"/>
                <w:szCs w:val="21"/>
              </w:rPr>
              <w:t>D4-1游客满意度</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F339">
            <w:pPr>
              <w:ind w:right="280" w:rightChars="100"/>
              <w:jc w:val="right"/>
              <w:textAlignment w:val="center"/>
              <w:rPr>
                <w:color w:val="000000"/>
                <w:kern w:val="0"/>
                <w:sz w:val="21"/>
                <w:szCs w:val="21"/>
              </w:rPr>
            </w:pPr>
            <w:r>
              <w:rPr>
                <w:rFonts w:hint="eastAsia"/>
                <w:color w:val="000000"/>
                <w:kern w:val="0"/>
                <w:sz w:val="21"/>
                <w:szCs w:val="21"/>
              </w:rPr>
              <w:t>4.00</w:t>
            </w:r>
          </w:p>
        </w:tc>
        <w:tc>
          <w:tcPr>
            <w:tcW w:w="767"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E1AFB0F">
            <w:pPr>
              <w:ind w:right="280" w:rightChars="100"/>
              <w:jc w:val="right"/>
              <w:textAlignment w:val="center"/>
              <w:rPr>
                <w:color w:val="000000"/>
                <w:kern w:val="0"/>
                <w:sz w:val="21"/>
                <w:szCs w:val="21"/>
              </w:rPr>
            </w:pPr>
            <w:r>
              <w:rPr>
                <w:rFonts w:hint="eastAsia"/>
                <w:color w:val="000000"/>
                <w:kern w:val="0"/>
                <w:sz w:val="21"/>
                <w:szCs w:val="21"/>
              </w:rPr>
              <w:t>3.78</w:t>
            </w:r>
          </w:p>
        </w:tc>
      </w:tr>
      <w:tr w14:paraId="296A27B6">
        <w:tblPrEx>
          <w:tblCellMar>
            <w:top w:w="0" w:type="dxa"/>
            <w:left w:w="108" w:type="dxa"/>
            <w:bottom w:w="0" w:type="dxa"/>
            <w:right w:w="108" w:type="dxa"/>
          </w:tblCellMar>
        </w:tblPrEx>
        <w:trPr>
          <w:trHeight w:val="499" w:hRule="atLeast"/>
        </w:trPr>
        <w:tc>
          <w:tcPr>
            <w:tcW w:w="1219" w:type="pct"/>
            <w:vMerge w:val="continue"/>
            <w:tcBorders>
              <w:left w:val="single" w:color="auto" w:sz="4" w:space="0"/>
              <w:bottom w:val="single" w:color="auto" w:sz="4" w:space="0"/>
              <w:right w:val="single" w:color="000000" w:sz="4" w:space="0"/>
            </w:tcBorders>
            <w:shd w:val="clear" w:color="auto" w:fill="auto"/>
            <w:vAlign w:val="center"/>
          </w:tcPr>
          <w:p w14:paraId="0FE22594">
            <w:pPr>
              <w:jc w:val="left"/>
              <w:rPr>
                <w:color w:val="000000"/>
                <w:sz w:val="21"/>
                <w:szCs w:val="21"/>
              </w:rPr>
            </w:pPr>
          </w:p>
        </w:tc>
        <w:tc>
          <w:tcPr>
            <w:tcW w:w="2246" w:type="pct"/>
            <w:tcBorders>
              <w:top w:val="single" w:color="000000" w:sz="4" w:space="0"/>
              <w:left w:val="single" w:color="000000" w:sz="4" w:space="0"/>
              <w:bottom w:val="single" w:color="auto" w:sz="4" w:space="0"/>
              <w:right w:val="single" w:color="000000" w:sz="4" w:space="0"/>
            </w:tcBorders>
            <w:shd w:val="clear" w:color="auto" w:fill="auto"/>
            <w:vAlign w:val="center"/>
          </w:tcPr>
          <w:p w14:paraId="52345153">
            <w:pPr>
              <w:jc w:val="left"/>
              <w:textAlignment w:val="center"/>
              <w:rPr>
                <w:color w:val="000000"/>
                <w:kern w:val="0"/>
                <w:sz w:val="21"/>
                <w:szCs w:val="21"/>
              </w:rPr>
            </w:pPr>
            <w:r>
              <w:rPr>
                <w:rFonts w:hint="eastAsia"/>
                <w:color w:val="000000"/>
                <w:kern w:val="0"/>
                <w:sz w:val="21"/>
                <w:szCs w:val="21"/>
              </w:rPr>
              <w:t>D4-2管理对象满意度</w:t>
            </w:r>
          </w:p>
        </w:tc>
        <w:tc>
          <w:tcPr>
            <w:tcW w:w="76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3E6F24B">
            <w:pPr>
              <w:ind w:right="280" w:rightChars="100"/>
              <w:jc w:val="right"/>
              <w:textAlignment w:val="center"/>
              <w:rPr>
                <w:color w:val="000000"/>
                <w:kern w:val="0"/>
                <w:sz w:val="21"/>
                <w:szCs w:val="21"/>
              </w:rPr>
            </w:pPr>
            <w:r>
              <w:rPr>
                <w:rFonts w:hint="eastAsia"/>
                <w:color w:val="000000"/>
                <w:kern w:val="0"/>
                <w:sz w:val="21"/>
                <w:szCs w:val="21"/>
              </w:rPr>
              <w:t>4.00</w:t>
            </w:r>
          </w:p>
        </w:tc>
        <w:tc>
          <w:tcPr>
            <w:tcW w:w="767" w:type="pct"/>
            <w:tcBorders>
              <w:top w:val="single" w:color="000000" w:sz="4" w:space="0"/>
              <w:left w:val="single" w:color="000000" w:sz="4" w:space="0"/>
              <w:bottom w:val="single" w:color="auto" w:sz="4" w:space="0"/>
              <w:right w:val="single" w:color="auto" w:sz="4" w:space="0"/>
            </w:tcBorders>
            <w:shd w:val="clear" w:color="auto" w:fill="auto"/>
            <w:noWrap/>
            <w:vAlign w:val="center"/>
          </w:tcPr>
          <w:p w14:paraId="751AB742">
            <w:pPr>
              <w:ind w:right="280" w:rightChars="100"/>
              <w:jc w:val="right"/>
              <w:textAlignment w:val="center"/>
              <w:rPr>
                <w:color w:val="000000"/>
                <w:kern w:val="0"/>
                <w:sz w:val="21"/>
                <w:szCs w:val="21"/>
              </w:rPr>
            </w:pPr>
            <w:r>
              <w:rPr>
                <w:rFonts w:hint="eastAsia"/>
                <w:color w:val="000000"/>
                <w:kern w:val="0"/>
                <w:sz w:val="21"/>
                <w:szCs w:val="21"/>
              </w:rPr>
              <w:t>3.95</w:t>
            </w:r>
          </w:p>
        </w:tc>
      </w:tr>
      <w:tr w14:paraId="50D1975F">
        <w:tblPrEx>
          <w:tblCellMar>
            <w:top w:w="0" w:type="dxa"/>
            <w:left w:w="108" w:type="dxa"/>
            <w:bottom w:w="0" w:type="dxa"/>
            <w:right w:w="108" w:type="dxa"/>
          </w:tblCellMar>
        </w:tblPrEx>
        <w:trPr>
          <w:trHeight w:val="499" w:hRule="atLeast"/>
        </w:trPr>
        <w:tc>
          <w:tcPr>
            <w:tcW w:w="121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30714132">
            <w:pPr>
              <w:jc w:val="left"/>
              <w:rPr>
                <w:color w:val="000000"/>
                <w:sz w:val="21"/>
                <w:szCs w:val="21"/>
              </w:rPr>
            </w:pPr>
          </w:p>
        </w:tc>
        <w:tc>
          <w:tcPr>
            <w:tcW w:w="2246" w:type="pct"/>
            <w:tcBorders>
              <w:top w:val="single" w:color="auto" w:sz="4" w:space="0"/>
              <w:left w:val="single" w:color="000000" w:sz="4" w:space="0"/>
              <w:bottom w:val="single" w:color="000000" w:sz="4" w:space="0"/>
              <w:right w:val="single" w:color="000000" w:sz="4" w:space="0"/>
            </w:tcBorders>
            <w:shd w:val="clear" w:color="auto" w:fill="auto"/>
            <w:vAlign w:val="center"/>
          </w:tcPr>
          <w:p w14:paraId="5298888C">
            <w:pPr>
              <w:jc w:val="center"/>
              <w:textAlignment w:val="center"/>
              <w:rPr>
                <w:color w:val="000000"/>
                <w:kern w:val="0"/>
                <w:sz w:val="21"/>
                <w:szCs w:val="21"/>
              </w:rPr>
            </w:pPr>
            <w:r>
              <w:rPr>
                <w:rFonts w:hint="eastAsia"/>
                <w:b/>
                <w:bCs/>
                <w:color w:val="000000"/>
                <w:kern w:val="0"/>
                <w:sz w:val="21"/>
                <w:szCs w:val="21"/>
              </w:rPr>
              <w:t>小计</w:t>
            </w:r>
          </w:p>
        </w:tc>
        <w:tc>
          <w:tcPr>
            <w:tcW w:w="76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B47073F">
            <w:pPr>
              <w:ind w:right="280" w:rightChars="100"/>
              <w:jc w:val="right"/>
              <w:textAlignment w:val="center"/>
              <w:rPr>
                <w:color w:val="000000"/>
                <w:kern w:val="0"/>
                <w:sz w:val="21"/>
                <w:szCs w:val="21"/>
              </w:rPr>
            </w:pPr>
            <w:r>
              <w:rPr>
                <w:rFonts w:hint="eastAsia"/>
                <w:b/>
                <w:bCs/>
                <w:color w:val="000000"/>
                <w:kern w:val="0"/>
                <w:sz w:val="21"/>
                <w:szCs w:val="21"/>
              </w:rPr>
              <w:t>8.00</w:t>
            </w:r>
          </w:p>
        </w:tc>
        <w:tc>
          <w:tcPr>
            <w:tcW w:w="76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E19A631">
            <w:pPr>
              <w:ind w:right="280" w:rightChars="100"/>
              <w:jc w:val="right"/>
              <w:textAlignment w:val="center"/>
              <w:rPr>
                <w:b/>
                <w:bCs/>
                <w:color w:val="000000"/>
                <w:kern w:val="0"/>
                <w:sz w:val="21"/>
                <w:szCs w:val="21"/>
              </w:rPr>
            </w:pPr>
            <w:r>
              <w:rPr>
                <w:rFonts w:hint="eastAsia"/>
                <w:b/>
                <w:bCs/>
                <w:color w:val="000000"/>
                <w:kern w:val="0"/>
                <w:sz w:val="21"/>
                <w:szCs w:val="21"/>
              </w:rPr>
              <w:t>7.73</w:t>
            </w:r>
          </w:p>
        </w:tc>
      </w:tr>
      <w:tr w14:paraId="7F4E9581">
        <w:tblPrEx>
          <w:tblCellMar>
            <w:top w:w="0" w:type="dxa"/>
            <w:left w:w="108" w:type="dxa"/>
            <w:bottom w:w="0" w:type="dxa"/>
            <w:right w:w="108" w:type="dxa"/>
          </w:tblCellMar>
        </w:tblPrEx>
        <w:trPr>
          <w:trHeight w:val="499" w:hRule="atLeast"/>
        </w:trPr>
        <w:tc>
          <w:tcPr>
            <w:tcW w:w="34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56902">
            <w:pPr>
              <w:jc w:val="center"/>
              <w:textAlignment w:val="center"/>
              <w:rPr>
                <w:b/>
                <w:bCs/>
                <w:color w:val="000000"/>
                <w:sz w:val="21"/>
                <w:szCs w:val="21"/>
              </w:rPr>
            </w:pPr>
            <w:r>
              <w:rPr>
                <w:rFonts w:hint="eastAsia"/>
                <w:b/>
                <w:bCs/>
                <w:color w:val="000000"/>
                <w:kern w:val="0"/>
                <w:sz w:val="21"/>
                <w:szCs w:val="21"/>
              </w:rPr>
              <w:t>合计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3CF08">
            <w:pPr>
              <w:ind w:right="280" w:rightChars="100"/>
              <w:jc w:val="right"/>
              <w:textAlignment w:val="center"/>
              <w:rPr>
                <w:b/>
                <w:bCs/>
                <w:color w:val="000000"/>
                <w:sz w:val="21"/>
                <w:szCs w:val="21"/>
              </w:rPr>
            </w:pPr>
            <w:r>
              <w:rPr>
                <w:rFonts w:hint="eastAsia"/>
                <w:b/>
                <w:bCs/>
                <w:color w:val="000000"/>
                <w:kern w:val="0"/>
                <w:sz w:val="21"/>
                <w:szCs w:val="21"/>
              </w:rPr>
              <w:t>20.00</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8460">
            <w:pPr>
              <w:ind w:right="280" w:rightChars="100"/>
              <w:jc w:val="right"/>
              <w:textAlignment w:val="center"/>
              <w:rPr>
                <w:b/>
                <w:bCs/>
                <w:color w:val="000000"/>
                <w:kern w:val="0"/>
                <w:sz w:val="21"/>
                <w:szCs w:val="21"/>
              </w:rPr>
            </w:pPr>
            <w:r>
              <w:rPr>
                <w:rFonts w:hint="eastAsia"/>
                <w:b/>
                <w:bCs/>
                <w:color w:val="000000"/>
                <w:kern w:val="0"/>
                <w:sz w:val="21"/>
                <w:szCs w:val="21"/>
              </w:rPr>
              <w:t>19.23</w:t>
            </w:r>
          </w:p>
        </w:tc>
      </w:tr>
    </w:tbl>
    <w:p w14:paraId="3295FEE0">
      <w:pPr>
        <w:spacing w:line="540" w:lineRule="exact"/>
        <w:ind w:firstLine="562" w:firstLineChars="200"/>
        <w:outlineLvl w:val="3"/>
        <w:rPr>
          <w:b/>
          <w:bCs/>
        </w:rPr>
      </w:pPr>
      <w:bookmarkStart w:id="381" w:name="_Toc14982"/>
      <w:bookmarkStart w:id="382" w:name="_Toc21311"/>
      <w:r>
        <w:rPr>
          <w:rFonts w:hint="eastAsia"/>
          <w:b/>
          <w:bCs/>
        </w:rPr>
        <w:t>1.D1经济效益，权重2分，得分2分</w:t>
      </w:r>
    </w:p>
    <w:p w14:paraId="29C8C6D9">
      <w:pPr>
        <w:pStyle w:val="8"/>
        <w:snapToGrid/>
        <w:ind w:firstLine="560"/>
        <w:rPr>
          <w:rFonts w:ascii="仿宋"/>
        </w:rPr>
      </w:pPr>
      <w:r>
        <w:rPr>
          <w:rFonts w:hint="eastAsia" w:ascii="仿宋"/>
        </w:rPr>
        <w:t>2023年永济市旅游景区接待游客166.2万人次，2022年接待游客47.87万人次，同比增长247.19%；2023年门票收入3217万元，2022年门票收入943.49万元，同比增长240.97%；2023年旅游经营收入3830万元，2022年经营收入1879万元，同比增长103.83%。</w:t>
      </w:r>
    </w:p>
    <w:p w14:paraId="62346BD5">
      <w:pPr>
        <w:spacing w:line="560" w:lineRule="exact"/>
        <w:ind w:firstLine="560" w:firstLineChars="200"/>
        <w:outlineLvl w:val="3"/>
      </w:pPr>
      <w:r>
        <w:rPr>
          <w:rFonts w:hint="eastAsia"/>
        </w:rPr>
        <w:t>依据评分标准，本指标得2分。</w:t>
      </w:r>
    </w:p>
    <w:p w14:paraId="59065408">
      <w:pPr>
        <w:widowControl w:val="0"/>
        <w:spacing w:line="600" w:lineRule="atLeast"/>
        <w:ind w:firstLine="562" w:firstLineChars="200"/>
        <w:outlineLvl w:val="1"/>
        <w:rPr>
          <w:b/>
        </w:rPr>
      </w:pPr>
      <w:bookmarkStart w:id="383" w:name="_Toc10191"/>
      <w:bookmarkStart w:id="384" w:name="_Toc4951"/>
      <w:bookmarkStart w:id="385" w:name="_Toc18826"/>
      <w:bookmarkStart w:id="386" w:name="_Toc19264"/>
      <w:r>
        <w:rPr>
          <w:rFonts w:hint="eastAsia"/>
          <w:b/>
          <w:bCs/>
        </w:rPr>
        <w:t>2.D2社会效益，权重6分，得分6分</w:t>
      </w:r>
    </w:p>
    <w:p w14:paraId="2656C6E2">
      <w:pPr>
        <w:widowControl w:val="0"/>
        <w:spacing w:line="560" w:lineRule="atLeast"/>
        <w:ind w:firstLine="560" w:firstLineChars="200"/>
        <w:outlineLvl w:val="1"/>
        <w:rPr>
          <w:bCs/>
        </w:rPr>
      </w:pPr>
      <w:r>
        <w:rPr>
          <w:rFonts w:hint="eastAsia"/>
          <w:bCs/>
        </w:rPr>
        <w:t>（1）D2-1提升永济市形象和知名度</w:t>
      </w:r>
    </w:p>
    <w:p w14:paraId="31D3C1F4">
      <w:pPr>
        <w:pStyle w:val="8"/>
        <w:spacing w:line="560" w:lineRule="atLeast"/>
        <w:ind w:firstLine="560"/>
        <w:rPr>
          <w:rFonts w:ascii="仿宋" w:hAnsi="仿宋"/>
        </w:rPr>
      </w:pPr>
      <w:r>
        <w:rPr>
          <w:rFonts w:hint="eastAsia" w:ascii="仿宋" w:hAnsi="仿宋"/>
        </w:rPr>
        <w:t>在西安市易俗社文化街区广场成功举办永济旅游资源（西安）推介会，进一步扩大永济旅游资源对外影响力；参加第六届山西文化产业博览交易会、代表运城市参加省文旅厅在天津南开大学举办“多彩非遗 晋在身边”山西文旅走进南开非遗主题推广活动对永济市的部分非遗产品进行了展示，并通过发放永济旅游宣传册等措施，对我市的景区特色、旅游优惠政策等进行宣传。</w:t>
      </w:r>
    </w:p>
    <w:p w14:paraId="61636E18">
      <w:pPr>
        <w:pStyle w:val="8"/>
        <w:spacing w:line="560" w:lineRule="atLeast"/>
        <w:ind w:firstLine="560"/>
        <w:rPr>
          <w:rFonts w:ascii="仿宋" w:hAnsi="仿宋"/>
        </w:rPr>
      </w:pPr>
      <w:r>
        <w:rPr>
          <w:rFonts w:hint="eastAsia" w:ascii="仿宋" w:hAnsi="仿宋"/>
        </w:rPr>
        <w:t>创新品牌活动形式，开展“红娘牵秦晋 醉梦西厢情”第25届爱情文化节活动，包括内容发布仪式、爱情文化节开幕式、秦晋之好红歌会和红娘文化交流研讨会等四个阶段。通过举办爱情文化节，传承了西厢文化、红娘文化，塑造了我市爱情圣地的旅游品牌，扩大了我市文化影响力，提升了我市知名度，助推了文旅经济高质量发展。</w:t>
      </w:r>
    </w:p>
    <w:p w14:paraId="4ED9C855">
      <w:pPr>
        <w:widowControl w:val="0"/>
        <w:spacing w:line="600" w:lineRule="atLeast"/>
        <w:ind w:firstLine="560" w:firstLineChars="200"/>
        <w:outlineLvl w:val="1"/>
        <w:rPr>
          <w:bCs/>
        </w:rPr>
      </w:pPr>
      <w:r>
        <w:rPr>
          <w:rFonts w:hint="eastAsia"/>
          <w:bCs/>
        </w:rPr>
        <w:t>（2）D2-2文化传承与保护</w:t>
      </w:r>
    </w:p>
    <w:p w14:paraId="29EAE042">
      <w:pPr>
        <w:widowControl w:val="0"/>
        <w:spacing w:line="600" w:lineRule="atLeast"/>
        <w:ind w:firstLine="560" w:firstLineChars="200"/>
        <w:outlineLvl w:val="1"/>
        <w:rPr>
          <w:bCs/>
        </w:rPr>
      </w:pPr>
      <w:r>
        <w:rPr>
          <w:rFonts w:hint="eastAsia"/>
          <w:bCs/>
        </w:rPr>
        <w:t>文物保护方面：一是强化文物安全责任落实，与保护员签订文物安全责任书；二是加大田野文物安全保护力度，联合博物馆对西下村汉墓进行了抢救性清理，移交文物32件；三是加强巡查检查力度，2023年共出动安全巡查人员260余人/次，巡查文保单位510处/次，安全检查42次，排查整改安全隐患35处；四是联合市消防救援大队、宗教局等部门，对全市古建筑、各类博物馆等进行消防安全大检查，并对全市文保员进行消防安全培训演练等。</w:t>
      </w:r>
    </w:p>
    <w:p w14:paraId="4D4722F3">
      <w:pPr>
        <w:widowControl w:val="0"/>
        <w:spacing w:line="600" w:lineRule="atLeast"/>
        <w:ind w:firstLine="560" w:firstLineChars="200"/>
        <w:outlineLvl w:val="1"/>
        <w:rPr>
          <w:bCs/>
        </w:rPr>
      </w:pPr>
      <w:r>
        <w:rPr>
          <w:rFonts w:hint="eastAsia"/>
          <w:bCs/>
        </w:rPr>
        <w:t>文化传承方面：一是让文物“活”起来，走入“百姓家；二是强化公共服务项目，积极开展“5·18国际博物馆日”和“文化和自然遗产日”等主题宣传活动并发挥微信、抖音公众号等融媒体优势，拍摄2023年“文化和自然遗产日”文物专题片、第三季《我从蒲州来》12期系列片等；三是积极开展文博知识进校园活动，以“移动展览进校园·爱上博物馆”为主题开展馆校合作新模式，培训24名“小小讲解员”队伍，推动文物保护与学校教育有机衔接。</w:t>
      </w:r>
    </w:p>
    <w:p w14:paraId="6BE15787">
      <w:pPr>
        <w:widowControl w:val="0"/>
        <w:numPr>
          <w:ilvl w:val="0"/>
          <w:numId w:val="2"/>
        </w:numPr>
        <w:spacing w:line="600" w:lineRule="atLeast"/>
        <w:ind w:firstLine="560" w:firstLineChars="200"/>
        <w:outlineLvl w:val="1"/>
        <w:rPr>
          <w:bCs/>
        </w:rPr>
      </w:pPr>
      <w:r>
        <w:rPr>
          <w:rFonts w:hint="eastAsia"/>
          <w:bCs/>
        </w:rPr>
        <w:t>D2-3丰富民众的精神生活</w:t>
      </w:r>
    </w:p>
    <w:p w14:paraId="212A08A6">
      <w:pPr>
        <w:pStyle w:val="8"/>
        <w:ind w:firstLine="560"/>
        <w:rPr>
          <w:rFonts w:ascii="仿宋" w:hAnsi="仿宋"/>
        </w:rPr>
      </w:pPr>
      <w:r>
        <w:rPr>
          <w:rFonts w:hint="eastAsia" w:ascii="仿宋" w:hAnsi="仿宋"/>
        </w:rPr>
        <w:t>围绕重要节庆日开展“文化进万家”、民俗文化进景区、戏迷活动展演、“新时代文化馆 开放·融合·创新”服务宣传周展演等各类文艺活动1989场等，受益群众近10万余人次；图书借还累计达20余万册次，累计培训1700余课时，服务群众32万余人次；开展“我有拿手戏”文艺大展演等20余场大型演出活动，极大地丰富了群众的精神生活。</w:t>
      </w:r>
    </w:p>
    <w:p w14:paraId="13A4F558">
      <w:pPr>
        <w:widowControl w:val="0"/>
        <w:spacing w:line="600" w:lineRule="atLeast"/>
        <w:ind w:firstLine="562" w:firstLineChars="200"/>
        <w:outlineLvl w:val="1"/>
        <w:rPr>
          <w:b/>
        </w:rPr>
      </w:pPr>
      <w:r>
        <w:rPr>
          <w:rFonts w:hint="eastAsia"/>
          <w:b/>
        </w:rPr>
        <w:t>3.</w:t>
      </w:r>
      <w:r>
        <w:rPr>
          <w:rFonts w:hint="eastAsia"/>
          <w:b/>
          <w:bCs/>
        </w:rPr>
        <w:t>D3</w:t>
      </w:r>
      <w:r>
        <w:rPr>
          <w:rFonts w:hint="eastAsia"/>
          <w:b/>
        </w:rPr>
        <w:t>可持续性</w:t>
      </w:r>
      <w:bookmarkEnd w:id="383"/>
      <w:bookmarkEnd w:id="384"/>
      <w:bookmarkEnd w:id="385"/>
      <w:bookmarkEnd w:id="386"/>
      <w:r>
        <w:rPr>
          <w:rFonts w:hint="eastAsia"/>
          <w:b/>
          <w:bCs/>
        </w:rPr>
        <w:t>，权重4分，得分4分</w:t>
      </w:r>
    </w:p>
    <w:p w14:paraId="62350AE3">
      <w:pPr>
        <w:pStyle w:val="8"/>
        <w:widowControl w:val="0"/>
        <w:snapToGrid/>
        <w:spacing w:line="560" w:lineRule="atLeast"/>
        <w:ind w:firstLine="560"/>
        <w:outlineLvl w:val="3"/>
        <w:rPr>
          <w:rFonts w:ascii="仿宋"/>
          <w:bCs/>
        </w:rPr>
      </w:pPr>
      <w:r>
        <w:rPr>
          <w:rFonts w:hint="eastAsia" w:ascii="仿宋"/>
          <w:bCs/>
        </w:rPr>
        <w:t>（1</w:t>
      </w:r>
      <w:r>
        <w:rPr>
          <w:rFonts w:hint="eastAsia" w:ascii="仿宋" w:hAnsi="仿宋"/>
          <w:bCs/>
        </w:rPr>
        <w:t>）D3-1体制机制改革，权重2分，得分2分</w:t>
      </w:r>
    </w:p>
    <w:p w14:paraId="05A69597">
      <w:pPr>
        <w:pStyle w:val="8"/>
        <w:widowControl w:val="0"/>
        <w:snapToGrid/>
        <w:spacing w:line="560" w:lineRule="atLeast"/>
        <w:ind w:firstLine="560"/>
      </w:pPr>
      <w:r>
        <w:rPr>
          <w:rFonts w:hint="eastAsia" w:ascii="仿宋"/>
          <w:bCs/>
        </w:rPr>
        <w:t>在部门管理机制改革方面，永济市文旅局2022年和2024年对内部各项管理制度进行了优化改进，2023年未进行制度方面改革，沿用2022年制度。</w:t>
      </w:r>
    </w:p>
    <w:p w14:paraId="1C343224">
      <w:pPr>
        <w:pStyle w:val="8"/>
        <w:widowControl w:val="0"/>
        <w:snapToGrid/>
        <w:spacing w:line="560" w:lineRule="atLeast"/>
        <w:ind w:firstLine="560"/>
        <w:rPr>
          <w:rFonts w:ascii="仿宋"/>
          <w:bCs/>
        </w:rPr>
      </w:pPr>
      <w:r>
        <w:rPr>
          <w:rFonts w:hint="eastAsia" w:ascii="仿宋"/>
          <w:bCs/>
        </w:rPr>
        <w:t>该指标分值2分，得分2分。</w:t>
      </w:r>
    </w:p>
    <w:p w14:paraId="5880AB93">
      <w:pPr>
        <w:pStyle w:val="8"/>
        <w:widowControl w:val="0"/>
        <w:snapToGrid/>
        <w:spacing w:line="560" w:lineRule="atLeast"/>
        <w:ind w:firstLine="560"/>
        <w:outlineLvl w:val="3"/>
        <w:rPr>
          <w:rFonts w:ascii="仿宋"/>
          <w:bCs/>
        </w:rPr>
      </w:pPr>
      <w:r>
        <w:rPr>
          <w:rFonts w:hint="eastAsia" w:ascii="仿宋"/>
          <w:bCs/>
        </w:rPr>
        <w:t>（2）D3-2干部队伍建设，分值2分，得1.5分</w:t>
      </w:r>
    </w:p>
    <w:p w14:paraId="7D5C249C">
      <w:pPr>
        <w:pStyle w:val="8"/>
        <w:widowControl w:val="0"/>
        <w:snapToGrid/>
        <w:spacing w:line="560" w:lineRule="atLeast"/>
        <w:ind w:firstLine="560"/>
        <w:rPr>
          <w:rFonts w:ascii="仿宋"/>
          <w:bCs/>
        </w:rPr>
      </w:pPr>
      <w:r>
        <w:rPr>
          <w:rFonts w:hint="eastAsia" w:ascii="仿宋"/>
          <w:bCs/>
        </w:rPr>
        <w:t>人才培养方面，永济市文旅局依据《事业单位工作人员岗位绩效考核暂行办法》等有关规定，结合实际，对干部及事业编人员进行了2022年度考核工作，考核结果分为优秀、合格、称职等，无处分人员。</w:t>
      </w:r>
    </w:p>
    <w:p w14:paraId="3EA2F33E">
      <w:pPr>
        <w:pStyle w:val="8"/>
        <w:widowControl w:val="0"/>
        <w:snapToGrid/>
        <w:spacing w:line="560" w:lineRule="atLeast"/>
        <w:ind w:firstLine="560"/>
        <w:rPr>
          <w:rFonts w:ascii="仿宋"/>
          <w:bCs/>
        </w:rPr>
      </w:pPr>
      <w:r>
        <w:rPr>
          <w:rFonts w:hint="eastAsia" w:ascii="仿宋"/>
          <w:bCs/>
        </w:rPr>
        <w:t>干部培训方面，文保中心和博物馆2023年开展“文博大讲堂”活动和文博系统消防安全专题培训，其余单位未提供干部培训资料，扣0.5分。</w:t>
      </w:r>
    </w:p>
    <w:p w14:paraId="694CE4E4">
      <w:pPr>
        <w:pStyle w:val="8"/>
        <w:widowControl w:val="0"/>
        <w:snapToGrid/>
        <w:spacing w:line="560" w:lineRule="atLeast"/>
        <w:ind w:firstLine="560"/>
        <w:rPr>
          <w:rFonts w:ascii="仿宋"/>
          <w:bCs/>
        </w:rPr>
      </w:pPr>
      <w:r>
        <w:rPr>
          <w:rFonts w:hint="eastAsia" w:ascii="仿宋"/>
          <w:bCs/>
        </w:rPr>
        <w:t>该指标分值2分，得分1.5分。</w:t>
      </w:r>
    </w:p>
    <w:p w14:paraId="21C19EAF">
      <w:pPr>
        <w:spacing w:line="560" w:lineRule="exact"/>
        <w:ind w:firstLine="562" w:firstLineChars="200"/>
        <w:outlineLvl w:val="3"/>
        <w:rPr>
          <w:b/>
          <w:bCs/>
        </w:rPr>
      </w:pPr>
      <w:r>
        <w:rPr>
          <w:rFonts w:hint="eastAsia"/>
          <w:b/>
          <w:bCs/>
        </w:rPr>
        <w:t>4.C4满意度，权重8分，得分7.73分</w:t>
      </w:r>
    </w:p>
    <w:p w14:paraId="60B8D1AD">
      <w:pPr>
        <w:spacing w:line="560" w:lineRule="exact"/>
        <w:ind w:firstLine="562" w:firstLineChars="200"/>
        <w:outlineLvl w:val="4"/>
        <w:rPr>
          <w:b/>
          <w:bCs/>
        </w:rPr>
      </w:pPr>
      <w:r>
        <w:rPr>
          <w:rFonts w:hint="eastAsia"/>
          <w:b/>
          <w:bCs/>
        </w:rPr>
        <w:t>（1）C4-1游客满意度</w:t>
      </w:r>
    </w:p>
    <w:p w14:paraId="5C4055B8">
      <w:pPr>
        <w:pStyle w:val="8"/>
        <w:snapToGrid/>
        <w:ind w:firstLine="560"/>
        <w:rPr>
          <w:rFonts w:ascii="仿宋" w:hAnsi="仿宋"/>
        </w:rPr>
      </w:pPr>
      <w:r>
        <w:rPr>
          <w:rFonts w:hint="eastAsia" w:ascii="仿宋" w:hAnsi="仿宋"/>
        </w:rPr>
        <w:t>通过问卷调查游客对永济市文旅局工作满意度进行调查，</w:t>
      </w:r>
      <w:r>
        <w:rPr>
          <w:rFonts w:hint="eastAsia" w:ascii="仿宋"/>
        </w:rPr>
        <w:t>包括</w:t>
      </w:r>
      <w:r>
        <w:rPr>
          <w:rFonts w:hint="eastAsia" w:ascii="仿宋" w:hAnsi="仿宋"/>
        </w:rPr>
        <w:t>旅游景点的整体布局、旅游景点的基础设施（如道路、停车场、厕所）、旅游景区的服务质量、旅游期间的餐饮和住宿、对参加过的文化活动的整体安排、文化活动特色和吸引力情况、永济市文物保护工作、对永济市文化馆、博物馆、图书馆内的物品及服务人员的满意度</w:t>
      </w:r>
      <w:r>
        <w:rPr>
          <w:rFonts w:hint="eastAsia" w:ascii="仿宋"/>
        </w:rPr>
        <w:t>8</w:t>
      </w:r>
      <w:r>
        <w:rPr>
          <w:rFonts w:hint="eastAsia" w:ascii="仿宋" w:hAnsi="仿宋"/>
        </w:rPr>
        <w:t>个方面。本次共计收回问卷</w:t>
      </w:r>
      <w:r>
        <w:rPr>
          <w:rFonts w:hint="eastAsia" w:ascii="仿宋"/>
        </w:rPr>
        <w:t>119</w:t>
      </w:r>
      <w:r>
        <w:rPr>
          <w:rFonts w:hint="eastAsia" w:ascii="仿宋" w:hAnsi="仿宋"/>
        </w:rPr>
        <w:t>份，有效问卷</w:t>
      </w:r>
      <w:r>
        <w:rPr>
          <w:rFonts w:hint="eastAsia" w:ascii="仿宋"/>
        </w:rPr>
        <w:t>119</w:t>
      </w:r>
      <w:r>
        <w:rPr>
          <w:rFonts w:hint="eastAsia" w:ascii="仿宋" w:hAnsi="仿宋"/>
        </w:rPr>
        <w:t>份。满意度调查结果如表4-</w:t>
      </w:r>
      <w:r>
        <w:rPr>
          <w:rFonts w:hint="eastAsia" w:ascii="仿宋"/>
        </w:rPr>
        <w:t>3</w:t>
      </w:r>
      <w:r>
        <w:rPr>
          <w:rFonts w:hint="eastAsia" w:ascii="仿宋" w:hAnsi="仿宋"/>
        </w:rPr>
        <w:t>-5所示：</w:t>
      </w:r>
    </w:p>
    <w:p w14:paraId="1C8B86A3">
      <w:pPr>
        <w:widowControl w:val="0"/>
        <w:spacing w:line="540" w:lineRule="exact"/>
        <w:jc w:val="center"/>
        <w:rPr>
          <w:b/>
        </w:rPr>
      </w:pPr>
      <w:r>
        <w:rPr>
          <w:rFonts w:hint="eastAsia"/>
          <w:b/>
        </w:rPr>
        <w:t>表4-3-5 游客满意度调查统计表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359"/>
        <w:gridCol w:w="1074"/>
        <w:gridCol w:w="1053"/>
        <w:gridCol w:w="1074"/>
        <w:gridCol w:w="1096"/>
        <w:gridCol w:w="969"/>
      </w:tblGrid>
      <w:tr w14:paraId="6362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trPr>
        <w:tc>
          <w:tcPr>
            <w:tcW w:w="1888" w:type="dxa"/>
            <w:tcBorders>
              <w:tl2br w:val="nil"/>
              <w:tr2bl w:val="nil"/>
            </w:tcBorders>
            <w:shd w:val="clear" w:color="auto" w:fill="BEBEBE" w:themeFill="background1" w:themeFillShade="BF"/>
            <w:vAlign w:val="center"/>
          </w:tcPr>
          <w:p w14:paraId="28982337">
            <w:pPr>
              <w:spacing w:line="240" w:lineRule="exact"/>
              <w:jc w:val="center"/>
              <w:rPr>
                <w:b/>
                <w:bCs/>
                <w:sz w:val="20"/>
                <w:szCs w:val="20"/>
              </w:rPr>
            </w:pPr>
            <w:r>
              <w:rPr>
                <w:rFonts w:hint="eastAsia"/>
                <w:b/>
                <w:bCs/>
                <w:sz w:val="20"/>
                <w:szCs w:val="20"/>
              </w:rPr>
              <w:t>题目\选项</w:t>
            </w:r>
          </w:p>
        </w:tc>
        <w:tc>
          <w:tcPr>
            <w:tcW w:w="1359" w:type="dxa"/>
            <w:tcBorders>
              <w:tl2br w:val="nil"/>
              <w:tr2bl w:val="nil"/>
            </w:tcBorders>
            <w:shd w:val="clear" w:color="auto" w:fill="BEBEBE" w:themeFill="background1" w:themeFillShade="BF"/>
            <w:vAlign w:val="center"/>
          </w:tcPr>
          <w:p w14:paraId="5B05CEA0">
            <w:pPr>
              <w:spacing w:line="240" w:lineRule="exact"/>
              <w:jc w:val="center"/>
              <w:rPr>
                <w:b/>
                <w:bCs/>
                <w:sz w:val="20"/>
                <w:szCs w:val="20"/>
              </w:rPr>
            </w:pPr>
            <w:r>
              <w:rPr>
                <w:rFonts w:hint="eastAsia"/>
                <w:b/>
                <w:bCs/>
                <w:sz w:val="20"/>
                <w:szCs w:val="20"/>
              </w:rPr>
              <w:t>5分</w:t>
            </w:r>
          </w:p>
        </w:tc>
        <w:tc>
          <w:tcPr>
            <w:tcW w:w="1074" w:type="dxa"/>
            <w:tcBorders>
              <w:tl2br w:val="nil"/>
              <w:tr2bl w:val="nil"/>
            </w:tcBorders>
            <w:shd w:val="clear" w:color="auto" w:fill="BEBEBE" w:themeFill="background1" w:themeFillShade="BF"/>
            <w:vAlign w:val="center"/>
          </w:tcPr>
          <w:p w14:paraId="111CD946">
            <w:pPr>
              <w:spacing w:line="240" w:lineRule="exact"/>
              <w:jc w:val="center"/>
              <w:rPr>
                <w:b/>
                <w:bCs/>
                <w:sz w:val="20"/>
                <w:szCs w:val="20"/>
              </w:rPr>
            </w:pPr>
            <w:r>
              <w:rPr>
                <w:rFonts w:hint="eastAsia"/>
                <w:b/>
                <w:bCs/>
                <w:sz w:val="20"/>
                <w:szCs w:val="20"/>
              </w:rPr>
              <w:t>4分</w:t>
            </w:r>
          </w:p>
        </w:tc>
        <w:tc>
          <w:tcPr>
            <w:tcW w:w="1053" w:type="dxa"/>
            <w:tcBorders>
              <w:tl2br w:val="nil"/>
              <w:tr2bl w:val="nil"/>
            </w:tcBorders>
            <w:shd w:val="clear" w:color="auto" w:fill="BEBEBE" w:themeFill="background1" w:themeFillShade="BF"/>
            <w:vAlign w:val="center"/>
          </w:tcPr>
          <w:p w14:paraId="46DEE8D0">
            <w:pPr>
              <w:spacing w:line="240" w:lineRule="exact"/>
              <w:jc w:val="center"/>
              <w:rPr>
                <w:b/>
                <w:bCs/>
                <w:sz w:val="20"/>
                <w:szCs w:val="20"/>
              </w:rPr>
            </w:pPr>
            <w:r>
              <w:rPr>
                <w:rFonts w:hint="eastAsia"/>
                <w:b/>
                <w:bCs/>
                <w:sz w:val="20"/>
                <w:szCs w:val="20"/>
              </w:rPr>
              <w:t>3分</w:t>
            </w:r>
          </w:p>
        </w:tc>
        <w:tc>
          <w:tcPr>
            <w:tcW w:w="1074" w:type="dxa"/>
            <w:tcBorders>
              <w:tl2br w:val="nil"/>
              <w:tr2bl w:val="nil"/>
            </w:tcBorders>
            <w:shd w:val="clear" w:color="auto" w:fill="BEBEBE" w:themeFill="background1" w:themeFillShade="BF"/>
            <w:vAlign w:val="center"/>
          </w:tcPr>
          <w:p w14:paraId="221937B2">
            <w:pPr>
              <w:spacing w:line="240" w:lineRule="exact"/>
              <w:jc w:val="center"/>
              <w:rPr>
                <w:b/>
                <w:bCs/>
                <w:sz w:val="20"/>
                <w:szCs w:val="20"/>
              </w:rPr>
            </w:pPr>
            <w:r>
              <w:rPr>
                <w:rFonts w:hint="eastAsia"/>
                <w:b/>
                <w:bCs/>
                <w:sz w:val="20"/>
                <w:szCs w:val="20"/>
              </w:rPr>
              <w:t>2分</w:t>
            </w:r>
          </w:p>
        </w:tc>
        <w:tc>
          <w:tcPr>
            <w:tcW w:w="1096" w:type="dxa"/>
            <w:tcBorders>
              <w:tl2br w:val="nil"/>
              <w:tr2bl w:val="nil"/>
            </w:tcBorders>
            <w:shd w:val="clear" w:color="auto" w:fill="BEBEBE" w:themeFill="background1" w:themeFillShade="BF"/>
            <w:vAlign w:val="center"/>
          </w:tcPr>
          <w:p w14:paraId="45076494">
            <w:pPr>
              <w:spacing w:line="240" w:lineRule="exact"/>
              <w:jc w:val="center"/>
              <w:rPr>
                <w:b/>
                <w:bCs/>
                <w:sz w:val="20"/>
                <w:szCs w:val="20"/>
              </w:rPr>
            </w:pPr>
            <w:r>
              <w:rPr>
                <w:rFonts w:hint="eastAsia"/>
                <w:b/>
                <w:bCs/>
                <w:sz w:val="20"/>
                <w:szCs w:val="20"/>
              </w:rPr>
              <w:t>1分</w:t>
            </w:r>
          </w:p>
        </w:tc>
        <w:tc>
          <w:tcPr>
            <w:tcW w:w="969" w:type="dxa"/>
            <w:tcBorders>
              <w:tl2br w:val="nil"/>
              <w:tr2bl w:val="nil"/>
            </w:tcBorders>
            <w:shd w:val="clear" w:color="auto" w:fill="BEBEBE" w:themeFill="background1" w:themeFillShade="BF"/>
            <w:vAlign w:val="center"/>
          </w:tcPr>
          <w:p w14:paraId="48D688C9">
            <w:pPr>
              <w:spacing w:line="240" w:lineRule="exact"/>
              <w:jc w:val="center"/>
              <w:rPr>
                <w:b/>
                <w:bCs/>
                <w:sz w:val="20"/>
                <w:szCs w:val="20"/>
              </w:rPr>
            </w:pPr>
            <w:r>
              <w:rPr>
                <w:rFonts w:hint="eastAsia"/>
                <w:b/>
                <w:bCs/>
                <w:sz w:val="20"/>
                <w:szCs w:val="20"/>
              </w:rPr>
              <w:t>得分</w:t>
            </w:r>
          </w:p>
        </w:tc>
      </w:tr>
      <w:tr w14:paraId="23A2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3740BEBF">
            <w:pPr>
              <w:spacing w:line="240" w:lineRule="exact"/>
              <w:jc w:val="left"/>
              <w:rPr>
                <w:sz w:val="20"/>
                <w:szCs w:val="20"/>
              </w:rPr>
            </w:pPr>
            <w:r>
              <w:rPr>
                <w:rFonts w:hint="eastAsia"/>
                <w:sz w:val="20"/>
                <w:szCs w:val="20"/>
              </w:rPr>
              <w:t>旅游景点的整体布局满意度</w:t>
            </w:r>
          </w:p>
        </w:tc>
        <w:tc>
          <w:tcPr>
            <w:tcW w:w="1359" w:type="dxa"/>
            <w:tcBorders>
              <w:tl2br w:val="nil"/>
              <w:tr2bl w:val="nil"/>
            </w:tcBorders>
            <w:shd w:val="clear" w:color="auto" w:fill="auto"/>
            <w:vAlign w:val="center"/>
          </w:tcPr>
          <w:p w14:paraId="208F211B">
            <w:pPr>
              <w:spacing w:line="240" w:lineRule="exact"/>
              <w:jc w:val="center"/>
              <w:rPr>
                <w:sz w:val="20"/>
                <w:szCs w:val="20"/>
              </w:rPr>
            </w:pPr>
            <w:r>
              <w:rPr>
                <w:rFonts w:hint="eastAsia"/>
                <w:sz w:val="20"/>
                <w:szCs w:val="20"/>
              </w:rPr>
              <w:t>108</w:t>
            </w:r>
          </w:p>
          <w:p w14:paraId="1830F86C">
            <w:pPr>
              <w:spacing w:line="240" w:lineRule="exact"/>
              <w:jc w:val="center"/>
              <w:rPr>
                <w:sz w:val="20"/>
                <w:szCs w:val="20"/>
              </w:rPr>
            </w:pPr>
            <w:r>
              <w:rPr>
                <w:rFonts w:hint="eastAsia"/>
                <w:sz w:val="20"/>
                <w:szCs w:val="20"/>
              </w:rPr>
              <w:t>(90.76%)</w:t>
            </w:r>
          </w:p>
        </w:tc>
        <w:tc>
          <w:tcPr>
            <w:tcW w:w="1074" w:type="dxa"/>
            <w:tcBorders>
              <w:tl2br w:val="nil"/>
              <w:tr2bl w:val="nil"/>
            </w:tcBorders>
            <w:shd w:val="clear" w:color="auto" w:fill="auto"/>
            <w:vAlign w:val="center"/>
          </w:tcPr>
          <w:p w14:paraId="5E4687DD">
            <w:pPr>
              <w:spacing w:line="240" w:lineRule="exact"/>
              <w:jc w:val="center"/>
              <w:rPr>
                <w:sz w:val="20"/>
                <w:szCs w:val="20"/>
              </w:rPr>
            </w:pPr>
            <w:r>
              <w:rPr>
                <w:rFonts w:hint="eastAsia"/>
                <w:sz w:val="20"/>
                <w:szCs w:val="20"/>
              </w:rPr>
              <w:t>4</w:t>
            </w:r>
          </w:p>
          <w:p w14:paraId="69032AAC">
            <w:pPr>
              <w:spacing w:line="240" w:lineRule="exact"/>
              <w:jc w:val="center"/>
              <w:rPr>
                <w:sz w:val="20"/>
                <w:szCs w:val="20"/>
              </w:rPr>
            </w:pPr>
            <w:r>
              <w:rPr>
                <w:rFonts w:hint="eastAsia"/>
                <w:sz w:val="20"/>
                <w:szCs w:val="20"/>
              </w:rPr>
              <w:t>(3.36%)</w:t>
            </w:r>
          </w:p>
        </w:tc>
        <w:tc>
          <w:tcPr>
            <w:tcW w:w="1053" w:type="dxa"/>
            <w:tcBorders>
              <w:tl2br w:val="nil"/>
              <w:tr2bl w:val="nil"/>
            </w:tcBorders>
            <w:shd w:val="clear" w:color="auto" w:fill="auto"/>
            <w:vAlign w:val="center"/>
          </w:tcPr>
          <w:p w14:paraId="64E0865C">
            <w:pPr>
              <w:spacing w:line="240" w:lineRule="exact"/>
              <w:jc w:val="center"/>
              <w:rPr>
                <w:sz w:val="20"/>
                <w:szCs w:val="20"/>
              </w:rPr>
            </w:pPr>
            <w:r>
              <w:rPr>
                <w:rFonts w:hint="eastAsia"/>
                <w:sz w:val="20"/>
                <w:szCs w:val="20"/>
              </w:rPr>
              <w:t>1</w:t>
            </w:r>
          </w:p>
          <w:p w14:paraId="205C6E1A">
            <w:pPr>
              <w:spacing w:line="240" w:lineRule="exact"/>
              <w:jc w:val="center"/>
              <w:rPr>
                <w:sz w:val="20"/>
                <w:szCs w:val="20"/>
              </w:rPr>
            </w:pPr>
            <w:r>
              <w:rPr>
                <w:rFonts w:hint="eastAsia"/>
                <w:sz w:val="20"/>
                <w:szCs w:val="20"/>
              </w:rPr>
              <w:t>(0.84%)</w:t>
            </w:r>
          </w:p>
        </w:tc>
        <w:tc>
          <w:tcPr>
            <w:tcW w:w="1074" w:type="dxa"/>
            <w:tcBorders>
              <w:tl2br w:val="nil"/>
              <w:tr2bl w:val="nil"/>
            </w:tcBorders>
            <w:shd w:val="clear" w:color="auto" w:fill="auto"/>
            <w:vAlign w:val="center"/>
          </w:tcPr>
          <w:p w14:paraId="5AFE204D">
            <w:pPr>
              <w:spacing w:line="240" w:lineRule="exact"/>
              <w:jc w:val="center"/>
              <w:rPr>
                <w:sz w:val="20"/>
                <w:szCs w:val="20"/>
              </w:rPr>
            </w:pPr>
            <w:r>
              <w:rPr>
                <w:rFonts w:hint="eastAsia"/>
                <w:sz w:val="20"/>
                <w:szCs w:val="20"/>
              </w:rPr>
              <w:t>1</w:t>
            </w:r>
          </w:p>
          <w:p w14:paraId="4FDEF698">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3429626C">
            <w:pPr>
              <w:spacing w:line="240" w:lineRule="exact"/>
              <w:jc w:val="center"/>
              <w:rPr>
                <w:sz w:val="20"/>
                <w:szCs w:val="20"/>
              </w:rPr>
            </w:pPr>
            <w:r>
              <w:rPr>
                <w:rFonts w:hint="eastAsia"/>
                <w:sz w:val="20"/>
                <w:szCs w:val="20"/>
              </w:rPr>
              <w:t>5</w:t>
            </w:r>
          </w:p>
          <w:p w14:paraId="726D1FBF">
            <w:pPr>
              <w:spacing w:line="240" w:lineRule="exact"/>
              <w:jc w:val="center"/>
              <w:rPr>
                <w:sz w:val="20"/>
                <w:szCs w:val="20"/>
              </w:rPr>
            </w:pPr>
            <w:r>
              <w:rPr>
                <w:rFonts w:hint="eastAsia"/>
                <w:sz w:val="20"/>
                <w:szCs w:val="20"/>
              </w:rPr>
              <w:t>(4.2%)</w:t>
            </w:r>
          </w:p>
        </w:tc>
        <w:tc>
          <w:tcPr>
            <w:tcW w:w="969" w:type="dxa"/>
            <w:tcBorders>
              <w:tl2br w:val="nil"/>
              <w:tr2bl w:val="nil"/>
            </w:tcBorders>
            <w:shd w:val="clear" w:color="auto" w:fill="auto"/>
            <w:vAlign w:val="center"/>
          </w:tcPr>
          <w:p w14:paraId="2FAF836E">
            <w:pPr>
              <w:spacing w:line="240" w:lineRule="exact"/>
              <w:jc w:val="center"/>
              <w:rPr>
                <w:sz w:val="20"/>
                <w:szCs w:val="20"/>
              </w:rPr>
            </w:pPr>
            <w:r>
              <w:rPr>
                <w:rFonts w:hint="eastAsia"/>
                <w:sz w:val="20"/>
                <w:szCs w:val="20"/>
              </w:rPr>
              <w:t>0.48</w:t>
            </w:r>
          </w:p>
        </w:tc>
      </w:tr>
      <w:tr w14:paraId="722D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65C2EF2D">
            <w:pPr>
              <w:spacing w:line="240" w:lineRule="exact"/>
              <w:jc w:val="left"/>
              <w:rPr>
                <w:sz w:val="20"/>
                <w:szCs w:val="20"/>
              </w:rPr>
            </w:pPr>
            <w:r>
              <w:rPr>
                <w:rFonts w:hint="eastAsia"/>
                <w:sz w:val="20"/>
                <w:szCs w:val="20"/>
              </w:rPr>
              <w:t>旅游景点的基础设施（如道路、停车场、厕所）满意度</w:t>
            </w:r>
          </w:p>
        </w:tc>
        <w:tc>
          <w:tcPr>
            <w:tcW w:w="1359" w:type="dxa"/>
            <w:tcBorders>
              <w:tl2br w:val="nil"/>
              <w:tr2bl w:val="nil"/>
            </w:tcBorders>
            <w:shd w:val="clear" w:color="auto" w:fill="auto"/>
            <w:vAlign w:val="center"/>
          </w:tcPr>
          <w:p w14:paraId="6F272BC4">
            <w:pPr>
              <w:spacing w:line="240" w:lineRule="exact"/>
              <w:jc w:val="center"/>
              <w:rPr>
                <w:sz w:val="20"/>
                <w:szCs w:val="20"/>
              </w:rPr>
            </w:pPr>
            <w:r>
              <w:rPr>
                <w:rFonts w:hint="eastAsia"/>
                <w:sz w:val="20"/>
                <w:szCs w:val="20"/>
              </w:rPr>
              <w:t>106</w:t>
            </w:r>
          </w:p>
          <w:p w14:paraId="50B984DC">
            <w:pPr>
              <w:spacing w:line="240" w:lineRule="exact"/>
              <w:jc w:val="center"/>
              <w:rPr>
                <w:sz w:val="20"/>
                <w:szCs w:val="20"/>
              </w:rPr>
            </w:pPr>
            <w:r>
              <w:rPr>
                <w:rFonts w:hint="eastAsia"/>
                <w:sz w:val="20"/>
                <w:szCs w:val="20"/>
              </w:rPr>
              <w:t>(89.08%)</w:t>
            </w:r>
          </w:p>
        </w:tc>
        <w:tc>
          <w:tcPr>
            <w:tcW w:w="1074" w:type="dxa"/>
            <w:tcBorders>
              <w:tl2br w:val="nil"/>
              <w:tr2bl w:val="nil"/>
            </w:tcBorders>
            <w:shd w:val="clear" w:color="auto" w:fill="auto"/>
            <w:vAlign w:val="center"/>
          </w:tcPr>
          <w:p w14:paraId="0008EEC7">
            <w:pPr>
              <w:spacing w:line="240" w:lineRule="exact"/>
              <w:jc w:val="center"/>
              <w:rPr>
                <w:sz w:val="20"/>
                <w:szCs w:val="20"/>
              </w:rPr>
            </w:pPr>
            <w:r>
              <w:rPr>
                <w:rFonts w:hint="eastAsia"/>
                <w:sz w:val="20"/>
                <w:szCs w:val="20"/>
              </w:rPr>
              <w:t>6</w:t>
            </w:r>
          </w:p>
          <w:p w14:paraId="4A502158">
            <w:pPr>
              <w:spacing w:line="240" w:lineRule="exact"/>
              <w:jc w:val="center"/>
              <w:rPr>
                <w:sz w:val="20"/>
                <w:szCs w:val="20"/>
              </w:rPr>
            </w:pPr>
            <w:r>
              <w:rPr>
                <w:rFonts w:hint="eastAsia"/>
                <w:sz w:val="20"/>
                <w:szCs w:val="20"/>
              </w:rPr>
              <w:t>(5.04%)</w:t>
            </w:r>
          </w:p>
        </w:tc>
        <w:tc>
          <w:tcPr>
            <w:tcW w:w="1053" w:type="dxa"/>
            <w:tcBorders>
              <w:tl2br w:val="nil"/>
              <w:tr2bl w:val="nil"/>
            </w:tcBorders>
            <w:shd w:val="clear" w:color="auto" w:fill="auto"/>
            <w:vAlign w:val="center"/>
          </w:tcPr>
          <w:p w14:paraId="11695CF6">
            <w:pPr>
              <w:spacing w:line="240" w:lineRule="exact"/>
              <w:jc w:val="center"/>
              <w:rPr>
                <w:sz w:val="20"/>
                <w:szCs w:val="20"/>
              </w:rPr>
            </w:pPr>
            <w:r>
              <w:rPr>
                <w:rFonts w:hint="eastAsia"/>
                <w:sz w:val="20"/>
                <w:szCs w:val="20"/>
              </w:rPr>
              <w:t>1</w:t>
            </w:r>
          </w:p>
          <w:p w14:paraId="53BCEEA5">
            <w:pPr>
              <w:spacing w:line="240" w:lineRule="exact"/>
              <w:jc w:val="center"/>
              <w:rPr>
                <w:sz w:val="20"/>
                <w:szCs w:val="20"/>
              </w:rPr>
            </w:pPr>
            <w:r>
              <w:rPr>
                <w:rFonts w:hint="eastAsia"/>
                <w:sz w:val="20"/>
                <w:szCs w:val="20"/>
              </w:rPr>
              <w:t>(0.84%)</w:t>
            </w:r>
          </w:p>
        </w:tc>
        <w:tc>
          <w:tcPr>
            <w:tcW w:w="1074" w:type="dxa"/>
            <w:tcBorders>
              <w:tl2br w:val="nil"/>
              <w:tr2bl w:val="nil"/>
            </w:tcBorders>
            <w:shd w:val="clear" w:color="auto" w:fill="auto"/>
            <w:vAlign w:val="center"/>
          </w:tcPr>
          <w:p w14:paraId="34A7D306">
            <w:pPr>
              <w:spacing w:line="240" w:lineRule="exact"/>
              <w:jc w:val="center"/>
              <w:rPr>
                <w:sz w:val="20"/>
                <w:szCs w:val="20"/>
              </w:rPr>
            </w:pPr>
            <w:r>
              <w:rPr>
                <w:rFonts w:hint="eastAsia"/>
                <w:sz w:val="20"/>
                <w:szCs w:val="20"/>
              </w:rPr>
              <w:t>2</w:t>
            </w:r>
          </w:p>
          <w:p w14:paraId="194961DD">
            <w:pPr>
              <w:spacing w:line="240" w:lineRule="exact"/>
              <w:jc w:val="center"/>
              <w:rPr>
                <w:sz w:val="20"/>
                <w:szCs w:val="20"/>
              </w:rPr>
            </w:pPr>
            <w:r>
              <w:rPr>
                <w:rFonts w:hint="eastAsia"/>
                <w:sz w:val="20"/>
                <w:szCs w:val="20"/>
              </w:rPr>
              <w:t>(1.68%)</w:t>
            </w:r>
          </w:p>
        </w:tc>
        <w:tc>
          <w:tcPr>
            <w:tcW w:w="1096" w:type="dxa"/>
            <w:tcBorders>
              <w:tl2br w:val="nil"/>
              <w:tr2bl w:val="nil"/>
            </w:tcBorders>
            <w:shd w:val="clear" w:color="auto" w:fill="auto"/>
            <w:vAlign w:val="center"/>
          </w:tcPr>
          <w:p w14:paraId="2D6F7143">
            <w:pPr>
              <w:spacing w:line="240" w:lineRule="exact"/>
              <w:jc w:val="center"/>
              <w:rPr>
                <w:sz w:val="20"/>
                <w:szCs w:val="20"/>
              </w:rPr>
            </w:pPr>
            <w:r>
              <w:rPr>
                <w:rFonts w:hint="eastAsia"/>
                <w:sz w:val="20"/>
                <w:szCs w:val="20"/>
              </w:rPr>
              <w:t>4</w:t>
            </w:r>
          </w:p>
          <w:p w14:paraId="59233A60">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425A91B5">
            <w:pPr>
              <w:spacing w:line="240" w:lineRule="exact"/>
              <w:jc w:val="center"/>
              <w:rPr>
                <w:sz w:val="20"/>
                <w:szCs w:val="20"/>
              </w:rPr>
            </w:pPr>
            <w:r>
              <w:rPr>
                <w:rFonts w:hint="eastAsia"/>
                <w:sz w:val="20"/>
                <w:szCs w:val="20"/>
              </w:rPr>
              <w:t>0.47</w:t>
            </w:r>
          </w:p>
        </w:tc>
      </w:tr>
      <w:tr w14:paraId="6C72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63A0BA56">
            <w:pPr>
              <w:spacing w:line="240" w:lineRule="exact"/>
              <w:jc w:val="left"/>
              <w:rPr>
                <w:sz w:val="20"/>
                <w:szCs w:val="20"/>
              </w:rPr>
            </w:pPr>
            <w:r>
              <w:rPr>
                <w:rFonts w:hint="eastAsia"/>
                <w:sz w:val="20"/>
                <w:szCs w:val="20"/>
              </w:rPr>
              <w:t>旅游景区的服务质量满意度</w:t>
            </w:r>
          </w:p>
        </w:tc>
        <w:tc>
          <w:tcPr>
            <w:tcW w:w="1359" w:type="dxa"/>
            <w:tcBorders>
              <w:tl2br w:val="nil"/>
              <w:tr2bl w:val="nil"/>
            </w:tcBorders>
            <w:shd w:val="clear" w:color="auto" w:fill="auto"/>
            <w:vAlign w:val="center"/>
          </w:tcPr>
          <w:p w14:paraId="2349D33F">
            <w:pPr>
              <w:spacing w:line="240" w:lineRule="exact"/>
              <w:jc w:val="center"/>
              <w:rPr>
                <w:sz w:val="20"/>
                <w:szCs w:val="20"/>
              </w:rPr>
            </w:pPr>
            <w:r>
              <w:rPr>
                <w:rFonts w:hint="eastAsia"/>
                <w:sz w:val="20"/>
                <w:szCs w:val="20"/>
              </w:rPr>
              <w:t>107</w:t>
            </w:r>
          </w:p>
          <w:p w14:paraId="0085006C">
            <w:pPr>
              <w:spacing w:line="240" w:lineRule="exact"/>
              <w:jc w:val="center"/>
              <w:rPr>
                <w:sz w:val="20"/>
                <w:szCs w:val="20"/>
              </w:rPr>
            </w:pPr>
            <w:r>
              <w:rPr>
                <w:rFonts w:hint="eastAsia"/>
                <w:sz w:val="20"/>
                <w:szCs w:val="20"/>
              </w:rPr>
              <w:t>(89.92%)</w:t>
            </w:r>
          </w:p>
        </w:tc>
        <w:tc>
          <w:tcPr>
            <w:tcW w:w="1074" w:type="dxa"/>
            <w:tcBorders>
              <w:tl2br w:val="nil"/>
              <w:tr2bl w:val="nil"/>
            </w:tcBorders>
            <w:shd w:val="clear" w:color="auto" w:fill="auto"/>
            <w:vAlign w:val="center"/>
          </w:tcPr>
          <w:p w14:paraId="299164C2">
            <w:pPr>
              <w:spacing w:line="240" w:lineRule="exact"/>
              <w:jc w:val="center"/>
              <w:rPr>
                <w:sz w:val="20"/>
                <w:szCs w:val="20"/>
              </w:rPr>
            </w:pPr>
            <w:r>
              <w:rPr>
                <w:rFonts w:hint="eastAsia"/>
                <w:sz w:val="20"/>
                <w:szCs w:val="20"/>
              </w:rPr>
              <w:t>5</w:t>
            </w:r>
          </w:p>
          <w:p w14:paraId="39C11F1B">
            <w:pPr>
              <w:spacing w:line="240" w:lineRule="exact"/>
              <w:jc w:val="center"/>
              <w:rPr>
                <w:sz w:val="20"/>
                <w:szCs w:val="20"/>
              </w:rPr>
            </w:pPr>
            <w:r>
              <w:rPr>
                <w:rFonts w:hint="eastAsia"/>
                <w:sz w:val="20"/>
                <w:szCs w:val="20"/>
              </w:rPr>
              <w:t>(4.2%)</w:t>
            </w:r>
          </w:p>
        </w:tc>
        <w:tc>
          <w:tcPr>
            <w:tcW w:w="1053" w:type="dxa"/>
            <w:tcBorders>
              <w:tl2br w:val="nil"/>
              <w:tr2bl w:val="nil"/>
            </w:tcBorders>
            <w:shd w:val="clear" w:color="auto" w:fill="auto"/>
            <w:vAlign w:val="center"/>
          </w:tcPr>
          <w:p w14:paraId="314C31CA">
            <w:pPr>
              <w:spacing w:line="240" w:lineRule="exact"/>
              <w:jc w:val="center"/>
              <w:rPr>
                <w:sz w:val="20"/>
                <w:szCs w:val="20"/>
              </w:rPr>
            </w:pPr>
            <w:r>
              <w:rPr>
                <w:rFonts w:hint="eastAsia"/>
                <w:sz w:val="20"/>
                <w:szCs w:val="20"/>
              </w:rPr>
              <w:t>1</w:t>
            </w:r>
          </w:p>
          <w:p w14:paraId="573A1C0A">
            <w:pPr>
              <w:spacing w:line="240" w:lineRule="exact"/>
              <w:jc w:val="center"/>
              <w:rPr>
                <w:sz w:val="20"/>
                <w:szCs w:val="20"/>
              </w:rPr>
            </w:pPr>
            <w:r>
              <w:rPr>
                <w:rFonts w:hint="eastAsia"/>
                <w:sz w:val="20"/>
                <w:szCs w:val="20"/>
              </w:rPr>
              <w:t>(0.84%)</w:t>
            </w:r>
          </w:p>
        </w:tc>
        <w:tc>
          <w:tcPr>
            <w:tcW w:w="1074" w:type="dxa"/>
            <w:tcBorders>
              <w:tl2br w:val="nil"/>
              <w:tr2bl w:val="nil"/>
            </w:tcBorders>
            <w:shd w:val="clear" w:color="auto" w:fill="auto"/>
            <w:vAlign w:val="center"/>
          </w:tcPr>
          <w:p w14:paraId="46F18321">
            <w:pPr>
              <w:spacing w:line="240" w:lineRule="exact"/>
              <w:jc w:val="center"/>
              <w:rPr>
                <w:sz w:val="20"/>
                <w:szCs w:val="20"/>
              </w:rPr>
            </w:pPr>
            <w:r>
              <w:rPr>
                <w:rFonts w:hint="eastAsia"/>
                <w:sz w:val="20"/>
                <w:szCs w:val="20"/>
              </w:rPr>
              <w:t>1</w:t>
            </w:r>
          </w:p>
          <w:p w14:paraId="72BBFEB6">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39BF9CA7">
            <w:pPr>
              <w:spacing w:line="240" w:lineRule="exact"/>
              <w:jc w:val="center"/>
              <w:rPr>
                <w:sz w:val="20"/>
                <w:szCs w:val="20"/>
              </w:rPr>
            </w:pPr>
            <w:r>
              <w:rPr>
                <w:rFonts w:hint="eastAsia"/>
                <w:sz w:val="20"/>
                <w:szCs w:val="20"/>
              </w:rPr>
              <w:t>5</w:t>
            </w:r>
          </w:p>
          <w:p w14:paraId="37CA5FBD">
            <w:pPr>
              <w:spacing w:line="240" w:lineRule="exact"/>
              <w:jc w:val="center"/>
              <w:rPr>
                <w:sz w:val="20"/>
                <w:szCs w:val="20"/>
              </w:rPr>
            </w:pPr>
            <w:r>
              <w:rPr>
                <w:rFonts w:hint="eastAsia"/>
                <w:sz w:val="20"/>
                <w:szCs w:val="20"/>
              </w:rPr>
              <w:t>(4.2%)</w:t>
            </w:r>
          </w:p>
        </w:tc>
        <w:tc>
          <w:tcPr>
            <w:tcW w:w="969" w:type="dxa"/>
            <w:tcBorders>
              <w:tl2br w:val="nil"/>
              <w:tr2bl w:val="nil"/>
            </w:tcBorders>
            <w:shd w:val="clear" w:color="auto" w:fill="auto"/>
            <w:vAlign w:val="center"/>
          </w:tcPr>
          <w:p w14:paraId="02D8CC3A">
            <w:pPr>
              <w:spacing w:line="240" w:lineRule="exact"/>
              <w:jc w:val="center"/>
              <w:rPr>
                <w:sz w:val="20"/>
                <w:szCs w:val="20"/>
              </w:rPr>
            </w:pPr>
            <w:r>
              <w:rPr>
                <w:rFonts w:hint="eastAsia"/>
                <w:sz w:val="20"/>
                <w:szCs w:val="20"/>
              </w:rPr>
              <w:t>0.47</w:t>
            </w:r>
          </w:p>
        </w:tc>
      </w:tr>
      <w:tr w14:paraId="12A3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76D3AD31">
            <w:pPr>
              <w:spacing w:line="240" w:lineRule="exact"/>
              <w:jc w:val="left"/>
              <w:rPr>
                <w:sz w:val="20"/>
                <w:szCs w:val="20"/>
              </w:rPr>
            </w:pPr>
            <w:r>
              <w:rPr>
                <w:rFonts w:hint="eastAsia"/>
                <w:sz w:val="20"/>
                <w:szCs w:val="20"/>
              </w:rPr>
              <w:t>旅游期间的餐饮和住宿满意度</w:t>
            </w:r>
          </w:p>
        </w:tc>
        <w:tc>
          <w:tcPr>
            <w:tcW w:w="1359" w:type="dxa"/>
            <w:tcBorders>
              <w:tl2br w:val="nil"/>
              <w:tr2bl w:val="nil"/>
            </w:tcBorders>
            <w:shd w:val="clear" w:color="auto" w:fill="auto"/>
            <w:vAlign w:val="center"/>
          </w:tcPr>
          <w:p w14:paraId="40D56F3C">
            <w:pPr>
              <w:spacing w:line="240" w:lineRule="exact"/>
              <w:jc w:val="center"/>
              <w:rPr>
                <w:sz w:val="20"/>
                <w:szCs w:val="20"/>
              </w:rPr>
            </w:pPr>
            <w:r>
              <w:rPr>
                <w:rFonts w:hint="eastAsia"/>
                <w:sz w:val="20"/>
                <w:szCs w:val="20"/>
              </w:rPr>
              <w:t>106</w:t>
            </w:r>
          </w:p>
          <w:p w14:paraId="5DE810E3">
            <w:pPr>
              <w:spacing w:line="240" w:lineRule="exact"/>
              <w:jc w:val="center"/>
              <w:rPr>
                <w:sz w:val="20"/>
                <w:szCs w:val="20"/>
              </w:rPr>
            </w:pPr>
            <w:r>
              <w:rPr>
                <w:rFonts w:hint="eastAsia"/>
                <w:sz w:val="20"/>
                <w:szCs w:val="20"/>
              </w:rPr>
              <w:t>(89.08%)</w:t>
            </w:r>
          </w:p>
        </w:tc>
        <w:tc>
          <w:tcPr>
            <w:tcW w:w="1074" w:type="dxa"/>
            <w:tcBorders>
              <w:tl2br w:val="nil"/>
              <w:tr2bl w:val="nil"/>
            </w:tcBorders>
            <w:shd w:val="clear" w:color="auto" w:fill="auto"/>
            <w:vAlign w:val="center"/>
          </w:tcPr>
          <w:p w14:paraId="4816B90E">
            <w:pPr>
              <w:spacing w:line="240" w:lineRule="exact"/>
              <w:jc w:val="center"/>
              <w:rPr>
                <w:sz w:val="20"/>
                <w:szCs w:val="20"/>
              </w:rPr>
            </w:pPr>
            <w:r>
              <w:rPr>
                <w:rFonts w:hint="eastAsia"/>
                <w:sz w:val="20"/>
                <w:szCs w:val="20"/>
              </w:rPr>
              <w:t>6</w:t>
            </w:r>
          </w:p>
          <w:p w14:paraId="08B05E66">
            <w:pPr>
              <w:spacing w:line="240" w:lineRule="exact"/>
              <w:jc w:val="center"/>
              <w:rPr>
                <w:sz w:val="20"/>
                <w:szCs w:val="20"/>
              </w:rPr>
            </w:pPr>
            <w:r>
              <w:rPr>
                <w:rFonts w:hint="eastAsia"/>
                <w:sz w:val="20"/>
                <w:szCs w:val="20"/>
              </w:rPr>
              <w:t>(5.04%)</w:t>
            </w:r>
          </w:p>
        </w:tc>
        <w:tc>
          <w:tcPr>
            <w:tcW w:w="1053" w:type="dxa"/>
            <w:tcBorders>
              <w:tl2br w:val="nil"/>
              <w:tr2bl w:val="nil"/>
            </w:tcBorders>
            <w:shd w:val="clear" w:color="auto" w:fill="auto"/>
            <w:vAlign w:val="center"/>
          </w:tcPr>
          <w:p w14:paraId="522CE925">
            <w:pPr>
              <w:spacing w:line="240" w:lineRule="exact"/>
              <w:jc w:val="center"/>
              <w:rPr>
                <w:sz w:val="20"/>
                <w:szCs w:val="20"/>
              </w:rPr>
            </w:pPr>
            <w:r>
              <w:rPr>
                <w:rFonts w:hint="eastAsia"/>
                <w:sz w:val="20"/>
                <w:szCs w:val="20"/>
              </w:rPr>
              <w:t>1</w:t>
            </w:r>
          </w:p>
          <w:p w14:paraId="29DE0F58">
            <w:pPr>
              <w:spacing w:line="240" w:lineRule="exact"/>
              <w:jc w:val="center"/>
              <w:rPr>
                <w:sz w:val="20"/>
                <w:szCs w:val="20"/>
              </w:rPr>
            </w:pPr>
            <w:r>
              <w:rPr>
                <w:rFonts w:hint="eastAsia"/>
                <w:sz w:val="20"/>
                <w:szCs w:val="20"/>
              </w:rPr>
              <w:t>(0.84%)</w:t>
            </w:r>
          </w:p>
        </w:tc>
        <w:tc>
          <w:tcPr>
            <w:tcW w:w="1074" w:type="dxa"/>
            <w:tcBorders>
              <w:tl2br w:val="nil"/>
              <w:tr2bl w:val="nil"/>
            </w:tcBorders>
            <w:shd w:val="clear" w:color="auto" w:fill="auto"/>
            <w:vAlign w:val="center"/>
          </w:tcPr>
          <w:p w14:paraId="13FECB1E">
            <w:pPr>
              <w:spacing w:line="240" w:lineRule="exact"/>
              <w:jc w:val="center"/>
              <w:rPr>
                <w:sz w:val="20"/>
                <w:szCs w:val="20"/>
              </w:rPr>
            </w:pPr>
            <w:r>
              <w:rPr>
                <w:rFonts w:hint="eastAsia"/>
                <w:sz w:val="20"/>
                <w:szCs w:val="20"/>
              </w:rPr>
              <w:t>2</w:t>
            </w:r>
          </w:p>
          <w:p w14:paraId="3A6912DE">
            <w:pPr>
              <w:spacing w:line="240" w:lineRule="exact"/>
              <w:jc w:val="center"/>
              <w:rPr>
                <w:sz w:val="20"/>
                <w:szCs w:val="20"/>
              </w:rPr>
            </w:pPr>
            <w:r>
              <w:rPr>
                <w:rFonts w:hint="eastAsia"/>
                <w:sz w:val="20"/>
                <w:szCs w:val="20"/>
              </w:rPr>
              <w:t>(1.68%)</w:t>
            </w:r>
          </w:p>
        </w:tc>
        <w:tc>
          <w:tcPr>
            <w:tcW w:w="1096" w:type="dxa"/>
            <w:tcBorders>
              <w:tl2br w:val="nil"/>
              <w:tr2bl w:val="nil"/>
            </w:tcBorders>
            <w:shd w:val="clear" w:color="auto" w:fill="auto"/>
            <w:vAlign w:val="center"/>
          </w:tcPr>
          <w:p w14:paraId="31F5A32C">
            <w:pPr>
              <w:spacing w:line="240" w:lineRule="exact"/>
              <w:jc w:val="center"/>
              <w:rPr>
                <w:sz w:val="20"/>
                <w:szCs w:val="20"/>
              </w:rPr>
            </w:pPr>
            <w:r>
              <w:rPr>
                <w:rFonts w:hint="eastAsia"/>
                <w:sz w:val="20"/>
                <w:szCs w:val="20"/>
              </w:rPr>
              <w:t>4</w:t>
            </w:r>
          </w:p>
          <w:p w14:paraId="2441FF6D">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102C9DA8">
            <w:pPr>
              <w:spacing w:line="240" w:lineRule="exact"/>
              <w:jc w:val="center"/>
              <w:rPr>
                <w:sz w:val="20"/>
                <w:szCs w:val="20"/>
              </w:rPr>
            </w:pPr>
            <w:r>
              <w:rPr>
                <w:rFonts w:hint="eastAsia"/>
                <w:sz w:val="20"/>
                <w:szCs w:val="20"/>
              </w:rPr>
              <w:t>0.47</w:t>
            </w:r>
          </w:p>
        </w:tc>
      </w:tr>
      <w:tr w14:paraId="0AFB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3CCC4CFC">
            <w:pPr>
              <w:spacing w:line="240" w:lineRule="exact"/>
              <w:jc w:val="left"/>
              <w:rPr>
                <w:sz w:val="20"/>
                <w:szCs w:val="20"/>
              </w:rPr>
            </w:pPr>
            <w:r>
              <w:rPr>
                <w:rFonts w:hint="eastAsia"/>
                <w:sz w:val="20"/>
                <w:szCs w:val="20"/>
              </w:rPr>
              <w:t>对参加过的文化活动的整体安排满意度</w:t>
            </w:r>
          </w:p>
        </w:tc>
        <w:tc>
          <w:tcPr>
            <w:tcW w:w="1359" w:type="dxa"/>
            <w:tcBorders>
              <w:tl2br w:val="nil"/>
              <w:tr2bl w:val="nil"/>
            </w:tcBorders>
            <w:shd w:val="clear" w:color="auto" w:fill="auto"/>
            <w:vAlign w:val="center"/>
          </w:tcPr>
          <w:p w14:paraId="676DA902">
            <w:pPr>
              <w:spacing w:line="240" w:lineRule="exact"/>
              <w:jc w:val="center"/>
              <w:rPr>
                <w:sz w:val="20"/>
                <w:szCs w:val="20"/>
              </w:rPr>
            </w:pPr>
            <w:r>
              <w:rPr>
                <w:rFonts w:hint="eastAsia"/>
                <w:sz w:val="20"/>
                <w:szCs w:val="20"/>
              </w:rPr>
              <w:t>98</w:t>
            </w:r>
          </w:p>
          <w:p w14:paraId="0F298626">
            <w:pPr>
              <w:spacing w:line="240" w:lineRule="exact"/>
              <w:jc w:val="center"/>
              <w:rPr>
                <w:sz w:val="20"/>
                <w:szCs w:val="20"/>
              </w:rPr>
            </w:pPr>
            <w:r>
              <w:rPr>
                <w:rFonts w:hint="eastAsia"/>
                <w:sz w:val="20"/>
                <w:szCs w:val="20"/>
              </w:rPr>
              <w:t>(82.35%)</w:t>
            </w:r>
          </w:p>
        </w:tc>
        <w:tc>
          <w:tcPr>
            <w:tcW w:w="1074" w:type="dxa"/>
            <w:tcBorders>
              <w:tl2br w:val="nil"/>
              <w:tr2bl w:val="nil"/>
            </w:tcBorders>
            <w:shd w:val="clear" w:color="auto" w:fill="auto"/>
            <w:vAlign w:val="center"/>
          </w:tcPr>
          <w:p w14:paraId="3C1033EB">
            <w:pPr>
              <w:spacing w:line="240" w:lineRule="exact"/>
              <w:jc w:val="center"/>
              <w:rPr>
                <w:sz w:val="20"/>
                <w:szCs w:val="20"/>
              </w:rPr>
            </w:pPr>
            <w:r>
              <w:rPr>
                <w:rFonts w:hint="eastAsia"/>
                <w:sz w:val="20"/>
                <w:szCs w:val="20"/>
              </w:rPr>
              <w:t>13</w:t>
            </w:r>
          </w:p>
          <w:p w14:paraId="57116297">
            <w:pPr>
              <w:spacing w:line="240" w:lineRule="exact"/>
              <w:jc w:val="center"/>
              <w:rPr>
                <w:sz w:val="20"/>
                <w:szCs w:val="20"/>
              </w:rPr>
            </w:pPr>
            <w:r>
              <w:rPr>
                <w:rFonts w:hint="eastAsia"/>
                <w:sz w:val="20"/>
                <w:szCs w:val="20"/>
              </w:rPr>
              <w:t>(10.92%)</w:t>
            </w:r>
          </w:p>
        </w:tc>
        <w:tc>
          <w:tcPr>
            <w:tcW w:w="1053" w:type="dxa"/>
            <w:tcBorders>
              <w:tl2br w:val="nil"/>
              <w:tr2bl w:val="nil"/>
            </w:tcBorders>
            <w:shd w:val="clear" w:color="auto" w:fill="auto"/>
            <w:vAlign w:val="center"/>
          </w:tcPr>
          <w:p w14:paraId="2D1E4EE2">
            <w:pPr>
              <w:spacing w:line="240" w:lineRule="exact"/>
              <w:jc w:val="center"/>
              <w:rPr>
                <w:sz w:val="20"/>
                <w:szCs w:val="20"/>
              </w:rPr>
            </w:pPr>
            <w:r>
              <w:rPr>
                <w:rFonts w:hint="eastAsia"/>
                <w:sz w:val="20"/>
                <w:szCs w:val="20"/>
              </w:rPr>
              <w:t>3</w:t>
            </w:r>
          </w:p>
          <w:p w14:paraId="52346B2C">
            <w:pPr>
              <w:spacing w:line="240" w:lineRule="exact"/>
              <w:jc w:val="center"/>
              <w:rPr>
                <w:sz w:val="20"/>
                <w:szCs w:val="20"/>
              </w:rPr>
            </w:pPr>
            <w:r>
              <w:rPr>
                <w:rFonts w:hint="eastAsia"/>
                <w:sz w:val="20"/>
                <w:szCs w:val="20"/>
              </w:rPr>
              <w:t>(2.52%)</w:t>
            </w:r>
          </w:p>
        </w:tc>
        <w:tc>
          <w:tcPr>
            <w:tcW w:w="1074" w:type="dxa"/>
            <w:tcBorders>
              <w:tl2br w:val="nil"/>
              <w:tr2bl w:val="nil"/>
            </w:tcBorders>
            <w:shd w:val="clear" w:color="auto" w:fill="auto"/>
            <w:vAlign w:val="center"/>
          </w:tcPr>
          <w:p w14:paraId="03409FA7">
            <w:pPr>
              <w:spacing w:line="240" w:lineRule="exact"/>
              <w:jc w:val="center"/>
              <w:rPr>
                <w:sz w:val="20"/>
                <w:szCs w:val="20"/>
              </w:rPr>
            </w:pPr>
            <w:r>
              <w:rPr>
                <w:rFonts w:hint="eastAsia"/>
                <w:sz w:val="20"/>
                <w:szCs w:val="20"/>
              </w:rPr>
              <w:t>1</w:t>
            </w:r>
          </w:p>
          <w:p w14:paraId="5AA950F4">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036EF10D">
            <w:pPr>
              <w:spacing w:line="240" w:lineRule="exact"/>
              <w:jc w:val="center"/>
              <w:rPr>
                <w:sz w:val="20"/>
                <w:szCs w:val="20"/>
              </w:rPr>
            </w:pPr>
            <w:r>
              <w:rPr>
                <w:rFonts w:hint="eastAsia"/>
                <w:sz w:val="20"/>
                <w:szCs w:val="20"/>
              </w:rPr>
              <w:t>4</w:t>
            </w:r>
          </w:p>
          <w:p w14:paraId="57E94C09">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01F892D7">
            <w:pPr>
              <w:spacing w:line="240" w:lineRule="exact"/>
              <w:jc w:val="center"/>
              <w:rPr>
                <w:sz w:val="20"/>
                <w:szCs w:val="20"/>
              </w:rPr>
            </w:pPr>
            <w:r>
              <w:rPr>
                <w:rFonts w:hint="eastAsia"/>
                <w:sz w:val="20"/>
                <w:szCs w:val="20"/>
              </w:rPr>
              <w:t>0.47</w:t>
            </w:r>
          </w:p>
        </w:tc>
      </w:tr>
      <w:tr w14:paraId="5FED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3B35FB8C">
            <w:pPr>
              <w:spacing w:line="240" w:lineRule="exact"/>
              <w:jc w:val="left"/>
              <w:rPr>
                <w:sz w:val="20"/>
                <w:szCs w:val="20"/>
              </w:rPr>
            </w:pPr>
            <w:r>
              <w:rPr>
                <w:rFonts w:hint="eastAsia"/>
                <w:sz w:val="20"/>
                <w:szCs w:val="20"/>
              </w:rPr>
              <w:t>您认为永济的文化活动特色和吸引力情况</w:t>
            </w:r>
          </w:p>
        </w:tc>
        <w:tc>
          <w:tcPr>
            <w:tcW w:w="1359" w:type="dxa"/>
            <w:tcBorders>
              <w:tl2br w:val="nil"/>
              <w:tr2bl w:val="nil"/>
            </w:tcBorders>
            <w:shd w:val="clear" w:color="auto" w:fill="auto"/>
            <w:vAlign w:val="center"/>
          </w:tcPr>
          <w:p w14:paraId="4B0DB041">
            <w:pPr>
              <w:spacing w:line="240" w:lineRule="exact"/>
              <w:jc w:val="center"/>
              <w:rPr>
                <w:sz w:val="20"/>
                <w:szCs w:val="20"/>
              </w:rPr>
            </w:pPr>
            <w:r>
              <w:rPr>
                <w:rFonts w:hint="eastAsia"/>
                <w:sz w:val="20"/>
                <w:szCs w:val="20"/>
              </w:rPr>
              <w:t>100</w:t>
            </w:r>
          </w:p>
          <w:p w14:paraId="5A79E88D">
            <w:pPr>
              <w:spacing w:line="240" w:lineRule="exact"/>
              <w:jc w:val="center"/>
              <w:rPr>
                <w:sz w:val="20"/>
                <w:szCs w:val="20"/>
              </w:rPr>
            </w:pPr>
            <w:r>
              <w:rPr>
                <w:rFonts w:hint="eastAsia"/>
                <w:sz w:val="20"/>
                <w:szCs w:val="20"/>
              </w:rPr>
              <w:t>(84.03%)</w:t>
            </w:r>
          </w:p>
        </w:tc>
        <w:tc>
          <w:tcPr>
            <w:tcW w:w="1074" w:type="dxa"/>
            <w:tcBorders>
              <w:tl2br w:val="nil"/>
              <w:tr2bl w:val="nil"/>
            </w:tcBorders>
            <w:shd w:val="clear" w:color="auto" w:fill="auto"/>
            <w:vAlign w:val="center"/>
          </w:tcPr>
          <w:p w14:paraId="5D22C1CB">
            <w:pPr>
              <w:spacing w:line="240" w:lineRule="exact"/>
              <w:jc w:val="center"/>
              <w:rPr>
                <w:sz w:val="20"/>
                <w:szCs w:val="20"/>
              </w:rPr>
            </w:pPr>
            <w:r>
              <w:rPr>
                <w:rFonts w:hint="eastAsia"/>
                <w:sz w:val="20"/>
                <w:szCs w:val="20"/>
              </w:rPr>
              <w:t>10</w:t>
            </w:r>
          </w:p>
          <w:p w14:paraId="1D59DE3C">
            <w:pPr>
              <w:spacing w:line="240" w:lineRule="exact"/>
              <w:jc w:val="center"/>
              <w:rPr>
                <w:sz w:val="20"/>
                <w:szCs w:val="20"/>
              </w:rPr>
            </w:pPr>
            <w:r>
              <w:rPr>
                <w:rFonts w:hint="eastAsia"/>
                <w:sz w:val="20"/>
                <w:szCs w:val="20"/>
              </w:rPr>
              <w:t>(8.4%)</w:t>
            </w:r>
          </w:p>
        </w:tc>
        <w:tc>
          <w:tcPr>
            <w:tcW w:w="1053" w:type="dxa"/>
            <w:tcBorders>
              <w:tl2br w:val="nil"/>
              <w:tr2bl w:val="nil"/>
            </w:tcBorders>
            <w:shd w:val="clear" w:color="auto" w:fill="auto"/>
            <w:vAlign w:val="center"/>
          </w:tcPr>
          <w:p w14:paraId="545554D2">
            <w:pPr>
              <w:spacing w:line="240" w:lineRule="exact"/>
              <w:jc w:val="center"/>
              <w:rPr>
                <w:sz w:val="20"/>
                <w:szCs w:val="20"/>
              </w:rPr>
            </w:pPr>
            <w:r>
              <w:rPr>
                <w:rFonts w:hint="eastAsia"/>
                <w:sz w:val="20"/>
                <w:szCs w:val="20"/>
              </w:rPr>
              <w:t>4</w:t>
            </w:r>
          </w:p>
          <w:p w14:paraId="3E6E8F7E">
            <w:pPr>
              <w:spacing w:line="240" w:lineRule="exact"/>
              <w:jc w:val="center"/>
              <w:rPr>
                <w:sz w:val="20"/>
                <w:szCs w:val="20"/>
              </w:rPr>
            </w:pPr>
            <w:r>
              <w:rPr>
                <w:rFonts w:hint="eastAsia"/>
                <w:sz w:val="20"/>
                <w:szCs w:val="20"/>
              </w:rPr>
              <w:t>(3.36%)</w:t>
            </w:r>
          </w:p>
        </w:tc>
        <w:tc>
          <w:tcPr>
            <w:tcW w:w="1074" w:type="dxa"/>
            <w:tcBorders>
              <w:tl2br w:val="nil"/>
              <w:tr2bl w:val="nil"/>
            </w:tcBorders>
            <w:shd w:val="clear" w:color="auto" w:fill="auto"/>
            <w:vAlign w:val="center"/>
          </w:tcPr>
          <w:p w14:paraId="357E9D7A">
            <w:pPr>
              <w:spacing w:line="240" w:lineRule="exact"/>
              <w:jc w:val="center"/>
              <w:rPr>
                <w:sz w:val="20"/>
                <w:szCs w:val="20"/>
              </w:rPr>
            </w:pPr>
            <w:r>
              <w:rPr>
                <w:rFonts w:hint="eastAsia"/>
                <w:sz w:val="20"/>
                <w:szCs w:val="20"/>
              </w:rPr>
              <w:t>1</w:t>
            </w:r>
          </w:p>
          <w:p w14:paraId="7ADEC54A">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199AC75E">
            <w:pPr>
              <w:spacing w:line="240" w:lineRule="exact"/>
              <w:jc w:val="center"/>
              <w:rPr>
                <w:sz w:val="20"/>
                <w:szCs w:val="20"/>
              </w:rPr>
            </w:pPr>
            <w:r>
              <w:rPr>
                <w:rFonts w:hint="eastAsia"/>
                <w:sz w:val="20"/>
                <w:szCs w:val="20"/>
              </w:rPr>
              <w:t>4</w:t>
            </w:r>
          </w:p>
          <w:p w14:paraId="17664B0E">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462ABE3A">
            <w:pPr>
              <w:spacing w:line="240" w:lineRule="exact"/>
              <w:jc w:val="center"/>
              <w:rPr>
                <w:sz w:val="20"/>
                <w:szCs w:val="20"/>
              </w:rPr>
            </w:pPr>
            <w:r>
              <w:rPr>
                <w:rFonts w:hint="eastAsia"/>
                <w:sz w:val="20"/>
                <w:szCs w:val="20"/>
              </w:rPr>
              <w:t>0.47</w:t>
            </w:r>
          </w:p>
        </w:tc>
      </w:tr>
      <w:tr w14:paraId="3F62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56A20EF0">
            <w:pPr>
              <w:spacing w:line="240" w:lineRule="exact"/>
              <w:jc w:val="left"/>
              <w:rPr>
                <w:sz w:val="20"/>
                <w:szCs w:val="20"/>
              </w:rPr>
            </w:pPr>
            <w:r>
              <w:rPr>
                <w:rFonts w:hint="eastAsia"/>
                <w:sz w:val="20"/>
                <w:szCs w:val="20"/>
              </w:rPr>
              <w:t>您对永济市文化馆、博物馆、图书馆内的物品及服务人员的满意度</w:t>
            </w:r>
          </w:p>
        </w:tc>
        <w:tc>
          <w:tcPr>
            <w:tcW w:w="1359" w:type="dxa"/>
            <w:tcBorders>
              <w:tl2br w:val="nil"/>
              <w:tr2bl w:val="nil"/>
            </w:tcBorders>
            <w:shd w:val="clear" w:color="auto" w:fill="auto"/>
            <w:vAlign w:val="center"/>
          </w:tcPr>
          <w:p w14:paraId="53BAFB4D">
            <w:pPr>
              <w:spacing w:line="240" w:lineRule="exact"/>
              <w:jc w:val="center"/>
              <w:rPr>
                <w:sz w:val="20"/>
                <w:szCs w:val="20"/>
              </w:rPr>
            </w:pPr>
            <w:r>
              <w:rPr>
                <w:rFonts w:hint="eastAsia"/>
                <w:sz w:val="20"/>
                <w:szCs w:val="20"/>
              </w:rPr>
              <w:t>101</w:t>
            </w:r>
          </w:p>
          <w:p w14:paraId="625FDD35">
            <w:pPr>
              <w:spacing w:line="240" w:lineRule="exact"/>
              <w:jc w:val="center"/>
              <w:rPr>
                <w:sz w:val="20"/>
                <w:szCs w:val="20"/>
              </w:rPr>
            </w:pPr>
            <w:r>
              <w:rPr>
                <w:rFonts w:hint="eastAsia"/>
                <w:sz w:val="20"/>
                <w:szCs w:val="20"/>
              </w:rPr>
              <w:t>(84.87%)</w:t>
            </w:r>
          </w:p>
        </w:tc>
        <w:tc>
          <w:tcPr>
            <w:tcW w:w="1074" w:type="dxa"/>
            <w:tcBorders>
              <w:tl2br w:val="nil"/>
              <w:tr2bl w:val="nil"/>
            </w:tcBorders>
            <w:shd w:val="clear" w:color="auto" w:fill="auto"/>
            <w:vAlign w:val="center"/>
          </w:tcPr>
          <w:p w14:paraId="0AF28540">
            <w:pPr>
              <w:spacing w:line="240" w:lineRule="exact"/>
              <w:jc w:val="center"/>
              <w:rPr>
                <w:sz w:val="20"/>
                <w:szCs w:val="20"/>
              </w:rPr>
            </w:pPr>
            <w:r>
              <w:rPr>
                <w:rFonts w:hint="eastAsia"/>
                <w:sz w:val="20"/>
                <w:szCs w:val="20"/>
              </w:rPr>
              <w:t>9</w:t>
            </w:r>
          </w:p>
          <w:p w14:paraId="7DAFE436">
            <w:pPr>
              <w:spacing w:line="240" w:lineRule="exact"/>
              <w:jc w:val="center"/>
              <w:rPr>
                <w:sz w:val="20"/>
                <w:szCs w:val="20"/>
              </w:rPr>
            </w:pPr>
            <w:r>
              <w:rPr>
                <w:rFonts w:hint="eastAsia"/>
                <w:sz w:val="20"/>
                <w:szCs w:val="20"/>
              </w:rPr>
              <w:t>(7.56%)</w:t>
            </w:r>
          </w:p>
        </w:tc>
        <w:tc>
          <w:tcPr>
            <w:tcW w:w="1053" w:type="dxa"/>
            <w:tcBorders>
              <w:tl2br w:val="nil"/>
              <w:tr2bl w:val="nil"/>
            </w:tcBorders>
            <w:shd w:val="clear" w:color="auto" w:fill="auto"/>
            <w:vAlign w:val="center"/>
          </w:tcPr>
          <w:p w14:paraId="208A5493">
            <w:pPr>
              <w:spacing w:line="240" w:lineRule="exact"/>
              <w:jc w:val="center"/>
              <w:rPr>
                <w:sz w:val="20"/>
                <w:szCs w:val="20"/>
              </w:rPr>
            </w:pPr>
            <w:r>
              <w:rPr>
                <w:rFonts w:hint="eastAsia"/>
                <w:sz w:val="20"/>
                <w:szCs w:val="20"/>
              </w:rPr>
              <w:t>4</w:t>
            </w:r>
          </w:p>
          <w:p w14:paraId="6DC5D159">
            <w:pPr>
              <w:spacing w:line="240" w:lineRule="exact"/>
              <w:jc w:val="center"/>
              <w:rPr>
                <w:sz w:val="20"/>
                <w:szCs w:val="20"/>
              </w:rPr>
            </w:pPr>
            <w:r>
              <w:rPr>
                <w:rFonts w:hint="eastAsia"/>
                <w:sz w:val="20"/>
                <w:szCs w:val="20"/>
              </w:rPr>
              <w:t>(3.36%)</w:t>
            </w:r>
          </w:p>
        </w:tc>
        <w:tc>
          <w:tcPr>
            <w:tcW w:w="1074" w:type="dxa"/>
            <w:tcBorders>
              <w:tl2br w:val="nil"/>
              <w:tr2bl w:val="nil"/>
            </w:tcBorders>
            <w:shd w:val="clear" w:color="auto" w:fill="auto"/>
            <w:vAlign w:val="center"/>
          </w:tcPr>
          <w:p w14:paraId="0CAC64F8">
            <w:pPr>
              <w:spacing w:line="240" w:lineRule="exact"/>
              <w:jc w:val="center"/>
              <w:rPr>
                <w:sz w:val="20"/>
                <w:szCs w:val="20"/>
              </w:rPr>
            </w:pPr>
            <w:r>
              <w:rPr>
                <w:rFonts w:hint="eastAsia"/>
                <w:sz w:val="20"/>
                <w:szCs w:val="20"/>
              </w:rPr>
              <w:t>1</w:t>
            </w:r>
          </w:p>
          <w:p w14:paraId="4D1EEB5A">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7AD46D3E">
            <w:pPr>
              <w:spacing w:line="240" w:lineRule="exact"/>
              <w:jc w:val="center"/>
              <w:rPr>
                <w:sz w:val="20"/>
                <w:szCs w:val="20"/>
              </w:rPr>
            </w:pPr>
            <w:r>
              <w:rPr>
                <w:rFonts w:hint="eastAsia"/>
                <w:sz w:val="20"/>
                <w:szCs w:val="20"/>
              </w:rPr>
              <w:t>4</w:t>
            </w:r>
          </w:p>
          <w:p w14:paraId="250C47A7">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1DAC2E9B">
            <w:pPr>
              <w:spacing w:line="240" w:lineRule="exact"/>
              <w:jc w:val="center"/>
              <w:rPr>
                <w:sz w:val="20"/>
                <w:szCs w:val="20"/>
              </w:rPr>
            </w:pPr>
            <w:r>
              <w:rPr>
                <w:rFonts w:hint="eastAsia"/>
                <w:sz w:val="20"/>
                <w:szCs w:val="20"/>
              </w:rPr>
              <w:t>0.47</w:t>
            </w:r>
          </w:p>
        </w:tc>
      </w:tr>
      <w:tr w14:paraId="7FE8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88" w:type="dxa"/>
            <w:tcBorders>
              <w:tl2br w:val="nil"/>
              <w:tr2bl w:val="nil"/>
            </w:tcBorders>
            <w:shd w:val="clear" w:color="auto" w:fill="auto"/>
            <w:vAlign w:val="center"/>
          </w:tcPr>
          <w:p w14:paraId="5BC5E251">
            <w:pPr>
              <w:spacing w:line="240" w:lineRule="exact"/>
              <w:jc w:val="left"/>
              <w:rPr>
                <w:sz w:val="20"/>
                <w:szCs w:val="20"/>
              </w:rPr>
            </w:pPr>
            <w:r>
              <w:rPr>
                <w:rFonts w:hint="eastAsia"/>
                <w:sz w:val="20"/>
                <w:szCs w:val="20"/>
              </w:rPr>
              <w:t>您对永济市文物保护工作满意度</w:t>
            </w:r>
          </w:p>
        </w:tc>
        <w:tc>
          <w:tcPr>
            <w:tcW w:w="1359" w:type="dxa"/>
            <w:tcBorders>
              <w:tl2br w:val="nil"/>
              <w:tr2bl w:val="nil"/>
            </w:tcBorders>
            <w:shd w:val="clear" w:color="auto" w:fill="auto"/>
            <w:vAlign w:val="center"/>
          </w:tcPr>
          <w:p w14:paraId="147CAD8D">
            <w:pPr>
              <w:spacing w:line="240" w:lineRule="exact"/>
              <w:jc w:val="center"/>
              <w:rPr>
                <w:sz w:val="20"/>
                <w:szCs w:val="20"/>
              </w:rPr>
            </w:pPr>
            <w:r>
              <w:rPr>
                <w:rFonts w:hint="eastAsia"/>
                <w:sz w:val="20"/>
                <w:szCs w:val="20"/>
              </w:rPr>
              <w:t>107</w:t>
            </w:r>
          </w:p>
          <w:p w14:paraId="4F8E4023">
            <w:pPr>
              <w:spacing w:line="240" w:lineRule="exact"/>
              <w:jc w:val="center"/>
              <w:rPr>
                <w:sz w:val="20"/>
                <w:szCs w:val="20"/>
              </w:rPr>
            </w:pPr>
            <w:r>
              <w:rPr>
                <w:rFonts w:hint="eastAsia"/>
                <w:sz w:val="20"/>
                <w:szCs w:val="20"/>
              </w:rPr>
              <w:t>(89.92%)</w:t>
            </w:r>
          </w:p>
        </w:tc>
        <w:tc>
          <w:tcPr>
            <w:tcW w:w="1074" w:type="dxa"/>
            <w:tcBorders>
              <w:tl2br w:val="nil"/>
              <w:tr2bl w:val="nil"/>
            </w:tcBorders>
            <w:shd w:val="clear" w:color="auto" w:fill="auto"/>
            <w:vAlign w:val="center"/>
          </w:tcPr>
          <w:p w14:paraId="41B91444">
            <w:pPr>
              <w:spacing w:line="240" w:lineRule="exact"/>
              <w:jc w:val="center"/>
              <w:rPr>
                <w:sz w:val="20"/>
                <w:szCs w:val="20"/>
              </w:rPr>
            </w:pPr>
            <w:r>
              <w:rPr>
                <w:rFonts w:hint="eastAsia"/>
                <w:sz w:val="20"/>
                <w:szCs w:val="20"/>
              </w:rPr>
              <w:t>5</w:t>
            </w:r>
          </w:p>
          <w:p w14:paraId="5F6F6B90">
            <w:pPr>
              <w:spacing w:line="240" w:lineRule="exact"/>
              <w:jc w:val="center"/>
              <w:rPr>
                <w:sz w:val="20"/>
                <w:szCs w:val="20"/>
              </w:rPr>
            </w:pPr>
            <w:r>
              <w:rPr>
                <w:rFonts w:hint="eastAsia"/>
                <w:sz w:val="20"/>
                <w:szCs w:val="20"/>
              </w:rPr>
              <w:t>(4.2%)</w:t>
            </w:r>
          </w:p>
        </w:tc>
        <w:tc>
          <w:tcPr>
            <w:tcW w:w="1053" w:type="dxa"/>
            <w:tcBorders>
              <w:tl2br w:val="nil"/>
              <w:tr2bl w:val="nil"/>
            </w:tcBorders>
            <w:shd w:val="clear" w:color="auto" w:fill="auto"/>
            <w:vAlign w:val="center"/>
          </w:tcPr>
          <w:p w14:paraId="4EF206F5">
            <w:pPr>
              <w:spacing w:line="240" w:lineRule="exact"/>
              <w:jc w:val="center"/>
              <w:rPr>
                <w:sz w:val="20"/>
                <w:szCs w:val="20"/>
              </w:rPr>
            </w:pPr>
            <w:r>
              <w:rPr>
                <w:rFonts w:hint="eastAsia"/>
                <w:sz w:val="20"/>
                <w:szCs w:val="20"/>
              </w:rPr>
              <w:t>2</w:t>
            </w:r>
          </w:p>
          <w:p w14:paraId="0B505874">
            <w:pPr>
              <w:spacing w:line="240" w:lineRule="exact"/>
              <w:jc w:val="center"/>
              <w:rPr>
                <w:sz w:val="20"/>
                <w:szCs w:val="20"/>
              </w:rPr>
            </w:pPr>
            <w:r>
              <w:rPr>
                <w:rFonts w:hint="eastAsia"/>
                <w:sz w:val="20"/>
                <w:szCs w:val="20"/>
              </w:rPr>
              <w:t>(1.68%)</w:t>
            </w:r>
          </w:p>
        </w:tc>
        <w:tc>
          <w:tcPr>
            <w:tcW w:w="1074" w:type="dxa"/>
            <w:tcBorders>
              <w:tl2br w:val="nil"/>
              <w:tr2bl w:val="nil"/>
            </w:tcBorders>
            <w:shd w:val="clear" w:color="auto" w:fill="auto"/>
            <w:vAlign w:val="center"/>
          </w:tcPr>
          <w:p w14:paraId="5A20AB82">
            <w:pPr>
              <w:spacing w:line="240" w:lineRule="exact"/>
              <w:jc w:val="center"/>
              <w:rPr>
                <w:sz w:val="20"/>
                <w:szCs w:val="20"/>
              </w:rPr>
            </w:pPr>
            <w:r>
              <w:rPr>
                <w:rFonts w:hint="eastAsia"/>
                <w:sz w:val="20"/>
                <w:szCs w:val="20"/>
              </w:rPr>
              <w:t>1</w:t>
            </w:r>
          </w:p>
          <w:p w14:paraId="03C39207">
            <w:pPr>
              <w:spacing w:line="240" w:lineRule="exact"/>
              <w:jc w:val="center"/>
              <w:rPr>
                <w:sz w:val="20"/>
                <w:szCs w:val="20"/>
              </w:rPr>
            </w:pPr>
            <w:r>
              <w:rPr>
                <w:rFonts w:hint="eastAsia"/>
                <w:sz w:val="20"/>
                <w:szCs w:val="20"/>
              </w:rPr>
              <w:t>(0.84%)</w:t>
            </w:r>
          </w:p>
        </w:tc>
        <w:tc>
          <w:tcPr>
            <w:tcW w:w="1096" w:type="dxa"/>
            <w:tcBorders>
              <w:tl2br w:val="nil"/>
              <w:tr2bl w:val="nil"/>
            </w:tcBorders>
            <w:shd w:val="clear" w:color="auto" w:fill="auto"/>
            <w:vAlign w:val="center"/>
          </w:tcPr>
          <w:p w14:paraId="1D7C0580">
            <w:pPr>
              <w:spacing w:line="240" w:lineRule="exact"/>
              <w:jc w:val="center"/>
              <w:rPr>
                <w:sz w:val="20"/>
                <w:szCs w:val="20"/>
              </w:rPr>
            </w:pPr>
            <w:r>
              <w:rPr>
                <w:rFonts w:hint="eastAsia"/>
                <w:sz w:val="20"/>
                <w:szCs w:val="20"/>
              </w:rPr>
              <w:t>4</w:t>
            </w:r>
          </w:p>
          <w:p w14:paraId="5E0E5C48">
            <w:pPr>
              <w:spacing w:line="240" w:lineRule="exact"/>
              <w:jc w:val="center"/>
              <w:rPr>
                <w:sz w:val="20"/>
                <w:szCs w:val="20"/>
              </w:rPr>
            </w:pPr>
            <w:r>
              <w:rPr>
                <w:rFonts w:hint="eastAsia"/>
                <w:sz w:val="20"/>
                <w:szCs w:val="20"/>
              </w:rPr>
              <w:t>(3.36%)</w:t>
            </w:r>
          </w:p>
        </w:tc>
        <w:tc>
          <w:tcPr>
            <w:tcW w:w="969" w:type="dxa"/>
            <w:tcBorders>
              <w:tl2br w:val="nil"/>
              <w:tr2bl w:val="nil"/>
            </w:tcBorders>
            <w:shd w:val="clear" w:color="auto" w:fill="auto"/>
            <w:vAlign w:val="center"/>
          </w:tcPr>
          <w:p w14:paraId="4622FBFE">
            <w:pPr>
              <w:spacing w:line="240" w:lineRule="exact"/>
              <w:jc w:val="center"/>
              <w:rPr>
                <w:sz w:val="20"/>
                <w:szCs w:val="20"/>
              </w:rPr>
            </w:pPr>
            <w:r>
              <w:rPr>
                <w:rFonts w:hint="eastAsia"/>
                <w:sz w:val="20"/>
                <w:szCs w:val="20"/>
              </w:rPr>
              <w:t>0.48</w:t>
            </w:r>
          </w:p>
        </w:tc>
      </w:tr>
      <w:tr w14:paraId="6202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544" w:type="dxa"/>
            <w:gridSpan w:val="6"/>
            <w:tcBorders>
              <w:tl2br w:val="nil"/>
              <w:tr2bl w:val="nil"/>
            </w:tcBorders>
            <w:shd w:val="clear" w:color="auto" w:fill="auto"/>
            <w:vAlign w:val="center"/>
          </w:tcPr>
          <w:p w14:paraId="75DD746C">
            <w:pPr>
              <w:spacing w:line="240" w:lineRule="exact"/>
              <w:jc w:val="center"/>
              <w:rPr>
                <w:sz w:val="20"/>
                <w:szCs w:val="20"/>
              </w:rPr>
            </w:pPr>
            <w:r>
              <w:rPr>
                <w:rFonts w:hint="eastAsia"/>
                <w:sz w:val="20"/>
                <w:szCs w:val="20"/>
              </w:rPr>
              <w:t>合 计</w:t>
            </w:r>
          </w:p>
        </w:tc>
        <w:tc>
          <w:tcPr>
            <w:tcW w:w="969" w:type="dxa"/>
            <w:tcBorders>
              <w:tl2br w:val="nil"/>
              <w:tr2bl w:val="nil"/>
            </w:tcBorders>
            <w:shd w:val="clear" w:color="auto" w:fill="auto"/>
            <w:vAlign w:val="center"/>
          </w:tcPr>
          <w:p w14:paraId="6232D03A">
            <w:pPr>
              <w:spacing w:line="240" w:lineRule="exact"/>
              <w:jc w:val="center"/>
              <w:rPr>
                <w:sz w:val="20"/>
                <w:szCs w:val="20"/>
              </w:rPr>
            </w:pPr>
            <w:r>
              <w:rPr>
                <w:rFonts w:hint="eastAsia"/>
                <w:sz w:val="20"/>
                <w:szCs w:val="20"/>
              </w:rPr>
              <w:t>3.78</w:t>
            </w:r>
          </w:p>
        </w:tc>
      </w:tr>
    </w:tbl>
    <w:p w14:paraId="78013651">
      <w:pPr>
        <w:pStyle w:val="8"/>
        <w:snapToGrid/>
        <w:spacing w:line="600" w:lineRule="exact"/>
        <w:ind w:firstLine="560"/>
        <w:rPr>
          <w:rFonts w:ascii="仿宋" w:hAnsi="仿宋"/>
        </w:rPr>
      </w:pPr>
      <w:r>
        <w:rPr>
          <w:rFonts w:hint="eastAsia" w:ascii="仿宋" w:hAnsi="仿宋"/>
        </w:rPr>
        <w:t>根据调查结果计算，该指标分值</w:t>
      </w:r>
      <w:r>
        <w:rPr>
          <w:rFonts w:hint="eastAsia" w:ascii="仿宋"/>
        </w:rPr>
        <w:t>4</w:t>
      </w:r>
      <w:r>
        <w:rPr>
          <w:rFonts w:hint="eastAsia" w:ascii="仿宋" w:hAnsi="仿宋"/>
        </w:rPr>
        <w:t>分，得分</w:t>
      </w:r>
      <w:r>
        <w:rPr>
          <w:rFonts w:hint="eastAsia" w:ascii="仿宋"/>
        </w:rPr>
        <w:t>3.78</w:t>
      </w:r>
      <w:r>
        <w:rPr>
          <w:rFonts w:hint="eastAsia" w:ascii="仿宋" w:hAnsi="仿宋"/>
        </w:rPr>
        <w:t>分。</w:t>
      </w:r>
    </w:p>
    <w:p w14:paraId="61566180">
      <w:pPr>
        <w:pStyle w:val="8"/>
        <w:snapToGrid/>
        <w:spacing w:line="600" w:lineRule="exact"/>
        <w:ind w:firstLine="562"/>
        <w:outlineLvl w:val="4"/>
        <w:rPr>
          <w:rFonts w:ascii="仿宋" w:hAnsi="仿宋"/>
          <w:bCs/>
        </w:rPr>
      </w:pPr>
      <w:r>
        <w:rPr>
          <w:rFonts w:hint="eastAsia" w:ascii="仿宋" w:hAnsi="仿宋"/>
          <w:b/>
          <w:bCs/>
        </w:rPr>
        <w:t>（2）C2-2管理对象满意度</w:t>
      </w:r>
    </w:p>
    <w:p w14:paraId="1C29F9F1">
      <w:pPr>
        <w:pStyle w:val="8"/>
        <w:snapToGrid/>
        <w:spacing w:line="600" w:lineRule="exact"/>
        <w:ind w:firstLine="560"/>
        <w:rPr>
          <w:rFonts w:ascii="仿宋" w:hAnsi="仿宋"/>
          <w:highlight w:val="yellow"/>
        </w:rPr>
      </w:pPr>
      <w:r>
        <w:rPr>
          <w:rFonts w:hint="eastAsia" w:ascii="仿宋" w:hAnsi="仿宋"/>
        </w:rPr>
        <w:t>通过问卷</w:t>
      </w:r>
      <w:r>
        <w:rPr>
          <w:rFonts w:hint="eastAsia" w:ascii="仿宋"/>
        </w:rPr>
        <w:t>对永济市文旅局</w:t>
      </w:r>
      <w:r>
        <w:rPr>
          <w:rFonts w:hint="eastAsia" w:ascii="仿宋" w:hAnsi="仿宋"/>
        </w:rPr>
        <w:t>在职人员对目前所从事工作的满意程度进行调查，</w:t>
      </w:r>
      <w:r>
        <w:rPr>
          <w:rFonts w:hint="eastAsia" w:ascii="仿宋"/>
        </w:rPr>
        <w:t>包括</w:t>
      </w:r>
      <w:r>
        <w:rPr>
          <w:rFonts w:hint="eastAsia" w:ascii="仿宋" w:hAnsi="仿宋"/>
        </w:rPr>
        <w:t>工作环境</w:t>
      </w:r>
      <w:r>
        <w:rPr>
          <w:rFonts w:hint="eastAsia" w:ascii="仿宋"/>
        </w:rPr>
        <w:t>、</w:t>
      </w:r>
      <w:r>
        <w:rPr>
          <w:rFonts w:hint="eastAsia" w:ascii="仿宋" w:hAnsi="仿宋"/>
        </w:rPr>
        <w:t>工作氛围</w:t>
      </w:r>
      <w:r>
        <w:rPr>
          <w:rFonts w:hint="eastAsia" w:ascii="仿宋"/>
        </w:rPr>
        <w:t>、</w:t>
      </w:r>
      <w:r>
        <w:rPr>
          <w:rFonts w:hint="eastAsia" w:ascii="仿宋" w:hAnsi="仿宋"/>
        </w:rPr>
        <w:t>日常工作安排</w:t>
      </w:r>
      <w:r>
        <w:rPr>
          <w:rFonts w:hint="eastAsia" w:ascii="仿宋"/>
        </w:rPr>
        <w:t>、</w:t>
      </w:r>
      <w:r>
        <w:rPr>
          <w:rFonts w:hint="eastAsia" w:ascii="仿宋" w:hAnsi="仿宋"/>
        </w:rPr>
        <w:t>同事间工作配合与协作</w:t>
      </w:r>
      <w:r>
        <w:rPr>
          <w:rFonts w:hint="eastAsia" w:ascii="仿宋"/>
        </w:rPr>
        <w:t>、</w:t>
      </w:r>
      <w:r>
        <w:rPr>
          <w:rFonts w:hint="eastAsia" w:ascii="仿宋" w:hAnsi="仿宋"/>
        </w:rPr>
        <w:t>部门间信息交流便捷性</w:t>
      </w:r>
      <w:r>
        <w:rPr>
          <w:rFonts w:hint="eastAsia" w:ascii="仿宋"/>
        </w:rPr>
        <w:t>、</w:t>
      </w:r>
      <w:r>
        <w:rPr>
          <w:rFonts w:hint="eastAsia" w:ascii="仿宋" w:hAnsi="仿宋"/>
        </w:rPr>
        <w:t>单位管理制度情况</w:t>
      </w:r>
      <w:r>
        <w:rPr>
          <w:rFonts w:hint="eastAsia" w:ascii="仿宋"/>
        </w:rPr>
        <w:t>、</w:t>
      </w:r>
      <w:r>
        <w:rPr>
          <w:rFonts w:hint="eastAsia" w:ascii="仿宋" w:hAnsi="仿宋"/>
        </w:rPr>
        <w:t>单位制度执行情况</w:t>
      </w:r>
      <w:r>
        <w:rPr>
          <w:rFonts w:hint="eastAsia" w:ascii="仿宋"/>
        </w:rPr>
        <w:t>、</w:t>
      </w:r>
      <w:r>
        <w:rPr>
          <w:rFonts w:hint="eastAsia" w:ascii="仿宋" w:hAnsi="仿宋"/>
        </w:rPr>
        <w:t>单位领导管理水平</w:t>
      </w:r>
      <w:r>
        <w:rPr>
          <w:rFonts w:hint="eastAsia" w:ascii="仿宋"/>
        </w:rPr>
        <w:t>、</w:t>
      </w:r>
      <w:r>
        <w:rPr>
          <w:rFonts w:hint="eastAsia" w:ascii="仿宋" w:hAnsi="仿宋"/>
        </w:rPr>
        <w:t>所在部门职责履行情况</w:t>
      </w:r>
      <w:r>
        <w:rPr>
          <w:rFonts w:hint="eastAsia" w:ascii="仿宋"/>
        </w:rPr>
        <w:t>、</w:t>
      </w:r>
      <w:r>
        <w:rPr>
          <w:rFonts w:hint="eastAsia" w:ascii="仿宋" w:hAnsi="仿宋"/>
        </w:rPr>
        <w:t>所在部门2023年工作成效</w:t>
      </w:r>
      <w:r>
        <w:rPr>
          <w:rFonts w:hint="eastAsia" w:ascii="仿宋"/>
        </w:rPr>
        <w:t>10</w:t>
      </w:r>
      <w:r>
        <w:rPr>
          <w:rFonts w:hint="eastAsia" w:ascii="仿宋" w:hAnsi="仿宋"/>
        </w:rPr>
        <w:t>个方面。本次共计收回问卷</w:t>
      </w:r>
      <w:r>
        <w:rPr>
          <w:rFonts w:hint="eastAsia" w:ascii="仿宋"/>
        </w:rPr>
        <w:t>22</w:t>
      </w:r>
      <w:r>
        <w:rPr>
          <w:rFonts w:hint="eastAsia" w:ascii="仿宋" w:hAnsi="仿宋"/>
        </w:rPr>
        <w:t>份，有效问卷</w:t>
      </w:r>
      <w:r>
        <w:rPr>
          <w:rFonts w:hint="eastAsia" w:ascii="仿宋"/>
        </w:rPr>
        <w:t>22</w:t>
      </w:r>
      <w:r>
        <w:rPr>
          <w:rFonts w:hint="eastAsia" w:ascii="仿宋" w:hAnsi="仿宋"/>
        </w:rPr>
        <w:t>份。满意度调查结果如表4-</w:t>
      </w:r>
      <w:r>
        <w:rPr>
          <w:rFonts w:hint="eastAsia" w:ascii="仿宋"/>
        </w:rPr>
        <w:t>3</w:t>
      </w:r>
      <w:r>
        <w:rPr>
          <w:rFonts w:hint="eastAsia" w:ascii="仿宋" w:hAnsi="仿宋"/>
        </w:rPr>
        <w:t>-</w:t>
      </w:r>
      <w:r>
        <w:rPr>
          <w:rFonts w:hint="eastAsia" w:ascii="仿宋"/>
        </w:rPr>
        <w:t>6</w:t>
      </w:r>
      <w:r>
        <w:rPr>
          <w:rFonts w:hint="eastAsia" w:ascii="仿宋" w:hAnsi="仿宋"/>
        </w:rPr>
        <w:t>所示：</w:t>
      </w:r>
    </w:p>
    <w:p w14:paraId="7FB07937">
      <w:pPr>
        <w:pStyle w:val="8"/>
        <w:snapToGrid/>
        <w:spacing w:afterLines="20" w:line="600" w:lineRule="exact"/>
        <w:ind w:firstLine="562"/>
        <w:jc w:val="center"/>
        <w:rPr>
          <w:rFonts w:ascii="仿宋" w:hAnsi="仿宋"/>
          <w:bCs/>
        </w:rPr>
      </w:pPr>
      <w:r>
        <w:rPr>
          <w:rFonts w:hint="eastAsia" w:ascii="仿宋" w:hAnsi="仿宋"/>
          <w:b/>
        </w:rPr>
        <w:t>表4-</w:t>
      </w:r>
      <w:r>
        <w:rPr>
          <w:rFonts w:hint="eastAsia" w:ascii="仿宋"/>
          <w:b/>
        </w:rPr>
        <w:t>3</w:t>
      </w:r>
      <w:r>
        <w:rPr>
          <w:rFonts w:hint="eastAsia" w:ascii="仿宋" w:hAnsi="仿宋"/>
          <w:b/>
        </w:rPr>
        <w:t>-6</w:t>
      </w:r>
      <w:r>
        <w:rPr>
          <w:rFonts w:hint="eastAsia" w:ascii="仿宋"/>
          <w:b/>
        </w:rPr>
        <w:t xml:space="preserve"> 在职人员</w:t>
      </w:r>
      <w:r>
        <w:rPr>
          <w:rFonts w:hint="eastAsia" w:ascii="仿宋" w:hAnsi="仿宋"/>
          <w:b/>
          <w:bCs/>
        </w:rPr>
        <w:t>满意度</w:t>
      </w:r>
      <w:r>
        <w:rPr>
          <w:rFonts w:hint="eastAsia" w:ascii="仿宋" w:hAnsi="仿宋"/>
          <w:b/>
        </w:rPr>
        <w:t>调查统计表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265"/>
        <w:gridCol w:w="1056"/>
        <w:gridCol w:w="1056"/>
        <w:gridCol w:w="901"/>
        <w:gridCol w:w="1058"/>
        <w:gridCol w:w="886"/>
      </w:tblGrid>
      <w:tr w14:paraId="3AEA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346" w:type="pct"/>
            <w:tcBorders>
              <w:tl2br w:val="nil"/>
              <w:tr2bl w:val="nil"/>
            </w:tcBorders>
            <w:shd w:val="clear" w:color="auto" w:fill="BEBEBE" w:themeFill="background1" w:themeFillShade="BF"/>
            <w:vAlign w:val="center"/>
          </w:tcPr>
          <w:p w14:paraId="5107D010">
            <w:pPr>
              <w:spacing w:line="240" w:lineRule="exact"/>
              <w:jc w:val="center"/>
              <w:rPr>
                <w:b/>
                <w:bCs/>
                <w:sz w:val="21"/>
                <w:szCs w:val="21"/>
              </w:rPr>
            </w:pPr>
            <w:r>
              <w:rPr>
                <w:rFonts w:hint="eastAsia"/>
                <w:b/>
                <w:bCs/>
                <w:sz w:val="21"/>
                <w:szCs w:val="21"/>
              </w:rPr>
              <w:t>题目\选项</w:t>
            </w:r>
          </w:p>
        </w:tc>
        <w:tc>
          <w:tcPr>
            <w:tcW w:w="743" w:type="pct"/>
            <w:tcBorders>
              <w:tl2br w:val="nil"/>
              <w:tr2bl w:val="nil"/>
            </w:tcBorders>
            <w:shd w:val="clear" w:color="auto" w:fill="BEBEBE" w:themeFill="background1" w:themeFillShade="BF"/>
            <w:vAlign w:val="center"/>
          </w:tcPr>
          <w:p w14:paraId="368C18E6">
            <w:pPr>
              <w:spacing w:line="240" w:lineRule="exact"/>
              <w:jc w:val="center"/>
              <w:rPr>
                <w:b/>
                <w:bCs/>
                <w:sz w:val="21"/>
                <w:szCs w:val="21"/>
              </w:rPr>
            </w:pPr>
            <w:r>
              <w:rPr>
                <w:rFonts w:hint="eastAsia"/>
                <w:b/>
                <w:bCs/>
                <w:sz w:val="21"/>
                <w:szCs w:val="21"/>
              </w:rPr>
              <w:t>5分</w:t>
            </w:r>
          </w:p>
        </w:tc>
        <w:tc>
          <w:tcPr>
            <w:tcW w:w="620" w:type="pct"/>
            <w:tcBorders>
              <w:tl2br w:val="nil"/>
              <w:tr2bl w:val="nil"/>
            </w:tcBorders>
            <w:shd w:val="clear" w:color="auto" w:fill="BEBEBE" w:themeFill="background1" w:themeFillShade="BF"/>
            <w:vAlign w:val="center"/>
          </w:tcPr>
          <w:p w14:paraId="12A6E83C">
            <w:pPr>
              <w:spacing w:line="240" w:lineRule="exact"/>
              <w:jc w:val="center"/>
              <w:rPr>
                <w:b/>
                <w:bCs/>
                <w:sz w:val="21"/>
                <w:szCs w:val="21"/>
              </w:rPr>
            </w:pPr>
            <w:r>
              <w:rPr>
                <w:rFonts w:hint="eastAsia"/>
                <w:b/>
                <w:bCs/>
                <w:sz w:val="21"/>
                <w:szCs w:val="21"/>
              </w:rPr>
              <w:t>4分</w:t>
            </w:r>
          </w:p>
        </w:tc>
        <w:tc>
          <w:tcPr>
            <w:tcW w:w="620" w:type="pct"/>
            <w:tcBorders>
              <w:tl2br w:val="nil"/>
              <w:tr2bl w:val="nil"/>
            </w:tcBorders>
            <w:shd w:val="clear" w:color="auto" w:fill="BEBEBE" w:themeFill="background1" w:themeFillShade="BF"/>
            <w:vAlign w:val="center"/>
          </w:tcPr>
          <w:p w14:paraId="37FE0932">
            <w:pPr>
              <w:spacing w:line="240" w:lineRule="exact"/>
              <w:jc w:val="center"/>
              <w:rPr>
                <w:b/>
                <w:bCs/>
                <w:sz w:val="21"/>
                <w:szCs w:val="21"/>
              </w:rPr>
            </w:pPr>
            <w:r>
              <w:rPr>
                <w:rFonts w:hint="eastAsia"/>
                <w:b/>
                <w:bCs/>
                <w:sz w:val="21"/>
                <w:szCs w:val="21"/>
              </w:rPr>
              <w:t>3分</w:t>
            </w:r>
          </w:p>
        </w:tc>
        <w:tc>
          <w:tcPr>
            <w:tcW w:w="529" w:type="pct"/>
            <w:tcBorders>
              <w:tl2br w:val="nil"/>
              <w:tr2bl w:val="nil"/>
            </w:tcBorders>
            <w:shd w:val="clear" w:color="auto" w:fill="BEBEBE" w:themeFill="background1" w:themeFillShade="BF"/>
            <w:vAlign w:val="center"/>
          </w:tcPr>
          <w:p w14:paraId="05885747">
            <w:pPr>
              <w:spacing w:line="240" w:lineRule="exact"/>
              <w:jc w:val="center"/>
              <w:rPr>
                <w:b/>
                <w:bCs/>
                <w:sz w:val="21"/>
                <w:szCs w:val="21"/>
              </w:rPr>
            </w:pPr>
            <w:r>
              <w:rPr>
                <w:rFonts w:hint="eastAsia"/>
                <w:b/>
                <w:bCs/>
                <w:sz w:val="21"/>
                <w:szCs w:val="21"/>
              </w:rPr>
              <w:t>2分</w:t>
            </w:r>
          </w:p>
        </w:tc>
        <w:tc>
          <w:tcPr>
            <w:tcW w:w="620" w:type="pct"/>
            <w:tcBorders>
              <w:tl2br w:val="nil"/>
              <w:tr2bl w:val="nil"/>
            </w:tcBorders>
            <w:shd w:val="clear" w:color="auto" w:fill="BEBEBE" w:themeFill="background1" w:themeFillShade="BF"/>
            <w:vAlign w:val="center"/>
          </w:tcPr>
          <w:p w14:paraId="02DEED72">
            <w:pPr>
              <w:spacing w:line="240" w:lineRule="exact"/>
              <w:jc w:val="center"/>
              <w:rPr>
                <w:b/>
                <w:bCs/>
                <w:sz w:val="21"/>
                <w:szCs w:val="21"/>
              </w:rPr>
            </w:pPr>
            <w:r>
              <w:rPr>
                <w:rFonts w:hint="eastAsia"/>
                <w:b/>
                <w:bCs/>
                <w:sz w:val="21"/>
                <w:szCs w:val="21"/>
              </w:rPr>
              <w:t>1分</w:t>
            </w:r>
          </w:p>
        </w:tc>
        <w:tc>
          <w:tcPr>
            <w:tcW w:w="520" w:type="pct"/>
            <w:tcBorders>
              <w:tl2br w:val="nil"/>
              <w:tr2bl w:val="nil"/>
            </w:tcBorders>
            <w:shd w:val="clear" w:color="auto" w:fill="BEBEBE" w:themeFill="background1" w:themeFillShade="BF"/>
            <w:vAlign w:val="center"/>
          </w:tcPr>
          <w:p w14:paraId="60F980B0">
            <w:pPr>
              <w:spacing w:line="240" w:lineRule="exact"/>
              <w:jc w:val="center"/>
              <w:rPr>
                <w:b/>
                <w:bCs/>
                <w:sz w:val="21"/>
                <w:szCs w:val="21"/>
              </w:rPr>
            </w:pPr>
            <w:r>
              <w:rPr>
                <w:rFonts w:hint="eastAsia"/>
                <w:b/>
                <w:bCs/>
                <w:sz w:val="21"/>
                <w:szCs w:val="21"/>
              </w:rPr>
              <w:t>得分</w:t>
            </w:r>
          </w:p>
        </w:tc>
      </w:tr>
      <w:tr w14:paraId="55B8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4C289582">
            <w:pPr>
              <w:spacing w:line="240" w:lineRule="exact"/>
              <w:jc w:val="center"/>
              <w:rPr>
                <w:sz w:val="21"/>
                <w:szCs w:val="21"/>
              </w:rPr>
            </w:pPr>
            <w:r>
              <w:rPr>
                <w:rFonts w:hint="eastAsia"/>
                <w:sz w:val="21"/>
                <w:szCs w:val="21"/>
              </w:rPr>
              <w:t>工作环境</w:t>
            </w:r>
          </w:p>
        </w:tc>
        <w:tc>
          <w:tcPr>
            <w:tcW w:w="743" w:type="pct"/>
            <w:tcBorders>
              <w:tl2br w:val="nil"/>
              <w:tr2bl w:val="nil"/>
            </w:tcBorders>
            <w:shd w:val="clear" w:color="auto" w:fill="auto"/>
            <w:vAlign w:val="center"/>
          </w:tcPr>
          <w:p w14:paraId="468EA9F2">
            <w:pPr>
              <w:spacing w:line="240" w:lineRule="exact"/>
              <w:jc w:val="center"/>
              <w:rPr>
                <w:sz w:val="21"/>
                <w:szCs w:val="21"/>
              </w:rPr>
            </w:pPr>
            <w:r>
              <w:rPr>
                <w:rFonts w:hint="eastAsia"/>
                <w:sz w:val="21"/>
                <w:szCs w:val="21"/>
              </w:rPr>
              <w:t>18</w:t>
            </w:r>
          </w:p>
          <w:p w14:paraId="2F541817">
            <w:pPr>
              <w:spacing w:line="240" w:lineRule="exact"/>
              <w:jc w:val="center"/>
              <w:rPr>
                <w:sz w:val="21"/>
                <w:szCs w:val="21"/>
              </w:rPr>
            </w:pPr>
            <w:r>
              <w:rPr>
                <w:rFonts w:hint="eastAsia"/>
                <w:sz w:val="21"/>
                <w:szCs w:val="21"/>
              </w:rPr>
              <w:t>(81.82%)</w:t>
            </w:r>
          </w:p>
        </w:tc>
        <w:tc>
          <w:tcPr>
            <w:tcW w:w="620" w:type="pct"/>
            <w:tcBorders>
              <w:tl2br w:val="nil"/>
              <w:tr2bl w:val="nil"/>
            </w:tcBorders>
            <w:shd w:val="clear" w:color="auto" w:fill="auto"/>
            <w:vAlign w:val="center"/>
          </w:tcPr>
          <w:p w14:paraId="3E03EEB9">
            <w:pPr>
              <w:spacing w:line="240" w:lineRule="exact"/>
              <w:jc w:val="center"/>
              <w:rPr>
                <w:sz w:val="21"/>
                <w:szCs w:val="21"/>
              </w:rPr>
            </w:pPr>
            <w:r>
              <w:rPr>
                <w:rFonts w:hint="eastAsia"/>
                <w:sz w:val="21"/>
                <w:szCs w:val="21"/>
              </w:rPr>
              <w:t>1</w:t>
            </w:r>
          </w:p>
          <w:p w14:paraId="06CFF0E8">
            <w:pPr>
              <w:spacing w:line="240" w:lineRule="exact"/>
              <w:jc w:val="center"/>
              <w:rPr>
                <w:sz w:val="21"/>
                <w:szCs w:val="21"/>
              </w:rPr>
            </w:pPr>
            <w:r>
              <w:rPr>
                <w:rFonts w:hint="eastAsia"/>
                <w:sz w:val="21"/>
                <w:szCs w:val="21"/>
              </w:rPr>
              <w:t>(4.55%)</w:t>
            </w:r>
          </w:p>
        </w:tc>
        <w:tc>
          <w:tcPr>
            <w:tcW w:w="620" w:type="pct"/>
            <w:tcBorders>
              <w:tl2br w:val="nil"/>
              <w:tr2bl w:val="nil"/>
            </w:tcBorders>
            <w:shd w:val="clear" w:color="auto" w:fill="auto"/>
            <w:vAlign w:val="center"/>
          </w:tcPr>
          <w:p w14:paraId="1A7B257C">
            <w:pPr>
              <w:spacing w:line="240" w:lineRule="exact"/>
              <w:jc w:val="center"/>
              <w:rPr>
                <w:sz w:val="21"/>
                <w:szCs w:val="21"/>
              </w:rPr>
            </w:pPr>
            <w:r>
              <w:rPr>
                <w:rFonts w:hint="eastAsia"/>
                <w:sz w:val="21"/>
                <w:szCs w:val="21"/>
              </w:rPr>
              <w:t>2</w:t>
            </w:r>
          </w:p>
          <w:p w14:paraId="41487FFD">
            <w:pPr>
              <w:spacing w:line="240" w:lineRule="exact"/>
              <w:jc w:val="center"/>
              <w:rPr>
                <w:sz w:val="21"/>
                <w:szCs w:val="21"/>
              </w:rPr>
            </w:pPr>
            <w:r>
              <w:rPr>
                <w:rFonts w:hint="eastAsia"/>
                <w:sz w:val="21"/>
                <w:szCs w:val="21"/>
              </w:rPr>
              <w:t>(9.09%)</w:t>
            </w:r>
          </w:p>
        </w:tc>
        <w:tc>
          <w:tcPr>
            <w:tcW w:w="529" w:type="pct"/>
            <w:tcBorders>
              <w:tl2br w:val="nil"/>
              <w:tr2bl w:val="nil"/>
            </w:tcBorders>
            <w:shd w:val="clear" w:color="auto" w:fill="auto"/>
            <w:vAlign w:val="center"/>
          </w:tcPr>
          <w:p w14:paraId="0CD08CBE">
            <w:pPr>
              <w:spacing w:line="240" w:lineRule="exact"/>
              <w:jc w:val="center"/>
              <w:rPr>
                <w:sz w:val="21"/>
                <w:szCs w:val="21"/>
              </w:rPr>
            </w:pPr>
            <w:r>
              <w:rPr>
                <w:rFonts w:hint="eastAsia"/>
                <w:sz w:val="21"/>
                <w:szCs w:val="21"/>
              </w:rPr>
              <w:t>0</w:t>
            </w:r>
          </w:p>
          <w:p w14:paraId="060234F0">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6BE9F507">
            <w:pPr>
              <w:spacing w:line="240" w:lineRule="exact"/>
              <w:jc w:val="center"/>
              <w:rPr>
                <w:sz w:val="21"/>
                <w:szCs w:val="21"/>
              </w:rPr>
            </w:pPr>
            <w:r>
              <w:rPr>
                <w:rFonts w:hint="eastAsia"/>
                <w:sz w:val="21"/>
                <w:szCs w:val="21"/>
              </w:rPr>
              <w:t>1</w:t>
            </w:r>
          </w:p>
          <w:p w14:paraId="751E241B">
            <w:pPr>
              <w:spacing w:line="240" w:lineRule="exact"/>
              <w:jc w:val="center"/>
              <w:rPr>
                <w:sz w:val="21"/>
                <w:szCs w:val="21"/>
              </w:rPr>
            </w:pPr>
            <w:r>
              <w:rPr>
                <w:rFonts w:hint="eastAsia"/>
                <w:sz w:val="21"/>
                <w:szCs w:val="21"/>
              </w:rPr>
              <w:t>(4.55%)</w:t>
            </w:r>
          </w:p>
        </w:tc>
        <w:tc>
          <w:tcPr>
            <w:tcW w:w="520" w:type="pct"/>
            <w:tcBorders>
              <w:tl2br w:val="nil"/>
              <w:tr2bl w:val="nil"/>
            </w:tcBorders>
            <w:shd w:val="clear" w:color="auto" w:fill="auto"/>
            <w:vAlign w:val="center"/>
          </w:tcPr>
          <w:p w14:paraId="31059267">
            <w:pPr>
              <w:spacing w:line="240" w:lineRule="exact"/>
              <w:jc w:val="center"/>
              <w:rPr>
                <w:sz w:val="21"/>
                <w:szCs w:val="21"/>
              </w:rPr>
            </w:pPr>
            <w:r>
              <w:rPr>
                <w:rFonts w:hint="eastAsia"/>
                <w:sz w:val="21"/>
                <w:szCs w:val="21"/>
              </w:rPr>
              <w:t>0.37</w:t>
            </w:r>
          </w:p>
        </w:tc>
      </w:tr>
      <w:tr w14:paraId="073B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05B3D272">
            <w:pPr>
              <w:spacing w:line="240" w:lineRule="exact"/>
              <w:jc w:val="center"/>
              <w:rPr>
                <w:sz w:val="21"/>
                <w:szCs w:val="21"/>
              </w:rPr>
            </w:pPr>
            <w:r>
              <w:rPr>
                <w:rFonts w:hint="eastAsia"/>
                <w:sz w:val="21"/>
                <w:szCs w:val="21"/>
              </w:rPr>
              <w:t>工作氛围</w:t>
            </w:r>
          </w:p>
        </w:tc>
        <w:tc>
          <w:tcPr>
            <w:tcW w:w="743" w:type="pct"/>
            <w:tcBorders>
              <w:tl2br w:val="nil"/>
              <w:tr2bl w:val="nil"/>
            </w:tcBorders>
            <w:shd w:val="clear" w:color="auto" w:fill="auto"/>
            <w:vAlign w:val="center"/>
          </w:tcPr>
          <w:p w14:paraId="040575A9">
            <w:pPr>
              <w:spacing w:line="240" w:lineRule="exact"/>
              <w:jc w:val="center"/>
              <w:rPr>
                <w:sz w:val="21"/>
                <w:szCs w:val="21"/>
              </w:rPr>
            </w:pPr>
            <w:r>
              <w:rPr>
                <w:rFonts w:hint="eastAsia"/>
                <w:sz w:val="21"/>
                <w:szCs w:val="21"/>
              </w:rPr>
              <w:t>22</w:t>
            </w:r>
          </w:p>
          <w:p w14:paraId="4CCE0520">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12C0F900">
            <w:pPr>
              <w:spacing w:line="240" w:lineRule="exact"/>
              <w:jc w:val="center"/>
              <w:rPr>
                <w:sz w:val="21"/>
                <w:szCs w:val="21"/>
              </w:rPr>
            </w:pPr>
            <w:r>
              <w:rPr>
                <w:rFonts w:hint="eastAsia"/>
                <w:sz w:val="21"/>
                <w:szCs w:val="21"/>
              </w:rPr>
              <w:t>0</w:t>
            </w:r>
          </w:p>
          <w:p w14:paraId="6C0B7477">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0D72B8C9">
            <w:pPr>
              <w:spacing w:line="240" w:lineRule="exact"/>
              <w:jc w:val="center"/>
              <w:rPr>
                <w:sz w:val="21"/>
                <w:szCs w:val="21"/>
              </w:rPr>
            </w:pPr>
            <w:r>
              <w:rPr>
                <w:rFonts w:hint="eastAsia"/>
                <w:sz w:val="21"/>
                <w:szCs w:val="21"/>
              </w:rPr>
              <w:t>0</w:t>
            </w:r>
          </w:p>
          <w:p w14:paraId="5DA7B516">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4DB13971">
            <w:pPr>
              <w:spacing w:line="240" w:lineRule="exact"/>
              <w:jc w:val="center"/>
              <w:rPr>
                <w:sz w:val="21"/>
                <w:szCs w:val="21"/>
              </w:rPr>
            </w:pPr>
            <w:r>
              <w:rPr>
                <w:rFonts w:hint="eastAsia"/>
                <w:sz w:val="21"/>
                <w:szCs w:val="21"/>
              </w:rPr>
              <w:t>0</w:t>
            </w:r>
          </w:p>
          <w:p w14:paraId="696F6D28">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5ED50D45">
            <w:pPr>
              <w:spacing w:line="240" w:lineRule="exact"/>
              <w:jc w:val="center"/>
              <w:rPr>
                <w:sz w:val="21"/>
                <w:szCs w:val="21"/>
              </w:rPr>
            </w:pPr>
            <w:r>
              <w:rPr>
                <w:rFonts w:hint="eastAsia"/>
                <w:sz w:val="21"/>
                <w:szCs w:val="21"/>
              </w:rPr>
              <w:t>0</w:t>
            </w:r>
          </w:p>
          <w:p w14:paraId="13177CE4">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78EFB50C">
            <w:pPr>
              <w:spacing w:line="240" w:lineRule="exact"/>
              <w:jc w:val="center"/>
              <w:rPr>
                <w:sz w:val="21"/>
                <w:szCs w:val="21"/>
              </w:rPr>
            </w:pPr>
            <w:r>
              <w:rPr>
                <w:rFonts w:hint="eastAsia"/>
                <w:sz w:val="21"/>
                <w:szCs w:val="21"/>
              </w:rPr>
              <w:t>0.40</w:t>
            </w:r>
          </w:p>
        </w:tc>
      </w:tr>
      <w:tr w14:paraId="41D1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20EA3A68">
            <w:pPr>
              <w:spacing w:line="240" w:lineRule="exact"/>
              <w:jc w:val="center"/>
              <w:rPr>
                <w:sz w:val="21"/>
                <w:szCs w:val="21"/>
              </w:rPr>
            </w:pPr>
            <w:r>
              <w:rPr>
                <w:rFonts w:hint="eastAsia"/>
                <w:sz w:val="21"/>
                <w:szCs w:val="21"/>
              </w:rPr>
              <w:t>日常工作安排</w:t>
            </w:r>
          </w:p>
        </w:tc>
        <w:tc>
          <w:tcPr>
            <w:tcW w:w="743" w:type="pct"/>
            <w:tcBorders>
              <w:tl2br w:val="nil"/>
              <w:tr2bl w:val="nil"/>
            </w:tcBorders>
            <w:shd w:val="clear" w:color="auto" w:fill="auto"/>
            <w:vAlign w:val="center"/>
          </w:tcPr>
          <w:p w14:paraId="77CD68D8">
            <w:pPr>
              <w:spacing w:line="240" w:lineRule="exact"/>
              <w:jc w:val="center"/>
              <w:rPr>
                <w:sz w:val="21"/>
                <w:szCs w:val="21"/>
              </w:rPr>
            </w:pPr>
            <w:r>
              <w:rPr>
                <w:rFonts w:hint="eastAsia"/>
                <w:sz w:val="21"/>
                <w:szCs w:val="21"/>
              </w:rPr>
              <w:t>20</w:t>
            </w:r>
          </w:p>
          <w:p w14:paraId="3057C053">
            <w:pPr>
              <w:spacing w:line="240" w:lineRule="exact"/>
              <w:jc w:val="center"/>
              <w:rPr>
                <w:sz w:val="21"/>
                <w:szCs w:val="21"/>
              </w:rPr>
            </w:pPr>
            <w:r>
              <w:rPr>
                <w:rFonts w:hint="eastAsia"/>
                <w:sz w:val="21"/>
                <w:szCs w:val="21"/>
              </w:rPr>
              <w:t>(90.91%)</w:t>
            </w:r>
          </w:p>
        </w:tc>
        <w:tc>
          <w:tcPr>
            <w:tcW w:w="620" w:type="pct"/>
            <w:tcBorders>
              <w:tl2br w:val="nil"/>
              <w:tr2bl w:val="nil"/>
            </w:tcBorders>
            <w:shd w:val="clear" w:color="auto" w:fill="auto"/>
            <w:vAlign w:val="center"/>
          </w:tcPr>
          <w:p w14:paraId="5EF6A3F7">
            <w:pPr>
              <w:spacing w:line="240" w:lineRule="exact"/>
              <w:jc w:val="center"/>
              <w:rPr>
                <w:sz w:val="21"/>
                <w:szCs w:val="21"/>
              </w:rPr>
            </w:pPr>
            <w:r>
              <w:rPr>
                <w:rFonts w:hint="eastAsia"/>
                <w:sz w:val="21"/>
                <w:szCs w:val="21"/>
              </w:rPr>
              <w:t>2</w:t>
            </w:r>
          </w:p>
          <w:p w14:paraId="2A1DCAD3">
            <w:pPr>
              <w:spacing w:line="240" w:lineRule="exact"/>
              <w:jc w:val="center"/>
              <w:rPr>
                <w:sz w:val="21"/>
                <w:szCs w:val="21"/>
              </w:rPr>
            </w:pPr>
            <w:r>
              <w:rPr>
                <w:rFonts w:hint="eastAsia"/>
                <w:sz w:val="21"/>
                <w:szCs w:val="21"/>
              </w:rPr>
              <w:t>(9.09%)</w:t>
            </w:r>
          </w:p>
        </w:tc>
        <w:tc>
          <w:tcPr>
            <w:tcW w:w="620" w:type="pct"/>
            <w:tcBorders>
              <w:tl2br w:val="nil"/>
              <w:tr2bl w:val="nil"/>
            </w:tcBorders>
            <w:shd w:val="clear" w:color="auto" w:fill="auto"/>
            <w:vAlign w:val="center"/>
          </w:tcPr>
          <w:p w14:paraId="56F5A16A">
            <w:pPr>
              <w:spacing w:line="240" w:lineRule="exact"/>
              <w:jc w:val="center"/>
              <w:rPr>
                <w:sz w:val="21"/>
                <w:szCs w:val="21"/>
              </w:rPr>
            </w:pPr>
            <w:r>
              <w:rPr>
                <w:rFonts w:hint="eastAsia"/>
                <w:sz w:val="21"/>
                <w:szCs w:val="21"/>
              </w:rPr>
              <w:t>0</w:t>
            </w:r>
          </w:p>
          <w:p w14:paraId="07BD935A">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7E4B7A23">
            <w:pPr>
              <w:spacing w:line="240" w:lineRule="exact"/>
              <w:jc w:val="center"/>
              <w:rPr>
                <w:sz w:val="21"/>
                <w:szCs w:val="21"/>
              </w:rPr>
            </w:pPr>
            <w:r>
              <w:rPr>
                <w:rFonts w:hint="eastAsia"/>
                <w:sz w:val="21"/>
                <w:szCs w:val="21"/>
              </w:rPr>
              <w:t>0</w:t>
            </w:r>
          </w:p>
          <w:p w14:paraId="1EEC288C">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298CB466">
            <w:pPr>
              <w:spacing w:line="240" w:lineRule="exact"/>
              <w:jc w:val="center"/>
              <w:rPr>
                <w:sz w:val="21"/>
                <w:szCs w:val="21"/>
              </w:rPr>
            </w:pPr>
            <w:r>
              <w:rPr>
                <w:rFonts w:hint="eastAsia"/>
                <w:sz w:val="21"/>
                <w:szCs w:val="21"/>
              </w:rPr>
              <w:t>0</w:t>
            </w:r>
          </w:p>
          <w:p w14:paraId="01C58910">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22C0D47F">
            <w:pPr>
              <w:spacing w:line="240" w:lineRule="exact"/>
              <w:jc w:val="center"/>
              <w:rPr>
                <w:sz w:val="21"/>
                <w:szCs w:val="21"/>
              </w:rPr>
            </w:pPr>
            <w:r>
              <w:rPr>
                <w:rFonts w:hint="eastAsia"/>
                <w:sz w:val="21"/>
                <w:szCs w:val="21"/>
              </w:rPr>
              <w:t>0.39</w:t>
            </w:r>
          </w:p>
        </w:tc>
      </w:tr>
      <w:tr w14:paraId="4D5C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5EC71CE6">
            <w:pPr>
              <w:spacing w:line="240" w:lineRule="exact"/>
              <w:jc w:val="center"/>
              <w:rPr>
                <w:sz w:val="21"/>
                <w:szCs w:val="21"/>
              </w:rPr>
            </w:pPr>
            <w:r>
              <w:rPr>
                <w:rFonts w:hint="eastAsia"/>
                <w:sz w:val="21"/>
                <w:szCs w:val="21"/>
              </w:rPr>
              <w:t>同事间工作配合与协作</w:t>
            </w:r>
          </w:p>
        </w:tc>
        <w:tc>
          <w:tcPr>
            <w:tcW w:w="743" w:type="pct"/>
            <w:tcBorders>
              <w:tl2br w:val="nil"/>
              <w:tr2bl w:val="nil"/>
            </w:tcBorders>
            <w:shd w:val="clear" w:color="auto" w:fill="auto"/>
            <w:vAlign w:val="center"/>
          </w:tcPr>
          <w:p w14:paraId="2D700214">
            <w:pPr>
              <w:spacing w:line="240" w:lineRule="exact"/>
              <w:jc w:val="center"/>
              <w:rPr>
                <w:sz w:val="21"/>
                <w:szCs w:val="21"/>
              </w:rPr>
            </w:pPr>
            <w:r>
              <w:rPr>
                <w:rFonts w:hint="eastAsia"/>
                <w:sz w:val="21"/>
                <w:szCs w:val="21"/>
              </w:rPr>
              <w:t>22</w:t>
            </w:r>
          </w:p>
          <w:p w14:paraId="11B6A9F8">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30193580">
            <w:pPr>
              <w:spacing w:line="240" w:lineRule="exact"/>
              <w:jc w:val="center"/>
              <w:rPr>
                <w:sz w:val="21"/>
                <w:szCs w:val="21"/>
              </w:rPr>
            </w:pPr>
            <w:r>
              <w:rPr>
                <w:rFonts w:hint="eastAsia"/>
                <w:sz w:val="21"/>
                <w:szCs w:val="21"/>
              </w:rPr>
              <w:t>0</w:t>
            </w:r>
          </w:p>
          <w:p w14:paraId="57AE0FB1">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596B133A">
            <w:pPr>
              <w:spacing w:line="240" w:lineRule="exact"/>
              <w:jc w:val="center"/>
              <w:rPr>
                <w:sz w:val="21"/>
                <w:szCs w:val="21"/>
              </w:rPr>
            </w:pPr>
            <w:r>
              <w:rPr>
                <w:rFonts w:hint="eastAsia"/>
                <w:sz w:val="21"/>
                <w:szCs w:val="21"/>
              </w:rPr>
              <w:t>0</w:t>
            </w:r>
          </w:p>
          <w:p w14:paraId="3CA00C76">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4848F97F">
            <w:pPr>
              <w:spacing w:line="240" w:lineRule="exact"/>
              <w:jc w:val="center"/>
              <w:rPr>
                <w:sz w:val="21"/>
                <w:szCs w:val="21"/>
              </w:rPr>
            </w:pPr>
            <w:r>
              <w:rPr>
                <w:rFonts w:hint="eastAsia"/>
                <w:sz w:val="21"/>
                <w:szCs w:val="21"/>
              </w:rPr>
              <w:t>0</w:t>
            </w:r>
          </w:p>
          <w:p w14:paraId="4B4D3D13">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1C15595D">
            <w:pPr>
              <w:spacing w:line="240" w:lineRule="exact"/>
              <w:jc w:val="center"/>
              <w:rPr>
                <w:sz w:val="21"/>
                <w:szCs w:val="21"/>
              </w:rPr>
            </w:pPr>
            <w:r>
              <w:rPr>
                <w:rFonts w:hint="eastAsia"/>
                <w:sz w:val="21"/>
                <w:szCs w:val="21"/>
              </w:rPr>
              <w:t>0</w:t>
            </w:r>
          </w:p>
          <w:p w14:paraId="124890DF">
            <w:pPr>
              <w:spacing w:line="240" w:lineRule="exact"/>
              <w:jc w:val="center"/>
              <w:rPr>
                <w:sz w:val="21"/>
                <w:szCs w:val="21"/>
              </w:rPr>
            </w:pPr>
            <w:r>
              <w:rPr>
                <w:rFonts w:hint="eastAsia"/>
                <w:sz w:val="21"/>
                <w:szCs w:val="21"/>
              </w:rPr>
              <w:t>(0%)</w:t>
            </w:r>
          </w:p>
        </w:tc>
        <w:tc>
          <w:tcPr>
            <w:tcW w:w="886" w:type="dxa"/>
            <w:tcBorders>
              <w:tl2br w:val="nil"/>
              <w:tr2bl w:val="nil"/>
            </w:tcBorders>
            <w:shd w:val="clear" w:color="auto" w:fill="auto"/>
            <w:vAlign w:val="center"/>
          </w:tcPr>
          <w:p w14:paraId="66AA86D7">
            <w:pPr>
              <w:spacing w:line="240" w:lineRule="exact"/>
              <w:jc w:val="center"/>
              <w:rPr>
                <w:sz w:val="21"/>
                <w:szCs w:val="21"/>
              </w:rPr>
            </w:pPr>
            <w:r>
              <w:rPr>
                <w:rFonts w:hint="eastAsia"/>
                <w:sz w:val="21"/>
                <w:szCs w:val="21"/>
              </w:rPr>
              <w:t>0.40</w:t>
            </w:r>
          </w:p>
        </w:tc>
      </w:tr>
      <w:tr w14:paraId="70D7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31696C1F">
            <w:pPr>
              <w:spacing w:line="240" w:lineRule="exact"/>
              <w:jc w:val="center"/>
              <w:rPr>
                <w:sz w:val="21"/>
                <w:szCs w:val="21"/>
              </w:rPr>
            </w:pPr>
            <w:r>
              <w:rPr>
                <w:rFonts w:hint="eastAsia"/>
                <w:sz w:val="21"/>
                <w:szCs w:val="21"/>
              </w:rPr>
              <w:t>部门间信息交流便捷性</w:t>
            </w:r>
          </w:p>
        </w:tc>
        <w:tc>
          <w:tcPr>
            <w:tcW w:w="743" w:type="pct"/>
            <w:tcBorders>
              <w:tl2br w:val="nil"/>
              <w:tr2bl w:val="nil"/>
            </w:tcBorders>
            <w:shd w:val="clear" w:color="auto" w:fill="auto"/>
            <w:vAlign w:val="center"/>
          </w:tcPr>
          <w:p w14:paraId="119DDD68">
            <w:pPr>
              <w:spacing w:line="240" w:lineRule="exact"/>
              <w:jc w:val="center"/>
              <w:rPr>
                <w:sz w:val="21"/>
                <w:szCs w:val="21"/>
              </w:rPr>
            </w:pPr>
            <w:r>
              <w:rPr>
                <w:rFonts w:hint="eastAsia"/>
                <w:sz w:val="21"/>
                <w:szCs w:val="21"/>
              </w:rPr>
              <w:t>20</w:t>
            </w:r>
          </w:p>
          <w:p w14:paraId="1B2F885C">
            <w:pPr>
              <w:spacing w:line="240" w:lineRule="exact"/>
              <w:jc w:val="center"/>
              <w:rPr>
                <w:sz w:val="21"/>
                <w:szCs w:val="21"/>
              </w:rPr>
            </w:pPr>
            <w:r>
              <w:rPr>
                <w:rFonts w:hint="eastAsia"/>
                <w:sz w:val="21"/>
                <w:szCs w:val="21"/>
              </w:rPr>
              <w:t>(90.91%)</w:t>
            </w:r>
          </w:p>
        </w:tc>
        <w:tc>
          <w:tcPr>
            <w:tcW w:w="620" w:type="pct"/>
            <w:tcBorders>
              <w:tl2br w:val="nil"/>
              <w:tr2bl w:val="nil"/>
            </w:tcBorders>
            <w:shd w:val="clear" w:color="auto" w:fill="auto"/>
            <w:vAlign w:val="center"/>
          </w:tcPr>
          <w:p w14:paraId="2A63A0B4">
            <w:pPr>
              <w:spacing w:line="240" w:lineRule="exact"/>
              <w:jc w:val="center"/>
              <w:rPr>
                <w:sz w:val="21"/>
                <w:szCs w:val="21"/>
              </w:rPr>
            </w:pPr>
            <w:r>
              <w:rPr>
                <w:rFonts w:hint="eastAsia"/>
                <w:sz w:val="21"/>
                <w:szCs w:val="21"/>
              </w:rPr>
              <w:t>2</w:t>
            </w:r>
          </w:p>
          <w:p w14:paraId="259EA887">
            <w:pPr>
              <w:spacing w:line="240" w:lineRule="exact"/>
              <w:jc w:val="center"/>
              <w:rPr>
                <w:sz w:val="21"/>
                <w:szCs w:val="21"/>
              </w:rPr>
            </w:pPr>
            <w:r>
              <w:rPr>
                <w:rFonts w:hint="eastAsia"/>
                <w:sz w:val="21"/>
                <w:szCs w:val="21"/>
              </w:rPr>
              <w:t>(9.09%)</w:t>
            </w:r>
          </w:p>
        </w:tc>
        <w:tc>
          <w:tcPr>
            <w:tcW w:w="620" w:type="pct"/>
            <w:tcBorders>
              <w:tl2br w:val="nil"/>
              <w:tr2bl w:val="nil"/>
            </w:tcBorders>
            <w:shd w:val="clear" w:color="auto" w:fill="auto"/>
            <w:vAlign w:val="center"/>
          </w:tcPr>
          <w:p w14:paraId="2E52A7D4">
            <w:pPr>
              <w:spacing w:line="240" w:lineRule="exact"/>
              <w:jc w:val="center"/>
              <w:rPr>
                <w:sz w:val="21"/>
                <w:szCs w:val="21"/>
              </w:rPr>
            </w:pPr>
            <w:r>
              <w:rPr>
                <w:rFonts w:hint="eastAsia"/>
                <w:sz w:val="21"/>
                <w:szCs w:val="21"/>
              </w:rPr>
              <w:t>0</w:t>
            </w:r>
          </w:p>
          <w:p w14:paraId="222F5363">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06E1A9D9">
            <w:pPr>
              <w:spacing w:line="240" w:lineRule="exact"/>
              <w:jc w:val="center"/>
              <w:rPr>
                <w:sz w:val="21"/>
                <w:szCs w:val="21"/>
              </w:rPr>
            </w:pPr>
            <w:r>
              <w:rPr>
                <w:rFonts w:hint="eastAsia"/>
                <w:sz w:val="21"/>
                <w:szCs w:val="21"/>
              </w:rPr>
              <w:t>0</w:t>
            </w:r>
          </w:p>
          <w:p w14:paraId="340FFE89">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0EAC83BF">
            <w:pPr>
              <w:spacing w:line="240" w:lineRule="exact"/>
              <w:jc w:val="center"/>
              <w:rPr>
                <w:sz w:val="21"/>
                <w:szCs w:val="21"/>
              </w:rPr>
            </w:pPr>
            <w:r>
              <w:rPr>
                <w:rFonts w:hint="eastAsia"/>
                <w:sz w:val="21"/>
                <w:szCs w:val="21"/>
              </w:rPr>
              <w:t>0</w:t>
            </w:r>
          </w:p>
          <w:p w14:paraId="15830EDF">
            <w:pPr>
              <w:spacing w:line="240" w:lineRule="exact"/>
              <w:jc w:val="center"/>
              <w:rPr>
                <w:sz w:val="21"/>
                <w:szCs w:val="21"/>
              </w:rPr>
            </w:pPr>
            <w:r>
              <w:rPr>
                <w:rFonts w:hint="eastAsia"/>
                <w:sz w:val="21"/>
                <w:szCs w:val="21"/>
              </w:rPr>
              <w:t>(0%)</w:t>
            </w:r>
          </w:p>
        </w:tc>
        <w:tc>
          <w:tcPr>
            <w:tcW w:w="886" w:type="dxa"/>
            <w:tcBorders>
              <w:tl2br w:val="nil"/>
              <w:tr2bl w:val="nil"/>
            </w:tcBorders>
            <w:shd w:val="clear" w:color="auto" w:fill="auto"/>
            <w:vAlign w:val="center"/>
          </w:tcPr>
          <w:p w14:paraId="7C0E2623">
            <w:pPr>
              <w:spacing w:line="240" w:lineRule="exact"/>
              <w:jc w:val="center"/>
              <w:rPr>
                <w:sz w:val="21"/>
                <w:szCs w:val="21"/>
              </w:rPr>
            </w:pPr>
            <w:r>
              <w:rPr>
                <w:rFonts w:hint="eastAsia"/>
                <w:sz w:val="21"/>
                <w:szCs w:val="21"/>
              </w:rPr>
              <w:t>0.39</w:t>
            </w:r>
          </w:p>
        </w:tc>
      </w:tr>
      <w:tr w14:paraId="4650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18623F2C">
            <w:pPr>
              <w:spacing w:line="240" w:lineRule="exact"/>
              <w:jc w:val="center"/>
              <w:rPr>
                <w:sz w:val="21"/>
                <w:szCs w:val="21"/>
              </w:rPr>
            </w:pPr>
            <w:r>
              <w:rPr>
                <w:rFonts w:hint="eastAsia"/>
                <w:sz w:val="21"/>
                <w:szCs w:val="21"/>
              </w:rPr>
              <w:t>单位管理制度情况</w:t>
            </w:r>
          </w:p>
        </w:tc>
        <w:tc>
          <w:tcPr>
            <w:tcW w:w="743" w:type="pct"/>
            <w:tcBorders>
              <w:tl2br w:val="nil"/>
              <w:tr2bl w:val="nil"/>
            </w:tcBorders>
            <w:shd w:val="clear" w:color="auto" w:fill="auto"/>
            <w:vAlign w:val="center"/>
          </w:tcPr>
          <w:p w14:paraId="4FC2901A">
            <w:pPr>
              <w:spacing w:line="240" w:lineRule="exact"/>
              <w:jc w:val="center"/>
              <w:rPr>
                <w:sz w:val="21"/>
                <w:szCs w:val="21"/>
              </w:rPr>
            </w:pPr>
            <w:r>
              <w:rPr>
                <w:rFonts w:hint="eastAsia"/>
                <w:sz w:val="21"/>
                <w:szCs w:val="21"/>
              </w:rPr>
              <w:t>21</w:t>
            </w:r>
          </w:p>
          <w:p w14:paraId="22CC09F1">
            <w:pPr>
              <w:spacing w:line="240" w:lineRule="exact"/>
              <w:jc w:val="center"/>
              <w:rPr>
                <w:sz w:val="21"/>
                <w:szCs w:val="21"/>
              </w:rPr>
            </w:pPr>
            <w:r>
              <w:rPr>
                <w:rFonts w:hint="eastAsia"/>
                <w:sz w:val="21"/>
                <w:szCs w:val="21"/>
              </w:rPr>
              <w:t>(95.45%)</w:t>
            </w:r>
          </w:p>
        </w:tc>
        <w:tc>
          <w:tcPr>
            <w:tcW w:w="620" w:type="pct"/>
            <w:tcBorders>
              <w:tl2br w:val="nil"/>
              <w:tr2bl w:val="nil"/>
            </w:tcBorders>
            <w:shd w:val="clear" w:color="auto" w:fill="auto"/>
            <w:vAlign w:val="center"/>
          </w:tcPr>
          <w:p w14:paraId="14858AF0">
            <w:pPr>
              <w:spacing w:line="240" w:lineRule="exact"/>
              <w:jc w:val="center"/>
              <w:rPr>
                <w:sz w:val="21"/>
                <w:szCs w:val="21"/>
              </w:rPr>
            </w:pPr>
            <w:r>
              <w:rPr>
                <w:rFonts w:hint="eastAsia"/>
                <w:sz w:val="21"/>
                <w:szCs w:val="21"/>
              </w:rPr>
              <w:t>1</w:t>
            </w:r>
          </w:p>
          <w:p w14:paraId="13009C60">
            <w:pPr>
              <w:spacing w:line="240" w:lineRule="exact"/>
              <w:jc w:val="center"/>
              <w:rPr>
                <w:sz w:val="21"/>
                <w:szCs w:val="21"/>
              </w:rPr>
            </w:pPr>
            <w:r>
              <w:rPr>
                <w:rFonts w:hint="eastAsia"/>
                <w:sz w:val="21"/>
                <w:szCs w:val="21"/>
              </w:rPr>
              <w:t>(4.55%)</w:t>
            </w:r>
          </w:p>
        </w:tc>
        <w:tc>
          <w:tcPr>
            <w:tcW w:w="620" w:type="pct"/>
            <w:tcBorders>
              <w:tl2br w:val="nil"/>
              <w:tr2bl w:val="nil"/>
            </w:tcBorders>
            <w:shd w:val="clear" w:color="auto" w:fill="auto"/>
            <w:vAlign w:val="center"/>
          </w:tcPr>
          <w:p w14:paraId="604E39B3">
            <w:pPr>
              <w:spacing w:line="240" w:lineRule="exact"/>
              <w:jc w:val="center"/>
              <w:rPr>
                <w:sz w:val="21"/>
                <w:szCs w:val="21"/>
              </w:rPr>
            </w:pPr>
            <w:r>
              <w:rPr>
                <w:rFonts w:hint="eastAsia"/>
                <w:sz w:val="21"/>
                <w:szCs w:val="21"/>
              </w:rPr>
              <w:t>0</w:t>
            </w:r>
          </w:p>
          <w:p w14:paraId="72F79D6D">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106FB2AD">
            <w:pPr>
              <w:spacing w:line="240" w:lineRule="exact"/>
              <w:jc w:val="center"/>
              <w:rPr>
                <w:sz w:val="21"/>
                <w:szCs w:val="21"/>
              </w:rPr>
            </w:pPr>
            <w:r>
              <w:rPr>
                <w:rFonts w:hint="eastAsia"/>
                <w:sz w:val="21"/>
                <w:szCs w:val="21"/>
              </w:rPr>
              <w:t>0</w:t>
            </w:r>
          </w:p>
          <w:p w14:paraId="58C3F3BF">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4B6D49C5">
            <w:pPr>
              <w:spacing w:line="240" w:lineRule="exact"/>
              <w:jc w:val="center"/>
              <w:rPr>
                <w:sz w:val="21"/>
                <w:szCs w:val="21"/>
              </w:rPr>
            </w:pPr>
            <w:r>
              <w:rPr>
                <w:rFonts w:hint="eastAsia"/>
                <w:sz w:val="21"/>
                <w:szCs w:val="21"/>
              </w:rPr>
              <w:t>0</w:t>
            </w:r>
          </w:p>
          <w:p w14:paraId="2584927E">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32A27732">
            <w:pPr>
              <w:spacing w:line="240" w:lineRule="exact"/>
              <w:jc w:val="center"/>
              <w:rPr>
                <w:sz w:val="21"/>
                <w:szCs w:val="21"/>
              </w:rPr>
            </w:pPr>
            <w:r>
              <w:rPr>
                <w:rFonts w:hint="eastAsia"/>
                <w:sz w:val="21"/>
                <w:szCs w:val="21"/>
              </w:rPr>
              <w:t>0.40</w:t>
            </w:r>
          </w:p>
        </w:tc>
      </w:tr>
      <w:tr w14:paraId="4576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7D62A23F">
            <w:pPr>
              <w:spacing w:line="240" w:lineRule="exact"/>
              <w:jc w:val="center"/>
              <w:rPr>
                <w:sz w:val="21"/>
                <w:szCs w:val="21"/>
              </w:rPr>
            </w:pPr>
            <w:r>
              <w:rPr>
                <w:rFonts w:hint="eastAsia"/>
                <w:sz w:val="21"/>
                <w:szCs w:val="21"/>
              </w:rPr>
              <w:t>单位制度执行情况</w:t>
            </w:r>
          </w:p>
        </w:tc>
        <w:tc>
          <w:tcPr>
            <w:tcW w:w="743" w:type="pct"/>
            <w:tcBorders>
              <w:tl2br w:val="nil"/>
              <w:tr2bl w:val="nil"/>
            </w:tcBorders>
            <w:shd w:val="clear" w:color="auto" w:fill="auto"/>
            <w:vAlign w:val="center"/>
          </w:tcPr>
          <w:p w14:paraId="4249C3FE">
            <w:pPr>
              <w:spacing w:line="240" w:lineRule="exact"/>
              <w:jc w:val="center"/>
              <w:rPr>
                <w:sz w:val="21"/>
                <w:szCs w:val="21"/>
              </w:rPr>
            </w:pPr>
            <w:r>
              <w:rPr>
                <w:rFonts w:hint="eastAsia"/>
                <w:sz w:val="21"/>
                <w:szCs w:val="21"/>
              </w:rPr>
              <w:t>22</w:t>
            </w:r>
          </w:p>
          <w:p w14:paraId="58B966D8">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4AB8DCB0">
            <w:pPr>
              <w:spacing w:line="240" w:lineRule="exact"/>
              <w:jc w:val="center"/>
              <w:rPr>
                <w:sz w:val="21"/>
                <w:szCs w:val="21"/>
              </w:rPr>
            </w:pPr>
            <w:r>
              <w:rPr>
                <w:rFonts w:hint="eastAsia"/>
                <w:sz w:val="21"/>
                <w:szCs w:val="21"/>
              </w:rPr>
              <w:t>0</w:t>
            </w:r>
          </w:p>
          <w:p w14:paraId="77AB0CC9">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10670DAE">
            <w:pPr>
              <w:spacing w:line="240" w:lineRule="exact"/>
              <w:jc w:val="center"/>
              <w:rPr>
                <w:sz w:val="21"/>
                <w:szCs w:val="21"/>
              </w:rPr>
            </w:pPr>
            <w:r>
              <w:rPr>
                <w:rFonts w:hint="eastAsia"/>
                <w:sz w:val="21"/>
                <w:szCs w:val="21"/>
              </w:rPr>
              <w:t>0</w:t>
            </w:r>
          </w:p>
          <w:p w14:paraId="410A3352">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68BE93EC">
            <w:pPr>
              <w:spacing w:line="240" w:lineRule="exact"/>
              <w:jc w:val="center"/>
              <w:rPr>
                <w:sz w:val="21"/>
                <w:szCs w:val="21"/>
              </w:rPr>
            </w:pPr>
            <w:r>
              <w:rPr>
                <w:rFonts w:hint="eastAsia"/>
                <w:sz w:val="21"/>
                <w:szCs w:val="21"/>
              </w:rPr>
              <w:t>0</w:t>
            </w:r>
          </w:p>
          <w:p w14:paraId="3E522229">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777A382A">
            <w:pPr>
              <w:spacing w:line="240" w:lineRule="exact"/>
              <w:jc w:val="center"/>
              <w:rPr>
                <w:sz w:val="21"/>
                <w:szCs w:val="21"/>
              </w:rPr>
            </w:pPr>
            <w:r>
              <w:rPr>
                <w:rFonts w:hint="eastAsia"/>
                <w:sz w:val="21"/>
                <w:szCs w:val="21"/>
              </w:rPr>
              <w:t>0</w:t>
            </w:r>
          </w:p>
          <w:p w14:paraId="2FF19AA3">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687F91FE">
            <w:pPr>
              <w:spacing w:line="240" w:lineRule="exact"/>
              <w:jc w:val="center"/>
              <w:rPr>
                <w:sz w:val="21"/>
                <w:szCs w:val="21"/>
              </w:rPr>
            </w:pPr>
            <w:r>
              <w:rPr>
                <w:rFonts w:hint="eastAsia"/>
                <w:sz w:val="21"/>
                <w:szCs w:val="21"/>
              </w:rPr>
              <w:t>0.40</w:t>
            </w:r>
          </w:p>
        </w:tc>
      </w:tr>
      <w:tr w14:paraId="1F3E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7E37DDF6">
            <w:pPr>
              <w:spacing w:line="240" w:lineRule="exact"/>
              <w:jc w:val="center"/>
              <w:rPr>
                <w:sz w:val="21"/>
                <w:szCs w:val="21"/>
              </w:rPr>
            </w:pPr>
            <w:r>
              <w:rPr>
                <w:rFonts w:hint="eastAsia"/>
                <w:sz w:val="21"/>
                <w:szCs w:val="21"/>
              </w:rPr>
              <w:t>单位领导管理水平</w:t>
            </w:r>
          </w:p>
        </w:tc>
        <w:tc>
          <w:tcPr>
            <w:tcW w:w="743" w:type="pct"/>
            <w:tcBorders>
              <w:tl2br w:val="nil"/>
              <w:tr2bl w:val="nil"/>
            </w:tcBorders>
            <w:shd w:val="clear" w:color="auto" w:fill="auto"/>
            <w:vAlign w:val="center"/>
          </w:tcPr>
          <w:p w14:paraId="32B967FC">
            <w:pPr>
              <w:spacing w:line="240" w:lineRule="exact"/>
              <w:jc w:val="center"/>
              <w:rPr>
                <w:sz w:val="21"/>
                <w:szCs w:val="21"/>
              </w:rPr>
            </w:pPr>
            <w:r>
              <w:rPr>
                <w:rFonts w:hint="eastAsia"/>
                <w:sz w:val="21"/>
                <w:szCs w:val="21"/>
              </w:rPr>
              <w:t>22</w:t>
            </w:r>
          </w:p>
          <w:p w14:paraId="22C37000">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6C853CBF">
            <w:pPr>
              <w:spacing w:line="240" w:lineRule="exact"/>
              <w:jc w:val="center"/>
              <w:rPr>
                <w:sz w:val="21"/>
                <w:szCs w:val="21"/>
              </w:rPr>
            </w:pPr>
            <w:r>
              <w:rPr>
                <w:rFonts w:hint="eastAsia"/>
                <w:sz w:val="21"/>
                <w:szCs w:val="21"/>
              </w:rPr>
              <w:t>0</w:t>
            </w:r>
          </w:p>
          <w:p w14:paraId="7EE39157">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75BAC603">
            <w:pPr>
              <w:spacing w:line="240" w:lineRule="exact"/>
              <w:jc w:val="center"/>
              <w:rPr>
                <w:sz w:val="21"/>
                <w:szCs w:val="21"/>
              </w:rPr>
            </w:pPr>
            <w:r>
              <w:rPr>
                <w:rFonts w:hint="eastAsia"/>
                <w:sz w:val="21"/>
                <w:szCs w:val="21"/>
              </w:rPr>
              <w:t>0</w:t>
            </w:r>
          </w:p>
          <w:p w14:paraId="68D53A97">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0AC3B200">
            <w:pPr>
              <w:spacing w:line="240" w:lineRule="exact"/>
              <w:jc w:val="center"/>
              <w:rPr>
                <w:sz w:val="21"/>
                <w:szCs w:val="21"/>
              </w:rPr>
            </w:pPr>
            <w:r>
              <w:rPr>
                <w:rFonts w:hint="eastAsia"/>
                <w:sz w:val="21"/>
                <w:szCs w:val="21"/>
              </w:rPr>
              <w:t>0</w:t>
            </w:r>
          </w:p>
          <w:p w14:paraId="5ABB3E67">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0A41FC94">
            <w:pPr>
              <w:spacing w:line="240" w:lineRule="exact"/>
              <w:jc w:val="center"/>
              <w:rPr>
                <w:sz w:val="21"/>
                <w:szCs w:val="21"/>
              </w:rPr>
            </w:pPr>
            <w:r>
              <w:rPr>
                <w:rFonts w:hint="eastAsia"/>
                <w:sz w:val="21"/>
                <w:szCs w:val="21"/>
              </w:rPr>
              <w:t>0</w:t>
            </w:r>
          </w:p>
          <w:p w14:paraId="6F3A051A">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3934F5F9">
            <w:pPr>
              <w:spacing w:line="240" w:lineRule="exact"/>
              <w:jc w:val="center"/>
              <w:rPr>
                <w:sz w:val="21"/>
                <w:szCs w:val="21"/>
              </w:rPr>
            </w:pPr>
            <w:r>
              <w:rPr>
                <w:rFonts w:hint="eastAsia"/>
                <w:sz w:val="21"/>
                <w:szCs w:val="21"/>
              </w:rPr>
              <w:t>0.40</w:t>
            </w:r>
          </w:p>
        </w:tc>
      </w:tr>
      <w:tr w14:paraId="70E0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51130B52">
            <w:pPr>
              <w:spacing w:line="240" w:lineRule="exact"/>
              <w:jc w:val="center"/>
              <w:rPr>
                <w:sz w:val="21"/>
                <w:szCs w:val="21"/>
              </w:rPr>
            </w:pPr>
            <w:r>
              <w:rPr>
                <w:rFonts w:hint="eastAsia"/>
                <w:sz w:val="21"/>
                <w:szCs w:val="21"/>
              </w:rPr>
              <w:t>所在部门职责履行情况</w:t>
            </w:r>
          </w:p>
        </w:tc>
        <w:tc>
          <w:tcPr>
            <w:tcW w:w="743" w:type="pct"/>
            <w:tcBorders>
              <w:tl2br w:val="nil"/>
              <w:tr2bl w:val="nil"/>
            </w:tcBorders>
            <w:shd w:val="clear" w:color="auto" w:fill="auto"/>
            <w:vAlign w:val="center"/>
          </w:tcPr>
          <w:p w14:paraId="60E01968">
            <w:pPr>
              <w:spacing w:line="240" w:lineRule="exact"/>
              <w:jc w:val="center"/>
              <w:rPr>
                <w:sz w:val="21"/>
                <w:szCs w:val="21"/>
              </w:rPr>
            </w:pPr>
            <w:r>
              <w:rPr>
                <w:rFonts w:hint="eastAsia"/>
                <w:sz w:val="21"/>
                <w:szCs w:val="21"/>
              </w:rPr>
              <w:t>22</w:t>
            </w:r>
          </w:p>
          <w:p w14:paraId="4E9B2416">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7E8361EE">
            <w:pPr>
              <w:spacing w:line="240" w:lineRule="exact"/>
              <w:jc w:val="center"/>
              <w:rPr>
                <w:sz w:val="21"/>
                <w:szCs w:val="21"/>
              </w:rPr>
            </w:pPr>
            <w:r>
              <w:rPr>
                <w:rFonts w:hint="eastAsia"/>
                <w:sz w:val="21"/>
                <w:szCs w:val="21"/>
              </w:rPr>
              <w:t>0</w:t>
            </w:r>
          </w:p>
          <w:p w14:paraId="1DA87F1B">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57307E07">
            <w:pPr>
              <w:spacing w:line="240" w:lineRule="exact"/>
              <w:jc w:val="center"/>
              <w:rPr>
                <w:sz w:val="21"/>
                <w:szCs w:val="21"/>
              </w:rPr>
            </w:pPr>
            <w:r>
              <w:rPr>
                <w:rFonts w:hint="eastAsia"/>
                <w:sz w:val="21"/>
                <w:szCs w:val="21"/>
              </w:rPr>
              <w:t>0</w:t>
            </w:r>
          </w:p>
          <w:p w14:paraId="428CB69B">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7A5911D1">
            <w:pPr>
              <w:spacing w:line="240" w:lineRule="exact"/>
              <w:jc w:val="center"/>
              <w:rPr>
                <w:sz w:val="21"/>
                <w:szCs w:val="21"/>
              </w:rPr>
            </w:pPr>
            <w:r>
              <w:rPr>
                <w:rFonts w:hint="eastAsia"/>
                <w:sz w:val="21"/>
                <w:szCs w:val="21"/>
              </w:rPr>
              <w:t>0</w:t>
            </w:r>
          </w:p>
          <w:p w14:paraId="1C5CA83A">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4872AA87">
            <w:pPr>
              <w:spacing w:line="240" w:lineRule="exact"/>
              <w:jc w:val="center"/>
              <w:rPr>
                <w:sz w:val="21"/>
                <w:szCs w:val="21"/>
              </w:rPr>
            </w:pPr>
            <w:r>
              <w:rPr>
                <w:rFonts w:hint="eastAsia"/>
                <w:sz w:val="21"/>
                <w:szCs w:val="21"/>
              </w:rPr>
              <w:t>0</w:t>
            </w:r>
          </w:p>
          <w:p w14:paraId="66EDC33C">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4FA4F36E">
            <w:pPr>
              <w:spacing w:line="240" w:lineRule="exact"/>
              <w:jc w:val="center"/>
              <w:rPr>
                <w:sz w:val="21"/>
                <w:szCs w:val="21"/>
              </w:rPr>
            </w:pPr>
            <w:r>
              <w:rPr>
                <w:rFonts w:hint="eastAsia"/>
                <w:sz w:val="21"/>
                <w:szCs w:val="21"/>
              </w:rPr>
              <w:t>0.40</w:t>
            </w:r>
          </w:p>
        </w:tc>
      </w:tr>
      <w:tr w14:paraId="46C5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6" w:type="pct"/>
            <w:tcBorders>
              <w:tl2br w:val="nil"/>
              <w:tr2bl w:val="nil"/>
            </w:tcBorders>
            <w:shd w:val="clear" w:color="auto" w:fill="auto"/>
            <w:vAlign w:val="center"/>
          </w:tcPr>
          <w:p w14:paraId="002128CF">
            <w:pPr>
              <w:spacing w:line="240" w:lineRule="exact"/>
              <w:jc w:val="center"/>
              <w:rPr>
                <w:sz w:val="21"/>
                <w:szCs w:val="21"/>
              </w:rPr>
            </w:pPr>
            <w:r>
              <w:rPr>
                <w:rFonts w:hint="eastAsia"/>
                <w:sz w:val="21"/>
                <w:szCs w:val="21"/>
              </w:rPr>
              <w:t>所在部门2022年工作成效</w:t>
            </w:r>
          </w:p>
        </w:tc>
        <w:tc>
          <w:tcPr>
            <w:tcW w:w="743" w:type="pct"/>
            <w:tcBorders>
              <w:tl2br w:val="nil"/>
              <w:tr2bl w:val="nil"/>
            </w:tcBorders>
            <w:shd w:val="clear" w:color="auto" w:fill="auto"/>
            <w:vAlign w:val="center"/>
          </w:tcPr>
          <w:p w14:paraId="29D97CAC">
            <w:pPr>
              <w:spacing w:line="240" w:lineRule="exact"/>
              <w:jc w:val="center"/>
              <w:rPr>
                <w:sz w:val="21"/>
                <w:szCs w:val="21"/>
              </w:rPr>
            </w:pPr>
            <w:r>
              <w:rPr>
                <w:rFonts w:hint="eastAsia"/>
                <w:sz w:val="21"/>
                <w:szCs w:val="21"/>
              </w:rPr>
              <w:t>22</w:t>
            </w:r>
          </w:p>
          <w:p w14:paraId="5274900A">
            <w:pPr>
              <w:spacing w:line="240" w:lineRule="exact"/>
              <w:jc w:val="center"/>
              <w:rPr>
                <w:sz w:val="21"/>
                <w:szCs w:val="21"/>
              </w:rPr>
            </w:pPr>
            <w:r>
              <w:rPr>
                <w:rFonts w:hint="eastAsia"/>
                <w:sz w:val="21"/>
                <w:szCs w:val="21"/>
              </w:rPr>
              <w:t>(100%)</w:t>
            </w:r>
          </w:p>
        </w:tc>
        <w:tc>
          <w:tcPr>
            <w:tcW w:w="620" w:type="pct"/>
            <w:tcBorders>
              <w:tl2br w:val="nil"/>
              <w:tr2bl w:val="nil"/>
            </w:tcBorders>
            <w:shd w:val="clear" w:color="auto" w:fill="auto"/>
            <w:vAlign w:val="center"/>
          </w:tcPr>
          <w:p w14:paraId="535FED83">
            <w:pPr>
              <w:spacing w:line="240" w:lineRule="exact"/>
              <w:jc w:val="center"/>
              <w:rPr>
                <w:sz w:val="21"/>
                <w:szCs w:val="21"/>
              </w:rPr>
            </w:pPr>
            <w:r>
              <w:rPr>
                <w:rFonts w:hint="eastAsia"/>
                <w:sz w:val="21"/>
                <w:szCs w:val="21"/>
              </w:rPr>
              <w:t>0</w:t>
            </w:r>
          </w:p>
          <w:p w14:paraId="3AA392A2">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3DEDB9BF">
            <w:pPr>
              <w:spacing w:line="240" w:lineRule="exact"/>
              <w:jc w:val="center"/>
              <w:rPr>
                <w:sz w:val="21"/>
                <w:szCs w:val="21"/>
              </w:rPr>
            </w:pPr>
            <w:r>
              <w:rPr>
                <w:rFonts w:hint="eastAsia"/>
                <w:sz w:val="21"/>
                <w:szCs w:val="21"/>
              </w:rPr>
              <w:t>0</w:t>
            </w:r>
          </w:p>
          <w:p w14:paraId="0ACD4281">
            <w:pPr>
              <w:spacing w:line="240" w:lineRule="exact"/>
              <w:jc w:val="center"/>
              <w:rPr>
                <w:sz w:val="21"/>
                <w:szCs w:val="21"/>
              </w:rPr>
            </w:pPr>
            <w:r>
              <w:rPr>
                <w:rFonts w:hint="eastAsia"/>
                <w:sz w:val="21"/>
                <w:szCs w:val="21"/>
              </w:rPr>
              <w:t>(0%)</w:t>
            </w:r>
          </w:p>
        </w:tc>
        <w:tc>
          <w:tcPr>
            <w:tcW w:w="529" w:type="pct"/>
            <w:tcBorders>
              <w:tl2br w:val="nil"/>
              <w:tr2bl w:val="nil"/>
            </w:tcBorders>
            <w:shd w:val="clear" w:color="auto" w:fill="auto"/>
            <w:vAlign w:val="center"/>
          </w:tcPr>
          <w:p w14:paraId="0A9C40A3">
            <w:pPr>
              <w:spacing w:line="240" w:lineRule="exact"/>
              <w:jc w:val="center"/>
              <w:rPr>
                <w:sz w:val="21"/>
                <w:szCs w:val="21"/>
              </w:rPr>
            </w:pPr>
            <w:r>
              <w:rPr>
                <w:rFonts w:hint="eastAsia"/>
                <w:sz w:val="21"/>
                <w:szCs w:val="21"/>
              </w:rPr>
              <w:t>0</w:t>
            </w:r>
          </w:p>
          <w:p w14:paraId="6DA56FB0">
            <w:pPr>
              <w:spacing w:line="240" w:lineRule="exact"/>
              <w:jc w:val="center"/>
              <w:rPr>
                <w:sz w:val="21"/>
                <w:szCs w:val="21"/>
              </w:rPr>
            </w:pPr>
            <w:r>
              <w:rPr>
                <w:rFonts w:hint="eastAsia"/>
                <w:sz w:val="21"/>
                <w:szCs w:val="21"/>
              </w:rPr>
              <w:t>(0%)</w:t>
            </w:r>
          </w:p>
        </w:tc>
        <w:tc>
          <w:tcPr>
            <w:tcW w:w="620" w:type="pct"/>
            <w:tcBorders>
              <w:tl2br w:val="nil"/>
              <w:tr2bl w:val="nil"/>
            </w:tcBorders>
            <w:shd w:val="clear" w:color="auto" w:fill="auto"/>
            <w:vAlign w:val="center"/>
          </w:tcPr>
          <w:p w14:paraId="43F64F8B">
            <w:pPr>
              <w:spacing w:line="240" w:lineRule="exact"/>
              <w:jc w:val="center"/>
              <w:rPr>
                <w:sz w:val="21"/>
                <w:szCs w:val="21"/>
              </w:rPr>
            </w:pPr>
            <w:r>
              <w:rPr>
                <w:rFonts w:hint="eastAsia"/>
                <w:sz w:val="21"/>
                <w:szCs w:val="21"/>
              </w:rPr>
              <w:t>0</w:t>
            </w:r>
          </w:p>
          <w:p w14:paraId="78D2816E">
            <w:pPr>
              <w:spacing w:line="240" w:lineRule="exact"/>
              <w:jc w:val="center"/>
              <w:rPr>
                <w:sz w:val="21"/>
                <w:szCs w:val="21"/>
              </w:rPr>
            </w:pPr>
            <w:r>
              <w:rPr>
                <w:rFonts w:hint="eastAsia"/>
                <w:sz w:val="21"/>
                <w:szCs w:val="21"/>
              </w:rPr>
              <w:t>(0%)</w:t>
            </w:r>
          </w:p>
        </w:tc>
        <w:tc>
          <w:tcPr>
            <w:tcW w:w="520" w:type="pct"/>
            <w:tcBorders>
              <w:tl2br w:val="nil"/>
              <w:tr2bl w:val="nil"/>
            </w:tcBorders>
            <w:shd w:val="clear" w:color="auto" w:fill="auto"/>
            <w:vAlign w:val="center"/>
          </w:tcPr>
          <w:p w14:paraId="1641BBB9">
            <w:pPr>
              <w:spacing w:line="240" w:lineRule="exact"/>
              <w:jc w:val="center"/>
              <w:rPr>
                <w:sz w:val="21"/>
                <w:szCs w:val="21"/>
              </w:rPr>
            </w:pPr>
            <w:r>
              <w:rPr>
                <w:rFonts w:hint="eastAsia"/>
                <w:sz w:val="21"/>
                <w:szCs w:val="21"/>
              </w:rPr>
              <w:t>0.40</w:t>
            </w:r>
          </w:p>
        </w:tc>
      </w:tr>
      <w:tr w14:paraId="197E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9" w:type="pct"/>
            <w:gridSpan w:val="6"/>
            <w:tcBorders>
              <w:tl2br w:val="nil"/>
              <w:tr2bl w:val="nil"/>
            </w:tcBorders>
            <w:shd w:val="clear" w:color="auto" w:fill="auto"/>
            <w:vAlign w:val="center"/>
          </w:tcPr>
          <w:p w14:paraId="61FA9C05">
            <w:pPr>
              <w:spacing w:line="240" w:lineRule="exact"/>
              <w:jc w:val="center"/>
              <w:rPr>
                <w:sz w:val="21"/>
                <w:szCs w:val="21"/>
              </w:rPr>
            </w:pPr>
            <w:r>
              <w:rPr>
                <w:rFonts w:hint="eastAsia"/>
                <w:sz w:val="21"/>
                <w:szCs w:val="21"/>
              </w:rPr>
              <w:t>合 计</w:t>
            </w:r>
          </w:p>
        </w:tc>
        <w:tc>
          <w:tcPr>
            <w:tcW w:w="520" w:type="pct"/>
            <w:tcBorders>
              <w:tl2br w:val="nil"/>
              <w:tr2bl w:val="nil"/>
            </w:tcBorders>
            <w:shd w:val="clear" w:color="auto" w:fill="auto"/>
            <w:vAlign w:val="center"/>
          </w:tcPr>
          <w:p w14:paraId="06CDD81A">
            <w:pPr>
              <w:spacing w:line="240" w:lineRule="exact"/>
              <w:jc w:val="center"/>
              <w:rPr>
                <w:sz w:val="21"/>
                <w:szCs w:val="21"/>
              </w:rPr>
            </w:pPr>
            <w:r>
              <w:rPr>
                <w:rFonts w:hint="eastAsia"/>
                <w:sz w:val="21"/>
                <w:szCs w:val="21"/>
              </w:rPr>
              <w:t>3.95</w:t>
            </w:r>
          </w:p>
        </w:tc>
      </w:tr>
    </w:tbl>
    <w:p w14:paraId="07460ADA">
      <w:pPr>
        <w:pStyle w:val="8"/>
        <w:snapToGrid/>
        <w:spacing w:line="600" w:lineRule="atLeast"/>
        <w:ind w:firstLine="560"/>
        <w:rPr>
          <w:rFonts w:ascii="仿宋" w:hAnsi="仿宋"/>
        </w:rPr>
      </w:pPr>
      <w:r>
        <w:rPr>
          <w:rFonts w:hint="eastAsia" w:ascii="仿宋" w:hAnsi="仿宋"/>
        </w:rPr>
        <w:t>根据调查结果计算，该指标分值</w:t>
      </w:r>
      <w:r>
        <w:rPr>
          <w:rFonts w:hint="eastAsia" w:ascii="仿宋"/>
        </w:rPr>
        <w:t>4</w:t>
      </w:r>
      <w:r>
        <w:rPr>
          <w:rFonts w:hint="eastAsia" w:ascii="仿宋" w:hAnsi="仿宋"/>
        </w:rPr>
        <w:t>分，得分</w:t>
      </w:r>
      <w:r>
        <w:rPr>
          <w:rFonts w:hint="eastAsia" w:ascii="仿宋"/>
        </w:rPr>
        <w:t>3.95</w:t>
      </w:r>
      <w:r>
        <w:rPr>
          <w:rFonts w:hint="eastAsia" w:ascii="仿宋" w:hAnsi="仿宋"/>
        </w:rPr>
        <w:t>分。</w:t>
      </w:r>
    </w:p>
    <w:bookmarkEnd w:id="286"/>
    <w:bookmarkEnd w:id="287"/>
    <w:bookmarkEnd w:id="288"/>
    <w:bookmarkEnd w:id="381"/>
    <w:bookmarkEnd w:id="382"/>
    <w:p w14:paraId="69755EEB">
      <w:pPr>
        <w:pStyle w:val="2"/>
        <w:ind w:firstLine="562"/>
      </w:pPr>
      <w:bookmarkStart w:id="387" w:name="_Toc459"/>
      <w:bookmarkStart w:id="388" w:name="_Toc29890"/>
      <w:bookmarkStart w:id="389" w:name="_Toc7109"/>
      <w:bookmarkStart w:id="390" w:name="_Toc180503514"/>
      <w:bookmarkStart w:id="391" w:name="_Toc180138889"/>
      <w:bookmarkStart w:id="392" w:name="_Toc21971"/>
      <w:r>
        <w:rPr>
          <w:rFonts w:hint="eastAsia"/>
        </w:rPr>
        <w:t>五、</w:t>
      </w:r>
      <w:bookmarkEnd w:id="387"/>
      <w:bookmarkEnd w:id="388"/>
      <w:bookmarkEnd w:id="389"/>
      <w:bookmarkStart w:id="393" w:name="_Toc8787"/>
      <w:bookmarkStart w:id="394" w:name="_Toc5329"/>
      <w:bookmarkStart w:id="395" w:name="_Toc23229_WPSOffice_Level1"/>
      <w:bookmarkStart w:id="396" w:name="_Toc8365_WPSOffice_Level1"/>
      <w:bookmarkStart w:id="397" w:name="_Toc28605_WPSOffice_Level1"/>
      <w:bookmarkStart w:id="398" w:name="_Toc3273"/>
      <w:bookmarkStart w:id="399" w:name="_Toc13806"/>
      <w:bookmarkStart w:id="400" w:name="_Toc8402"/>
      <w:bookmarkStart w:id="401" w:name="_Toc13555"/>
      <w:bookmarkStart w:id="402" w:name="_Toc6221"/>
      <w:bookmarkStart w:id="403" w:name="_Toc23353"/>
      <w:bookmarkStart w:id="404" w:name="_Toc4972_WPSOffice_Level1"/>
      <w:bookmarkStart w:id="405" w:name="_Toc29279_WPSOffice_Level1"/>
      <w:r>
        <w:rPr>
          <w:rFonts w:hint="eastAsia"/>
        </w:rPr>
        <w:t>主要经验和做法</w:t>
      </w:r>
      <w:bookmarkEnd w:id="390"/>
      <w:bookmarkEnd w:id="391"/>
    </w:p>
    <w:p w14:paraId="11939544">
      <w:pPr>
        <w:pStyle w:val="8"/>
        <w:snapToGrid/>
        <w:ind w:firstLine="560"/>
        <w:rPr>
          <w:rFonts w:ascii="仿宋" w:hAnsi="仿宋"/>
        </w:rPr>
      </w:pPr>
      <w:r>
        <w:rPr>
          <w:rFonts w:hint="eastAsia" w:ascii="仿宋" w:hAnsi="仿宋"/>
        </w:rPr>
        <w:t>重大活动形式创新。全民阅读活动持续推进。创新打造了“书香永济·青苗成长计划”和“我爱诗词”两个全新品牌栏目，启动“共读一本书”读书分享活动目前三个栏目共开展70期，开展25次流动图书车服务、建设19个馆外流通图书馆和采购历史文献工作；开展“红娘牵秦晋 醉梦西厢情”第25届爱情文化节活动，包括内容发布仪式、爱情文化节开幕式、秦晋之好红歌会和红娘文化交流研讨会等四个阶段，通过举办爱情文化节，传承了西厢文化、红娘文化，塑造了永济市爱情圣地的旅游品牌，提升了永济市知名度。</w:t>
      </w:r>
    </w:p>
    <w:p w14:paraId="13C061E0">
      <w:pPr>
        <w:pStyle w:val="2"/>
        <w:ind w:firstLine="562"/>
      </w:pPr>
      <w:bookmarkStart w:id="406" w:name="_Toc180503515"/>
      <w:bookmarkStart w:id="407" w:name="_Toc180138890"/>
      <w:r>
        <w:rPr>
          <w:rFonts w:hint="eastAsia"/>
        </w:rPr>
        <w:t>六、存在的主要问题</w:t>
      </w:r>
      <w:bookmarkEnd w:id="392"/>
      <w:bookmarkEnd w:id="406"/>
      <w:bookmarkEnd w:id="407"/>
    </w:p>
    <w:bookmarkEnd w:id="393"/>
    <w:bookmarkEnd w:id="394"/>
    <w:bookmarkEnd w:id="395"/>
    <w:bookmarkEnd w:id="396"/>
    <w:bookmarkEnd w:id="397"/>
    <w:bookmarkEnd w:id="398"/>
    <w:bookmarkEnd w:id="399"/>
    <w:bookmarkEnd w:id="400"/>
    <w:bookmarkEnd w:id="401"/>
    <w:bookmarkEnd w:id="402"/>
    <w:bookmarkEnd w:id="403"/>
    <w:bookmarkEnd w:id="404"/>
    <w:bookmarkEnd w:id="405"/>
    <w:p w14:paraId="5446C9D4">
      <w:pPr>
        <w:widowControl w:val="0"/>
        <w:spacing w:line="600" w:lineRule="exact"/>
        <w:ind w:firstLine="562" w:firstLineChars="200"/>
        <w:outlineLvl w:val="5"/>
        <w:rPr>
          <w:rFonts w:hAnsiTheme="minorHAnsi"/>
          <w:b/>
        </w:rPr>
      </w:pPr>
      <w:bookmarkStart w:id="408" w:name="_Toc30575"/>
      <w:bookmarkStart w:id="409" w:name="_Toc7863"/>
      <w:bookmarkStart w:id="410" w:name="_Toc24477"/>
      <w:bookmarkStart w:id="411" w:name="_Toc20518"/>
      <w:bookmarkStart w:id="412" w:name="_Toc7615"/>
      <w:bookmarkStart w:id="413" w:name="_Toc28289"/>
      <w:bookmarkStart w:id="414" w:name="_Toc26203"/>
      <w:r>
        <w:rPr>
          <w:rFonts w:hint="eastAsia" w:hAnsiTheme="minorHAnsi"/>
          <w:b/>
        </w:rPr>
        <w:t>（一）实有资金户取得的收入未及时上缴财政</w:t>
      </w:r>
    </w:p>
    <w:p w14:paraId="7343057F">
      <w:pPr>
        <w:widowControl w:val="0"/>
        <w:spacing w:line="600" w:lineRule="exact"/>
        <w:ind w:firstLine="560" w:firstLineChars="200"/>
        <w:rPr>
          <w:rFonts w:hAnsiTheme="minorHAnsi"/>
          <w:bCs/>
        </w:rPr>
      </w:pPr>
      <w:r>
        <w:rPr>
          <w:rFonts w:hint="eastAsia" w:hAnsiTheme="minorHAnsi"/>
          <w:bCs/>
        </w:rPr>
        <w:t>文保中心2023年收扁鹊庙管理费7,000.00元，2023年末及时上交国库，仍在“应缴国库”挂账，违反了《行政单位财务规则》第七章负债管理“行政单位取得罚没收入、行政事业性收费收入、政府性基金收入、国有资源（资产）有偿使用收入等，应当按照国库集中收缴的有关规定及时足额上缴，不得隐瞒、滞留、截留、占用、挪用、拖欠或者坐支。”的规定。</w:t>
      </w:r>
    </w:p>
    <w:p w14:paraId="43781B66">
      <w:pPr>
        <w:pStyle w:val="8"/>
        <w:widowControl w:val="0"/>
        <w:snapToGrid/>
        <w:ind w:firstLine="562"/>
        <w:rPr>
          <w:rFonts w:ascii="仿宋"/>
          <w:b/>
        </w:rPr>
      </w:pPr>
      <w:r>
        <w:rPr>
          <w:rFonts w:hint="eastAsia" w:ascii="仿宋"/>
          <w:b/>
        </w:rPr>
        <w:t>（二）未按预算用途列支</w:t>
      </w:r>
    </w:p>
    <w:p w14:paraId="5C082DF4">
      <w:pPr>
        <w:pStyle w:val="8"/>
        <w:widowControl w:val="0"/>
        <w:snapToGrid/>
        <w:ind w:firstLine="560"/>
        <w:rPr>
          <w:rFonts w:ascii="仿宋"/>
          <w:bCs/>
        </w:rPr>
      </w:pPr>
      <w:r>
        <w:rPr>
          <w:rFonts w:hint="eastAsia" w:ascii="仿宋"/>
          <w:bCs/>
        </w:rPr>
        <w:t>贵单位未按预算用途列支5笔，涉及金额58,326.00元，具体明细见如下表所示：</w:t>
      </w:r>
    </w:p>
    <w:tbl>
      <w:tblPr>
        <w:tblStyle w:val="24"/>
        <w:tblW w:w="4933" w:type="pct"/>
        <w:tblInd w:w="0" w:type="dxa"/>
        <w:tblLayout w:type="fixed"/>
        <w:tblCellMar>
          <w:top w:w="0" w:type="dxa"/>
          <w:left w:w="108" w:type="dxa"/>
          <w:bottom w:w="0" w:type="dxa"/>
          <w:right w:w="108" w:type="dxa"/>
        </w:tblCellMar>
      </w:tblPr>
      <w:tblGrid>
        <w:gridCol w:w="1092"/>
        <w:gridCol w:w="1319"/>
        <w:gridCol w:w="2233"/>
        <w:gridCol w:w="1817"/>
        <w:gridCol w:w="1941"/>
      </w:tblGrid>
      <w:tr w14:paraId="096D8DA2">
        <w:tblPrEx>
          <w:tblCellMar>
            <w:top w:w="0" w:type="dxa"/>
            <w:left w:w="108" w:type="dxa"/>
            <w:bottom w:w="0" w:type="dxa"/>
            <w:right w:w="108" w:type="dxa"/>
          </w:tblCellMar>
        </w:tblPrEx>
        <w:trPr>
          <w:trHeight w:val="442" w:hRule="atLeast"/>
          <w:tblHeader/>
        </w:trPr>
        <w:tc>
          <w:tcPr>
            <w:tcW w:w="64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B78BAAC">
            <w:pPr>
              <w:jc w:val="center"/>
              <w:textAlignment w:val="center"/>
              <w:rPr>
                <w:b/>
                <w:bCs/>
                <w:color w:val="000000"/>
                <w:sz w:val="21"/>
                <w:szCs w:val="21"/>
              </w:rPr>
            </w:pPr>
            <w:r>
              <w:rPr>
                <w:rFonts w:hint="eastAsia"/>
                <w:b/>
                <w:bCs/>
                <w:color w:val="000000"/>
                <w:sz w:val="21"/>
                <w:szCs w:val="21"/>
              </w:rPr>
              <w:t>部门</w:t>
            </w:r>
          </w:p>
        </w:tc>
        <w:tc>
          <w:tcPr>
            <w:tcW w:w="78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476FD92">
            <w:pPr>
              <w:jc w:val="center"/>
              <w:textAlignment w:val="center"/>
              <w:rPr>
                <w:b/>
                <w:bCs/>
                <w:color w:val="000000"/>
                <w:sz w:val="21"/>
                <w:szCs w:val="21"/>
              </w:rPr>
            </w:pPr>
            <w:r>
              <w:rPr>
                <w:rFonts w:hint="eastAsia"/>
                <w:b/>
                <w:bCs/>
                <w:color w:val="000000"/>
                <w:sz w:val="21"/>
                <w:szCs w:val="21"/>
              </w:rPr>
              <w:t>凭证号</w:t>
            </w:r>
          </w:p>
        </w:tc>
        <w:tc>
          <w:tcPr>
            <w:tcW w:w="132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2C5A200">
            <w:pPr>
              <w:jc w:val="center"/>
              <w:textAlignment w:val="center"/>
              <w:rPr>
                <w:b/>
                <w:bCs/>
                <w:color w:val="000000"/>
                <w:sz w:val="21"/>
                <w:szCs w:val="21"/>
              </w:rPr>
            </w:pPr>
            <w:r>
              <w:rPr>
                <w:rFonts w:hint="eastAsia"/>
                <w:b/>
                <w:bCs/>
                <w:color w:val="000000"/>
                <w:sz w:val="21"/>
                <w:szCs w:val="21"/>
              </w:rPr>
              <w:t>摘要</w:t>
            </w:r>
          </w:p>
        </w:tc>
        <w:tc>
          <w:tcPr>
            <w:tcW w:w="108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DA9B39A">
            <w:pPr>
              <w:jc w:val="center"/>
              <w:textAlignment w:val="center"/>
              <w:rPr>
                <w:b/>
                <w:bCs/>
                <w:color w:val="000000"/>
                <w:kern w:val="0"/>
                <w:sz w:val="21"/>
                <w:szCs w:val="21"/>
              </w:rPr>
            </w:pPr>
            <w:r>
              <w:rPr>
                <w:rFonts w:hint="eastAsia"/>
                <w:b/>
                <w:bCs/>
                <w:color w:val="000000"/>
                <w:kern w:val="0"/>
                <w:sz w:val="21"/>
                <w:szCs w:val="21"/>
              </w:rPr>
              <w:t>金额</w:t>
            </w:r>
          </w:p>
        </w:tc>
        <w:tc>
          <w:tcPr>
            <w:tcW w:w="115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E31EE6C">
            <w:pPr>
              <w:jc w:val="center"/>
              <w:textAlignment w:val="center"/>
              <w:rPr>
                <w:b/>
                <w:bCs/>
                <w:color w:val="000000"/>
                <w:kern w:val="0"/>
                <w:sz w:val="21"/>
                <w:szCs w:val="21"/>
              </w:rPr>
            </w:pPr>
            <w:r>
              <w:rPr>
                <w:rFonts w:hint="eastAsia"/>
                <w:b/>
                <w:bCs/>
                <w:color w:val="000000"/>
                <w:kern w:val="0"/>
                <w:sz w:val="21"/>
                <w:szCs w:val="21"/>
              </w:rPr>
              <w:t>项目名称/部门科目名称</w:t>
            </w:r>
          </w:p>
        </w:tc>
      </w:tr>
      <w:tr w14:paraId="2660AB1E">
        <w:tblPrEx>
          <w:tblCellMar>
            <w:top w:w="0" w:type="dxa"/>
            <w:left w:w="108" w:type="dxa"/>
            <w:bottom w:w="0" w:type="dxa"/>
            <w:right w:w="108" w:type="dxa"/>
          </w:tblCellMar>
        </w:tblPrEx>
        <w:trPr>
          <w:trHeight w:val="58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D5360">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F199">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CA17">
            <w:pPr>
              <w:jc w:val="center"/>
              <w:textAlignment w:val="center"/>
              <w:rPr>
                <w:color w:val="000000"/>
                <w:sz w:val="21"/>
                <w:szCs w:val="21"/>
              </w:rPr>
            </w:pPr>
            <w:r>
              <w:rPr>
                <w:rFonts w:hint="eastAsia"/>
                <w:color w:val="000000"/>
                <w:kern w:val="0"/>
                <w:sz w:val="21"/>
                <w:szCs w:val="21"/>
              </w:rPr>
              <w:t>退休人员补贴</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9F7E">
            <w:pPr>
              <w:jc w:val="right"/>
              <w:textAlignment w:val="center"/>
              <w:rPr>
                <w:color w:val="000000"/>
                <w:sz w:val="21"/>
                <w:szCs w:val="21"/>
              </w:rPr>
            </w:pPr>
            <w:r>
              <w:rPr>
                <w:rFonts w:hint="eastAsia"/>
                <w:color w:val="000000"/>
                <w:kern w:val="0"/>
                <w:sz w:val="21"/>
                <w:szCs w:val="21"/>
              </w:rPr>
              <w:t>25,944.00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21D5">
            <w:pPr>
              <w:jc w:val="center"/>
              <w:textAlignment w:val="center"/>
              <w:rPr>
                <w:color w:val="000000"/>
                <w:sz w:val="21"/>
                <w:szCs w:val="21"/>
              </w:rPr>
            </w:pPr>
            <w:r>
              <w:rPr>
                <w:rFonts w:hint="eastAsia"/>
                <w:color w:val="000000"/>
                <w:kern w:val="0"/>
                <w:sz w:val="21"/>
                <w:szCs w:val="21"/>
              </w:rPr>
              <w:t>奖金</w:t>
            </w:r>
          </w:p>
        </w:tc>
      </w:tr>
      <w:tr w14:paraId="190822E4">
        <w:tblPrEx>
          <w:tblCellMar>
            <w:top w:w="0" w:type="dxa"/>
            <w:left w:w="108" w:type="dxa"/>
            <w:bottom w:w="0" w:type="dxa"/>
            <w:right w:w="108" w:type="dxa"/>
          </w:tblCellMar>
        </w:tblPrEx>
        <w:trPr>
          <w:trHeight w:val="56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2134B">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07DDF">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CC85">
            <w:pPr>
              <w:jc w:val="center"/>
              <w:textAlignment w:val="center"/>
              <w:rPr>
                <w:color w:val="000000"/>
                <w:sz w:val="21"/>
                <w:szCs w:val="21"/>
              </w:rPr>
            </w:pPr>
            <w:r>
              <w:rPr>
                <w:rFonts w:hint="eastAsia"/>
                <w:color w:val="000000"/>
                <w:kern w:val="0"/>
                <w:sz w:val="21"/>
                <w:szCs w:val="21"/>
              </w:rPr>
              <w:t>在职人员工资保险</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E332">
            <w:pPr>
              <w:jc w:val="right"/>
              <w:textAlignment w:val="center"/>
              <w:rPr>
                <w:color w:val="000000"/>
                <w:sz w:val="21"/>
                <w:szCs w:val="21"/>
              </w:rPr>
            </w:pPr>
            <w:r>
              <w:rPr>
                <w:rFonts w:hint="eastAsia"/>
                <w:color w:val="000000"/>
                <w:kern w:val="0"/>
                <w:sz w:val="21"/>
                <w:szCs w:val="21"/>
              </w:rPr>
              <w:t>30,336.00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9FA6">
            <w:pPr>
              <w:jc w:val="center"/>
              <w:textAlignment w:val="center"/>
              <w:rPr>
                <w:color w:val="000000"/>
                <w:sz w:val="21"/>
                <w:szCs w:val="21"/>
              </w:rPr>
            </w:pPr>
            <w:r>
              <w:rPr>
                <w:rFonts w:hint="eastAsia"/>
                <w:color w:val="000000"/>
                <w:kern w:val="0"/>
                <w:sz w:val="21"/>
                <w:szCs w:val="21"/>
              </w:rPr>
              <w:t>退休费</w:t>
            </w:r>
          </w:p>
        </w:tc>
      </w:tr>
      <w:tr w14:paraId="18E0C995">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BB2C">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5928">
            <w:pPr>
              <w:jc w:val="center"/>
              <w:textAlignment w:val="center"/>
              <w:rPr>
                <w:color w:val="000000"/>
                <w:sz w:val="21"/>
                <w:szCs w:val="21"/>
              </w:rPr>
            </w:pPr>
            <w:r>
              <w:rPr>
                <w:rFonts w:hint="eastAsia"/>
                <w:color w:val="000000"/>
                <w:kern w:val="0"/>
                <w:sz w:val="21"/>
                <w:szCs w:val="21"/>
              </w:rPr>
              <w:t>9月20#、11月29#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6C22">
            <w:pPr>
              <w:jc w:val="center"/>
              <w:textAlignment w:val="center"/>
              <w:rPr>
                <w:color w:val="000000"/>
                <w:sz w:val="21"/>
                <w:szCs w:val="21"/>
              </w:rPr>
            </w:pPr>
            <w:r>
              <w:rPr>
                <w:rFonts w:hint="eastAsia"/>
                <w:color w:val="000000"/>
                <w:kern w:val="0"/>
                <w:sz w:val="21"/>
                <w:szCs w:val="21"/>
              </w:rPr>
              <w:t>9月11</w:t>
            </w:r>
            <w:r>
              <w:rPr>
                <w:rFonts w:hint="eastAsia"/>
                <w:color w:val="000000"/>
                <w:kern w:val="0"/>
                <w:sz w:val="21"/>
                <w:szCs w:val="21"/>
                <w:lang w:val="en-US" w:eastAsia="zh-CN"/>
              </w:rPr>
              <w:t>日</w:t>
            </w:r>
            <w:r>
              <w:rPr>
                <w:rFonts w:hint="eastAsia"/>
                <w:color w:val="000000"/>
                <w:kern w:val="0"/>
                <w:sz w:val="21"/>
                <w:szCs w:val="21"/>
              </w:rPr>
              <w:t>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0626">
            <w:pPr>
              <w:jc w:val="right"/>
              <w:textAlignment w:val="center"/>
              <w:rPr>
                <w:color w:val="000000"/>
                <w:sz w:val="21"/>
                <w:szCs w:val="21"/>
              </w:rPr>
            </w:pPr>
            <w:r>
              <w:rPr>
                <w:rFonts w:hint="eastAsia"/>
                <w:color w:val="000000"/>
                <w:kern w:val="0"/>
                <w:sz w:val="21"/>
                <w:szCs w:val="21"/>
              </w:rPr>
              <w:t>720.00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2744D">
            <w:pPr>
              <w:jc w:val="center"/>
              <w:textAlignment w:val="center"/>
              <w:rPr>
                <w:color w:val="000000"/>
                <w:sz w:val="21"/>
                <w:szCs w:val="21"/>
              </w:rPr>
            </w:pPr>
            <w:r>
              <w:rPr>
                <w:rFonts w:hint="eastAsia"/>
                <w:color w:val="000000"/>
                <w:kern w:val="0"/>
                <w:sz w:val="21"/>
                <w:szCs w:val="21"/>
              </w:rPr>
              <w:t>退休人员住宅取暖补贴（含新中国成立前老工人）</w:t>
            </w:r>
          </w:p>
        </w:tc>
      </w:tr>
      <w:tr w14:paraId="0D566639">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F8BE">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C7CF">
            <w:pPr>
              <w:jc w:val="center"/>
              <w:textAlignment w:val="center"/>
              <w:rPr>
                <w:color w:val="000000"/>
                <w:sz w:val="21"/>
                <w:szCs w:val="21"/>
              </w:rPr>
            </w:pPr>
            <w:r>
              <w:rPr>
                <w:rFonts w:hint="eastAsia"/>
                <w:color w:val="000000"/>
                <w:kern w:val="0"/>
                <w:sz w:val="21"/>
                <w:szCs w:val="21"/>
              </w:rPr>
              <w:t>10月19#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414B">
            <w:pPr>
              <w:jc w:val="center"/>
              <w:textAlignment w:val="center"/>
              <w:rPr>
                <w:color w:val="000000"/>
                <w:sz w:val="21"/>
                <w:szCs w:val="21"/>
              </w:rPr>
            </w:pPr>
            <w:r>
              <w:rPr>
                <w:rFonts w:hint="eastAsia"/>
                <w:color w:val="000000"/>
                <w:kern w:val="0"/>
                <w:sz w:val="21"/>
                <w:szCs w:val="21"/>
              </w:rPr>
              <w:t>10月职工医保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65D1">
            <w:pPr>
              <w:jc w:val="right"/>
              <w:textAlignment w:val="center"/>
              <w:rPr>
                <w:color w:val="000000"/>
                <w:sz w:val="21"/>
                <w:szCs w:val="21"/>
              </w:rPr>
            </w:pPr>
            <w:r>
              <w:rPr>
                <w:rFonts w:hint="eastAsia"/>
                <w:color w:val="000000"/>
                <w:kern w:val="0"/>
                <w:sz w:val="21"/>
                <w:szCs w:val="21"/>
              </w:rPr>
              <w:t>1,080.00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C322">
            <w:pPr>
              <w:jc w:val="center"/>
              <w:textAlignment w:val="center"/>
              <w:rPr>
                <w:color w:val="000000"/>
                <w:sz w:val="21"/>
                <w:szCs w:val="21"/>
              </w:rPr>
            </w:pPr>
            <w:r>
              <w:rPr>
                <w:rFonts w:hint="eastAsia"/>
                <w:color w:val="000000"/>
                <w:kern w:val="0"/>
                <w:sz w:val="21"/>
                <w:szCs w:val="21"/>
              </w:rPr>
              <w:t>退休人员补充医疗保险</w:t>
            </w:r>
          </w:p>
        </w:tc>
      </w:tr>
      <w:tr w14:paraId="4D9901BB">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7A003">
            <w:pPr>
              <w:jc w:val="center"/>
              <w:textAlignment w:val="center"/>
              <w:rPr>
                <w:color w:val="000000"/>
                <w:sz w:val="21"/>
                <w:szCs w:val="21"/>
              </w:rPr>
            </w:pPr>
            <w:r>
              <w:rPr>
                <w:rFonts w:hint="eastAsia"/>
                <w:color w:val="000000"/>
                <w:kern w:val="0"/>
                <w:sz w:val="21"/>
                <w:szCs w:val="21"/>
              </w:rPr>
              <w:t>局机关</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15B0">
            <w:pPr>
              <w:jc w:val="center"/>
              <w:textAlignment w:val="center"/>
              <w:rPr>
                <w:color w:val="000000"/>
                <w:sz w:val="21"/>
                <w:szCs w:val="21"/>
              </w:rPr>
            </w:pPr>
            <w:r>
              <w:rPr>
                <w:rFonts w:hint="eastAsia"/>
                <w:color w:val="000000"/>
                <w:kern w:val="0"/>
                <w:sz w:val="21"/>
                <w:szCs w:val="21"/>
              </w:rPr>
              <w:t>11月7#</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6A13">
            <w:pPr>
              <w:jc w:val="center"/>
              <w:textAlignment w:val="center"/>
              <w:rPr>
                <w:color w:val="000000"/>
                <w:sz w:val="21"/>
                <w:szCs w:val="21"/>
              </w:rPr>
            </w:pPr>
            <w:r>
              <w:rPr>
                <w:rFonts w:hint="eastAsia"/>
                <w:color w:val="000000"/>
                <w:kern w:val="0"/>
                <w:sz w:val="21"/>
                <w:szCs w:val="21"/>
              </w:rPr>
              <w:t>重阳节慰问老干部</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F860">
            <w:pPr>
              <w:jc w:val="right"/>
              <w:textAlignment w:val="center"/>
              <w:rPr>
                <w:color w:val="000000"/>
                <w:sz w:val="21"/>
                <w:szCs w:val="21"/>
              </w:rPr>
            </w:pPr>
            <w:r>
              <w:rPr>
                <w:rFonts w:hint="eastAsia"/>
                <w:color w:val="000000"/>
                <w:kern w:val="0"/>
                <w:sz w:val="21"/>
                <w:szCs w:val="21"/>
              </w:rPr>
              <w:t>246.00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3546">
            <w:pPr>
              <w:jc w:val="center"/>
              <w:textAlignment w:val="center"/>
              <w:rPr>
                <w:color w:val="000000"/>
                <w:sz w:val="21"/>
                <w:szCs w:val="21"/>
              </w:rPr>
            </w:pPr>
            <w:r>
              <w:rPr>
                <w:rFonts w:hint="eastAsia"/>
                <w:color w:val="000000"/>
                <w:kern w:val="0"/>
                <w:sz w:val="21"/>
                <w:szCs w:val="21"/>
              </w:rPr>
              <w:t>目标责任考核奖</w:t>
            </w:r>
          </w:p>
        </w:tc>
      </w:tr>
      <w:tr w14:paraId="3A22FF9F">
        <w:tblPrEx>
          <w:tblCellMar>
            <w:top w:w="0" w:type="dxa"/>
            <w:left w:w="108" w:type="dxa"/>
            <w:bottom w:w="0" w:type="dxa"/>
            <w:right w:w="108" w:type="dxa"/>
          </w:tblCellMar>
        </w:tblPrEx>
        <w:trPr>
          <w:trHeight w:val="454" w:hRule="atLeast"/>
        </w:trPr>
        <w:tc>
          <w:tcPr>
            <w:tcW w:w="27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71F5">
            <w:pPr>
              <w:jc w:val="center"/>
              <w:rPr>
                <w:color w:val="000000"/>
                <w:sz w:val="21"/>
                <w:szCs w:val="21"/>
              </w:rPr>
            </w:pPr>
            <w:r>
              <w:rPr>
                <w:rFonts w:hint="eastAsia"/>
                <w:color w:val="000000"/>
                <w:sz w:val="21"/>
                <w:szCs w:val="21"/>
              </w:rPr>
              <w:t>合计</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1A55">
            <w:pPr>
              <w:jc w:val="right"/>
              <w:textAlignment w:val="center"/>
              <w:rPr>
                <w:color w:val="000000"/>
                <w:sz w:val="21"/>
                <w:szCs w:val="21"/>
              </w:rPr>
            </w:pPr>
            <w:r>
              <w:rPr>
                <w:rFonts w:hint="eastAsia"/>
                <w:color w:val="000000"/>
                <w:sz w:val="21"/>
                <w:szCs w:val="21"/>
              </w:rPr>
              <w:t>58,326.00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EB40">
            <w:pPr>
              <w:jc w:val="center"/>
              <w:rPr>
                <w:color w:val="000000"/>
                <w:sz w:val="21"/>
                <w:szCs w:val="21"/>
              </w:rPr>
            </w:pPr>
          </w:p>
        </w:tc>
      </w:tr>
    </w:tbl>
    <w:p w14:paraId="6D9FF8CD">
      <w:pPr>
        <w:pStyle w:val="8"/>
        <w:widowControl w:val="0"/>
        <w:snapToGrid/>
        <w:ind w:firstLine="562"/>
        <w:rPr>
          <w:rFonts w:ascii="仿宋"/>
          <w:b/>
        </w:rPr>
      </w:pPr>
      <w:r>
        <w:rPr>
          <w:rFonts w:hint="eastAsia" w:ascii="仿宋"/>
          <w:b/>
        </w:rPr>
        <w:t>（三）财务核算不规范</w:t>
      </w:r>
    </w:p>
    <w:p w14:paraId="2B036953">
      <w:pPr>
        <w:pStyle w:val="8"/>
        <w:widowControl w:val="0"/>
        <w:snapToGrid/>
        <w:ind w:firstLine="560"/>
        <w:rPr>
          <w:rFonts w:ascii="仿宋"/>
          <w:bCs/>
        </w:rPr>
      </w:pPr>
      <w:r>
        <w:rPr>
          <w:rFonts w:hint="eastAsia" w:ascii="仿宋"/>
          <w:bCs/>
        </w:rPr>
        <w:t>贵单位存在未代扣代缴个税、核销程序不合规的情况，具体明细为：</w:t>
      </w:r>
    </w:p>
    <w:p w14:paraId="552F1031">
      <w:pPr>
        <w:pStyle w:val="8"/>
        <w:widowControl w:val="0"/>
        <w:snapToGrid/>
        <w:ind w:firstLine="560"/>
        <w:rPr>
          <w:rFonts w:ascii="仿宋"/>
          <w:bCs/>
        </w:rPr>
      </w:pPr>
      <w:r>
        <w:rPr>
          <w:rFonts w:hint="eastAsia" w:ascii="仿宋"/>
          <w:bCs/>
        </w:rPr>
        <w:t>1.文化馆2023年12月8日33#凭证支付法律顾问咨询费用2,400.00元，聘请个人孙兴赤为法律顾问，开具的发票备注栏标注“购买方应在次月15日前代扣代缴销售方个人所得税”，文化馆未实际代扣代缴个税。</w:t>
      </w:r>
    </w:p>
    <w:p w14:paraId="62280D67">
      <w:pPr>
        <w:pStyle w:val="8"/>
        <w:widowControl w:val="0"/>
        <w:snapToGrid/>
        <w:ind w:firstLine="560"/>
        <w:rPr>
          <w:rFonts w:ascii="仿宋"/>
          <w:bCs/>
        </w:rPr>
      </w:pPr>
      <w:r>
        <w:rPr>
          <w:rFonts w:hint="eastAsia" w:ascii="仿宋"/>
          <w:bCs/>
        </w:rPr>
        <w:t>2.核销程序不合规：永济市文保中心核销其他应收款212,600.00元，未经主管部门审核（审批），不符合《行政事业单位资产清查核实管理办法》（财资〔2016〕1号）第三十六条行政事业单位资产核实的一般程序的规定。</w:t>
      </w:r>
    </w:p>
    <w:p w14:paraId="13FD47FD">
      <w:pPr>
        <w:pStyle w:val="8"/>
        <w:widowControl w:val="0"/>
        <w:snapToGrid/>
        <w:ind w:firstLine="562"/>
        <w:rPr>
          <w:rFonts w:ascii="仿宋"/>
          <w:b/>
        </w:rPr>
      </w:pPr>
      <w:r>
        <w:rPr>
          <w:rFonts w:hint="eastAsia" w:ascii="仿宋"/>
          <w:b/>
        </w:rPr>
        <w:t>（四）固定资产管理方面</w:t>
      </w:r>
    </w:p>
    <w:p w14:paraId="6FC58234">
      <w:pPr>
        <w:pStyle w:val="8"/>
        <w:widowControl w:val="0"/>
        <w:snapToGrid/>
        <w:ind w:firstLine="560"/>
        <w:rPr>
          <w:rFonts w:ascii="仿宋"/>
          <w:bCs/>
        </w:rPr>
      </w:pPr>
      <w:r>
        <w:rPr>
          <w:rFonts w:hint="eastAsia" w:ascii="仿宋"/>
          <w:bCs/>
        </w:rPr>
        <w:t>资产实物未粘贴固定资产卡片，无法进行账实一一对应；未能做到每年对固定资产进行一次全面清查盘点，不符合固定资产管理制度第十二条：“固定资产的清查：固定资产清查工作由财务机构统一组织。每年进行一次全面清查。并可根据工作需要进行不定期的重点清查。”的规定。</w:t>
      </w:r>
    </w:p>
    <w:p w14:paraId="0FB88432">
      <w:pPr>
        <w:widowControl w:val="0"/>
        <w:spacing w:line="560" w:lineRule="exact"/>
        <w:ind w:firstLine="562" w:firstLineChars="200"/>
        <w:rPr>
          <w:b/>
          <w:bCs/>
        </w:rPr>
      </w:pPr>
      <w:bookmarkStart w:id="415" w:name="_Toc180138891"/>
      <w:bookmarkStart w:id="416" w:name="_Toc180503516"/>
      <w:r>
        <w:rPr>
          <w:rFonts w:hint="eastAsia"/>
          <w:b/>
          <w:bCs/>
        </w:rPr>
        <w:t>（五）巡护员与保安部分职责重叠</w:t>
      </w:r>
    </w:p>
    <w:p w14:paraId="2231257C">
      <w:pPr>
        <w:widowControl w:val="0"/>
        <w:spacing w:line="560" w:lineRule="exact"/>
        <w:ind w:firstLine="560" w:firstLineChars="200"/>
      </w:pPr>
      <w:r>
        <w:rPr>
          <w:rFonts w:hint="eastAsia"/>
        </w:rPr>
        <w:t>永济市博物馆临时人员10人，其中监控室4人（监护室已有正式人员2人），巡护员1人（巡护室已有正式人员4人），讲解4人，办公室1人；监护员主要职责为实时查看馆内各个展厅、库房、通道、出入口等重点区域的监控画面，巡护员主要职责为对场馆的日常巡视、检查；同时与永济市神鹰安防服务有限公司签订安保服务协议，协议约定安保人员9人，保安人员职责提供巡逻服务（提供博物馆24小时日常巡视、检查等）、秩序维护服务、人群控制服务、编制博物馆外围安保应急预案、承担各类重要活动的安全保卫工作等，保安人员与巡护员部分职责重叠。</w:t>
      </w:r>
    </w:p>
    <w:p w14:paraId="45921B7D">
      <w:pPr>
        <w:pStyle w:val="2"/>
        <w:ind w:firstLine="562"/>
      </w:pPr>
      <w:r>
        <w:rPr>
          <w:rFonts w:hint="eastAsia"/>
        </w:rPr>
        <w:t>七、有关建议</w:t>
      </w:r>
      <w:bookmarkEnd w:id="415"/>
      <w:bookmarkEnd w:id="416"/>
    </w:p>
    <w:p w14:paraId="367558C0">
      <w:pPr>
        <w:pStyle w:val="8"/>
        <w:widowControl w:val="0"/>
        <w:snapToGrid/>
        <w:ind w:firstLine="562"/>
        <w:rPr>
          <w:rFonts w:ascii="仿宋"/>
          <w:bCs/>
        </w:rPr>
      </w:pPr>
      <w:r>
        <w:rPr>
          <w:rFonts w:hint="eastAsia" w:ascii="仿宋"/>
          <w:b/>
        </w:rPr>
        <w:t>（一）上缴实有资金户中的结余资金，规范存量资金管理。</w:t>
      </w:r>
    </w:p>
    <w:p w14:paraId="0CFAF596">
      <w:pPr>
        <w:pStyle w:val="8"/>
        <w:widowControl w:val="0"/>
        <w:snapToGrid/>
        <w:ind w:firstLine="560"/>
        <w:rPr>
          <w:rFonts w:ascii="仿宋"/>
          <w:bCs/>
        </w:rPr>
      </w:pPr>
      <w:r>
        <w:rPr>
          <w:rFonts w:hint="eastAsia" w:ascii="仿宋"/>
          <w:bCs/>
        </w:rPr>
        <w:t>清理部门实有资金户账户，对纳入部门预算的以前年度结余资金、收取的应上缴的财政资金，及时足额上缴财政，做到收支两条线，避免坐支。</w:t>
      </w:r>
    </w:p>
    <w:p w14:paraId="503E3D36">
      <w:pPr>
        <w:pStyle w:val="8"/>
        <w:widowControl w:val="0"/>
        <w:snapToGrid/>
        <w:ind w:firstLine="562"/>
        <w:rPr>
          <w:rFonts w:ascii="仿宋"/>
          <w:b/>
        </w:rPr>
      </w:pPr>
      <w:r>
        <w:rPr>
          <w:rFonts w:hint="eastAsia" w:ascii="仿宋"/>
          <w:b/>
        </w:rPr>
        <w:t>（二）进行全面清查，确保财务数据的准确性和完整性</w:t>
      </w:r>
    </w:p>
    <w:p w14:paraId="641BC659">
      <w:pPr>
        <w:pStyle w:val="8"/>
        <w:widowControl w:val="0"/>
        <w:snapToGrid/>
        <w:ind w:firstLine="560"/>
        <w:rPr>
          <w:rFonts w:ascii="仿宋"/>
          <w:bCs/>
        </w:rPr>
      </w:pPr>
      <w:r>
        <w:rPr>
          <w:rFonts w:hint="eastAsia" w:ascii="仿宋"/>
          <w:bCs/>
        </w:rPr>
        <w:t>对未挂账的质保金进行全面清查，确定质保金的金额、涉及的业务项目以及应挂账的会计科目，确保财务数据的准确性和完整性；对未代扣个税的情况进行清查，按照税法规定，计算应代扣的个税金额，并及时向税务机关申报补缴。同时加强对财务人员专业培训，及时学习新政策，提高业务水平。</w:t>
      </w:r>
    </w:p>
    <w:p w14:paraId="2995E91D">
      <w:pPr>
        <w:pStyle w:val="8"/>
        <w:widowControl w:val="0"/>
        <w:snapToGrid/>
        <w:ind w:firstLine="562"/>
        <w:rPr>
          <w:rFonts w:ascii="仿宋"/>
          <w:b/>
        </w:rPr>
      </w:pPr>
      <w:r>
        <w:rPr>
          <w:rFonts w:hint="eastAsia" w:ascii="仿宋"/>
          <w:b/>
        </w:rPr>
        <w:t>（三）完善单位的内控制度建设，并按制度执行</w:t>
      </w:r>
    </w:p>
    <w:p w14:paraId="02E46670">
      <w:pPr>
        <w:pStyle w:val="8"/>
        <w:widowControl w:val="0"/>
        <w:snapToGrid/>
        <w:ind w:firstLine="560"/>
        <w:rPr>
          <w:rFonts w:ascii="仿宋"/>
          <w:bCs/>
        </w:rPr>
      </w:pPr>
      <w:r>
        <w:rPr>
          <w:rFonts w:hint="eastAsia" w:ascii="仿宋"/>
          <w:bCs/>
        </w:rPr>
        <w:t>加强单位的内控制度建设，完善审批流程和制度，明确各类事项的审批权限、审批环节，审批流程等，加强对预算支出凭证及财务原始凭证的合规性审核。</w:t>
      </w:r>
    </w:p>
    <w:p w14:paraId="63A9243C">
      <w:pPr>
        <w:pStyle w:val="8"/>
        <w:widowControl w:val="0"/>
        <w:snapToGrid/>
        <w:ind w:firstLine="562"/>
        <w:rPr>
          <w:rFonts w:ascii="仿宋"/>
          <w:b/>
        </w:rPr>
      </w:pPr>
      <w:r>
        <w:rPr>
          <w:rFonts w:hint="eastAsia" w:ascii="仿宋"/>
          <w:b/>
        </w:rPr>
        <w:t>（四）加强固定资产实物管理和档案管理</w:t>
      </w:r>
    </w:p>
    <w:p w14:paraId="36F5153F">
      <w:pPr>
        <w:pStyle w:val="8"/>
        <w:widowControl w:val="0"/>
        <w:snapToGrid/>
        <w:ind w:firstLine="560"/>
        <w:rPr>
          <w:rFonts w:ascii="仿宋"/>
          <w:bCs/>
        </w:rPr>
      </w:pPr>
      <w:r>
        <w:rPr>
          <w:rFonts w:hint="eastAsia" w:ascii="仿宋"/>
          <w:bCs/>
        </w:rPr>
        <w:t>财务人员、固定资产管理人员应对实物资产粘贴资产卡片，完善固定资产使用部门、使用人、存放地址等信息，资产使用部门和使用人发生变动时，应及时办理交接手续，变更登记信息。使用部门与财务部门应加强沟通，并且定期进行盘点，做到有问题及时发现，需处理的及时进行处理。</w:t>
      </w:r>
    </w:p>
    <w:p w14:paraId="64DB4815">
      <w:pPr>
        <w:widowControl w:val="0"/>
        <w:spacing w:line="560" w:lineRule="exact"/>
        <w:ind w:firstLine="562" w:firstLineChars="200"/>
        <w:rPr>
          <w:b/>
          <w:bCs/>
        </w:rPr>
      </w:pPr>
      <w:bookmarkStart w:id="417" w:name="_Toc180138892"/>
      <w:r>
        <w:rPr>
          <w:rFonts w:hint="eastAsia"/>
          <w:b/>
          <w:bCs/>
        </w:rPr>
        <w:t>（五）合理优化人员结构，提高财政资金的使用效率</w:t>
      </w:r>
    </w:p>
    <w:p w14:paraId="754E212F">
      <w:pPr>
        <w:widowControl w:val="0"/>
        <w:spacing w:line="560" w:lineRule="exact"/>
        <w:ind w:firstLine="560" w:firstLineChars="200"/>
      </w:pPr>
      <w:r>
        <w:rPr>
          <w:rFonts w:hint="eastAsia"/>
        </w:rPr>
        <w:t>对保安人员、巡护员的巡逻工作职责重复的范围，建议合理优化人员结构，同时建立健全的考核机制，对临时人员和保安人员的工作进行定期考核和评估，确保工作质量和效率，加强与神鹰安防服务有限公司的沟通和协调，根据博物馆的实际需求，对安保服务协议进行调整和完善，提高财政资金的使用效率。</w:t>
      </w:r>
    </w:p>
    <w:p w14:paraId="50ECCC7B">
      <w:pPr>
        <w:pStyle w:val="2"/>
        <w:ind w:firstLine="562"/>
      </w:pPr>
      <w:bookmarkStart w:id="418" w:name="_Toc180503517"/>
      <w:r>
        <w:rPr>
          <w:rFonts w:hint="eastAsia"/>
        </w:rPr>
        <w:t>八、绩效评价结果应用建议</w:t>
      </w:r>
      <w:bookmarkEnd w:id="408"/>
      <w:bookmarkEnd w:id="417"/>
      <w:bookmarkEnd w:id="418"/>
    </w:p>
    <w:p w14:paraId="57DB930B">
      <w:pPr>
        <w:pStyle w:val="8"/>
        <w:widowControl w:val="0"/>
        <w:snapToGrid/>
        <w:spacing w:line="560" w:lineRule="atLeast"/>
        <w:ind w:firstLine="560"/>
        <w:rPr>
          <w:rFonts w:ascii="仿宋" w:hAnsi="仿宋"/>
        </w:rPr>
      </w:pPr>
      <w:r>
        <w:rPr>
          <w:rFonts w:hint="eastAsia" w:ascii="仿宋" w:hAnsi="仿宋"/>
        </w:rPr>
        <w:t>绩效评价结果应用，既是开展绩效评价工作的重要后续环节，又是加强财政支出管理、增强资金绩效理念、合理配置公共资源、优化财政支出结构、强化资金管理水平、提高资金使用效益的重要手段。为此，特提出以下两点建议。</w:t>
      </w:r>
    </w:p>
    <w:p w14:paraId="5A668F34">
      <w:pPr>
        <w:pStyle w:val="8"/>
        <w:widowControl w:val="0"/>
        <w:snapToGrid/>
        <w:spacing w:line="560" w:lineRule="atLeast"/>
        <w:ind w:firstLine="560"/>
        <w:rPr>
          <w:rFonts w:ascii="仿宋" w:hAnsi="仿宋"/>
        </w:rPr>
      </w:pPr>
      <w:r>
        <w:rPr>
          <w:rFonts w:hint="eastAsia" w:ascii="仿宋" w:hAnsi="仿宋"/>
        </w:rPr>
        <w:t>（一）将绩效评价结果反馈告知被评价部门。将评价项目绩效分值、等级，存在的问题及相关建议及时反馈给被评价单位，督促被评价部门对存在的问题及时整改，并对整改结果进行跟踪调查。</w:t>
      </w:r>
    </w:p>
    <w:p w14:paraId="059F9619">
      <w:pPr>
        <w:pStyle w:val="8"/>
        <w:widowControl w:val="0"/>
        <w:snapToGrid/>
        <w:spacing w:line="560" w:lineRule="atLeast"/>
        <w:ind w:firstLine="560"/>
        <w:rPr>
          <w:rFonts w:ascii="仿宋" w:hAnsi="仿宋"/>
        </w:rPr>
      </w:pPr>
      <w:r>
        <w:rPr>
          <w:rFonts w:hint="eastAsia" w:ascii="仿宋" w:hAnsi="仿宋"/>
        </w:rPr>
        <w:t>（二）在一定范围内通报或公示绩效评价结果。依据《政府信息公开条例》等相关规定，对绩效评价情况在一定范围内公开，或在相关网站，采取内部通报、公示的形式，公开绩效评价结果。促进和增强项目实施单位及社会各界对绩效评价工作重要性的认识，逐步形成社会监督机制，进一步提高财政资金绩效评价结果的影响和社会的理解认同。</w:t>
      </w:r>
    </w:p>
    <w:bookmarkEnd w:id="409"/>
    <w:bookmarkEnd w:id="410"/>
    <w:bookmarkEnd w:id="411"/>
    <w:bookmarkEnd w:id="412"/>
    <w:bookmarkEnd w:id="413"/>
    <w:bookmarkEnd w:id="414"/>
    <w:p w14:paraId="076147BE">
      <w:pPr>
        <w:pStyle w:val="8"/>
        <w:widowControl w:val="0"/>
        <w:snapToGrid/>
        <w:spacing w:line="560" w:lineRule="atLeast"/>
        <w:ind w:firstLine="560"/>
        <w:rPr>
          <w:rFonts w:ascii="仿宋" w:hAnsi="仿宋"/>
        </w:rPr>
      </w:pPr>
    </w:p>
    <w:p w14:paraId="107B6D87">
      <w:pPr>
        <w:pStyle w:val="8"/>
        <w:widowControl w:val="0"/>
        <w:snapToGrid/>
        <w:spacing w:line="560" w:lineRule="atLeast"/>
        <w:ind w:firstLine="560"/>
        <w:rPr>
          <w:rFonts w:ascii="仿宋" w:hAnsi="仿宋"/>
        </w:rPr>
      </w:pPr>
    </w:p>
    <w:p w14:paraId="7F4C11B5">
      <w:pPr>
        <w:pStyle w:val="8"/>
        <w:widowControl w:val="0"/>
        <w:snapToGrid/>
        <w:spacing w:line="560" w:lineRule="atLeast"/>
        <w:ind w:firstLine="560"/>
        <w:rPr>
          <w:rFonts w:ascii="仿宋" w:hAnsi="仿宋"/>
        </w:rPr>
      </w:pPr>
    </w:p>
    <w:p w14:paraId="10F9D077">
      <w:pPr>
        <w:pStyle w:val="8"/>
        <w:widowControl w:val="0"/>
        <w:snapToGrid/>
        <w:spacing w:line="560" w:lineRule="atLeast"/>
        <w:ind w:firstLine="560"/>
        <w:rPr>
          <w:rFonts w:ascii="仿宋" w:hAnsi="仿宋"/>
        </w:rPr>
      </w:pPr>
    </w:p>
    <w:p w14:paraId="4C42D167">
      <w:pPr>
        <w:pStyle w:val="8"/>
        <w:widowControl w:val="0"/>
        <w:snapToGrid/>
        <w:spacing w:line="560" w:lineRule="atLeast"/>
        <w:ind w:firstLine="560"/>
        <w:rPr>
          <w:rFonts w:ascii="仿宋" w:hAnsi="仿宋"/>
        </w:rPr>
      </w:pPr>
    </w:p>
    <w:p w14:paraId="02BF81EE">
      <w:pPr>
        <w:pStyle w:val="8"/>
        <w:widowControl w:val="0"/>
        <w:snapToGrid/>
        <w:spacing w:line="560" w:lineRule="atLeast"/>
        <w:ind w:firstLine="560"/>
        <w:rPr>
          <w:rFonts w:ascii="仿宋" w:hAnsi="仿宋"/>
        </w:rPr>
      </w:pPr>
    </w:p>
    <w:p w14:paraId="76D0DEEE">
      <w:pPr>
        <w:widowControl w:val="0"/>
        <w:spacing w:line="560" w:lineRule="exact"/>
        <w:ind w:firstLine="560" w:firstLineChars="200"/>
        <w:jc w:val="left"/>
        <w:outlineLvl w:val="0"/>
        <w:rPr>
          <w:bCs/>
        </w:rPr>
      </w:pPr>
      <w:r>
        <w:rPr>
          <w:rFonts w:hint="eastAsia"/>
          <w:bCs/>
        </w:rPr>
        <w:t>附件1：绩效评价指标体系</w:t>
      </w:r>
    </w:p>
    <w:p w14:paraId="27EB51D3">
      <w:pPr>
        <w:widowControl w:val="0"/>
        <w:spacing w:line="560" w:lineRule="exact"/>
        <w:ind w:firstLine="560" w:firstLineChars="200"/>
        <w:jc w:val="left"/>
        <w:outlineLvl w:val="0"/>
        <w:rPr>
          <w:bCs/>
        </w:rPr>
      </w:pPr>
      <w:r>
        <w:rPr>
          <w:rFonts w:hint="eastAsia"/>
          <w:bCs/>
        </w:rPr>
        <w:t>附件2：绩效评价指标评分表</w:t>
      </w:r>
    </w:p>
    <w:p w14:paraId="0D54E59D">
      <w:pPr>
        <w:widowControl w:val="0"/>
        <w:spacing w:line="560" w:lineRule="exact"/>
        <w:ind w:firstLine="560" w:firstLineChars="200"/>
        <w:jc w:val="left"/>
        <w:outlineLvl w:val="0"/>
        <w:rPr>
          <w:bCs/>
        </w:rPr>
      </w:pPr>
      <w:r>
        <w:rPr>
          <w:rFonts w:hint="eastAsia"/>
          <w:bCs/>
        </w:rPr>
        <w:t>附件3：反映绩效的照片</w:t>
      </w:r>
    </w:p>
    <w:p w14:paraId="2C1047E2">
      <w:pPr>
        <w:widowControl w:val="0"/>
        <w:spacing w:line="560" w:lineRule="exact"/>
        <w:ind w:firstLine="560" w:firstLineChars="200"/>
        <w:jc w:val="left"/>
        <w:outlineLvl w:val="0"/>
        <w:rPr>
          <w:bCs/>
        </w:rPr>
      </w:pPr>
      <w:r>
        <w:rPr>
          <w:rFonts w:hint="eastAsia"/>
          <w:bCs/>
        </w:rPr>
        <w:t>附件4：调查问卷分析报告</w:t>
      </w:r>
    </w:p>
    <w:p w14:paraId="5BAD38EC">
      <w:pPr>
        <w:widowControl w:val="0"/>
        <w:spacing w:line="560" w:lineRule="exact"/>
        <w:ind w:firstLine="560" w:firstLineChars="200"/>
        <w:jc w:val="left"/>
        <w:outlineLvl w:val="0"/>
        <w:rPr>
          <w:bCs/>
        </w:rPr>
      </w:pPr>
      <w:r>
        <w:rPr>
          <w:rFonts w:hint="eastAsia"/>
          <w:bCs/>
        </w:rPr>
        <w:t>附件5：基础数据采集表</w:t>
      </w:r>
    </w:p>
    <w:p w14:paraId="1F23328A">
      <w:pPr>
        <w:pStyle w:val="7"/>
        <w:spacing w:line="560" w:lineRule="exact"/>
        <w:ind w:firstLine="560" w:firstLineChars="200"/>
      </w:pPr>
      <w:r>
        <w:rPr>
          <w:rFonts w:hint="eastAsia"/>
          <w:bCs/>
        </w:rPr>
        <w:t>附件6：部门整体支出合规性检查报告</w:t>
      </w:r>
    </w:p>
    <w:p w14:paraId="6CD03FB7"/>
    <w:p w14:paraId="059E52E0">
      <w:pPr>
        <w:pStyle w:val="8"/>
        <w:ind w:firstLine="560"/>
        <w:rPr>
          <w:rFonts w:ascii="仿宋" w:hAnsi="仿宋"/>
        </w:rPr>
      </w:pPr>
    </w:p>
    <w:p w14:paraId="77538117"/>
    <w:p w14:paraId="3AE57AC1">
      <w:pPr>
        <w:pStyle w:val="8"/>
        <w:widowControl w:val="0"/>
        <w:ind w:firstLine="560"/>
        <w:jc w:val="right"/>
        <w:rPr>
          <w:rFonts w:ascii="仿宋" w:hAnsi="仿宋"/>
        </w:rPr>
      </w:pPr>
    </w:p>
    <w:tbl>
      <w:tblPr>
        <w:tblStyle w:val="25"/>
        <w:tblW w:w="0" w:type="auto"/>
        <w:tblInd w:w="4364"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152"/>
      </w:tblGrid>
      <w:tr w14:paraId="6B4D2EE8">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152" w:type="dxa"/>
            <w:tcBorders>
              <w:tl2br w:val="nil"/>
              <w:tr2bl w:val="nil"/>
            </w:tcBorders>
          </w:tcPr>
          <w:p w14:paraId="54D6E540">
            <w:pPr>
              <w:pStyle w:val="8"/>
              <w:widowControl w:val="0"/>
              <w:snapToGrid/>
              <w:ind w:firstLine="0" w:firstLineChars="0"/>
              <w:jc w:val="left"/>
              <w:rPr>
                <w:rFonts w:ascii="仿宋" w:hAnsi="仿宋"/>
              </w:rPr>
            </w:pPr>
            <w:r>
              <w:rPr>
                <w:rFonts w:hint="eastAsia" w:ascii="仿宋" w:hAnsi="仿宋"/>
              </w:rPr>
              <w:t>山西广和会计师事务所有限公司</w:t>
            </w:r>
          </w:p>
          <w:p w14:paraId="4C6D3371">
            <w:pPr>
              <w:spacing w:line="560" w:lineRule="exact"/>
              <w:ind w:firstLine="280" w:firstLineChars="100"/>
              <w:jc w:val="left"/>
            </w:pPr>
            <w:r>
              <w:rPr>
                <w:rFonts w:hint="eastAsia"/>
              </w:rPr>
              <w:t>主评人：</w:t>
            </w:r>
            <w:r>
              <w:rPr>
                <w:rFonts w:hint="eastAsia"/>
                <w:spacing w:val="140"/>
                <w:kern w:val="0"/>
                <w:fitText w:val="840" w:id="50351618"/>
              </w:rPr>
              <w:t>王</w:t>
            </w:r>
            <w:r>
              <w:rPr>
                <w:rFonts w:hint="eastAsia"/>
                <w:spacing w:val="0"/>
                <w:kern w:val="0"/>
                <w:fitText w:val="840" w:id="50351618"/>
              </w:rPr>
              <w:t>晶</w:t>
            </w:r>
          </w:p>
          <w:p w14:paraId="3683F751">
            <w:pPr>
              <w:pStyle w:val="8"/>
              <w:widowControl w:val="0"/>
              <w:snapToGrid/>
              <w:ind w:firstLine="0" w:firstLineChars="0"/>
              <w:jc w:val="center"/>
              <w:rPr>
                <w:rFonts w:ascii="仿宋" w:hAnsi="仿宋"/>
              </w:rPr>
            </w:pPr>
            <w:r>
              <w:rPr>
                <w:rFonts w:hint="eastAsia" w:ascii="仿宋"/>
              </w:rPr>
              <w:t>二</w:t>
            </w:r>
            <w:r>
              <w:rPr>
                <w:rFonts w:hint="eastAsia" w:ascii="仿宋" w:hAnsi="仿宋"/>
              </w:rPr>
              <w:t>〇</w:t>
            </w:r>
            <w:r>
              <w:rPr>
                <w:rFonts w:hint="eastAsia" w:ascii="仿宋"/>
              </w:rPr>
              <w:t>二四</w:t>
            </w:r>
            <w:r>
              <w:rPr>
                <w:rFonts w:hint="eastAsia" w:ascii="仿宋" w:hAnsi="仿宋"/>
              </w:rPr>
              <w:t>年</w:t>
            </w:r>
            <w:r>
              <w:rPr>
                <w:rFonts w:hint="eastAsia" w:ascii="仿宋"/>
              </w:rPr>
              <w:t>十</w:t>
            </w:r>
            <w:r>
              <w:rPr>
                <w:rFonts w:hint="eastAsia" w:ascii="仿宋" w:hAnsi="仿宋"/>
              </w:rPr>
              <w:t>月十五日</w:t>
            </w:r>
          </w:p>
        </w:tc>
      </w:tr>
    </w:tbl>
    <w:p w14:paraId="479F440D">
      <w:pPr>
        <w:pStyle w:val="8"/>
        <w:widowControl w:val="0"/>
        <w:wordWrap w:val="0"/>
        <w:ind w:firstLine="560"/>
        <w:jc w:val="right"/>
        <w:sectPr>
          <w:headerReference r:id="rId12" w:type="first"/>
          <w:footerReference r:id="rId14" w:type="first"/>
          <w:footerReference r:id="rId13" w:type="default"/>
          <w:pgSz w:w="11906" w:h="16838"/>
          <w:pgMar w:top="1440" w:right="1803" w:bottom="1440" w:left="1803" w:header="851" w:footer="850" w:gutter="0"/>
          <w:cols w:space="720" w:num="1"/>
          <w:titlePg/>
          <w:docGrid w:type="lines" w:linePitch="381" w:charSpace="0"/>
        </w:sectPr>
      </w:pPr>
      <w:bookmarkStart w:id="419" w:name="附件1"/>
      <w:bookmarkEnd w:id="419"/>
    </w:p>
    <w:p w14:paraId="5C010D89">
      <w:pPr>
        <w:pStyle w:val="17"/>
      </w:pPr>
      <w:bookmarkStart w:id="420" w:name="_Toc15091"/>
      <w:bookmarkStart w:id="421" w:name="_Toc5447"/>
      <w:bookmarkStart w:id="422" w:name="_Toc6308"/>
      <w:bookmarkStart w:id="423" w:name="_Toc180138893"/>
      <w:bookmarkStart w:id="424" w:name="_Toc25086"/>
      <w:bookmarkStart w:id="425" w:name="_Toc180503518"/>
      <w:r>
        <w:rPr>
          <w:rFonts w:hint="eastAsia"/>
        </w:rPr>
        <w:t>附件1：绩效评价指标</w:t>
      </w:r>
      <w:bookmarkEnd w:id="420"/>
      <w:bookmarkEnd w:id="421"/>
      <w:bookmarkEnd w:id="422"/>
      <w:r>
        <w:rPr>
          <w:rFonts w:hint="eastAsia"/>
        </w:rPr>
        <w:t>体系</w:t>
      </w:r>
      <w:bookmarkEnd w:id="423"/>
      <w:bookmarkEnd w:id="424"/>
      <w:bookmarkEnd w:id="425"/>
    </w:p>
    <w:p w14:paraId="5E9D585F">
      <w:pPr>
        <w:jc w:val="center"/>
        <w:rPr>
          <w:sz w:val="32"/>
          <w:szCs w:val="32"/>
        </w:rPr>
      </w:pPr>
      <w:bookmarkStart w:id="426" w:name="_Toc22412"/>
      <w:r>
        <w:rPr>
          <w:rFonts w:hint="eastAsia"/>
          <w:b/>
          <w:bCs/>
          <w:color w:val="000000"/>
          <w:kern w:val="0"/>
          <w:sz w:val="32"/>
          <w:szCs w:val="32"/>
        </w:rPr>
        <w:t>永济市文旅局部门整体支出绩效评价指标表</w:t>
      </w:r>
    </w:p>
    <w:p w14:paraId="30F612EC">
      <w:pPr>
        <w:pStyle w:val="8"/>
        <w:widowControl w:val="0"/>
        <w:snapToGrid/>
        <w:spacing w:line="20" w:lineRule="exact"/>
        <w:ind w:firstLine="200"/>
        <w:rPr>
          <w:rFonts w:eastAsia="仿宋_GB2312"/>
          <w:sz w:val="10"/>
          <w:szCs w:val="10"/>
          <w:highlight w:val="yellow"/>
        </w:rPr>
      </w:pPr>
    </w:p>
    <w:tbl>
      <w:tblPr>
        <w:tblStyle w:val="24"/>
        <w:tblW w:w="4804" w:type="pct"/>
        <w:jc w:val="center"/>
        <w:tblLayout w:type="autofit"/>
        <w:tblCellMar>
          <w:top w:w="0" w:type="dxa"/>
          <w:left w:w="108" w:type="dxa"/>
          <w:bottom w:w="0" w:type="dxa"/>
          <w:right w:w="108" w:type="dxa"/>
        </w:tblCellMar>
      </w:tblPr>
      <w:tblGrid>
        <w:gridCol w:w="1006"/>
        <w:gridCol w:w="1008"/>
        <w:gridCol w:w="978"/>
        <w:gridCol w:w="673"/>
        <w:gridCol w:w="2297"/>
        <w:gridCol w:w="597"/>
        <w:gridCol w:w="7059"/>
      </w:tblGrid>
      <w:tr w14:paraId="1E91AD98">
        <w:tblPrEx>
          <w:tblCellMar>
            <w:top w:w="0" w:type="dxa"/>
            <w:left w:w="108" w:type="dxa"/>
            <w:bottom w:w="0" w:type="dxa"/>
            <w:right w:w="108" w:type="dxa"/>
          </w:tblCellMar>
        </w:tblPrEx>
        <w:trPr>
          <w:trHeight w:val="600" w:hRule="atLeast"/>
          <w:tblHeader/>
          <w:jc w:val="center"/>
        </w:trPr>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08E57">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A27F">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2931F">
            <w:pPr>
              <w:spacing w:line="260" w:lineRule="exact"/>
              <w:jc w:val="center"/>
              <w:textAlignment w:val="center"/>
              <w:rPr>
                <w:b/>
                <w:bCs/>
                <w:color w:val="000000"/>
                <w:sz w:val="18"/>
                <w:szCs w:val="18"/>
              </w:rPr>
            </w:pPr>
            <w:r>
              <w:rPr>
                <w:rStyle w:val="48"/>
                <w:rFonts w:hint="default"/>
                <w:sz w:val="18"/>
                <w:szCs w:val="18"/>
              </w:rPr>
              <w:t>三级指标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C5318">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7725">
            <w:pPr>
              <w:spacing w:line="260" w:lineRule="exact"/>
              <w:jc w:val="center"/>
              <w:textAlignment w:val="center"/>
              <w:rPr>
                <w:b/>
                <w:bCs/>
                <w:color w:val="000000"/>
                <w:sz w:val="18"/>
                <w:szCs w:val="18"/>
              </w:rPr>
            </w:pPr>
            <w:r>
              <w:rPr>
                <w:rStyle w:val="48"/>
                <w:rFonts w:hint="default"/>
                <w:sz w:val="18"/>
                <w:szCs w:val="18"/>
              </w:rPr>
              <w:t>指标解释</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724F5">
            <w:pPr>
              <w:spacing w:line="260" w:lineRule="exact"/>
              <w:jc w:val="center"/>
              <w:textAlignment w:val="center"/>
              <w:rPr>
                <w:b/>
                <w:bCs/>
                <w:color w:val="000000"/>
                <w:sz w:val="18"/>
                <w:szCs w:val="18"/>
              </w:rPr>
            </w:pPr>
            <w:r>
              <w:rPr>
                <w:rStyle w:val="48"/>
                <w:rFonts w:hint="default"/>
                <w:sz w:val="18"/>
                <w:szCs w:val="18"/>
              </w:rPr>
              <w:t>评分依据</w:t>
            </w:r>
          </w:p>
        </w:tc>
        <w:tc>
          <w:tcPr>
            <w:tcW w:w="2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8A11">
            <w:pPr>
              <w:spacing w:line="260" w:lineRule="exact"/>
              <w:jc w:val="center"/>
              <w:textAlignment w:val="center"/>
              <w:rPr>
                <w:b/>
                <w:bCs/>
                <w:color w:val="000000"/>
                <w:sz w:val="18"/>
                <w:szCs w:val="18"/>
              </w:rPr>
            </w:pPr>
            <w:r>
              <w:rPr>
                <w:rStyle w:val="48"/>
                <w:rFonts w:hint="default"/>
                <w:sz w:val="18"/>
                <w:szCs w:val="18"/>
              </w:rPr>
              <w:t>评分标准</w:t>
            </w:r>
          </w:p>
        </w:tc>
      </w:tr>
      <w:tr w14:paraId="2880DDCC">
        <w:tblPrEx>
          <w:tblCellMar>
            <w:top w:w="0" w:type="dxa"/>
            <w:left w:w="108" w:type="dxa"/>
            <w:bottom w:w="0" w:type="dxa"/>
            <w:right w:w="108" w:type="dxa"/>
          </w:tblCellMar>
        </w:tblPrEx>
        <w:trPr>
          <w:trHeight w:val="1670" w:hRule="atLeast"/>
          <w:jc w:val="center"/>
        </w:trPr>
        <w:tc>
          <w:tcPr>
            <w:tcW w:w="369" w:type="pct"/>
            <w:vMerge w:val="restart"/>
            <w:tcBorders>
              <w:top w:val="single" w:color="000000" w:sz="4" w:space="0"/>
              <w:left w:val="single" w:color="000000" w:sz="4" w:space="0"/>
              <w:right w:val="single" w:color="000000" w:sz="4" w:space="0"/>
            </w:tcBorders>
            <w:shd w:val="clear" w:color="auto" w:fill="auto"/>
            <w:vAlign w:val="center"/>
          </w:tcPr>
          <w:p w14:paraId="11300038">
            <w:pPr>
              <w:spacing w:line="260" w:lineRule="exact"/>
              <w:jc w:val="center"/>
              <w:textAlignment w:val="center"/>
              <w:rPr>
                <w:color w:val="000000"/>
                <w:kern w:val="0"/>
                <w:sz w:val="18"/>
                <w:szCs w:val="18"/>
              </w:rPr>
            </w:pPr>
            <w:r>
              <w:rPr>
                <w:rFonts w:hint="eastAsia"/>
                <w:color w:val="000000"/>
                <w:kern w:val="0"/>
                <w:sz w:val="18"/>
                <w:szCs w:val="18"/>
              </w:rPr>
              <w:t>部门决策</w:t>
            </w:r>
          </w:p>
          <w:p w14:paraId="47F77465">
            <w:pPr>
              <w:spacing w:line="260" w:lineRule="exact"/>
              <w:jc w:val="center"/>
              <w:textAlignment w:val="center"/>
              <w:rPr>
                <w:color w:val="000000"/>
                <w:kern w:val="0"/>
                <w:sz w:val="18"/>
                <w:szCs w:val="18"/>
              </w:rPr>
            </w:pPr>
            <w:r>
              <w:rPr>
                <w:rFonts w:hint="eastAsia"/>
                <w:color w:val="000000"/>
                <w:kern w:val="0"/>
                <w:sz w:val="18"/>
                <w:szCs w:val="18"/>
              </w:rPr>
              <w:t>（10分）</w:t>
            </w:r>
          </w:p>
          <w:p w14:paraId="71E87796">
            <w:pPr>
              <w:spacing w:line="260" w:lineRule="exact"/>
              <w:jc w:val="center"/>
              <w:rPr>
                <w:color w:val="000000"/>
                <w:sz w:val="18"/>
                <w:szCs w:val="18"/>
              </w:rPr>
            </w:pPr>
          </w:p>
        </w:tc>
        <w:tc>
          <w:tcPr>
            <w:tcW w:w="3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853A8">
            <w:pPr>
              <w:spacing w:line="260" w:lineRule="exact"/>
              <w:jc w:val="center"/>
              <w:textAlignment w:val="center"/>
              <w:rPr>
                <w:color w:val="000000"/>
                <w:kern w:val="0"/>
                <w:sz w:val="18"/>
                <w:szCs w:val="18"/>
              </w:rPr>
            </w:pPr>
            <w:r>
              <w:rPr>
                <w:rFonts w:hint="eastAsia"/>
                <w:color w:val="000000"/>
                <w:kern w:val="0"/>
                <w:sz w:val="18"/>
                <w:szCs w:val="18"/>
              </w:rPr>
              <w:t>目标设定</w:t>
            </w:r>
          </w:p>
          <w:p w14:paraId="3B4B4401">
            <w:pPr>
              <w:spacing w:line="260" w:lineRule="exact"/>
              <w:jc w:val="center"/>
              <w:textAlignment w:val="center"/>
              <w:rPr>
                <w:color w:val="000000"/>
                <w:sz w:val="18"/>
                <w:szCs w:val="18"/>
              </w:rPr>
            </w:pPr>
            <w:r>
              <w:rPr>
                <w:rFonts w:hint="eastAsia"/>
                <w:color w:val="000000"/>
                <w:kern w:val="0"/>
                <w:sz w:val="18"/>
                <w:szCs w:val="18"/>
              </w:rPr>
              <w:t>（4分）</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3DE19">
            <w:pPr>
              <w:spacing w:line="260" w:lineRule="exact"/>
              <w:jc w:val="center"/>
              <w:textAlignment w:val="center"/>
              <w:rPr>
                <w:color w:val="000000"/>
                <w:sz w:val="18"/>
                <w:szCs w:val="18"/>
              </w:rPr>
            </w:pPr>
            <w:r>
              <w:rPr>
                <w:rFonts w:hint="eastAsia"/>
                <w:color w:val="000000"/>
                <w:sz w:val="18"/>
                <w:szCs w:val="18"/>
              </w:rPr>
              <w:t>绩效目标合理性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6F0E5">
            <w:pPr>
              <w:spacing w:line="260" w:lineRule="exact"/>
              <w:jc w:val="center"/>
              <w:textAlignment w:val="center"/>
              <w:rPr>
                <w:color w:val="000000"/>
                <w:sz w:val="18"/>
                <w:szCs w:val="18"/>
              </w:rPr>
            </w:pPr>
            <w:r>
              <w:rPr>
                <w:rFonts w:hint="eastAsia"/>
                <w:color w:val="000000"/>
                <w:kern w:val="0"/>
                <w:sz w:val="18"/>
                <w:szCs w:val="18"/>
              </w:rPr>
              <w:t>2</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42CF8">
            <w:pPr>
              <w:spacing w:line="260" w:lineRule="exact"/>
              <w:jc w:val="left"/>
              <w:textAlignment w:val="center"/>
              <w:rPr>
                <w:color w:val="000000"/>
                <w:sz w:val="18"/>
                <w:szCs w:val="18"/>
              </w:rPr>
            </w:pPr>
            <w:r>
              <w:rPr>
                <w:rFonts w:hint="eastAsia"/>
                <w:color w:val="000000"/>
                <w:sz w:val="18"/>
                <w:szCs w:val="18"/>
              </w:rPr>
              <w:t>评价部门所设定的整体绩效目标是否依据充分，是否符合客观实际，用以反映部门2023年绩效目标完成情况。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4018C">
            <w:pPr>
              <w:spacing w:line="260" w:lineRule="exact"/>
              <w:jc w:val="center"/>
              <w:textAlignment w:val="center"/>
              <w:rPr>
                <w:color w:val="000000"/>
                <w:sz w:val="18"/>
                <w:szCs w:val="18"/>
              </w:rPr>
            </w:pPr>
            <w:r>
              <w:rPr>
                <w:rStyle w:val="43"/>
                <w:rFonts w:hint="default"/>
              </w:rPr>
              <w:t>通用标准</w:t>
            </w:r>
          </w:p>
        </w:tc>
        <w:tc>
          <w:tcPr>
            <w:tcW w:w="2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44A11">
            <w:pPr>
              <w:spacing w:line="260" w:lineRule="exact"/>
              <w:jc w:val="left"/>
              <w:textAlignment w:val="center"/>
              <w:rPr>
                <w:color w:val="000000"/>
                <w:kern w:val="0"/>
                <w:sz w:val="18"/>
                <w:szCs w:val="18"/>
              </w:rPr>
            </w:pPr>
            <w:r>
              <w:rPr>
                <w:rFonts w:hint="eastAsia"/>
                <w:color w:val="000000"/>
                <w:kern w:val="0"/>
                <w:sz w:val="18"/>
                <w:szCs w:val="18"/>
              </w:rPr>
              <w:t>①设定的年度工作目标符合国家法律法规、经济和社会发展规划要求，与部门职责或《政府工作报告》安排及其他相关文件下达的任务相关联，且具有文件依据，得1分，否则不得分；</w:t>
            </w:r>
          </w:p>
          <w:p w14:paraId="051F7939">
            <w:pPr>
              <w:spacing w:line="260" w:lineRule="exact"/>
              <w:jc w:val="left"/>
              <w:textAlignment w:val="center"/>
              <w:rPr>
                <w:color w:val="000000"/>
                <w:kern w:val="0"/>
                <w:sz w:val="18"/>
                <w:szCs w:val="18"/>
              </w:rPr>
            </w:pPr>
            <w:r>
              <w:rPr>
                <w:rFonts w:hint="eastAsia"/>
                <w:color w:val="000000"/>
                <w:kern w:val="0"/>
                <w:sz w:val="18"/>
                <w:szCs w:val="18"/>
              </w:rPr>
              <w:t>②设定的工作目标科学合理、内容全面，得0.5分，否则不得分；</w:t>
            </w:r>
          </w:p>
          <w:p w14:paraId="0C498F0D">
            <w:pPr>
              <w:spacing w:line="260" w:lineRule="exact"/>
              <w:jc w:val="left"/>
              <w:textAlignment w:val="center"/>
              <w:rPr>
                <w:color w:val="000000"/>
                <w:sz w:val="18"/>
                <w:szCs w:val="18"/>
              </w:rPr>
            </w:pPr>
            <w:r>
              <w:rPr>
                <w:rFonts w:hint="eastAsia"/>
                <w:color w:val="000000"/>
                <w:kern w:val="0"/>
                <w:sz w:val="18"/>
                <w:szCs w:val="18"/>
              </w:rPr>
              <w:t>③设定的工作目标可衡量，具备量化或定性条件，得0.5分，否则不得分。</w:t>
            </w:r>
          </w:p>
        </w:tc>
      </w:tr>
      <w:tr w14:paraId="09020D55">
        <w:tblPrEx>
          <w:tblCellMar>
            <w:top w:w="0" w:type="dxa"/>
            <w:left w:w="108" w:type="dxa"/>
            <w:bottom w:w="0" w:type="dxa"/>
            <w:right w:w="108" w:type="dxa"/>
          </w:tblCellMar>
        </w:tblPrEx>
        <w:trPr>
          <w:trHeight w:val="2070" w:hRule="atLeast"/>
          <w:jc w:val="center"/>
        </w:trPr>
        <w:tc>
          <w:tcPr>
            <w:tcW w:w="369" w:type="pct"/>
            <w:vMerge w:val="continue"/>
            <w:tcBorders>
              <w:left w:val="single" w:color="000000" w:sz="4" w:space="0"/>
              <w:right w:val="single" w:color="000000" w:sz="4" w:space="0"/>
            </w:tcBorders>
            <w:shd w:val="clear" w:color="auto" w:fill="auto"/>
            <w:vAlign w:val="center"/>
          </w:tcPr>
          <w:p w14:paraId="59E74140">
            <w:pPr>
              <w:spacing w:line="260" w:lineRule="exact"/>
              <w:jc w:val="center"/>
              <w:rPr>
                <w:color w:val="000000"/>
                <w:sz w:val="18"/>
                <w:szCs w:val="18"/>
              </w:rPr>
            </w:pPr>
          </w:p>
        </w:tc>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F0A70">
            <w:pPr>
              <w:spacing w:line="260" w:lineRule="exact"/>
              <w:jc w:val="center"/>
              <w:rPr>
                <w:color w:val="000000"/>
                <w:sz w:val="18"/>
                <w:szCs w:val="18"/>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5361">
            <w:pPr>
              <w:spacing w:line="260" w:lineRule="exact"/>
              <w:jc w:val="center"/>
              <w:textAlignment w:val="center"/>
              <w:rPr>
                <w:color w:val="000000"/>
                <w:sz w:val="18"/>
                <w:szCs w:val="18"/>
              </w:rPr>
            </w:pPr>
            <w:r>
              <w:rPr>
                <w:rFonts w:hint="eastAsia"/>
                <w:color w:val="000000"/>
                <w:sz w:val="18"/>
                <w:szCs w:val="18"/>
              </w:rPr>
              <w:t>绩效指标明确性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B927">
            <w:pPr>
              <w:spacing w:line="260" w:lineRule="exact"/>
              <w:jc w:val="center"/>
              <w:textAlignment w:val="center"/>
              <w:rPr>
                <w:color w:val="000000"/>
                <w:sz w:val="18"/>
                <w:szCs w:val="18"/>
              </w:rPr>
            </w:pPr>
            <w:r>
              <w:rPr>
                <w:rFonts w:hint="eastAsia"/>
                <w:color w:val="000000"/>
                <w:kern w:val="0"/>
                <w:sz w:val="18"/>
                <w:szCs w:val="18"/>
              </w:rPr>
              <w:t>2</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F3AE">
            <w:pPr>
              <w:spacing w:line="260" w:lineRule="exact"/>
              <w:jc w:val="left"/>
              <w:textAlignment w:val="center"/>
              <w:rPr>
                <w:color w:val="000000"/>
                <w:sz w:val="18"/>
                <w:szCs w:val="18"/>
              </w:rPr>
            </w:pPr>
            <w:r>
              <w:rPr>
                <w:rFonts w:hint="eastAsia"/>
                <w:color w:val="000000"/>
                <w:sz w:val="18"/>
                <w:szCs w:val="18"/>
              </w:rPr>
              <w:t>评价依据绩效目标设定的绩效指标是否清晰、细化、可衡量等，用以反映部门2023年绩效指标完成情况。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DAE0">
            <w:pPr>
              <w:spacing w:line="260" w:lineRule="exact"/>
              <w:jc w:val="center"/>
              <w:textAlignment w:val="center"/>
              <w:rPr>
                <w:color w:val="000000"/>
                <w:sz w:val="18"/>
                <w:szCs w:val="18"/>
              </w:rPr>
            </w:pPr>
            <w:r>
              <w:rPr>
                <w:rFonts w:hint="eastAsia"/>
                <w:color w:val="000000"/>
                <w:kern w:val="0"/>
                <w:sz w:val="18"/>
                <w:szCs w:val="18"/>
              </w:rPr>
              <w:t>通用标准</w:t>
            </w:r>
          </w:p>
        </w:tc>
        <w:tc>
          <w:tcPr>
            <w:tcW w:w="2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24974">
            <w:pPr>
              <w:spacing w:line="260" w:lineRule="exact"/>
              <w:jc w:val="left"/>
              <w:textAlignment w:val="center"/>
              <w:rPr>
                <w:color w:val="000000"/>
                <w:sz w:val="18"/>
                <w:szCs w:val="18"/>
              </w:rPr>
            </w:pPr>
            <w:r>
              <w:rPr>
                <w:rFonts w:hint="eastAsia"/>
                <w:color w:val="000000"/>
                <w:sz w:val="18"/>
                <w:szCs w:val="18"/>
              </w:rPr>
              <w:t>①设定的整体绩效目标细化分解为具体的绩效指标,得0.5分，否则不得分；</w:t>
            </w:r>
          </w:p>
          <w:p w14:paraId="04085A8E">
            <w:pPr>
              <w:spacing w:line="260" w:lineRule="exact"/>
              <w:jc w:val="left"/>
              <w:textAlignment w:val="center"/>
              <w:rPr>
                <w:color w:val="000000"/>
                <w:sz w:val="18"/>
                <w:szCs w:val="18"/>
              </w:rPr>
            </w:pPr>
            <w:r>
              <w:rPr>
                <w:rFonts w:hint="eastAsia"/>
                <w:color w:val="000000"/>
                <w:sz w:val="18"/>
                <w:szCs w:val="18"/>
              </w:rPr>
              <w:t>②通过清晰、可衡量的指标值予以体现,得1分，否则不得分；</w:t>
            </w:r>
          </w:p>
          <w:p w14:paraId="6F4781F9">
            <w:pPr>
              <w:spacing w:line="260" w:lineRule="exact"/>
              <w:jc w:val="left"/>
              <w:textAlignment w:val="center"/>
              <w:rPr>
                <w:color w:val="000000"/>
                <w:sz w:val="18"/>
                <w:szCs w:val="18"/>
              </w:rPr>
            </w:pPr>
            <w:r>
              <w:rPr>
                <w:rFonts w:hint="eastAsia"/>
                <w:color w:val="000000"/>
                <w:sz w:val="18"/>
                <w:szCs w:val="18"/>
              </w:rPr>
              <w:t>③与部门的目标任务数或计划数相对应，得0.5分，否则不得分。</w:t>
            </w:r>
          </w:p>
        </w:tc>
      </w:tr>
      <w:tr w14:paraId="49EB2F6A">
        <w:tblPrEx>
          <w:tblCellMar>
            <w:top w:w="0" w:type="dxa"/>
            <w:left w:w="108" w:type="dxa"/>
            <w:bottom w:w="0" w:type="dxa"/>
            <w:right w:w="108" w:type="dxa"/>
          </w:tblCellMar>
        </w:tblPrEx>
        <w:trPr>
          <w:trHeight w:val="1200" w:hRule="atLeast"/>
          <w:jc w:val="center"/>
        </w:trPr>
        <w:tc>
          <w:tcPr>
            <w:tcW w:w="369" w:type="pct"/>
            <w:vMerge w:val="continue"/>
            <w:tcBorders>
              <w:left w:val="single" w:color="000000" w:sz="4" w:space="0"/>
              <w:right w:val="single" w:color="000000" w:sz="4" w:space="0"/>
            </w:tcBorders>
            <w:shd w:val="clear" w:color="auto" w:fill="auto"/>
            <w:vAlign w:val="center"/>
          </w:tcPr>
          <w:p w14:paraId="60AB8988">
            <w:pPr>
              <w:spacing w:line="260" w:lineRule="exact"/>
              <w:jc w:val="center"/>
              <w:rPr>
                <w:color w:val="000000"/>
                <w:sz w:val="18"/>
                <w:szCs w:val="18"/>
              </w:rPr>
            </w:pPr>
          </w:p>
        </w:tc>
        <w:tc>
          <w:tcPr>
            <w:tcW w:w="3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CC60EB0">
            <w:pPr>
              <w:spacing w:line="260" w:lineRule="exact"/>
              <w:jc w:val="center"/>
              <w:textAlignment w:val="center"/>
              <w:rPr>
                <w:color w:val="000000"/>
                <w:kern w:val="0"/>
                <w:sz w:val="18"/>
                <w:szCs w:val="18"/>
              </w:rPr>
            </w:pPr>
            <w:r>
              <w:rPr>
                <w:rFonts w:hint="eastAsia"/>
                <w:color w:val="000000"/>
                <w:kern w:val="0"/>
                <w:sz w:val="18"/>
                <w:szCs w:val="18"/>
              </w:rPr>
              <w:t>预算配置</w:t>
            </w:r>
          </w:p>
          <w:p w14:paraId="6D07DD1A">
            <w:pPr>
              <w:spacing w:line="260" w:lineRule="exact"/>
              <w:jc w:val="center"/>
              <w:textAlignment w:val="center"/>
              <w:rPr>
                <w:color w:val="000000"/>
                <w:sz w:val="18"/>
                <w:szCs w:val="18"/>
              </w:rPr>
            </w:pPr>
            <w:r>
              <w:rPr>
                <w:rFonts w:hint="eastAsia"/>
                <w:color w:val="000000"/>
                <w:kern w:val="0"/>
                <w:sz w:val="18"/>
                <w:szCs w:val="18"/>
              </w:rPr>
              <w:t>（6分）</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C901C">
            <w:pPr>
              <w:spacing w:line="260" w:lineRule="exact"/>
              <w:jc w:val="center"/>
              <w:textAlignment w:val="center"/>
              <w:rPr>
                <w:color w:val="000000"/>
                <w:sz w:val="18"/>
                <w:szCs w:val="18"/>
              </w:rPr>
            </w:pPr>
            <w:r>
              <w:rPr>
                <w:rFonts w:hint="eastAsia"/>
                <w:color w:val="000000"/>
                <w:sz w:val="18"/>
                <w:szCs w:val="18"/>
              </w:rPr>
              <w:t>预算编制科学性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94328">
            <w:pPr>
              <w:spacing w:line="260" w:lineRule="exact"/>
              <w:jc w:val="center"/>
              <w:textAlignment w:val="center"/>
              <w:rPr>
                <w:color w:val="000000"/>
                <w:sz w:val="18"/>
                <w:szCs w:val="18"/>
              </w:rPr>
            </w:pPr>
            <w:r>
              <w:rPr>
                <w:rFonts w:hint="eastAsia"/>
                <w:color w:val="000000"/>
                <w:sz w:val="18"/>
                <w:szCs w:val="18"/>
              </w:rPr>
              <w:t>3</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7CD0">
            <w:pPr>
              <w:spacing w:line="260" w:lineRule="exact"/>
              <w:jc w:val="left"/>
              <w:textAlignment w:val="center"/>
              <w:rPr>
                <w:color w:val="000000"/>
                <w:sz w:val="18"/>
                <w:szCs w:val="18"/>
              </w:rPr>
            </w:pPr>
            <w:r>
              <w:rPr>
                <w:rFonts w:hint="eastAsia"/>
                <w:color w:val="000000"/>
                <w:sz w:val="18"/>
                <w:szCs w:val="18"/>
              </w:rPr>
              <w:t>评价部门2023年预算编制情况。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8E4E0">
            <w:pPr>
              <w:spacing w:line="260" w:lineRule="exact"/>
              <w:jc w:val="center"/>
              <w:textAlignment w:val="center"/>
              <w:rPr>
                <w:color w:val="000000"/>
                <w:sz w:val="18"/>
                <w:szCs w:val="18"/>
              </w:rPr>
            </w:pPr>
            <w:r>
              <w:rPr>
                <w:rFonts w:hint="eastAsia"/>
                <w:color w:val="000000"/>
                <w:kern w:val="0"/>
                <w:sz w:val="18"/>
                <w:szCs w:val="18"/>
              </w:rPr>
              <w:t>通用标准</w:t>
            </w:r>
          </w:p>
        </w:tc>
        <w:tc>
          <w:tcPr>
            <w:tcW w:w="2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481D">
            <w:pPr>
              <w:spacing w:line="260" w:lineRule="exact"/>
              <w:jc w:val="left"/>
              <w:textAlignment w:val="center"/>
              <w:rPr>
                <w:color w:val="000000"/>
                <w:sz w:val="18"/>
                <w:szCs w:val="18"/>
              </w:rPr>
            </w:pPr>
            <w:r>
              <w:rPr>
                <w:rFonts w:hint="eastAsia"/>
                <w:color w:val="000000"/>
                <w:sz w:val="18"/>
                <w:szCs w:val="18"/>
              </w:rPr>
              <w:t>①部门预算编制报送的及时、准确,得0.5分，否则不得分；</w:t>
            </w:r>
          </w:p>
          <w:p w14:paraId="579307AF">
            <w:pPr>
              <w:spacing w:line="260" w:lineRule="exact"/>
              <w:jc w:val="left"/>
              <w:textAlignment w:val="center"/>
              <w:rPr>
                <w:color w:val="000000"/>
                <w:sz w:val="18"/>
                <w:szCs w:val="18"/>
              </w:rPr>
            </w:pPr>
            <w:r>
              <w:rPr>
                <w:rFonts w:hint="eastAsia"/>
                <w:color w:val="000000"/>
                <w:sz w:val="18"/>
                <w:szCs w:val="18"/>
              </w:rPr>
              <w:t>②年初预算基本支出真实、准确,得1分，否则不得分；</w:t>
            </w:r>
          </w:p>
          <w:p w14:paraId="2C386807">
            <w:pPr>
              <w:spacing w:line="260" w:lineRule="exact"/>
              <w:jc w:val="left"/>
              <w:textAlignment w:val="center"/>
              <w:rPr>
                <w:color w:val="000000"/>
                <w:sz w:val="18"/>
                <w:szCs w:val="18"/>
              </w:rPr>
            </w:pPr>
            <w:r>
              <w:rPr>
                <w:rFonts w:hint="eastAsia"/>
                <w:color w:val="000000"/>
                <w:sz w:val="18"/>
                <w:szCs w:val="18"/>
              </w:rPr>
              <w:t>③项目支出预算按照项目分类细化，得1分，否则不得分；</w:t>
            </w:r>
          </w:p>
          <w:p w14:paraId="12C0E0F4">
            <w:pPr>
              <w:spacing w:line="260" w:lineRule="exact"/>
              <w:jc w:val="left"/>
              <w:textAlignment w:val="center"/>
              <w:rPr>
                <w:color w:val="000000"/>
                <w:sz w:val="18"/>
                <w:szCs w:val="18"/>
              </w:rPr>
            </w:pPr>
            <w:r>
              <w:rPr>
                <w:rFonts w:hint="eastAsia"/>
                <w:color w:val="000000"/>
                <w:sz w:val="18"/>
                <w:szCs w:val="18"/>
              </w:rPr>
              <w:t>④预算执行资金分配计划及时、准确,得0.5分，否则不得分。</w:t>
            </w:r>
          </w:p>
        </w:tc>
      </w:tr>
      <w:tr w14:paraId="5E53427F">
        <w:tblPrEx>
          <w:tblCellMar>
            <w:top w:w="0" w:type="dxa"/>
            <w:left w:w="108" w:type="dxa"/>
            <w:bottom w:w="0" w:type="dxa"/>
            <w:right w:w="108" w:type="dxa"/>
          </w:tblCellMar>
        </w:tblPrEx>
        <w:trPr>
          <w:trHeight w:val="1360" w:hRule="atLeast"/>
          <w:jc w:val="center"/>
        </w:trPr>
        <w:tc>
          <w:tcPr>
            <w:tcW w:w="369" w:type="pct"/>
            <w:vMerge w:val="continue"/>
            <w:tcBorders>
              <w:left w:val="single" w:color="000000" w:sz="4" w:space="0"/>
              <w:bottom w:val="single" w:color="auto" w:sz="4" w:space="0"/>
              <w:right w:val="single" w:color="000000" w:sz="4" w:space="0"/>
            </w:tcBorders>
            <w:shd w:val="clear" w:color="auto" w:fill="auto"/>
            <w:vAlign w:val="center"/>
          </w:tcPr>
          <w:p w14:paraId="617C5409">
            <w:pPr>
              <w:spacing w:line="260" w:lineRule="exact"/>
              <w:jc w:val="center"/>
              <w:rPr>
                <w:color w:val="000000"/>
                <w:sz w:val="18"/>
                <w:szCs w:val="18"/>
              </w:rPr>
            </w:pPr>
          </w:p>
        </w:tc>
        <w:tc>
          <w:tcPr>
            <w:tcW w:w="3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7DDAB8E">
            <w:pPr>
              <w:spacing w:line="260" w:lineRule="exact"/>
              <w:jc w:val="center"/>
              <w:rPr>
                <w:color w:val="000000"/>
                <w:sz w:val="18"/>
                <w:szCs w:val="18"/>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9FB97">
            <w:pPr>
              <w:spacing w:line="260" w:lineRule="exact"/>
              <w:jc w:val="center"/>
              <w:textAlignment w:val="center"/>
              <w:rPr>
                <w:color w:val="000000"/>
                <w:sz w:val="18"/>
                <w:szCs w:val="18"/>
              </w:rPr>
            </w:pPr>
            <w:r>
              <w:rPr>
                <w:rFonts w:hint="eastAsia"/>
                <w:color w:val="000000"/>
                <w:sz w:val="18"/>
                <w:szCs w:val="18"/>
              </w:rPr>
              <w:t>预算配置合理性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F8C1">
            <w:pPr>
              <w:spacing w:line="260" w:lineRule="exact"/>
              <w:jc w:val="center"/>
              <w:textAlignment w:val="center"/>
              <w:rPr>
                <w:color w:val="000000"/>
                <w:sz w:val="18"/>
                <w:szCs w:val="18"/>
              </w:rPr>
            </w:pPr>
            <w:r>
              <w:rPr>
                <w:rFonts w:hint="eastAsia"/>
                <w:color w:val="000000"/>
                <w:sz w:val="18"/>
                <w:szCs w:val="18"/>
              </w:rPr>
              <w:t>3</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3C60D">
            <w:pPr>
              <w:spacing w:line="260" w:lineRule="exact"/>
              <w:jc w:val="left"/>
              <w:textAlignment w:val="center"/>
              <w:rPr>
                <w:color w:val="000000"/>
                <w:sz w:val="18"/>
                <w:szCs w:val="18"/>
              </w:rPr>
            </w:pPr>
            <w:r>
              <w:rPr>
                <w:rFonts w:hint="eastAsia"/>
                <w:color w:val="000000"/>
                <w:sz w:val="18"/>
                <w:szCs w:val="18"/>
              </w:rPr>
              <w:t>评价部门2023年预算配置情况。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D1BE9">
            <w:pPr>
              <w:spacing w:line="260" w:lineRule="exact"/>
              <w:jc w:val="center"/>
              <w:textAlignment w:val="center"/>
              <w:rPr>
                <w:color w:val="000000"/>
                <w:sz w:val="18"/>
                <w:szCs w:val="18"/>
              </w:rPr>
            </w:pPr>
            <w:r>
              <w:rPr>
                <w:rFonts w:hint="eastAsia"/>
                <w:color w:val="000000"/>
                <w:kern w:val="0"/>
                <w:sz w:val="18"/>
                <w:szCs w:val="18"/>
              </w:rPr>
              <w:t>通用标准</w:t>
            </w:r>
          </w:p>
        </w:tc>
        <w:tc>
          <w:tcPr>
            <w:tcW w:w="2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67A92">
            <w:pPr>
              <w:spacing w:line="260" w:lineRule="exact"/>
              <w:jc w:val="left"/>
              <w:textAlignment w:val="center"/>
              <w:rPr>
                <w:color w:val="000000"/>
                <w:sz w:val="18"/>
                <w:szCs w:val="18"/>
              </w:rPr>
            </w:pPr>
            <w:r>
              <w:rPr>
                <w:rFonts w:hint="eastAsia"/>
                <w:color w:val="000000"/>
                <w:sz w:val="18"/>
                <w:szCs w:val="18"/>
              </w:rPr>
              <w:t>①预算资金分配具有依据，分配合理，得1分，否则不得分；</w:t>
            </w:r>
          </w:p>
          <w:p w14:paraId="21A9AFB7">
            <w:pPr>
              <w:spacing w:line="260" w:lineRule="exact"/>
              <w:jc w:val="left"/>
              <w:textAlignment w:val="center"/>
              <w:rPr>
                <w:color w:val="000000"/>
                <w:kern w:val="0"/>
                <w:sz w:val="18"/>
                <w:szCs w:val="18"/>
              </w:rPr>
            </w:pPr>
            <w:r>
              <w:rPr>
                <w:rFonts w:hint="eastAsia"/>
                <w:color w:val="000000"/>
                <w:sz w:val="18"/>
                <w:szCs w:val="18"/>
              </w:rPr>
              <w:t>②</w:t>
            </w:r>
            <w:r>
              <w:rPr>
                <w:rFonts w:hint="eastAsia"/>
                <w:color w:val="000000"/>
                <w:kern w:val="0"/>
                <w:sz w:val="18"/>
                <w:szCs w:val="18"/>
              </w:rPr>
              <w:t>三公经费变动率小于或等于0，得1分，三公经费变动率大于0的不得分；</w:t>
            </w:r>
          </w:p>
          <w:p w14:paraId="0F85DE61">
            <w:pPr>
              <w:spacing w:line="260" w:lineRule="exact"/>
              <w:jc w:val="left"/>
              <w:textAlignment w:val="center"/>
              <w:rPr>
                <w:color w:val="000000"/>
                <w:sz w:val="18"/>
                <w:szCs w:val="18"/>
              </w:rPr>
            </w:pPr>
            <w:r>
              <w:rPr>
                <w:rFonts w:hint="eastAsia"/>
                <w:color w:val="000000"/>
                <w:sz w:val="18"/>
                <w:szCs w:val="18"/>
              </w:rPr>
              <w:t>③重点支出安排率</w:t>
            </w:r>
            <w:r>
              <w:rPr>
                <w:rFonts w:hint="eastAsia"/>
                <w:color w:val="000000"/>
                <w:kern w:val="0"/>
                <w:sz w:val="18"/>
                <w:szCs w:val="18"/>
              </w:rPr>
              <w:t>小于或等于0，得1分，变动率大于0的不得分。</w:t>
            </w:r>
          </w:p>
          <w:p w14:paraId="7AD4244C">
            <w:pPr>
              <w:spacing w:line="260" w:lineRule="exact"/>
              <w:jc w:val="left"/>
              <w:textAlignment w:val="center"/>
              <w:rPr>
                <w:color w:val="000000"/>
                <w:sz w:val="18"/>
                <w:szCs w:val="18"/>
              </w:rPr>
            </w:pPr>
          </w:p>
        </w:tc>
      </w:tr>
    </w:tbl>
    <w:p w14:paraId="0CB37E01">
      <w:pPr>
        <w:pStyle w:val="8"/>
        <w:ind w:firstLine="560"/>
        <w:rPr>
          <w:rFonts w:eastAsia="仿宋_GB2312"/>
          <w:highlight w:val="yellow"/>
        </w:rPr>
        <w:sectPr>
          <w:footerReference r:id="rId15" w:type="default"/>
          <w:pgSz w:w="16838" w:h="11906" w:orient="landscape"/>
          <w:pgMar w:top="1800" w:right="1440" w:bottom="1587" w:left="1440" w:header="851" w:footer="992" w:gutter="0"/>
          <w:pgNumType w:start="69"/>
          <w:cols w:space="425" w:num="1"/>
          <w:docGrid w:type="lines" w:linePitch="312" w:charSpace="0"/>
        </w:sectPr>
      </w:pPr>
    </w:p>
    <w:p w14:paraId="735FA172">
      <w:pPr>
        <w:jc w:val="center"/>
        <w:rPr>
          <w:sz w:val="32"/>
          <w:szCs w:val="32"/>
        </w:rPr>
      </w:pPr>
      <w:r>
        <w:rPr>
          <w:rFonts w:hint="eastAsia"/>
          <w:b/>
          <w:bCs/>
          <w:color w:val="000000"/>
          <w:kern w:val="0"/>
          <w:sz w:val="32"/>
          <w:szCs w:val="32"/>
        </w:rPr>
        <w:t>永济市文旅局部门整体支出绩效评价指标表</w:t>
      </w:r>
    </w:p>
    <w:tbl>
      <w:tblPr>
        <w:tblStyle w:val="24"/>
        <w:tblW w:w="4863" w:type="pct"/>
        <w:jc w:val="center"/>
        <w:tblLayout w:type="autofit"/>
        <w:tblCellMar>
          <w:top w:w="0" w:type="dxa"/>
          <w:left w:w="108" w:type="dxa"/>
          <w:bottom w:w="0" w:type="dxa"/>
          <w:right w:w="108" w:type="dxa"/>
        </w:tblCellMar>
      </w:tblPr>
      <w:tblGrid>
        <w:gridCol w:w="971"/>
        <w:gridCol w:w="952"/>
        <w:gridCol w:w="1026"/>
        <w:gridCol w:w="610"/>
        <w:gridCol w:w="3032"/>
        <w:gridCol w:w="635"/>
        <w:gridCol w:w="6560"/>
      </w:tblGrid>
      <w:tr w14:paraId="03FFAB12">
        <w:tblPrEx>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85DF">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FD74">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921FA">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BBD86">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6FAE3">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9085">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E795">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14DEC31B">
        <w:tblPrEx>
          <w:tblCellMar>
            <w:top w:w="0" w:type="dxa"/>
            <w:left w:w="108" w:type="dxa"/>
            <w:bottom w:w="0" w:type="dxa"/>
            <w:right w:w="108" w:type="dxa"/>
          </w:tblCellMar>
        </w:tblPrEx>
        <w:trPr>
          <w:trHeight w:val="1169" w:hRule="atLeast"/>
          <w:jc w:val="center"/>
        </w:trPr>
        <w:tc>
          <w:tcPr>
            <w:tcW w:w="352" w:type="pct"/>
            <w:vMerge w:val="restart"/>
            <w:tcBorders>
              <w:top w:val="single" w:color="000000" w:sz="4" w:space="0"/>
              <w:left w:val="single" w:color="000000" w:sz="4" w:space="0"/>
              <w:right w:val="single" w:color="000000" w:sz="4" w:space="0"/>
            </w:tcBorders>
            <w:shd w:val="clear" w:color="auto" w:fill="auto"/>
            <w:vAlign w:val="center"/>
          </w:tcPr>
          <w:p w14:paraId="13107845">
            <w:pPr>
              <w:spacing w:line="260" w:lineRule="exact"/>
              <w:jc w:val="center"/>
              <w:rPr>
                <w:color w:val="000000"/>
                <w:sz w:val="18"/>
                <w:szCs w:val="18"/>
              </w:rPr>
            </w:pPr>
            <w:r>
              <w:rPr>
                <w:rFonts w:hint="eastAsia"/>
                <w:color w:val="000000"/>
                <w:sz w:val="18"/>
                <w:szCs w:val="18"/>
              </w:rPr>
              <w:t>部门管理</w:t>
            </w:r>
          </w:p>
          <w:p w14:paraId="5914076D">
            <w:pPr>
              <w:pStyle w:val="8"/>
              <w:ind w:firstLine="0" w:firstLineChars="0"/>
            </w:pPr>
            <w:r>
              <w:rPr>
                <w:rFonts w:hint="eastAsia" w:ascii="仿宋" w:hAnsi="仿宋"/>
                <w:color w:val="000000"/>
                <w:sz w:val="18"/>
                <w:szCs w:val="18"/>
              </w:rPr>
              <w:t>（40分）</w:t>
            </w:r>
          </w:p>
        </w:tc>
        <w:tc>
          <w:tcPr>
            <w:tcW w:w="345" w:type="pct"/>
            <w:vMerge w:val="restart"/>
            <w:tcBorders>
              <w:top w:val="single" w:color="000000" w:sz="4" w:space="0"/>
              <w:left w:val="single" w:color="000000" w:sz="4" w:space="0"/>
              <w:right w:val="single" w:color="000000" w:sz="4" w:space="0"/>
            </w:tcBorders>
            <w:shd w:val="clear" w:color="auto" w:fill="auto"/>
            <w:vAlign w:val="center"/>
          </w:tcPr>
          <w:p w14:paraId="0047B462">
            <w:pPr>
              <w:spacing w:line="260" w:lineRule="exact"/>
              <w:jc w:val="center"/>
              <w:rPr>
                <w:color w:val="000000"/>
                <w:sz w:val="18"/>
                <w:szCs w:val="18"/>
              </w:rPr>
            </w:pPr>
            <w:r>
              <w:rPr>
                <w:rFonts w:hint="eastAsia"/>
                <w:color w:val="000000"/>
                <w:sz w:val="18"/>
                <w:szCs w:val="18"/>
              </w:rPr>
              <w:t>预算管理</w:t>
            </w:r>
          </w:p>
          <w:p w14:paraId="70492F7A">
            <w:pPr>
              <w:pStyle w:val="8"/>
              <w:ind w:firstLine="0" w:firstLineChars="0"/>
            </w:pPr>
            <w:r>
              <w:rPr>
                <w:rFonts w:hint="eastAsia" w:ascii="仿宋" w:hAnsi="仿宋"/>
                <w:color w:val="000000"/>
                <w:sz w:val="18"/>
                <w:szCs w:val="18"/>
              </w:rPr>
              <w:t>（12分）</w:t>
            </w: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27E5">
            <w:pPr>
              <w:spacing w:line="260" w:lineRule="exact"/>
              <w:jc w:val="center"/>
              <w:textAlignment w:val="center"/>
              <w:rPr>
                <w:color w:val="000000"/>
                <w:sz w:val="18"/>
                <w:szCs w:val="18"/>
              </w:rPr>
            </w:pPr>
            <w:r>
              <w:rPr>
                <w:rFonts w:hint="eastAsia"/>
                <w:color w:val="000000"/>
                <w:kern w:val="0"/>
                <w:sz w:val="18"/>
                <w:szCs w:val="18"/>
              </w:rPr>
              <w:t>预算完成率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8C318">
            <w:pPr>
              <w:spacing w:line="260" w:lineRule="exact"/>
              <w:jc w:val="center"/>
              <w:textAlignment w:val="center"/>
              <w:rPr>
                <w:color w:val="000000"/>
                <w:sz w:val="18"/>
                <w:szCs w:val="18"/>
              </w:rPr>
            </w:pPr>
            <w:r>
              <w:rPr>
                <w:rFonts w:hint="eastAsia"/>
                <w:color w:val="000000"/>
                <w:kern w:val="0"/>
                <w:sz w:val="18"/>
                <w:szCs w:val="18"/>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69A81">
            <w:pPr>
              <w:spacing w:line="260" w:lineRule="exact"/>
              <w:jc w:val="left"/>
              <w:textAlignment w:val="center"/>
              <w:rPr>
                <w:color w:val="000000"/>
                <w:sz w:val="18"/>
                <w:szCs w:val="18"/>
              </w:rPr>
            </w:pPr>
            <w:r>
              <w:rPr>
                <w:rFonts w:hint="eastAsia"/>
                <w:color w:val="000000"/>
                <w:kern w:val="0"/>
                <w:sz w:val="18"/>
                <w:szCs w:val="18"/>
              </w:rPr>
              <w:t>部门本年度预算完成数与预算数的比率，用以反映和考核部门预算完成程度。</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DFD83">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96E2">
            <w:pPr>
              <w:spacing w:line="260" w:lineRule="exact"/>
              <w:jc w:val="left"/>
              <w:textAlignment w:val="center"/>
              <w:rPr>
                <w:color w:val="000000"/>
                <w:kern w:val="0"/>
                <w:sz w:val="18"/>
                <w:szCs w:val="18"/>
              </w:rPr>
            </w:pPr>
            <w:r>
              <w:rPr>
                <w:rFonts w:hint="eastAsia"/>
                <w:color w:val="000000"/>
                <w:kern w:val="0"/>
                <w:sz w:val="18"/>
                <w:szCs w:val="18"/>
              </w:rPr>
              <w:t>预算完成率=（预算完成数/预算数）×100%。</w:t>
            </w:r>
          </w:p>
          <w:p w14:paraId="5EB74611">
            <w:pPr>
              <w:spacing w:line="260" w:lineRule="exact"/>
              <w:jc w:val="left"/>
              <w:textAlignment w:val="center"/>
              <w:rPr>
                <w:color w:val="000000"/>
                <w:kern w:val="0"/>
                <w:sz w:val="18"/>
                <w:szCs w:val="18"/>
              </w:rPr>
            </w:pPr>
            <w:r>
              <w:rPr>
                <w:rFonts w:hint="eastAsia"/>
                <w:color w:val="000000"/>
                <w:kern w:val="0"/>
                <w:sz w:val="18"/>
                <w:szCs w:val="18"/>
              </w:rPr>
              <w:t>①预算完成率≥95%，得2分；</w:t>
            </w:r>
          </w:p>
          <w:p w14:paraId="4B221A95">
            <w:pPr>
              <w:spacing w:line="260" w:lineRule="exact"/>
              <w:jc w:val="left"/>
              <w:textAlignment w:val="center"/>
              <w:rPr>
                <w:color w:val="000000"/>
                <w:kern w:val="0"/>
                <w:sz w:val="18"/>
                <w:szCs w:val="18"/>
              </w:rPr>
            </w:pPr>
            <w:r>
              <w:rPr>
                <w:rFonts w:hint="eastAsia"/>
                <w:color w:val="000000"/>
                <w:kern w:val="0"/>
                <w:sz w:val="18"/>
                <w:szCs w:val="18"/>
              </w:rPr>
              <w:t>②预算完成率≤90%，得0分；</w:t>
            </w:r>
          </w:p>
          <w:p w14:paraId="100F8DDF">
            <w:pPr>
              <w:spacing w:line="260" w:lineRule="exact"/>
              <w:jc w:val="left"/>
              <w:textAlignment w:val="center"/>
              <w:rPr>
                <w:color w:val="000000"/>
                <w:kern w:val="0"/>
                <w:sz w:val="18"/>
                <w:szCs w:val="18"/>
              </w:rPr>
            </w:pPr>
            <w:r>
              <w:rPr>
                <w:rFonts w:hint="eastAsia"/>
                <w:color w:val="000000"/>
                <w:kern w:val="0"/>
                <w:sz w:val="18"/>
                <w:szCs w:val="18"/>
              </w:rPr>
              <w:t>③预算完成率在90%-95%之间，按比例计算确定。</w:t>
            </w:r>
          </w:p>
          <w:p w14:paraId="6AB04B03">
            <w:pPr>
              <w:spacing w:line="260" w:lineRule="exact"/>
              <w:jc w:val="left"/>
              <w:textAlignment w:val="center"/>
              <w:rPr>
                <w:color w:val="000000"/>
                <w:sz w:val="18"/>
                <w:szCs w:val="18"/>
              </w:rPr>
            </w:pPr>
            <w:r>
              <w:rPr>
                <w:rFonts w:hint="eastAsia"/>
                <w:color w:val="000000"/>
                <w:kern w:val="0"/>
                <w:sz w:val="18"/>
                <w:szCs w:val="18"/>
              </w:rPr>
              <w:t>按比例计算得分=（预算完成率-90%）/（95%-90%）×该指标分值2分。</w:t>
            </w:r>
          </w:p>
        </w:tc>
      </w:tr>
      <w:tr w14:paraId="203AC20C">
        <w:tblPrEx>
          <w:tblCellMar>
            <w:top w:w="0" w:type="dxa"/>
            <w:left w:w="108" w:type="dxa"/>
            <w:bottom w:w="0" w:type="dxa"/>
            <w:right w:w="108" w:type="dxa"/>
          </w:tblCellMar>
        </w:tblPrEx>
        <w:trPr>
          <w:trHeight w:val="1190" w:hRule="atLeast"/>
          <w:jc w:val="center"/>
        </w:trPr>
        <w:tc>
          <w:tcPr>
            <w:tcW w:w="352" w:type="pct"/>
            <w:vMerge w:val="continue"/>
            <w:tcBorders>
              <w:left w:val="single" w:color="000000" w:sz="4" w:space="0"/>
              <w:right w:val="single" w:color="000000" w:sz="4" w:space="0"/>
            </w:tcBorders>
            <w:shd w:val="clear" w:color="auto" w:fill="auto"/>
            <w:vAlign w:val="center"/>
          </w:tcPr>
          <w:p w14:paraId="0B2C6A16">
            <w:pPr>
              <w:spacing w:line="260" w:lineRule="exact"/>
              <w:jc w:val="center"/>
              <w:rPr>
                <w:color w:val="000000"/>
                <w:sz w:val="18"/>
                <w:szCs w:val="18"/>
              </w:rPr>
            </w:pPr>
          </w:p>
        </w:tc>
        <w:tc>
          <w:tcPr>
            <w:tcW w:w="345" w:type="pct"/>
            <w:vMerge w:val="continue"/>
            <w:tcBorders>
              <w:left w:val="single" w:color="000000" w:sz="4" w:space="0"/>
              <w:right w:val="single" w:color="000000" w:sz="4" w:space="0"/>
            </w:tcBorders>
            <w:shd w:val="clear" w:color="auto" w:fill="auto"/>
            <w:vAlign w:val="center"/>
          </w:tcPr>
          <w:p w14:paraId="021C0958">
            <w:pPr>
              <w:spacing w:line="260" w:lineRule="exact"/>
              <w:jc w:val="center"/>
              <w:rPr>
                <w:color w:val="000000"/>
                <w:sz w:val="18"/>
                <w:szCs w:val="18"/>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4F6B2">
            <w:pPr>
              <w:spacing w:line="260" w:lineRule="exact"/>
              <w:jc w:val="center"/>
              <w:textAlignment w:val="center"/>
              <w:rPr>
                <w:color w:val="000000"/>
                <w:sz w:val="18"/>
                <w:szCs w:val="18"/>
              </w:rPr>
            </w:pPr>
            <w:r>
              <w:rPr>
                <w:rFonts w:hint="eastAsia"/>
                <w:color w:val="000000"/>
                <w:kern w:val="0"/>
                <w:sz w:val="18"/>
                <w:szCs w:val="18"/>
              </w:rPr>
              <w:t>预算调整率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BD798">
            <w:pPr>
              <w:spacing w:line="260" w:lineRule="exact"/>
              <w:jc w:val="center"/>
              <w:textAlignment w:val="center"/>
              <w:rPr>
                <w:color w:val="000000"/>
                <w:sz w:val="18"/>
                <w:szCs w:val="18"/>
              </w:rPr>
            </w:pPr>
            <w:r>
              <w:rPr>
                <w:rFonts w:hint="eastAsia"/>
                <w:color w:val="000000"/>
                <w:kern w:val="0"/>
                <w:sz w:val="18"/>
                <w:szCs w:val="18"/>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3B432">
            <w:pPr>
              <w:spacing w:line="260" w:lineRule="exact"/>
              <w:jc w:val="left"/>
              <w:textAlignment w:val="center"/>
              <w:rPr>
                <w:color w:val="000000"/>
                <w:sz w:val="18"/>
                <w:szCs w:val="18"/>
              </w:rPr>
            </w:pPr>
            <w:r>
              <w:rPr>
                <w:rFonts w:hint="eastAsia"/>
                <w:color w:val="000000"/>
                <w:kern w:val="0"/>
                <w:sz w:val="18"/>
                <w:szCs w:val="18"/>
              </w:rPr>
              <w:t>部门本年度预算调整数与预算数的比率，用以反映和考核部门预算的调整程度。</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7D938">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B09F5">
            <w:pPr>
              <w:spacing w:line="240" w:lineRule="exact"/>
              <w:jc w:val="left"/>
              <w:textAlignment w:val="center"/>
              <w:rPr>
                <w:color w:val="000000"/>
                <w:kern w:val="0"/>
                <w:sz w:val="18"/>
                <w:szCs w:val="18"/>
              </w:rPr>
            </w:pPr>
            <w:r>
              <w:rPr>
                <w:rFonts w:hint="eastAsia"/>
                <w:color w:val="000000"/>
                <w:kern w:val="0"/>
                <w:sz w:val="18"/>
                <w:szCs w:val="18"/>
              </w:rPr>
              <w:t>预算调整率=（预算调整数/预算数）×100%。</w:t>
            </w:r>
          </w:p>
          <w:p w14:paraId="51228E3F">
            <w:pPr>
              <w:spacing w:line="240" w:lineRule="exact"/>
              <w:jc w:val="left"/>
              <w:textAlignment w:val="center"/>
              <w:rPr>
                <w:color w:val="000000"/>
                <w:kern w:val="0"/>
                <w:sz w:val="18"/>
                <w:szCs w:val="18"/>
              </w:rPr>
            </w:pPr>
            <w:r>
              <w:rPr>
                <w:rFonts w:hint="eastAsia"/>
                <w:color w:val="000000"/>
                <w:kern w:val="0"/>
                <w:sz w:val="18"/>
                <w:szCs w:val="18"/>
              </w:rPr>
              <w:t>①预算调整率≤5%，得2分；</w:t>
            </w:r>
          </w:p>
          <w:p w14:paraId="2B68462C">
            <w:pPr>
              <w:spacing w:line="240" w:lineRule="exact"/>
              <w:jc w:val="left"/>
              <w:textAlignment w:val="center"/>
              <w:rPr>
                <w:color w:val="000000"/>
                <w:kern w:val="0"/>
                <w:sz w:val="18"/>
                <w:szCs w:val="18"/>
              </w:rPr>
            </w:pPr>
            <w:r>
              <w:rPr>
                <w:rFonts w:hint="eastAsia"/>
                <w:color w:val="000000"/>
                <w:kern w:val="0"/>
                <w:sz w:val="18"/>
                <w:szCs w:val="18"/>
              </w:rPr>
              <w:t>②预算调整率≥20%，得0分；</w:t>
            </w:r>
          </w:p>
          <w:p w14:paraId="664FE703">
            <w:pPr>
              <w:spacing w:line="240" w:lineRule="exact"/>
              <w:jc w:val="left"/>
              <w:textAlignment w:val="center"/>
              <w:rPr>
                <w:color w:val="000000"/>
                <w:kern w:val="0"/>
                <w:sz w:val="18"/>
                <w:szCs w:val="18"/>
              </w:rPr>
            </w:pPr>
            <w:r>
              <w:rPr>
                <w:rFonts w:hint="eastAsia"/>
                <w:color w:val="000000"/>
                <w:kern w:val="0"/>
                <w:sz w:val="18"/>
                <w:szCs w:val="18"/>
              </w:rPr>
              <w:t>③预算调整率在5%-20%之间，按比例计算确定。</w:t>
            </w:r>
          </w:p>
          <w:p w14:paraId="38E20654">
            <w:pPr>
              <w:spacing w:line="260" w:lineRule="exact"/>
              <w:jc w:val="left"/>
              <w:textAlignment w:val="center"/>
              <w:rPr>
                <w:color w:val="000000"/>
                <w:sz w:val="18"/>
                <w:szCs w:val="18"/>
              </w:rPr>
            </w:pPr>
            <w:r>
              <w:rPr>
                <w:rFonts w:hint="eastAsia"/>
                <w:color w:val="000000"/>
                <w:kern w:val="0"/>
                <w:sz w:val="18"/>
                <w:szCs w:val="18"/>
              </w:rPr>
              <w:t>按比例计算得分=（20%-预算调整率）/（20%-5%）×该指标分值2分。</w:t>
            </w:r>
          </w:p>
        </w:tc>
      </w:tr>
      <w:tr w14:paraId="75416F04">
        <w:tblPrEx>
          <w:tblCellMar>
            <w:top w:w="0" w:type="dxa"/>
            <w:left w:w="108" w:type="dxa"/>
            <w:bottom w:w="0" w:type="dxa"/>
            <w:right w:w="108" w:type="dxa"/>
          </w:tblCellMar>
        </w:tblPrEx>
        <w:trPr>
          <w:trHeight w:val="1207" w:hRule="atLeast"/>
          <w:jc w:val="center"/>
        </w:trPr>
        <w:tc>
          <w:tcPr>
            <w:tcW w:w="352" w:type="pct"/>
            <w:vMerge w:val="continue"/>
            <w:tcBorders>
              <w:left w:val="single" w:color="000000" w:sz="4" w:space="0"/>
              <w:right w:val="single" w:color="000000" w:sz="4" w:space="0"/>
            </w:tcBorders>
            <w:shd w:val="clear" w:color="auto" w:fill="auto"/>
            <w:vAlign w:val="center"/>
          </w:tcPr>
          <w:p w14:paraId="7B3AAB92">
            <w:pPr>
              <w:spacing w:line="260" w:lineRule="exact"/>
              <w:jc w:val="center"/>
              <w:rPr>
                <w:color w:val="000000"/>
                <w:sz w:val="18"/>
                <w:szCs w:val="18"/>
              </w:rPr>
            </w:pPr>
          </w:p>
        </w:tc>
        <w:tc>
          <w:tcPr>
            <w:tcW w:w="345" w:type="pct"/>
            <w:vMerge w:val="continue"/>
            <w:tcBorders>
              <w:left w:val="single" w:color="000000" w:sz="4" w:space="0"/>
              <w:right w:val="single" w:color="000000" w:sz="4" w:space="0"/>
            </w:tcBorders>
            <w:shd w:val="clear" w:color="auto" w:fill="auto"/>
            <w:vAlign w:val="center"/>
          </w:tcPr>
          <w:p w14:paraId="60420B7A">
            <w:pPr>
              <w:spacing w:line="260" w:lineRule="exact"/>
              <w:jc w:val="center"/>
              <w:rPr>
                <w:color w:val="000000"/>
                <w:sz w:val="18"/>
                <w:szCs w:val="18"/>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83E07">
            <w:pPr>
              <w:spacing w:line="260" w:lineRule="exact"/>
              <w:jc w:val="center"/>
              <w:textAlignment w:val="center"/>
              <w:rPr>
                <w:color w:val="000000"/>
                <w:sz w:val="18"/>
                <w:szCs w:val="18"/>
              </w:rPr>
            </w:pPr>
            <w:r>
              <w:rPr>
                <w:rFonts w:hint="eastAsia"/>
                <w:color w:val="000000"/>
                <w:kern w:val="0"/>
                <w:sz w:val="18"/>
                <w:szCs w:val="18"/>
              </w:rPr>
              <w:t>支付进度率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82F8C">
            <w:pPr>
              <w:spacing w:line="260" w:lineRule="exact"/>
              <w:jc w:val="center"/>
              <w:textAlignment w:val="center"/>
              <w:rPr>
                <w:color w:val="000000"/>
                <w:sz w:val="18"/>
                <w:szCs w:val="18"/>
              </w:rPr>
            </w:pPr>
            <w:r>
              <w:rPr>
                <w:rFonts w:hint="eastAsia"/>
                <w:color w:val="000000"/>
                <w:kern w:val="0"/>
                <w:sz w:val="18"/>
                <w:szCs w:val="18"/>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C088">
            <w:pPr>
              <w:spacing w:line="260" w:lineRule="exact"/>
              <w:jc w:val="left"/>
              <w:textAlignment w:val="center"/>
              <w:rPr>
                <w:color w:val="000000"/>
                <w:sz w:val="18"/>
                <w:szCs w:val="18"/>
              </w:rPr>
            </w:pPr>
            <w:r>
              <w:rPr>
                <w:rFonts w:hint="eastAsia"/>
                <w:color w:val="000000"/>
                <w:kern w:val="0"/>
                <w:sz w:val="18"/>
                <w:szCs w:val="18"/>
              </w:rPr>
              <w:t>部门实际支付进度与既定支付进度的比率，用以反映和考核部门预算执行的及时性和均衡性程度。</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DD79">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1765C">
            <w:pPr>
              <w:spacing w:line="240" w:lineRule="exact"/>
              <w:jc w:val="left"/>
              <w:textAlignment w:val="center"/>
              <w:rPr>
                <w:color w:val="000000"/>
                <w:kern w:val="0"/>
                <w:sz w:val="18"/>
                <w:szCs w:val="18"/>
              </w:rPr>
            </w:pPr>
            <w:r>
              <w:rPr>
                <w:rFonts w:hint="eastAsia"/>
                <w:color w:val="000000"/>
                <w:kern w:val="0"/>
                <w:sz w:val="18"/>
                <w:szCs w:val="18"/>
              </w:rPr>
              <w:t>支付进度率：按每一季度的执行情况分别打分，每季度分值0.5分，总分值2分。以山西省财政厅的计算口径“序时进度的98%”作为标准支付进度率，依据部门每个季度末的支付进度率与标准支付进度率进行比较。</w:t>
            </w:r>
          </w:p>
          <w:p w14:paraId="04B419BD">
            <w:pPr>
              <w:spacing w:line="240" w:lineRule="exact"/>
              <w:jc w:val="left"/>
              <w:textAlignment w:val="center"/>
              <w:rPr>
                <w:color w:val="000000"/>
                <w:kern w:val="0"/>
                <w:sz w:val="18"/>
                <w:szCs w:val="18"/>
              </w:rPr>
            </w:pPr>
            <w:r>
              <w:rPr>
                <w:rFonts w:hint="eastAsia"/>
                <w:color w:val="000000"/>
                <w:kern w:val="0"/>
                <w:sz w:val="18"/>
                <w:szCs w:val="18"/>
              </w:rPr>
              <w:t>①实际支付进度完成率大于或等于100%，得0.5分；</w:t>
            </w:r>
          </w:p>
          <w:p w14:paraId="3FFCA78F">
            <w:pPr>
              <w:spacing w:line="240" w:lineRule="exact"/>
              <w:jc w:val="left"/>
              <w:textAlignment w:val="center"/>
              <w:rPr>
                <w:color w:val="000000"/>
                <w:kern w:val="0"/>
                <w:sz w:val="18"/>
                <w:szCs w:val="18"/>
              </w:rPr>
            </w:pPr>
            <w:r>
              <w:rPr>
                <w:rFonts w:hint="eastAsia"/>
                <w:color w:val="000000"/>
                <w:kern w:val="0"/>
                <w:sz w:val="18"/>
                <w:szCs w:val="18"/>
              </w:rPr>
              <w:t>②实际支付进度完成率小于90%，得0分；</w:t>
            </w:r>
          </w:p>
          <w:p w14:paraId="6E1103AB">
            <w:pPr>
              <w:spacing w:line="260" w:lineRule="exact"/>
              <w:jc w:val="left"/>
              <w:textAlignment w:val="center"/>
              <w:rPr>
                <w:color w:val="000000"/>
                <w:sz w:val="18"/>
                <w:szCs w:val="18"/>
              </w:rPr>
            </w:pPr>
            <w:r>
              <w:rPr>
                <w:rFonts w:hint="eastAsia"/>
                <w:color w:val="000000"/>
                <w:kern w:val="0"/>
                <w:sz w:val="18"/>
                <w:szCs w:val="18"/>
              </w:rPr>
              <w:t>③实际支付进度完成率在90%-100%之间的，在0分和0.5分之间按完成率计算得分。</w:t>
            </w:r>
          </w:p>
        </w:tc>
      </w:tr>
      <w:tr w14:paraId="4FE33C5D">
        <w:tblPrEx>
          <w:tblCellMar>
            <w:top w:w="0" w:type="dxa"/>
            <w:left w:w="108" w:type="dxa"/>
            <w:bottom w:w="0" w:type="dxa"/>
            <w:right w:w="108" w:type="dxa"/>
          </w:tblCellMar>
        </w:tblPrEx>
        <w:trPr>
          <w:trHeight w:val="1340" w:hRule="atLeast"/>
          <w:jc w:val="center"/>
        </w:trPr>
        <w:tc>
          <w:tcPr>
            <w:tcW w:w="352" w:type="pct"/>
            <w:vMerge w:val="continue"/>
            <w:tcBorders>
              <w:left w:val="single" w:color="000000" w:sz="4" w:space="0"/>
              <w:right w:val="single" w:color="000000" w:sz="4" w:space="0"/>
            </w:tcBorders>
            <w:shd w:val="clear" w:color="auto" w:fill="auto"/>
            <w:vAlign w:val="center"/>
          </w:tcPr>
          <w:p w14:paraId="48D7A09B">
            <w:pPr>
              <w:spacing w:line="260" w:lineRule="exact"/>
              <w:jc w:val="center"/>
              <w:rPr>
                <w:color w:val="000000"/>
                <w:sz w:val="18"/>
                <w:szCs w:val="18"/>
              </w:rPr>
            </w:pPr>
          </w:p>
        </w:tc>
        <w:tc>
          <w:tcPr>
            <w:tcW w:w="345" w:type="pct"/>
            <w:vMerge w:val="continue"/>
            <w:tcBorders>
              <w:left w:val="single" w:color="000000" w:sz="4" w:space="0"/>
              <w:right w:val="single" w:color="000000" w:sz="4" w:space="0"/>
            </w:tcBorders>
            <w:shd w:val="clear" w:color="auto" w:fill="auto"/>
            <w:vAlign w:val="center"/>
          </w:tcPr>
          <w:p w14:paraId="7114E3E3">
            <w:pPr>
              <w:spacing w:line="260" w:lineRule="exact"/>
              <w:jc w:val="center"/>
              <w:rPr>
                <w:color w:val="000000"/>
                <w:sz w:val="18"/>
                <w:szCs w:val="18"/>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3F86E">
            <w:pPr>
              <w:spacing w:line="260" w:lineRule="exact"/>
              <w:jc w:val="center"/>
              <w:textAlignment w:val="center"/>
              <w:rPr>
                <w:color w:val="000000"/>
                <w:sz w:val="18"/>
                <w:szCs w:val="18"/>
              </w:rPr>
            </w:pPr>
            <w:r>
              <w:rPr>
                <w:rFonts w:hint="eastAsia"/>
                <w:color w:val="000000"/>
                <w:kern w:val="0"/>
                <w:sz w:val="18"/>
                <w:szCs w:val="18"/>
              </w:rPr>
              <w:t>结转结余率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22C58">
            <w:pPr>
              <w:spacing w:line="260" w:lineRule="exact"/>
              <w:jc w:val="center"/>
              <w:textAlignment w:val="center"/>
              <w:rPr>
                <w:color w:val="000000"/>
                <w:sz w:val="18"/>
                <w:szCs w:val="18"/>
              </w:rPr>
            </w:pPr>
            <w:r>
              <w:rPr>
                <w:rFonts w:hint="eastAsia"/>
                <w:color w:val="000000"/>
                <w:kern w:val="0"/>
                <w:sz w:val="18"/>
                <w:szCs w:val="18"/>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66151">
            <w:pPr>
              <w:spacing w:line="260" w:lineRule="exact"/>
              <w:jc w:val="left"/>
              <w:textAlignment w:val="center"/>
              <w:rPr>
                <w:color w:val="000000"/>
                <w:sz w:val="18"/>
                <w:szCs w:val="18"/>
              </w:rPr>
            </w:pPr>
            <w:r>
              <w:rPr>
                <w:rFonts w:hint="eastAsia"/>
                <w:color w:val="000000"/>
                <w:kern w:val="0"/>
                <w:sz w:val="18"/>
                <w:szCs w:val="18"/>
              </w:rPr>
              <w:t>部门本年度结转结余总额与支出预算数的比率，用以反映和考核部门对本年度结转结余资金的实际控制程度。</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94B6">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91E55">
            <w:pPr>
              <w:spacing w:line="260" w:lineRule="exact"/>
              <w:jc w:val="left"/>
              <w:textAlignment w:val="center"/>
              <w:rPr>
                <w:color w:val="000000"/>
                <w:kern w:val="0"/>
                <w:sz w:val="18"/>
                <w:szCs w:val="18"/>
              </w:rPr>
            </w:pPr>
            <w:r>
              <w:rPr>
                <w:rFonts w:hint="eastAsia"/>
                <w:color w:val="000000"/>
                <w:kern w:val="0"/>
                <w:sz w:val="18"/>
                <w:szCs w:val="18"/>
              </w:rPr>
              <w:t>结转结余率=结转结余总额/支出预算数×100%。</w:t>
            </w:r>
          </w:p>
          <w:p w14:paraId="30FA9C55">
            <w:pPr>
              <w:spacing w:line="260" w:lineRule="exact"/>
              <w:jc w:val="left"/>
              <w:textAlignment w:val="center"/>
              <w:rPr>
                <w:color w:val="000000"/>
                <w:kern w:val="0"/>
                <w:sz w:val="18"/>
                <w:szCs w:val="18"/>
              </w:rPr>
            </w:pPr>
            <w:r>
              <w:rPr>
                <w:rFonts w:hint="eastAsia"/>
                <w:color w:val="000000"/>
                <w:kern w:val="0"/>
                <w:sz w:val="18"/>
                <w:szCs w:val="18"/>
              </w:rPr>
              <w:t>①结转结余率=0，得1分；</w:t>
            </w:r>
          </w:p>
          <w:p w14:paraId="2394F2A3">
            <w:pPr>
              <w:spacing w:line="260" w:lineRule="exact"/>
              <w:jc w:val="left"/>
              <w:textAlignment w:val="center"/>
              <w:rPr>
                <w:color w:val="000000"/>
                <w:kern w:val="0"/>
                <w:sz w:val="18"/>
                <w:szCs w:val="18"/>
              </w:rPr>
            </w:pPr>
            <w:r>
              <w:rPr>
                <w:rFonts w:hint="eastAsia"/>
                <w:color w:val="000000"/>
                <w:kern w:val="0"/>
                <w:sz w:val="18"/>
                <w:szCs w:val="18"/>
              </w:rPr>
              <w:t>②结转结余率≥10%，得0分；</w:t>
            </w:r>
          </w:p>
          <w:p w14:paraId="78BC16E1">
            <w:pPr>
              <w:spacing w:line="260" w:lineRule="exact"/>
              <w:jc w:val="left"/>
              <w:textAlignment w:val="center"/>
              <w:rPr>
                <w:color w:val="000000"/>
                <w:kern w:val="0"/>
                <w:sz w:val="18"/>
                <w:szCs w:val="18"/>
              </w:rPr>
            </w:pPr>
            <w:r>
              <w:rPr>
                <w:rFonts w:hint="eastAsia"/>
                <w:color w:val="000000"/>
                <w:kern w:val="0"/>
                <w:sz w:val="18"/>
                <w:szCs w:val="18"/>
              </w:rPr>
              <w:t>③结转结余率在0%-10%之间，按比例计算确定。</w:t>
            </w:r>
          </w:p>
          <w:p w14:paraId="2896F07E">
            <w:pPr>
              <w:spacing w:line="260" w:lineRule="exact"/>
              <w:jc w:val="left"/>
              <w:textAlignment w:val="center"/>
              <w:rPr>
                <w:color w:val="000000"/>
                <w:sz w:val="18"/>
                <w:szCs w:val="18"/>
              </w:rPr>
            </w:pPr>
            <w:r>
              <w:rPr>
                <w:rFonts w:hint="eastAsia"/>
                <w:color w:val="000000"/>
                <w:kern w:val="0"/>
                <w:sz w:val="18"/>
                <w:szCs w:val="18"/>
              </w:rPr>
              <w:t>按比例计算得分=（10%-结转结余率）/（10%-0%）×该指标分值1分。</w:t>
            </w:r>
          </w:p>
        </w:tc>
      </w:tr>
      <w:tr w14:paraId="4B144C68">
        <w:tblPrEx>
          <w:tblCellMar>
            <w:top w:w="0" w:type="dxa"/>
            <w:left w:w="108" w:type="dxa"/>
            <w:bottom w:w="0" w:type="dxa"/>
            <w:right w:w="108" w:type="dxa"/>
          </w:tblCellMar>
        </w:tblPrEx>
        <w:trPr>
          <w:trHeight w:val="1340" w:hRule="atLeast"/>
          <w:jc w:val="center"/>
        </w:trPr>
        <w:tc>
          <w:tcPr>
            <w:tcW w:w="352" w:type="pct"/>
            <w:vMerge w:val="continue"/>
            <w:tcBorders>
              <w:left w:val="single" w:color="000000" w:sz="4" w:space="0"/>
              <w:bottom w:val="single" w:color="auto" w:sz="4" w:space="0"/>
              <w:right w:val="single" w:color="000000" w:sz="4" w:space="0"/>
            </w:tcBorders>
            <w:shd w:val="clear" w:color="auto" w:fill="auto"/>
            <w:vAlign w:val="center"/>
          </w:tcPr>
          <w:p w14:paraId="0C9FA73A">
            <w:pPr>
              <w:spacing w:line="260" w:lineRule="exact"/>
              <w:jc w:val="center"/>
              <w:rPr>
                <w:color w:val="000000"/>
                <w:sz w:val="18"/>
                <w:szCs w:val="18"/>
              </w:rPr>
            </w:pPr>
          </w:p>
        </w:tc>
        <w:tc>
          <w:tcPr>
            <w:tcW w:w="345" w:type="pct"/>
            <w:vMerge w:val="continue"/>
            <w:tcBorders>
              <w:left w:val="single" w:color="000000" w:sz="4" w:space="0"/>
              <w:bottom w:val="single" w:color="auto" w:sz="4" w:space="0"/>
              <w:right w:val="single" w:color="000000" w:sz="4" w:space="0"/>
            </w:tcBorders>
            <w:shd w:val="clear" w:color="auto" w:fill="auto"/>
            <w:vAlign w:val="center"/>
          </w:tcPr>
          <w:p w14:paraId="3A16904D">
            <w:pPr>
              <w:spacing w:line="260" w:lineRule="exact"/>
              <w:jc w:val="center"/>
              <w:rPr>
                <w:color w:val="000000"/>
                <w:sz w:val="18"/>
                <w:szCs w:val="18"/>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7D19D">
            <w:pPr>
              <w:spacing w:line="260" w:lineRule="exact"/>
              <w:jc w:val="center"/>
              <w:textAlignment w:val="center"/>
              <w:rPr>
                <w:color w:val="000000"/>
                <w:sz w:val="18"/>
                <w:szCs w:val="18"/>
              </w:rPr>
            </w:pPr>
            <w:r>
              <w:rPr>
                <w:rFonts w:hint="eastAsia"/>
                <w:color w:val="000000"/>
                <w:kern w:val="0"/>
                <w:sz w:val="18"/>
                <w:szCs w:val="18"/>
              </w:rPr>
              <w:t>结转结余变动率</w:t>
            </w:r>
          </w:p>
        </w:tc>
        <w:tc>
          <w:tcPr>
            <w:tcW w:w="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369A">
            <w:pPr>
              <w:spacing w:line="260" w:lineRule="exact"/>
              <w:jc w:val="center"/>
              <w:textAlignment w:val="center"/>
              <w:rPr>
                <w:color w:val="000000"/>
                <w:sz w:val="18"/>
                <w:szCs w:val="18"/>
              </w:rPr>
            </w:pPr>
            <w:r>
              <w:rPr>
                <w:rFonts w:hint="eastAsia"/>
                <w:color w:val="000000"/>
                <w:kern w:val="0"/>
                <w:sz w:val="18"/>
                <w:szCs w:val="18"/>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6D4AB">
            <w:pPr>
              <w:spacing w:line="260" w:lineRule="exact"/>
              <w:jc w:val="left"/>
              <w:textAlignment w:val="center"/>
              <w:rPr>
                <w:color w:val="000000"/>
                <w:sz w:val="18"/>
                <w:szCs w:val="18"/>
              </w:rPr>
            </w:pPr>
            <w:r>
              <w:rPr>
                <w:rFonts w:hint="eastAsia"/>
                <w:color w:val="000000"/>
                <w:kern w:val="0"/>
                <w:sz w:val="18"/>
                <w:szCs w:val="18"/>
              </w:rPr>
              <w:t>部门本年度结转结余资金总额与上年度结转结余资金总额的变动比率，用以反映和考核部门对控制结转结余资金的努力程度。</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6FE6">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037CF">
            <w:pPr>
              <w:spacing w:line="260" w:lineRule="exact"/>
              <w:jc w:val="left"/>
              <w:textAlignment w:val="center"/>
              <w:rPr>
                <w:color w:val="000000"/>
                <w:kern w:val="0"/>
                <w:sz w:val="18"/>
                <w:szCs w:val="18"/>
              </w:rPr>
            </w:pPr>
            <w:r>
              <w:rPr>
                <w:rFonts w:hint="eastAsia"/>
                <w:color w:val="000000"/>
                <w:kern w:val="0"/>
                <w:sz w:val="18"/>
                <w:szCs w:val="18"/>
              </w:rPr>
              <w:t>结转结余变动率=[（本年度累计结转结余资金总额-上年度累计结转结余资金总额）/上年度累计结转结余资金总额]×100%。</w:t>
            </w:r>
          </w:p>
          <w:p w14:paraId="7A8ED694">
            <w:pPr>
              <w:spacing w:line="260" w:lineRule="exact"/>
              <w:jc w:val="left"/>
              <w:textAlignment w:val="center"/>
              <w:rPr>
                <w:color w:val="000000"/>
                <w:kern w:val="0"/>
                <w:sz w:val="18"/>
                <w:szCs w:val="18"/>
              </w:rPr>
            </w:pPr>
            <w:r>
              <w:rPr>
                <w:rFonts w:hint="eastAsia"/>
                <w:color w:val="000000"/>
                <w:kern w:val="0"/>
                <w:sz w:val="18"/>
                <w:szCs w:val="18"/>
              </w:rPr>
              <w:t>①结转结余变动率≤0，得2分；</w:t>
            </w:r>
          </w:p>
          <w:p w14:paraId="1F74860E">
            <w:pPr>
              <w:spacing w:line="260" w:lineRule="exact"/>
              <w:jc w:val="left"/>
              <w:textAlignment w:val="center"/>
              <w:rPr>
                <w:color w:val="000000"/>
                <w:kern w:val="0"/>
                <w:sz w:val="18"/>
                <w:szCs w:val="18"/>
              </w:rPr>
            </w:pPr>
            <w:r>
              <w:rPr>
                <w:rFonts w:hint="eastAsia"/>
                <w:color w:val="000000"/>
                <w:kern w:val="0"/>
                <w:sz w:val="18"/>
                <w:szCs w:val="18"/>
              </w:rPr>
              <w:t>②结转结余变动率≥50%得0分；</w:t>
            </w:r>
          </w:p>
          <w:p w14:paraId="680D73C2">
            <w:pPr>
              <w:spacing w:line="260" w:lineRule="exact"/>
              <w:jc w:val="left"/>
              <w:textAlignment w:val="center"/>
              <w:rPr>
                <w:color w:val="000000"/>
                <w:kern w:val="0"/>
                <w:sz w:val="18"/>
                <w:szCs w:val="18"/>
              </w:rPr>
            </w:pPr>
            <w:r>
              <w:rPr>
                <w:rFonts w:hint="eastAsia"/>
                <w:color w:val="000000"/>
                <w:kern w:val="0"/>
                <w:sz w:val="18"/>
                <w:szCs w:val="18"/>
              </w:rPr>
              <w:t>③结转结余变动率在0-50%之间，按比例计算确定。</w:t>
            </w:r>
          </w:p>
          <w:p w14:paraId="2DD3C623">
            <w:pPr>
              <w:spacing w:line="260" w:lineRule="exact"/>
              <w:jc w:val="left"/>
              <w:textAlignment w:val="center"/>
              <w:rPr>
                <w:color w:val="000000"/>
                <w:sz w:val="18"/>
                <w:szCs w:val="18"/>
              </w:rPr>
            </w:pPr>
            <w:r>
              <w:rPr>
                <w:rFonts w:hint="eastAsia"/>
                <w:color w:val="000000"/>
                <w:kern w:val="0"/>
                <w:sz w:val="18"/>
                <w:szCs w:val="18"/>
              </w:rPr>
              <w:t>按比例计算得分=（50%-结转结余变动率）/（50%-0%）×该指标分值2分。</w:t>
            </w:r>
          </w:p>
        </w:tc>
      </w:tr>
    </w:tbl>
    <w:p w14:paraId="3BF716F6">
      <w:pPr>
        <w:jc w:val="center"/>
        <w:rPr>
          <w:b/>
          <w:bCs/>
          <w:color w:val="000000"/>
          <w:kern w:val="0"/>
          <w:sz w:val="32"/>
          <w:szCs w:val="32"/>
        </w:rPr>
      </w:pPr>
    </w:p>
    <w:p w14:paraId="21A66A08">
      <w:pPr>
        <w:jc w:val="center"/>
        <w:rPr>
          <w:sz w:val="32"/>
          <w:szCs w:val="32"/>
        </w:rPr>
      </w:pPr>
      <w:r>
        <w:rPr>
          <w:rFonts w:hint="eastAsia"/>
          <w:b/>
          <w:bCs/>
          <w:color w:val="000000"/>
          <w:kern w:val="0"/>
          <w:sz w:val="32"/>
          <w:szCs w:val="32"/>
        </w:rPr>
        <w:t>永济市文旅局部门整体支出绩效评价指标表</w:t>
      </w:r>
    </w:p>
    <w:p w14:paraId="12AEB1E0">
      <w:pPr>
        <w:pStyle w:val="8"/>
        <w:widowControl w:val="0"/>
        <w:snapToGrid/>
        <w:spacing w:line="20" w:lineRule="exact"/>
        <w:ind w:firstLine="200"/>
        <w:rPr>
          <w:rFonts w:eastAsia="仿宋_GB2312"/>
          <w:sz w:val="10"/>
          <w:szCs w:val="10"/>
          <w:highlight w:val="yellow"/>
        </w:rPr>
      </w:pPr>
    </w:p>
    <w:tbl>
      <w:tblPr>
        <w:tblStyle w:val="24"/>
        <w:tblW w:w="4804" w:type="pct"/>
        <w:jc w:val="center"/>
        <w:tblLayout w:type="autofit"/>
        <w:tblCellMar>
          <w:top w:w="0" w:type="dxa"/>
          <w:left w:w="108" w:type="dxa"/>
          <w:bottom w:w="0" w:type="dxa"/>
          <w:right w:w="108" w:type="dxa"/>
        </w:tblCellMar>
      </w:tblPr>
      <w:tblGrid>
        <w:gridCol w:w="1003"/>
        <w:gridCol w:w="1008"/>
        <w:gridCol w:w="978"/>
        <w:gridCol w:w="673"/>
        <w:gridCol w:w="2297"/>
        <w:gridCol w:w="597"/>
        <w:gridCol w:w="7062"/>
      </w:tblGrid>
      <w:tr w14:paraId="6235249C">
        <w:tblPrEx>
          <w:tblCellMar>
            <w:top w:w="0" w:type="dxa"/>
            <w:left w:w="108" w:type="dxa"/>
            <w:bottom w:w="0" w:type="dxa"/>
            <w:right w:w="108" w:type="dxa"/>
          </w:tblCellMar>
        </w:tblPrEx>
        <w:trPr>
          <w:trHeight w:val="600" w:hRule="atLeast"/>
          <w:tblHeader/>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76C11">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7120">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87BE6">
            <w:pPr>
              <w:spacing w:line="260" w:lineRule="exact"/>
              <w:jc w:val="center"/>
              <w:textAlignment w:val="center"/>
              <w:rPr>
                <w:b/>
                <w:bCs/>
                <w:color w:val="000000"/>
                <w:sz w:val="18"/>
                <w:szCs w:val="18"/>
              </w:rPr>
            </w:pPr>
            <w:r>
              <w:rPr>
                <w:rStyle w:val="48"/>
                <w:rFonts w:hint="default"/>
                <w:sz w:val="18"/>
                <w:szCs w:val="18"/>
              </w:rPr>
              <w:t>三级指标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ECB19">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0148">
            <w:pPr>
              <w:spacing w:line="260" w:lineRule="exact"/>
              <w:jc w:val="center"/>
              <w:textAlignment w:val="center"/>
              <w:rPr>
                <w:b/>
                <w:bCs/>
                <w:color w:val="000000"/>
                <w:sz w:val="18"/>
                <w:szCs w:val="18"/>
              </w:rPr>
            </w:pPr>
            <w:r>
              <w:rPr>
                <w:rStyle w:val="48"/>
                <w:rFonts w:hint="default"/>
                <w:sz w:val="18"/>
                <w:szCs w:val="18"/>
              </w:rPr>
              <w:t>指标解释</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90853">
            <w:pPr>
              <w:spacing w:line="260" w:lineRule="exact"/>
              <w:jc w:val="center"/>
              <w:textAlignment w:val="center"/>
              <w:rPr>
                <w:b/>
                <w:bCs/>
                <w:color w:val="000000"/>
                <w:sz w:val="18"/>
                <w:szCs w:val="18"/>
              </w:rPr>
            </w:pPr>
            <w:r>
              <w:rPr>
                <w:rStyle w:val="48"/>
                <w:rFonts w:hint="default"/>
                <w:sz w:val="18"/>
                <w:szCs w:val="18"/>
              </w:rPr>
              <w:t>评分依据</w:t>
            </w:r>
          </w:p>
        </w:tc>
        <w:tc>
          <w:tcPr>
            <w:tcW w:w="2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6708F">
            <w:pPr>
              <w:spacing w:line="260" w:lineRule="exact"/>
              <w:jc w:val="center"/>
              <w:textAlignment w:val="center"/>
              <w:rPr>
                <w:b/>
                <w:bCs/>
                <w:color w:val="000000"/>
                <w:sz w:val="18"/>
                <w:szCs w:val="18"/>
              </w:rPr>
            </w:pPr>
            <w:r>
              <w:rPr>
                <w:rStyle w:val="48"/>
                <w:rFonts w:hint="default"/>
                <w:sz w:val="18"/>
                <w:szCs w:val="18"/>
              </w:rPr>
              <w:t>评分标准</w:t>
            </w:r>
          </w:p>
        </w:tc>
      </w:tr>
      <w:tr w14:paraId="1BC9EF79">
        <w:tblPrEx>
          <w:tblCellMar>
            <w:top w:w="0" w:type="dxa"/>
            <w:left w:w="108" w:type="dxa"/>
            <w:bottom w:w="0" w:type="dxa"/>
            <w:right w:w="108" w:type="dxa"/>
          </w:tblCellMar>
        </w:tblPrEx>
        <w:trPr>
          <w:trHeight w:val="90" w:hRule="atLeast"/>
          <w:jc w:val="center"/>
        </w:trPr>
        <w:tc>
          <w:tcPr>
            <w:tcW w:w="368" w:type="pct"/>
            <w:vMerge w:val="restart"/>
            <w:tcBorders>
              <w:left w:val="single" w:color="000000" w:sz="4" w:space="0"/>
              <w:right w:val="single" w:color="000000" w:sz="4" w:space="0"/>
            </w:tcBorders>
            <w:shd w:val="clear" w:color="auto" w:fill="auto"/>
            <w:vAlign w:val="center"/>
          </w:tcPr>
          <w:p w14:paraId="04271DA6">
            <w:pPr>
              <w:spacing w:line="260" w:lineRule="exact"/>
              <w:jc w:val="center"/>
              <w:rPr>
                <w:color w:val="000000"/>
                <w:sz w:val="18"/>
                <w:szCs w:val="18"/>
              </w:rPr>
            </w:pPr>
            <w:r>
              <w:rPr>
                <w:rFonts w:hint="eastAsia"/>
                <w:color w:val="000000"/>
                <w:sz w:val="18"/>
                <w:szCs w:val="18"/>
              </w:rPr>
              <w:t>部门管理</w:t>
            </w:r>
          </w:p>
          <w:p w14:paraId="19CE9165">
            <w:pPr>
              <w:spacing w:line="260" w:lineRule="exact"/>
              <w:jc w:val="center"/>
              <w:rPr>
                <w:color w:val="000000"/>
                <w:sz w:val="18"/>
                <w:szCs w:val="18"/>
              </w:rPr>
            </w:pPr>
            <w:r>
              <w:rPr>
                <w:rFonts w:hint="eastAsia"/>
                <w:color w:val="000000"/>
                <w:sz w:val="18"/>
                <w:szCs w:val="18"/>
              </w:rPr>
              <w:t>（40分）</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E1AC">
            <w:pPr>
              <w:spacing w:line="260" w:lineRule="exact"/>
              <w:jc w:val="center"/>
              <w:rPr>
                <w:color w:val="000000"/>
                <w:sz w:val="18"/>
                <w:szCs w:val="18"/>
              </w:rPr>
            </w:pPr>
            <w:r>
              <w:rPr>
                <w:rFonts w:hint="eastAsia"/>
                <w:color w:val="000000"/>
                <w:sz w:val="18"/>
                <w:szCs w:val="18"/>
              </w:rPr>
              <w:t>预算管理</w:t>
            </w:r>
          </w:p>
          <w:p w14:paraId="1811C03F">
            <w:pPr>
              <w:spacing w:line="260" w:lineRule="exact"/>
              <w:jc w:val="center"/>
              <w:rPr>
                <w:color w:val="000000"/>
                <w:sz w:val="18"/>
                <w:szCs w:val="18"/>
              </w:rPr>
            </w:pPr>
            <w:r>
              <w:rPr>
                <w:rFonts w:hint="eastAsia"/>
                <w:color w:val="000000"/>
                <w:sz w:val="18"/>
                <w:szCs w:val="18"/>
              </w:rPr>
              <w:t>（12分）</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06BB">
            <w:pPr>
              <w:spacing w:line="260" w:lineRule="exact"/>
              <w:jc w:val="center"/>
              <w:textAlignment w:val="center"/>
              <w:rPr>
                <w:color w:val="000000"/>
                <w:sz w:val="18"/>
                <w:szCs w:val="18"/>
              </w:rPr>
            </w:pPr>
            <w:r>
              <w:rPr>
                <w:rFonts w:hint="eastAsia"/>
                <w:color w:val="000000"/>
                <w:kern w:val="0"/>
                <w:sz w:val="18"/>
                <w:szCs w:val="18"/>
              </w:rPr>
              <w:t>预算绩效管理</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06093">
            <w:pPr>
              <w:spacing w:line="260" w:lineRule="exact"/>
              <w:jc w:val="center"/>
              <w:textAlignment w:val="center"/>
              <w:rPr>
                <w:color w:val="000000"/>
                <w:sz w:val="18"/>
                <w:szCs w:val="18"/>
              </w:rPr>
            </w:pPr>
            <w:r>
              <w:rPr>
                <w:rFonts w:hint="eastAsia"/>
                <w:color w:val="000000"/>
                <w:sz w:val="18"/>
                <w:szCs w:val="18"/>
              </w:rPr>
              <w:t>2</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8A6AE">
            <w:pPr>
              <w:spacing w:line="260" w:lineRule="exact"/>
              <w:jc w:val="left"/>
              <w:textAlignment w:val="center"/>
              <w:rPr>
                <w:color w:val="000000"/>
                <w:sz w:val="18"/>
                <w:szCs w:val="18"/>
              </w:rPr>
            </w:pPr>
            <w:r>
              <w:rPr>
                <w:rFonts w:hint="eastAsia"/>
                <w:color w:val="000000"/>
                <w:kern w:val="0"/>
                <w:sz w:val="18"/>
                <w:szCs w:val="18"/>
              </w:rPr>
              <w:t>从绩效目标设定、绩效监控、绩效评价、评价结果应用等方面评价部门预算绩效管理情况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1C699">
            <w:pPr>
              <w:spacing w:line="260" w:lineRule="exact"/>
              <w:jc w:val="center"/>
              <w:textAlignment w:val="center"/>
              <w:rPr>
                <w:color w:val="000000"/>
                <w:sz w:val="18"/>
                <w:szCs w:val="18"/>
              </w:rPr>
            </w:pPr>
            <w:r>
              <w:rPr>
                <w:rFonts w:hint="eastAsia"/>
                <w:color w:val="000000"/>
                <w:kern w:val="0"/>
                <w:sz w:val="18"/>
                <w:szCs w:val="18"/>
              </w:rPr>
              <w:t>通用标准</w:t>
            </w:r>
          </w:p>
        </w:tc>
        <w:tc>
          <w:tcPr>
            <w:tcW w:w="2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598B4">
            <w:pPr>
              <w:spacing w:line="240" w:lineRule="exact"/>
              <w:jc w:val="left"/>
              <w:textAlignment w:val="center"/>
              <w:rPr>
                <w:color w:val="000000"/>
                <w:kern w:val="0"/>
                <w:sz w:val="18"/>
                <w:szCs w:val="18"/>
              </w:rPr>
            </w:pPr>
            <w:r>
              <w:rPr>
                <w:rFonts w:hint="eastAsia"/>
                <w:color w:val="000000"/>
                <w:kern w:val="0"/>
                <w:sz w:val="18"/>
                <w:szCs w:val="18"/>
              </w:rPr>
              <w:t>①编报了部门整体支出绩效目标申报表，得0.5分，否则不得分；</w:t>
            </w:r>
          </w:p>
          <w:p w14:paraId="339C159F">
            <w:pPr>
              <w:spacing w:line="240" w:lineRule="exact"/>
              <w:jc w:val="left"/>
              <w:textAlignment w:val="center"/>
              <w:rPr>
                <w:color w:val="000000"/>
                <w:kern w:val="0"/>
                <w:sz w:val="18"/>
                <w:szCs w:val="18"/>
              </w:rPr>
            </w:pPr>
            <w:r>
              <w:rPr>
                <w:rFonts w:hint="eastAsia"/>
                <w:color w:val="000000"/>
                <w:kern w:val="0"/>
                <w:sz w:val="18"/>
                <w:szCs w:val="18"/>
              </w:rPr>
              <w:t>②针对项目支出编报了绩效目标申报表，得0.5分，缺1项扣0.1分，扣完为止；</w:t>
            </w:r>
          </w:p>
          <w:p w14:paraId="1B278319">
            <w:pPr>
              <w:spacing w:line="240" w:lineRule="exact"/>
              <w:jc w:val="left"/>
              <w:textAlignment w:val="center"/>
              <w:rPr>
                <w:color w:val="000000"/>
                <w:kern w:val="0"/>
                <w:sz w:val="18"/>
                <w:szCs w:val="18"/>
              </w:rPr>
            </w:pPr>
            <w:r>
              <w:rPr>
                <w:rFonts w:hint="eastAsia"/>
                <w:color w:val="000000"/>
                <w:kern w:val="0"/>
                <w:sz w:val="18"/>
                <w:szCs w:val="18"/>
              </w:rPr>
              <w:t>③编报了部门预算整体支出绩效自评表和自评报告，得0.5分，否则不得分；</w:t>
            </w:r>
          </w:p>
          <w:p w14:paraId="79D86404">
            <w:pPr>
              <w:spacing w:line="260" w:lineRule="exact"/>
              <w:jc w:val="left"/>
              <w:textAlignment w:val="center"/>
              <w:rPr>
                <w:color w:val="000000"/>
                <w:sz w:val="18"/>
                <w:szCs w:val="18"/>
              </w:rPr>
            </w:pPr>
            <w:r>
              <w:rPr>
                <w:rFonts w:hint="eastAsia"/>
                <w:color w:val="000000"/>
                <w:kern w:val="0"/>
                <w:sz w:val="18"/>
                <w:szCs w:val="18"/>
              </w:rPr>
              <w:t>④对完工项目实施项目绩效自评并编制绩效自评表和自评报告，得0.5分，缺1项扣0.1分，扣完为止；</w:t>
            </w:r>
          </w:p>
        </w:tc>
      </w:tr>
      <w:tr w14:paraId="1558459D">
        <w:tblPrEx>
          <w:tblCellMar>
            <w:top w:w="0" w:type="dxa"/>
            <w:left w:w="108" w:type="dxa"/>
            <w:bottom w:w="0" w:type="dxa"/>
            <w:right w:w="108" w:type="dxa"/>
          </w:tblCellMar>
        </w:tblPrEx>
        <w:trPr>
          <w:trHeight w:val="3574" w:hRule="atLeast"/>
          <w:jc w:val="center"/>
        </w:trPr>
        <w:tc>
          <w:tcPr>
            <w:tcW w:w="368" w:type="pct"/>
            <w:vMerge w:val="continue"/>
            <w:tcBorders>
              <w:left w:val="single" w:color="000000" w:sz="4" w:space="0"/>
              <w:right w:val="single" w:color="000000" w:sz="4" w:space="0"/>
            </w:tcBorders>
            <w:shd w:val="clear" w:color="auto" w:fill="auto"/>
            <w:vAlign w:val="center"/>
          </w:tcPr>
          <w:p w14:paraId="149B5D54">
            <w:pPr>
              <w:spacing w:line="260" w:lineRule="exact"/>
              <w:jc w:val="center"/>
              <w:rPr>
                <w:color w:val="000000"/>
                <w:sz w:val="18"/>
                <w:szCs w:val="18"/>
              </w:rPr>
            </w:pPr>
          </w:p>
        </w:tc>
        <w:tc>
          <w:tcPr>
            <w:tcW w:w="370"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B283B3E">
            <w:pPr>
              <w:spacing w:line="260" w:lineRule="exact"/>
              <w:jc w:val="center"/>
              <w:textAlignment w:val="center"/>
              <w:rPr>
                <w:color w:val="000000"/>
                <w:sz w:val="18"/>
                <w:szCs w:val="18"/>
              </w:rPr>
            </w:pPr>
            <w:r>
              <w:rPr>
                <w:rFonts w:hint="eastAsia"/>
                <w:color w:val="000000"/>
                <w:sz w:val="18"/>
                <w:szCs w:val="18"/>
              </w:rPr>
              <w:t>收支管理</w:t>
            </w:r>
          </w:p>
          <w:p w14:paraId="6BFCC754">
            <w:pPr>
              <w:pStyle w:val="8"/>
              <w:ind w:firstLine="0" w:firstLineChars="0"/>
            </w:pPr>
            <w:r>
              <w:rPr>
                <w:rFonts w:hint="eastAsia" w:ascii="仿宋" w:hAnsi="仿宋"/>
                <w:color w:val="000000"/>
                <w:sz w:val="18"/>
                <w:szCs w:val="18"/>
              </w:rPr>
              <w:t>（16分）</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3FE3F">
            <w:pPr>
              <w:spacing w:line="260" w:lineRule="exact"/>
              <w:jc w:val="center"/>
              <w:textAlignment w:val="center"/>
              <w:rPr>
                <w:color w:val="000000"/>
                <w:sz w:val="18"/>
                <w:szCs w:val="18"/>
              </w:rPr>
            </w:pPr>
            <w:r>
              <w:rPr>
                <w:rFonts w:hint="eastAsia"/>
                <w:color w:val="000000"/>
                <w:sz w:val="18"/>
                <w:szCs w:val="18"/>
              </w:rPr>
              <w:t>收支管理规范性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40C8">
            <w:pPr>
              <w:spacing w:line="260" w:lineRule="exact"/>
              <w:jc w:val="center"/>
              <w:textAlignment w:val="center"/>
              <w:rPr>
                <w:color w:val="000000"/>
                <w:sz w:val="18"/>
                <w:szCs w:val="18"/>
              </w:rPr>
            </w:pPr>
            <w:r>
              <w:rPr>
                <w:rFonts w:hint="eastAsia"/>
                <w:color w:val="000000"/>
                <w:kern w:val="0"/>
                <w:sz w:val="18"/>
                <w:szCs w:val="18"/>
              </w:rPr>
              <w:t>14</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2909">
            <w:pPr>
              <w:spacing w:line="260" w:lineRule="exact"/>
              <w:jc w:val="left"/>
              <w:textAlignment w:val="center"/>
              <w:rPr>
                <w:color w:val="000000"/>
                <w:sz w:val="18"/>
                <w:szCs w:val="18"/>
              </w:rPr>
            </w:pPr>
            <w:r>
              <w:rPr>
                <w:rFonts w:hint="eastAsia"/>
                <w:color w:val="000000"/>
                <w:kern w:val="0"/>
                <w:sz w:val="18"/>
                <w:szCs w:val="18"/>
              </w:rPr>
              <w:t>评价部门使用预算资金是否符合相关的预算财务管理制度的规定，用以反映部门收支管理有效性方面的管理情况。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CE48C">
            <w:pPr>
              <w:spacing w:line="260" w:lineRule="exact"/>
              <w:jc w:val="center"/>
              <w:textAlignment w:val="center"/>
              <w:rPr>
                <w:color w:val="000000"/>
                <w:sz w:val="18"/>
                <w:szCs w:val="18"/>
              </w:rPr>
            </w:pPr>
            <w:r>
              <w:rPr>
                <w:rFonts w:hint="eastAsia"/>
                <w:color w:val="000000"/>
                <w:kern w:val="0"/>
                <w:sz w:val="18"/>
                <w:szCs w:val="18"/>
              </w:rPr>
              <w:t>通用标准</w:t>
            </w:r>
          </w:p>
        </w:tc>
        <w:tc>
          <w:tcPr>
            <w:tcW w:w="2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1F43">
            <w:pPr>
              <w:spacing w:line="260" w:lineRule="exact"/>
              <w:jc w:val="left"/>
              <w:textAlignment w:val="center"/>
              <w:rPr>
                <w:color w:val="000000"/>
                <w:kern w:val="0"/>
                <w:sz w:val="18"/>
                <w:szCs w:val="18"/>
              </w:rPr>
            </w:pPr>
            <w:r>
              <w:rPr>
                <w:rFonts w:hint="eastAsia"/>
                <w:color w:val="000000"/>
                <w:kern w:val="0"/>
                <w:sz w:val="18"/>
                <w:szCs w:val="18"/>
              </w:rPr>
              <w:t>（1）收入来源符合财政部规定的范围，收入及时上缴国库，得2分，否则每发现一项，扣0.5分，扣完为止；</w:t>
            </w:r>
          </w:p>
          <w:p w14:paraId="75179A16">
            <w:pPr>
              <w:spacing w:line="260" w:lineRule="exact"/>
              <w:jc w:val="left"/>
              <w:textAlignment w:val="center"/>
              <w:rPr>
                <w:color w:val="000000"/>
                <w:kern w:val="0"/>
                <w:sz w:val="18"/>
                <w:szCs w:val="18"/>
              </w:rPr>
            </w:pPr>
            <w:r>
              <w:rPr>
                <w:rFonts w:hint="eastAsia"/>
                <w:color w:val="000000"/>
                <w:kern w:val="0"/>
                <w:sz w:val="18"/>
                <w:szCs w:val="18"/>
              </w:rPr>
              <w:t>（2）资金使用方面：</w:t>
            </w:r>
          </w:p>
          <w:p w14:paraId="0130B6E0">
            <w:pPr>
              <w:spacing w:line="260" w:lineRule="exact"/>
              <w:jc w:val="left"/>
              <w:textAlignment w:val="center"/>
              <w:rPr>
                <w:color w:val="000000"/>
                <w:kern w:val="0"/>
                <w:sz w:val="18"/>
                <w:szCs w:val="18"/>
              </w:rPr>
            </w:pPr>
            <w:r>
              <w:rPr>
                <w:rFonts w:hint="eastAsia"/>
                <w:color w:val="000000"/>
                <w:kern w:val="0"/>
                <w:sz w:val="18"/>
                <w:szCs w:val="18"/>
              </w:rPr>
              <w:t>①资金使用符合国家财经法规和财务管理制度规定以及有关专项资金管理办法的规定，得2分，否则每发现一项，扣0.5分，扣完为止；</w:t>
            </w:r>
          </w:p>
          <w:p w14:paraId="1BE1ADBC">
            <w:pPr>
              <w:spacing w:line="260" w:lineRule="exact"/>
              <w:jc w:val="left"/>
              <w:textAlignment w:val="center"/>
              <w:rPr>
                <w:color w:val="000000"/>
                <w:kern w:val="0"/>
                <w:sz w:val="18"/>
                <w:szCs w:val="18"/>
              </w:rPr>
            </w:pPr>
            <w:r>
              <w:rPr>
                <w:rFonts w:hint="eastAsia"/>
                <w:color w:val="000000"/>
                <w:kern w:val="0"/>
                <w:sz w:val="18"/>
                <w:szCs w:val="18"/>
              </w:rPr>
              <w:t>②资金的拨付有完整的审批程序和手续，得2分，否则每发现一项，扣0.5分，扣完为止；</w:t>
            </w:r>
          </w:p>
          <w:p w14:paraId="2FFBAD65">
            <w:pPr>
              <w:spacing w:line="260" w:lineRule="exact"/>
              <w:jc w:val="left"/>
              <w:textAlignment w:val="center"/>
              <w:rPr>
                <w:color w:val="000000"/>
                <w:kern w:val="0"/>
                <w:sz w:val="18"/>
                <w:szCs w:val="18"/>
              </w:rPr>
            </w:pPr>
            <w:r>
              <w:rPr>
                <w:rFonts w:hint="eastAsia"/>
                <w:color w:val="000000"/>
                <w:kern w:val="0"/>
                <w:sz w:val="18"/>
                <w:szCs w:val="18"/>
              </w:rPr>
              <w:t>③项目的重大开支经过评估论证，得2分，否则每发现一项，扣0.5分，扣完为止；</w:t>
            </w:r>
          </w:p>
          <w:p w14:paraId="414D2786">
            <w:pPr>
              <w:spacing w:line="260" w:lineRule="exact"/>
              <w:jc w:val="left"/>
              <w:textAlignment w:val="center"/>
              <w:rPr>
                <w:color w:val="000000"/>
                <w:kern w:val="0"/>
                <w:sz w:val="18"/>
                <w:szCs w:val="18"/>
              </w:rPr>
            </w:pPr>
            <w:r>
              <w:rPr>
                <w:rFonts w:hint="eastAsia"/>
                <w:color w:val="000000"/>
                <w:kern w:val="0"/>
                <w:sz w:val="18"/>
                <w:szCs w:val="18"/>
              </w:rPr>
              <w:t>④资金使用符合部门预算批复的用途，得2分，否则每发现一项，扣0.5分，扣完为止；</w:t>
            </w:r>
          </w:p>
          <w:p w14:paraId="2A8AF6BC">
            <w:pPr>
              <w:spacing w:line="260" w:lineRule="exact"/>
              <w:jc w:val="left"/>
              <w:textAlignment w:val="center"/>
              <w:rPr>
                <w:color w:val="000000"/>
                <w:kern w:val="0"/>
                <w:sz w:val="18"/>
                <w:szCs w:val="18"/>
              </w:rPr>
            </w:pPr>
            <w:r>
              <w:rPr>
                <w:rFonts w:hint="eastAsia"/>
                <w:color w:val="000000"/>
                <w:kern w:val="0"/>
                <w:sz w:val="18"/>
                <w:szCs w:val="18"/>
              </w:rPr>
              <w:t>⑤财务会计核算规范，会计信息真实、完整，得2分，否则每发现一项，扣0.5分，扣完为止；</w:t>
            </w:r>
          </w:p>
          <w:p w14:paraId="14EDFB06">
            <w:pPr>
              <w:spacing w:line="260" w:lineRule="exact"/>
              <w:jc w:val="left"/>
              <w:textAlignment w:val="center"/>
              <w:rPr>
                <w:color w:val="000000"/>
                <w:kern w:val="0"/>
                <w:sz w:val="18"/>
                <w:szCs w:val="18"/>
              </w:rPr>
            </w:pPr>
            <w:r>
              <w:rPr>
                <w:rFonts w:hint="eastAsia"/>
                <w:color w:val="000000"/>
                <w:kern w:val="0"/>
                <w:sz w:val="18"/>
                <w:szCs w:val="18"/>
              </w:rPr>
              <w:t>如存在截留、挤占、挪用、虚列支出等情况，本指标得0分。</w:t>
            </w:r>
          </w:p>
          <w:p w14:paraId="0BF203E5">
            <w:pPr>
              <w:spacing w:line="260" w:lineRule="exact"/>
              <w:jc w:val="left"/>
              <w:textAlignment w:val="center"/>
            </w:pPr>
            <w:r>
              <w:rPr>
                <w:rFonts w:hint="eastAsia"/>
                <w:color w:val="000000"/>
                <w:kern w:val="0"/>
                <w:sz w:val="18"/>
                <w:szCs w:val="18"/>
              </w:rPr>
              <w:t>（3）国库集中支付规范性：按照国库单一账户体系进行集中支付，支付规范，得2分，否则不得分。以上每出现一处扣0.5分，扣完为止</w:t>
            </w:r>
          </w:p>
        </w:tc>
      </w:tr>
      <w:tr w14:paraId="1F5F0D89">
        <w:tblPrEx>
          <w:tblCellMar>
            <w:top w:w="0" w:type="dxa"/>
            <w:left w:w="108" w:type="dxa"/>
            <w:bottom w:w="0" w:type="dxa"/>
            <w:right w:w="108" w:type="dxa"/>
          </w:tblCellMar>
        </w:tblPrEx>
        <w:trPr>
          <w:trHeight w:val="1068" w:hRule="atLeast"/>
          <w:jc w:val="center"/>
        </w:trPr>
        <w:tc>
          <w:tcPr>
            <w:tcW w:w="368" w:type="pct"/>
            <w:vMerge w:val="continue"/>
            <w:tcBorders>
              <w:left w:val="single" w:color="000000" w:sz="4" w:space="0"/>
              <w:bottom w:val="single" w:color="auto" w:sz="4" w:space="0"/>
              <w:right w:val="single" w:color="000000" w:sz="4" w:space="0"/>
            </w:tcBorders>
            <w:shd w:val="clear" w:color="auto" w:fill="auto"/>
            <w:vAlign w:val="center"/>
          </w:tcPr>
          <w:p w14:paraId="2B175627">
            <w:pPr>
              <w:spacing w:line="260" w:lineRule="exact"/>
              <w:jc w:val="center"/>
              <w:rPr>
                <w:color w:val="000000"/>
                <w:sz w:val="18"/>
                <w:szCs w:val="18"/>
              </w:rPr>
            </w:pPr>
          </w:p>
        </w:tc>
        <w:tc>
          <w:tcPr>
            <w:tcW w:w="370"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1E6BD28">
            <w:pPr>
              <w:spacing w:line="260" w:lineRule="exact"/>
              <w:jc w:val="center"/>
              <w:rPr>
                <w:color w:val="000000"/>
                <w:sz w:val="18"/>
                <w:szCs w:val="18"/>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B9A5">
            <w:pPr>
              <w:spacing w:line="260" w:lineRule="exact"/>
              <w:jc w:val="center"/>
              <w:textAlignment w:val="center"/>
              <w:rPr>
                <w:color w:val="000000"/>
                <w:sz w:val="18"/>
                <w:szCs w:val="18"/>
              </w:rPr>
            </w:pPr>
            <w:r>
              <w:rPr>
                <w:rFonts w:hint="eastAsia"/>
                <w:color w:val="000000"/>
                <w:sz w:val="18"/>
                <w:szCs w:val="18"/>
              </w:rPr>
              <w:t>支出结构合理性</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06EF5">
            <w:pPr>
              <w:spacing w:line="260" w:lineRule="exact"/>
              <w:jc w:val="center"/>
              <w:textAlignment w:val="center"/>
              <w:rPr>
                <w:color w:val="000000"/>
                <w:sz w:val="18"/>
                <w:szCs w:val="18"/>
              </w:rPr>
            </w:pPr>
            <w:r>
              <w:rPr>
                <w:rFonts w:hint="eastAsia"/>
                <w:color w:val="000000"/>
                <w:kern w:val="0"/>
                <w:sz w:val="18"/>
                <w:szCs w:val="18"/>
              </w:rPr>
              <w:t>2</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D25A6">
            <w:pPr>
              <w:spacing w:line="260" w:lineRule="exact"/>
              <w:jc w:val="left"/>
              <w:textAlignment w:val="center"/>
              <w:rPr>
                <w:color w:val="000000"/>
                <w:sz w:val="18"/>
                <w:szCs w:val="18"/>
              </w:rPr>
            </w:pPr>
            <w:r>
              <w:rPr>
                <w:rFonts w:hint="eastAsia"/>
                <w:color w:val="000000"/>
                <w:sz w:val="18"/>
                <w:szCs w:val="18"/>
              </w:rPr>
              <w:t>评价部门支出结构合理程度及重点工作任务的保障程度。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06AD9">
            <w:pPr>
              <w:spacing w:line="260" w:lineRule="exact"/>
              <w:jc w:val="center"/>
              <w:textAlignment w:val="center"/>
              <w:rPr>
                <w:color w:val="000000"/>
                <w:sz w:val="18"/>
                <w:szCs w:val="18"/>
              </w:rPr>
            </w:pPr>
            <w:r>
              <w:rPr>
                <w:rFonts w:hint="eastAsia"/>
                <w:color w:val="000000"/>
                <w:sz w:val="18"/>
                <w:szCs w:val="18"/>
              </w:rPr>
              <w:t>通用标准</w:t>
            </w:r>
          </w:p>
        </w:tc>
        <w:tc>
          <w:tcPr>
            <w:tcW w:w="2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CEE93">
            <w:pPr>
              <w:spacing w:line="260" w:lineRule="exact"/>
              <w:jc w:val="left"/>
              <w:textAlignment w:val="center"/>
              <w:rPr>
                <w:color w:val="000000"/>
                <w:sz w:val="18"/>
                <w:szCs w:val="18"/>
              </w:rPr>
            </w:pPr>
            <w:r>
              <w:rPr>
                <w:rFonts w:hint="eastAsia"/>
                <w:color w:val="000000"/>
                <w:sz w:val="18"/>
                <w:szCs w:val="18"/>
              </w:rPr>
              <w:t>①</w:t>
            </w:r>
            <w:r>
              <w:rPr>
                <w:color w:val="000000"/>
                <w:sz w:val="18"/>
                <w:szCs w:val="18"/>
              </w:rPr>
              <w:t>部门支出分配与部门年度工作任务相匹配，得</w:t>
            </w:r>
            <w:r>
              <w:rPr>
                <w:rFonts w:hint="eastAsia"/>
                <w:color w:val="000000"/>
                <w:sz w:val="18"/>
                <w:szCs w:val="18"/>
              </w:rPr>
              <w:t>1</w:t>
            </w:r>
            <w:r>
              <w:rPr>
                <w:color w:val="000000"/>
                <w:sz w:val="18"/>
                <w:szCs w:val="18"/>
              </w:rPr>
              <w:t>分，除因政策因素调整导致外，否则不得分。</w:t>
            </w:r>
          </w:p>
          <w:p w14:paraId="3FB83D00">
            <w:pPr>
              <w:spacing w:line="260" w:lineRule="exact"/>
              <w:jc w:val="left"/>
              <w:textAlignment w:val="center"/>
              <w:rPr>
                <w:color w:val="000000"/>
                <w:sz w:val="18"/>
                <w:szCs w:val="18"/>
              </w:rPr>
            </w:pPr>
            <w:r>
              <w:rPr>
                <w:rFonts w:hint="eastAsia"/>
                <w:color w:val="000000"/>
                <w:sz w:val="18"/>
                <w:szCs w:val="18"/>
              </w:rPr>
              <w:t>②</w:t>
            </w:r>
            <w:r>
              <w:rPr>
                <w:color w:val="000000"/>
                <w:sz w:val="18"/>
                <w:szCs w:val="18"/>
              </w:rPr>
              <w:t>重点支出所安排的资金能够满足重点工作任务所需，且未出现资金短缺现象，得</w:t>
            </w:r>
            <w:r>
              <w:rPr>
                <w:rFonts w:hint="eastAsia"/>
                <w:color w:val="000000"/>
                <w:sz w:val="18"/>
                <w:szCs w:val="18"/>
              </w:rPr>
              <w:t>1</w:t>
            </w:r>
            <w:r>
              <w:rPr>
                <w:color w:val="000000"/>
                <w:sz w:val="18"/>
                <w:szCs w:val="18"/>
              </w:rPr>
              <w:t>分，否则按照追加资金比例得分。</w:t>
            </w:r>
          </w:p>
        </w:tc>
      </w:tr>
    </w:tbl>
    <w:p w14:paraId="33594616">
      <w:pPr>
        <w:jc w:val="center"/>
        <w:rPr>
          <w:b/>
          <w:bCs/>
          <w:color w:val="000000"/>
          <w:kern w:val="0"/>
          <w:sz w:val="32"/>
          <w:szCs w:val="32"/>
        </w:rPr>
      </w:pPr>
    </w:p>
    <w:p w14:paraId="462E8DA6">
      <w:pPr>
        <w:jc w:val="center"/>
        <w:rPr>
          <w:sz w:val="32"/>
          <w:szCs w:val="32"/>
        </w:rPr>
      </w:pPr>
      <w:r>
        <w:rPr>
          <w:rFonts w:hint="eastAsia"/>
          <w:b/>
          <w:bCs/>
          <w:color w:val="000000"/>
          <w:kern w:val="0"/>
          <w:sz w:val="32"/>
          <w:szCs w:val="32"/>
        </w:rPr>
        <w:t>永济市文旅局部门整体支出绩效评价指标表</w:t>
      </w:r>
    </w:p>
    <w:p w14:paraId="68A5AD3E">
      <w:pPr>
        <w:pStyle w:val="8"/>
        <w:widowControl w:val="0"/>
        <w:snapToGrid/>
        <w:spacing w:line="20" w:lineRule="exact"/>
        <w:ind w:firstLine="200"/>
        <w:rPr>
          <w:rFonts w:eastAsia="仿宋_GB2312"/>
          <w:sz w:val="10"/>
          <w:szCs w:val="10"/>
          <w:highlight w:val="yellow"/>
        </w:rPr>
      </w:pPr>
    </w:p>
    <w:tbl>
      <w:tblPr>
        <w:tblStyle w:val="24"/>
        <w:tblW w:w="4804" w:type="pct"/>
        <w:jc w:val="center"/>
        <w:tblLayout w:type="autofit"/>
        <w:tblCellMar>
          <w:top w:w="0" w:type="dxa"/>
          <w:left w:w="108" w:type="dxa"/>
          <w:bottom w:w="0" w:type="dxa"/>
          <w:right w:w="108" w:type="dxa"/>
        </w:tblCellMar>
      </w:tblPr>
      <w:tblGrid>
        <w:gridCol w:w="1000"/>
        <w:gridCol w:w="1008"/>
        <w:gridCol w:w="978"/>
        <w:gridCol w:w="673"/>
        <w:gridCol w:w="2297"/>
        <w:gridCol w:w="597"/>
        <w:gridCol w:w="7065"/>
      </w:tblGrid>
      <w:tr w14:paraId="4F8A837A">
        <w:tblPrEx>
          <w:tblCellMar>
            <w:top w:w="0" w:type="dxa"/>
            <w:left w:w="108" w:type="dxa"/>
            <w:bottom w:w="0" w:type="dxa"/>
            <w:right w:w="108" w:type="dxa"/>
          </w:tblCellMar>
        </w:tblPrEx>
        <w:trPr>
          <w:trHeight w:val="600" w:hRule="atLeast"/>
          <w:tblHeader/>
          <w:jc w:val="center"/>
        </w:trPr>
        <w:tc>
          <w:tcPr>
            <w:tcW w:w="367" w:type="pct"/>
            <w:tcBorders>
              <w:top w:val="single" w:color="000000" w:sz="4" w:space="0"/>
              <w:left w:val="single" w:color="000000" w:sz="4" w:space="0"/>
              <w:bottom w:val="single" w:color="auto" w:sz="4" w:space="0"/>
              <w:right w:val="single" w:color="000000" w:sz="4" w:space="0"/>
            </w:tcBorders>
            <w:shd w:val="clear" w:color="auto" w:fill="auto"/>
            <w:vAlign w:val="center"/>
          </w:tcPr>
          <w:p w14:paraId="27FACE52">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70" w:type="pct"/>
            <w:tcBorders>
              <w:top w:val="single" w:color="000000" w:sz="4" w:space="0"/>
              <w:left w:val="single" w:color="000000" w:sz="4" w:space="0"/>
              <w:bottom w:val="single" w:color="auto" w:sz="4" w:space="0"/>
              <w:right w:val="single" w:color="000000" w:sz="4" w:space="0"/>
            </w:tcBorders>
            <w:shd w:val="clear" w:color="auto" w:fill="auto"/>
            <w:vAlign w:val="center"/>
          </w:tcPr>
          <w:p w14:paraId="1BE2CF19">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59" w:type="pct"/>
            <w:tcBorders>
              <w:top w:val="single" w:color="000000" w:sz="4" w:space="0"/>
              <w:left w:val="single" w:color="000000" w:sz="4" w:space="0"/>
              <w:bottom w:val="single" w:color="auto" w:sz="4" w:space="0"/>
              <w:right w:val="single" w:color="000000" w:sz="4" w:space="0"/>
            </w:tcBorders>
            <w:shd w:val="clear" w:color="auto" w:fill="auto"/>
            <w:vAlign w:val="center"/>
          </w:tcPr>
          <w:p w14:paraId="5B5D5223">
            <w:pPr>
              <w:spacing w:line="260" w:lineRule="exact"/>
              <w:jc w:val="center"/>
              <w:textAlignment w:val="center"/>
              <w:rPr>
                <w:b/>
                <w:bCs/>
                <w:color w:val="000000"/>
                <w:sz w:val="18"/>
                <w:szCs w:val="18"/>
              </w:rPr>
            </w:pPr>
            <w:r>
              <w:rPr>
                <w:rStyle w:val="48"/>
                <w:rFonts w:hint="default"/>
                <w:sz w:val="18"/>
                <w:szCs w:val="18"/>
              </w:rPr>
              <w:t>三级指标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F42E6">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C43A">
            <w:pPr>
              <w:spacing w:line="260" w:lineRule="exact"/>
              <w:jc w:val="center"/>
              <w:textAlignment w:val="center"/>
              <w:rPr>
                <w:b/>
                <w:bCs/>
                <w:color w:val="000000"/>
                <w:sz w:val="18"/>
                <w:szCs w:val="18"/>
              </w:rPr>
            </w:pPr>
            <w:r>
              <w:rPr>
                <w:rStyle w:val="48"/>
                <w:rFonts w:hint="default"/>
                <w:sz w:val="18"/>
                <w:szCs w:val="18"/>
              </w:rPr>
              <w:t>指标解释</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F957E">
            <w:pPr>
              <w:spacing w:line="260" w:lineRule="exact"/>
              <w:jc w:val="center"/>
              <w:textAlignment w:val="center"/>
              <w:rPr>
                <w:b/>
                <w:bCs/>
                <w:color w:val="000000"/>
                <w:sz w:val="18"/>
                <w:szCs w:val="18"/>
              </w:rPr>
            </w:pPr>
            <w:r>
              <w:rPr>
                <w:rStyle w:val="48"/>
                <w:rFonts w:hint="default"/>
                <w:sz w:val="18"/>
                <w:szCs w:val="18"/>
              </w:rPr>
              <w:t>评分依据</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F605">
            <w:pPr>
              <w:spacing w:line="260" w:lineRule="exact"/>
              <w:jc w:val="center"/>
              <w:textAlignment w:val="center"/>
              <w:rPr>
                <w:b/>
                <w:bCs/>
                <w:color w:val="000000"/>
                <w:sz w:val="18"/>
                <w:szCs w:val="18"/>
              </w:rPr>
            </w:pPr>
            <w:r>
              <w:rPr>
                <w:rStyle w:val="48"/>
                <w:rFonts w:hint="default"/>
                <w:sz w:val="18"/>
                <w:szCs w:val="18"/>
              </w:rPr>
              <w:t>评分标准</w:t>
            </w:r>
          </w:p>
        </w:tc>
      </w:tr>
      <w:tr w14:paraId="2A43CF60">
        <w:tblPrEx>
          <w:tblCellMar>
            <w:top w:w="0" w:type="dxa"/>
            <w:left w:w="108" w:type="dxa"/>
            <w:bottom w:w="0" w:type="dxa"/>
            <w:right w:w="108" w:type="dxa"/>
          </w:tblCellMar>
        </w:tblPrEx>
        <w:trPr>
          <w:trHeight w:val="90" w:hRule="atLeast"/>
          <w:jc w:val="center"/>
        </w:trPr>
        <w:tc>
          <w:tcPr>
            <w:tcW w:w="367" w:type="pct"/>
            <w:vMerge w:val="restart"/>
            <w:tcBorders>
              <w:top w:val="single" w:color="auto" w:sz="4" w:space="0"/>
              <w:left w:val="single" w:color="auto" w:sz="4" w:space="0"/>
              <w:right w:val="single" w:color="000000" w:sz="4" w:space="0"/>
            </w:tcBorders>
            <w:shd w:val="clear" w:color="auto" w:fill="auto"/>
            <w:vAlign w:val="center"/>
          </w:tcPr>
          <w:p w14:paraId="59F0FC3B">
            <w:pPr>
              <w:spacing w:line="260" w:lineRule="exact"/>
              <w:jc w:val="center"/>
              <w:textAlignment w:val="center"/>
              <w:rPr>
                <w:color w:val="000000"/>
                <w:kern w:val="0"/>
                <w:sz w:val="18"/>
                <w:szCs w:val="18"/>
              </w:rPr>
            </w:pPr>
            <w:r>
              <w:rPr>
                <w:rFonts w:hint="eastAsia"/>
                <w:color w:val="000000"/>
                <w:kern w:val="0"/>
                <w:sz w:val="18"/>
                <w:szCs w:val="18"/>
              </w:rPr>
              <w:t>部门管理</w:t>
            </w:r>
          </w:p>
          <w:p w14:paraId="3592A4E9">
            <w:pPr>
              <w:spacing w:line="260" w:lineRule="exact"/>
              <w:jc w:val="center"/>
              <w:textAlignment w:val="center"/>
              <w:rPr>
                <w:color w:val="000000"/>
                <w:kern w:val="0"/>
                <w:sz w:val="18"/>
                <w:szCs w:val="18"/>
              </w:rPr>
            </w:pPr>
            <w:r>
              <w:rPr>
                <w:rFonts w:hint="eastAsia"/>
                <w:color w:val="000000"/>
                <w:kern w:val="0"/>
                <w:sz w:val="18"/>
                <w:szCs w:val="18"/>
              </w:rPr>
              <w:t>（30分）</w:t>
            </w:r>
          </w:p>
          <w:p w14:paraId="3EDD7337">
            <w:pPr>
              <w:spacing w:line="260" w:lineRule="exact"/>
              <w:jc w:val="center"/>
              <w:rPr>
                <w:color w:val="000000"/>
                <w:sz w:val="18"/>
                <w:szCs w:val="18"/>
              </w:rPr>
            </w:pPr>
          </w:p>
        </w:tc>
        <w:tc>
          <w:tcPr>
            <w:tcW w:w="370"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C0939AD">
            <w:pPr>
              <w:pStyle w:val="8"/>
              <w:ind w:firstLine="0" w:firstLineChars="0"/>
              <w:rPr>
                <w:rFonts w:ascii="仿宋" w:hAnsi="仿宋"/>
                <w:color w:val="000000"/>
                <w:kern w:val="0"/>
                <w:sz w:val="18"/>
                <w:szCs w:val="18"/>
              </w:rPr>
            </w:pPr>
            <w:r>
              <w:rPr>
                <w:rFonts w:hint="eastAsia" w:ascii="仿宋" w:hAnsi="仿宋"/>
                <w:color w:val="000000"/>
                <w:kern w:val="0"/>
                <w:sz w:val="18"/>
                <w:szCs w:val="18"/>
              </w:rPr>
              <w:t>资产管理</w:t>
            </w:r>
          </w:p>
          <w:p w14:paraId="064CD5B1">
            <w:pPr>
              <w:pStyle w:val="8"/>
              <w:ind w:firstLine="0" w:firstLineChars="0"/>
              <w:rPr>
                <w:rFonts w:ascii="仿宋" w:hAnsi="仿宋"/>
                <w:color w:val="000000"/>
                <w:kern w:val="0"/>
                <w:sz w:val="18"/>
                <w:szCs w:val="18"/>
              </w:rPr>
            </w:pPr>
            <w:r>
              <w:rPr>
                <w:rFonts w:hint="eastAsia" w:ascii="仿宋" w:hAnsi="仿宋"/>
                <w:color w:val="000000"/>
                <w:kern w:val="0"/>
                <w:sz w:val="18"/>
                <w:szCs w:val="18"/>
              </w:rPr>
              <w:t>（8分）</w:t>
            </w:r>
          </w:p>
        </w:tc>
        <w:tc>
          <w:tcPr>
            <w:tcW w:w="359" w:type="pct"/>
            <w:tcBorders>
              <w:top w:val="single" w:color="auto" w:sz="4" w:space="0"/>
              <w:left w:val="single" w:color="000000" w:sz="4" w:space="0"/>
              <w:bottom w:val="single" w:color="000000" w:sz="4" w:space="0"/>
              <w:right w:val="single" w:color="auto" w:sz="4" w:space="0"/>
            </w:tcBorders>
            <w:shd w:val="clear" w:color="auto" w:fill="auto"/>
            <w:vAlign w:val="center"/>
          </w:tcPr>
          <w:p w14:paraId="4E9CD741">
            <w:pPr>
              <w:spacing w:line="260" w:lineRule="exact"/>
              <w:jc w:val="center"/>
              <w:textAlignment w:val="center"/>
              <w:rPr>
                <w:color w:val="000000"/>
                <w:sz w:val="18"/>
                <w:szCs w:val="18"/>
              </w:rPr>
            </w:pPr>
            <w:r>
              <w:rPr>
                <w:rFonts w:hint="eastAsia"/>
                <w:color w:val="000000"/>
                <w:kern w:val="0"/>
                <w:sz w:val="18"/>
                <w:szCs w:val="18"/>
              </w:rPr>
              <w:t>资产管理规范性</w:t>
            </w:r>
          </w:p>
        </w:tc>
        <w:tc>
          <w:tcPr>
            <w:tcW w:w="247" w:type="pct"/>
            <w:tcBorders>
              <w:top w:val="single" w:color="000000" w:sz="4" w:space="0"/>
              <w:left w:val="single" w:color="auto" w:sz="4" w:space="0"/>
              <w:bottom w:val="single" w:color="000000" w:sz="4" w:space="0"/>
              <w:right w:val="single" w:color="000000" w:sz="4" w:space="0"/>
            </w:tcBorders>
            <w:shd w:val="clear" w:color="auto" w:fill="auto"/>
            <w:vAlign w:val="center"/>
          </w:tcPr>
          <w:p w14:paraId="4B86084B">
            <w:pPr>
              <w:spacing w:line="260" w:lineRule="exact"/>
              <w:jc w:val="center"/>
              <w:textAlignment w:val="center"/>
              <w:rPr>
                <w:color w:val="000000"/>
                <w:sz w:val="18"/>
                <w:szCs w:val="18"/>
              </w:rPr>
            </w:pPr>
            <w:r>
              <w:rPr>
                <w:rFonts w:hint="eastAsia"/>
                <w:color w:val="000000"/>
                <w:kern w:val="0"/>
                <w:sz w:val="18"/>
                <w:szCs w:val="18"/>
              </w:rPr>
              <w:t>5</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C4FBF">
            <w:pPr>
              <w:spacing w:line="260" w:lineRule="exact"/>
              <w:jc w:val="left"/>
              <w:textAlignment w:val="center"/>
              <w:rPr>
                <w:color w:val="000000"/>
                <w:sz w:val="18"/>
                <w:szCs w:val="18"/>
              </w:rPr>
            </w:pPr>
            <w:r>
              <w:rPr>
                <w:rFonts w:hint="eastAsia"/>
                <w:color w:val="000000"/>
                <w:kern w:val="0"/>
                <w:sz w:val="18"/>
                <w:szCs w:val="18"/>
              </w:rPr>
              <w:t>评价部门资产管理制度建设、资产的配备、保存、使用、处置是否合规，用以反映和考核部门资产管理规范性。</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86E71">
            <w:pPr>
              <w:spacing w:line="260" w:lineRule="exact"/>
              <w:jc w:val="center"/>
              <w:textAlignment w:val="center"/>
              <w:rPr>
                <w:color w:val="000000"/>
                <w:sz w:val="18"/>
                <w:szCs w:val="18"/>
              </w:rPr>
            </w:pPr>
            <w:r>
              <w:rPr>
                <w:rFonts w:hint="eastAsia"/>
                <w:color w:val="000000"/>
                <w:kern w:val="0"/>
                <w:sz w:val="18"/>
                <w:szCs w:val="18"/>
              </w:rPr>
              <w:t>通用标准</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F31C9">
            <w:pPr>
              <w:spacing w:line="240" w:lineRule="exact"/>
              <w:jc w:val="left"/>
              <w:textAlignment w:val="center"/>
              <w:rPr>
                <w:color w:val="000000"/>
                <w:kern w:val="0"/>
                <w:sz w:val="18"/>
                <w:szCs w:val="18"/>
              </w:rPr>
            </w:pPr>
            <w:r>
              <w:rPr>
                <w:rFonts w:hint="eastAsia"/>
                <w:color w:val="000000"/>
                <w:kern w:val="0"/>
                <w:sz w:val="18"/>
                <w:szCs w:val="18"/>
              </w:rPr>
              <w:t>①制定或具有资产管理制度，相关资产管理制度合法、合规、完整，得1分，否则不得分；</w:t>
            </w:r>
          </w:p>
          <w:p w14:paraId="27F7049B">
            <w:pPr>
              <w:spacing w:line="240" w:lineRule="exact"/>
              <w:jc w:val="left"/>
              <w:textAlignment w:val="center"/>
              <w:rPr>
                <w:color w:val="000000"/>
                <w:kern w:val="0"/>
                <w:sz w:val="18"/>
                <w:szCs w:val="18"/>
              </w:rPr>
            </w:pPr>
            <w:r>
              <w:rPr>
                <w:rFonts w:hint="eastAsia"/>
                <w:color w:val="000000"/>
                <w:kern w:val="0"/>
                <w:sz w:val="18"/>
                <w:szCs w:val="18"/>
              </w:rPr>
              <w:t>②资产保存完整，处置规范，得1分，否则不得分；</w:t>
            </w:r>
          </w:p>
          <w:p w14:paraId="41D912D1">
            <w:pPr>
              <w:spacing w:line="240" w:lineRule="exact"/>
              <w:jc w:val="left"/>
              <w:textAlignment w:val="center"/>
              <w:rPr>
                <w:color w:val="000000"/>
                <w:kern w:val="0"/>
                <w:sz w:val="18"/>
                <w:szCs w:val="18"/>
              </w:rPr>
            </w:pPr>
            <w:r>
              <w:rPr>
                <w:rFonts w:hint="eastAsia"/>
                <w:color w:val="000000"/>
                <w:kern w:val="0"/>
                <w:sz w:val="18"/>
                <w:szCs w:val="18"/>
              </w:rPr>
              <w:t>③资产账务管理合规，账实相符，得1分，否则不得分；</w:t>
            </w:r>
          </w:p>
          <w:p w14:paraId="382DE04C">
            <w:pPr>
              <w:spacing w:line="240" w:lineRule="exact"/>
              <w:jc w:val="left"/>
              <w:textAlignment w:val="center"/>
              <w:rPr>
                <w:color w:val="000000"/>
                <w:kern w:val="0"/>
                <w:sz w:val="18"/>
                <w:szCs w:val="18"/>
              </w:rPr>
            </w:pPr>
            <w:r>
              <w:rPr>
                <w:rFonts w:hint="eastAsia"/>
                <w:color w:val="000000"/>
                <w:kern w:val="0"/>
                <w:sz w:val="18"/>
                <w:szCs w:val="18"/>
              </w:rPr>
              <w:t>④资产有偿使用及处置收入及时足额上缴，得1分，否则不得分；</w:t>
            </w:r>
          </w:p>
          <w:p w14:paraId="72D6CC6C">
            <w:pPr>
              <w:spacing w:line="260" w:lineRule="exact"/>
              <w:jc w:val="left"/>
              <w:textAlignment w:val="center"/>
              <w:rPr>
                <w:color w:val="000000"/>
                <w:sz w:val="18"/>
                <w:szCs w:val="18"/>
              </w:rPr>
            </w:pPr>
            <w:r>
              <w:rPr>
                <w:rFonts w:hint="eastAsia"/>
                <w:color w:val="000000"/>
                <w:kern w:val="0"/>
                <w:sz w:val="18"/>
                <w:szCs w:val="18"/>
              </w:rPr>
              <w:t>⑤购置资产价格未超过《永济市行政单位资产配置标准》的得1分，否则不得分。</w:t>
            </w:r>
          </w:p>
        </w:tc>
      </w:tr>
      <w:tr w14:paraId="0C218BCF">
        <w:tblPrEx>
          <w:tblCellMar>
            <w:top w:w="0" w:type="dxa"/>
            <w:left w:w="108" w:type="dxa"/>
            <w:bottom w:w="0" w:type="dxa"/>
            <w:right w:w="108" w:type="dxa"/>
          </w:tblCellMar>
        </w:tblPrEx>
        <w:trPr>
          <w:trHeight w:val="1437" w:hRule="atLeast"/>
          <w:jc w:val="center"/>
        </w:trPr>
        <w:tc>
          <w:tcPr>
            <w:tcW w:w="367" w:type="pct"/>
            <w:vMerge w:val="continue"/>
            <w:tcBorders>
              <w:left w:val="single" w:color="auto" w:sz="4" w:space="0"/>
              <w:right w:val="single" w:color="000000" w:sz="4" w:space="0"/>
            </w:tcBorders>
            <w:shd w:val="clear" w:color="auto" w:fill="auto"/>
            <w:vAlign w:val="center"/>
          </w:tcPr>
          <w:p w14:paraId="11E59A9D">
            <w:pPr>
              <w:spacing w:line="260" w:lineRule="exact"/>
              <w:jc w:val="center"/>
              <w:rPr>
                <w:color w:val="000000"/>
                <w:sz w:val="18"/>
                <w:szCs w:val="18"/>
              </w:rPr>
            </w:pPr>
          </w:p>
        </w:tc>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26FF6">
            <w:pPr>
              <w:spacing w:line="260" w:lineRule="exact"/>
              <w:jc w:val="center"/>
              <w:rPr>
                <w:color w:val="000000"/>
                <w:sz w:val="18"/>
                <w:szCs w:val="18"/>
              </w:rPr>
            </w:pPr>
          </w:p>
        </w:tc>
        <w:tc>
          <w:tcPr>
            <w:tcW w:w="359" w:type="pct"/>
            <w:tcBorders>
              <w:top w:val="single" w:color="000000" w:sz="4" w:space="0"/>
              <w:left w:val="single" w:color="000000" w:sz="4" w:space="0"/>
              <w:bottom w:val="single" w:color="000000" w:sz="4" w:space="0"/>
              <w:right w:val="single" w:color="auto" w:sz="4" w:space="0"/>
            </w:tcBorders>
            <w:shd w:val="clear" w:color="auto" w:fill="auto"/>
            <w:vAlign w:val="center"/>
          </w:tcPr>
          <w:p w14:paraId="798595C3">
            <w:pPr>
              <w:spacing w:line="260" w:lineRule="exact"/>
              <w:jc w:val="center"/>
              <w:textAlignment w:val="center"/>
              <w:rPr>
                <w:color w:val="000000"/>
                <w:sz w:val="18"/>
                <w:szCs w:val="18"/>
              </w:rPr>
            </w:pPr>
            <w:r>
              <w:rPr>
                <w:rFonts w:hint="eastAsia"/>
                <w:color w:val="000000"/>
                <w:kern w:val="0"/>
                <w:sz w:val="18"/>
                <w:szCs w:val="18"/>
              </w:rPr>
              <w:t>固定资产利用率</w:t>
            </w:r>
          </w:p>
        </w:tc>
        <w:tc>
          <w:tcPr>
            <w:tcW w:w="247" w:type="pct"/>
            <w:tcBorders>
              <w:top w:val="single" w:color="000000" w:sz="4" w:space="0"/>
              <w:left w:val="single" w:color="auto" w:sz="4" w:space="0"/>
              <w:bottom w:val="single" w:color="000000" w:sz="4" w:space="0"/>
              <w:right w:val="single" w:color="000000" w:sz="4" w:space="0"/>
            </w:tcBorders>
            <w:shd w:val="clear" w:color="auto" w:fill="auto"/>
            <w:vAlign w:val="center"/>
          </w:tcPr>
          <w:p w14:paraId="1C46529D">
            <w:pPr>
              <w:spacing w:line="260" w:lineRule="exact"/>
              <w:jc w:val="center"/>
              <w:textAlignment w:val="center"/>
              <w:rPr>
                <w:color w:val="000000"/>
                <w:sz w:val="18"/>
                <w:szCs w:val="18"/>
              </w:rPr>
            </w:pPr>
            <w:r>
              <w:rPr>
                <w:rFonts w:hint="eastAsia"/>
                <w:color w:val="000000"/>
                <w:kern w:val="0"/>
                <w:sz w:val="18"/>
                <w:szCs w:val="18"/>
              </w:rPr>
              <w:t>3</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C3581">
            <w:pPr>
              <w:spacing w:line="260" w:lineRule="exact"/>
              <w:jc w:val="left"/>
              <w:textAlignment w:val="center"/>
              <w:rPr>
                <w:color w:val="000000"/>
                <w:sz w:val="18"/>
                <w:szCs w:val="18"/>
              </w:rPr>
            </w:pPr>
            <w:r>
              <w:rPr>
                <w:rFonts w:hint="eastAsia"/>
                <w:color w:val="000000"/>
                <w:kern w:val="0"/>
                <w:sz w:val="18"/>
                <w:szCs w:val="18"/>
              </w:rPr>
              <w:t>部门实际在用固定资产总额与所有固定资产总额的比率，用以反映和考核部门固定资产使用效率程度。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9111">
            <w:pPr>
              <w:spacing w:line="260" w:lineRule="exact"/>
              <w:jc w:val="center"/>
              <w:textAlignment w:val="center"/>
              <w:rPr>
                <w:color w:val="000000"/>
                <w:sz w:val="18"/>
                <w:szCs w:val="18"/>
              </w:rPr>
            </w:pPr>
            <w:r>
              <w:rPr>
                <w:rFonts w:hint="eastAsia"/>
                <w:color w:val="000000"/>
                <w:kern w:val="0"/>
                <w:sz w:val="18"/>
                <w:szCs w:val="18"/>
              </w:rPr>
              <w:t>通用标准</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2F292">
            <w:pPr>
              <w:spacing w:line="240" w:lineRule="exact"/>
              <w:jc w:val="left"/>
              <w:textAlignment w:val="center"/>
              <w:rPr>
                <w:color w:val="000000"/>
                <w:kern w:val="0"/>
                <w:sz w:val="18"/>
                <w:szCs w:val="18"/>
              </w:rPr>
            </w:pPr>
            <w:r>
              <w:rPr>
                <w:rFonts w:hint="eastAsia"/>
                <w:color w:val="000000"/>
                <w:kern w:val="0"/>
                <w:sz w:val="18"/>
                <w:szCs w:val="18"/>
              </w:rPr>
              <w:t>固定资产利用率=（实际在用固定资产总额/所有固定资产总额）×100%</w:t>
            </w:r>
          </w:p>
          <w:p w14:paraId="51A9C4E3">
            <w:pPr>
              <w:spacing w:line="240" w:lineRule="exact"/>
              <w:jc w:val="left"/>
              <w:textAlignment w:val="center"/>
              <w:rPr>
                <w:color w:val="000000"/>
                <w:kern w:val="0"/>
                <w:sz w:val="18"/>
                <w:szCs w:val="18"/>
              </w:rPr>
            </w:pPr>
            <w:r>
              <w:rPr>
                <w:rFonts w:hint="eastAsia"/>
                <w:color w:val="000000"/>
                <w:kern w:val="0"/>
                <w:sz w:val="18"/>
                <w:szCs w:val="18"/>
              </w:rPr>
              <w:t>①固定资产利用率≥90%，得3分；</w:t>
            </w:r>
          </w:p>
          <w:p w14:paraId="4354F6A4">
            <w:pPr>
              <w:spacing w:line="240" w:lineRule="exact"/>
              <w:jc w:val="left"/>
              <w:textAlignment w:val="center"/>
              <w:rPr>
                <w:color w:val="000000"/>
                <w:kern w:val="0"/>
                <w:sz w:val="18"/>
                <w:szCs w:val="18"/>
              </w:rPr>
            </w:pPr>
            <w:r>
              <w:rPr>
                <w:rFonts w:hint="eastAsia"/>
                <w:color w:val="000000"/>
                <w:kern w:val="0"/>
                <w:sz w:val="18"/>
                <w:szCs w:val="18"/>
              </w:rPr>
              <w:t>②固定资产利用率≤80%，得0分；</w:t>
            </w:r>
          </w:p>
          <w:p w14:paraId="4A205FA9">
            <w:pPr>
              <w:spacing w:line="240" w:lineRule="exact"/>
              <w:jc w:val="left"/>
              <w:textAlignment w:val="center"/>
              <w:rPr>
                <w:color w:val="000000"/>
                <w:kern w:val="0"/>
                <w:sz w:val="18"/>
                <w:szCs w:val="18"/>
              </w:rPr>
            </w:pPr>
            <w:r>
              <w:rPr>
                <w:rFonts w:hint="eastAsia"/>
                <w:color w:val="000000"/>
                <w:kern w:val="0"/>
                <w:sz w:val="18"/>
                <w:szCs w:val="18"/>
              </w:rPr>
              <w:t>③固定资产利用率在80%-90%之间，按比例计算确定。</w:t>
            </w:r>
          </w:p>
          <w:p w14:paraId="7EF2AA08">
            <w:pPr>
              <w:spacing w:line="260" w:lineRule="exact"/>
              <w:jc w:val="left"/>
              <w:textAlignment w:val="center"/>
              <w:rPr>
                <w:color w:val="000000"/>
                <w:sz w:val="18"/>
                <w:szCs w:val="18"/>
              </w:rPr>
            </w:pPr>
            <w:r>
              <w:rPr>
                <w:rFonts w:hint="eastAsia"/>
                <w:color w:val="000000"/>
                <w:kern w:val="0"/>
                <w:sz w:val="18"/>
                <w:szCs w:val="18"/>
              </w:rPr>
              <w:t>按比例计算得分=（固定资产利用率-80%）/（90%-80%）×该指标分值3分。</w:t>
            </w:r>
          </w:p>
        </w:tc>
      </w:tr>
      <w:tr w14:paraId="612EA330">
        <w:tblPrEx>
          <w:tblCellMar>
            <w:top w:w="0" w:type="dxa"/>
            <w:left w:w="108" w:type="dxa"/>
            <w:bottom w:w="0" w:type="dxa"/>
            <w:right w:w="108" w:type="dxa"/>
          </w:tblCellMar>
        </w:tblPrEx>
        <w:trPr>
          <w:trHeight w:val="1200" w:hRule="atLeast"/>
          <w:jc w:val="center"/>
        </w:trPr>
        <w:tc>
          <w:tcPr>
            <w:tcW w:w="367" w:type="pct"/>
            <w:vMerge w:val="continue"/>
            <w:tcBorders>
              <w:left w:val="single" w:color="auto" w:sz="4" w:space="0"/>
              <w:right w:val="single" w:color="000000" w:sz="4" w:space="0"/>
            </w:tcBorders>
            <w:shd w:val="clear" w:color="auto" w:fill="auto"/>
            <w:vAlign w:val="center"/>
          </w:tcPr>
          <w:p w14:paraId="4B6B824A">
            <w:pPr>
              <w:spacing w:line="260" w:lineRule="exact"/>
              <w:jc w:val="center"/>
              <w:rPr>
                <w:color w:val="000000"/>
                <w:sz w:val="18"/>
                <w:szCs w:val="18"/>
              </w:rPr>
            </w:pPr>
          </w:p>
        </w:tc>
        <w:tc>
          <w:tcPr>
            <w:tcW w:w="370" w:type="pct"/>
            <w:vMerge w:val="restart"/>
            <w:tcBorders>
              <w:top w:val="single" w:color="auto" w:sz="4" w:space="0"/>
              <w:left w:val="single" w:color="000000" w:sz="4" w:space="0"/>
              <w:right w:val="single" w:color="000000" w:sz="4" w:space="0"/>
            </w:tcBorders>
            <w:shd w:val="clear" w:color="auto" w:fill="auto"/>
            <w:vAlign w:val="center"/>
          </w:tcPr>
          <w:p w14:paraId="213386BD">
            <w:pPr>
              <w:pStyle w:val="8"/>
              <w:ind w:firstLine="0" w:firstLineChars="0"/>
              <w:rPr>
                <w:rFonts w:ascii="仿宋" w:hAnsi="仿宋"/>
                <w:color w:val="000000"/>
                <w:kern w:val="0"/>
                <w:sz w:val="18"/>
                <w:szCs w:val="18"/>
              </w:rPr>
            </w:pPr>
            <w:r>
              <w:rPr>
                <w:rFonts w:hint="eastAsia" w:ascii="仿宋" w:hAnsi="仿宋"/>
                <w:color w:val="000000"/>
                <w:kern w:val="0"/>
                <w:sz w:val="18"/>
                <w:szCs w:val="18"/>
              </w:rPr>
              <w:t>其他管理</w:t>
            </w:r>
          </w:p>
          <w:p w14:paraId="623D1A28">
            <w:pPr>
              <w:pStyle w:val="8"/>
              <w:ind w:firstLine="0" w:firstLineChars="0"/>
              <w:rPr>
                <w:rFonts w:ascii="仿宋" w:hAnsi="仿宋"/>
                <w:color w:val="000000"/>
                <w:kern w:val="0"/>
                <w:sz w:val="18"/>
                <w:szCs w:val="18"/>
              </w:rPr>
            </w:pPr>
            <w:r>
              <w:rPr>
                <w:rFonts w:hint="eastAsia" w:ascii="仿宋" w:hAnsi="仿宋"/>
                <w:color w:val="000000"/>
                <w:kern w:val="0"/>
                <w:sz w:val="18"/>
                <w:szCs w:val="18"/>
              </w:rPr>
              <w:t>（4分）</w:t>
            </w:r>
          </w:p>
        </w:tc>
        <w:tc>
          <w:tcPr>
            <w:tcW w:w="359" w:type="pct"/>
            <w:tcBorders>
              <w:top w:val="single" w:color="000000" w:sz="4" w:space="0"/>
              <w:left w:val="single" w:color="000000" w:sz="4" w:space="0"/>
              <w:bottom w:val="single" w:color="000000" w:sz="4" w:space="0"/>
              <w:right w:val="single" w:color="auto" w:sz="4" w:space="0"/>
            </w:tcBorders>
            <w:shd w:val="clear" w:color="auto" w:fill="auto"/>
            <w:vAlign w:val="center"/>
          </w:tcPr>
          <w:p w14:paraId="6D0C2D75">
            <w:pPr>
              <w:spacing w:line="260" w:lineRule="exact"/>
              <w:jc w:val="center"/>
              <w:textAlignment w:val="center"/>
              <w:rPr>
                <w:color w:val="000000"/>
                <w:sz w:val="18"/>
                <w:szCs w:val="18"/>
              </w:rPr>
            </w:pPr>
            <w:r>
              <w:rPr>
                <w:rFonts w:hint="eastAsia"/>
                <w:color w:val="000000"/>
                <w:kern w:val="0"/>
                <w:sz w:val="18"/>
                <w:szCs w:val="18"/>
              </w:rPr>
              <w:t>政府采购管理</w:t>
            </w:r>
          </w:p>
        </w:tc>
        <w:tc>
          <w:tcPr>
            <w:tcW w:w="247" w:type="pct"/>
            <w:tcBorders>
              <w:top w:val="single" w:color="000000" w:sz="4" w:space="0"/>
              <w:left w:val="single" w:color="auto" w:sz="4" w:space="0"/>
              <w:bottom w:val="single" w:color="000000" w:sz="4" w:space="0"/>
              <w:right w:val="single" w:color="000000" w:sz="4" w:space="0"/>
            </w:tcBorders>
            <w:shd w:val="clear" w:color="auto" w:fill="auto"/>
            <w:vAlign w:val="center"/>
          </w:tcPr>
          <w:p w14:paraId="466B50DE">
            <w:pPr>
              <w:spacing w:line="260" w:lineRule="exact"/>
              <w:jc w:val="center"/>
              <w:textAlignment w:val="center"/>
              <w:rPr>
                <w:color w:val="000000"/>
                <w:sz w:val="18"/>
                <w:szCs w:val="18"/>
              </w:rPr>
            </w:pPr>
            <w:r>
              <w:rPr>
                <w:rFonts w:hint="eastAsia"/>
                <w:color w:val="000000"/>
                <w:kern w:val="0"/>
                <w:sz w:val="18"/>
                <w:szCs w:val="18"/>
              </w:rPr>
              <w:t>2</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D24BA">
            <w:pPr>
              <w:spacing w:line="260" w:lineRule="exact"/>
              <w:jc w:val="left"/>
              <w:textAlignment w:val="center"/>
              <w:rPr>
                <w:color w:val="000000"/>
                <w:sz w:val="18"/>
                <w:szCs w:val="18"/>
              </w:rPr>
            </w:pPr>
            <w:r>
              <w:rPr>
                <w:rFonts w:hint="eastAsia"/>
                <w:color w:val="000000"/>
                <w:kern w:val="0"/>
                <w:sz w:val="18"/>
                <w:szCs w:val="18"/>
              </w:rPr>
              <w:t>部门实际政府采购金额与预算安排的政府采购金额的比率，用以反映和考核部门年度政府采购预算执行情况。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36F34">
            <w:pPr>
              <w:spacing w:line="260" w:lineRule="exact"/>
              <w:jc w:val="center"/>
              <w:textAlignment w:val="center"/>
              <w:rPr>
                <w:color w:val="000000"/>
                <w:sz w:val="18"/>
                <w:szCs w:val="18"/>
              </w:rPr>
            </w:pPr>
            <w:r>
              <w:rPr>
                <w:rFonts w:hint="eastAsia"/>
                <w:color w:val="000000"/>
                <w:kern w:val="0"/>
                <w:sz w:val="18"/>
                <w:szCs w:val="18"/>
              </w:rPr>
              <w:t>通用标准</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E4BD">
            <w:pPr>
              <w:spacing w:line="260" w:lineRule="exact"/>
              <w:jc w:val="left"/>
              <w:textAlignment w:val="center"/>
              <w:rPr>
                <w:color w:val="000000"/>
                <w:kern w:val="0"/>
                <w:sz w:val="18"/>
                <w:szCs w:val="18"/>
              </w:rPr>
            </w:pPr>
            <w:r>
              <w:rPr>
                <w:rFonts w:hint="eastAsia"/>
                <w:color w:val="000000"/>
                <w:kern w:val="0"/>
                <w:sz w:val="18"/>
                <w:szCs w:val="18"/>
              </w:rPr>
              <w:t>政府采购执行率=（实际政府采购金额/政府采购预算金额）×100%；</w:t>
            </w:r>
          </w:p>
          <w:p w14:paraId="064F6698">
            <w:pPr>
              <w:spacing w:line="260" w:lineRule="exact"/>
              <w:jc w:val="left"/>
              <w:textAlignment w:val="center"/>
              <w:rPr>
                <w:color w:val="000000"/>
                <w:kern w:val="0"/>
                <w:sz w:val="18"/>
                <w:szCs w:val="18"/>
              </w:rPr>
            </w:pPr>
            <w:r>
              <w:rPr>
                <w:rFonts w:hint="eastAsia"/>
                <w:color w:val="000000"/>
                <w:kern w:val="0"/>
                <w:sz w:val="18"/>
                <w:szCs w:val="18"/>
              </w:rPr>
              <w:t>①政府采购执行率=100%，得2分；</w:t>
            </w:r>
          </w:p>
          <w:p w14:paraId="11D9CA88">
            <w:pPr>
              <w:spacing w:line="260" w:lineRule="exact"/>
              <w:jc w:val="left"/>
              <w:textAlignment w:val="center"/>
              <w:rPr>
                <w:color w:val="000000"/>
                <w:kern w:val="0"/>
                <w:sz w:val="18"/>
                <w:szCs w:val="18"/>
              </w:rPr>
            </w:pPr>
            <w:r>
              <w:rPr>
                <w:rFonts w:hint="eastAsia"/>
                <w:color w:val="000000"/>
                <w:kern w:val="0"/>
                <w:sz w:val="18"/>
                <w:szCs w:val="18"/>
              </w:rPr>
              <w:t>②政府采购执行率≤90%，得0分；</w:t>
            </w:r>
          </w:p>
          <w:p w14:paraId="14913A04">
            <w:pPr>
              <w:spacing w:line="260" w:lineRule="exact"/>
              <w:jc w:val="left"/>
              <w:textAlignment w:val="center"/>
              <w:rPr>
                <w:color w:val="000000"/>
                <w:kern w:val="0"/>
                <w:sz w:val="18"/>
                <w:szCs w:val="18"/>
              </w:rPr>
            </w:pPr>
            <w:r>
              <w:rPr>
                <w:rFonts w:hint="eastAsia"/>
                <w:color w:val="000000"/>
                <w:kern w:val="0"/>
                <w:sz w:val="18"/>
                <w:szCs w:val="18"/>
              </w:rPr>
              <w:t>③政府采购执行率在90%-100%之间，按比例计算确定。</w:t>
            </w:r>
          </w:p>
          <w:p w14:paraId="6F52F3E1">
            <w:pPr>
              <w:spacing w:line="260" w:lineRule="exact"/>
              <w:jc w:val="left"/>
              <w:textAlignment w:val="center"/>
              <w:rPr>
                <w:color w:val="000000"/>
                <w:sz w:val="18"/>
                <w:szCs w:val="18"/>
              </w:rPr>
            </w:pPr>
            <w:r>
              <w:rPr>
                <w:rFonts w:hint="eastAsia"/>
                <w:color w:val="000000"/>
                <w:kern w:val="0"/>
                <w:sz w:val="18"/>
                <w:szCs w:val="18"/>
              </w:rPr>
              <w:t>得分=（政府采购执行率-90%）/（100%-90%）×该指标分值2分。</w:t>
            </w:r>
          </w:p>
        </w:tc>
      </w:tr>
      <w:tr w14:paraId="6E375B15">
        <w:tblPrEx>
          <w:tblCellMar>
            <w:top w:w="0" w:type="dxa"/>
            <w:left w:w="108" w:type="dxa"/>
            <w:bottom w:w="0" w:type="dxa"/>
            <w:right w:w="108" w:type="dxa"/>
          </w:tblCellMar>
        </w:tblPrEx>
        <w:trPr>
          <w:trHeight w:val="873" w:hRule="atLeast"/>
          <w:jc w:val="center"/>
        </w:trPr>
        <w:tc>
          <w:tcPr>
            <w:tcW w:w="367" w:type="pct"/>
            <w:vMerge w:val="continue"/>
            <w:tcBorders>
              <w:left w:val="single" w:color="auto" w:sz="4" w:space="0"/>
              <w:right w:val="single" w:color="000000" w:sz="4" w:space="0"/>
            </w:tcBorders>
            <w:shd w:val="clear" w:color="auto" w:fill="auto"/>
            <w:vAlign w:val="center"/>
          </w:tcPr>
          <w:p w14:paraId="5CA6BB34">
            <w:pPr>
              <w:spacing w:line="260" w:lineRule="exact"/>
              <w:jc w:val="center"/>
              <w:rPr>
                <w:color w:val="000000"/>
                <w:sz w:val="18"/>
                <w:szCs w:val="18"/>
              </w:rPr>
            </w:pPr>
          </w:p>
        </w:tc>
        <w:tc>
          <w:tcPr>
            <w:tcW w:w="370" w:type="pct"/>
            <w:vMerge w:val="continue"/>
            <w:tcBorders>
              <w:left w:val="single" w:color="000000" w:sz="4" w:space="0"/>
              <w:right w:val="single" w:color="000000" w:sz="4" w:space="0"/>
            </w:tcBorders>
            <w:shd w:val="clear" w:color="auto" w:fill="auto"/>
            <w:vAlign w:val="center"/>
          </w:tcPr>
          <w:p w14:paraId="74187317">
            <w:pPr>
              <w:spacing w:line="260" w:lineRule="exact"/>
              <w:jc w:val="center"/>
              <w:rPr>
                <w:color w:val="000000"/>
                <w:sz w:val="18"/>
                <w:szCs w:val="18"/>
              </w:rPr>
            </w:pPr>
          </w:p>
        </w:tc>
        <w:tc>
          <w:tcPr>
            <w:tcW w:w="359" w:type="pct"/>
            <w:tcBorders>
              <w:top w:val="single" w:color="000000" w:sz="4" w:space="0"/>
              <w:left w:val="single" w:color="000000" w:sz="4" w:space="0"/>
              <w:bottom w:val="single" w:color="auto" w:sz="4" w:space="0"/>
              <w:right w:val="single" w:color="auto" w:sz="4" w:space="0"/>
            </w:tcBorders>
            <w:shd w:val="clear" w:color="auto" w:fill="auto"/>
            <w:vAlign w:val="center"/>
          </w:tcPr>
          <w:p w14:paraId="224A58EE">
            <w:pPr>
              <w:spacing w:line="260" w:lineRule="exact"/>
              <w:jc w:val="center"/>
              <w:textAlignment w:val="center"/>
              <w:rPr>
                <w:color w:val="000000"/>
                <w:sz w:val="18"/>
                <w:szCs w:val="18"/>
              </w:rPr>
            </w:pPr>
            <w:r>
              <w:rPr>
                <w:rFonts w:hint="eastAsia"/>
                <w:color w:val="000000"/>
                <w:kern w:val="0"/>
                <w:sz w:val="18"/>
                <w:szCs w:val="18"/>
              </w:rPr>
              <w:t>预算信息公开</w:t>
            </w:r>
          </w:p>
        </w:tc>
        <w:tc>
          <w:tcPr>
            <w:tcW w:w="247" w:type="pct"/>
            <w:tcBorders>
              <w:top w:val="single" w:color="000000" w:sz="4" w:space="0"/>
              <w:left w:val="single" w:color="auto" w:sz="4" w:space="0"/>
              <w:bottom w:val="single" w:color="000000" w:sz="4" w:space="0"/>
              <w:right w:val="single" w:color="000000" w:sz="4" w:space="0"/>
            </w:tcBorders>
            <w:shd w:val="clear" w:color="auto" w:fill="auto"/>
            <w:vAlign w:val="center"/>
          </w:tcPr>
          <w:p w14:paraId="272D7995">
            <w:pPr>
              <w:spacing w:line="260" w:lineRule="exact"/>
              <w:jc w:val="center"/>
              <w:textAlignment w:val="center"/>
              <w:rPr>
                <w:color w:val="000000"/>
                <w:sz w:val="18"/>
                <w:szCs w:val="18"/>
              </w:rPr>
            </w:pPr>
            <w:r>
              <w:rPr>
                <w:rFonts w:hint="eastAsia"/>
                <w:color w:val="000000"/>
                <w:kern w:val="0"/>
                <w:sz w:val="18"/>
                <w:szCs w:val="18"/>
              </w:rPr>
              <w:t>1</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5D521">
            <w:pPr>
              <w:spacing w:line="260" w:lineRule="exact"/>
              <w:jc w:val="left"/>
              <w:textAlignment w:val="center"/>
              <w:rPr>
                <w:color w:val="000000"/>
                <w:sz w:val="18"/>
                <w:szCs w:val="18"/>
              </w:rPr>
            </w:pPr>
            <w:r>
              <w:rPr>
                <w:rFonts w:hint="eastAsia"/>
                <w:color w:val="000000"/>
                <w:kern w:val="0"/>
                <w:sz w:val="18"/>
                <w:szCs w:val="18"/>
              </w:rPr>
              <w:t>部门是否按照政府信息公开有关规定公开相关预决算信息，用以反映和考核部门2023年预决算管理的公开透明情况。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29209">
            <w:pPr>
              <w:spacing w:line="260" w:lineRule="exact"/>
              <w:jc w:val="center"/>
              <w:textAlignment w:val="center"/>
              <w:rPr>
                <w:color w:val="000000"/>
                <w:sz w:val="18"/>
                <w:szCs w:val="18"/>
              </w:rPr>
            </w:pPr>
            <w:r>
              <w:rPr>
                <w:rFonts w:hint="eastAsia"/>
                <w:color w:val="000000"/>
                <w:kern w:val="0"/>
                <w:sz w:val="18"/>
                <w:szCs w:val="18"/>
              </w:rPr>
              <w:t>通用标准</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71A2">
            <w:pPr>
              <w:spacing w:line="260" w:lineRule="exact"/>
              <w:jc w:val="left"/>
              <w:textAlignment w:val="center"/>
              <w:rPr>
                <w:color w:val="000000"/>
                <w:kern w:val="0"/>
                <w:sz w:val="18"/>
                <w:szCs w:val="18"/>
              </w:rPr>
            </w:pPr>
            <w:r>
              <w:rPr>
                <w:rFonts w:hint="eastAsia"/>
                <w:color w:val="000000"/>
                <w:kern w:val="0"/>
                <w:sz w:val="18"/>
                <w:szCs w:val="18"/>
              </w:rPr>
              <w:t>①按规定内容公开预决算信息，得0.5分，否则不得分；</w:t>
            </w:r>
          </w:p>
          <w:p w14:paraId="5CBD4CA9">
            <w:pPr>
              <w:spacing w:line="260" w:lineRule="exact"/>
              <w:jc w:val="left"/>
              <w:textAlignment w:val="center"/>
              <w:rPr>
                <w:color w:val="000000"/>
                <w:sz w:val="18"/>
                <w:szCs w:val="18"/>
              </w:rPr>
            </w:pPr>
            <w:r>
              <w:rPr>
                <w:rFonts w:hint="eastAsia"/>
                <w:color w:val="000000"/>
                <w:kern w:val="0"/>
                <w:sz w:val="18"/>
                <w:szCs w:val="18"/>
              </w:rPr>
              <w:t>②按规定时限公开预决算信息，得0.5分，否则不得分。</w:t>
            </w:r>
          </w:p>
        </w:tc>
      </w:tr>
      <w:tr w14:paraId="2A2CBE6D">
        <w:tblPrEx>
          <w:tblCellMar>
            <w:top w:w="0" w:type="dxa"/>
            <w:left w:w="108" w:type="dxa"/>
            <w:bottom w:w="0" w:type="dxa"/>
            <w:right w:w="108" w:type="dxa"/>
          </w:tblCellMar>
        </w:tblPrEx>
        <w:trPr>
          <w:trHeight w:val="840" w:hRule="atLeast"/>
          <w:jc w:val="center"/>
        </w:trPr>
        <w:tc>
          <w:tcPr>
            <w:tcW w:w="367" w:type="pct"/>
            <w:vMerge w:val="continue"/>
            <w:tcBorders>
              <w:left w:val="single" w:color="auto" w:sz="4" w:space="0"/>
              <w:bottom w:val="single" w:color="auto" w:sz="4" w:space="0"/>
              <w:right w:val="single" w:color="000000" w:sz="4" w:space="0"/>
            </w:tcBorders>
            <w:shd w:val="clear" w:color="auto" w:fill="auto"/>
            <w:vAlign w:val="center"/>
          </w:tcPr>
          <w:p w14:paraId="0DD3098C">
            <w:pPr>
              <w:spacing w:line="260" w:lineRule="exact"/>
              <w:jc w:val="center"/>
              <w:rPr>
                <w:color w:val="000000"/>
                <w:sz w:val="18"/>
                <w:szCs w:val="18"/>
              </w:rPr>
            </w:pPr>
          </w:p>
        </w:tc>
        <w:tc>
          <w:tcPr>
            <w:tcW w:w="370" w:type="pct"/>
            <w:vMerge w:val="continue"/>
            <w:tcBorders>
              <w:left w:val="single" w:color="000000" w:sz="4" w:space="0"/>
              <w:bottom w:val="single" w:color="auto" w:sz="4" w:space="0"/>
              <w:right w:val="single" w:color="000000" w:sz="4" w:space="0"/>
            </w:tcBorders>
            <w:shd w:val="clear" w:color="auto" w:fill="auto"/>
            <w:vAlign w:val="center"/>
          </w:tcPr>
          <w:p w14:paraId="41CC4213">
            <w:pPr>
              <w:spacing w:line="260" w:lineRule="exact"/>
              <w:jc w:val="center"/>
              <w:rPr>
                <w:color w:val="000000"/>
                <w:sz w:val="18"/>
                <w:szCs w:val="18"/>
              </w:rPr>
            </w:pPr>
          </w:p>
        </w:tc>
        <w:tc>
          <w:tcPr>
            <w:tcW w:w="359" w:type="pct"/>
            <w:tcBorders>
              <w:top w:val="single" w:color="auto" w:sz="4" w:space="0"/>
              <w:left w:val="single" w:color="000000" w:sz="4" w:space="0"/>
              <w:bottom w:val="single" w:color="000000" w:sz="4" w:space="0"/>
              <w:right w:val="single" w:color="000000" w:sz="4" w:space="0"/>
            </w:tcBorders>
            <w:shd w:val="clear" w:color="auto" w:fill="auto"/>
            <w:vAlign w:val="center"/>
          </w:tcPr>
          <w:p w14:paraId="042BF859">
            <w:pPr>
              <w:spacing w:line="260" w:lineRule="exact"/>
              <w:jc w:val="center"/>
              <w:textAlignment w:val="center"/>
              <w:rPr>
                <w:color w:val="000000"/>
                <w:kern w:val="0"/>
                <w:sz w:val="18"/>
                <w:szCs w:val="18"/>
              </w:rPr>
            </w:pPr>
            <w:r>
              <w:rPr>
                <w:rFonts w:hint="eastAsia"/>
                <w:color w:val="000000"/>
                <w:kern w:val="0"/>
                <w:sz w:val="18"/>
                <w:szCs w:val="18"/>
              </w:rPr>
              <w:t>资金监管</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1AB7">
            <w:pPr>
              <w:spacing w:line="260" w:lineRule="exact"/>
              <w:jc w:val="center"/>
              <w:textAlignment w:val="center"/>
              <w:rPr>
                <w:color w:val="000000"/>
                <w:kern w:val="0"/>
                <w:sz w:val="18"/>
                <w:szCs w:val="18"/>
              </w:rPr>
            </w:pPr>
            <w:r>
              <w:rPr>
                <w:rFonts w:hint="eastAsia"/>
                <w:color w:val="000000"/>
                <w:kern w:val="0"/>
                <w:sz w:val="18"/>
                <w:szCs w:val="18"/>
              </w:rPr>
              <w:t>1</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678F">
            <w:pPr>
              <w:spacing w:line="260" w:lineRule="exact"/>
              <w:jc w:val="left"/>
              <w:textAlignment w:val="center"/>
              <w:rPr>
                <w:color w:val="000000"/>
                <w:kern w:val="0"/>
                <w:sz w:val="18"/>
                <w:szCs w:val="18"/>
              </w:rPr>
            </w:pPr>
            <w:r>
              <w:rPr>
                <w:rFonts w:hint="eastAsia"/>
                <w:color w:val="000000"/>
                <w:kern w:val="0"/>
                <w:sz w:val="18"/>
                <w:szCs w:val="18"/>
              </w:rPr>
              <w:t>评价部门接受预算监督检查的合格情况，用以反映部门预算监督检查方面的情况。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865DF">
            <w:pPr>
              <w:spacing w:line="260" w:lineRule="exact"/>
              <w:jc w:val="center"/>
              <w:textAlignment w:val="center"/>
              <w:rPr>
                <w:color w:val="000000"/>
                <w:kern w:val="0"/>
                <w:sz w:val="18"/>
                <w:szCs w:val="18"/>
              </w:rPr>
            </w:pPr>
            <w:r>
              <w:rPr>
                <w:rFonts w:hint="eastAsia"/>
                <w:color w:val="000000"/>
                <w:kern w:val="0"/>
                <w:sz w:val="18"/>
                <w:szCs w:val="18"/>
              </w:rPr>
              <w:t>通用标准</w:t>
            </w:r>
          </w:p>
        </w:tc>
        <w:tc>
          <w:tcPr>
            <w:tcW w:w="2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FC11">
            <w:pPr>
              <w:spacing w:line="260" w:lineRule="exact"/>
              <w:jc w:val="left"/>
              <w:textAlignment w:val="center"/>
              <w:rPr>
                <w:color w:val="000000"/>
                <w:kern w:val="0"/>
                <w:sz w:val="18"/>
                <w:szCs w:val="18"/>
              </w:rPr>
            </w:pPr>
            <w:r>
              <w:rPr>
                <w:rFonts w:hint="eastAsia"/>
                <w:color w:val="000000"/>
                <w:kern w:val="0"/>
                <w:sz w:val="18"/>
                <w:szCs w:val="18"/>
              </w:rPr>
              <w:t>依据永济市财政局或其他部门对永济文旅局的预算监督检查结果，文旅局监督检查合格，或及时对检查结果进行整改的，得1分，否则不得分。</w:t>
            </w:r>
          </w:p>
        </w:tc>
      </w:tr>
    </w:tbl>
    <w:p w14:paraId="26F357CC">
      <w:pPr>
        <w:jc w:val="center"/>
        <w:rPr>
          <w:b/>
          <w:bCs/>
          <w:color w:val="000000"/>
          <w:kern w:val="0"/>
          <w:sz w:val="32"/>
          <w:szCs w:val="32"/>
        </w:rPr>
      </w:pPr>
    </w:p>
    <w:p w14:paraId="712581F8">
      <w:pPr>
        <w:jc w:val="center"/>
        <w:rPr>
          <w:sz w:val="32"/>
          <w:szCs w:val="32"/>
        </w:rPr>
      </w:pPr>
      <w:r>
        <w:rPr>
          <w:rFonts w:hint="eastAsia"/>
          <w:b/>
          <w:bCs/>
          <w:color w:val="000000"/>
          <w:kern w:val="0"/>
          <w:sz w:val="32"/>
          <w:szCs w:val="32"/>
        </w:rPr>
        <w:t>永济市文旅局部门整体支出绩效评价指标表</w:t>
      </w:r>
    </w:p>
    <w:tbl>
      <w:tblPr>
        <w:tblStyle w:val="24"/>
        <w:tblW w:w="4863" w:type="pct"/>
        <w:jc w:val="center"/>
        <w:tblLayout w:type="autofit"/>
        <w:tblCellMar>
          <w:top w:w="0" w:type="dxa"/>
          <w:left w:w="108" w:type="dxa"/>
          <w:bottom w:w="0" w:type="dxa"/>
          <w:right w:w="108" w:type="dxa"/>
        </w:tblCellMar>
      </w:tblPr>
      <w:tblGrid>
        <w:gridCol w:w="971"/>
        <w:gridCol w:w="952"/>
        <w:gridCol w:w="1026"/>
        <w:gridCol w:w="610"/>
        <w:gridCol w:w="3032"/>
        <w:gridCol w:w="635"/>
        <w:gridCol w:w="6560"/>
      </w:tblGrid>
      <w:tr w14:paraId="15E7DD7D">
        <w:tblPrEx>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auto" w:sz="4" w:space="0"/>
              <w:right w:val="single" w:color="000000" w:sz="4" w:space="0"/>
            </w:tcBorders>
            <w:shd w:val="clear" w:color="auto" w:fill="auto"/>
            <w:vAlign w:val="center"/>
          </w:tcPr>
          <w:p w14:paraId="176F98AA">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45" w:type="pct"/>
            <w:tcBorders>
              <w:top w:val="single" w:color="000000" w:sz="4" w:space="0"/>
              <w:left w:val="single" w:color="000000" w:sz="4" w:space="0"/>
              <w:bottom w:val="single" w:color="auto" w:sz="4" w:space="0"/>
              <w:right w:val="single" w:color="000000" w:sz="4" w:space="0"/>
            </w:tcBorders>
            <w:shd w:val="clear" w:color="auto" w:fill="auto"/>
            <w:vAlign w:val="center"/>
          </w:tcPr>
          <w:p w14:paraId="00B4BFFA">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72" w:type="pct"/>
            <w:tcBorders>
              <w:top w:val="single" w:color="000000" w:sz="4" w:space="0"/>
              <w:left w:val="single" w:color="000000" w:sz="4" w:space="0"/>
              <w:bottom w:val="single" w:color="auto" w:sz="4" w:space="0"/>
              <w:right w:val="single" w:color="000000" w:sz="4" w:space="0"/>
            </w:tcBorders>
            <w:shd w:val="clear" w:color="auto" w:fill="auto"/>
            <w:vAlign w:val="center"/>
          </w:tcPr>
          <w:p w14:paraId="3FA2BCBB">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21" w:type="pct"/>
            <w:tcBorders>
              <w:top w:val="single" w:color="000000" w:sz="4" w:space="0"/>
              <w:left w:val="single" w:color="000000" w:sz="4" w:space="0"/>
              <w:bottom w:val="single" w:color="auto" w:sz="4" w:space="0"/>
              <w:right w:val="single" w:color="000000" w:sz="4" w:space="0"/>
            </w:tcBorders>
            <w:shd w:val="clear" w:color="auto" w:fill="auto"/>
            <w:vAlign w:val="center"/>
          </w:tcPr>
          <w:p w14:paraId="7B9A6C75">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1099" w:type="pct"/>
            <w:tcBorders>
              <w:top w:val="single" w:color="000000" w:sz="4" w:space="0"/>
              <w:left w:val="single" w:color="000000" w:sz="4" w:space="0"/>
              <w:bottom w:val="single" w:color="auto" w:sz="4" w:space="0"/>
              <w:right w:val="single" w:color="000000" w:sz="4" w:space="0"/>
            </w:tcBorders>
            <w:shd w:val="clear" w:color="auto" w:fill="auto"/>
            <w:vAlign w:val="center"/>
          </w:tcPr>
          <w:p w14:paraId="454D0B2A">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30" w:type="pct"/>
            <w:tcBorders>
              <w:top w:val="single" w:color="000000" w:sz="4" w:space="0"/>
              <w:left w:val="single" w:color="000000" w:sz="4" w:space="0"/>
              <w:bottom w:val="single" w:color="auto" w:sz="4" w:space="0"/>
              <w:right w:val="single" w:color="000000" w:sz="4" w:space="0"/>
            </w:tcBorders>
            <w:shd w:val="clear" w:color="auto" w:fill="auto"/>
            <w:vAlign w:val="center"/>
          </w:tcPr>
          <w:p w14:paraId="62AB7DEB">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378" w:type="pct"/>
            <w:tcBorders>
              <w:top w:val="single" w:color="000000" w:sz="4" w:space="0"/>
              <w:left w:val="single" w:color="000000" w:sz="4" w:space="0"/>
              <w:bottom w:val="single" w:color="auto" w:sz="4" w:space="0"/>
              <w:right w:val="single" w:color="000000" w:sz="4" w:space="0"/>
            </w:tcBorders>
            <w:shd w:val="clear" w:color="auto" w:fill="auto"/>
            <w:vAlign w:val="center"/>
          </w:tcPr>
          <w:p w14:paraId="6B966527">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453C6022">
        <w:tblPrEx>
          <w:tblCellMar>
            <w:top w:w="0" w:type="dxa"/>
            <w:left w:w="108" w:type="dxa"/>
            <w:bottom w:w="0" w:type="dxa"/>
            <w:right w:w="108" w:type="dxa"/>
          </w:tblCellMar>
        </w:tblPrEx>
        <w:trPr>
          <w:trHeight w:val="2748" w:hRule="atLeast"/>
          <w:jc w:val="center"/>
        </w:trPr>
        <w:tc>
          <w:tcPr>
            <w:tcW w:w="352" w:type="pct"/>
            <w:vMerge w:val="restart"/>
            <w:tcBorders>
              <w:top w:val="single" w:color="auto" w:sz="4" w:space="0"/>
              <w:left w:val="single" w:color="auto" w:sz="4" w:space="0"/>
              <w:right w:val="single" w:color="auto" w:sz="4" w:space="0"/>
            </w:tcBorders>
            <w:shd w:val="clear" w:color="auto" w:fill="auto"/>
            <w:vAlign w:val="center"/>
          </w:tcPr>
          <w:p w14:paraId="02DDC4F1">
            <w:pPr>
              <w:spacing w:line="260" w:lineRule="exact"/>
              <w:jc w:val="center"/>
              <w:rPr>
                <w:color w:val="000000"/>
                <w:sz w:val="18"/>
                <w:szCs w:val="18"/>
              </w:rPr>
            </w:pPr>
            <w:r>
              <w:rPr>
                <w:rFonts w:hint="eastAsia"/>
                <w:color w:val="000000"/>
                <w:sz w:val="18"/>
                <w:szCs w:val="18"/>
              </w:rPr>
              <w:t>部门产出</w:t>
            </w:r>
          </w:p>
          <w:p w14:paraId="74E60D14">
            <w:pPr>
              <w:pStyle w:val="8"/>
              <w:ind w:firstLine="0" w:firstLineChars="0"/>
            </w:pPr>
            <w:r>
              <w:rPr>
                <w:rFonts w:hint="eastAsia" w:ascii="仿宋" w:hAnsi="仿宋"/>
                <w:color w:val="000000"/>
                <w:sz w:val="18"/>
                <w:szCs w:val="18"/>
              </w:rPr>
              <w:t>（30分）</w:t>
            </w:r>
          </w:p>
        </w:tc>
        <w:tc>
          <w:tcPr>
            <w:tcW w:w="345" w:type="pct"/>
            <w:vMerge w:val="restart"/>
            <w:tcBorders>
              <w:top w:val="single" w:color="auto" w:sz="4" w:space="0"/>
              <w:left w:val="single" w:color="auto" w:sz="4" w:space="0"/>
              <w:right w:val="single" w:color="auto" w:sz="4" w:space="0"/>
            </w:tcBorders>
            <w:shd w:val="clear" w:color="auto" w:fill="auto"/>
            <w:vAlign w:val="center"/>
          </w:tcPr>
          <w:p w14:paraId="2A2D352F">
            <w:pPr>
              <w:spacing w:line="260" w:lineRule="exact"/>
              <w:jc w:val="center"/>
              <w:rPr>
                <w:color w:val="000000"/>
                <w:sz w:val="18"/>
                <w:szCs w:val="18"/>
              </w:rPr>
            </w:pPr>
            <w:r>
              <w:rPr>
                <w:rFonts w:hint="eastAsia"/>
                <w:color w:val="000000"/>
                <w:sz w:val="18"/>
                <w:szCs w:val="18"/>
              </w:rPr>
              <w:t>目标任务实现程度</w:t>
            </w:r>
          </w:p>
          <w:p w14:paraId="63B3B411">
            <w:pPr>
              <w:pStyle w:val="8"/>
              <w:ind w:firstLine="0" w:firstLineChars="0"/>
            </w:pPr>
            <w:r>
              <w:rPr>
                <w:rFonts w:hint="eastAsia" w:ascii="仿宋" w:hAnsi="仿宋"/>
                <w:color w:val="000000"/>
                <w:sz w:val="18"/>
                <w:szCs w:val="18"/>
              </w:rPr>
              <w:t>（20分）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2CC32BFA">
            <w:pPr>
              <w:spacing w:line="260" w:lineRule="exact"/>
              <w:jc w:val="center"/>
              <w:textAlignment w:val="center"/>
              <w:rPr>
                <w:color w:val="000000"/>
                <w:sz w:val="18"/>
                <w:szCs w:val="18"/>
              </w:rPr>
            </w:pPr>
            <w:r>
              <w:rPr>
                <w:rFonts w:hint="eastAsia"/>
                <w:color w:val="000000"/>
                <w:sz w:val="18"/>
                <w:szCs w:val="18"/>
              </w:rPr>
              <w:t>旅游工作完成情况</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4A66FA33">
            <w:pPr>
              <w:spacing w:line="260" w:lineRule="exact"/>
              <w:jc w:val="center"/>
              <w:textAlignment w:val="center"/>
              <w:rPr>
                <w:color w:val="000000"/>
                <w:sz w:val="18"/>
                <w:szCs w:val="18"/>
              </w:rPr>
            </w:pPr>
            <w:r>
              <w:rPr>
                <w:rFonts w:hint="eastAsia"/>
                <w:color w:val="000000"/>
                <w:sz w:val="18"/>
                <w:szCs w:val="18"/>
              </w:rPr>
              <w:t>8</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648B0A91">
            <w:pPr>
              <w:spacing w:line="260" w:lineRule="exact"/>
              <w:jc w:val="left"/>
              <w:textAlignment w:val="center"/>
              <w:rPr>
                <w:color w:val="000000"/>
                <w:sz w:val="18"/>
                <w:szCs w:val="18"/>
              </w:rPr>
            </w:pPr>
            <w:r>
              <w:rPr>
                <w:rFonts w:hint="eastAsia"/>
                <w:color w:val="000000"/>
                <w:kern w:val="0"/>
                <w:sz w:val="18"/>
                <w:szCs w:val="18"/>
              </w:rPr>
              <w:t>评价部门2023年旅游工作完成情况，用以反映部门核心业务能力。</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ACED697">
            <w:pPr>
              <w:spacing w:line="260" w:lineRule="exact"/>
              <w:jc w:val="center"/>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6B54EFCA">
            <w:pPr>
              <w:spacing w:line="260" w:lineRule="exact"/>
              <w:jc w:val="left"/>
              <w:textAlignment w:val="center"/>
              <w:rPr>
                <w:color w:val="000000"/>
                <w:sz w:val="18"/>
                <w:szCs w:val="18"/>
              </w:rPr>
            </w:pPr>
            <w:r>
              <w:rPr>
                <w:rFonts w:hint="eastAsia"/>
                <w:color w:val="000000"/>
                <w:sz w:val="18"/>
                <w:szCs w:val="18"/>
              </w:rPr>
              <w:t>①永济市万固寺至鹳雀楼旅游复合廊道建设项目，建设9.8km的自行车道，新建鹳雀楼景区停车场1座、制作万鹳路全线旅游标识标牌50个、新建3座旅游厕所和污水处理站2座，分值1分，一项未完成扣0.5分。</w:t>
            </w:r>
          </w:p>
          <w:p w14:paraId="4D621DA4">
            <w:pPr>
              <w:spacing w:line="260" w:lineRule="exact"/>
              <w:jc w:val="left"/>
              <w:textAlignment w:val="center"/>
              <w:rPr>
                <w:color w:val="000000"/>
                <w:sz w:val="18"/>
                <w:szCs w:val="18"/>
              </w:rPr>
            </w:pPr>
            <w:r>
              <w:rPr>
                <w:rFonts w:hint="eastAsia"/>
                <w:color w:val="000000"/>
                <w:sz w:val="18"/>
                <w:szCs w:val="18"/>
              </w:rPr>
              <w:t>②推进旅游提质增效，完成创建4A级旅游景区1个，分值1分；</w:t>
            </w:r>
          </w:p>
          <w:p w14:paraId="46762C79">
            <w:pPr>
              <w:spacing w:line="260" w:lineRule="exact"/>
              <w:jc w:val="left"/>
              <w:textAlignment w:val="center"/>
              <w:rPr>
                <w:color w:val="000000"/>
                <w:sz w:val="18"/>
                <w:szCs w:val="18"/>
              </w:rPr>
            </w:pPr>
            <w:r>
              <w:rPr>
                <w:rFonts w:hint="eastAsia"/>
                <w:color w:val="000000"/>
                <w:sz w:val="18"/>
                <w:szCs w:val="18"/>
              </w:rPr>
              <w:t>③完成五老峰景区停车场厕所和中寺农文旅融合旅游厕所建设工作，分值1分；</w:t>
            </w:r>
          </w:p>
          <w:p w14:paraId="4B424612">
            <w:pPr>
              <w:spacing w:line="260" w:lineRule="exact"/>
              <w:jc w:val="left"/>
              <w:textAlignment w:val="center"/>
              <w:rPr>
                <w:color w:val="000000"/>
                <w:sz w:val="18"/>
                <w:szCs w:val="18"/>
              </w:rPr>
            </w:pPr>
            <w:r>
              <w:rPr>
                <w:rFonts w:hint="eastAsia"/>
                <w:color w:val="000000"/>
                <w:sz w:val="18"/>
                <w:szCs w:val="18"/>
              </w:rPr>
              <w:t>④完成上级下达的市场主体倍增任务，分值1分；</w:t>
            </w:r>
          </w:p>
          <w:p w14:paraId="6203E359">
            <w:pPr>
              <w:spacing w:line="260" w:lineRule="exact"/>
              <w:jc w:val="left"/>
              <w:textAlignment w:val="center"/>
              <w:rPr>
                <w:color w:val="000000"/>
                <w:sz w:val="18"/>
                <w:szCs w:val="18"/>
              </w:rPr>
            </w:pPr>
            <w:r>
              <w:rPr>
                <w:rFonts w:hint="eastAsia"/>
                <w:color w:val="000000"/>
                <w:sz w:val="18"/>
                <w:szCs w:val="18"/>
              </w:rPr>
              <w:t>⑤完成春节、五一、端午、国庆等节庆活动，分值1分；</w:t>
            </w:r>
          </w:p>
          <w:p w14:paraId="0110FA47">
            <w:pPr>
              <w:spacing w:line="260" w:lineRule="exact"/>
              <w:jc w:val="left"/>
              <w:textAlignment w:val="center"/>
              <w:rPr>
                <w:color w:val="000000"/>
                <w:sz w:val="18"/>
                <w:szCs w:val="18"/>
              </w:rPr>
            </w:pPr>
            <w:r>
              <w:rPr>
                <w:rFonts w:hint="eastAsia"/>
                <w:color w:val="000000"/>
                <w:sz w:val="18"/>
                <w:szCs w:val="18"/>
              </w:rPr>
              <w:t>⑥完成西安、河南等地举办永济旅游专场推介会，分值1分；</w:t>
            </w:r>
          </w:p>
          <w:p w14:paraId="6A6C0483">
            <w:pPr>
              <w:spacing w:line="260" w:lineRule="exact"/>
              <w:jc w:val="left"/>
              <w:textAlignment w:val="center"/>
              <w:rPr>
                <w:color w:val="000000"/>
                <w:sz w:val="18"/>
                <w:szCs w:val="18"/>
              </w:rPr>
            </w:pPr>
            <w:r>
              <w:rPr>
                <w:rFonts w:hint="eastAsia"/>
                <w:color w:val="000000"/>
                <w:sz w:val="18"/>
                <w:szCs w:val="18"/>
              </w:rPr>
              <w:t>⑦完成普救寺爱情文化节活动，统筹全市农文旅结合的各项活动，分值1分；</w:t>
            </w:r>
          </w:p>
          <w:p w14:paraId="7444A88C">
            <w:pPr>
              <w:spacing w:line="260" w:lineRule="exact"/>
              <w:jc w:val="left"/>
              <w:textAlignment w:val="center"/>
              <w:rPr>
                <w:color w:val="000000"/>
                <w:sz w:val="18"/>
                <w:szCs w:val="18"/>
              </w:rPr>
            </w:pPr>
            <w:r>
              <w:rPr>
                <w:rFonts w:hint="eastAsia"/>
                <w:color w:val="000000"/>
                <w:sz w:val="18"/>
                <w:szCs w:val="18"/>
              </w:rPr>
              <w:t>⑧加大招商引资力度，提升全市民宿水平，打造运城“条山驿”品牌，分值1分。</w:t>
            </w:r>
          </w:p>
        </w:tc>
      </w:tr>
      <w:tr w14:paraId="205B2719">
        <w:tblPrEx>
          <w:tblCellMar>
            <w:top w:w="0" w:type="dxa"/>
            <w:left w:w="108" w:type="dxa"/>
            <w:bottom w:w="0" w:type="dxa"/>
            <w:right w:w="108" w:type="dxa"/>
          </w:tblCellMar>
        </w:tblPrEx>
        <w:trPr>
          <w:trHeight w:val="1306" w:hRule="atLeast"/>
          <w:jc w:val="center"/>
        </w:trPr>
        <w:tc>
          <w:tcPr>
            <w:tcW w:w="352" w:type="pct"/>
            <w:vMerge w:val="continue"/>
            <w:tcBorders>
              <w:left w:val="single" w:color="auto" w:sz="4" w:space="0"/>
              <w:right w:val="single" w:color="auto" w:sz="4" w:space="0"/>
            </w:tcBorders>
            <w:shd w:val="clear" w:color="auto" w:fill="auto"/>
            <w:vAlign w:val="center"/>
          </w:tcPr>
          <w:p w14:paraId="264F65B9">
            <w:pPr>
              <w:spacing w:line="260" w:lineRule="exact"/>
              <w:jc w:val="center"/>
              <w:rPr>
                <w:color w:val="000000"/>
                <w:sz w:val="18"/>
                <w:szCs w:val="18"/>
              </w:rPr>
            </w:pPr>
          </w:p>
        </w:tc>
        <w:tc>
          <w:tcPr>
            <w:tcW w:w="345" w:type="pct"/>
            <w:vMerge w:val="continue"/>
            <w:tcBorders>
              <w:left w:val="single" w:color="auto" w:sz="4" w:space="0"/>
              <w:right w:val="single" w:color="auto" w:sz="4" w:space="0"/>
            </w:tcBorders>
            <w:shd w:val="clear" w:color="auto" w:fill="auto"/>
            <w:vAlign w:val="center"/>
          </w:tcPr>
          <w:p w14:paraId="01DC1B78">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59099B03">
            <w:pPr>
              <w:spacing w:line="260" w:lineRule="exact"/>
              <w:jc w:val="center"/>
              <w:textAlignment w:val="center"/>
              <w:rPr>
                <w:color w:val="000000"/>
                <w:sz w:val="18"/>
                <w:szCs w:val="18"/>
              </w:rPr>
            </w:pPr>
            <w:r>
              <w:rPr>
                <w:rFonts w:hint="eastAsia"/>
                <w:color w:val="000000"/>
                <w:sz w:val="18"/>
                <w:szCs w:val="18"/>
              </w:rPr>
              <w:t>文化工作完成情况</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13210CA9">
            <w:pPr>
              <w:spacing w:line="260" w:lineRule="exact"/>
              <w:jc w:val="center"/>
              <w:textAlignment w:val="center"/>
              <w:rPr>
                <w:color w:val="000000"/>
                <w:sz w:val="18"/>
                <w:szCs w:val="18"/>
              </w:rPr>
            </w:pPr>
            <w:r>
              <w:rPr>
                <w:rFonts w:hint="eastAsia"/>
                <w:color w:val="000000"/>
                <w:sz w:val="18"/>
                <w:szCs w:val="18"/>
              </w:rPr>
              <w:t>3</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5711E7D8">
            <w:pPr>
              <w:spacing w:line="260" w:lineRule="exact"/>
              <w:jc w:val="left"/>
              <w:textAlignment w:val="center"/>
              <w:rPr>
                <w:color w:val="000000"/>
                <w:sz w:val="18"/>
                <w:szCs w:val="18"/>
              </w:rPr>
            </w:pPr>
            <w:r>
              <w:rPr>
                <w:rFonts w:hint="eastAsia"/>
                <w:color w:val="000000"/>
                <w:kern w:val="0"/>
                <w:sz w:val="18"/>
                <w:szCs w:val="18"/>
              </w:rPr>
              <w:t>评价部门2023年文化工作完成情况，用以反映部门核心业务能力。</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DAB521F">
            <w:pPr>
              <w:spacing w:line="260" w:lineRule="exact"/>
              <w:jc w:val="center"/>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46509170">
            <w:pPr>
              <w:spacing w:line="260" w:lineRule="exact"/>
              <w:jc w:val="left"/>
              <w:textAlignment w:val="center"/>
              <w:rPr>
                <w:color w:val="000000"/>
                <w:sz w:val="18"/>
                <w:szCs w:val="18"/>
              </w:rPr>
            </w:pPr>
            <w:r>
              <w:rPr>
                <w:rFonts w:hint="eastAsia"/>
                <w:color w:val="000000"/>
                <w:sz w:val="18"/>
                <w:szCs w:val="18"/>
              </w:rPr>
              <w:t>①完成“我有拿手戏”群众文艺大展演，分值1分；</w:t>
            </w:r>
          </w:p>
          <w:p w14:paraId="66FCCD62">
            <w:pPr>
              <w:spacing w:line="260" w:lineRule="exact"/>
              <w:jc w:val="left"/>
              <w:textAlignment w:val="center"/>
              <w:rPr>
                <w:color w:val="000000"/>
                <w:sz w:val="18"/>
                <w:szCs w:val="18"/>
              </w:rPr>
            </w:pPr>
            <w:r>
              <w:rPr>
                <w:rFonts w:hint="eastAsia"/>
                <w:color w:val="000000"/>
                <w:sz w:val="18"/>
                <w:szCs w:val="18"/>
              </w:rPr>
              <w:t>②培训乡村群众文艺队伍，完成各类群众文化活动1818场，送戏下乡120场等，完成“三馆”的免费开放工作，分值1分；</w:t>
            </w:r>
          </w:p>
          <w:p w14:paraId="04D65C97">
            <w:pPr>
              <w:spacing w:line="260" w:lineRule="exact"/>
              <w:jc w:val="left"/>
              <w:textAlignment w:val="center"/>
              <w:rPr>
                <w:color w:val="000000"/>
                <w:sz w:val="18"/>
                <w:szCs w:val="18"/>
              </w:rPr>
            </w:pPr>
            <w:r>
              <w:rPr>
                <w:rFonts w:hint="eastAsia"/>
                <w:color w:val="000000"/>
                <w:sz w:val="18"/>
                <w:szCs w:val="18"/>
              </w:rPr>
              <w:t>③新建1座“河东书房”，基本建设15分钟高品质文化生活圈，分值1分。</w:t>
            </w:r>
          </w:p>
        </w:tc>
      </w:tr>
      <w:tr w14:paraId="3C8D51E1">
        <w:tblPrEx>
          <w:tblCellMar>
            <w:top w:w="0" w:type="dxa"/>
            <w:left w:w="108" w:type="dxa"/>
            <w:bottom w:w="0" w:type="dxa"/>
            <w:right w:w="108" w:type="dxa"/>
          </w:tblCellMar>
        </w:tblPrEx>
        <w:trPr>
          <w:trHeight w:val="1022" w:hRule="atLeast"/>
          <w:jc w:val="center"/>
        </w:trPr>
        <w:tc>
          <w:tcPr>
            <w:tcW w:w="352" w:type="pct"/>
            <w:vMerge w:val="continue"/>
            <w:tcBorders>
              <w:left w:val="single" w:color="auto" w:sz="4" w:space="0"/>
              <w:right w:val="single" w:color="auto" w:sz="4" w:space="0"/>
            </w:tcBorders>
            <w:shd w:val="clear" w:color="auto" w:fill="auto"/>
            <w:vAlign w:val="center"/>
          </w:tcPr>
          <w:p w14:paraId="7ECFDAFF">
            <w:pPr>
              <w:spacing w:line="260" w:lineRule="exact"/>
              <w:jc w:val="center"/>
              <w:rPr>
                <w:color w:val="000000"/>
                <w:sz w:val="18"/>
                <w:szCs w:val="18"/>
              </w:rPr>
            </w:pPr>
          </w:p>
        </w:tc>
        <w:tc>
          <w:tcPr>
            <w:tcW w:w="345" w:type="pct"/>
            <w:vMerge w:val="continue"/>
            <w:tcBorders>
              <w:left w:val="single" w:color="auto" w:sz="4" w:space="0"/>
              <w:right w:val="single" w:color="auto" w:sz="4" w:space="0"/>
            </w:tcBorders>
            <w:shd w:val="clear" w:color="auto" w:fill="auto"/>
            <w:vAlign w:val="center"/>
          </w:tcPr>
          <w:p w14:paraId="2F6592FD">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13DC7303">
            <w:pPr>
              <w:spacing w:line="260" w:lineRule="exact"/>
              <w:jc w:val="center"/>
              <w:textAlignment w:val="center"/>
              <w:rPr>
                <w:color w:val="000000"/>
                <w:sz w:val="18"/>
                <w:szCs w:val="18"/>
              </w:rPr>
            </w:pPr>
            <w:r>
              <w:rPr>
                <w:rFonts w:hint="eastAsia"/>
                <w:color w:val="000000"/>
                <w:sz w:val="18"/>
                <w:szCs w:val="18"/>
              </w:rPr>
              <w:t>执法工作完成情况</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432AB317">
            <w:pPr>
              <w:spacing w:line="260" w:lineRule="exact"/>
              <w:jc w:val="center"/>
              <w:textAlignment w:val="center"/>
              <w:rPr>
                <w:color w:val="000000"/>
                <w:sz w:val="18"/>
                <w:szCs w:val="18"/>
              </w:rPr>
            </w:pPr>
            <w:r>
              <w:rPr>
                <w:rFonts w:hint="eastAsia"/>
                <w:color w:val="000000"/>
                <w:sz w:val="18"/>
                <w:szCs w:val="18"/>
              </w:rPr>
              <w:t>1</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52EB7D10">
            <w:pPr>
              <w:spacing w:line="260" w:lineRule="exact"/>
              <w:jc w:val="left"/>
              <w:textAlignment w:val="center"/>
              <w:rPr>
                <w:color w:val="000000"/>
                <w:sz w:val="18"/>
                <w:szCs w:val="18"/>
              </w:rPr>
            </w:pPr>
            <w:r>
              <w:rPr>
                <w:rFonts w:hint="eastAsia"/>
                <w:color w:val="000000"/>
                <w:kern w:val="0"/>
                <w:sz w:val="18"/>
                <w:szCs w:val="18"/>
              </w:rPr>
              <w:t>评价部门2023年旅游执法工作完成情况，用以反映部门核心业务能力。</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2788457">
            <w:pPr>
              <w:spacing w:line="260" w:lineRule="exact"/>
              <w:jc w:val="center"/>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43388F8A">
            <w:pPr>
              <w:spacing w:line="260" w:lineRule="exact"/>
              <w:jc w:val="left"/>
              <w:textAlignment w:val="center"/>
              <w:rPr>
                <w:color w:val="000000"/>
                <w:sz w:val="18"/>
                <w:szCs w:val="18"/>
              </w:rPr>
            </w:pPr>
            <w:r>
              <w:rPr>
                <w:rFonts w:hint="eastAsia"/>
                <w:color w:val="000000"/>
                <w:sz w:val="18"/>
                <w:szCs w:val="18"/>
              </w:rPr>
              <w:t>加大执法检查、巡查、督查力度，做好永济文化、旅游、文物行业安全生产专项整治和旅游服务提升工作，分值1分。</w:t>
            </w:r>
          </w:p>
        </w:tc>
      </w:tr>
      <w:tr w14:paraId="1AF08134">
        <w:tblPrEx>
          <w:tblCellMar>
            <w:top w:w="0" w:type="dxa"/>
            <w:left w:w="108" w:type="dxa"/>
            <w:bottom w:w="0" w:type="dxa"/>
            <w:right w:w="108" w:type="dxa"/>
          </w:tblCellMar>
        </w:tblPrEx>
        <w:trPr>
          <w:trHeight w:val="1220" w:hRule="atLeast"/>
          <w:jc w:val="center"/>
        </w:trPr>
        <w:tc>
          <w:tcPr>
            <w:tcW w:w="352" w:type="pct"/>
            <w:vMerge w:val="continue"/>
            <w:tcBorders>
              <w:left w:val="single" w:color="auto" w:sz="4" w:space="0"/>
              <w:bottom w:val="single" w:color="auto" w:sz="4" w:space="0"/>
              <w:right w:val="single" w:color="auto" w:sz="4" w:space="0"/>
            </w:tcBorders>
            <w:shd w:val="clear" w:color="auto" w:fill="auto"/>
            <w:vAlign w:val="center"/>
          </w:tcPr>
          <w:p w14:paraId="52A882BB">
            <w:pPr>
              <w:spacing w:line="260" w:lineRule="exact"/>
              <w:jc w:val="center"/>
              <w:rPr>
                <w:color w:val="000000"/>
                <w:sz w:val="18"/>
                <w:szCs w:val="18"/>
              </w:rPr>
            </w:pPr>
          </w:p>
        </w:tc>
        <w:tc>
          <w:tcPr>
            <w:tcW w:w="345" w:type="pct"/>
            <w:vMerge w:val="continue"/>
            <w:tcBorders>
              <w:left w:val="single" w:color="auto" w:sz="4" w:space="0"/>
              <w:bottom w:val="single" w:color="auto" w:sz="4" w:space="0"/>
              <w:right w:val="single" w:color="auto" w:sz="4" w:space="0"/>
            </w:tcBorders>
            <w:shd w:val="clear" w:color="auto" w:fill="auto"/>
            <w:vAlign w:val="center"/>
          </w:tcPr>
          <w:p w14:paraId="2B9EAD6F">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3EABD9A8">
            <w:pPr>
              <w:spacing w:line="260" w:lineRule="exact"/>
              <w:jc w:val="center"/>
              <w:textAlignment w:val="center"/>
              <w:rPr>
                <w:color w:val="000000"/>
                <w:sz w:val="18"/>
                <w:szCs w:val="18"/>
              </w:rPr>
            </w:pPr>
            <w:r>
              <w:rPr>
                <w:rFonts w:hint="eastAsia"/>
                <w:color w:val="000000"/>
                <w:sz w:val="18"/>
                <w:szCs w:val="18"/>
              </w:rPr>
              <w:t>党建工作完成情况</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2A6F65C2">
            <w:pPr>
              <w:spacing w:line="260" w:lineRule="exact"/>
              <w:jc w:val="center"/>
              <w:textAlignment w:val="center"/>
              <w:rPr>
                <w:color w:val="000000"/>
                <w:sz w:val="18"/>
                <w:szCs w:val="18"/>
              </w:rPr>
            </w:pPr>
            <w:r>
              <w:rPr>
                <w:rFonts w:hint="eastAsia"/>
                <w:color w:val="000000"/>
                <w:sz w:val="18"/>
                <w:szCs w:val="18"/>
              </w:rPr>
              <w:t>2</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3DB40944">
            <w:pPr>
              <w:spacing w:line="260" w:lineRule="exact"/>
              <w:jc w:val="left"/>
              <w:textAlignment w:val="center"/>
              <w:rPr>
                <w:color w:val="000000"/>
                <w:kern w:val="0"/>
                <w:sz w:val="18"/>
                <w:szCs w:val="18"/>
              </w:rPr>
            </w:pPr>
            <w:r>
              <w:rPr>
                <w:rFonts w:hint="eastAsia"/>
                <w:color w:val="000000"/>
                <w:kern w:val="0"/>
                <w:sz w:val="18"/>
                <w:szCs w:val="18"/>
              </w:rPr>
              <w:t>评价部门2023年党建工作完成情况，用以反映部门党建工作能力。</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F5AF6BF">
            <w:pPr>
              <w:spacing w:line="260" w:lineRule="exact"/>
              <w:jc w:val="center"/>
              <w:textAlignment w:val="center"/>
              <w:rPr>
                <w:color w:val="000000"/>
                <w:sz w:val="18"/>
                <w:szCs w:val="18"/>
              </w:rPr>
            </w:pP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60734D6E">
            <w:pPr>
              <w:spacing w:line="260" w:lineRule="exact"/>
              <w:jc w:val="left"/>
              <w:textAlignment w:val="center"/>
              <w:rPr>
                <w:color w:val="000000"/>
                <w:sz w:val="18"/>
                <w:szCs w:val="18"/>
              </w:rPr>
            </w:pPr>
            <w:r>
              <w:rPr>
                <w:rFonts w:hint="eastAsia"/>
                <w:color w:val="000000"/>
                <w:sz w:val="18"/>
                <w:szCs w:val="18"/>
              </w:rPr>
              <w:t>①认真落实“三会一课”、民主生活会、组织生活会、民主评议党员等组织生活制度，深入推进“五面红旗”示范机关（单位）创建，分值1分；</w:t>
            </w:r>
          </w:p>
          <w:p w14:paraId="0BA9928C">
            <w:pPr>
              <w:spacing w:line="260" w:lineRule="exact"/>
              <w:jc w:val="left"/>
              <w:textAlignment w:val="center"/>
              <w:rPr>
                <w:color w:val="000000"/>
                <w:sz w:val="18"/>
                <w:szCs w:val="18"/>
              </w:rPr>
            </w:pPr>
            <w:r>
              <w:rPr>
                <w:rFonts w:hint="eastAsia"/>
                <w:color w:val="000000"/>
                <w:sz w:val="18"/>
                <w:szCs w:val="18"/>
              </w:rPr>
              <w:t>②大力推进“四强”党支部建设深化市直机关党建品牌创建工作，深化清廉机关建设，强化党员队伍教育管理，分值1分。</w:t>
            </w:r>
          </w:p>
        </w:tc>
      </w:tr>
    </w:tbl>
    <w:p w14:paraId="26D58ABE">
      <w:pPr>
        <w:rPr>
          <w:rFonts w:eastAsia="仿宋_GB2312"/>
          <w:highlight w:val="yellow"/>
        </w:rPr>
      </w:pPr>
    </w:p>
    <w:p w14:paraId="2B6A88F6">
      <w:pPr>
        <w:jc w:val="center"/>
        <w:rPr>
          <w:b/>
          <w:bCs/>
          <w:color w:val="000000"/>
          <w:kern w:val="0"/>
          <w:sz w:val="32"/>
          <w:szCs w:val="32"/>
        </w:rPr>
      </w:pPr>
    </w:p>
    <w:p w14:paraId="4D8C6F0B">
      <w:pPr>
        <w:jc w:val="center"/>
        <w:rPr>
          <w:sz w:val="32"/>
          <w:szCs w:val="32"/>
        </w:rPr>
      </w:pPr>
      <w:r>
        <w:rPr>
          <w:rFonts w:hint="eastAsia"/>
          <w:b/>
          <w:bCs/>
          <w:color w:val="000000"/>
          <w:kern w:val="0"/>
          <w:sz w:val="32"/>
          <w:szCs w:val="32"/>
        </w:rPr>
        <w:t>永济市文旅局部门整体支出绩效评价指标表</w:t>
      </w:r>
    </w:p>
    <w:tbl>
      <w:tblPr>
        <w:tblStyle w:val="24"/>
        <w:tblW w:w="4863" w:type="pct"/>
        <w:jc w:val="center"/>
        <w:tblLayout w:type="autofit"/>
        <w:tblCellMar>
          <w:top w:w="0" w:type="dxa"/>
          <w:left w:w="108" w:type="dxa"/>
          <w:bottom w:w="0" w:type="dxa"/>
          <w:right w:w="108" w:type="dxa"/>
        </w:tblCellMar>
      </w:tblPr>
      <w:tblGrid>
        <w:gridCol w:w="971"/>
        <w:gridCol w:w="952"/>
        <w:gridCol w:w="1026"/>
        <w:gridCol w:w="610"/>
        <w:gridCol w:w="3032"/>
        <w:gridCol w:w="635"/>
        <w:gridCol w:w="6560"/>
      </w:tblGrid>
      <w:tr w14:paraId="3E3987B1">
        <w:tblPrEx>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auto" w:sz="4" w:space="0"/>
              <w:right w:val="single" w:color="000000" w:sz="4" w:space="0"/>
            </w:tcBorders>
            <w:shd w:val="clear" w:color="auto" w:fill="auto"/>
            <w:vAlign w:val="center"/>
          </w:tcPr>
          <w:p w14:paraId="508966AB">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45" w:type="pct"/>
            <w:tcBorders>
              <w:top w:val="single" w:color="000000" w:sz="4" w:space="0"/>
              <w:left w:val="single" w:color="000000" w:sz="4" w:space="0"/>
              <w:bottom w:val="single" w:color="auto" w:sz="4" w:space="0"/>
              <w:right w:val="single" w:color="000000" w:sz="4" w:space="0"/>
            </w:tcBorders>
            <w:shd w:val="clear" w:color="auto" w:fill="auto"/>
            <w:vAlign w:val="center"/>
          </w:tcPr>
          <w:p w14:paraId="24917752">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72" w:type="pct"/>
            <w:tcBorders>
              <w:top w:val="single" w:color="000000" w:sz="4" w:space="0"/>
              <w:left w:val="single" w:color="000000" w:sz="4" w:space="0"/>
              <w:bottom w:val="single" w:color="auto" w:sz="4" w:space="0"/>
              <w:right w:val="single" w:color="000000" w:sz="4" w:space="0"/>
            </w:tcBorders>
            <w:shd w:val="clear" w:color="auto" w:fill="auto"/>
            <w:vAlign w:val="center"/>
          </w:tcPr>
          <w:p w14:paraId="69B9635F">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21" w:type="pct"/>
            <w:tcBorders>
              <w:top w:val="single" w:color="000000" w:sz="4" w:space="0"/>
              <w:left w:val="single" w:color="000000" w:sz="4" w:space="0"/>
              <w:bottom w:val="single" w:color="auto" w:sz="4" w:space="0"/>
              <w:right w:val="single" w:color="000000" w:sz="4" w:space="0"/>
            </w:tcBorders>
            <w:shd w:val="clear" w:color="auto" w:fill="auto"/>
            <w:vAlign w:val="center"/>
          </w:tcPr>
          <w:p w14:paraId="6289E5EE">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1099" w:type="pct"/>
            <w:tcBorders>
              <w:top w:val="single" w:color="000000" w:sz="4" w:space="0"/>
              <w:left w:val="single" w:color="000000" w:sz="4" w:space="0"/>
              <w:bottom w:val="single" w:color="auto" w:sz="4" w:space="0"/>
              <w:right w:val="single" w:color="000000" w:sz="4" w:space="0"/>
            </w:tcBorders>
            <w:shd w:val="clear" w:color="auto" w:fill="auto"/>
            <w:vAlign w:val="center"/>
          </w:tcPr>
          <w:p w14:paraId="727A541F">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30" w:type="pct"/>
            <w:tcBorders>
              <w:top w:val="single" w:color="000000" w:sz="4" w:space="0"/>
              <w:left w:val="single" w:color="000000" w:sz="4" w:space="0"/>
              <w:bottom w:val="single" w:color="auto" w:sz="4" w:space="0"/>
              <w:right w:val="single" w:color="000000" w:sz="4" w:space="0"/>
            </w:tcBorders>
            <w:shd w:val="clear" w:color="auto" w:fill="auto"/>
            <w:vAlign w:val="center"/>
          </w:tcPr>
          <w:p w14:paraId="5515ADF7">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378" w:type="pct"/>
            <w:tcBorders>
              <w:top w:val="single" w:color="000000" w:sz="4" w:space="0"/>
              <w:left w:val="single" w:color="000000" w:sz="4" w:space="0"/>
              <w:bottom w:val="single" w:color="auto" w:sz="4" w:space="0"/>
              <w:right w:val="single" w:color="000000" w:sz="4" w:space="0"/>
            </w:tcBorders>
            <w:shd w:val="clear" w:color="auto" w:fill="auto"/>
            <w:vAlign w:val="center"/>
          </w:tcPr>
          <w:p w14:paraId="052D68E5">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6065BA23">
        <w:tblPrEx>
          <w:tblCellMar>
            <w:top w:w="0" w:type="dxa"/>
            <w:left w:w="108" w:type="dxa"/>
            <w:bottom w:w="0" w:type="dxa"/>
            <w:right w:w="108" w:type="dxa"/>
          </w:tblCellMar>
        </w:tblPrEx>
        <w:trPr>
          <w:trHeight w:val="2960" w:hRule="atLeast"/>
          <w:jc w:val="center"/>
        </w:trPr>
        <w:tc>
          <w:tcPr>
            <w:tcW w:w="352" w:type="pct"/>
            <w:vMerge w:val="restart"/>
            <w:tcBorders>
              <w:top w:val="single" w:color="auto" w:sz="4" w:space="0"/>
              <w:left w:val="single" w:color="auto" w:sz="4" w:space="0"/>
              <w:right w:val="single" w:color="auto" w:sz="4" w:space="0"/>
            </w:tcBorders>
            <w:shd w:val="clear" w:color="auto" w:fill="auto"/>
            <w:vAlign w:val="center"/>
          </w:tcPr>
          <w:p w14:paraId="4EC6E84F">
            <w:pPr>
              <w:spacing w:line="260" w:lineRule="exact"/>
              <w:jc w:val="center"/>
              <w:rPr>
                <w:color w:val="000000"/>
                <w:sz w:val="18"/>
                <w:szCs w:val="18"/>
              </w:rPr>
            </w:pPr>
            <w:r>
              <w:rPr>
                <w:rFonts w:hint="eastAsia"/>
                <w:color w:val="000000"/>
                <w:sz w:val="18"/>
                <w:szCs w:val="18"/>
              </w:rPr>
              <w:t>部门产出</w:t>
            </w:r>
          </w:p>
          <w:p w14:paraId="72F42E39">
            <w:pPr>
              <w:spacing w:line="260" w:lineRule="exact"/>
              <w:jc w:val="center"/>
            </w:pPr>
            <w:r>
              <w:rPr>
                <w:rFonts w:hint="eastAsia"/>
                <w:color w:val="000000"/>
                <w:sz w:val="18"/>
                <w:szCs w:val="18"/>
              </w:rPr>
              <w:t>（30分）</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3DB92259">
            <w:pPr>
              <w:spacing w:line="260" w:lineRule="exact"/>
              <w:jc w:val="center"/>
              <w:rPr>
                <w:color w:val="000000"/>
                <w:sz w:val="18"/>
                <w:szCs w:val="18"/>
              </w:rPr>
            </w:pPr>
            <w:r>
              <w:rPr>
                <w:rFonts w:hint="eastAsia"/>
                <w:color w:val="000000"/>
                <w:sz w:val="18"/>
                <w:szCs w:val="18"/>
              </w:rPr>
              <w:t>目标任务完成情况</w:t>
            </w:r>
          </w:p>
          <w:p w14:paraId="222DF80C">
            <w:pPr>
              <w:spacing w:line="260" w:lineRule="exact"/>
              <w:jc w:val="center"/>
              <w:rPr>
                <w:color w:val="000000"/>
                <w:sz w:val="18"/>
                <w:szCs w:val="18"/>
              </w:rPr>
            </w:pPr>
            <w:r>
              <w:rPr>
                <w:rFonts w:hint="eastAsia"/>
                <w:color w:val="000000"/>
                <w:sz w:val="18"/>
                <w:szCs w:val="18"/>
              </w:rPr>
              <w:t>（20分）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2DD1FC15">
            <w:pPr>
              <w:spacing w:line="260" w:lineRule="exact"/>
              <w:jc w:val="center"/>
              <w:textAlignment w:val="center"/>
              <w:rPr>
                <w:color w:val="000000"/>
                <w:sz w:val="18"/>
                <w:szCs w:val="18"/>
              </w:rPr>
            </w:pPr>
            <w:r>
              <w:rPr>
                <w:rFonts w:hint="eastAsia"/>
                <w:color w:val="000000"/>
                <w:sz w:val="18"/>
                <w:szCs w:val="18"/>
              </w:rPr>
              <w:t>文物保护工作完成情况</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8F96DA6">
            <w:pPr>
              <w:spacing w:line="260" w:lineRule="exact"/>
              <w:jc w:val="center"/>
              <w:textAlignment w:val="center"/>
              <w:rPr>
                <w:color w:val="000000"/>
                <w:sz w:val="18"/>
                <w:szCs w:val="18"/>
              </w:rPr>
            </w:pPr>
            <w:r>
              <w:rPr>
                <w:rFonts w:hint="eastAsia"/>
                <w:color w:val="000000"/>
                <w:sz w:val="18"/>
                <w:szCs w:val="18"/>
              </w:rPr>
              <w:t>6</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01B30365">
            <w:pPr>
              <w:spacing w:line="260" w:lineRule="exact"/>
              <w:jc w:val="left"/>
              <w:textAlignment w:val="center"/>
              <w:rPr>
                <w:color w:val="000000"/>
                <w:sz w:val="18"/>
                <w:szCs w:val="18"/>
              </w:rPr>
            </w:pPr>
            <w:r>
              <w:rPr>
                <w:rFonts w:hint="eastAsia"/>
                <w:color w:val="000000"/>
                <w:kern w:val="0"/>
                <w:sz w:val="18"/>
                <w:szCs w:val="18"/>
              </w:rPr>
              <w:t>评价部门2023年文物保护工作完成情况，用以反映部门核心业务能力。</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570F12D">
            <w:pPr>
              <w:spacing w:line="260" w:lineRule="exact"/>
              <w:jc w:val="center"/>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2AE6561B">
            <w:pPr>
              <w:spacing w:line="260" w:lineRule="exact"/>
              <w:jc w:val="left"/>
              <w:textAlignment w:val="center"/>
              <w:rPr>
                <w:color w:val="000000"/>
                <w:sz w:val="18"/>
                <w:szCs w:val="18"/>
              </w:rPr>
            </w:pPr>
            <w:r>
              <w:rPr>
                <w:rFonts w:hint="eastAsia"/>
                <w:color w:val="000000"/>
                <w:sz w:val="18"/>
                <w:szCs w:val="18"/>
              </w:rPr>
              <w:t>①实施9项文物保护工程，完成万固寺修缮工程、李雪峰故居修缮工程、杨村娘娘庙修缮工程、杨庄关帝庙修缮工程、尧台三庙的财评、招标、开工等工作、信息监控平台的立项、财评等前期工作，分值1分，一项未完成扣0.5分；</w:t>
            </w:r>
          </w:p>
          <w:p w14:paraId="7308A8BC">
            <w:pPr>
              <w:spacing w:line="260" w:lineRule="exact"/>
              <w:jc w:val="left"/>
              <w:textAlignment w:val="center"/>
              <w:rPr>
                <w:color w:val="000000"/>
                <w:sz w:val="18"/>
                <w:szCs w:val="18"/>
              </w:rPr>
            </w:pPr>
            <w:r>
              <w:rPr>
                <w:rFonts w:hint="eastAsia"/>
                <w:color w:val="000000"/>
                <w:sz w:val="18"/>
                <w:szCs w:val="18"/>
              </w:rPr>
              <w:t>②积极编制项目计划书和设计方案，申请各类经费，分值1分；</w:t>
            </w:r>
          </w:p>
          <w:p w14:paraId="017EC167">
            <w:pPr>
              <w:spacing w:line="260" w:lineRule="exact"/>
              <w:jc w:val="left"/>
              <w:textAlignment w:val="center"/>
              <w:rPr>
                <w:color w:val="000000"/>
                <w:sz w:val="18"/>
                <w:szCs w:val="18"/>
              </w:rPr>
            </w:pPr>
            <w:r>
              <w:rPr>
                <w:rFonts w:hint="eastAsia"/>
                <w:color w:val="000000"/>
                <w:sz w:val="18"/>
                <w:szCs w:val="18"/>
              </w:rPr>
              <w:t>③完成3项文物资源普查调查工作，分值1分；</w:t>
            </w:r>
          </w:p>
          <w:p w14:paraId="018B23B4">
            <w:pPr>
              <w:spacing w:line="260" w:lineRule="exact"/>
              <w:jc w:val="left"/>
              <w:textAlignment w:val="center"/>
              <w:rPr>
                <w:color w:val="000000"/>
                <w:sz w:val="18"/>
                <w:szCs w:val="18"/>
              </w:rPr>
            </w:pPr>
            <w:r>
              <w:rPr>
                <w:rFonts w:hint="eastAsia"/>
                <w:color w:val="000000"/>
                <w:sz w:val="18"/>
                <w:szCs w:val="18"/>
              </w:rPr>
              <w:t>④完成4项文物排查及培训工作，分值1分；</w:t>
            </w:r>
          </w:p>
          <w:p w14:paraId="3FE96E65">
            <w:pPr>
              <w:spacing w:line="260" w:lineRule="exact"/>
              <w:jc w:val="left"/>
              <w:textAlignment w:val="center"/>
              <w:rPr>
                <w:color w:val="000000"/>
                <w:sz w:val="18"/>
                <w:szCs w:val="18"/>
              </w:rPr>
            </w:pPr>
            <w:r>
              <w:rPr>
                <w:rFonts w:hint="eastAsia"/>
                <w:color w:val="000000"/>
                <w:sz w:val="18"/>
                <w:szCs w:val="18"/>
              </w:rPr>
              <w:t>⑤完成各类文物宣传活动，包括拍摄《我从蒲州来》12集系列宣传片、开展永济市博物馆“小小讲解员”等5项宣传活动，分值1分；</w:t>
            </w:r>
          </w:p>
          <w:p w14:paraId="014D0DCB">
            <w:pPr>
              <w:spacing w:line="260" w:lineRule="exact"/>
              <w:jc w:val="left"/>
              <w:textAlignment w:val="center"/>
              <w:rPr>
                <w:color w:val="000000"/>
                <w:sz w:val="18"/>
                <w:szCs w:val="18"/>
              </w:rPr>
            </w:pPr>
            <w:r>
              <w:rPr>
                <w:rFonts w:hint="eastAsia"/>
                <w:color w:val="000000"/>
                <w:sz w:val="18"/>
                <w:szCs w:val="18"/>
              </w:rPr>
              <w:t>⑥加强人才队伍建设工作，继续引进一批高素质、高质量的文博专业人才，组织开展“文博大讲堂”活动，分值1分。</w:t>
            </w:r>
          </w:p>
        </w:tc>
      </w:tr>
      <w:tr w14:paraId="07D642F0">
        <w:tblPrEx>
          <w:tblCellMar>
            <w:top w:w="0" w:type="dxa"/>
            <w:left w:w="108" w:type="dxa"/>
            <w:bottom w:w="0" w:type="dxa"/>
            <w:right w:w="108" w:type="dxa"/>
          </w:tblCellMar>
        </w:tblPrEx>
        <w:trPr>
          <w:trHeight w:val="737" w:hRule="atLeast"/>
          <w:jc w:val="center"/>
        </w:trPr>
        <w:tc>
          <w:tcPr>
            <w:tcW w:w="352" w:type="pct"/>
            <w:vMerge w:val="continue"/>
            <w:tcBorders>
              <w:left w:val="single" w:color="auto" w:sz="4" w:space="0"/>
              <w:right w:val="single" w:color="auto" w:sz="4" w:space="0"/>
            </w:tcBorders>
            <w:shd w:val="clear" w:color="auto" w:fill="auto"/>
            <w:vAlign w:val="center"/>
          </w:tcPr>
          <w:p w14:paraId="2B55E824">
            <w:pPr>
              <w:spacing w:line="260" w:lineRule="exact"/>
              <w:jc w:val="center"/>
              <w:rPr>
                <w:color w:val="000000"/>
                <w:sz w:val="18"/>
                <w:szCs w:val="18"/>
              </w:rPr>
            </w:pPr>
          </w:p>
        </w:tc>
        <w:tc>
          <w:tcPr>
            <w:tcW w:w="3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A2EC51">
            <w:pPr>
              <w:spacing w:line="260" w:lineRule="exact"/>
              <w:jc w:val="center"/>
              <w:rPr>
                <w:color w:val="000000"/>
                <w:sz w:val="18"/>
                <w:szCs w:val="18"/>
              </w:rPr>
            </w:pPr>
            <w:r>
              <w:rPr>
                <w:rFonts w:hint="eastAsia"/>
                <w:color w:val="000000"/>
                <w:sz w:val="18"/>
                <w:szCs w:val="18"/>
              </w:rPr>
              <w:t>目标任务完成质量（4分）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7556E13D">
            <w:pPr>
              <w:spacing w:line="260" w:lineRule="exact"/>
              <w:jc w:val="center"/>
              <w:textAlignment w:val="center"/>
              <w:rPr>
                <w:color w:val="000000"/>
                <w:sz w:val="18"/>
                <w:szCs w:val="18"/>
              </w:rPr>
            </w:pPr>
            <w:r>
              <w:rPr>
                <w:rFonts w:hint="eastAsia"/>
                <w:color w:val="000000"/>
                <w:sz w:val="18"/>
                <w:szCs w:val="18"/>
              </w:rPr>
              <w:t>项目验收通过率</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3872CAD5">
            <w:pPr>
              <w:spacing w:line="260" w:lineRule="exact"/>
              <w:jc w:val="center"/>
              <w:textAlignment w:val="center"/>
              <w:rPr>
                <w:color w:val="000000"/>
                <w:sz w:val="18"/>
                <w:szCs w:val="18"/>
              </w:rPr>
            </w:pPr>
            <w:r>
              <w:rPr>
                <w:rFonts w:hint="eastAsia"/>
                <w:color w:val="000000"/>
                <w:sz w:val="18"/>
                <w:szCs w:val="18"/>
              </w:rPr>
              <w:t>2</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2E1ACD0F">
            <w:pPr>
              <w:spacing w:line="260" w:lineRule="exact"/>
              <w:jc w:val="left"/>
              <w:textAlignment w:val="center"/>
              <w:rPr>
                <w:color w:val="000000"/>
                <w:sz w:val="18"/>
                <w:szCs w:val="18"/>
              </w:rPr>
            </w:pPr>
            <w:r>
              <w:rPr>
                <w:rFonts w:hint="eastAsia"/>
                <w:color w:val="000000"/>
                <w:kern w:val="0"/>
                <w:sz w:val="18"/>
                <w:szCs w:val="18"/>
              </w:rPr>
              <w:t>评价部门2023年文旅局项目质量达标情况，用以反映部门核心业务的质量达标情况。</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B62762B">
            <w:pPr>
              <w:spacing w:line="260" w:lineRule="exact"/>
              <w:jc w:val="center"/>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415AA9B1">
            <w:pPr>
              <w:spacing w:line="260" w:lineRule="exact"/>
              <w:jc w:val="left"/>
              <w:textAlignment w:val="center"/>
              <w:rPr>
                <w:color w:val="000000"/>
                <w:sz w:val="18"/>
                <w:szCs w:val="18"/>
              </w:rPr>
            </w:pPr>
            <w:r>
              <w:rPr>
                <w:rFonts w:hint="eastAsia"/>
                <w:color w:val="000000"/>
                <w:sz w:val="18"/>
                <w:szCs w:val="18"/>
              </w:rPr>
              <w:t>文旅局2023年实施完工项目验收情况，具备验收单且验收合格率100%，得满分，每出现一项不合格扣0.2分。</w:t>
            </w:r>
          </w:p>
        </w:tc>
      </w:tr>
      <w:tr w14:paraId="7073B715">
        <w:tblPrEx>
          <w:tblCellMar>
            <w:top w:w="0" w:type="dxa"/>
            <w:left w:w="108" w:type="dxa"/>
            <w:bottom w:w="0" w:type="dxa"/>
            <w:right w:w="108" w:type="dxa"/>
          </w:tblCellMar>
        </w:tblPrEx>
        <w:trPr>
          <w:trHeight w:val="717" w:hRule="atLeast"/>
          <w:jc w:val="center"/>
        </w:trPr>
        <w:tc>
          <w:tcPr>
            <w:tcW w:w="352" w:type="pct"/>
            <w:vMerge w:val="continue"/>
            <w:tcBorders>
              <w:left w:val="single" w:color="auto" w:sz="4" w:space="0"/>
              <w:right w:val="single" w:color="auto" w:sz="4" w:space="0"/>
            </w:tcBorders>
            <w:shd w:val="clear" w:color="auto" w:fill="auto"/>
            <w:vAlign w:val="center"/>
          </w:tcPr>
          <w:p w14:paraId="6CCEA80A">
            <w:pPr>
              <w:spacing w:line="260" w:lineRule="exact"/>
              <w:jc w:val="center"/>
              <w:rPr>
                <w:color w:val="000000"/>
                <w:sz w:val="18"/>
                <w:szCs w:val="18"/>
              </w:rPr>
            </w:pPr>
          </w:p>
        </w:tc>
        <w:tc>
          <w:tcPr>
            <w:tcW w:w="3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B5B680">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311D1DD8">
            <w:pPr>
              <w:spacing w:line="260" w:lineRule="exact"/>
              <w:jc w:val="center"/>
              <w:textAlignment w:val="center"/>
              <w:rPr>
                <w:color w:val="000000"/>
                <w:kern w:val="0"/>
                <w:sz w:val="18"/>
                <w:szCs w:val="18"/>
              </w:rPr>
            </w:pPr>
            <w:r>
              <w:rPr>
                <w:rFonts w:hint="eastAsia"/>
                <w:color w:val="000000"/>
                <w:kern w:val="0"/>
                <w:sz w:val="18"/>
                <w:szCs w:val="18"/>
              </w:rPr>
              <w:t>目标责任考核等级</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AB3EA62">
            <w:pPr>
              <w:spacing w:line="260" w:lineRule="exact"/>
              <w:jc w:val="center"/>
              <w:textAlignment w:val="center"/>
              <w:rPr>
                <w:color w:val="000000"/>
                <w:kern w:val="0"/>
                <w:sz w:val="18"/>
                <w:szCs w:val="18"/>
              </w:rPr>
            </w:pPr>
            <w:r>
              <w:rPr>
                <w:rFonts w:hint="eastAsia"/>
                <w:color w:val="000000"/>
                <w:sz w:val="18"/>
                <w:szCs w:val="18"/>
              </w:rPr>
              <w:t>2</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06EAF18A">
            <w:pPr>
              <w:spacing w:line="260" w:lineRule="exact"/>
              <w:jc w:val="left"/>
              <w:textAlignment w:val="center"/>
              <w:rPr>
                <w:color w:val="000000"/>
                <w:kern w:val="0"/>
                <w:sz w:val="18"/>
                <w:szCs w:val="18"/>
              </w:rPr>
            </w:pPr>
            <w:r>
              <w:rPr>
                <w:rFonts w:hint="eastAsia"/>
                <w:color w:val="000000"/>
                <w:kern w:val="0"/>
                <w:sz w:val="18"/>
                <w:szCs w:val="18"/>
              </w:rPr>
              <w:t>评价部门2023年目标责任考核等级评定情况，用以反映部门核心业务的质量达标情况。</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370EF0F">
            <w:pPr>
              <w:spacing w:line="260" w:lineRule="exact"/>
              <w:jc w:val="center"/>
              <w:textAlignment w:val="center"/>
              <w:rPr>
                <w:color w:val="000000"/>
                <w:kern w:val="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6962E130">
            <w:pPr>
              <w:spacing w:line="260" w:lineRule="exact"/>
              <w:jc w:val="left"/>
              <w:textAlignment w:val="center"/>
              <w:rPr>
                <w:color w:val="000000"/>
                <w:kern w:val="0"/>
                <w:sz w:val="18"/>
                <w:szCs w:val="18"/>
              </w:rPr>
            </w:pPr>
            <w:r>
              <w:rPr>
                <w:rFonts w:hint="eastAsia"/>
                <w:color w:val="000000"/>
                <w:kern w:val="0"/>
                <w:sz w:val="18"/>
                <w:szCs w:val="18"/>
              </w:rPr>
              <w:t>根据《永济市2023年度目标责任考核等次评定结果的通知》，包括党建工作、发展任务、专项工作及综合考核等次，为优秀或良好，得2分，考核结果出现一般或较差，扣0.5分。</w:t>
            </w:r>
          </w:p>
        </w:tc>
      </w:tr>
      <w:tr w14:paraId="13C83393">
        <w:tblPrEx>
          <w:tblCellMar>
            <w:top w:w="0" w:type="dxa"/>
            <w:left w:w="108" w:type="dxa"/>
            <w:bottom w:w="0" w:type="dxa"/>
            <w:right w:w="108" w:type="dxa"/>
          </w:tblCellMar>
        </w:tblPrEx>
        <w:trPr>
          <w:trHeight w:val="1070" w:hRule="atLeast"/>
          <w:jc w:val="center"/>
        </w:trPr>
        <w:tc>
          <w:tcPr>
            <w:tcW w:w="352" w:type="pct"/>
            <w:vMerge w:val="continue"/>
            <w:tcBorders>
              <w:left w:val="single" w:color="auto" w:sz="4" w:space="0"/>
              <w:bottom w:val="single" w:color="auto" w:sz="4" w:space="0"/>
              <w:right w:val="single" w:color="auto" w:sz="4" w:space="0"/>
            </w:tcBorders>
            <w:shd w:val="clear" w:color="auto" w:fill="auto"/>
            <w:vAlign w:val="center"/>
          </w:tcPr>
          <w:p w14:paraId="4C94F75C">
            <w:pPr>
              <w:spacing w:line="260" w:lineRule="exact"/>
              <w:jc w:val="center"/>
              <w:rPr>
                <w:color w:val="000000"/>
                <w:sz w:val="18"/>
                <w:szCs w:val="18"/>
              </w:rPr>
            </w:pP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B796870">
            <w:pPr>
              <w:spacing w:line="260" w:lineRule="exact"/>
              <w:jc w:val="center"/>
              <w:rPr>
                <w:color w:val="000000"/>
                <w:sz w:val="18"/>
                <w:szCs w:val="18"/>
              </w:rPr>
            </w:pPr>
            <w:r>
              <w:rPr>
                <w:rFonts w:hint="eastAsia"/>
                <w:color w:val="000000"/>
                <w:sz w:val="18"/>
                <w:szCs w:val="18"/>
              </w:rPr>
              <w:t>完成及时情况</w:t>
            </w:r>
          </w:p>
          <w:p w14:paraId="768721FB">
            <w:pPr>
              <w:spacing w:line="260" w:lineRule="exact"/>
              <w:jc w:val="center"/>
              <w:rPr>
                <w:rFonts w:ascii="仿宋_GB2312" w:hAnsi="Times New Roman" w:eastAsia="仿宋_GB2312" w:cs="Times New Roman"/>
                <w:sz w:val="30"/>
                <w:szCs w:val="24"/>
              </w:rPr>
            </w:pPr>
            <w:r>
              <w:rPr>
                <w:rFonts w:hint="eastAsia"/>
                <w:color w:val="000000"/>
                <w:sz w:val="18"/>
                <w:szCs w:val="18"/>
              </w:rPr>
              <w:t>（3分）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43CF9381">
            <w:pPr>
              <w:spacing w:line="260" w:lineRule="exact"/>
              <w:jc w:val="center"/>
              <w:textAlignment w:val="center"/>
              <w:rPr>
                <w:color w:val="000000"/>
                <w:sz w:val="18"/>
                <w:szCs w:val="18"/>
              </w:rPr>
            </w:pPr>
            <w:r>
              <w:rPr>
                <w:rFonts w:hint="eastAsia"/>
                <w:color w:val="000000"/>
                <w:sz w:val="18"/>
                <w:szCs w:val="18"/>
              </w:rPr>
              <w:t>各项目完成及时性</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45157A2F">
            <w:pPr>
              <w:spacing w:line="260" w:lineRule="exact"/>
              <w:jc w:val="center"/>
              <w:textAlignment w:val="center"/>
              <w:rPr>
                <w:color w:val="000000"/>
                <w:sz w:val="18"/>
                <w:szCs w:val="18"/>
              </w:rPr>
            </w:pPr>
            <w:r>
              <w:rPr>
                <w:rFonts w:hint="eastAsia"/>
                <w:color w:val="000000"/>
                <w:sz w:val="18"/>
                <w:szCs w:val="18"/>
              </w:rPr>
              <w:t>3</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20E6D466">
            <w:pPr>
              <w:spacing w:line="260" w:lineRule="exact"/>
              <w:jc w:val="left"/>
              <w:textAlignment w:val="center"/>
              <w:rPr>
                <w:color w:val="000000"/>
                <w:sz w:val="18"/>
                <w:szCs w:val="18"/>
              </w:rPr>
            </w:pPr>
            <w:r>
              <w:rPr>
                <w:rFonts w:hint="eastAsia"/>
                <w:color w:val="000000"/>
                <w:sz w:val="18"/>
                <w:szCs w:val="18"/>
              </w:rPr>
              <w:t>将各类项目实际完成日期与计划日期进行对比，用以评价项目对工期的控制程度。</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B88DE03">
            <w:pPr>
              <w:spacing w:line="260" w:lineRule="exact"/>
              <w:jc w:val="left"/>
              <w:textAlignment w:val="center"/>
              <w:rPr>
                <w:color w:val="000000"/>
                <w:sz w:val="18"/>
                <w:szCs w:val="18"/>
              </w:rPr>
            </w:pPr>
            <w:r>
              <w:rPr>
                <w:rFonts w:hint="eastAsia"/>
                <w:color w:val="000000"/>
                <w:sz w:val="18"/>
                <w:szCs w:val="18"/>
              </w:rPr>
              <w:t>计划标准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60EEE5A6">
            <w:pPr>
              <w:spacing w:line="260" w:lineRule="exact"/>
              <w:jc w:val="left"/>
              <w:textAlignment w:val="center"/>
              <w:rPr>
                <w:color w:val="000000"/>
                <w:sz w:val="18"/>
                <w:szCs w:val="18"/>
              </w:rPr>
            </w:pPr>
            <w:r>
              <w:rPr>
                <w:rFonts w:hint="eastAsia"/>
                <w:color w:val="000000"/>
                <w:sz w:val="18"/>
                <w:szCs w:val="18"/>
              </w:rPr>
              <w:t>该指标分值为3分，包含旅游工作、文化工作、党建工作、执法工作、文保工作5个大项，其中旅游工作和文保工作分值各1分，其余3项分值为1分。各项分值评价规则如下：</w:t>
            </w:r>
          </w:p>
          <w:p w14:paraId="54BB080F">
            <w:pPr>
              <w:spacing w:line="260" w:lineRule="exact"/>
              <w:jc w:val="left"/>
              <w:textAlignment w:val="center"/>
              <w:rPr>
                <w:color w:val="000000"/>
                <w:sz w:val="18"/>
                <w:szCs w:val="18"/>
              </w:rPr>
            </w:pPr>
            <w:r>
              <w:rPr>
                <w:rFonts w:hint="eastAsia"/>
                <w:color w:val="000000"/>
                <w:sz w:val="18"/>
                <w:szCs w:val="18"/>
              </w:rPr>
              <w:t>1.按各项目中包含的子项有一项未完成，扣0.5分；</w:t>
            </w:r>
          </w:p>
          <w:p w14:paraId="2C5B4AA5">
            <w:pPr>
              <w:spacing w:line="260" w:lineRule="exact"/>
              <w:jc w:val="left"/>
              <w:textAlignment w:val="center"/>
              <w:rPr>
                <w:color w:val="000000"/>
                <w:kern w:val="0"/>
                <w:sz w:val="18"/>
                <w:szCs w:val="18"/>
              </w:rPr>
            </w:pPr>
            <w:r>
              <w:rPr>
                <w:rFonts w:hint="eastAsia"/>
                <w:color w:val="000000"/>
                <w:sz w:val="18"/>
                <w:szCs w:val="18"/>
              </w:rPr>
              <w:t>2.单个项目延误60日以上，则该子项目将不得分。</w:t>
            </w:r>
          </w:p>
        </w:tc>
      </w:tr>
    </w:tbl>
    <w:p w14:paraId="48F5ACDE">
      <w:pPr>
        <w:jc w:val="center"/>
        <w:rPr>
          <w:b/>
          <w:bCs/>
          <w:color w:val="000000"/>
          <w:kern w:val="0"/>
          <w:sz w:val="32"/>
          <w:szCs w:val="32"/>
        </w:rPr>
      </w:pPr>
    </w:p>
    <w:p w14:paraId="0E73F9D0">
      <w:pPr>
        <w:jc w:val="center"/>
        <w:rPr>
          <w:sz w:val="32"/>
          <w:szCs w:val="32"/>
        </w:rPr>
      </w:pPr>
      <w:r>
        <w:rPr>
          <w:rFonts w:hint="eastAsia"/>
          <w:b/>
          <w:bCs/>
          <w:color w:val="000000"/>
          <w:kern w:val="0"/>
          <w:sz w:val="32"/>
          <w:szCs w:val="32"/>
        </w:rPr>
        <w:t>永济市文旅局部门整体支出绩效评价指标表</w:t>
      </w:r>
    </w:p>
    <w:tbl>
      <w:tblPr>
        <w:tblStyle w:val="24"/>
        <w:tblW w:w="4863" w:type="pct"/>
        <w:jc w:val="center"/>
        <w:tblLayout w:type="autofit"/>
        <w:tblCellMar>
          <w:top w:w="0" w:type="dxa"/>
          <w:left w:w="108" w:type="dxa"/>
          <w:bottom w:w="0" w:type="dxa"/>
          <w:right w:w="108" w:type="dxa"/>
        </w:tblCellMar>
      </w:tblPr>
      <w:tblGrid>
        <w:gridCol w:w="971"/>
        <w:gridCol w:w="952"/>
        <w:gridCol w:w="1026"/>
        <w:gridCol w:w="610"/>
        <w:gridCol w:w="3032"/>
        <w:gridCol w:w="635"/>
        <w:gridCol w:w="6560"/>
      </w:tblGrid>
      <w:tr w14:paraId="7C7FFA05">
        <w:tblPrEx>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auto" w:sz="4" w:space="0"/>
              <w:right w:val="single" w:color="000000" w:sz="4" w:space="0"/>
            </w:tcBorders>
            <w:shd w:val="clear" w:color="auto" w:fill="auto"/>
            <w:vAlign w:val="center"/>
          </w:tcPr>
          <w:p w14:paraId="027C9E16">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45" w:type="pct"/>
            <w:tcBorders>
              <w:top w:val="single" w:color="000000" w:sz="4" w:space="0"/>
              <w:left w:val="single" w:color="000000" w:sz="4" w:space="0"/>
              <w:bottom w:val="single" w:color="auto" w:sz="4" w:space="0"/>
              <w:right w:val="single" w:color="000000" w:sz="4" w:space="0"/>
            </w:tcBorders>
            <w:shd w:val="clear" w:color="auto" w:fill="auto"/>
            <w:vAlign w:val="center"/>
          </w:tcPr>
          <w:p w14:paraId="1E49065B">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372" w:type="pct"/>
            <w:tcBorders>
              <w:top w:val="single" w:color="000000" w:sz="4" w:space="0"/>
              <w:left w:val="single" w:color="000000" w:sz="4" w:space="0"/>
              <w:bottom w:val="single" w:color="auto" w:sz="4" w:space="0"/>
              <w:right w:val="single" w:color="000000" w:sz="4" w:space="0"/>
            </w:tcBorders>
            <w:shd w:val="clear" w:color="auto" w:fill="auto"/>
            <w:vAlign w:val="center"/>
          </w:tcPr>
          <w:p w14:paraId="581F5A21">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21" w:type="pct"/>
            <w:tcBorders>
              <w:top w:val="single" w:color="000000" w:sz="4" w:space="0"/>
              <w:left w:val="single" w:color="000000" w:sz="4" w:space="0"/>
              <w:bottom w:val="single" w:color="auto" w:sz="4" w:space="0"/>
              <w:right w:val="single" w:color="000000" w:sz="4" w:space="0"/>
            </w:tcBorders>
            <w:shd w:val="clear" w:color="auto" w:fill="auto"/>
            <w:vAlign w:val="center"/>
          </w:tcPr>
          <w:p w14:paraId="38FDA6A4">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1099" w:type="pct"/>
            <w:tcBorders>
              <w:top w:val="single" w:color="000000" w:sz="4" w:space="0"/>
              <w:left w:val="single" w:color="000000" w:sz="4" w:space="0"/>
              <w:bottom w:val="single" w:color="auto" w:sz="4" w:space="0"/>
              <w:right w:val="single" w:color="000000" w:sz="4" w:space="0"/>
            </w:tcBorders>
            <w:shd w:val="clear" w:color="auto" w:fill="auto"/>
            <w:vAlign w:val="center"/>
          </w:tcPr>
          <w:p w14:paraId="4F532D38">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30" w:type="pct"/>
            <w:tcBorders>
              <w:top w:val="single" w:color="000000" w:sz="4" w:space="0"/>
              <w:left w:val="single" w:color="000000" w:sz="4" w:space="0"/>
              <w:bottom w:val="single" w:color="auto" w:sz="4" w:space="0"/>
              <w:right w:val="single" w:color="000000" w:sz="4" w:space="0"/>
            </w:tcBorders>
            <w:shd w:val="clear" w:color="auto" w:fill="auto"/>
            <w:vAlign w:val="center"/>
          </w:tcPr>
          <w:p w14:paraId="38060580">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378" w:type="pct"/>
            <w:tcBorders>
              <w:top w:val="single" w:color="000000" w:sz="4" w:space="0"/>
              <w:left w:val="single" w:color="000000" w:sz="4" w:space="0"/>
              <w:bottom w:val="single" w:color="auto" w:sz="4" w:space="0"/>
              <w:right w:val="single" w:color="000000" w:sz="4" w:space="0"/>
            </w:tcBorders>
            <w:shd w:val="clear" w:color="auto" w:fill="auto"/>
            <w:vAlign w:val="center"/>
          </w:tcPr>
          <w:p w14:paraId="74B99E84">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370A2DF8">
        <w:tblPrEx>
          <w:tblCellMar>
            <w:top w:w="0" w:type="dxa"/>
            <w:left w:w="108" w:type="dxa"/>
            <w:bottom w:w="0" w:type="dxa"/>
            <w:right w:w="108" w:type="dxa"/>
          </w:tblCellMar>
        </w:tblPrEx>
        <w:trPr>
          <w:trHeight w:val="1664" w:hRule="atLeast"/>
          <w:jc w:val="center"/>
        </w:trPr>
        <w:tc>
          <w:tcPr>
            <w:tcW w:w="35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AA30E0">
            <w:pPr>
              <w:spacing w:line="260" w:lineRule="exact"/>
              <w:jc w:val="center"/>
              <w:rPr>
                <w:color w:val="000000"/>
                <w:sz w:val="18"/>
                <w:szCs w:val="18"/>
              </w:rPr>
            </w:pPr>
            <w:r>
              <w:rPr>
                <w:rFonts w:hint="eastAsia"/>
                <w:color w:val="000000"/>
                <w:sz w:val="18"/>
                <w:szCs w:val="18"/>
              </w:rPr>
              <w:t>部门产出</w:t>
            </w:r>
          </w:p>
          <w:p w14:paraId="2B67A477">
            <w:pPr>
              <w:spacing w:line="260" w:lineRule="exact"/>
              <w:jc w:val="center"/>
              <w:rPr>
                <w:color w:val="000000"/>
                <w:sz w:val="18"/>
                <w:szCs w:val="18"/>
              </w:rPr>
            </w:pPr>
            <w:r>
              <w:rPr>
                <w:rFonts w:hint="eastAsia"/>
                <w:color w:val="000000"/>
                <w:sz w:val="18"/>
                <w:szCs w:val="18"/>
              </w:rPr>
              <w:t>（30分）</w:t>
            </w:r>
          </w:p>
        </w:tc>
        <w:tc>
          <w:tcPr>
            <w:tcW w:w="3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917063">
            <w:pPr>
              <w:spacing w:line="260" w:lineRule="exact"/>
              <w:jc w:val="center"/>
              <w:rPr>
                <w:color w:val="000000"/>
                <w:sz w:val="18"/>
                <w:szCs w:val="18"/>
              </w:rPr>
            </w:pPr>
            <w:r>
              <w:rPr>
                <w:rFonts w:hint="eastAsia"/>
                <w:color w:val="000000"/>
                <w:sz w:val="18"/>
                <w:szCs w:val="18"/>
              </w:rPr>
              <w:t>运行成本控制有效性（3分）</w:t>
            </w: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54F154BC">
            <w:pPr>
              <w:spacing w:line="260" w:lineRule="exact"/>
              <w:jc w:val="center"/>
              <w:textAlignment w:val="center"/>
              <w:rPr>
                <w:color w:val="000000"/>
                <w:sz w:val="18"/>
                <w:szCs w:val="18"/>
              </w:rPr>
            </w:pPr>
            <w:r>
              <w:rPr>
                <w:rFonts w:hint="eastAsia"/>
                <w:color w:val="000000"/>
                <w:kern w:val="0"/>
                <w:sz w:val="18"/>
                <w:szCs w:val="18"/>
              </w:rPr>
              <w:t>“公用经费”控制率</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3A608959">
            <w:pPr>
              <w:spacing w:line="260" w:lineRule="exact"/>
              <w:jc w:val="center"/>
              <w:textAlignment w:val="center"/>
              <w:rPr>
                <w:color w:val="000000"/>
                <w:sz w:val="18"/>
                <w:szCs w:val="18"/>
              </w:rPr>
            </w:pPr>
            <w:r>
              <w:rPr>
                <w:rFonts w:hint="eastAsia"/>
                <w:color w:val="000000"/>
                <w:kern w:val="0"/>
                <w:sz w:val="18"/>
                <w:szCs w:val="18"/>
              </w:rPr>
              <w:t>1</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1BA49F98">
            <w:pPr>
              <w:spacing w:line="260" w:lineRule="exact"/>
              <w:jc w:val="left"/>
              <w:textAlignment w:val="center"/>
              <w:rPr>
                <w:color w:val="000000"/>
                <w:sz w:val="18"/>
                <w:szCs w:val="18"/>
              </w:rPr>
            </w:pPr>
            <w:r>
              <w:rPr>
                <w:rFonts w:hint="eastAsia"/>
                <w:color w:val="000000"/>
                <w:kern w:val="0"/>
                <w:sz w:val="18"/>
                <w:szCs w:val="18"/>
              </w:rPr>
              <w:t>部门本年度实际支出的公用经费总额与预算安排的公用经费总额的比率，用以反映和考核部门对机构运转成本的实际控制程度。</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80099B2">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13286535">
            <w:pPr>
              <w:spacing w:line="260" w:lineRule="exact"/>
              <w:jc w:val="left"/>
              <w:textAlignment w:val="center"/>
              <w:rPr>
                <w:color w:val="000000"/>
                <w:kern w:val="0"/>
                <w:sz w:val="18"/>
                <w:szCs w:val="18"/>
              </w:rPr>
            </w:pPr>
            <w:r>
              <w:rPr>
                <w:rFonts w:hint="eastAsia"/>
                <w:color w:val="000000"/>
                <w:kern w:val="0"/>
                <w:sz w:val="18"/>
                <w:szCs w:val="18"/>
              </w:rPr>
              <w:t>公用经费控制率=（实际支出公用经费总额/预算安排公用经费总额）×100%。</w:t>
            </w:r>
          </w:p>
          <w:p w14:paraId="3071DCFD">
            <w:pPr>
              <w:spacing w:line="260" w:lineRule="exact"/>
              <w:jc w:val="left"/>
              <w:textAlignment w:val="center"/>
              <w:rPr>
                <w:color w:val="000000"/>
                <w:kern w:val="0"/>
                <w:sz w:val="18"/>
                <w:szCs w:val="18"/>
              </w:rPr>
            </w:pPr>
            <w:r>
              <w:rPr>
                <w:rFonts w:hint="eastAsia"/>
                <w:color w:val="000000"/>
                <w:kern w:val="0"/>
                <w:sz w:val="18"/>
                <w:szCs w:val="18"/>
              </w:rPr>
              <w:t>①公用经费控制率≤100%，得1分；</w:t>
            </w:r>
          </w:p>
          <w:p w14:paraId="02877548">
            <w:pPr>
              <w:spacing w:line="260" w:lineRule="exact"/>
              <w:jc w:val="left"/>
              <w:textAlignment w:val="center"/>
              <w:rPr>
                <w:color w:val="000000"/>
                <w:kern w:val="0"/>
                <w:sz w:val="18"/>
                <w:szCs w:val="18"/>
              </w:rPr>
            </w:pPr>
            <w:r>
              <w:rPr>
                <w:rFonts w:hint="eastAsia"/>
                <w:color w:val="000000"/>
                <w:kern w:val="0"/>
                <w:sz w:val="18"/>
                <w:szCs w:val="18"/>
              </w:rPr>
              <w:t>②公用经费控制率≥105%，得0分；</w:t>
            </w:r>
          </w:p>
          <w:p w14:paraId="7F6321C9">
            <w:pPr>
              <w:spacing w:line="260" w:lineRule="exact"/>
              <w:jc w:val="left"/>
              <w:textAlignment w:val="center"/>
              <w:rPr>
                <w:color w:val="000000"/>
                <w:kern w:val="0"/>
                <w:sz w:val="18"/>
                <w:szCs w:val="18"/>
              </w:rPr>
            </w:pPr>
            <w:r>
              <w:rPr>
                <w:rFonts w:hint="eastAsia"/>
                <w:color w:val="000000"/>
                <w:kern w:val="0"/>
                <w:sz w:val="18"/>
                <w:szCs w:val="18"/>
              </w:rPr>
              <w:t>③公用经费控制率在100%-105%之间，按比例计算确定。</w:t>
            </w:r>
          </w:p>
          <w:p w14:paraId="69CB4672">
            <w:pPr>
              <w:spacing w:line="260" w:lineRule="exact"/>
              <w:jc w:val="left"/>
              <w:textAlignment w:val="center"/>
              <w:rPr>
                <w:color w:val="000000"/>
                <w:sz w:val="18"/>
                <w:szCs w:val="18"/>
              </w:rPr>
            </w:pPr>
            <w:r>
              <w:rPr>
                <w:rFonts w:hint="eastAsia"/>
                <w:color w:val="000000"/>
                <w:kern w:val="0"/>
                <w:sz w:val="18"/>
                <w:szCs w:val="18"/>
              </w:rPr>
              <w:t>按比例计算得分=（105%-公用经费控制率）/（105%-100%）×该指标分值1分。</w:t>
            </w:r>
          </w:p>
        </w:tc>
      </w:tr>
      <w:tr w14:paraId="49AE8C04">
        <w:tblPrEx>
          <w:tblCellMar>
            <w:top w:w="0" w:type="dxa"/>
            <w:left w:w="108" w:type="dxa"/>
            <w:bottom w:w="0" w:type="dxa"/>
            <w:right w:w="108" w:type="dxa"/>
          </w:tblCellMar>
        </w:tblPrEx>
        <w:trPr>
          <w:trHeight w:val="2115" w:hRule="atLeast"/>
          <w:jc w:val="center"/>
        </w:trPr>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450438">
            <w:pPr>
              <w:spacing w:line="260" w:lineRule="exact"/>
              <w:jc w:val="center"/>
              <w:rPr>
                <w:color w:val="000000"/>
                <w:sz w:val="18"/>
                <w:szCs w:val="18"/>
              </w:rPr>
            </w:pPr>
          </w:p>
        </w:tc>
        <w:tc>
          <w:tcPr>
            <w:tcW w:w="3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F24913">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59A1E15F">
            <w:pPr>
              <w:spacing w:line="260" w:lineRule="exact"/>
              <w:jc w:val="center"/>
              <w:textAlignment w:val="center"/>
              <w:rPr>
                <w:color w:val="000000"/>
                <w:sz w:val="18"/>
                <w:szCs w:val="18"/>
              </w:rPr>
            </w:pPr>
            <w:r>
              <w:rPr>
                <w:rFonts w:hint="eastAsia"/>
                <w:color w:val="000000"/>
                <w:kern w:val="0"/>
                <w:sz w:val="18"/>
                <w:szCs w:val="18"/>
              </w:rPr>
              <w:t>“三公经费”控制率</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6B00FD0A">
            <w:pPr>
              <w:spacing w:line="260" w:lineRule="exact"/>
              <w:jc w:val="center"/>
              <w:textAlignment w:val="center"/>
              <w:rPr>
                <w:color w:val="000000"/>
                <w:sz w:val="18"/>
                <w:szCs w:val="18"/>
              </w:rPr>
            </w:pPr>
            <w:r>
              <w:rPr>
                <w:rFonts w:hint="eastAsia"/>
                <w:color w:val="000000"/>
                <w:kern w:val="0"/>
                <w:sz w:val="18"/>
                <w:szCs w:val="18"/>
              </w:rPr>
              <w:t>1</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2D8DAC1C">
            <w:pPr>
              <w:spacing w:line="260" w:lineRule="exact"/>
              <w:jc w:val="left"/>
              <w:textAlignment w:val="center"/>
              <w:rPr>
                <w:color w:val="000000"/>
                <w:sz w:val="18"/>
                <w:szCs w:val="18"/>
              </w:rPr>
            </w:pPr>
            <w:r>
              <w:rPr>
                <w:rFonts w:hint="eastAsia"/>
                <w:color w:val="000000"/>
                <w:kern w:val="0"/>
                <w:sz w:val="18"/>
                <w:szCs w:val="18"/>
              </w:rPr>
              <w:t>部门本年度“三公经费”实际支出数与预算安排数的比率，用以反映和考核部门对“三公经费”的实际控制程度。</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11E931F">
            <w:pPr>
              <w:spacing w:line="260" w:lineRule="exact"/>
              <w:jc w:val="center"/>
              <w:textAlignment w:val="center"/>
              <w:rPr>
                <w:color w:val="000000"/>
                <w:sz w:val="18"/>
                <w:szCs w:val="18"/>
              </w:rPr>
            </w:pPr>
            <w:r>
              <w:rPr>
                <w:rFonts w:hint="eastAsia"/>
                <w:color w:val="000000"/>
                <w:kern w:val="0"/>
                <w:sz w:val="18"/>
                <w:szCs w:val="18"/>
              </w:rPr>
              <w:t>通用标准</w:t>
            </w: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4302C0E6">
            <w:pPr>
              <w:spacing w:line="260" w:lineRule="exact"/>
              <w:jc w:val="left"/>
              <w:textAlignment w:val="center"/>
              <w:rPr>
                <w:color w:val="000000"/>
                <w:kern w:val="0"/>
                <w:sz w:val="18"/>
                <w:szCs w:val="18"/>
              </w:rPr>
            </w:pPr>
            <w:r>
              <w:rPr>
                <w:rFonts w:hint="eastAsia"/>
                <w:color w:val="000000"/>
                <w:kern w:val="0"/>
                <w:sz w:val="18"/>
                <w:szCs w:val="18"/>
              </w:rPr>
              <w:t>“三公经费”控制率=（“三公经费”实际支出数/“三公经费”预算安排数）×100%。</w:t>
            </w:r>
          </w:p>
          <w:p w14:paraId="0D29F9B0">
            <w:pPr>
              <w:spacing w:line="260" w:lineRule="exact"/>
              <w:jc w:val="left"/>
              <w:textAlignment w:val="center"/>
              <w:rPr>
                <w:color w:val="000000"/>
                <w:kern w:val="0"/>
                <w:sz w:val="18"/>
                <w:szCs w:val="18"/>
              </w:rPr>
            </w:pPr>
            <w:r>
              <w:rPr>
                <w:rFonts w:hint="eastAsia"/>
                <w:color w:val="000000"/>
                <w:kern w:val="0"/>
                <w:sz w:val="18"/>
                <w:szCs w:val="18"/>
              </w:rPr>
              <w:t>①“三公经费”控制率≤100%，得1分；</w:t>
            </w:r>
          </w:p>
          <w:p w14:paraId="09AE9260">
            <w:pPr>
              <w:spacing w:line="260" w:lineRule="exact"/>
              <w:jc w:val="left"/>
              <w:textAlignment w:val="center"/>
              <w:rPr>
                <w:color w:val="000000"/>
                <w:sz w:val="18"/>
                <w:szCs w:val="18"/>
              </w:rPr>
            </w:pPr>
            <w:r>
              <w:rPr>
                <w:rFonts w:hint="eastAsia"/>
                <w:color w:val="000000"/>
                <w:kern w:val="0"/>
                <w:sz w:val="18"/>
                <w:szCs w:val="18"/>
              </w:rPr>
              <w:t>②“三公经费”控制率&gt;100%，得0分。</w:t>
            </w:r>
          </w:p>
        </w:tc>
      </w:tr>
      <w:tr w14:paraId="50E58409">
        <w:tblPrEx>
          <w:tblCellMar>
            <w:top w:w="0" w:type="dxa"/>
            <w:left w:w="108" w:type="dxa"/>
            <w:bottom w:w="0" w:type="dxa"/>
            <w:right w:w="108" w:type="dxa"/>
          </w:tblCellMar>
        </w:tblPrEx>
        <w:trPr>
          <w:trHeight w:val="2031" w:hRule="atLeast"/>
          <w:jc w:val="center"/>
        </w:trPr>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AEDF3D">
            <w:pPr>
              <w:spacing w:line="260" w:lineRule="exact"/>
              <w:jc w:val="center"/>
              <w:rPr>
                <w:color w:val="000000"/>
                <w:sz w:val="18"/>
                <w:szCs w:val="18"/>
              </w:rPr>
            </w:pPr>
          </w:p>
        </w:tc>
        <w:tc>
          <w:tcPr>
            <w:tcW w:w="3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424C6F">
            <w:pPr>
              <w:spacing w:line="260" w:lineRule="exact"/>
              <w:jc w:val="center"/>
              <w:rPr>
                <w:color w:val="000000"/>
                <w:sz w:val="18"/>
                <w:szCs w:val="18"/>
              </w:rPr>
            </w:pPr>
          </w:p>
        </w:tc>
        <w:tc>
          <w:tcPr>
            <w:tcW w:w="372" w:type="pct"/>
            <w:tcBorders>
              <w:top w:val="single" w:color="auto" w:sz="4" w:space="0"/>
              <w:left w:val="single" w:color="auto" w:sz="4" w:space="0"/>
              <w:bottom w:val="single" w:color="auto" w:sz="4" w:space="0"/>
              <w:right w:val="single" w:color="auto" w:sz="4" w:space="0"/>
            </w:tcBorders>
            <w:shd w:val="clear" w:color="auto" w:fill="auto"/>
            <w:vAlign w:val="center"/>
          </w:tcPr>
          <w:p w14:paraId="62C36A7A">
            <w:pPr>
              <w:spacing w:line="260" w:lineRule="exact"/>
              <w:jc w:val="center"/>
              <w:textAlignment w:val="center"/>
              <w:rPr>
                <w:color w:val="000000"/>
                <w:kern w:val="0"/>
                <w:sz w:val="18"/>
                <w:szCs w:val="18"/>
              </w:rPr>
            </w:pPr>
            <w:r>
              <w:rPr>
                <w:rFonts w:hint="eastAsia"/>
                <w:color w:val="000000"/>
                <w:kern w:val="0"/>
                <w:sz w:val="18"/>
                <w:szCs w:val="18"/>
              </w:rPr>
              <w:t>“人员成本”控制率</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8B19633">
            <w:pPr>
              <w:spacing w:line="260" w:lineRule="exact"/>
              <w:jc w:val="center"/>
              <w:textAlignment w:val="center"/>
              <w:rPr>
                <w:color w:val="000000"/>
                <w:kern w:val="0"/>
                <w:sz w:val="18"/>
                <w:szCs w:val="18"/>
              </w:rPr>
            </w:pPr>
            <w:r>
              <w:rPr>
                <w:rFonts w:hint="eastAsia"/>
                <w:color w:val="000000"/>
                <w:kern w:val="0"/>
                <w:sz w:val="18"/>
                <w:szCs w:val="18"/>
              </w:rPr>
              <w:t>1</w:t>
            </w:r>
          </w:p>
        </w:tc>
        <w:tc>
          <w:tcPr>
            <w:tcW w:w="1099" w:type="pct"/>
            <w:tcBorders>
              <w:top w:val="single" w:color="auto" w:sz="4" w:space="0"/>
              <w:left w:val="single" w:color="auto" w:sz="4" w:space="0"/>
              <w:bottom w:val="single" w:color="auto" w:sz="4" w:space="0"/>
              <w:right w:val="single" w:color="auto" w:sz="4" w:space="0"/>
            </w:tcBorders>
            <w:shd w:val="clear" w:color="auto" w:fill="auto"/>
            <w:vAlign w:val="center"/>
          </w:tcPr>
          <w:p w14:paraId="3D35D216">
            <w:pPr>
              <w:spacing w:line="260" w:lineRule="exact"/>
              <w:jc w:val="left"/>
              <w:textAlignment w:val="center"/>
              <w:rPr>
                <w:color w:val="000000"/>
                <w:kern w:val="0"/>
                <w:sz w:val="18"/>
                <w:szCs w:val="18"/>
              </w:rPr>
            </w:pPr>
            <w:r>
              <w:rPr>
                <w:rFonts w:hint="eastAsia"/>
                <w:color w:val="000000"/>
                <w:kern w:val="0"/>
                <w:sz w:val="18"/>
                <w:szCs w:val="18"/>
              </w:rPr>
              <w:t>部门本年度实际支出的人员经费总额与符合条件人员经费总额的比率，用以反映和考核部门对机构运转成本的实际控制程度。</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237CEFC">
            <w:pPr>
              <w:spacing w:line="260" w:lineRule="exact"/>
              <w:jc w:val="center"/>
              <w:textAlignment w:val="center"/>
              <w:rPr>
                <w:color w:val="000000"/>
                <w:kern w:val="0"/>
                <w:sz w:val="18"/>
                <w:szCs w:val="18"/>
              </w:rPr>
            </w:pPr>
          </w:p>
        </w:tc>
        <w:tc>
          <w:tcPr>
            <w:tcW w:w="2378" w:type="pct"/>
            <w:tcBorders>
              <w:top w:val="single" w:color="auto" w:sz="4" w:space="0"/>
              <w:left w:val="single" w:color="auto" w:sz="4" w:space="0"/>
              <w:bottom w:val="single" w:color="auto" w:sz="4" w:space="0"/>
              <w:right w:val="single" w:color="auto" w:sz="4" w:space="0"/>
            </w:tcBorders>
            <w:shd w:val="clear" w:color="auto" w:fill="auto"/>
            <w:vAlign w:val="center"/>
          </w:tcPr>
          <w:p w14:paraId="2032C8BC">
            <w:pPr>
              <w:spacing w:line="260" w:lineRule="exact"/>
              <w:jc w:val="left"/>
              <w:textAlignment w:val="center"/>
              <w:rPr>
                <w:color w:val="000000"/>
                <w:kern w:val="0"/>
                <w:sz w:val="18"/>
                <w:szCs w:val="18"/>
              </w:rPr>
            </w:pPr>
            <w:r>
              <w:rPr>
                <w:rFonts w:hint="eastAsia"/>
                <w:color w:val="000000"/>
                <w:kern w:val="0"/>
                <w:sz w:val="18"/>
                <w:szCs w:val="18"/>
              </w:rPr>
              <w:t>人员成本控制率=（实际支出人员经费总额/符合条件的人员经费总额）×100%。</w:t>
            </w:r>
          </w:p>
          <w:p w14:paraId="34A89F9A">
            <w:pPr>
              <w:spacing w:line="260" w:lineRule="exact"/>
              <w:jc w:val="left"/>
              <w:textAlignment w:val="center"/>
              <w:rPr>
                <w:color w:val="000000"/>
                <w:kern w:val="0"/>
                <w:sz w:val="18"/>
                <w:szCs w:val="18"/>
              </w:rPr>
            </w:pPr>
            <w:r>
              <w:rPr>
                <w:rFonts w:hint="eastAsia"/>
                <w:color w:val="000000"/>
                <w:kern w:val="0"/>
                <w:sz w:val="18"/>
                <w:szCs w:val="18"/>
              </w:rPr>
              <w:t>①人员成本控制率≤100%，得0.5分；</w:t>
            </w:r>
          </w:p>
          <w:p w14:paraId="0347DB5F">
            <w:pPr>
              <w:spacing w:line="260" w:lineRule="exact"/>
              <w:jc w:val="left"/>
              <w:textAlignment w:val="center"/>
              <w:rPr>
                <w:color w:val="000000"/>
                <w:kern w:val="0"/>
                <w:sz w:val="18"/>
                <w:szCs w:val="18"/>
              </w:rPr>
            </w:pPr>
            <w:r>
              <w:rPr>
                <w:rFonts w:hint="eastAsia"/>
                <w:color w:val="000000"/>
                <w:kern w:val="0"/>
                <w:sz w:val="18"/>
                <w:szCs w:val="18"/>
              </w:rPr>
              <w:t>②人员成本控制率≥105%，得0分；</w:t>
            </w:r>
          </w:p>
          <w:p w14:paraId="534BFFD2">
            <w:pPr>
              <w:spacing w:line="260" w:lineRule="exact"/>
              <w:jc w:val="left"/>
              <w:textAlignment w:val="center"/>
              <w:rPr>
                <w:color w:val="000000"/>
                <w:kern w:val="0"/>
                <w:sz w:val="18"/>
                <w:szCs w:val="18"/>
              </w:rPr>
            </w:pPr>
            <w:r>
              <w:rPr>
                <w:rFonts w:hint="eastAsia"/>
                <w:color w:val="000000"/>
                <w:kern w:val="0"/>
                <w:sz w:val="18"/>
                <w:szCs w:val="18"/>
              </w:rPr>
              <w:t>③人员成本控制率在100%-105%之间，按比例计算确定。</w:t>
            </w:r>
          </w:p>
          <w:p w14:paraId="22AF08EB">
            <w:pPr>
              <w:spacing w:line="260" w:lineRule="exact"/>
              <w:jc w:val="left"/>
              <w:textAlignment w:val="center"/>
              <w:rPr>
                <w:color w:val="000000"/>
                <w:kern w:val="0"/>
                <w:sz w:val="18"/>
                <w:szCs w:val="18"/>
              </w:rPr>
            </w:pPr>
            <w:r>
              <w:rPr>
                <w:rFonts w:hint="eastAsia"/>
                <w:color w:val="000000"/>
                <w:kern w:val="0"/>
                <w:sz w:val="18"/>
                <w:szCs w:val="18"/>
              </w:rPr>
              <w:t>按比例计算得分=（105%-人员成本控制率）/（105%-100%）×该指标分值0.5分。</w:t>
            </w:r>
          </w:p>
          <w:p w14:paraId="5D9DFC5D">
            <w:pPr>
              <w:spacing w:line="260" w:lineRule="exact"/>
              <w:jc w:val="left"/>
              <w:textAlignment w:val="center"/>
              <w:rPr>
                <w:color w:val="000000"/>
                <w:kern w:val="0"/>
                <w:sz w:val="18"/>
                <w:szCs w:val="18"/>
              </w:rPr>
            </w:pPr>
            <w:r>
              <w:rPr>
                <w:rFonts w:hint="eastAsia"/>
                <w:color w:val="000000"/>
                <w:kern w:val="0"/>
                <w:sz w:val="18"/>
                <w:szCs w:val="18"/>
              </w:rPr>
              <w:t>不存在职责重复的情况，得0.5分</w:t>
            </w:r>
          </w:p>
        </w:tc>
      </w:tr>
    </w:tbl>
    <w:p w14:paraId="1C6FE320">
      <w:pPr>
        <w:rPr>
          <w:rFonts w:eastAsia="仿宋_GB2312"/>
          <w:highlight w:val="yellow"/>
        </w:rPr>
      </w:pPr>
    </w:p>
    <w:p w14:paraId="688457CB">
      <w:pPr>
        <w:rPr>
          <w:rFonts w:eastAsia="仿宋_GB2312"/>
          <w:highlight w:val="yellow"/>
        </w:rPr>
      </w:pPr>
    </w:p>
    <w:p w14:paraId="794492C2">
      <w:pPr>
        <w:jc w:val="center"/>
        <w:rPr>
          <w:sz w:val="32"/>
          <w:szCs w:val="32"/>
        </w:rPr>
      </w:pPr>
      <w:r>
        <w:rPr>
          <w:rFonts w:hint="eastAsia"/>
          <w:b/>
          <w:bCs/>
          <w:color w:val="000000"/>
          <w:kern w:val="0"/>
          <w:sz w:val="32"/>
          <w:szCs w:val="32"/>
        </w:rPr>
        <w:t>永济市文旅局部门整体支出绩效评价指标表</w:t>
      </w:r>
    </w:p>
    <w:tbl>
      <w:tblPr>
        <w:tblStyle w:val="24"/>
        <w:tblW w:w="4853" w:type="pct"/>
        <w:jc w:val="center"/>
        <w:tblLayout w:type="autofit"/>
        <w:tblCellMar>
          <w:top w:w="0" w:type="dxa"/>
          <w:left w:w="108" w:type="dxa"/>
          <w:bottom w:w="0" w:type="dxa"/>
          <w:right w:w="108" w:type="dxa"/>
        </w:tblCellMar>
      </w:tblPr>
      <w:tblGrid>
        <w:gridCol w:w="969"/>
        <w:gridCol w:w="1002"/>
        <w:gridCol w:w="1118"/>
        <w:gridCol w:w="685"/>
        <w:gridCol w:w="2778"/>
        <w:gridCol w:w="603"/>
        <w:gridCol w:w="6602"/>
      </w:tblGrid>
      <w:tr w14:paraId="2AC71498">
        <w:tblPrEx>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auto" w:sz="4" w:space="0"/>
              <w:right w:val="single" w:color="000000" w:sz="4" w:space="0"/>
            </w:tcBorders>
            <w:shd w:val="clear" w:color="auto" w:fill="auto"/>
            <w:vAlign w:val="center"/>
          </w:tcPr>
          <w:p w14:paraId="5CF373DA">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64" w:type="pct"/>
            <w:tcBorders>
              <w:top w:val="single" w:color="000000" w:sz="4" w:space="0"/>
              <w:left w:val="single" w:color="000000" w:sz="4" w:space="0"/>
              <w:bottom w:val="single" w:color="auto" w:sz="4" w:space="0"/>
              <w:right w:val="single" w:color="000000" w:sz="4" w:space="0"/>
            </w:tcBorders>
            <w:shd w:val="clear" w:color="auto" w:fill="auto"/>
            <w:vAlign w:val="center"/>
          </w:tcPr>
          <w:p w14:paraId="177609B2">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14:paraId="0C16C29E">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49" w:type="pct"/>
            <w:tcBorders>
              <w:top w:val="single" w:color="000000" w:sz="4" w:space="0"/>
              <w:left w:val="single" w:color="000000" w:sz="4" w:space="0"/>
              <w:bottom w:val="single" w:color="auto" w:sz="4" w:space="0"/>
              <w:right w:val="single" w:color="000000" w:sz="4" w:space="0"/>
            </w:tcBorders>
            <w:shd w:val="clear" w:color="auto" w:fill="auto"/>
            <w:vAlign w:val="center"/>
          </w:tcPr>
          <w:p w14:paraId="5FD0D1AF">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1009" w:type="pct"/>
            <w:tcBorders>
              <w:top w:val="single" w:color="000000" w:sz="4" w:space="0"/>
              <w:left w:val="single" w:color="000000" w:sz="4" w:space="0"/>
              <w:bottom w:val="single" w:color="auto" w:sz="4" w:space="0"/>
              <w:right w:val="single" w:color="000000" w:sz="4" w:space="0"/>
            </w:tcBorders>
            <w:shd w:val="clear" w:color="auto" w:fill="auto"/>
            <w:vAlign w:val="center"/>
          </w:tcPr>
          <w:p w14:paraId="30D92698">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19" w:type="pct"/>
            <w:tcBorders>
              <w:top w:val="single" w:color="000000" w:sz="4" w:space="0"/>
              <w:left w:val="single" w:color="000000" w:sz="4" w:space="0"/>
              <w:bottom w:val="single" w:color="auto" w:sz="4" w:space="0"/>
              <w:right w:val="single" w:color="000000" w:sz="4" w:space="0"/>
            </w:tcBorders>
            <w:shd w:val="clear" w:color="auto" w:fill="auto"/>
            <w:vAlign w:val="center"/>
          </w:tcPr>
          <w:p w14:paraId="69D3259B">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398" w:type="pct"/>
            <w:tcBorders>
              <w:top w:val="single" w:color="000000" w:sz="4" w:space="0"/>
              <w:left w:val="single" w:color="000000" w:sz="4" w:space="0"/>
              <w:bottom w:val="single" w:color="auto" w:sz="4" w:space="0"/>
              <w:right w:val="single" w:color="000000" w:sz="4" w:space="0"/>
            </w:tcBorders>
            <w:shd w:val="clear" w:color="auto" w:fill="auto"/>
            <w:vAlign w:val="center"/>
          </w:tcPr>
          <w:p w14:paraId="3B39EBAA">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2D38FB3B">
        <w:tblPrEx>
          <w:tblCellMar>
            <w:top w:w="0" w:type="dxa"/>
            <w:left w:w="108" w:type="dxa"/>
            <w:bottom w:w="0" w:type="dxa"/>
            <w:right w:w="108" w:type="dxa"/>
          </w:tblCellMar>
        </w:tblPrEx>
        <w:trPr>
          <w:trHeight w:val="1220" w:hRule="atLeast"/>
          <w:jc w:val="center"/>
        </w:trPr>
        <w:tc>
          <w:tcPr>
            <w:tcW w:w="35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384C2F">
            <w:pPr>
              <w:spacing w:line="260" w:lineRule="exact"/>
              <w:jc w:val="center"/>
              <w:textAlignment w:val="center"/>
              <w:rPr>
                <w:color w:val="000000"/>
                <w:sz w:val="18"/>
                <w:szCs w:val="18"/>
              </w:rPr>
            </w:pPr>
            <w:r>
              <w:rPr>
                <w:rFonts w:hint="eastAsia"/>
                <w:color w:val="000000"/>
                <w:kern w:val="0"/>
                <w:sz w:val="18"/>
                <w:szCs w:val="18"/>
              </w:rPr>
              <w:t>部门效果（20分）</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799164F1">
            <w:pPr>
              <w:spacing w:line="260" w:lineRule="exact"/>
              <w:jc w:val="center"/>
              <w:textAlignment w:val="center"/>
              <w:rPr>
                <w:color w:val="000000"/>
                <w:kern w:val="0"/>
                <w:sz w:val="18"/>
                <w:szCs w:val="18"/>
              </w:rPr>
            </w:pPr>
            <w:r>
              <w:rPr>
                <w:rFonts w:hint="eastAsia"/>
                <w:color w:val="000000"/>
                <w:kern w:val="0"/>
                <w:sz w:val="18"/>
                <w:szCs w:val="18"/>
              </w:rPr>
              <w:t>经济效益</w:t>
            </w:r>
          </w:p>
          <w:p w14:paraId="71A2D8D8">
            <w:pPr>
              <w:spacing w:line="260" w:lineRule="exact"/>
              <w:jc w:val="center"/>
              <w:textAlignment w:val="center"/>
              <w:rPr>
                <w:color w:val="000000"/>
                <w:sz w:val="18"/>
                <w:szCs w:val="18"/>
              </w:rPr>
            </w:pPr>
            <w:r>
              <w:rPr>
                <w:rFonts w:hint="eastAsia"/>
                <w:color w:val="000000"/>
                <w:kern w:val="0"/>
                <w:sz w:val="18"/>
                <w:szCs w:val="18"/>
              </w:rPr>
              <w:t>（2分）</w:t>
            </w: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1E22BC3C">
            <w:pPr>
              <w:jc w:val="center"/>
              <w:textAlignment w:val="center"/>
              <w:rPr>
                <w:color w:val="000000"/>
                <w:sz w:val="18"/>
                <w:szCs w:val="18"/>
              </w:rPr>
            </w:pPr>
            <w:r>
              <w:rPr>
                <w:rFonts w:hint="eastAsia"/>
                <w:color w:val="000000"/>
                <w:sz w:val="18"/>
                <w:szCs w:val="18"/>
              </w:rPr>
              <w:t>旅游收入增长幅度</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20391951">
            <w:pPr>
              <w:jc w:val="center"/>
              <w:textAlignment w:val="center"/>
              <w:rPr>
                <w:color w:val="000000"/>
                <w:sz w:val="18"/>
                <w:szCs w:val="18"/>
              </w:rPr>
            </w:pPr>
            <w:r>
              <w:rPr>
                <w:rFonts w:hint="eastAsia"/>
                <w:color w:val="000000"/>
                <w:kern w:val="0"/>
                <w:sz w:val="18"/>
                <w:szCs w:val="18"/>
              </w:rPr>
              <w:t>2</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085F67F8">
            <w:pPr>
              <w:jc w:val="left"/>
              <w:textAlignment w:val="center"/>
              <w:rPr>
                <w:color w:val="000000"/>
                <w:sz w:val="18"/>
                <w:szCs w:val="18"/>
              </w:rPr>
            </w:pPr>
            <w:r>
              <w:rPr>
                <w:rFonts w:hint="eastAsia"/>
                <w:color w:val="000000"/>
                <w:kern w:val="0"/>
                <w:sz w:val="18"/>
                <w:szCs w:val="18"/>
              </w:rPr>
              <w:t>评价2023年旅游门票收入、经营收入、接待游客人次较2022、2019年的增长情况，用以反映部门经济效益。</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14:paraId="118402D2">
            <w:pPr>
              <w:jc w:val="center"/>
              <w:textAlignment w:val="center"/>
              <w:rPr>
                <w:color w:val="000000"/>
                <w:sz w:val="18"/>
                <w:szCs w:val="18"/>
              </w:rPr>
            </w:pPr>
            <w:r>
              <w:rPr>
                <w:rFonts w:hint="eastAsia"/>
                <w:color w:val="000000"/>
                <w:kern w:val="0"/>
                <w:sz w:val="18"/>
                <w:szCs w:val="18"/>
              </w:rPr>
              <w:t>计划标准</w:t>
            </w:r>
          </w:p>
        </w:tc>
        <w:tc>
          <w:tcPr>
            <w:tcW w:w="2398" w:type="pct"/>
            <w:tcBorders>
              <w:top w:val="single" w:color="auto" w:sz="4" w:space="0"/>
              <w:left w:val="single" w:color="auto" w:sz="4" w:space="0"/>
              <w:bottom w:val="single" w:color="auto" w:sz="4" w:space="0"/>
              <w:right w:val="single" w:color="auto" w:sz="4" w:space="0"/>
            </w:tcBorders>
            <w:shd w:val="clear" w:color="auto" w:fill="auto"/>
            <w:vAlign w:val="center"/>
          </w:tcPr>
          <w:p w14:paraId="1350CF0B">
            <w:pPr>
              <w:jc w:val="left"/>
              <w:textAlignment w:val="center"/>
              <w:rPr>
                <w:color w:val="000000"/>
                <w:kern w:val="0"/>
                <w:sz w:val="18"/>
                <w:szCs w:val="18"/>
              </w:rPr>
            </w:pPr>
            <w:r>
              <w:rPr>
                <w:rFonts w:hint="eastAsia"/>
                <w:color w:val="000000"/>
                <w:kern w:val="0"/>
                <w:sz w:val="18"/>
                <w:szCs w:val="18"/>
              </w:rPr>
              <w:t>①旅游门票收入、经营收入提升情况（2022年、2023年），分值1分；</w:t>
            </w:r>
          </w:p>
          <w:p w14:paraId="26153B25">
            <w:pPr>
              <w:jc w:val="left"/>
              <w:textAlignment w:val="center"/>
              <w:rPr>
                <w:color w:val="000000"/>
                <w:kern w:val="0"/>
                <w:sz w:val="18"/>
                <w:szCs w:val="18"/>
              </w:rPr>
            </w:pPr>
            <w:r>
              <w:rPr>
                <w:rFonts w:hint="eastAsia"/>
                <w:color w:val="000000"/>
                <w:kern w:val="0"/>
                <w:sz w:val="18"/>
                <w:szCs w:val="18"/>
              </w:rPr>
              <w:t>②旅游接待人数提升情况提升情况（2022年、2023年），分值1分。</w:t>
            </w:r>
          </w:p>
          <w:p w14:paraId="1CFA4F64">
            <w:pPr>
              <w:jc w:val="left"/>
              <w:textAlignment w:val="center"/>
              <w:rPr>
                <w:color w:val="000000"/>
                <w:kern w:val="0"/>
                <w:sz w:val="18"/>
                <w:szCs w:val="18"/>
              </w:rPr>
            </w:pPr>
            <w:r>
              <w:rPr>
                <w:rFonts w:hint="eastAsia"/>
                <w:color w:val="000000"/>
                <w:kern w:val="0"/>
                <w:sz w:val="18"/>
                <w:szCs w:val="18"/>
              </w:rPr>
              <w:t>2023年较2022年提升50%以上，得满分，0-50%按比例得分。</w:t>
            </w:r>
          </w:p>
        </w:tc>
      </w:tr>
      <w:tr w14:paraId="7CD4DB19">
        <w:tblPrEx>
          <w:tblCellMar>
            <w:top w:w="0" w:type="dxa"/>
            <w:left w:w="108" w:type="dxa"/>
            <w:bottom w:w="0" w:type="dxa"/>
            <w:right w:w="108" w:type="dxa"/>
          </w:tblCellMar>
        </w:tblPrEx>
        <w:trPr>
          <w:trHeight w:val="90" w:hRule="atLeast"/>
          <w:jc w:val="center"/>
        </w:trPr>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E163DA">
            <w:pPr>
              <w:spacing w:line="260" w:lineRule="exact"/>
              <w:jc w:val="center"/>
              <w:rPr>
                <w:color w:val="000000"/>
                <w:sz w:val="18"/>
                <w:szCs w:val="18"/>
              </w:rPr>
            </w:pPr>
          </w:p>
        </w:tc>
        <w:tc>
          <w:tcPr>
            <w:tcW w:w="3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9805EF">
            <w:pPr>
              <w:spacing w:line="260" w:lineRule="exact"/>
              <w:jc w:val="center"/>
              <w:rPr>
                <w:color w:val="000000"/>
                <w:sz w:val="18"/>
                <w:szCs w:val="18"/>
              </w:rPr>
            </w:pPr>
            <w:r>
              <w:rPr>
                <w:rFonts w:hint="eastAsia"/>
                <w:color w:val="000000"/>
                <w:sz w:val="18"/>
                <w:szCs w:val="18"/>
              </w:rPr>
              <w:t>社会效益</w:t>
            </w:r>
          </w:p>
          <w:p w14:paraId="5A095419">
            <w:pPr>
              <w:spacing w:line="260" w:lineRule="exact"/>
              <w:jc w:val="center"/>
              <w:rPr>
                <w:color w:val="000000"/>
                <w:sz w:val="18"/>
                <w:szCs w:val="18"/>
              </w:rPr>
            </w:pPr>
            <w:r>
              <w:rPr>
                <w:rFonts w:hint="eastAsia"/>
                <w:color w:val="000000"/>
                <w:sz w:val="18"/>
                <w:szCs w:val="18"/>
              </w:rPr>
              <w:t>（6分）</w:t>
            </w:r>
          </w:p>
          <w:p w14:paraId="22D3FF8F">
            <w:pPr>
              <w:spacing w:line="260" w:lineRule="exact"/>
              <w:jc w:val="center"/>
              <w:textAlignment w:val="center"/>
              <w:rPr>
                <w:color w:val="000000"/>
                <w:kern w:val="0"/>
                <w:sz w:val="18"/>
                <w:szCs w:val="18"/>
              </w:rPr>
            </w:pP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74506B51">
            <w:pPr>
              <w:jc w:val="center"/>
              <w:textAlignment w:val="center"/>
              <w:rPr>
                <w:color w:val="000000"/>
                <w:sz w:val="18"/>
                <w:szCs w:val="18"/>
              </w:rPr>
            </w:pPr>
            <w:r>
              <w:rPr>
                <w:rFonts w:hint="eastAsia"/>
                <w:color w:val="000000"/>
                <w:sz w:val="18"/>
                <w:szCs w:val="18"/>
              </w:rPr>
              <w:t>提升永济市形象和知名度</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3F65944A">
            <w:pPr>
              <w:jc w:val="center"/>
              <w:textAlignment w:val="center"/>
              <w:rPr>
                <w:color w:val="000000"/>
                <w:sz w:val="18"/>
                <w:szCs w:val="18"/>
              </w:rPr>
            </w:pPr>
            <w:r>
              <w:rPr>
                <w:rFonts w:hint="eastAsia"/>
                <w:color w:val="000000"/>
                <w:kern w:val="0"/>
                <w:sz w:val="18"/>
                <w:szCs w:val="18"/>
              </w:rPr>
              <w:t>2</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505C19A4">
            <w:pPr>
              <w:jc w:val="left"/>
              <w:textAlignment w:val="center"/>
              <w:rPr>
                <w:color w:val="000000"/>
                <w:sz w:val="18"/>
                <w:szCs w:val="18"/>
              </w:rPr>
            </w:pPr>
            <w:r>
              <w:rPr>
                <w:rFonts w:hint="eastAsia"/>
                <w:color w:val="000000"/>
                <w:sz w:val="18"/>
                <w:szCs w:val="18"/>
              </w:rPr>
              <w:t>通过打造具有特色的文化和旅游品牌，评价对永济市形象和知名度的提升情况。</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14:paraId="76093BBA">
            <w:pPr>
              <w:jc w:val="center"/>
              <w:textAlignment w:val="center"/>
              <w:rPr>
                <w:color w:val="000000"/>
                <w:sz w:val="18"/>
                <w:szCs w:val="18"/>
              </w:rPr>
            </w:pPr>
            <w:r>
              <w:rPr>
                <w:rFonts w:hint="eastAsia"/>
                <w:color w:val="000000"/>
                <w:kern w:val="0"/>
                <w:sz w:val="18"/>
                <w:szCs w:val="18"/>
              </w:rPr>
              <w:t>计划标准</w:t>
            </w:r>
          </w:p>
        </w:tc>
        <w:tc>
          <w:tcPr>
            <w:tcW w:w="2398" w:type="pct"/>
            <w:tcBorders>
              <w:top w:val="single" w:color="auto" w:sz="4" w:space="0"/>
              <w:left w:val="single" w:color="auto" w:sz="4" w:space="0"/>
              <w:bottom w:val="single" w:color="auto" w:sz="4" w:space="0"/>
              <w:right w:val="single" w:color="auto" w:sz="4" w:space="0"/>
            </w:tcBorders>
            <w:shd w:val="clear" w:color="auto" w:fill="auto"/>
            <w:vAlign w:val="center"/>
          </w:tcPr>
          <w:p w14:paraId="65CA2966">
            <w:pPr>
              <w:jc w:val="left"/>
              <w:textAlignment w:val="center"/>
              <w:rPr>
                <w:color w:val="000000"/>
                <w:kern w:val="0"/>
                <w:sz w:val="18"/>
                <w:szCs w:val="18"/>
              </w:rPr>
            </w:pPr>
            <w:r>
              <w:rPr>
                <w:rFonts w:hint="eastAsia"/>
                <w:color w:val="000000"/>
                <w:kern w:val="0"/>
                <w:sz w:val="18"/>
                <w:szCs w:val="18"/>
              </w:rPr>
              <w:t>①对外：通过参加推介会、展示非遗产品、发放永济旅游宣传册等措施，进一步扩大永济旅游资源对外影响力，分值1分；</w:t>
            </w:r>
          </w:p>
          <w:p w14:paraId="7320C2C8">
            <w:pPr>
              <w:jc w:val="left"/>
              <w:textAlignment w:val="center"/>
              <w:rPr>
                <w:color w:val="000000"/>
                <w:kern w:val="0"/>
                <w:sz w:val="18"/>
                <w:szCs w:val="18"/>
              </w:rPr>
            </w:pPr>
            <w:r>
              <w:rPr>
                <w:rFonts w:hint="eastAsia"/>
                <w:color w:val="000000"/>
                <w:kern w:val="0"/>
                <w:sz w:val="18"/>
                <w:szCs w:val="18"/>
              </w:rPr>
              <w:t>②对内：重大品牌活动形式创新，开展独具特色的文化活动，提升永济市形象。</w:t>
            </w:r>
          </w:p>
        </w:tc>
      </w:tr>
      <w:tr w14:paraId="5D112519">
        <w:tblPrEx>
          <w:tblCellMar>
            <w:top w:w="0" w:type="dxa"/>
            <w:left w:w="108" w:type="dxa"/>
            <w:bottom w:w="0" w:type="dxa"/>
            <w:right w:w="108" w:type="dxa"/>
          </w:tblCellMar>
        </w:tblPrEx>
        <w:trPr>
          <w:trHeight w:val="2105" w:hRule="atLeast"/>
          <w:jc w:val="center"/>
        </w:trPr>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1E84B0">
            <w:pPr>
              <w:spacing w:line="260" w:lineRule="exact"/>
              <w:jc w:val="center"/>
              <w:rPr>
                <w:color w:val="000000"/>
                <w:sz w:val="18"/>
                <w:szCs w:val="18"/>
              </w:rPr>
            </w:pPr>
          </w:p>
        </w:tc>
        <w:tc>
          <w:tcPr>
            <w:tcW w:w="3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9CD017">
            <w:pPr>
              <w:spacing w:line="260" w:lineRule="exact"/>
              <w:jc w:val="center"/>
              <w:rPr>
                <w:color w:val="000000"/>
                <w:sz w:val="18"/>
                <w:szCs w:val="18"/>
              </w:rPr>
            </w:pP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7C1614E5">
            <w:pPr>
              <w:jc w:val="center"/>
              <w:textAlignment w:val="center"/>
              <w:rPr>
                <w:color w:val="000000"/>
                <w:sz w:val="18"/>
                <w:szCs w:val="18"/>
              </w:rPr>
            </w:pPr>
            <w:r>
              <w:rPr>
                <w:rFonts w:hint="eastAsia"/>
                <w:color w:val="000000"/>
                <w:sz w:val="18"/>
                <w:szCs w:val="18"/>
              </w:rPr>
              <w:t>文化传承与保护</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14C3262E">
            <w:pPr>
              <w:jc w:val="center"/>
              <w:textAlignment w:val="center"/>
              <w:rPr>
                <w:color w:val="000000"/>
                <w:sz w:val="18"/>
                <w:szCs w:val="18"/>
              </w:rPr>
            </w:pPr>
            <w:r>
              <w:rPr>
                <w:rFonts w:hint="eastAsia"/>
                <w:color w:val="000000"/>
                <w:sz w:val="18"/>
                <w:szCs w:val="18"/>
              </w:rPr>
              <w:t>2</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12C3B6D9">
            <w:pPr>
              <w:jc w:val="left"/>
              <w:textAlignment w:val="center"/>
              <w:rPr>
                <w:color w:val="000000"/>
                <w:sz w:val="18"/>
                <w:szCs w:val="18"/>
              </w:rPr>
            </w:pPr>
            <w:r>
              <w:rPr>
                <w:rFonts w:hint="eastAsia"/>
                <w:color w:val="000000"/>
                <w:sz w:val="18"/>
                <w:szCs w:val="18"/>
              </w:rPr>
              <w:t>评价2023年文旅局对为永济市文化传承与保护的贡献，用以反映部门的社会效益。</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14:paraId="68A822A1">
            <w:pPr>
              <w:jc w:val="center"/>
              <w:textAlignment w:val="center"/>
              <w:rPr>
                <w:color w:val="000000"/>
                <w:sz w:val="18"/>
                <w:szCs w:val="18"/>
              </w:rPr>
            </w:pPr>
            <w:r>
              <w:rPr>
                <w:rFonts w:hint="eastAsia"/>
                <w:color w:val="000000"/>
                <w:sz w:val="18"/>
                <w:szCs w:val="18"/>
              </w:rPr>
              <w:t>计划标准</w:t>
            </w:r>
          </w:p>
        </w:tc>
        <w:tc>
          <w:tcPr>
            <w:tcW w:w="2398" w:type="pct"/>
            <w:tcBorders>
              <w:top w:val="single" w:color="auto" w:sz="4" w:space="0"/>
              <w:left w:val="single" w:color="auto" w:sz="4" w:space="0"/>
              <w:bottom w:val="single" w:color="auto" w:sz="4" w:space="0"/>
              <w:right w:val="single" w:color="auto" w:sz="4" w:space="0"/>
            </w:tcBorders>
            <w:shd w:val="clear" w:color="auto" w:fill="auto"/>
            <w:vAlign w:val="center"/>
          </w:tcPr>
          <w:p w14:paraId="24342EB9">
            <w:pPr>
              <w:jc w:val="left"/>
              <w:textAlignment w:val="center"/>
              <w:rPr>
                <w:color w:val="000000"/>
                <w:kern w:val="0"/>
                <w:sz w:val="18"/>
                <w:szCs w:val="18"/>
              </w:rPr>
            </w:pPr>
            <w:r>
              <w:rPr>
                <w:rFonts w:hint="eastAsia"/>
                <w:color w:val="000000"/>
                <w:kern w:val="0"/>
                <w:sz w:val="18"/>
                <w:szCs w:val="18"/>
              </w:rPr>
              <w:t>①对现有重点文物加大巡查力度，确保文物安全，同时加强文物科技保护工作，靠科技进步促进文物保护活化利用，分值1分；</w:t>
            </w:r>
          </w:p>
          <w:p w14:paraId="46412F7E">
            <w:pPr>
              <w:jc w:val="left"/>
              <w:textAlignment w:val="center"/>
              <w:rPr>
                <w:color w:val="000000"/>
                <w:kern w:val="0"/>
                <w:sz w:val="18"/>
                <w:szCs w:val="18"/>
              </w:rPr>
            </w:pPr>
            <w:r>
              <w:rPr>
                <w:rFonts w:hint="eastAsia"/>
                <w:color w:val="000000"/>
                <w:kern w:val="0"/>
                <w:sz w:val="18"/>
                <w:szCs w:val="18"/>
              </w:rPr>
              <w:t>②</w:t>
            </w:r>
            <w:r>
              <w:rPr>
                <w:color w:val="000000"/>
                <w:kern w:val="0"/>
                <w:sz w:val="18"/>
                <w:szCs w:val="18"/>
              </w:rPr>
              <w:t>积极开展文博知识进校园活动，开展馆校合作新模式，培训“小小讲解员”队伍，推动文物保护与学校教育有机衔接</w:t>
            </w:r>
            <w:r>
              <w:rPr>
                <w:rFonts w:hint="eastAsia"/>
                <w:color w:val="000000"/>
                <w:kern w:val="0"/>
                <w:sz w:val="18"/>
                <w:szCs w:val="18"/>
              </w:rPr>
              <w:t>，分值1分；</w:t>
            </w:r>
          </w:p>
        </w:tc>
      </w:tr>
      <w:tr w14:paraId="38D6AB14">
        <w:tblPrEx>
          <w:tblCellMar>
            <w:top w:w="0" w:type="dxa"/>
            <w:left w:w="108" w:type="dxa"/>
            <w:bottom w:w="0" w:type="dxa"/>
            <w:right w:w="108" w:type="dxa"/>
          </w:tblCellMar>
        </w:tblPrEx>
        <w:trPr>
          <w:trHeight w:val="1309" w:hRule="atLeast"/>
          <w:jc w:val="center"/>
        </w:trPr>
        <w:tc>
          <w:tcPr>
            <w:tcW w:w="35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1EC61">
            <w:pPr>
              <w:spacing w:line="260" w:lineRule="exact"/>
              <w:jc w:val="center"/>
              <w:rPr>
                <w:color w:val="000000"/>
                <w:kern w:val="0"/>
                <w:sz w:val="18"/>
                <w:szCs w:val="18"/>
              </w:rPr>
            </w:pPr>
          </w:p>
        </w:tc>
        <w:tc>
          <w:tcPr>
            <w:tcW w:w="3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3109C6">
            <w:pPr>
              <w:spacing w:line="260" w:lineRule="exact"/>
              <w:jc w:val="center"/>
              <w:textAlignment w:val="center"/>
              <w:rPr>
                <w:color w:val="000000"/>
                <w:kern w:val="0"/>
                <w:sz w:val="18"/>
                <w:szCs w:val="18"/>
              </w:rPr>
            </w:pPr>
          </w:p>
        </w:tc>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79DFBA0A">
            <w:pPr>
              <w:spacing w:line="260" w:lineRule="exact"/>
              <w:jc w:val="center"/>
              <w:textAlignment w:val="center"/>
              <w:rPr>
                <w:color w:val="000000"/>
                <w:kern w:val="0"/>
                <w:sz w:val="18"/>
                <w:szCs w:val="18"/>
              </w:rPr>
            </w:pPr>
            <w:r>
              <w:rPr>
                <w:rFonts w:hint="eastAsia"/>
                <w:color w:val="000000"/>
                <w:kern w:val="0"/>
                <w:sz w:val="18"/>
                <w:szCs w:val="18"/>
              </w:rPr>
              <w:t>丰富民众的精神生活</w:t>
            </w:r>
          </w:p>
        </w:tc>
        <w:tc>
          <w:tcPr>
            <w:tcW w:w="249" w:type="pct"/>
            <w:tcBorders>
              <w:top w:val="single" w:color="auto" w:sz="4" w:space="0"/>
              <w:left w:val="single" w:color="auto" w:sz="4" w:space="0"/>
              <w:bottom w:val="single" w:color="auto" w:sz="4" w:space="0"/>
              <w:right w:val="single" w:color="auto" w:sz="4" w:space="0"/>
            </w:tcBorders>
            <w:shd w:val="clear" w:color="auto" w:fill="auto"/>
            <w:vAlign w:val="center"/>
          </w:tcPr>
          <w:p w14:paraId="51E6DEE2">
            <w:pPr>
              <w:spacing w:line="260" w:lineRule="exact"/>
              <w:jc w:val="center"/>
              <w:textAlignment w:val="center"/>
              <w:rPr>
                <w:color w:val="000000"/>
                <w:kern w:val="0"/>
                <w:sz w:val="18"/>
                <w:szCs w:val="18"/>
              </w:rPr>
            </w:pPr>
            <w:r>
              <w:rPr>
                <w:rFonts w:hint="eastAsia"/>
                <w:color w:val="000000"/>
                <w:kern w:val="0"/>
                <w:sz w:val="18"/>
                <w:szCs w:val="18"/>
              </w:rPr>
              <w:t>2</w:t>
            </w:r>
          </w:p>
        </w:tc>
        <w:tc>
          <w:tcPr>
            <w:tcW w:w="1009" w:type="pct"/>
            <w:tcBorders>
              <w:top w:val="single" w:color="auto" w:sz="4" w:space="0"/>
              <w:left w:val="single" w:color="auto" w:sz="4" w:space="0"/>
              <w:bottom w:val="single" w:color="auto" w:sz="4" w:space="0"/>
              <w:right w:val="single" w:color="auto" w:sz="4" w:space="0"/>
            </w:tcBorders>
            <w:shd w:val="clear" w:color="auto" w:fill="auto"/>
            <w:vAlign w:val="center"/>
          </w:tcPr>
          <w:p w14:paraId="62D9A8D6">
            <w:pPr>
              <w:spacing w:line="260" w:lineRule="exact"/>
              <w:jc w:val="left"/>
              <w:textAlignment w:val="center"/>
              <w:rPr>
                <w:color w:val="000000"/>
                <w:kern w:val="0"/>
                <w:sz w:val="18"/>
                <w:szCs w:val="18"/>
              </w:rPr>
            </w:pPr>
            <w:r>
              <w:rPr>
                <w:rFonts w:hint="eastAsia"/>
                <w:color w:val="000000"/>
                <w:kern w:val="0"/>
                <w:sz w:val="18"/>
                <w:szCs w:val="18"/>
              </w:rPr>
              <w:t>评价各类文化活动的参与人数、参与频率与反馈情况，用以反映部门社会效益。</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14:paraId="652D9DC5">
            <w:pPr>
              <w:spacing w:line="260" w:lineRule="exact"/>
              <w:jc w:val="center"/>
              <w:textAlignment w:val="center"/>
              <w:rPr>
                <w:color w:val="000000"/>
                <w:kern w:val="0"/>
                <w:sz w:val="18"/>
                <w:szCs w:val="18"/>
              </w:rPr>
            </w:pPr>
            <w:r>
              <w:rPr>
                <w:rFonts w:hint="eastAsia"/>
                <w:color w:val="000000"/>
                <w:sz w:val="18"/>
                <w:szCs w:val="18"/>
              </w:rPr>
              <w:t>计划标准</w:t>
            </w:r>
          </w:p>
        </w:tc>
        <w:tc>
          <w:tcPr>
            <w:tcW w:w="2398" w:type="pct"/>
            <w:tcBorders>
              <w:top w:val="single" w:color="auto" w:sz="4" w:space="0"/>
              <w:left w:val="single" w:color="auto" w:sz="4" w:space="0"/>
              <w:bottom w:val="single" w:color="auto" w:sz="4" w:space="0"/>
              <w:right w:val="single" w:color="auto" w:sz="4" w:space="0"/>
            </w:tcBorders>
            <w:shd w:val="clear" w:color="auto" w:fill="auto"/>
            <w:vAlign w:val="center"/>
          </w:tcPr>
          <w:p w14:paraId="0D13B078">
            <w:pPr>
              <w:jc w:val="left"/>
              <w:textAlignment w:val="center"/>
              <w:rPr>
                <w:color w:val="000000"/>
                <w:kern w:val="0"/>
                <w:sz w:val="18"/>
                <w:szCs w:val="18"/>
              </w:rPr>
            </w:pPr>
            <w:r>
              <w:rPr>
                <w:rFonts w:hint="eastAsia"/>
                <w:color w:val="000000"/>
                <w:kern w:val="0"/>
                <w:sz w:val="18"/>
                <w:szCs w:val="18"/>
              </w:rPr>
              <w:t>①组织各类文化活动，如全民读书会、送戏下乡、农民村晚等活动，为民众提供丰富多彩的精神文化产品，满足人民日益增长的文化需求，分值1分；</w:t>
            </w:r>
          </w:p>
          <w:p w14:paraId="55856374">
            <w:pPr>
              <w:jc w:val="left"/>
              <w:textAlignment w:val="center"/>
              <w:rPr>
                <w:color w:val="000000"/>
                <w:kern w:val="0"/>
                <w:sz w:val="18"/>
                <w:szCs w:val="18"/>
              </w:rPr>
            </w:pPr>
            <w:r>
              <w:rPr>
                <w:rFonts w:hint="eastAsia"/>
                <w:color w:val="000000"/>
                <w:kern w:val="0"/>
                <w:sz w:val="18"/>
                <w:szCs w:val="18"/>
              </w:rPr>
              <w:t>②线上活动或宣传视频的参与度，反映活动在网络上传播和印发的关注度，分值1分；</w:t>
            </w:r>
          </w:p>
        </w:tc>
      </w:tr>
    </w:tbl>
    <w:p w14:paraId="07A71573">
      <w:pPr>
        <w:jc w:val="center"/>
        <w:rPr>
          <w:b/>
          <w:bCs/>
          <w:color w:val="000000"/>
          <w:kern w:val="0"/>
          <w:sz w:val="32"/>
          <w:szCs w:val="32"/>
        </w:rPr>
      </w:pPr>
    </w:p>
    <w:p w14:paraId="638238DF">
      <w:pPr>
        <w:jc w:val="center"/>
        <w:rPr>
          <w:b/>
          <w:bCs/>
          <w:color w:val="000000"/>
          <w:kern w:val="0"/>
          <w:sz w:val="32"/>
          <w:szCs w:val="32"/>
        </w:rPr>
      </w:pPr>
    </w:p>
    <w:p w14:paraId="17046138">
      <w:pPr>
        <w:jc w:val="center"/>
        <w:rPr>
          <w:sz w:val="32"/>
          <w:szCs w:val="32"/>
        </w:rPr>
      </w:pPr>
      <w:r>
        <w:rPr>
          <w:rFonts w:hint="eastAsia"/>
          <w:b/>
          <w:bCs/>
          <w:color w:val="000000"/>
          <w:kern w:val="0"/>
          <w:sz w:val="32"/>
          <w:szCs w:val="32"/>
        </w:rPr>
        <w:t>永济市文旅局部门整体支出绩效评价指标表</w:t>
      </w:r>
    </w:p>
    <w:tbl>
      <w:tblPr>
        <w:tblStyle w:val="24"/>
        <w:tblW w:w="4761" w:type="pct"/>
        <w:jc w:val="center"/>
        <w:tblLayout w:type="autofit"/>
        <w:tblCellMar>
          <w:top w:w="0" w:type="dxa"/>
          <w:left w:w="108" w:type="dxa"/>
          <w:bottom w:w="0" w:type="dxa"/>
          <w:right w:w="108" w:type="dxa"/>
        </w:tblCellMar>
      </w:tblPr>
      <w:tblGrid>
        <w:gridCol w:w="1005"/>
        <w:gridCol w:w="1072"/>
        <w:gridCol w:w="1156"/>
        <w:gridCol w:w="767"/>
        <w:gridCol w:w="2682"/>
        <w:gridCol w:w="645"/>
        <w:gridCol w:w="6169"/>
      </w:tblGrid>
      <w:tr w14:paraId="704F2486">
        <w:tblPrEx>
          <w:tblCellMar>
            <w:top w:w="0" w:type="dxa"/>
            <w:left w:w="108" w:type="dxa"/>
            <w:bottom w:w="0" w:type="dxa"/>
            <w:right w:w="108" w:type="dxa"/>
          </w:tblCellMar>
        </w:tblPrEx>
        <w:trPr>
          <w:trHeight w:val="600" w:hRule="atLeast"/>
          <w:jc w:val="center"/>
        </w:trPr>
        <w:tc>
          <w:tcPr>
            <w:tcW w:w="372" w:type="pct"/>
            <w:tcBorders>
              <w:top w:val="single" w:color="000000" w:sz="4" w:space="0"/>
              <w:left w:val="single" w:color="000000" w:sz="4" w:space="0"/>
              <w:bottom w:val="single" w:color="auto" w:sz="4" w:space="0"/>
              <w:right w:val="single" w:color="000000" w:sz="4" w:space="0"/>
            </w:tcBorders>
            <w:shd w:val="clear" w:color="auto" w:fill="auto"/>
            <w:vAlign w:val="center"/>
          </w:tcPr>
          <w:p w14:paraId="49C70F0F">
            <w:pPr>
              <w:spacing w:line="260" w:lineRule="exact"/>
              <w:jc w:val="center"/>
              <w:textAlignment w:val="center"/>
              <w:rPr>
                <w:b/>
                <w:bCs/>
                <w:color w:val="000000"/>
                <w:sz w:val="18"/>
                <w:szCs w:val="18"/>
              </w:rPr>
            </w:pPr>
            <w:r>
              <w:rPr>
                <w:rFonts w:hint="eastAsia"/>
                <w:b/>
                <w:bCs/>
                <w:color w:val="000000"/>
                <w:kern w:val="0"/>
                <w:sz w:val="18"/>
                <w:szCs w:val="18"/>
              </w:rPr>
              <w:t>一级指标</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14:paraId="0D92223F">
            <w:pPr>
              <w:spacing w:line="260" w:lineRule="exact"/>
              <w:jc w:val="center"/>
              <w:textAlignment w:val="center"/>
              <w:rPr>
                <w:b/>
                <w:bCs/>
                <w:color w:val="000000"/>
                <w:sz w:val="18"/>
                <w:szCs w:val="18"/>
              </w:rPr>
            </w:pPr>
            <w:r>
              <w:rPr>
                <w:rFonts w:hint="eastAsia"/>
                <w:b/>
                <w:bCs/>
                <w:color w:val="000000"/>
                <w:kern w:val="0"/>
                <w:sz w:val="18"/>
                <w:szCs w:val="18"/>
              </w:rPr>
              <w:t>二级指标</w:t>
            </w:r>
          </w:p>
        </w:tc>
        <w:tc>
          <w:tcPr>
            <w:tcW w:w="428" w:type="pct"/>
            <w:tcBorders>
              <w:top w:val="single" w:color="000000" w:sz="4" w:space="0"/>
              <w:left w:val="single" w:color="000000" w:sz="4" w:space="0"/>
              <w:bottom w:val="single" w:color="auto" w:sz="4" w:space="0"/>
              <w:right w:val="single" w:color="000000" w:sz="4" w:space="0"/>
            </w:tcBorders>
            <w:shd w:val="clear" w:color="auto" w:fill="auto"/>
            <w:vAlign w:val="center"/>
          </w:tcPr>
          <w:p w14:paraId="4A2DB88E">
            <w:pPr>
              <w:spacing w:line="260" w:lineRule="exact"/>
              <w:jc w:val="center"/>
              <w:textAlignment w:val="center"/>
              <w:rPr>
                <w:b/>
                <w:bCs/>
                <w:color w:val="000000"/>
                <w:sz w:val="18"/>
                <w:szCs w:val="18"/>
              </w:rPr>
            </w:pPr>
            <w:r>
              <w:rPr>
                <w:rFonts w:hint="eastAsia"/>
                <w:b/>
                <w:bCs/>
                <w:color w:val="000000"/>
                <w:kern w:val="0"/>
                <w:sz w:val="18"/>
                <w:szCs w:val="18"/>
              </w:rPr>
              <w:t>三级指标</w:t>
            </w:r>
          </w:p>
        </w:tc>
        <w:tc>
          <w:tcPr>
            <w:tcW w:w="284" w:type="pct"/>
            <w:tcBorders>
              <w:top w:val="single" w:color="000000" w:sz="4" w:space="0"/>
              <w:left w:val="single" w:color="000000" w:sz="4" w:space="0"/>
              <w:bottom w:val="single" w:color="auto" w:sz="4" w:space="0"/>
              <w:right w:val="single" w:color="000000" w:sz="4" w:space="0"/>
            </w:tcBorders>
            <w:shd w:val="clear" w:color="auto" w:fill="auto"/>
            <w:vAlign w:val="center"/>
          </w:tcPr>
          <w:p w14:paraId="7598730C">
            <w:pPr>
              <w:spacing w:line="260" w:lineRule="exact"/>
              <w:jc w:val="center"/>
              <w:textAlignment w:val="center"/>
              <w:rPr>
                <w:b/>
                <w:bCs/>
                <w:color w:val="000000"/>
                <w:sz w:val="18"/>
                <w:szCs w:val="18"/>
              </w:rPr>
            </w:pPr>
            <w:r>
              <w:rPr>
                <w:rFonts w:hint="eastAsia"/>
                <w:b/>
                <w:bCs/>
                <w:color w:val="000000"/>
                <w:kern w:val="0"/>
                <w:sz w:val="18"/>
                <w:szCs w:val="18"/>
              </w:rPr>
              <w:t>权重</w:t>
            </w:r>
          </w:p>
        </w:tc>
        <w:tc>
          <w:tcPr>
            <w:tcW w:w="993" w:type="pct"/>
            <w:tcBorders>
              <w:top w:val="single" w:color="000000" w:sz="4" w:space="0"/>
              <w:left w:val="single" w:color="000000" w:sz="4" w:space="0"/>
              <w:bottom w:val="single" w:color="auto" w:sz="4" w:space="0"/>
              <w:right w:val="single" w:color="000000" w:sz="4" w:space="0"/>
            </w:tcBorders>
            <w:shd w:val="clear" w:color="auto" w:fill="auto"/>
            <w:vAlign w:val="center"/>
          </w:tcPr>
          <w:p w14:paraId="4964D1EF">
            <w:pPr>
              <w:spacing w:line="260" w:lineRule="exact"/>
              <w:jc w:val="center"/>
              <w:textAlignment w:val="center"/>
              <w:rPr>
                <w:b/>
                <w:bCs/>
                <w:color w:val="000000"/>
                <w:sz w:val="18"/>
                <w:szCs w:val="18"/>
              </w:rPr>
            </w:pPr>
            <w:r>
              <w:rPr>
                <w:rFonts w:hint="eastAsia"/>
                <w:b/>
                <w:bCs/>
                <w:color w:val="000000"/>
                <w:kern w:val="0"/>
                <w:sz w:val="18"/>
                <w:szCs w:val="18"/>
              </w:rPr>
              <w:t>指标解释</w:t>
            </w:r>
          </w:p>
        </w:tc>
        <w:tc>
          <w:tcPr>
            <w:tcW w:w="239" w:type="pct"/>
            <w:tcBorders>
              <w:top w:val="single" w:color="000000" w:sz="4" w:space="0"/>
              <w:left w:val="single" w:color="000000" w:sz="4" w:space="0"/>
              <w:bottom w:val="single" w:color="auto" w:sz="4" w:space="0"/>
              <w:right w:val="single" w:color="000000" w:sz="4" w:space="0"/>
            </w:tcBorders>
            <w:shd w:val="clear" w:color="auto" w:fill="auto"/>
            <w:vAlign w:val="center"/>
          </w:tcPr>
          <w:p w14:paraId="3045F36D">
            <w:pPr>
              <w:spacing w:line="260" w:lineRule="exact"/>
              <w:jc w:val="center"/>
              <w:textAlignment w:val="center"/>
              <w:rPr>
                <w:b/>
                <w:bCs/>
                <w:color w:val="000000"/>
                <w:sz w:val="18"/>
                <w:szCs w:val="18"/>
              </w:rPr>
            </w:pPr>
            <w:r>
              <w:rPr>
                <w:rFonts w:hint="eastAsia"/>
                <w:b/>
                <w:bCs/>
                <w:color w:val="000000"/>
                <w:kern w:val="0"/>
                <w:sz w:val="18"/>
                <w:szCs w:val="18"/>
              </w:rPr>
              <w:t>评分依据</w:t>
            </w:r>
          </w:p>
        </w:tc>
        <w:tc>
          <w:tcPr>
            <w:tcW w:w="2284" w:type="pct"/>
            <w:tcBorders>
              <w:top w:val="single" w:color="000000" w:sz="4" w:space="0"/>
              <w:left w:val="single" w:color="000000" w:sz="4" w:space="0"/>
              <w:bottom w:val="single" w:color="auto" w:sz="4" w:space="0"/>
              <w:right w:val="single" w:color="000000" w:sz="4" w:space="0"/>
            </w:tcBorders>
            <w:shd w:val="clear" w:color="auto" w:fill="auto"/>
            <w:vAlign w:val="center"/>
          </w:tcPr>
          <w:p w14:paraId="1C422F4A">
            <w:pPr>
              <w:spacing w:line="260" w:lineRule="exact"/>
              <w:jc w:val="center"/>
              <w:textAlignment w:val="center"/>
              <w:rPr>
                <w:b/>
                <w:bCs/>
                <w:color w:val="000000"/>
                <w:sz w:val="18"/>
                <w:szCs w:val="18"/>
              </w:rPr>
            </w:pPr>
            <w:r>
              <w:rPr>
                <w:rFonts w:hint="eastAsia"/>
                <w:b/>
                <w:bCs/>
                <w:color w:val="000000"/>
                <w:kern w:val="0"/>
                <w:sz w:val="18"/>
                <w:szCs w:val="18"/>
              </w:rPr>
              <w:t>评分标准</w:t>
            </w:r>
          </w:p>
        </w:tc>
      </w:tr>
      <w:tr w14:paraId="72131821">
        <w:tblPrEx>
          <w:tblCellMar>
            <w:top w:w="0" w:type="dxa"/>
            <w:left w:w="108" w:type="dxa"/>
            <w:bottom w:w="0" w:type="dxa"/>
            <w:right w:w="108" w:type="dxa"/>
          </w:tblCellMar>
        </w:tblPrEx>
        <w:trPr>
          <w:trHeight w:val="1550" w:hRule="atLeast"/>
          <w:jc w:val="center"/>
        </w:trPr>
        <w:tc>
          <w:tcPr>
            <w:tcW w:w="3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05EA80">
            <w:pPr>
              <w:spacing w:line="260" w:lineRule="exact"/>
              <w:jc w:val="center"/>
              <w:rPr>
                <w:color w:val="000000"/>
                <w:sz w:val="18"/>
                <w:szCs w:val="18"/>
              </w:rPr>
            </w:pPr>
            <w:r>
              <w:rPr>
                <w:rFonts w:hint="eastAsia"/>
                <w:color w:val="000000"/>
                <w:kern w:val="0"/>
                <w:sz w:val="18"/>
                <w:szCs w:val="18"/>
              </w:rPr>
              <w:t>部门效果（20分）</w:t>
            </w:r>
          </w:p>
        </w:tc>
        <w:tc>
          <w:tcPr>
            <w:tcW w:w="397" w:type="pct"/>
            <w:vMerge w:val="restart"/>
            <w:tcBorders>
              <w:top w:val="single" w:color="auto" w:sz="4" w:space="0"/>
              <w:left w:val="single" w:color="auto" w:sz="4" w:space="0"/>
              <w:right w:val="single" w:color="auto" w:sz="4" w:space="0"/>
            </w:tcBorders>
            <w:shd w:val="clear" w:color="auto" w:fill="auto"/>
            <w:vAlign w:val="center"/>
          </w:tcPr>
          <w:p w14:paraId="04E5BF88">
            <w:pPr>
              <w:pStyle w:val="8"/>
              <w:ind w:firstLine="0" w:firstLineChars="0"/>
              <w:jc w:val="left"/>
              <w:rPr>
                <w:rFonts w:ascii="仿宋" w:hAnsi="仿宋"/>
                <w:color w:val="000000"/>
                <w:kern w:val="0"/>
                <w:sz w:val="18"/>
                <w:szCs w:val="18"/>
              </w:rPr>
            </w:pPr>
            <w:r>
              <w:rPr>
                <w:rFonts w:hint="eastAsia" w:ascii="仿宋" w:hAnsi="仿宋"/>
                <w:color w:val="000000"/>
                <w:kern w:val="0"/>
                <w:sz w:val="18"/>
                <w:szCs w:val="18"/>
              </w:rPr>
              <w:t>可持续性（4分）</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36C481E0">
            <w:pPr>
              <w:spacing w:line="240" w:lineRule="exact"/>
              <w:jc w:val="center"/>
              <w:textAlignment w:val="center"/>
              <w:rPr>
                <w:color w:val="000000"/>
                <w:sz w:val="18"/>
                <w:szCs w:val="18"/>
              </w:rPr>
            </w:pPr>
            <w:r>
              <w:rPr>
                <w:rFonts w:hint="eastAsia"/>
                <w:color w:val="000000"/>
                <w:kern w:val="0"/>
                <w:sz w:val="18"/>
                <w:szCs w:val="18"/>
              </w:rPr>
              <w:t>体制机制改革</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724B2D9D">
            <w:pPr>
              <w:spacing w:line="260" w:lineRule="exact"/>
              <w:jc w:val="center"/>
              <w:textAlignment w:val="center"/>
              <w:rPr>
                <w:color w:val="000000"/>
                <w:sz w:val="18"/>
                <w:szCs w:val="18"/>
              </w:rPr>
            </w:pPr>
            <w:r>
              <w:rPr>
                <w:rFonts w:hint="eastAsia"/>
                <w:color w:val="000000"/>
                <w:sz w:val="18"/>
                <w:szCs w:val="18"/>
              </w:rPr>
              <w:t>2</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14:paraId="25B77963">
            <w:pPr>
              <w:spacing w:line="260" w:lineRule="exact"/>
              <w:jc w:val="left"/>
              <w:textAlignment w:val="center"/>
              <w:rPr>
                <w:color w:val="000000"/>
                <w:sz w:val="18"/>
                <w:szCs w:val="18"/>
              </w:rPr>
            </w:pPr>
            <w:r>
              <w:rPr>
                <w:rFonts w:hint="eastAsia"/>
                <w:color w:val="000000"/>
                <w:kern w:val="0"/>
                <w:sz w:val="18"/>
                <w:szCs w:val="18"/>
              </w:rPr>
              <w:t>评价部门2023年管理体制、运行机制方面的改革情况。</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56DA08C1">
            <w:pPr>
              <w:spacing w:line="260" w:lineRule="exact"/>
              <w:jc w:val="center"/>
              <w:textAlignment w:val="center"/>
              <w:rPr>
                <w:color w:val="000000"/>
                <w:sz w:val="18"/>
                <w:szCs w:val="18"/>
              </w:rPr>
            </w:pPr>
            <w:r>
              <w:rPr>
                <w:rFonts w:hint="eastAsia"/>
                <w:color w:val="000000"/>
                <w:kern w:val="0"/>
                <w:sz w:val="18"/>
                <w:szCs w:val="18"/>
              </w:rPr>
              <w:t>计划标准</w:t>
            </w:r>
          </w:p>
        </w:tc>
        <w:tc>
          <w:tcPr>
            <w:tcW w:w="2284" w:type="pct"/>
            <w:tcBorders>
              <w:top w:val="single" w:color="auto" w:sz="4" w:space="0"/>
              <w:left w:val="single" w:color="auto" w:sz="4" w:space="0"/>
              <w:bottom w:val="single" w:color="auto" w:sz="4" w:space="0"/>
              <w:right w:val="single" w:color="auto" w:sz="4" w:space="0"/>
            </w:tcBorders>
            <w:shd w:val="clear" w:color="auto" w:fill="auto"/>
            <w:vAlign w:val="center"/>
          </w:tcPr>
          <w:p w14:paraId="32879F5F">
            <w:pPr>
              <w:spacing w:line="240" w:lineRule="exact"/>
              <w:jc w:val="left"/>
              <w:textAlignment w:val="center"/>
              <w:rPr>
                <w:color w:val="000000"/>
                <w:kern w:val="0"/>
                <w:sz w:val="18"/>
                <w:szCs w:val="18"/>
              </w:rPr>
            </w:pPr>
            <w:r>
              <w:rPr>
                <w:rFonts w:hint="eastAsia"/>
                <w:color w:val="000000"/>
                <w:kern w:val="0"/>
                <w:sz w:val="18"/>
                <w:szCs w:val="18"/>
              </w:rPr>
              <w:t>①对部门管理机制进行了改革，得1分，否则不得分；</w:t>
            </w:r>
          </w:p>
          <w:p w14:paraId="6AA54129">
            <w:pPr>
              <w:spacing w:line="260" w:lineRule="exact"/>
              <w:jc w:val="left"/>
              <w:textAlignment w:val="center"/>
              <w:rPr>
                <w:color w:val="000000"/>
                <w:sz w:val="18"/>
                <w:szCs w:val="18"/>
              </w:rPr>
            </w:pPr>
            <w:r>
              <w:rPr>
                <w:rFonts w:hint="eastAsia"/>
                <w:color w:val="000000"/>
                <w:kern w:val="0"/>
                <w:sz w:val="18"/>
                <w:szCs w:val="18"/>
              </w:rPr>
              <w:t>②对部门运行机制进行了改革，得1分，否则不得分。</w:t>
            </w:r>
          </w:p>
        </w:tc>
      </w:tr>
      <w:tr w14:paraId="171335E6">
        <w:tblPrEx>
          <w:tblCellMar>
            <w:top w:w="0" w:type="dxa"/>
            <w:left w:w="108" w:type="dxa"/>
            <w:bottom w:w="0" w:type="dxa"/>
            <w:right w:w="108" w:type="dxa"/>
          </w:tblCellMar>
        </w:tblPrEx>
        <w:trPr>
          <w:trHeight w:val="1358" w:hRule="atLeast"/>
          <w:jc w:val="center"/>
        </w:trPr>
        <w:tc>
          <w:tcPr>
            <w:tcW w:w="3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0255E">
            <w:pPr>
              <w:spacing w:line="260" w:lineRule="exact"/>
              <w:jc w:val="center"/>
              <w:rPr>
                <w:color w:val="000000"/>
                <w:sz w:val="18"/>
                <w:szCs w:val="18"/>
              </w:rPr>
            </w:pPr>
          </w:p>
        </w:tc>
        <w:tc>
          <w:tcPr>
            <w:tcW w:w="397" w:type="pct"/>
            <w:vMerge w:val="continue"/>
            <w:tcBorders>
              <w:left w:val="single" w:color="auto" w:sz="4" w:space="0"/>
              <w:bottom w:val="single" w:color="auto" w:sz="4" w:space="0"/>
              <w:right w:val="single" w:color="auto" w:sz="4" w:space="0"/>
            </w:tcBorders>
            <w:shd w:val="clear" w:color="auto" w:fill="auto"/>
            <w:vAlign w:val="center"/>
          </w:tcPr>
          <w:p w14:paraId="392D2F73">
            <w:pPr>
              <w:spacing w:line="260" w:lineRule="exact"/>
              <w:jc w:val="center"/>
              <w:rPr>
                <w:color w:val="000000"/>
                <w:kern w:val="0"/>
                <w:sz w:val="18"/>
                <w:szCs w:val="18"/>
              </w:rPr>
            </w:pP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5C4DEA9E">
            <w:pPr>
              <w:spacing w:line="260" w:lineRule="exact"/>
              <w:jc w:val="center"/>
              <w:textAlignment w:val="center"/>
              <w:rPr>
                <w:color w:val="000000"/>
                <w:sz w:val="18"/>
                <w:szCs w:val="18"/>
              </w:rPr>
            </w:pPr>
            <w:r>
              <w:rPr>
                <w:rFonts w:hint="eastAsia"/>
                <w:color w:val="000000"/>
                <w:sz w:val="18"/>
                <w:szCs w:val="18"/>
              </w:rPr>
              <w:t>干部队伍建设</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321D80C6">
            <w:pPr>
              <w:spacing w:line="260" w:lineRule="exact"/>
              <w:jc w:val="center"/>
              <w:textAlignment w:val="center"/>
              <w:rPr>
                <w:color w:val="000000"/>
                <w:sz w:val="18"/>
                <w:szCs w:val="18"/>
              </w:rPr>
            </w:pPr>
            <w:r>
              <w:rPr>
                <w:rFonts w:hint="eastAsia"/>
                <w:color w:val="000000"/>
                <w:kern w:val="0"/>
                <w:sz w:val="18"/>
                <w:szCs w:val="18"/>
              </w:rPr>
              <w:t>2</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14:paraId="4F53A4CA">
            <w:pPr>
              <w:spacing w:line="260" w:lineRule="exact"/>
              <w:jc w:val="left"/>
              <w:textAlignment w:val="center"/>
              <w:rPr>
                <w:color w:val="000000"/>
                <w:sz w:val="18"/>
                <w:szCs w:val="18"/>
              </w:rPr>
            </w:pPr>
            <w:r>
              <w:rPr>
                <w:rFonts w:hint="eastAsia"/>
                <w:color w:val="000000"/>
                <w:kern w:val="0"/>
                <w:sz w:val="18"/>
                <w:szCs w:val="18"/>
              </w:rPr>
              <w:t>评价部门队伍建设和人才培养等方面的情况</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3DEC892B">
            <w:pPr>
              <w:spacing w:line="260" w:lineRule="exact"/>
              <w:jc w:val="center"/>
              <w:textAlignment w:val="center"/>
              <w:rPr>
                <w:color w:val="000000"/>
                <w:sz w:val="18"/>
                <w:szCs w:val="18"/>
              </w:rPr>
            </w:pPr>
            <w:r>
              <w:rPr>
                <w:rFonts w:hint="eastAsia"/>
                <w:color w:val="000000"/>
                <w:kern w:val="0"/>
                <w:sz w:val="18"/>
                <w:szCs w:val="18"/>
              </w:rPr>
              <w:t>计划标准</w:t>
            </w:r>
          </w:p>
        </w:tc>
        <w:tc>
          <w:tcPr>
            <w:tcW w:w="2284" w:type="pct"/>
            <w:tcBorders>
              <w:top w:val="single" w:color="auto" w:sz="4" w:space="0"/>
              <w:left w:val="single" w:color="auto" w:sz="4" w:space="0"/>
              <w:bottom w:val="single" w:color="auto" w:sz="4" w:space="0"/>
              <w:right w:val="single" w:color="auto" w:sz="4" w:space="0"/>
            </w:tcBorders>
            <w:shd w:val="clear" w:color="auto" w:fill="auto"/>
            <w:vAlign w:val="center"/>
          </w:tcPr>
          <w:p w14:paraId="34F63F0B">
            <w:pPr>
              <w:spacing w:line="260" w:lineRule="exact"/>
              <w:jc w:val="left"/>
              <w:textAlignment w:val="center"/>
              <w:rPr>
                <w:color w:val="000000"/>
                <w:kern w:val="0"/>
                <w:sz w:val="18"/>
                <w:szCs w:val="18"/>
              </w:rPr>
            </w:pPr>
            <w:r>
              <w:rPr>
                <w:rFonts w:hint="eastAsia"/>
                <w:color w:val="000000"/>
                <w:kern w:val="0"/>
                <w:sz w:val="18"/>
                <w:szCs w:val="18"/>
              </w:rPr>
              <w:t>①建立了内部人才激励机制和考核办法并且2023年考核合格，得1分，否则不得分；</w:t>
            </w:r>
          </w:p>
          <w:p w14:paraId="391BA088">
            <w:pPr>
              <w:spacing w:line="260" w:lineRule="exact"/>
              <w:jc w:val="left"/>
              <w:textAlignment w:val="center"/>
              <w:rPr>
                <w:color w:val="000000"/>
                <w:sz w:val="18"/>
                <w:szCs w:val="18"/>
              </w:rPr>
            </w:pPr>
            <w:r>
              <w:rPr>
                <w:rFonts w:hint="eastAsia"/>
                <w:color w:val="000000"/>
                <w:kern w:val="0"/>
                <w:sz w:val="18"/>
                <w:szCs w:val="18"/>
              </w:rPr>
              <w:t>①建立有完善的干部培训制度或干部培训计划并开展培训，得1分；</w:t>
            </w:r>
          </w:p>
        </w:tc>
      </w:tr>
      <w:tr w14:paraId="3460325B">
        <w:tblPrEx>
          <w:tblCellMar>
            <w:top w:w="0" w:type="dxa"/>
            <w:left w:w="108" w:type="dxa"/>
            <w:bottom w:w="0" w:type="dxa"/>
            <w:right w:w="108" w:type="dxa"/>
          </w:tblCellMar>
        </w:tblPrEx>
        <w:trPr>
          <w:trHeight w:val="1626" w:hRule="atLeast"/>
          <w:jc w:val="center"/>
        </w:trPr>
        <w:tc>
          <w:tcPr>
            <w:tcW w:w="3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258CE3">
            <w:pPr>
              <w:spacing w:line="260" w:lineRule="exact"/>
              <w:jc w:val="center"/>
              <w:rPr>
                <w:color w:val="000000"/>
                <w:sz w:val="18"/>
                <w:szCs w:val="18"/>
              </w:rPr>
            </w:pPr>
          </w:p>
        </w:tc>
        <w:tc>
          <w:tcPr>
            <w:tcW w:w="397" w:type="pct"/>
            <w:vMerge w:val="restart"/>
            <w:tcBorders>
              <w:top w:val="single" w:color="auto" w:sz="4" w:space="0"/>
              <w:left w:val="single" w:color="auto" w:sz="4" w:space="0"/>
              <w:right w:val="single" w:color="auto" w:sz="4" w:space="0"/>
            </w:tcBorders>
            <w:shd w:val="clear" w:color="auto" w:fill="auto"/>
            <w:vAlign w:val="center"/>
          </w:tcPr>
          <w:p w14:paraId="5F75398E">
            <w:pPr>
              <w:spacing w:line="260" w:lineRule="exact"/>
              <w:jc w:val="center"/>
              <w:rPr>
                <w:color w:val="000000"/>
                <w:kern w:val="0"/>
                <w:sz w:val="18"/>
                <w:szCs w:val="18"/>
              </w:rPr>
            </w:pPr>
            <w:r>
              <w:rPr>
                <w:rFonts w:hint="eastAsia"/>
                <w:color w:val="000000"/>
                <w:kern w:val="0"/>
                <w:sz w:val="18"/>
                <w:szCs w:val="18"/>
              </w:rPr>
              <w:t>满意度</w:t>
            </w:r>
          </w:p>
          <w:p w14:paraId="593A05B8">
            <w:pPr>
              <w:spacing w:line="260" w:lineRule="exact"/>
              <w:jc w:val="center"/>
              <w:rPr>
                <w:color w:val="000000"/>
                <w:kern w:val="0"/>
                <w:sz w:val="18"/>
                <w:szCs w:val="18"/>
              </w:rPr>
            </w:pPr>
            <w:r>
              <w:rPr>
                <w:rFonts w:hint="eastAsia"/>
                <w:color w:val="000000"/>
                <w:kern w:val="0"/>
                <w:sz w:val="18"/>
                <w:szCs w:val="18"/>
              </w:rPr>
              <w:t>（8分）</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1EAC0CFE">
            <w:pPr>
              <w:spacing w:line="260" w:lineRule="exact"/>
              <w:jc w:val="center"/>
              <w:textAlignment w:val="center"/>
              <w:rPr>
                <w:color w:val="000000"/>
                <w:sz w:val="18"/>
                <w:szCs w:val="18"/>
              </w:rPr>
            </w:pPr>
            <w:r>
              <w:rPr>
                <w:rFonts w:hint="eastAsia"/>
                <w:color w:val="000000"/>
                <w:kern w:val="0"/>
                <w:sz w:val="18"/>
                <w:szCs w:val="18"/>
              </w:rPr>
              <w:t>游客满意度</w:t>
            </w:r>
          </w:p>
        </w:tc>
        <w:tc>
          <w:tcPr>
            <w:tcW w:w="284" w:type="pct"/>
            <w:tcBorders>
              <w:top w:val="single" w:color="auto" w:sz="4" w:space="0"/>
              <w:left w:val="single" w:color="auto" w:sz="4" w:space="0"/>
              <w:bottom w:val="single" w:color="auto" w:sz="4" w:space="0"/>
              <w:right w:val="single" w:color="auto" w:sz="4" w:space="0"/>
            </w:tcBorders>
            <w:shd w:val="clear" w:color="auto" w:fill="auto"/>
            <w:vAlign w:val="center"/>
          </w:tcPr>
          <w:p w14:paraId="5D084C79">
            <w:pPr>
              <w:spacing w:line="260" w:lineRule="exact"/>
              <w:jc w:val="center"/>
              <w:textAlignment w:val="center"/>
              <w:rPr>
                <w:color w:val="000000"/>
                <w:sz w:val="18"/>
                <w:szCs w:val="18"/>
              </w:rPr>
            </w:pPr>
            <w:r>
              <w:rPr>
                <w:rFonts w:hint="eastAsia"/>
                <w:color w:val="000000"/>
                <w:kern w:val="0"/>
                <w:sz w:val="18"/>
                <w:szCs w:val="18"/>
              </w:rPr>
              <w:t>4</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14:paraId="3492C128">
            <w:pPr>
              <w:spacing w:line="260" w:lineRule="exact"/>
              <w:jc w:val="left"/>
              <w:textAlignment w:val="center"/>
              <w:rPr>
                <w:color w:val="000000"/>
                <w:sz w:val="18"/>
                <w:szCs w:val="18"/>
              </w:rPr>
            </w:pPr>
            <w:r>
              <w:rPr>
                <w:rFonts w:hint="eastAsia"/>
                <w:color w:val="000000"/>
                <w:kern w:val="0"/>
                <w:sz w:val="18"/>
                <w:szCs w:val="18"/>
              </w:rPr>
              <w:t>通过问卷调查了解民众对政府工作的满意程度。</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DD856E8">
            <w:pPr>
              <w:spacing w:line="260" w:lineRule="exact"/>
              <w:jc w:val="center"/>
              <w:textAlignment w:val="center"/>
              <w:rPr>
                <w:color w:val="000000"/>
                <w:sz w:val="18"/>
                <w:szCs w:val="18"/>
              </w:rPr>
            </w:pPr>
            <w:r>
              <w:rPr>
                <w:rFonts w:hint="eastAsia"/>
                <w:color w:val="000000"/>
                <w:kern w:val="0"/>
                <w:sz w:val="18"/>
                <w:szCs w:val="18"/>
              </w:rPr>
              <w:t>计划标准</w:t>
            </w:r>
          </w:p>
        </w:tc>
        <w:tc>
          <w:tcPr>
            <w:tcW w:w="2284" w:type="pct"/>
            <w:tcBorders>
              <w:top w:val="single" w:color="auto" w:sz="4" w:space="0"/>
              <w:left w:val="single" w:color="auto" w:sz="4" w:space="0"/>
              <w:bottom w:val="single" w:color="auto" w:sz="4" w:space="0"/>
              <w:right w:val="single" w:color="auto" w:sz="4" w:space="0"/>
            </w:tcBorders>
            <w:shd w:val="clear" w:color="auto" w:fill="auto"/>
            <w:vAlign w:val="center"/>
          </w:tcPr>
          <w:p w14:paraId="54A87394">
            <w:pPr>
              <w:spacing w:line="260" w:lineRule="exact"/>
              <w:jc w:val="left"/>
              <w:textAlignment w:val="center"/>
              <w:rPr>
                <w:color w:val="000000"/>
                <w:kern w:val="0"/>
                <w:sz w:val="18"/>
                <w:szCs w:val="18"/>
              </w:rPr>
            </w:pPr>
            <w:r>
              <w:rPr>
                <w:rFonts w:hint="eastAsia"/>
                <w:color w:val="000000"/>
                <w:kern w:val="0"/>
                <w:sz w:val="18"/>
                <w:szCs w:val="18"/>
              </w:rPr>
              <w:t>根据民众对政府各项工作的满意度分数计算得分。</w:t>
            </w:r>
          </w:p>
          <w:p w14:paraId="61DCE2E8">
            <w:pPr>
              <w:spacing w:line="260" w:lineRule="exact"/>
              <w:jc w:val="left"/>
              <w:textAlignment w:val="center"/>
              <w:rPr>
                <w:color w:val="000000"/>
                <w:kern w:val="0"/>
                <w:sz w:val="18"/>
                <w:szCs w:val="18"/>
              </w:rPr>
            </w:pPr>
            <w:r>
              <w:rPr>
                <w:rFonts w:hint="eastAsia"/>
                <w:color w:val="000000"/>
                <w:kern w:val="0"/>
                <w:sz w:val="18"/>
                <w:szCs w:val="18"/>
              </w:rPr>
              <w:t>每个问卷设定8个满意度问题，每个满意度分值0.5分，满意度选项5分、4分、3分、2分、1分，分别对应权重1、0.8、0.6、0.4、0.2。</w:t>
            </w:r>
          </w:p>
          <w:p w14:paraId="55409FBB">
            <w:pPr>
              <w:spacing w:line="260" w:lineRule="exact"/>
              <w:jc w:val="left"/>
              <w:textAlignment w:val="center"/>
              <w:rPr>
                <w:color w:val="000000"/>
                <w:sz w:val="18"/>
                <w:szCs w:val="18"/>
              </w:rPr>
            </w:pPr>
            <w:r>
              <w:rPr>
                <w:rFonts w:hint="eastAsia"/>
                <w:color w:val="000000"/>
                <w:kern w:val="0"/>
                <w:sz w:val="18"/>
                <w:szCs w:val="18"/>
              </w:rPr>
              <w:t>每个满意度得分=∑（各选项占比×对应权重）×0.5分。</w:t>
            </w:r>
          </w:p>
        </w:tc>
      </w:tr>
      <w:tr w14:paraId="1D67394B">
        <w:tblPrEx>
          <w:tblCellMar>
            <w:top w:w="0" w:type="dxa"/>
            <w:left w:w="108" w:type="dxa"/>
            <w:bottom w:w="0" w:type="dxa"/>
            <w:right w:w="108" w:type="dxa"/>
          </w:tblCellMar>
        </w:tblPrEx>
        <w:trPr>
          <w:trHeight w:val="1323" w:hRule="atLeast"/>
          <w:jc w:val="center"/>
        </w:trPr>
        <w:tc>
          <w:tcPr>
            <w:tcW w:w="3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2CF276">
            <w:pPr>
              <w:spacing w:line="260" w:lineRule="exact"/>
              <w:jc w:val="center"/>
              <w:rPr>
                <w:color w:val="000000"/>
                <w:sz w:val="18"/>
                <w:szCs w:val="18"/>
              </w:rPr>
            </w:pPr>
          </w:p>
        </w:tc>
        <w:tc>
          <w:tcPr>
            <w:tcW w:w="397" w:type="pct"/>
            <w:vMerge w:val="continue"/>
            <w:tcBorders>
              <w:left w:val="single" w:color="auto" w:sz="4" w:space="0"/>
              <w:bottom w:val="single" w:color="auto" w:sz="4" w:space="0"/>
              <w:right w:val="single" w:color="auto" w:sz="4" w:space="0"/>
            </w:tcBorders>
            <w:shd w:val="clear" w:color="auto" w:fill="auto"/>
            <w:vAlign w:val="center"/>
          </w:tcPr>
          <w:p w14:paraId="3BEEEE03">
            <w:pPr>
              <w:spacing w:line="260" w:lineRule="exact"/>
              <w:jc w:val="center"/>
              <w:rPr>
                <w:color w:val="000000"/>
                <w:sz w:val="18"/>
                <w:szCs w:val="18"/>
              </w:rPr>
            </w:pPr>
          </w:p>
        </w:tc>
        <w:tc>
          <w:tcPr>
            <w:tcW w:w="428" w:type="pct"/>
            <w:tcBorders>
              <w:top w:val="single" w:color="auto" w:sz="4" w:space="0"/>
              <w:left w:val="single" w:color="000000" w:sz="4" w:space="0"/>
              <w:bottom w:val="single" w:color="auto" w:sz="4" w:space="0"/>
              <w:right w:val="single" w:color="000000" w:sz="4" w:space="0"/>
            </w:tcBorders>
            <w:shd w:val="clear" w:color="auto" w:fill="auto"/>
            <w:vAlign w:val="center"/>
          </w:tcPr>
          <w:p w14:paraId="13E12C6A">
            <w:pPr>
              <w:spacing w:line="260" w:lineRule="exact"/>
              <w:jc w:val="center"/>
              <w:textAlignment w:val="center"/>
              <w:rPr>
                <w:color w:val="000000"/>
                <w:sz w:val="18"/>
                <w:szCs w:val="18"/>
              </w:rPr>
            </w:pPr>
            <w:r>
              <w:rPr>
                <w:rFonts w:hint="eastAsia"/>
                <w:color w:val="000000"/>
                <w:kern w:val="0"/>
                <w:sz w:val="18"/>
                <w:szCs w:val="18"/>
              </w:rPr>
              <w:t>管理对象满意度</w:t>
            </w:r>
          </w:p>
        </w:tc>
        <w:tc>
          <w:tcPr>
            <w:tcW w:w="284" w:type="pct"/>
            <w:tcBorders>
              <w:top w:val="single" w:color="auto" w:sz="4" w:space="0"/>
              <w:left w:val="single" w:color="000000" w:sz="4" w:space="0"/>
              <w:bottom w:val="single" w:color="auto" w:sz="4" w:space="0"/>
              <w:right w:val="single" w:color="000000" w:sz="4" w:space="0"/>
            </w:tcBorders>
            <w:shd w:val="clear" w:color="auto" w:fill="auto"/>
            <w:vAlign w:val="center"/>
          </w:tcPr>
          <w:p w14:paraId="30BADE5D">
            <w:pPr>
              <w:spacing w:line="260" w:lineRule="exact"/>
              <w:jc w:val="center"/>
              <w:textAlignment w:val="center"/>
              <w:rPr>
                <w:color w:val="000000"/>
                <w:sz w:val="18"/>
                <w:szCs w:val="18"/>
              </w:rPr>
            </w:pPr>
            <w:r>
              <w:rPr>
                <w:rFonts w:hint="eastAsia"/>
                <w:color w:val="000000"/>
                <w:kern w:val="0"/>
                <w:sz w:val="18"/>
                <w:szCs w:val="18"/>
              </w:rPr>
              <w:t>4</w:t>
            </w:r>
          </w:p>
        </w:tc>
        <w:tc>
          <w:tcPr>
            <w:tcW w:w="993" w:type="pct"/>
            <w:tcBorders>
              <w:top w:val="single" w:color="auto" w:sz="4" w:space="0"/>
              <w:left w:val="single" w:color="000000" w:sz="4" w:space="0"/>
              <w:bottom w:val="single" w:color="auto" w:sz="4" w:space="0"/>
              <w:right w:val="single" w:color="000000" w:sz="4" w:space="0"/>
            </w:tcBorders>
            <w:shd w:val="clear" w:color="auto" w:fill="auto"/>
            <w:vAlign w:val="center"/>
          </w:tcPr>
          <w:p w14:paraId="71F96121">
            <w:pPr>
              <w:spacing w:line="260" w:lineRule="exact"/>
              <w:jc w:val="left"/>
              <w:textAlignment w:val="center"/>
              <w:rPr>
                <w:color w:val="000000"/>
                <w:sz w:val="18"/>
                <w:szCs w:val="18"/>
              </w:rPr>
            </w:pPr>
            <w:r>
              <w:rPr>
                <w:rFonts w:hint="eastAsia"/>
                <w:color w:val="000000"/>
                <w:kern w:val="0"/>
                <w:sz w:val="18"/>
                <w:szCs w:val="18"/>
              </w:rPr>
              <w:t>通过问卷调查部门在职人员对目前所从事工作的满意程度。</w:t>
            </w:r>
          </w:p>
        </w:tc>
        <w:tc>
          <w:tcPr>
            <w:tcW w:w="239" w:type="pct"/>
            <w:tcBorders>
              <w:top w:val="single" w:color="auto" w:sz="4" w:space="0"/>
              <w:left w:val="single" w:color="000000" w:sz="4" w:space="0"/>
              <w:bottom w:val="single" w:color="auto" w:sz="4" w:space="0"/>
              <w:right w:val="single" w:color="000000" w:sz="4" w:space="0"/>
            </w:tcBorders>
            <w:shd w:val="clear" w:color="auto" w:fill="auto"/>
            <w:vAlign w:val="center"/>
          </w:tcPr>
          <w:p w14:paraId="78DD70B4">
            <w:pPr>
              <w:spacing w:line="260" w:lineRule="exact"/>
              <w:jc w:val="center"/>
              <w:textAlignment w:val="center"/>
              <w:rPr>
                <w:color w:val="000000"/>
                <w:sz w:val="18"/>
                <w:szCs w:val="18"/>
              </w:rPr>
            </w:pPr>
            <w:r>
              <w:rPr>
                <w:rFonts w:hint="eastAsia"/>
                <w:color w:val="000000"/>
                <w:kern w:val="0"/>
                <w:sz w:val="18"/>
                <w:szCs w:val="18"/>
              </w:rPr>
              <w:t>计划标准</w:t>
            </w:r>
          </w:p>
        </w:tc>
        <w:tc>
          <w:tcPr>
            <w:tcW w:w="2284" w:type="pct"/>
            <w:tcBorders>
              <w:top w:val="single" w:color="auto" w:sz="4" w:space="0"/>
              <w:left w:val="single" w:color="000000" w:sz="4" w:space="0"/>
              <w:bottom w:val="single" w:color="auto" w:sz="4" w:space="0"/>
              <w:right w:val="single" w:color="auto" w:sz="4" w:space="0"/>
            </w:tcBorders>
            <w:shd w:val="clear" w:color="auto" w:fill="auto"/>
            <w:vAlign w:val="center"/>
          </w:tcPr>
          <w:p w14:paraId="37C42BC7">
            <w:pPr>
              <w:spacing w:line="260" w:lineRule="exact"/>
              <w:jc w:val="left"/>
              <w:textAlignment w:val="center"/>
              <w:rPr>
                <w:color w:val="000000"/>
                <w:kern w:val="0"/>
                <w:sz w:val="18"/>
                <w:szCs w:val="18"/>
              </w:rPr>
            </w:pPr>
            <w:r>
              <w:rPr>
                <w:rFonts w:hint="eastAsia"/>
                <w:color w:val="000000"/>
                <w:kern w:val="0"/>
                <w:sz w:val="18"/>
                <w:szCs w:val="18"/>
              </w:rPr>
              <w:t>根据在职员工对工作的满意度分数计算得分。</w:t>
            </w:r>
          </w:p>
          <w:p w14:paraId="5E58713C">
            <w:pPr>
              <w:spacing w:line="260" w:lineRule="exact"/>
              <w:jc w:val="left"/>
              <w:textAlignment w:val="center"/>
              <w:rPr>
                <w:color w:val="000000"/>
                <w:kern w:val="0"/>
                <w:sz w:val="18"/>
                <w:szCs w:val="18"/>
              </w:rPr>
            </w:pPr>
            <w:r>
              <w:rPr>
                <w:rFonts w:hint="eastAsia"/>
                <w:color w:val="000000"/>
                <w:kern w:val="0"/>
                <w:sz w:val="18"/>
                <w:szCs w:val="18"/>
              </w:rPr>
              <w:t>每个问卷设定10个满意度问题，每个满意度分值0.4分，满意度选项5分、4分、3分、2分、1分，分别对应权重1、0.8、0.6、0.4、0.2。</w:t>
            </w:r>
          </w:p>
          <w:p w14:paraId="6D3B8944">
            <w:pPr>
              <w:spacing w:line="260" w:lineRule="exact"/>
              <w:jc w:val="left"/>
              <w:textAlignment w:val="center"/>
            </w:pPr>
            <w:r>
              <w:rPr>
                <w:rFonts w:hint="eastAsia"/>
                <w:color w:val="000000"/>
                <w:kern w:val="0"/>
                <w:sz w:val="18"/>
                <w:szCs w:val="18"/>
              </w:rPr>
              <w:t>每个满意度得分=∑（各选项占比×对应权重）×0.4分。</w:t>
            </w:r>
          </w:p>
        </w:tc>
      </w:tr>
    </w:tbl>
    <w:p w14:paraId="5754A393">
      <w:pPr>
        <w:jc w:val="center"/>
        <w:rPr>
          <w:b/>
          <w:bCs/>
          <w:color w:val="000000"/>
          <w:kern w:val="0"/>
          <w:sz w:val="32"/>
          <w:szCs w:val="32"/>
        </w:rPr>
      </w:pPr>
    </w:p>
    <w:p w14:paraId="207B3F55">
      <w:pPr>
        <w:sectPr>
          <w:footerReference r:id="rId16" w:type="default"/>
          <w:pgSz w:w="16838" w:h="11906" w:orient="landscape"/>
          <w:pgMar w:top="1800" w:right="1440" w:bottom="1587" w:left="1440" w:header="851" w:footer="992" w:gutter="0"/>
          <w:cols w:space="425" w:num="1"/>
          <w:docGrid w:type="lines" w:linePitch="312" w:charSpace="0"/>
        </w:sectPr>
      </w:pPr>
    </w:p>
    <w:bookmarkEnd w:id="426"/>
    <w:p w14:paraId="1F22FCFC">
      <w:pPr>
        <w:pStyle w:val="17"/>
      </w:pPr>
      <w:bookmarkStart w:id="427" w:name="_Toc180503519"/>
      <w:bookmarkStart w:id="428" w:name="_Toc180138894"/>
      <w:bookmarkStart w:id="429" w:name="_Toc28459"/>
      <w:bookmarkStart w:id="430" w:name="_Toc11882"/>
      <w:bookmarkStart w:id="431" w:name="_Toc10899"/>
      <w:bookmarkStart w:id="432" w:name="_Toc25569"/>
      <w:r>
        <w:rPr>
          <w:rFonts w:hint="eastAsia"/>
        </w:rPr>
        <w:t>附件2：绩效评价指标评分表</w:t>
      </w:r>
      <w:bookmarkEnd w:id="427"/>
      <w:bookmarkEnd w:id="428"/>
    </w:p>
    <w:p w14:paraId="296AF5F1">
      <w:pPr>
        <w:jc w:val="center"/>
        <w:rPr>
          <w:b/>
          <w:bCs/>
        </w:rPr>
      </w:pPr>
      <w:r>
        <w:rPr>
          <w:rFonts w:hint="eastAsia"/>
          <w:b/>
          <w:bCs/>
        </w:rPr>
        <w:t>绩效评价指标评分表</w:t>
      </w:r>
    </w:p>
    <w:tbl>
      <w:tblPr>
        <w:tblStyle w:val="24"/>
        <w:tblW w:w="4826" w:type="pct"/>
        <w:tblInd w:w="0" w:type="dxa"/>
        <w:tblLayout w:type="fixed"/>
        <w:tblCellMar>
          <w:top w:w="0" w:type="dxa"/>
          <w:left w:w="108" w:type="dxa"/>
          <w:bottom w:w="0" w:type="dxa"/>
          <w:right w:w="108" w:type="dxa"/>
        </w:tblCellMar>
      </w:tblPr>
      <w:tblGrid>
        <w:gridCol w:w="1733"/>
        <w:gridCol w:w="1736"/>
        <w:gridCol w:w="2546"/>
        <w:gridCol w:w="1105"/>
        <w:gridCol w:w="1105"/>
      </w:tblGrid>
      <w:tr w14:paraId="5312CC43">
        <w:tblPrEx>
          <w:tblCellMar>
            <w:top w:w="0" w:type="dxa"/>
            <w:left w:w="108" w:type="dxa"/>
            <w:bottom w:w="0" w:type="dxa"/>
            <w:right w:w="108" w:type="dxa"/>
          </w:tblCellMar>
        </w:tblPrEx>
        <w:trPr>
          <w:trHeight w:val="425" w:hRule="atLeast"/>
          <w:tblHeader/>
        </w:trPr>
        <w:tc>
          <w:tcPr>
            <w:tcW w:w="105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43C75A8">
            <w:pPr>
              <w:jc w:val="center"/>
              <w:textAlignment w:val="center"/>
              <w:rPr>
                <w:b/>
                <w:bCs/>
                <w:color w:val="000000"/>
                <w:sz w:val="21"/>
                <w:szCs w:val="21"/>
              </w:rPr>
            </w:pPr>
            <w:r>
              <w:rPr>
                <w:rFonts w:hint="eastAsia"/>
                <w:b/>
                <w:bCs/>
                <w:color w:val="000000"/>
                <w:kern w:val="0"/>
                <w:sz w:val="21"/>
                <w:szCs w:val="21"/>
              </w:rPr>
              <w:t>一级指标</w:t>
            </w:r>
          </w:p>
        </w:tc>
        <w:tc>
          <w:tcPr>
            <w:tcW w:w="105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F7DCCD8">
            <w:pPr>
              <w:jc w:val="center"/>
              <w:textAlignment w:val="center"/>
              <w:rPr>
                <w:b/>
                <w:bCs/>
                <w:color w:val="000000"/>
                <w:sz w:val="21"/>
                <w:szCs w:val="21"/>
              </w:rPr>
            </w:pPr>
            <w:r>
              <w:rPr>
                <w:rFonts w:hint="eastAsia"/>
                <w:b/>
                <w:bCs/>
                <w:color w:val="000000"/>
                <w:kern w:val="0"/>
                <w:sz w:val="21"/>
                <w:szCs w:val="21"/>
              </w:rPr>
              <w:t>二级指标</w:t>
            </w:r>
          </w:p>
        </w:tc>
        <w:tc>
          <w:tcPr>
            <w:tcW w:w="154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E92357F">
            <w:pPr>
              <w:jc w:val="center"/>
              <w:textAlignment w:val="center"/>
              <w:rPr>
                <w:b/>
                <w:bCs/>
                <w:color w:val="000000"/>
                <w:sz w:val="21"/>
                <w:szCs w:val="21"/>
              </w:rPr>
            </w:pPr>
            <w:r>
              <w:rPr>
                <w:rFonts w:hint="eastAsia"/>
                <w:b/>
                <w:bCs/>
                <w:color w:val="000000"/>
                <w:kern w:val="0"/>
                <w:sz w:val="21"/>
                <w:szCs w:val="21"/>
              </w:rPr>
              <w:t>三级指标</w:t>
            </w:r>
          </w:p>
        </w:tc>
        <w:tc>
          <w:tcPr>
            <w:tcW w:w="67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800382A">
            <w:pPr>
              <w:jc w:val="center"/>
              <w:textAlignment w:val="center"/>
              <w:rPr>
                <w:b/>
                <w:bCs/>
                <w:color w:val="000000"/>
                <w:sz w:val="21"/>
                <w:szCs w:val="21"/>
              </w:rPr>
            </w:pPr>
            <w:r>
              <w:rPr>
                <w:rFonts w:hint="eastAsia"/>
                <w:b/>
                <w:bCs/>
                <w:color w:val="000000"/>
                <w:kern w:val="0"/>
                <w:sz w:val="21"/>
                <w:szCs w:val="21"/>
              </w:rPr>
              <w:t>权重</w:t>
            </w:r>
          </w:p>
        </w:tc>
        <w:tc>
          <w:tcPr>
            <w:tcW w:w="67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D9BCEC1">
            <w:pPr>
              <w:jc w:val="center"/>
              <w:textAlignment w:val="center"/>
              <w:rPr>
                <w:b/>
                <w:bCs/>
                <w:color w:val="000000"/>
                <w:kern w:val="0"/>
                <w:sz w:val="21"/>
                <w:szCs w:val="21"/>
              </w:rPr>
            </w:pPr>
            <w:r>
              <w:rPr>
                <w:rFonts w:hint="eastAsia"/>
                <w:b/>
                <w:bCs/>
                <w:color w:val="000000"/>
                <w:kern w:val="0"/>
                <w:sz w:val="21"/>
                <w:szCs w:val="21"/>
              </w:rPr>
              <w:t>分值</w:t>
            </w:r>
          </w:p>
        </w:tc>
      </w:tr>
      <w:tr w14:paraId="3F49379B">
        <w:tblPrEx>
          <w:tblCellMar>
            <w:top w:w="0" w:type="dxa"/>
            <w:left w:w="108" w:type="dxa"/>
            <w:bottom w:w="0" w:type="dxa"/>
            <w:right w:w="108" w:type="dxa"/>
          </w:tblCellMar>
        </w:tblPrEx>
        <w:trPr>
          <w:trHeight w:val="425" w:hRule="atLeast"/>
        </w:trPr>
        <w:tc>
          <w:tcPr>
            <w:tcW w:w="105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1811ABD">
            <w:pPr>
              <w:jc w:val="center"/>
              <w:textAlignment w:val="center"/>
              <w:rPr>
                <w:color w:val="000000"/>
                <w:kern w:val="0"/>
                <w:sz w:val="21"/>
                <w:szCs w:val="21"/>
              </w:rPr>
            </w:pPr>
            <w:r>
              <w:rPr>
                <w:rFonts w:hint="eastAsia"/>
                <w:color w:val="000000"/>
                <w:kern w:val="0"/>
                <w:sz w:val="21"/>
                <w:szCs w:val="21"/>
              </w:rPr>
              <w:t>部门决策</w:t>
            </w:r>
          </w:p>
          <w:p w14:paraId="6D565906">
            <w:pPr>
              <w:jc w:val="center"/>
              <w:textAlignment w:val="center"/>
              <w:rPr>
                <w:color w:val="000000"/>
                <w:sz w:val="21"/>
                <w:szCs w:val="21"/>
              </w:rPr>
            </w:pPr>
            <w:r>
              <w:rPr>
                <w:rFonts w:hint="eastAsia"/>
                <w:color w:val="000000"/>
                <w:kern w:val="0"/>
                <w:sz w:val="21"/>
                <w:szCs w:val="21"/>
              </w:rPr>
              <w:t>（10分）</w:t>
            </w:r>
          </w:p>
        </w:tc>
        <w:tc>
          <w:tcPr>
            <w:tcW w:w="105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52F4CD1">
            <w:pPr>
              <w:jc w:val="center"/>
              <w:textAlignment w:val="center"/>
              <w:rPr>
                <w:color w:val="000000"/>
                <w:sz w:val="21"/>
                <w:szCs w:val="21"/>
              </w:rPr>
            </w:pPr>
            <w:r>
              <w:rPr>
                <w:rFonts w:hint="eastAsia"/>
                <w:color w:val="000000"/>
                <w:sz w:val="21"/>
                <w:szCs w:val="21"/>
              </w:rPr>
              <w:t>目标设定</w:t>
            </w:r>
          </w:p>
        </w:tc>
        <w:tc>
          <w:tcPr>
            <w:tcW w:w="154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CE028C">
            <w:pPr>
              <w:jc w:val="center"/>
              <w:textAlignment w:val="center"/>
              <w:rPr>
                <w:color w:val="000000"/>
                <w:sz w:val="21"/>
                <w:szCs w:val="21"/>
              </w:rPr>
            </w:pPr>
            <w:r>
              <w:rPr>
                <w:rFonts w:hint="eastAsia"/>
                <w:color w:val="000000"/>
                <w:sz w:val="21"/>
                <w:szCs w:val="21"/>
              </w:rPr>
              <w:t>绩效目标合理性</w:t>
            </w:r>
          </w:p>
        </w:tc>
        <w:tc>
          <w:tcPr>
            <w:tcW w:w="6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B7B091">
            <w:pPr>
              <w:jc w:val="center"/>
              <w:textAlignment w:val="center"/>
              <w:rPr>
                <w:color w:val="000000"/>
                <w:sz w:val="21"/>
                <w:szCs w:val="21"/>
              </w:rPr>
            </w:pPr>
            <w:r>
              <w:rPr>
                <w:rFonts w:hint="eastAsia"/>
                <w:color w:val="000000"/>
                <w:kern w:val="0"/>
                <w:sz w:val="21"/>
                <w:szCs w:val="21"/>
              </w:rPr>
              <w:t>2</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F5D97C">
            <w:pPr>
              <w:jc w:val="center"/>
              <w:textAlignment w:val="center"/>
              <w:rPr>
                <w:color w:val="000000"/>
                <w:kern w:val="0"/>
                <w:sz w:val="21"/>
                <w:szCs w:val="21"/>
              </w:rPr>
            </w:pPr>
            <w:r>
              <w:rPr>
                <w:rFonts w:hint="eastAsia"/>
                <w:color w:val="000000"/>
                <w:kern w:val="0"/>
                <w:sz w:val="21"/>
                <w:szCs w:val="21"/>
              </w:rPr>
              <w:t>2</w:t>
            </w:r>
          </w:p>
        </w:tc>
      </w:tr>
      <w:tr w14:paraId="43917FA5">
        <w:tblPrEx>
          <w:tblCellMar>
            <w:top w:w="0" w:type="dxa"/>
            <w:left w:w="108" w:type="dxa"/>
            <w:bottom w:w="0" w:type="dxa"/>
            <w:right w:w="108" w:type="dxa"/>
          </w:tblCellMar>
        </w:tblPrEx>
        <w:trPr>
          <w:trHeight w:val="425" w:hRule="atLeast"/>
        </w:trPr>
        <w:tc>
          <w:tcPr>
            <w:tcW w:w="105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7A850AD">
            <w:pPr>
              <w:jc w:val="center"/>
              <w:rPr>
                <w:color w:val="000000"/>
                <w:sz w:val="21"/>
                <w:szCs w:val="21"/>
              </w:rPr>
            </w:pPr>
          </w:p>
        </w:tc>
        <w:tc>
          <w:tcPr>
            <w:tcW w:w="105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0F74F1">
            <w:pPr>
              <w:jc w:val="center"/>
              <w:rPr>
                <w:color w:val="000000"/>
                <w:sz w:val="21"/>
                <w:szCs w:val="21"/>
              </w:rPr>
            </w:pPr>
          </w:p>
        </w:tc>
        <w:tc>
          <w:tcPr>
            <w:tcW w:w="154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1FD83A">
            <w:pPr>
              <w:jc w:val="center"/>
              <w:textAlignment w:val="center"/>
              <w:rPr>
                <w:color w:val="000000"/>
                <w:sz w:val="21"/>
                <w:szCs w:val="21"/>
              </w:rPr>
            </w:pPr>
            <w:r>
              <w:rPr>
                <w:rFonts w:hint="eastAsia"/>
                <w:color w:val="000000"/>
                <w:sz w:val="21"/>
                <w:szCs w:val="21"/>
              </w:rPr>
              <w:t>绩效指标明确性</w:t>
            </w:r>
          </w:p>
        </w:tc>
        <w:tc>
          <w:tcPr>
            <w:tcW w:w="6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EC5C99">
            <w:pPr>
              <w:jc w:val="center"/>
              <w:textAlignment w:val="center"/>
              <w:rPr>
                <w:color w:val="000000"/>
                <w:sz w:val="21"/>
                <w:szCs w:val="21"/>
              </w:rPr>
            </w:pPr>
            <w:r>
              <w:rPr>
                <w:rFonts w:hint="eastAsia"/>
                <w:color w:val="000000"/>
                <w:kern w:val="0"/>
                <w:sz w:val="21"/>
                <w:szCs w:val="21"/>
              </w:rPr>
              <w:t>2</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CB1288">
            <w:pPr>
              <w:jc w:val="center"/>
              <w:textAlignment w:val="center"/>
              <w:rPr>
                <w:color w:val="000000"/>
                <w:kern w:val="0"/>
                <w:sz w:val="21"/>
                <w:szCs w:val="21"/>
              </w:rPr>
            </w:pPr>
            <w:r>
              <w:rPr>
                <w:rFonts w:hint="eastAsia"/>
                <w:color w:val="000000"/>
                <w:kern w:val="0"/>
                <w:sz w:val="21"/>
                <w:szCs w:val="21"/>
              </w:rPr>
              <w:t>2</w:t>
            </w:r>
          </w:p>
        </w:tc>
      </w:tr>
      <w:tr w14:paraId="6269A685">
        <w:tblPrEx>
          <w:tblCellMar>
            <w:top w:w="0" w:type="dxa"/>
            <w:left w:w="108" w:type="dxa"/>
            <w:bottom w:w="0" w:type="dxa"/>
            <w:right w:w="108" w:type="dxa"/>
          </w:tblCellMar>
        </w:tblPrEx>
        <w:trPr>
          <w:trHeight w:val="425" w:hRule="atLeast"/>
        </w:trPr>
        <w:tc>
          <w:tcPr>
            <w:tcW w:w="1053" w:type="pct"/>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14:paraId="7F6F8E75">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73E4A234">
            <w:pPr>
              <w:jc w:val="center"/>
              <w:textAlignment w:val="center"/>
              <w:rPr>
                <w:color w:val="000000"/>
                <w:sz w:val="21"/>
                <w:szCs w:val="21"/>
              </w:rPr>
            </w:pPr>
            <w:r>
              <w:rPr>
                <w:rFonts w:hint="eastAsia"/>
                <w:color w:val="000000"/>
                <w:sz w:val="21"/>
                <w:szCs w:val="21"/>
              </w:rPr>
              <w:t>预算配置</w:t>
            </w:r>
          </w:p>
        </w:tc>
        <w:tc>
          <w:tcPr>
            <w:tcW w:w="1546"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9834A4E">
            <w:pPr>
              <w:jc w:val="center"/>
              <w:textAlignment w:val="center"/>
              <w:rPr>
                <w:color w:val="000000"/>
                <w:sz w:val="21"/>
                <w:szCs w:val="21"/>
              </w:rPr>
            </w:pPr>
            <w:r>
              <w:rPr>
                <w:rFonts w:hint="eastAsia"/>
                <w:color w:val="000000"/>
                <w:sz w:val="21"/>
                <w:szCs w:val="21"/>
              </w:rPr>
              <w:t>预算编制科学性</w:t>
            </w:r>
          </w:p>
        </w:tc>
        <w:tc>
          <w:tcPr>
            <w:tcW w:w="67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349408A">
            <w:pPr>
              <w:jc w:val="center"/>
              <w:textAlignment w:val="center"/>
              <w:rPr>
                <w:color w:val="000000"/>
                <w:sz w:val="21"/>
                <w:szCs w:val="21"/>
              </w:rPr>
            </w:pPr>
            <w:r>
              <w:rPr>
                <w:rFonts w:hint="eastAsia"/>
                <w:color w:val="000000"/>
                <w:sz w:val="21"/>
                <w:szCs w:val="21"/>
              </w:rPr>
              <w:t>3</w:t>
            </w:r>
          </w:p>
        </w:tc>
        <w:tc>
          <w:tcPr>
            <w:tcW w:w="110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EB2838C">
            <w:pPr>
              <w:jc w:val="center"/>
              <w:textAlignment w:val="center"/>
              <w:rPr>
                <w:color w:val="000000"/>
                <w:sz w:val="21"/>
                <w:szCs w:val="21"/>
              </w:rPr>
            </w:pPr>
            <w:r>
              <w:rPr>
                <w:rFonts w:hint="eastAsia"/>
                <w:color w:val="000000"/>
                <w:kern w:val="0"/>
                <w:sz w:val="21"/>
                <w:szCs w:val="21"/>
              </w:rPr>
              <w:t>3</w:t>
            </w:r>
          </w:p>
        </w:tc>
      </w:tr>
      <w:tr w14:paraId="1CA2343B">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auto" w:sz="4" w:space="0"/>
              <w:right w:val="single" w:color="000000" w:sz="4" w:space="0"/>
            </w:tcBorders>
            <w:shd w:val="clear" w:color="auto" w:fill="auto"/>
            <w:noWrap/>
            <w:vAlign w:val="center"/>
          </w:tcPr>
          <w:p w14:paraId="742796A0">
            <w:pPr>
              <w:jc w:val="center"/>
              <w:rPr>
                <w:color w:val="000000"/>
                <w:sz w:val="21"/>
                <w:szCs w:val="21"/>
              </w:rPr>
            </w:pPr>
          </w:p>
        </w:tc>
        <w:tc>
          <w:tcPr>
            <w:tcW w:w="1055" w:type="pct"/>
            <w:vMerge w:val="continue"/>
            <w:tcBorders>
              <w:left w:val="single" w:color="000000" w:sz="4" w:space="0"/>
              <w:bottom w:val="single" w:color="auto" w:sz="4" w:space="0"/>
              <w:right w:val="single" w:color="000000" w:sz="4" w:space="0"/>
            </w:tcBorders>
            <w:shd w:val="clear" w:color="auto" w:fill="auto"/>
            <w:noWrap/>
            <w:vAlign w:val="center"/>
          </w:tcPr>
          <w:p w14:paraId="6D697895">
            <w:pPr>
              <w:jc w:val="center"/>
              <w:rPr>
                <w:color w:val="000000"/>
                <w:sz w:val="21"/>
                <w:szCs w:val="21"/>
              </w:rPr>
            </w:pPr>
          </w:p>
        </w:tc>
        <w:tc>
          <w:tcPr>
            <w:tcW w:w="154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B440D02">
            <w:pPr>
              <w:jc w:val="center"/>
              <w:textAlignment w:val="center"/>
              <w:rPr>
                <w:color w:val="000000"/>
                <w:sz w:val="21"/>
                <w:szCs w:val="21"/>
              </w:rPr>
            </w:pPr>
            <w:r>
              <w:rPr>
                <w:rFonts w:hint="eastAsia"/>
                <w:color w:val="000000"/>
                <w:sz w:val="21"/>
                <w:szCs w:val="21"/>
              </w:rPr>
              <w:t>预算配置合理性</w:t>
            </w:r>
          </w:p>
        </w:tc>
        <w:tc>
          <w:tcPr>
            <w:tcW w:w="67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EABFDEC">
            <w:pPr>
              <w:jc w:val="center"/>
              <w:textAlignment w:val="center"/>
              <w:rPr>
                <w:color w:val="000000"/>
                <w:sz w:val="21"/>
                <w:szCs w:val="21"/>
              </w:rPr>
            </w:pPr>
            <w:r>
              <w:rPr>
                <w:rFonts w:hint="eastAsia"/>
                <w:color w:val="000000"/>
                <w:sz w:val="21"/>
                <w:szCs w:val="21"/>
              </w:rPr>
              <w:t>3</w:t>
            </w:r>
          </w:p>
        </w:tc>
        <w:tc>
          <w:tcPr>
            <w:tcW w:w="110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2F486FE">
            <w:pPr>
              <w:jc w:val="center"/>
              <w:textAlignment w:val="center"/>
              <w:rPr>
                <w:color w:val="000000"/>
                <w:sz w:val="21"/>
                <w:szCs w:val="21"/>
              </w:rPr>
            </w:pPr>
            <w:r>
              <w:rPr>
                <w:rFonts w:hint="eastAsia"/>
                <w:color w:val="000000"/>
                <w:kern w:val="0"/>
                <w:sz w:val="21"/>
                <w:szCs w:val="21"/>
              </w:rPr>
              <w:t>3</w:t>
            </w:r>
          </w:p>
        </w:tc>
      </w:tr>
      <w:tr w14:paraId="5C2F31D9">
        <w:tblPrEx>
          <w:tblCellMar>
            <w:top w:w="0" w:type="dxa"/>
            <w:left w:w="108" w:type="dxa"/>
            <w:bottom w:w="0" w:type="dxa"/>
            <w:right w:w="108" w:type="dxa"/>
          </w:tblCellMar>
        </w:tblPrEx>
        <w:trPr>
          <w:trHeight w:val="425" w:hRule="atLeast"/>
        </w:trPr>
        <w:tc>
          <w:tcPr>
            <w:tcW w:w="1053" w:type="pct"/>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30F24566">
            <w:pPr>
              <w:jc w:val="center"/>
              <w:textAlignment w:val="center"/>
              <w:rPr>
                <w:color w:val="000000"/>
                <w:kern w:val="0"/>
                <w:sz w:val="21"/>
                <w:szCs w:val="21"/>
              </w:rPr>
            </w:pPr>
            <w:r>
              <w:rPr>
                <w:rFonts w:hint="eastAsia"/>
                <w:color w:val="000000"/>
                <w:kern w:val="0"/>
                <w:sz w:val="21"/>
                <w:szCs w:val="21"/>
              </w:rPr>
              <w:t>部门管理</w:t>
            </w:r>
          </w:p>
          <w:p w14:paraId="4A7195CA">
            <w:pPr>
              <w:jc w:val="center"/>
              <w:textAlignment w:val="center"/>
              <w:rPr>
                <w:color w:val="000000"/>
                <w:sz w:val="21"/>
                <w:szCs w:val="21"/>
              </w:rPr>
            </w:pPr>
            <w:r>
              <w:rPr>
                <w:rFonts w:hint="eastAsia"/>
                <w:color w:val="000000"/>
                <w:kern w:val="0"/>
                <w:sz w:val="21"/>
                <w:szCs w:val="21"/>
              </w:rPr>
              <w:t>（40分）</w:t>
            </w:r>
          </w:p>
        </w:tc>
        <w:tc>
          <w:tcPr>
            <w:tcW w:w="1055" w:type="pct"/>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593C8F36">
            <w:pPr>
              <w:jc w:val="center"/>
              <w:textAlignment w:val="center"/>
              <w:rPr>
                <w:color w:val="000000"/>
                <w:sz w:val="21"/>
                <w:szCs w:val="21"/>
              </w:rPr>
            </w:pPr>
            <w:r>
              <w:rPr>
                <w:rFonts w:hint="eastAsia"/>
                <w:color w:val="000000"/>
                <w:kern w:val="0"/>
                <w:sz w:val="21"/>
                <w:szCs w:val="21"/>
              </w:rPr>
              <w:t>预算管理</w:t>
            </w:r>
          </w:p>
        </w:tc>
        <w:tc>
          <w:tcPr>
            <w:tcW w:w="1546"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D6ADDAF">
            <w:pPr>
              <w:jc w:val="center"/>
              <w:textAlignment w:val="center"/>
              <w:rPr>
                <w:color w:val="000000"/>
                <w:sz w:val="21"/>
                <w:szCs w:val="21"/>
              </w:rPr>
            </w:pPr>
            <w:r>
              <w:rPr>
                <w:rFonts w:hint="eastAsia"/>
                <w:color w:val="000000"/>
                <w:kern w:val="0"/>
                <w:sz w:val="21"/>
                <w:szCs w:val="21"/>
              </w:rPr>
              <w:t>预算完成率</w:t>
            </w:r>
          </w:p>
        </w:tc>
        <w:tc>
          <w:tcPr>
            <w:tcW w:w="672" w:type="pct"/>
            <w:tcBorders>
              <w:top w:val="single" w:color="auto" w:sz="4" w:space="0"/>
              <w:left w:val="single" w:color="000000" w:sz="4" w:space="0"/>
              <w:bottom w:val="single" w:color="000000" w:sz="4" w:space="0"/>
              <w:right w:val="single" w:color="auto" w:sz="4" w:space="0"/>
            </w:tcBorders>
            <w:shd w:val="clear" w:color="auto" w:fill="auto"/>
            <w:noWrap/>
            <w:vAlign w:val="center"/>
          </w:tcPr>
          <w:p w14:paraId="748A0BE1">
            <w:pPr>
              <w:jc w:val="center"/>
              <w:textAlignment w:val="center"/>
              <w:rPr>
                <w:color w:val="000000"/>
                <w:sz w:val="21"/>
                <w:szCs w:val="21"/>
              </w:rPr>
            </w:pPr>
            <w:r>
              <w:rPr>
                <w:rFonts w:hint="eastAsia"/>
                <w:color w:val="000000"/>
                <w:kern w:val="0"/>
                <w:sz w:val="21"/>
                <w:szCs w:val="21"/>
              </w:rPr>
              <w:t>2</w:t>
            </w:r>
          </w:p>
        </w:tc>
        <w:tc>
          <w:tcPr>
            <w:tcW w:w="1106"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16EAD5B3">
            <w:pPr>
              <w:jc w:val="center"/>
              <w:textAlignment w:val="center"/>
              <w:rPr>
                <w:color w:val="000000"/>
                <w:kern w:val="0"/>
                <w:sz w:val="21"/>
                <w:szCs w:val="21"/>
              </w:rPr>
            </w:pPr>
            <w:r>
              <w:rPr>
                <w:rFonts w:hint="eastAsia"/>
                <w:color w:val="000000"/>
                <w:kern w:val="0"/>
                <w:sz w:val="21"/>
                <w:szCs w:val="21"/>
              </w:rPr>
              <w:t>2</w:t>
            </w:r>
          </w:p>
        </w:tc>
      </w:tr>
      <w:tr w14:paraId="49CEA928">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503E8B9B">
            <w:pPr>
              <w:jc w:val="center"/>
              <w:rPr>
                <w:color w:val="000000"/>
                <w:sz w:val="21"/>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F38A">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F5F1">
            <w:pPr>
              <w:jc w:val="center"/>
              <w:textAlignment w:val="center"/>
              <w:rPr>
                <w:color w:val="000000"/>
                <w:sz w:val="21"/>
                <w:szCs w:val="21"/>
              </w:rPr>
            </w:pPr>
            <w:r>
              <w:rPr>
                <w:rFonts w:hint="eastAsia"/>
                <w:color w:val="000000"/>
                <w:kern w:val="0"/>
                <w:sz w:val="21"/>
                <w:szCs w:val="21"/>
              </w:rPr>
              <w:t>预算调整率</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43E86C9B">
            <w:pPr>
              <w:jc w:val="center"/>
              <w:textAlignment w:val="center"/>
              <w:rPr>
                <w:color w:val="000000"/>
                <w:sz w:val="21"/>
                <w:szCs w:val="21"/>
              </w:rPr>
            </w:pPr>
            <w:r>
              <w:rPr>
                <w:rFonts w:hint="eastAsia"/>
                <w:color w:val="000000"/>
                <w:kern w:val="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40B7855">
            <w:pPr>
              <w:jc w:val="center"/>
              <w:textAlignment w:val="center"/>
              <w:rPr>
                <w:color w:val="000000"/>
                <w:kern w:val="0"/>
                <w:sz w:val="21"/>
                <w:szCs w:val="21"/>
              </w:rPr>
            </w:pPr>
            <w:r>
              <w:rPr>
                <w:rFonts w:hint="eastAsia"/>
                <w:color w:val="000000"/>
                <w:kern w:val="0"/>
                <w:sz w:val="21"/>
                <w:szCs w:val="21"/>
              </w:rPr>
              <w:t>1.86</w:t>
            </w:r>
          </w:p>
        </w:tc>
      </w:tr>
      <w:tr w14:paraId="4C90ED8C">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1B23403">
            <w:pPr>
              <w:jc w:val="center"/>
              <w:rPr>
                <w:color w:val="000000"/>
                <w:sz w:val="21"/>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2FF9">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76DF">
            <w:pPr>
              <w:jc w:val="center"/>
              <w:textAlignment w:val="center"/>
              <w:rPr>
                <w:color w:val="000000"/>
                <w:sz w:val="21"/>
                <w:szCs w:val="21"/>
              </w:rPr>
            </w:pPr>
            <w:r>
              <w:rPr>
                <w:rFonts w:hint="eastAsia"/>
                <w:color w:val="000000"/>
                <w:kern w:val="0"/>
                <w:sz w:val="21"/>
                <w:szCs w:val="21"/>
              </w:rPr>
              <w:t>支付进度率</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2C554A7">
            <w:pPr>
              <w:jc w:val="center"/>
              <w:textAlignment w:val="center"/>
              <w:rPr>
                <w:color w:val="000000"/>
                <w:sz w:val="21"/>
                <w:szCs w:val="21"/>
              </w:rPr>
            </w:pPr>
            <w:r>
              <w:rPr>
                <w:rFonts w:hint="eastAsia"/>
                <w:color w:val="000000"/>
                <w:kern w:val="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66E367E">
            <w:pPr>
              <w:jc w:val="center"/>
              <w:textAlignment w:val="center"/>
              <w:rPr>
                <w:color w:val="000000"/>
                <w:kern w:val="0"/>
                <w:sz w:val="21"/>
                <w:szCs w:val="21"/>
              </w:rPr>
            </w:pPr>
            <w:r>
              <w:rPr>
                <w:rFonts w:hint="eastAsia"/>
                <w:color w:val="000000"/>
                <w:kern w:val="0"/>
                <w:sz w:val="21"/>
                <w:szCs w:val="21"/>
              </w:rPr>
              <w:t>1.36</w:t>
            </w:r>
          </w:p>
        </w:tc>
      </w:tr>
      <w:tr w14:paraId="42C847B5">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7F04296">
            <w:pPr>
              <w:jc w:val="center"/>
              <w:rPr>
                <w:color w:val="000000"/>
                <w:sz w:val="21"/>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3147">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70BC">
            <w:pPr>
              <w:jc w:val="center"/>
              <w:textAlignment w:val="center"/>
              <w:rPr>
                <w:color w:val="000000"/>
                <w:sz w:val="21"/>
                <w:szCs w:val="21"/>
              </w:rPr>
            </w:pPr>
            <w:r>
              <w:rPr>
                <w:rFonts w:hint="eastAsia"/>
                <w:color w:val="000000"/>
                <w:kern w:val="0"/>
                <w:sz w:val="21"/>
                <w:szCs w:val="21"/>
              </w:rPr>
              <w:t>结转结余率</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4CDBC2BF">
            <w:pPr>
              <w:jc w:val="center"/>
              <w:textAlignment w:val="center"/>
              <w:rPr>
                <w:color w:val="000000"/>
                <w:sz w:val="21"/>
                <w:szCs w:val="21"/>
              </w:rPr>
            </w:pPr>
            <w:r>
              <w:rPr>
                <w:rFonts w:hint="eastAsia"/>
                <w:color w:val="000000"/>
                <w:kern w:val="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76F351">
            <w:pPr>
              <w:jc w:val="center"/>
              <w:textAlignment w:val="center"/>
              <w:rPr>
                <w:color w:val="000000"/>
                <w:kern w:val="0"/>
                <w:sz w:val="21"/>
                <w:szCs w:val="21"/>
              </w:rPr>
            </w:pPr>
            <w:r>
              <w:rPr>
                <w:rFonts w:hint="eastAsia"/>
                <w:color w:val="000000"/>
                <w:kern w:val="0"/>
                <w:sz w:val="21"/>
                <w:szCs w:val="21"/>
              </w:rPr>
              <w:t>1.98</w:t>
            </w:r>
          </w:p>
        </w:tc>
      </w:tr>
      <w:tr w14:paraId="701F7254">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656E468E">
            <w:pPr>
              <w:jc w:val="center"/>
              <w:rPr>
                <w:color w:val="000000"/>
                <w:sz w:val="21"/>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EC81">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B5CD">
            <w:pPr>
              <w:jc w:val="center"/>
              <w:textAlignment w:val="center"/>
              <w:rPr>
                <w:color w:val="000000"/>
                <w:sz w:val="21"/>
                <w:szCs w:val="21"/>
              </w:rPr>
            </w:pPr>
            <w:r>
              <w:rPr>
                <w:rFonts w:hint="eastAsia"/>
                <w:color w:val="000000"/>
                <w:kern w:val="0"/>
                <w:sz w:val="21"/>
                <w:szCs w:val="21"/>
              </w:rPr>
              <w:t>结转结余变动率</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D4493DB">
            <w:pPr>
              <w:jc w:val="center"/>
              <w:textAlignment w:val="center"/>
              <w:rPr>
                <w:color w:val="000000"/>
                <w:sz w:val="21"/>
                <w:szCs w:val="21"/>
              </w:rPr>
            </w:pPr>
            <w:r>
              <w:rPr>
                <w:rFonts w:hint="eastAsia"/>
                <w:color w:val="000000"/>
                <w:kern w:val="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3694AE6">
            <w:pPr>
              <w:jc w:val="center"/>
              <w:textAlignment w:val="center"/>
              <w:rPr>
                <w:color w:val="000000"/>
                <w:kern w:val="0"/>
                <w:sz w:val="21"/>
                <w:szCs w:val="21"/>
              </w:rPr>
            </w:pPr>
            <w:r>
              <w:rPr>
                <w:rFonts w:hint="eastAsia"/>
                <w:color w:val="000000"/>
                <w:kern w:val="0"/>
                <w:sz w:val="21"/>
                <w:szCs w:val="21"/>
              </w:rPr>
              <w:t>2</w:t>
            </w:r>
          </w:p>
        </w:tc>
      </w:tr>
      <w:tr w14:paraId="536DC672">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6AAF11C1">
            <w:pPr>
              <w:jc w:val="center"/>
              <w:rPr>
                <w:color w:val="000000"/>
                <w:sz w:val="21"/>
                <w:szCs w:val="21"/>
              </w:rPr>
            </w:pPr>
          </w:p>
        </w:tc>
        <w:tc>
          <w:tcPr>
            <w:tcW w:w="10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E3C75">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27C7">
            <w:pPr>
              <w:jc w:val="center"/>
              <w:textAlignment w:val="center"/>
              <w:rPr>
                <w:color w:val="000000"/>
                <w:kern w:val="0"/>
                <w:sz w:val="21"/>
                <w:szCs w:val="21"/>
              </w:rPr>
            </w:pPr>
            <w:r>
              <w:rPr>
                <w:rFonts w:hint="eastAsia"/>
                <w:color w:val="000000"/>
                <w:kern w:val="0"/>
                <w:sz w:val="21"/>
                <w:szCs w:val="21"/>
              </w:rPr>
              <w:t>预算绩效管理</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59BC07F1">
            <w:pPr>
              <w:jc w:val="center"/>
              <w:textAlignment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CFDD9E4">
            <w:pPr>
              <w:jc w:val="center"/>
              <w:textAlignment w:val="center"/>
              <w:rPr>
                <w:color w:val="000000"/>
                <w:sz w:val="21"/>
                <w:szCs w:val="21"/>
              </w:rPr>
            </w:pPr>
            <w:r>
              <w:rPr>
                <w:rFonts w:hint="eastAsia"/>
                <w:color w:val="000000"/>
                <w:kern w:val="0"/>
                <w:sz w:val="21"/>
                <w:szCs w:val="21"/>
              </w:rPr>
              <w:t>2</w:t>
            </w:r>
          </w:p>
        </w:tc>
      </w:tr>
      <w:tr w14:paraId="2A4EBEEC">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FA3CBDE">
            <w:pPr>
              <w:jc w:val="center"/>
              <w:rPr>
                <w:color w:val="000000"/>
                <w:sz w:val="21"/>
                <w:szCs w:val="21"/>
              </w:rPr>
            </w:pPr>
          </w:p>
        </w:tc>
        <w:tc>
          <w:tcPr>
            <w:tcW w:w="1055" w:type="pct"/>
            <w:vMerge w:val="restart"/>
            <w:tcBorders>
              <w:top w:val="single" w:color="000000" w:sz="4" w:space="0"/>
              <w:left w:val="single" w:color="000000" w:sz="4" w:space="0"/>
              <w:right w:val="single" w:color="000000" w:sz="4" w:space="0"/>
            </w:tcBorders>
            <w:shd w:val="clear" w:color="auto" w:fill="auto"/>
            <w:noWrap/>
            <w:vAlign w:val="center"/>
          </w:tcPr>
          <w:p w14:paraId="41858269">
            <w:pPr>
              <w:jc w:val="center"/>
              <w:rPr>
                <w:color w:val="000000"/>
                <w:sz w:val="21"/>
                <w:szCs w:val="21"/>
              </w:rPr>
            </w:pPr>
            <w:r>
              <w:rPr>
                <w:rFonts w:hint="eastAsia"/>
                <w:color w:val="000000"/>
                <w:sz w:val="21"/>
                <w:szCs w:val="21"/>
              </w:rPr>
              <w:t>收支管理</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D80B">
            <w:pPr>
              <w:jc w:val="center"/>
              <w:textAlignment w:val="center"/>
              <w:rPr>
                <w:color w:val="000000"/>
                <w:kern w:val="0"/>
                <w:sz w:val="21"/>
                <w:szCs w:val="21"/>
              </w:rPr>
            </w:pPr>
            <w:r>
              <w:rPr>
                <w:rFonts w:hint="eastAsia"/>
                <w:color w:val="000000"/>
                <w:kern w:val="0"/>
                <w:sz w:val="21"/>
                <w:szCs w:val="21"/>
              </w:rPr>
              <w:t>收支管理规范性</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785BA31">
            <w:pPr>
              <w:jc w:val="center"/>
              <w:textAlignment w:val="center"/>
              <w:rPr>
                <w:color w:val="000000"/>
                <w:sz w:val="21"/>
                <w:szCs w:val="21"/>
              </w:rPr>
            </w:pPr>
            <w:r>
              <w:rPr>
                <w:rFonts w:hint="eastAsia"/>
                <w:color w:val="000000"/>
                <w:sz w:val="21"/>
                <w:szCs w:val="21"/>
              </w:rPr>
              <w:t>14</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50C2A2C">
            <w:pPr>
              <w:jc w:val="center"/>
              <w:textAlignment w:val="center"/>
              <w:rPr>
                <w:color w:val="000000"/>
                <w:sz w:val="21"/>
                <w:szCs w:val="21"/>
              </w:rPr>
            </w:pPr>
            <w:r>
              <w:rPr>
                <w:rFonts w:hint="eastAsia"/>
                <w:color w:val="000000"/>
                <w:kern w:val="0"/>
                <w:sz w:val="21"/>
                <w:szCs w:val="21"/>
              </w:rPr>
              <w:t>10.5</w:t>
            </w:r>
          </w:p>
        </w:tc>
      </w:tr>
      <w:tr w14:paraId="274DEBA7">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1A510EE8">
            <w:pPr>
              <w:jc w:val="center"/>
              <w:rPr>
                <w:color w:val="000000"/>
                <w:sz w:val="21"/>
                <w:szCs w:val="21"/>
              </w:rPr>
            </w:pPr>
          </w:p>
        </w:tc>
        <w:tc>
          <w:tcPr>
            <w:tcW w:w="1055" w:type="pct"/>
            <w:vMerge w:val="continue"/>
            <w:tcBorders>
              <w:left w:val="single" w:color="000000" w:sz="4" w:space="0"/>
              <w:bottom w:val="single" w:color="000000" w:sz="4" w:space="0"/>
              <w:right w:val="single" w:color="000000" w:sz="4" w:space="0"/>
            </w:tcBorders>
            <w:shd w:val="clear" w:color="auto" w:fill="auto"/>
            <w:noWrap/>
            <w:vAlign w:val="center"/>
          </w:tcPr>
          <w:p w14:paraId="4460240D">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D801">
            <w:pPr>
              <w:jc w:val="center"/>
              <w:textAlignment w:val="center"/>
              <w:rPr>
                <w:color w:val="000000"/>
                <w:kern w:val="0"/>
                <w:sz w:val="21"/>
                <w:szCs w:val="21"/>
              </w:rPr>
            </w:pPr>
            <w:r>
              <w:rPr>
                <w:rFonts w:hint="eastAsia"/>
                <w:color w:val="000000"/>
                <w:kern w:val="0"/>
                <w:sz w:val="21"/>
                <w:szCs w:val="21"/>
              </w:rPr>
              <w:t>支出结构合理性</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27BA450">
            <w:pPr>
              <w:jc w:val="center"/>
              <w:textAlignment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DED63C0">
            <w:pPr>
              <w:jc w:val="center"/>
              <w:textAlignment w:val="center"/>
              <w:rPr>
                <w:color w:val="000000"/>
                <w:sz w:val="21"/>
                <w:szCs w:val="21"/>
              </w:rPr>
            </w:pPr>
            <w:r>
              <w:rPr>
                <w:rFonts w:hint="eastAsia"/>
                <w:color w:val="000000"/>
                <w:kern w:val="0"/>
                <w:sz w:val="21"/>
                <w:szCs w:val="21"/>
              </w:rPr>
              <w:t>2</w:t>
            </w:r>
          </w:p>
        </w:tc>
      </w:tr>
      <w:tr w14:paraId="1A2DDBC2">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50CE0269">
            <w:pPr>
              <w:jc w:val="center"/>
              <w:rPr>
                <w:color w:val="000000"/>
                <w:sz w:val="21"/>
                <w:szCs w:val="21"/>
              </w:rPr>
            </w:pPr>
          </w:p>
        </w:tc>
        <w:tc>
          <w:tcPr>
            <w:tcW w:w="1055" w:type="pct"/>
            <w:vMerge w:val="restart"/>
            <w:tcBorders>
              <w:left w:val="single" w:color="000000" w:sz="4" w:space="0"/>
              <w:right w:val="single" w:color="000000" w:sz="4" w:space="0"/>
            </w:tcBorders>
            <w:shd w:val="clear" w:color="auto" w:fill="auto"/>
            <w:noWrap/>
            <w:vAlign w:val="center"/>
          </w:tcPr>
          <w:p w14:paraId="53912B78">
            <w:pPr>
              <w:jc w:val="center"/>
              <w:rPr>
                <w:color w:val="000000"/>
                <w:sz w:val="21"/>
                <w:szCs w:val="21"/>
              </w:rPr>
            </w:pPr>
            <w:r>
              <w:rPr>
                <w:rFonts w:hint="eastAsia"/>
                <w:color w:val="000000"/>
                <w:sz w:val="21"/>
                <w:szCs w:val="21"/>
              </w:rPr>
              <w:t>资产管理</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DA92">
            <w:pPr>
              <w:jc w:val="center"/>
              <w:textAlignment w:val="center"/>
              <w:rPr>
                <w:color w:val="000000"/>
                <w:kern w:val="0"/>
                <w:sz w:val="21"/>
                <w:szCs w:val="21"/>
              </w:rPr>
            </w:pPr>
            <w:r>
              <w:rPr>
                <w:rFonts w:hint="eastAsia"/>
                <w:color w:val="000000"/>
                <w:kern w:val="0"/>
                <w:sz w:val="21"/>
                <w:szCs w:val="21"/>
              </w:rPr>
              <w:t>资产管理规范性</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3A6297B1">
            <w:pPr>
              <w:jc w:val="center"/>
              <w:textAlignment w:val="center"/>
              <w:rPr>
                <w:color w:val="000000"/>
                <w:sz w:val="21"/>
                <w:szCs w:val="21"/>
              </w:rPr>
            </w:pPr>
            <w:r>
              <w:rPr>
                <w:rFonts w:hint="eastAsia"/>
                <w:color w:val="000000"/>
                <w:sz w:val="21"/>
                <w:szCs w:val="21"/>
              </w:rPr>
              <w:t>5</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FB11A97">
            <w:pPr>
              <w:jc w:val="center"/>
              <w:textAlignment w:val="center"/>
              <w:rPr>
                <w:color w:val="000000"/>
                <w:sz w:val="21"/>
                <w:szCs w:val="21"/>
              </w:rPr>
            </w:pPr>
            <w:r>
              <w:rPr>
                <w:rFonts w:hint="eastAsia"/>
                <w:color w:val="000000"/>
                <w:kern w:val="0"/>
                <w:sz w:val="21"/>
                <w:szCs w:val="21"/>
              </w:rPr>
              <w:t>4</w:t>
            </w:r>
          </w:p>
        </w:tc>
      </w:tr>
      <w:tr w14:paraId="47B25656">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43228876">
            <w:pPr>
              <w:jc w:val="center"/>
              <w:rPr>
                <w:color w:val="000000"/>
                <w:sz w:val="21"/>
                <w:szCs w:val="21"/>
              </w:rPr>
            </w:pPr>
          </w:p>
        </w:tc>
        <w:tc>
          <w:tcPr>
            <w:tcW w:w="1055" w:type="pct"/>
            <w:vMerge w:val="continue"/>
            <w:tcBorders>
              <w:left w:val="single" w:color="000000" w:sz="4" w:space="0"/>
              <w:bottom w:val="single" w:color="000000" w:sz="4" w:space="0"/>
              <w:right w:val="single" w:color="000000" w:sz="4" w:space="0"/>
            </w:tcBorders>
            <w:shd w:val="clear" w:color="auto" w:fill="auto"/>
            <w:noWrap/>
            <w:vAlign w:val="center"/>
          </w:tcPr>
          <w:p w14:paraId="6E4B9819">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FDFD">
            <w:pPr>
              <w:jc w:val="center"/>
              <w:textAlignment w:val="center"/>
              <w:rPr>
                <w:color w:val="000000"/>
                <w:kern w:val="0"/>
                <w:sz w:val="21"/>
                <w:szCs w:val="21"/>
              </w:rPr>
            </w:pPr>
            <w:r>
              <w:rPr>
                <w:rFonts w:hint="eastAsia"/>
                <w:color w:val="000000"/>
                <w:kern w:val="0"/>
                <w:sz w:val="21"/>
                <w:szCs w:val="21"/>
              </w:rPr>
              <w:t>固定资产利用率</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B774838">
            <w:pPr>
              <w:jc w:val="center"/>
              <w:textAlignment w:val="center"/>
              <w:rPr>
                <w:color w:val="000000"/>
                <w:sz w:val="21"/>
                <w:szCs w:val="21"/>
              </w:rPr>
            </w:pPr>
            <w:r>
              <w:rPr>
                <w:rFonts w:hint="eastAsia"/>
                <w:color w:val="000000"/>
                <w:sz w:val="21"/>
                <w:szCs w:val="21"/>
              </w:rPr>
              <w:t>3</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B3F6B89">
            <w:pPr>
              <w:jc w:val="center"/>
              <w:textAlignment w:val="center"/>
              <w:rPr>
                <w:color w:val="000000"/>
                <w:sz w:val="21"/>
                <w:szCs w:val="21"/>
              </w:rPr>
            </w:pPr>
            <w:r>
              <w:rPr>
                <w:rFonts w:hint="eastAsia"/>
                <w:color w:val="000000"/>
                <w:kern w:val="0"/>
                <w:sz w:val="21"/>
                <w:szCs w:val="21"/>
              </w:rPr>
              <w:t>3</w:t>
            </w:r>
          </w:p>
        </w:tc>
      </w:tr>
      <w:tr w14:paraId="36D0EAF9">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6437CF15">
            <w:pPr>
              <w:jc w:val="center"/>
              <w:rPr>
                <w:color w:val="000000"/>
                <w:sz w:val="21"/>
                <w:szCs w:val="21"/>
              </w:rPr>
            </w:pPr>
          </w:p>
        </w:tc>
        <w:tc>
          <w:tcPr>
            <w:tcW w:w="1055"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0FDFE0C">
            <w:pPr>
              <w:jc w:val="center"/>
              <w:textAlignment w:val="center"/>
              <w:rPr>
                <w:color w:val="000000"/>
                <w:sz w:val="21"/>
                <w:szCs w:val="21"/>
              </w:rPr>
            </w:pPr>
            <w:r>
              <w:rPr>
                <w:rFonts w:hint="eastAsia"/>
                <w:color w:val="000000"/>
                <w:kern w:val="0"/>
                <w:sz w:val="21"/>
                <w:szCs w:val="21"/>
              </w:rPr>
              <w:t>其他管理</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E5F2">
            <w:pPr>
              <w:jc w:val="center"/>
              <w:textAlignment w:val="center"/>
              <w:rPr>
                <w:color w:val="000000"/>
                <w:kern w:val="0"/>
                <w:sz w:val="21"/>
                <w:szCs w:val="21"/>
              </w:rPr>
            </w:pPr>
            <w:r>
              <w:rPr>
                <w:rFonts w:hint="eastAsia"/>
                <w:color w:val="000000"/>
                <w:kern w:val="0"/>
                <w:sz w:val="21"/>
                <w:szCs w:val="21"/>
              </w:rPr>
              <w:t>政府采购管理</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1AA77C3">
            <w:pPr>
              <w:jc w:val="center"/>
              <w:textAlignment w:val="center"/>
              <w:rPr>
                <w:color w:val="000000"/>
                <w:sz w:val="21"/>
                <w:szCs w:val="21"/>
              </w:rPr>
            </w:pPr>
            <w:r>
              <w:rPr>
                <w:rFonts w:hint="eastAsia"/>
                <w:color w:val="000000"/>
                <w:kern w:val="0"/>
                <w:sz w:val="21"/>
                <w:szCs w:val="21"/>
              </w:rPr>
              <w:t>2</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11A9CB5">
            <w:pPr>
              <w:jc w:val="center"/>
              <w:textAlignment w:val="center"/>
              <w:rPr>
                <w:color w:val="000000"/>
                <w:kern w:val="0"/>
                <w:sz w:val="21"/>
                <w:szCs w:val="21"/>
              </w:rPr>
            </w:pPr>
            <w:r>
              <w:rPr>
                <w:rFonts w:hint="eastAsia"/>
                <w:color w:val="000000"/>
                <w:kern w:val="0"/>
                <w:sz w:val="21"/>
                <w:szCs w:val="21"/>
              </w:rPr>
              <w:t>1.51</w:t>
            </w:r>
          </w:p>
        </w:tc>
      </w:tr>
      <w:tr w14:paraId="2E1AACF3">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0D2ABFB2">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6B49D5FB">
            <w:pPr>
              <w:jc w:val="center"/>
              <w:textAlignment w:val="center"/>
              <w:rPr>
                <w:color w:val="000000"/>
                <w:kern w:val="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F1D6">
            <w:pPr>
              <w:jc w:val="center"/>
              <w:textAlignment w:val="center"/>
              <w:rPr>
                <w:color w:val="000000"/>
                <w:kern w:val="0"/>
                <w:sz w:val="21"/>
                <w:szCs w:val="21"/>
              </w:rPr>
            </w:pPr>
            <w:r>
              <w:rPr>
                <w:rFonts w:hint="eastAsia"/>
                <w:color w:val="000000"/>
                <w:kern w:val="0"/>
                <w:sz w:val="21"/>
                <w:szCs w:val="21"/>
              </w:rPr>
              <w:t>预算信息公开</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D5C430B">
            <w:pPr>
              <w:jc w:val="center"/>
              <w:textAlignment w:val="center"/>
              <w:rPr>
                <w:color w:val="000000"/>
                <w:sz w:val="21"/>
                <w:szCs w:val="21"/>
              </w:rPr>
            </w:pPr>
            <w:r>
              <w:rPr>
                <w:rFonts w:hint="eastAsia"/>
                <w:color w:val="000000"/>
                <w:kern w:val="0"/>
                <w:sz w:val="21"/>
                <w:szCs w:val="21"/>
              </w:rPr>
              <w:t>1</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28CED11">
            <w:pPr>
              <w:jc w:val="center"/>
              <w:textAlignment w:val="center"/>
              <w:rPr>
                <w:color w:val="000000"/>
                <w:kern w:val="0"/>
                <w:sz w:val="21"/>
                <w:szCs w:val="21"/>
              </w:rPr>
            </w:pPr>
            <w:r>
              <w:rPr>
                <w:rFonts w:hint="eastAsia"/>
                <w:color w:val="000000"/>
                <w:kern w:val="0"/>
                <w:sz w:val="21"/>
                <w:szCs w:val="21"/>
              </w:rPr>
              <w:t>1</w:t>
            </w:r>
          </w:p>
        </w:tc>
      </w:tr>
      <w:tr w14:paraId="03EB669D">
        <w:tblPrEx>
          <w:tblCellMar>
            <w:top w:w="0" w:type="dxa"/>
            <w:left w:w="108" w:type="dxa"/>
            <w:bottom w:w="0" w:type="dxa"/>
            <w:right w:w="108" w:type="dxa"/>
          </w:tblCellMar>
        </w:tblPrEx>
        <w:trPr>
          <w:trHeight w:val="425" w:hRule="atLeast"/>
        </w:trPr>
        <w:tc>
          <w:tcPr>
            <w:tcW w:w="1053" w:type="pct"/>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2547A58D">
            <w:pPr>
              <w:jc w:val="center"/>
              <w:rPr>
                <w:color w:val="000000"/>
                <w:sz w:val="21"/>
                <w:szCs w:val="21"/>
              </w:rPr>
            </w:pPr>
          </w:p>
        </w:tc>
        <w:tc>
          <w:tcPr>
            <w:tcW w:w="1055"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752EA69">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3527">
            <w:pPr>
              <w:jc w:val="center"/>
              <w:textAlignment w:val="center"/>
              <w:rPr>
                <w:color w:val="000000"/>
                <w:kern w:val="0"/>
                <w:sz w:val="21"/>
                <w:szCs w:val="21"/>
              </w:rPr>
            </w:pPr>
            <w:r>
              <w:rPr>
                <w:rFonts w:hint="eastAsia"/>
                <w:color w:val="000000"/>
                <w:kern w:val="0"/>
                <w:sz w:val="21"/>
                <w:szCs w:val="21"/>
              </w:rPr>
              <w:t>资金监管</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FE0EE0C">
            <w:pPr>
              <w:jc w:val="center"/>
              <w:textAlignment w:val="center"/>
              <w:rPr>
                <w:color w:val="000000"/>
                <w:sz w:val="21"/>
                <w:szCs w:val="21"/>
              </w:rPr>
            </w:pPr>
            <w:r>
              <w:rPr>
                <w:rFonts w:hint="eastAsia"/>
                <w:color w:val="000000"/>
                <w:sz w:val="21"/>
                <w:szCs w:val="21"/>
              </w:rPr>
              <w:t>1</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2C7B685">
            <w:pPr>
              <w:jc w:val="center"/>
              <w:textAlignment w:val="center"/>
              <w:rPr>
                <w:color w:val="000000"/>
                <w:sz w:val="21"/>
                <w:szCs w:val="21"/>
              </w:rPr>
            </w:pPr>
            <w:r>
              <w:rPr>
                <w:rFonts w:hint="eastAsia"/>
                <w:color w:val="000000"/>
                <w:kern w:val="0"/>
                <w:sz w:val="21"/>
                <w:szCs w:val="21"/>
              </w:rPr>
              <w:t>1</w:t>
            </w:r>
          </w:p>
        </w:tc>
      </w:tr>
      <w:tr w14:paraId="210DB973">
        <w:tblPrEx>
          <w:tblCellMar>
            <w:top w:w="0" w:type="dxa"/>
            <w:left w:w="108" w:type="dxa"/>
            <w:bottom w:w="0" w:type="dxa"/>
            <w:right w:w="108" w:type="dxa"/>
          </w:tblCellMar>
        </w:tblPrEx>
        <w:trPr>
          <w:trHeight w:val="425" w:hRule="atLeast"/>
        </w:trPr>
        <w:tc>
          <w:tcPr>
            <w:tcW w:w="1053" w:type="pct"/>
            <w:vMerge w:val="restart"/>
            <w:tcBorders>
              <w:top w:val="single" w:color="000000" w:sz="4" w:space="0"/>
              <w:left w:val="single" w:color="auto" w:sz="4" w:space="0"/>
              <w:right w:val="single" w:color="000000" w:sz="4" w:space="0"/>
            </w:tcBorders>
            <w:shd w:val="clear" w:color="auto" w:fill="auto"/>
            <w:noWrap/>
            <w:vAlign w:val="center"/>
          </w:tcPr>
          <w:p w14:paraId="66876C65">
            <w:pPr>
              <w:jc w:val="center"/>
              <w:rPr>
                <w:color w:val="000000"/>
                <w:sz w:val="21"/>
                <w:szCs w:val="21"/>
              </w:rPr>
            </w:pPr>
            <w:r>
              <w:rPr>
                <w:rFonts w:hint="eastAsia"/>
                <w:color w:val="000000"/>
                <w:sz w:val="21"/>
                <w:szCs w:val="21"/>
              </w:rPr>
              <w:t>部门产出</w:t>
            </w:r>
          </w:p>
          <w:p w14:paraId="31EC78A5">
            <w:pPr>
              <w:jc w:val="center"/>
              <w:rPr>
                <w:color w:val="000000"/>
                <w:sz w:val="21"/>
                <w:szCs w:val="21"/>
              </w:rPr>
            </w:pPr>
            <w:r>
              <w:rPr>
                <w:rFonts w:hint="eastAsia"/>
                <w:color w:val="000000"/>
                <w:sz w:val="21"/>
                <w:szCs w:val="21"/>
              </w:rPr>
              <w:t>（30分）</w:t>
            </w:r>
          </w:p>
          <w:p w14:paraId="3FEC957B">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1CD00762">
            <w:pPr>
              <w:jc w:val="center"/>
              <w:rPr>
                <w:color w:val="000000"/>
                <w:sz w:val="21"/>
                <w:szCs w:val="21"/>
              </w:rPr>
            </w:pPr>
            <w:r>
              <w:rPr>
                <w:rFonts w:hint="eastAsia"/>
                <w:color w:val="000000"/>
                <w:sz w:val="21"/>
                <w:szCs w:val="21"/>
              </w:rPr>
              <w:t>目标任务实现程度</w:t>
            </w:r>
          </w:p>
          <w:p w14:paraId="7FF8FE74">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81F9A">
            <w:pPr>
              <w:jc w:val="center"/>
              <w:textAlignment w:val="center"/>
              <w:rPr>
                <w:color w:val="000000"/>
                <w:kern w:val="0"/>
                <w:sz w:val="21"/>
                <w:szCs w:val="21"/>
              </w:rPr>
            </w:pPr>
            <w:r>
              <w:rPr>
                <w:rFonts w:hint="eastAsia"/>
                <w:color w:val="000000"/>
                <w:kern w:val="0"/>
                <w:sz w:val="21"/>
                <w:szCs w:val="21"/>
              </w:rPr>
              <w:t>旅游工作完成情况</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5720907">
            <w:pPr>
              <w:jc w:val="center"/>
              <w:rPr>
                <w:color w:val="000000"/>
                <w:sz w:val="21"/>
                <w:szCs w:val="21"/>
              </w:rPr>
            </w:pPr>
            <w:r>
              <w:rPr>
                <w:rFonts w:hint="eastAsia"/>
                <w:color w:val="000000"/>
                <w:sz w:val="21"/>
                <w:szCs w:val="21"/>
              </w:rPr>
              <w:t>8</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9F05C81">
            <w:pPr>
              <w:jc w:val="center"/>
              <w:textAlignment w:val="center"/>
              <w:rPr>
                <w:color w:val="000000"/>
                <w:sz w:val="21"/>
                <w:szCs w:val="21"/>
              </w:rPr>
            </w:pPr>
            <w:r>
              <w:rPr>
                <w:rFonts w:hint="eastAsia"/>
                <w:color w:val="000000"/>
                <w:kern w:val="0"/>
                <w:sz w:val="21"/>
                <w:szCs w:val="21"/>
              </w:rPr>
              <w:t>7.5</w:t>
            </w:r>
          </w:p>
        </w:tc>
      </w:tr>
      <w:tr w14:paraId="28F0C11A">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5ADA27FB">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149FAC3B">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8B27">
            <w:pPr>
              <w:jc w:val="center"/>
              <w:textAlignment w:val="center"/>
              <w:rPr>
                <w:color w:val="000000"/>
                <w:kern w:val="0"/>
                <w:sz w:val="21"/>
                <w:szCs w:val="21"/>
              </w:rPr>
            </w:pPr>
            <w:r>
              <w:rPr>
                <w:rFonts w:hint="eastAsia"/>
                <w:color w:val="000000"/>
                <w:kern w:val="0"/>
                <w:sz w:val="21"/>
                <w:szCs w:val="21"/>
              </w:rPr>
              <w:t>文化工作完成情况</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0716027">
            <w:pPr>
              <w:jc w:val="center"/>
              <w:rPr>
                <w:color w:val="000000"/>
                <w:sz w:val="21"/>
                <w:szCs w:val="21"/>
              </w:rPr>
            </w:pPr>
            <w:r>
              <w:rPr>
                <w:rFonts w:hint="eastAsia"/>
                <w:color w:val="000000"/>
                <w:sz w:val="21"/>
                <w:szCs w:val="21"/>
              </w:rPr>
              <w:t>3</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87558AC">
            <w:pPr>
              <w:jc w:val="center"/>
              <w:textAlignment w:val="center"/>
              <w:rPr>
                <w:color w:val="000000"/>
                <w:sz w:val="21"/>
                <w:szCs w:val="21"/>
              </w:rPr>
            </w:pPr>
            <w:r>
              <w:rPr>
                <w:rFonts w:hint="eastAsia"/>
                <w:color w:val="000000"/>
                <w:kern w:val="0"/>
                <w:sz w:val="21"/>
                <w:szCs w:val="21"/>
              </w:rPr>
              <w:t>2.5</w:t>
            </w:r>
          </w:p>
        </w:tc>
      </w:tr>
      <w:tr w14:paraId="2D771D3D">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6BB3E871">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07AF6BFB">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F781">
            <w:pPr>
              <w:jc w:val="center"/>
              <w:textAlignment w:val="center"/>
              <w:rPr>
                <w:color w:val="000000"/>
                <w:kern w:val="0"/>
                <w:sz w:val="21"/>
                <w:szCs w:val="21"/>
              </w:rPr>
            </w:pPr>
            <w:r>
              <w:rPr>
                <w:rFonts w:hint="eastAsia"/>
                <w:color w:val="000000"/>
                <w:kern w:val="0"/>
                <w:sz w:val="21"/>
                <w:szCs w:val="21"/>
              </w:rPr>
              <w:t>执法工作完成情况</w:t>
            </w:r>
          </w:p>
        </w:tc>
        <w:tc>
          <w:tcPr>
            <w:tcW w:w="672"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70EDF9DC">
            <w:pPr>
              <w:jc w:val="center"/>
              <w:rPr>
                <w:color w:val="000000"/>
                <w:sz w:val="21"/>
                <w:szCs w:val="21"/>
              </w:rPr>
            </w:pPr>
            <w:r>
              <w:rPr>
                <w:rFonts w:hint="eastAsia"/>
                <w:color w:val="000000"/>
                <w:sz w:val="21"/>
                <w:szCs w:val="21"/>
              </w:rPr>
              <w:t>1</w:t>
            </w:r>
          </w:p>
        </w:tc>
        <w:tc>
          <w:tcPr>
            <w:tcW w:w="110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357F62F">
            <w:pPr>
              <w:jc w:val="center"/>
              <w:textAlignment w:val="center"/>
              <w:rPr>
                <w:color w:val="000000"/>
                <w:sz w:val="21"/>
                <w:szCs w:val="21"/>
              </w:rPr>
            </w:pPr>
            <w:r>
              <w:rPr>
                <w:rFonts w:hint="eastAsia"/>
                <w:color w:val="000000"/>
                <w:kern w:val="0"/>
                <w:sz w:val="21"/>
                <w:szCs w:val="21"/>
              </w:rPr>
              <w:t>1</w:t>
            </w:r>
          </w:p>
        </w:tc>
      </w:tr>
      <w:tr w14:paraId="7B8090A8">
        <w:tblPrEx>
          <w:tblCellMar>
            <w:top w:w="0" w:type="dxa"/>
            <w:left w:w="108" w:type="dxa"/>
            <w:bottom w:w="0" w:type="dxa"/>
            <w:right w:w="108" w:type="dxa"/>
          </w:tblCellMar>
        </w:tblPrEx>
        <w:trPr>
          <w:trHeight w:val="425" w:hRule="atLeast"/>
        </w:trPr>
        <w:tc>
          <w:tcPr>
            <w:tcW w:w="1053" w:type="pct"/>
            <w:vMerge w:val="continue"/>
            <w:tcBorders>
              <w:left w:val="single" w:color="auto" w:sz="4" w:space="0"/>
              <w:bottom w:val="single" w:color="auto" w:sz="4" w:space="0"/>
              <w:right w:val="single" w:color="000000" w:sz="4" w:space="0"/>
            </w:tcBorders>
            <w:shd w:val="clear" w:color="auto" w:fill="auto"/>
            <w:noWrap/>
            <w:vAlign w:val="center"/>
          </w:tcPr>
          <w:p w14:paraId="68449A0F">
            <w:pPr>
              <w:jc w:val="center"/>
              <w:rPr>
                <w:color w:val="000000"/>
                <w:sz w:val="21"/>
                <w:szCs w:val="21"/>
              </w:rPr>
            </w:pPr>
          </w:p>
        </w:tc>
        <w:tc>
          <w:tcPr>
            <w:tcW w:w="1055" w:type="pct"/>
            <w:vMerge w:val="continue"/>
            <w:tcBorders>
              <w:left w:val="single" w:color="000000" w:sz="4" w:space="0"/>
              <w:bottom w:val="single" w:color="auto" w:sz="4" w:space="0"/>
              <w:right w:val="single" w:color="000000" w:sz="4" w:space="0"/>
            </w:tcBorders>
            <w:shd w:val="clear" w:color="auto" w:fill="auto"/>
            <w:noWrap/>
            <w:vAlign w:val="center"/>
          </w:tcPr>
          <w:p w14:paraId="4670A113">
            <w:pPr>
              <w:jc w:val="center"/>
              <w:rPr>
                <w:color w:val="000000"/>
                <w:sz w:val="21"/>
                <w:szCs w:val="21"/>
              </w:rPr>
            </w:pPr>
          </w:p>
        </w:tc>
        <w:tc>
          <w:tcPr>
            <w:tcW w:w="1546"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265A708">
            <w:pPr>
              <w:jc w:val="center"/>
              <w:textAlignment w:val="center"/>
              <w:rPr>
                <w:color w:val="000000"/>
                <w:kern w:val="0"/>
                <w:sz w:val="21"/>
                <w:szCs w:val="21"/>
              </w:rPr>
            </w:pPr>
            <w:r>
              <w:rPr>
                <w:rFonts w:hint="eastAsia"/>
                <w:color w:val="000000"/>
                <w:kern w:val="0"/>
                <w:sz w:val="21"/>
                <w:szCs w:val="21"/>
              </w:rPr>
              <w:t>党建工作完成情况</w:t>
            </w:r>
          </w:p>
        </w:tc>
        <w:tc>
          <w:tcPr>
            <w:tcW w:w="672" w:type="pct"/>
            <w:tcBorders>
              <w:top w:val="single" w:color="000000" w:sz="4" w:space="0"/>
              <w:left w:val="single" w:color="000000" w:sz="4" w:space="0"/>
              <w:bottom w:val="single" w:color="auto" w:sz="4" w:space="0"/>
              <w:right w:val="single" w:color="auto" w:sz="4" w:space="0"/>
            </w:tcBorders>
            <w:shd w:val="clear" w:color="auto" w:fill="auto"/>
            <w:noWrap/>
            <w:vAlign w:val="center"/>
          </w:tcPr>
          <w:p w14:paraId="1F78BAAF">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1ED0EF9E">
            <w:pPr>
              <w:jc w:val="center"/>
              <w:textAlignment w:val="center"/>
              <w:rPr>
                <w:color w:val="000000"/>
                <w:sz w:val="21"/>
                <w:szCs w:val="21"/>
              </w:rPr>
            </w:pPr>
            <w:r>
              <w:rPr>
                <w:rFonts w:hint="eastAsia"/>
                <w:color w:val="000000"/>
                <w:kern w:val="0"/>
                <w:sz w:val="21"/>
                <w:szCs w:val="21"/>
              </w:rPr>
              <w:t>2</w:t>
            </w:r>
          </w:p>
        </w:tc>
      </w:tr>
      <w:tr w14:paraId="0BDBA24D">
        <w:tblPrEx>
          <w:tblCellMar>
            <w:top w:w="0" w:type="dxa"/>
            <w:left w:w="108" w:type="dxa"/>
            <w:bottom w:w="0" w:type="dxa"/>
            <w:right w:w="108" w:type="dxa"/>
          </w:tblCellMar>
        </w:tblPrEx>
        <w:trPr>
          <w:trHeight w:val="425" w:hRule="atLeast"/>
        </w:trPr>
        <w:tc>
          <w:tcPr>
            <w:tcW w:w="1053" w:type="pct"/>
            <w:vMerge w:val="continue"/>
            <w:tcBorders>
              <w:top w:val="single" w:color="auto" w:sz="4" w:space="0"/>
              <w:left w:val="single" w:color="auto" w:sz="4" w:space="0"/>
              <w:right w:val="single" w:color="000000" w:sz="4" w:space="0"/>
            </w:tcBorders>
            <w:shd w:val="clear" w:color="auto" w:fill="auto"/>
            <w:noWrap/>
            <w:vAlign w:val="center"/>
          </w:tcPr>
          <w:p w14:paraId="31F782E8">
            <w:pPr>
              <w:jc w:val="center"/>
              <w:rPr>
                <w:color w:val="000000"/>
                <w:sz w:val="21"/>
                <w:szCs w:val="21"/>
              </w:rPr>
            </w:pPr>
          </w:p>
        </w:tc>
        <w:tc>
          <w:tcPr>
            <w:tcW w:w="1055"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6D2A13F">
            <w:pPr>
              <w:jc w:val="center"/>
              <w:rPr>
                <w:color w:val="000000"/>
                <w:sz w:val="21"/>
                <w:szCs w:val="21"/>
              </w:rPr>
            </w:pPr>
          </w:p>
        </w:tc>
        <w:tc>
          <w:tcPr>
            <w:tcW w:w="1546"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F29D41E">
            <w:pPr>
              <w:jc w:val="center"/>
              <w:textAlignment w:val="center"/>
              <w:rPr>
                <w:color w:val="000000"/>
                <w:kern w:val="0"/>
                <w:sz w:val="21"/>
                <w:szCs w:val="21"/>
              </w:rPr>
            </w:pPr>
            <w:r>
              <w:rPr>
                <w:rFonts w:hint="eastAsia"/>
                <w:color w:val="000000"/>
                <w:kern w:val="0"/>
                <w:sz w:val="21"/>
                <w:szCs w:val="21"/>
              </w:rPr>
              <w:t>文物保护工作完成情况</w:t>
            </w:r>
          </w:p>
        </w:tc>
        <w:tc>
          <w:tcPr>
            <w:tcW w:w="67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3613066">
            <w:pPr>
              <w:jc w:val="center"/>
              <w:rPr>
                <w:color w:val="000000"/>
                <w:sz w:val="21"/>
                <w:szCs w:val="21"/>
              </w:rPr>
            </w:pPr>
            <w:r>
              <w:rPr>
                <w:rFonts w:hint="eastAsia"/>
                <w:color w:val="000000"/>
                <w:sz w:val="21"/>
                <w:szCs w:val="21"/>
              </w:rPr>
              <w:t>6</w:t>
            </w:r>
          </w:p>
        </w:tc>
        <w:tc>
          <w:tcPr>
            <w:tcW w:w="110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8B4A208">
            <w:pPr>
              <w:jc w:val="center"/>
              <w:textAlignment w:val="center"/>
              <w:rPr>
                <w:color w:val="000000"/>
                <w:sz w:val="21"/>
                <w:szCs w:val="21"/>
              </w:rPr>
            </w:pPr>
            <w:r>
              <w:rPr>
                <w:rFonts w:hint="eastAsia"/>
                <w:color w:val="000000"/>
                <w:kern w:val="0"/>
                <w:sz w:val="21"/>
                <w:szCs w:val="21"/>
              </w:rPr>
              <w:t>5.5</w:t>
            </w:r>
          </w:p>
        </w:tc>
      </w:tr>
      <w:tr w14:paraId="2A91C62F">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6000A416">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7837E5C6">
            <w:pPr>
              <w:jc w:val="center"/>
              <w:rPr>
                <w:color w:val="000000"/>
                <w:sz w:val="21"/>
                <w:szCs w:val="21"/>
              </w:rPr>
            </w:pPr>
            <w:r>
              <w:rPr>
                <w:rFonts w:hint="eastAsia"/>
                <w:color w:val="000000"/>
                <w:sz w:val="21"/>
                <w:szCs w:val="21"/>
              </w:rPr>
              <w:t>目标任务完成质量</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AEFC">
            <w:pPr>
              <w:jc w:val="center"/>
              <w:textAlignment w:val="center"/>
              <w:rPr>
                <w:color w:val="000000"/>
                <w:kern w:val="0"/>
                <w:sz w:val="21"/>
                <w:szCs w:val="21"/>
              </w:rPr>
            </w:pPr>
            <w:r>
              <w:rPr>
                <w:rFonts w:hint="eastAsia"/>
                <w:color w:val="000000"/>
                <w:kern w:val="0"/>
                <w:sz w:val="21"/>
                <w:szCs w:val="21"/>
              </w:rPr>
              <w:t>项目验收通过率</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DF21">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F597">
            <w:pPr>
              <w:jc w:val="center"/>
              <w:textAlignment w:val="center"/>
              <w:rPr>
                <w:color w:val="000000"/>
                <w:sz w:val="21"/>
                <w:szCs w:val="21"/>
              </w:rPr>
            </w:pPr>
            <w:r>
              <w:rPr>
                <w:rFonts w:hint="eastAsia"/>
                <w:color w:val="000000"/>
                <w:kern w:val="0"/>
                <w:sz w:val="21"/>
                <w:szCs w:val="21"/>
              </w:rPr>
              <w:t>2</w:t>
            </w:r>
          </w:p>
        </w:tc>
      </w:tr>
      <w:tr w14:paraId="3BA077AD">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654FA55C">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10DE0FED">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4E90">
            <w:pPr>
              <w:jc w:val="center"/>
              <w:textAlignment w:val="center"/>
              <w:rPr>
                <w:color w:val="000000"/>
                <w:kern w:val="0"/>
                <w:sz w:val="21"/>
                <w:szCs w:val="21"/>
              </w:rPr>
            </w:pPr>
            <w:r>
              <w:rPr>
                <w:rFonts w:hint="eastAsia"/>
                <w:color w:val="000000"/>
                <w:kern w:val="0"/>
                <w:sz w:val="21"/>
                <w:szCs w:val="21"/>
              </w:rPr>
              <w:t>目标责任考核等级</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D584">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5A5B">
            <w:pPr>
              <w:jc w:val="center"/>
              <w:textAlignment w:val="center"/>
              <w:rPr>
                <w:color w:val="000000"/>
                <w:sz w:val="21"/>
                <w:szCs w:val="21"/>
              </w:rPr>
            </w:pPr>
            <w:r>
              <w:rPr>
                <w:rFonts w:hint="eastAsia"/>
                <w:color w:val="000000"/>
                <w:kern w:val="0"/>
                <w:sz w:val="21"/>
                <w:szCs w:val="21"/>
              </w:rPr>
              <w:t>1</w:t>
            </w:r>
          </w:p>
        </w:tc>
      </w:tr>
      <w:tr w14:paraId="669A9129">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18022524">
            <w:pPr>
              <w:jc w:val="center"/>
              <w:rPr>
                <w:color w:val="000000"/>
                <w:sz w:val="21"/>
                <w:szCs w:val="21"/>
              </w:rPr>
            </w:pPr>
          </w:p>
        </w:tc>
        <w:tc>
          <w:tcPr>
            <w:tcW w:w="1055"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110F0CB">
            <w:pPr>
              <w:jc w:val="center"/>
              <w:rPr>
                <w:color w:val="000000"/>
                <w:sz w:val="21"/>
                <w:szCs w:val="21"/>
              </w:rPr>
            </w:pPr>
            <w:r>
              <w:rPr>
                <w:rFonts w:hint="eastAsia"/>
                <w:color w:val="000000"/>
                <w:sz w:val="21"/>
                <w:szCs w:val="21"/>
              </w:rPr>
              <w:t>完成及时情况</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42E6">
            <w:pPr>
              <w:jc w:val="center"/>
              <w:textAlignment w:val="center"/>
              <w:rPr>
                <w:color w:val="000000"/>
                <w:kern w:val="0"/>
                <w:sz w:val="21"/>
                <w:szCs w:val="21"/>
              </w:rPr>
            </w:pPr>
            <w:r>
              <w:rPr>
                <w:rFonts w:hint="eastAsia"/>
                <w:color w:val="000000"/>
                <w:kern w:val="0"/>
                <w:sz w:val="21"/>
                <w:szCs w:val="21"/>
              </w:rPr>
              <w:t>各项目完成及时性</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B1DD">
            <w:pPr>
              <w:jc w:val="center"/>
              <w:rPr>
                <w:color w:val="000000"/>
                <w:sz w:val="21"/>
                <w:szCs w:val="21"/>
              </w:rPr>
            </w:pPr>
            <w:r>
              <w:rPr>
                <w:rFonts w:hint="eastAsia"/>
                <w:color w:val="000000"/>
                <w:sz w:val="21"/>
                <w:szCs w:val="21"/>
              </w:rPr>
              <w:t>3</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F450">
            <w:pPr>
              <w:jc w:val="center"/>
              <w:textAlignment w:val="center"/>
              <w:rPr>
                <w:color w:val="000000"/>
                <w:sz w:val="21"/>
                <w:szCs w:val="21"/>
              </w:rPr>
            </w:pPr>
            <w:r>
              <w:rPr>
                <w:rFonts w:hint="eastAsia"/>
                <w:color w:val="000000"/>
                <w:kern w:val="0"/>
                <w:sz w:val="21"/>
                <w:szCs w:val="21"/>
              </w:rPr>
              <w:t>2</w:t>
            </w:r>
          </w:p>
        </w:tc>
      </w:tr>
      <w:tr w14:paraId="4F367CD8">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386130BC">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40A6AB77">
            <w:pPr>
              <w:jc w:val="center"/>
              <w:rPr>
                <w:color w:val="000000"/>
                <w:sz w:val="21"/>
                <w:szCs w:val="21"/>
              </w:rPr>
            </w:pPr>
            <w:r>
              <w:rPr>
                <w:rFonts w:hint="eastAsia"/>
                <w:color w:val="000000"/>
                <w:sz w:val="21"/>
                <w:szCs w:val="21"/>
              </w:rPr>
              <w:t>运行成本控制有效性</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8261">
            <w:pPr>
              <w:jc w:val="center"/>
              <w:textAlignment w:val="center"/>
              <w:rPr>
                <w:color w:val="000000"/>
                <w:kern w:val="0"/>
                <w:sz w:val="21"/>
                <w:szCs w:val="21"/>
              </w:rPr>
            </w:pPr>
            <w:r>
              <w:rPr>
                <w:rFonts w:hint="eastAsia"/>
                <w:color w:val="000000"/>
                <w:kern w:val="0"/>
                <w:sz w:val="21"/>
                <w:szCs w:val="21"/>
              </w:rPr>
              <w:t>公用经费控制率</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B7CF">
            <w:pPr>
              <w:jc w:val="center"/>
              <w:rPr>
                <w:color w:val="000000"/>
                <w:sz w:val="21"/>
                <w:szCs w:val="21"/>
              </w:rPr>
            </w:pPr>
            <w:r>
              <w:rPr>
                <w:rFonts w:hint="eastAsia"/>
                <w:color w:val="000000"/>
                <w:sz w:val="21"/>
                <w:szCs w:val="21"/>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3897">
            <w:pPr>
              <w:jc w:val="center"/>
              <w:textAlignment w:val="center"/>
              <w:rPr>
                <w:color w:val="000000"/>
                <w:sz w:val="21"/>
                <w:szCs w:val="21"/>
              </w:rPr>
            </w:pPr>
            <w:r>
              <w:rPr>
                <w:rFonts w:hint="eastAsia"/>
                <w:color w:val="000000"/>
                <w:kern w:val="0"/>
                <w:sz w:val="21"/>
                <w:szCs w:val="21"/>
              </w:rPr>
              <w:t>1</w:t>
            </w:r>
          </w:p>
        </w:tc>
      </w:tr>
      <w:tr w14:paraId="617D63E2">
        <w:tblPrEx>
          <w:tblCellMar>
            <w:top w:w="0" w:type="dxa"/>
            <w:left w:w="108" w:type="dxa"/>
            <w:bottom w:w="0" w:type="dxa"/>
            <w:right w:w="108" w:type="dxa"/>
          </w:tblCellMar>
        </w:tblPrEx>
        <w:trPr>
          <w:trHeight w:val="425" w:hRule="atLeast"/>
        </w:trPr>
        <w:tc>
          <w:tcPr>
            <w:tcW w:w="1053" w:type="pct"/>
            <w:vMerge w:val="continue"/>
            <w:tcBorders>
              <w:left w:val="single" w:color="auto" w:sz="4" w:space="0"/>
              <w:right w:val="single" w:color="000000" w:sz="4" w:space="0"/>
            </w:tcBorders>
            <w:shd w:val="clear" w:color="auto" w:fill="auto"/>
            <w:noWrap/>
            <w:vAlign w:val="center"/>
          </w:tcPr>
          <w:p w14:paraId="1F2E7862">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445FF305">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45C5">
            <w:pPr>
              <w:jc w:val="center"/>
              <w:textAlignment w:val="center"/>
              <w:rPr>
                <w:color w:val="000000"/>
                <w:kern w:val="0"/>
                <w:sz w:val="21"/>
                <w:szCs w:val="21"/>
              </w:rPr>
            </w:pPr>
            <w:r>
              <w:rPr>
                <w:rFonts w:hint="eastAsia"/>
                <w:color w:val="000000"/>
                <w:kern w:val="0"/>
                <w:sz w:val="21"/>
                <w:szCs w:val="21"/>
              </w:rPr>
              <w:t>三公经费控制率</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04A9">
            <w:pPr>
              <w:jc w:val="center"/>
              <w:rPr>
                <w:color w:val="000000"/>
                <w:sz w:val="21"/>
                <w:szCs w:val="21"/>
              </w:rPr>
            </w:pPr>
            <w:r>
              <w:rPr>
                <w:rFonts w:hint="eastAsia"/>
                <w:color w:val="000000"/>
                <w:sz w:val="21"/>
                <w:szCs w:val="21"/>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96CB">
            <w:pPr>
              <w:jc w:val="center"/>
              <w:textAlignment w:val="center"/>
              <w:rPr>
                <w:color w:val="000000"/>
                <w:sz w:val="21"/>
                <w:szCs w:val="21"/>
              </w:rPr>
            </w:pPr>
            <w:r>
              <w:rPr>
                <w:rFonts w:hint="eastAsia"/>
                <w:color w:val="000000"/>
                <w:kern w:val="0"/>
                <w:sz w:val="21"/>
                <w:szCs w:val="21"/>
              </w:rPr>
              <w:t>1</w:t>
            </w:r>
          </w:p>
        </w:tc>
      </w:tr>
      <w:tr w14:paraId="12F00735">
        <w:tblPrEx>
          <w:tblCellMar>
            <w:top w:w="0" w:type="dxa"/>
            <w:left w:w="108" w:type="dxa"/>
            <w:bottom w:w="0" w:type="dxa"/>
            <w:right w:w="108" w:type="dxa"/>
          </w:tblCellMar>
        </w:tblPrEx>
        <w:trPr>
          <w:trHeight w:val="425" w:hRule="atLeast"/>
        </w:trPr>
        <w:tc>
          <w:tcPr>
            <w:tcW w:w="1053" w:type="pct"/>
            <w:vMerge w:val="continue"/>
            <w:tcBorders>
              <w:left w:val="single" w:color="auto" w:sz="4" w:space="0"/>
              <w:bottom w:val="single" w:color="000000" w:sz="4" w:space="0"/>
              <w:right w:val="single" w:color="000000" w:sz="4" w:space="0"/>
            </w:tcBorders>
            <w:shd w:val="clear" w:color="auto" w:fill="auto"/>
            <w:noWrap/>
            <w:vAlign w:val="center"/>
          </w:tcPr>
          <w:p w14:paraId="385FF136">
            <w:pPr>
              <w:jc w:val="center"/>
              <w:rPr>
                <w:color w:val="000000"/>
                <w:sz w:val="21"/>
                <w:szCs w:val="21"/>
              </w:rPr>
            </w:pPr>
          </w:p>
        </w:tc>
        <w:tc>
          <w:tcPr>
            <w:tcW w:w="1055" w:type="pct"/>
            <w:vMerge w:val="continue"/>
            <w:tcBorders>
              <w:left w:val="single" w:color="000000" w:sz="4" w:space="0"/>
              <w:bottom w:val="single" w:color="auto" w:sz="4" w:space="0"/>
              <w:right w:val="single" w:color="000000" w:sz="4" w:space="0"/>
            </w:tcBorders>
            <w:shd w:val="clear" w:color="auto" w:fill="auto"/>
            <w:noWrap/>
            <w:vAlign w:val="center"/>
          </w:tcPr>
          <w:p w14:paraId="2FDD027F">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C072">
            <w:pPr>
              <w:jc w:val="center"/>
              <w:textAlignment w:val="center"/>
              <w:rPr>
                <w:color w:val="000000"/>
                <w:kern w:val="0"/>
                <w:sz w:val="21"/>
                <w:szCs w:val="21"/>
              </w:rPr>
            </w:pPr>
            <w:r>
              <w:rPr>
                <w:rFonts w:hint="eastAsia"/>
                <w:color w:val="000000"/>
                <w:kern w:val="0"/>
                <w:sz w:val="21"/>
                <w:szCs w:val="21"/>
              </w:rPr>
              <w:t>人员成本控制率</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7139">
            <w:pPr>
              <w:jc w:val="center"/>
              <w:rPr>
                <w:color w:val="000000"/>
                <w:sz w:val="21"/>
                <w:szCs w:val="21"/>
              </w:rPr>
            </w:pPr>
            <w:r>
              <w:rPr>
                <w:rFonts w:hint="eastAsia"/>
                <w:color w:val="000000"/>
                <w:sz w:val="21"/>
                <w:szCs w:val="21"/>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04C9">
            <w:pPr>
              <w:jc w:val="center"/>
              <w:textAlignment w:val="center"/>
              <w:rPr>
                <w:color w:val="000000"/>
                <w:sz w:val="21"/>
                <w:szCs w:val="21"/>
              </w:rPr>
            </w:pPr>
            <w:r>
              <w:rPr>
                <w:rFonts w:hint="eastAsia"/>
                <w:color w:val="000000"/>
                <w:kern w:val="0"/>
                <w:sz w:val="21"/>
                <w:szCs w:val="21"/>
              </w:rPr>
              <w:t>0.5</w:t>
            </w:r>
          </w:p>
        </w:tc>
      </w:tr>
      <w:tr w14:paraId="72AC2D5B">
        <w:tblPrEx>
          <w:tblCellMar>
            <w:top w:w="0" w:type="dxa"/>
            <w:left w:w="108" w:type="dxa"/>
            <w:bottom w:w="0" w:type="dxa"/>
            <w:right w:w="108" w:type="dxa"/>
          </w:tblCellMar>
        </w:tblPrEx>
        <w:trPr>
          <w:trHeight w:val="425" w:hRule="atLeast"/>
        </w:trPr>
        <w:tc>
          <w:tcPr>
            <w:tcW w:w="1053" w:type="pct"/>
            <w:vMerge w:val="restart"/>
            <w:tcBorders>
              <w:top w:val="single" w:color="000000" w:sz="4" w:space="0"/>
              <w:left w:val="single" w:color="000000" w:sz="4" w:space="0"/>
              <w:right w:val="single" w:color="000000" w:sz="4" w:space="0"/>
            </w:tcBorders>
            <w:shd w:val="clear" w:color="auto" w:fill="auto"/>
            <w:noWrap/>
            <w:vAlign w:val="center"/>
          </w:tcPr>
          <w:p w14:paraId="53B0CF61">
            <w:pPr>
              <w:jc w:val="center"/>
              <w:rPr>
                <w:color w:val="000000"/>
                <w:sz w:val="21"/>
                <w:szCs w:val="21"/>
              </w:rPr>
            </w:pPr>
            <w:r>
              <w:rPr>
                <w:rFonts w:hint="eastAsia"/>
                <w:color w:val="000000"/>
                <w:sz w:val="21"/>
                <w:szCs w:val="21"/>
              </w:rPr>
              <w:t>部门效果</w:t>
            </w:r>
          </w:p>
          <w:p w14:paraId="7AB12175">
            <w:pPr>
              <w:pStyle w:val="8"/>
              <w:ind w:firstLine="420"/>
              <w:jc w:val="center"/>
            </w:pPr>
            <w:r>
              <w:rPr>
                <w:rFonts w:hint="eastAsia" w:ascii="仿宋" w:hAnsi="仿宋"/>
                <w:color w:val="000000"/>
                <w:sz w:val="21"/>
                <w:szCs w:val="21"/>
              </w:rPr>
              <w:t>（20分）</w:t>
            </w:r>
          </w:p>
        </w:tc>
        <w:tc>
          <w:tcPr>
            <w:tcW w:w="1055"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C862C43">
            <w:pPr>
              <w:jc w:val="center"/>
              <w:rPr>
                <w:color w:val="000000"/>
                <w:sz w:val="21"/>
                <w:szCs w:val="21"/>
              </w:rPr>
            </w:pPr>
            <w:r>
              <w:rPr>
                <w:rFonts w:hint="eastAsia"/>
                <w:color w:val="000000"/>
                <w:sz w:val="21"/>
                <w:szCs w:val="21"/>
              </w:rPr>
              <w:t>经济效益</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F7B5">
            <w:pPr>
              <w:jc w:val="center"/>
              <w:rPr>
                <w:color w:val="000000"/>
                <w:sz w:val="21"/>
                <w:szCs w:val="21"/>
              </w:rPr>
            </w:pPr>
            <w:r>
              <w:rPr>
                <w:rFonts w:hint="eastAsia"/>
                <w:color w:val="000000"/>
                <w:sz w:val="21"/>
                <w:szCs w:val="21"/>
              </w:rPr>
              <w:t>旅游收入增长幅度</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E682">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2631">
            <w:pPr>
              <w:jc w:val="center"/>
              <w:textAlignment w:val="center"/>
              <w:rPr>
                <w:color w:val="000000"/>
                <w:sz w:val="21"/>
                <w:szCs w:val="21"/>
              </w:rPr>
            </w:pPr>
            <w:r>
              <w:rPr>
                <w:rFonts w:hint="eastAsia"/>
                <w:color w:val="000000"/>
                <w:kern w:val="0"/>
                <w:sz w:val="21"/>
                <w:szCs w:val="21"/>
              </w:rPr>
              <w:t>2</w:t>
            </w:r>
          </w:p>
        </w:tc>
      </w:tr>
      <w:tr w14:paraId="050BA505">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4CAA339A">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5BF9B4C5">
            <w:pPr>
              <w:jc w:val="center"/>
              <w:rPr>
                <w:color w:val="000000"/>
                <w:sz w:val="21"/>
                <w:szCs w:val="21"/>
              </w:rPr>
            </w:pPr>
            <w:r>
              <w:rPr>
                <w:rFonts w:hint="eastAsia"/>
                <w:color w:val="000000"/>
                <w:sz w:val="21"/>
                <w:szCs w:val="21"/>
              </w:rPr>
              <w:t>社会效益</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FB69">
            <w:pPr>
              <w:jc w:val="center"/>
              <w:rPr>
                <w:color w:val="000000"/>
                <w:sz w:val="21"/>
                <w:szCs w:val="21"/>
              </w:rPr>
            </w:pPr>
            <w:r>
              <w:rPr>
                <w:rFonts w:hint="eastAsia"/>
                <w:color w:val="000000"/>
                <w:sz w:val="21"/>
                <w:szCs w:val="21"/>
              </w:rPr>
              <w:t>提升永济市形象和知名度</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83D6">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EC06">
            <w:pPr>
              <w:jc w:val="center"/>
              <w:textAlignment w:val="center"/>
              <w:rPr>
                <w:color w:val="000000"/>
                <w:sz w:val="21"/>
                <w:szCs w:val="21"/>
              </w:rPr>
            </w:pPr>
            <w:r>
              <w:rPr>
                <w:rFonts w:hint="eastAsia"/>
                <w:color w:val="000000"/>
                <w:kern w:val="0"/>
                <w:sz w:val="21"/>
                <w:szCs w:val="21"/>
              </w:rPr>
              <w:t>2</w:t>
            </w:r>
          </w:p>
        </w:tc>
      </w:tr>
      <w:tr w14:paraId="6A0CC1E5">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1D109690">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3A331270">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630D">
            <w:pPr>
              <w:jc w:val="center"/>
              <w:rPr>
                <w:color w:val="000000"/>
                <w:sz w:val="21"/>
                <w:szCs w:val="21"/>
              </w:rPr>
            </w:pPr>
            <w:r>
              <w:rPr>
                <w:rFonts w:hint="eastAsia"/>
                <w:color w:val="000000"/>
                <w:sz w:val="21"/>
                <w:szCs w:val="21"/>
              </w:rPr>
              <w:t>文化传承与保护</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55657">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E00E">
            <w:pPr>
              <w:jc w:val="center"/>
              <w:textAlignment w:val="center"/>
              <w:rPr>
                <w:color w:val="000000"/>
                <w:sz w:val="21"/>
                <w:szCs w:val="21"/>
              </w:rPr>
            </w:pPr>
            <w:r>
              <w:rPr>
                <w:rFonts w:hint="eastAsia"/>
                <w:color w:val="000000"/>
                <w:kern w:val="0"/>
                <w:sz w:val="21"/>
                <w:szCs w:val="21"/>
              </w:rPr>
              <w:t>2</w:t>
            </w:r>
          </w:p>
        </w:tc>
      </w:tr>
      <w:tr w14:paraId="0F8D8D69">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34959EFB">
            <w:pPr>
              <w:jc w:val="center"/>
              <w:rPr>
                <w:color w:val="000000"/>
                <w:sz w:val="21"/>
                <w:szCs w:val="21"/>
              </w:rPr>
            </w:pPr>
          </w:p>
        </w:tc>
        <w:tc>
          <w:tcPr>
            <w:tcW w:w="1055" w:type="pct"/>
            <w:vMerge w:val="continue"/>
            <w:tcBorders>
              <w:left w:val="single" w:color="000000" w:sz="4" w:space="0"/>
              <w:bottom w:val="single" w:color="auto" w:sz="4" w:space="0"/>
              <w:right w:val="single" w:color="000000" w:sz="4" w:space="0"/>
            </w:tcBorders>
            <w:shd w:val="clear" w:color="auto" w:fill="auto"/>
            <w:noWrap/>
            <w:vAlign w:val="center"/>
          </w:tcPr>
          <w:p w14:paraId="0A4FAE88">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45EB">
            <w:pPr>
              <w:jc w:val="center"/>
              <w:rPr>
                <w:color w:val="000000"/>
                <w:sz w:val="21"/>
                <w:szCs w:val="21"/>
              </w:rPr>
            </w:pPr>
            <w:r>
              <w:rPr>
                <w:rFonts w:hint="eastAsia"/>
                <w:color w:val="000000"/>
                <w:sz w:val="21"/>
                <w:szCs w:val="21"/>
              </w:rPr>
              <w:t>丰富民众的精神生活</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4D3D">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B20A">
            <w:pPr>
              <w:jc w:val="center"/>
              <w:textAlignment w:val="center"/>
              <w:rPr>
                <w:color w:val="000000"/>
                <w:sz w:val="21"/>
                <w:szCs w:val="21"/>
              </w:rPr>
            </w:pPr>
            <w:r>
              <w:rPr>
                <w:rFonts w:hint="eastAsia"/>
                <w:color w:val="000000"/>
                <w:kern w:val="0"/>
                <w:sz w:val="21"/>
                <w:szCs w:val="21"/>
              </w:rPr>
              <w:t>2</w:t>
            </w:r>
          </w:p>
        </w:tc>
      </w:tr>
      <w:tr w14:paraId="783FCEC9">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3E7FBC88">
            <w:pPr>
              <w:jc w:val="center"/>
              <w:rPr>
                <w:color w:val="000000"/>
                <w:sz w:val="21"/>
                <w:szCs w:val="21"/>
              </w:rPr>
            </w:pPr>
          </w:p>
        </w:tc>
        <w:tc>
          <w:tcPr>
            <w:tcW w:w="1055"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6C64982">
            <w:pPr>
              <w:jc w:val="center"/>
              <w:rPr>
                <w:color w:val="000000"/>
                <w:sz w:val="21"/>
                <w:szCs w:val="21"/>
              </w:rPr>
            </w:pPr>
            <w:r>
              <w:rPr>
                <w:rFonts w:hint="eastAsia"/>
                <w:color w:val="000000"/>
                <w:sz w:val="21"/>
                <w:szCs w:val="21"/>
              </w:rPr>
              <w:t>可持续性</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174C">
            <w:pPr>
              <w:jc w:val="center"/>
              <w:rPr>
                <w:color w:val="000000"/>
                <w:sz w:val="21"/>
                <w:szCs w:val="21"/>
              </w:rPr>
            </w:pPr>
            <w:r>
              <w:rPr>
                <w:rFonts w:hint="eastAsia"/>
                <w:color w:val="000000"/>
                <w:sz w:val="21"/>
                <w:szCs w:val="21"/>
              </w:rPr>
              <w:t>体制机制改革</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E0A3C">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E93E0">
            <w:pPr>
              <w:jc w:val="center"/>
              <w:textAlignment w:val="center"/>
              <w:rPr>
                <w:color w:val="000000"/>
                <w:sz w:val="21"/>
                <w:szCs w:val="21"/>
              </w:rPr>
            </w:pPr>
            <w:r>
              <w:rPr>
                <w:rFonts w:hint="eastAsia"/>
                <w:color w:val="000000"/>
                <w:kern w:val="0"/>
                <w:sz w:val="21"/>
                <w:szCs w:val="21"/>
              </w:rPr>
              <w:t>2</w:t>
            </w:r>
          </w:p>
        </w:tc>
      </w:tr>
      <w:tr w14:paraId="59A6EE6D">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50354AD0">
            <w:pPr>
              <w:jc w:val="center"/>
              <w:rPr>
                <w:color w:val="000000"/>
                <w:sz w:val="21"/>
                <w:szCs w:val="21"/>
              </w:rPr>
            </w:pPr>
          </w:p>
        </w:tc>
        <w:tc>
          <w:tcPr>
            <w:tcW w:w="1055"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3B094D3">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CE95">
            <w:pPr>
              <w:jc w:val="center"/>
              <w:rPr>
                <w:color w:val="000000"/>
                <w:sz w:val="21"/>
                <w:szCs w:val="21"/>
              </w:rPr>
            </w:pPr>
            <w:r>
              <w:rPr>
                <w:rFonts w:hint="eastAsia"/>
                <w:color w:val="000000"/>
                <w:sz w:val="21"/>
                <w:szCs w:val="21"/>
              </w:rPr>
              <w:t>干部队伍建设</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04EC">
            <w:pPr>
              <w:jc w:val="center"/>
              <w:rPr>
                <w:color w:val="000000"/>
                <w:sz w:val="21"/>
                <w:szCs w:val="21"/>
              </w:rPr>
            </w:pPr>
            <w:r>
              <w:rPr>
                <w:rFonts w:hint="eastAsia"/>
                <w:color w:val="000000"/>
                <w:sz w:val="21"/>
                <w:szCs w:val="21"/>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F644E">
            <w:pPr>
              <w:jc w:val="center"/>
              <w:textAlignment w:val="center"/>
              <w:rPr>
                <w:color w:val="000000"/>
                <w:sz w:val="21"/>
                <w:szCs w:val="21"/>
              </w:rPr>
            </w:pPr>
            <w:r>
              <w:rPr>
                <w:rFonts w:hint="eastAsia"/>
                <w:color w:val="000000"/>
                <w:kern w:val="0"/>
                <w:sz w:val="21"/>
                <w:szCs w:val="21"/>
              </w:rPr>
              <w:t>1.5</w:t>
            </w:r>
          </w:p>
        </w:tc>
      </w:tr>
      <w:tr w14:paraId="16A87A02">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78AB73E9">
            <w:pPr>
              <w:jc w:val="center"/>
              <w:rPr>
                <w:color w:val="000000"/>
                <w:sz w:val="21"/>
                <w:szCs w:val="21"/>
              </w:rPr>
            </w:pPr>
          </w:p>
        </w:tc>
        <w:tc>
          <w:tcPr>
            <w:tcW w:w="1055" w:type="pct"/>
            <w:vMerge w:val="restart"/>
            <w:tcBorders>
              <w:top w:val="single" w:color="auto" w:sz="4" w:space="0"/>
              <w:left w:val="single" w:color="000000" w:sz="4" w:space="0"/>
              <w:right w:val="single" w:color="000000" w:sz="4" w:space="0"/>
            </w:tcBorders>
            <w:shd w:val="clear" w:color="auto" w:fill="auto"/>
            <w:noWrap/>
            <w:vAlign w:val="center"/>
          </w:tcPr>
          <w:p w14:paraId="6AF9A301">
            <w:pPr>
              <w:jc w:val="center"/>
              <w:rPr>
                <w:color w:val="000000"/>
                <w:sz w:val="21"/>
                <w:szCs w:val="21"/>
              </w:rPr>
            </w:pPr>
            <w:r>
              <w:rPr>
                <w:rFonts w:hint="eastAsia"/>
                <w:color w:val="000000"/>
                <w:sz w:val="21"/>
                <w:szCs w:val="21"/>
              </w:rPr>
              <w:t>满意度</w:t>
            </w: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2219">
            <w:pPr>
              <w:jc w:val="center"/>
              <w:rPr>
                <w:color w:val="000000"/>
                <w:sz w:val="21"/>
                <w:szCs w:val="21"/>
              </w:rPr>
            </w:pPr>
            <w:r>
              <w:rPr>
                <w:rFonts w:hint="eastAsia"/>
                <w:color w:val="000000"/>
                <w:sz w:val="21"/>
                <w:szCs w:val="21"/>
              </w:rPr>
              <w:t>游客满意度</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ACFA">
            <w:pPr>
              <w:jc w:val="center"/>
              <w:rPr>
                <w:color w:val="000000"/>
                <w:sz w:val="21"/>
                <w:szCs w:val="21"/>
              </w:rPr>
            </w:pPr>
            <w:r>
              <w:rPr>
                <w:rFonts w:hint="eastAsia"/>
                <w:color w:val="000000"/>
                <w:sz w:val="21"/>
                <w:szCs w:val="21"/>
              </w:rPr>
              <w:t>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BBE7">
            <w:pPr>
              <w:jc w:val="center"/>
              <w:textAlignment w:val="center"/>
              <w:rPr>
                <w:color w:val="000000"/>
                <w:sz w:val="21"/>
                <w:szCs w:val="21"/>
              </w:rPr>
            </w:pPr>
            <w:r>
              <w:rPr>
                <w:rFonts w:hint="eastAsia"/>
                <w:color w:val="000000"/>
                <w:kern w:val="0"/>
                <w:sz w:val="21"/>
                <w:szCs w:val="21"/>
              </w:rPr>
              <w:t>3.78</w:t>
            </w:r>
          </w:p>
        </w:tc>
      </w:tr>
      <w:tr w14:paraId="683ED8C0">
        <w:tblPrEx>
          <w:tblCellMar>
            <w:top w:w="0" w:type="dxa"/>
            <w:left w:w="108" w:type="dxa"/>
            <w:bottom w:w="0" w:type="dxa"/>
            <w:right w:w="108" w:type="dxa"/>
          </w:tblCellMar>
        </w:tblPrEx>
        <w:trPr>
          <w:trHeight w:val="425" w:hRule="atLeast"/>
        </w:trPr>
        <w:tc>
          <w:tcPr>
            <w:tcW w:w="1053" w:type="pct"/>
            <w:vMerge w:val="continue"/>
            <w:tcBorders>
              <w:left w:val="single" w:color="000000" w:sz="4" w:space="0"/>
              <w:right w:val="single" w:color="000000" w:sz="4" w:space="0"/>
            </w:tcBorders>
            <w:shd w:val="clear" w:color="auto" w:fill="auto"/>
            <w:noWrap/>
            <w:vAlign w:val="center"/>
          </w:tcPr>
          <w:p w14:paraId="3E9F6DA9">
            <w:pPr>
              <w:jc w:val="center"/>
              <w:rPr>
                <w:color w:val="000000"/>
                <w:sz w:val="21"/>
                <w:szCs w:val="21"/>
              </w:rPr>
            </w:pPr>
          </w:p>
        </w:tc>
        <w:tc>
          <w:tcPr>
            <w:tcW w:w="1055" w:type="pct"/>
            <w:vMerge w:val="continue"/>
            <w:tcBorders>
              <w:left w:val="single" w:color="000000" w:sz="4" w:space="0"/>
              <w:right w:val="single" w:color="000000" w:sz="4" w:space="0"/>
            </w:tcBorders>
            <w:shd w:val="clear" w:color="auto" w:fill="auto"/>
            <w:noWrap/>
            <w:vAlign w:val="center"/>
          </w:tcPr>
          <w:p w14:paraId="1341345B">
            <w:pPr>
              <w:jc w:val="center"/>
              <w:rPr>
                <w:color w:val="000000"/>
                <w:sz w:val="21"/>
                <w:szCs w:val="21"/>
              </w:rPr>
            </w:pPr>
          </w:p>
        </w:tc>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370A9">
            <w:pPr>
              <w:jc w:val="center"/>
              <w:rPr>
                <w:color w:val="000000"/>
                <w:sz w:val="21"/>
                <w:szCs w:val="21"/>
              </w:rPr>
            </w:pPr>
            <w:r>
              <w:rPr>
                <w:rFonts w:hint="eastAsia"/>
                <w:color w:val="000000"/>
                <w:sz w:val="21"/>
                <w:szCs w:val="21"/>
              </w:rPr>
              <w:t>管理对象满意度</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BAB07">
            <w:pPr>
              <w:jc w:val="center"/>
              <w:rPr>
                <w:color w:val="000000"/>
                <w:sz w:val="21"/>
                <w:szCs w:val="21"/>
              </w:rPr>
            </w:pPr>
            <w:r>
              <w:rPr>
                <w:rFonts w:hint="eastAsia"/>
                <w:color w:val="000000"/>
                <w:sz w:val="21"/>
                <w:szCs w:val="21"/>
              </w:rPr>
              <w:t>4</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2D6C">
            <w:pPr>
              <w:jc w:val="center"/>
              <w:textAlignment w:val="center"/>
              <w:rPr>
                <w:color w:val="000000"/>
                <w:sz w:val="21"/>
                <w:szCs w:val="21"/>
              </w:rPr>
            </w:pPr>
            <w:r>
              <w:rPr>
                <w:rFonts w:hint="eastAsia"/>
                <w:color w:val="000000"/>
                <w:kern w:val="0"/>
                <w:sz w:val="21"/>
                <w:szCs w:val="21"/>
              </w:rPr>
              <w:t>3.95</w:t>
            </w:r>
          </w:p>
        </w:tc>
      </w:tr>
      <w:tr w14:paraId="14E64F49">
        <w:tblPrEx>
          <w:tblCellMar>
            <w:top w:w="0" w:type="dxa"/>
            <w:left w:w="108" w:type="dxa"/>
            <w:bottom w:w="0" w:type="dxa"/>
            <w:right w:w="108" w:type="dxa"/>
          </w:tblCellMar>
        </w:tblPrEx>
        <w:trPr>
          <w:trHeight w:val="425" w:hRule="atLeast"/>
        </w:trPr>
        <w:tc>
          <w:tcPr>
            <w:tcW w:w="365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C6CC">
            <w:pPr>
              <w:jc w:val="center"/>
              <w:rPr>
                <w:color w:val="000000"/>
                <w:sz w:val="21"/>
                <w:szCs w:val="21"/>
              </w:rPr>
            </w:pPr>
            <w:r>
              <w:rPr>
                <w:rFonts w:hint="eastAsia"/>
                <w:color w:val="000000"/>
                <w:sz w:val="21"/>
                <w:szCs w:val="21"/>
              </w:rPr>
              <w:t>合计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0AE8">
            <w:pPr>
              <w:jc w:val="center"/>
              <w:rPr>
                <w:color w:val="000000"/>
                <w:sz w:val="21"/>
                <w:szCs w:val="21"/>
              </w:rPr>
            </w:pPr>
            <w:r>
              <w:rPr>
                <w:rFonts w:hint="eastAsia"/>
                <w:color w:val="000000"/>
                <w:sz w:val="21"/>
                <w:szCs w:val="21"/>
              </w:rPr>
              <w:t>100</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479F">
            <w:pPr>
              <w:jc w:val="center"/>
              <w:textAlignment w:val="center"/>
              <w:rPr>
                <w:color w:val="000000"/>
                <w:sz w:val="21"/>
                <w:szCs w:val="21"/>
              </w:rPr>
            </w:pPr>
            <w:r>
              <w:rPr>
                <w:rFonts w:hint="eastAsia" w:ascii="宋体" w:hAnsi="宋体" w:eastAsia="宋体" w:cs="宋体"/>
                <w:color w:val="000000"/>
                <w:kern w:val="0"/>
                <w:sz w:val="22"/>
                <w:szCs w:val="22"/>
              </w:rPr>
              <w:t>89.44</w:t>
            </w:r>
          </w:p>
        </w:tc>
      </w:tr>
    </w:tbl>
    <w:p w14:paraId="32E294D1">
      <w:pPr>
        <w:rPr>
          <w:sz w:val="22"/>
          <w:szCs w:val="22"/>
        </w:rPr>
      </w:pPr>
      <w:r>
        <w:rPr>
          <w:rFonts w:hint="eastAsia"/>
          <w:sz w:val="22"/>
          <w:szCs w:val="22"/>
        </w:rPr>
        <w:br w:type="page"/>
      </w:r>
    </w:p>
    <w:p w14:paraId="175B87F3">
      <w:pPr>
        <w:pStyle w:val="17"/>
      </w:pPr>
      <w:bookmarkStart w:id="433" w:name="_Toc180503520"/>
      <w:bookmarkStart w:id="434" w:name="_Toc180138895"/>
      <w:r>
        <w:rPr>
          <w:rFonts w:hint="eastAsia"/>
        </w:rPr>
        <w:t>附件3：反映绩效的照片</w:t>
      </w:r>
      <w:bookmarkEnd w:id="429"/>
      <w:bookmarkEnd w:id="430"/>
      <w:bookmarkEnd w:id="431"/>
      <w:bookmarkEnd w:id="432"/>
      <w:bookmarkEnd w:id="433"/>
      <w:bookmarkEnd w:id="434"/>
    </w:p>
    <w:p w14:paraId="60F356A3">
      <w:pPr>
        <w:pStyle w:val="8"/>
        <w:ind w:firstLine="723"/>
        <w:jc w:val="center"/>
        <w:rPr>
          <w:rFonts w:ascii="仿宋" w:hAnsi="仿宋"/>
          <w:b/>
          <w:bCs/>
          <w:sz w:val="36"/>
          <w:szCs w:val="36"/>
        </w:rPr>
      </w:pPr>
      <w:r>
        <w:rPr>
          <w:rFonts w:hint="eastAsia" w:ascii="仿宋" w:hAnsi="仿宋"/>
          <w:b/>
          <w:bCs/>
          <w:sz w:val="36"/>
          <w:szCs w:val="36"/>
        </w:rPr>
        <w:t>反映部门绩效的照片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6"/>
        <w:gridCol w:w="4246"/>
      </w:tblGrid>
      <w:tr w14:paraId="3A9D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4276" w:type="dxa"/>
            <w:vAlign w:val="center"/>
          </w:tcPr>
          <w:p w14:paraId="5CFBEB90">
            <w:pPr>
              <w:spacing w:line="360" w:lineRule="auto"/>
              <w:jc w:val="center"/>
              <w:rPr>
                <w:highlight w:val="yellow"/>
              </w:rPr>
            </w:pPr>
            <w:r>
              <w:drawing>
                <wp:inline distT="0" distB="0" distL="114300" distR="114300">
                  <wp:extent cx="2574925" cy="1870075"/>
                  <wp:effectExtent l="0" t="0" r="508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2574925" cy="1870075"/>
                          </a:xfrm>
                          <a:prstGeom prst="rect">
                            <a:avLst/>
                          </a:prstGeom>
                          <a:noFill/>
                          <a:ln>
                            <a:noFill/>
                          </a:ln>
                        </pic:spPr>
                      </pic:pic>
                    </a:graphicData>
                  </a:graphic>
                </wp:inline>
              </w:drawing>
            </w:r>
          </w:p>
        </w:tc>
        <w:tc>
          <w:tcPr>
            <w:tcW w:w="4246" w:type="dxa"/>
            <w:vAlign w:val="center"/>
          </w:tcPr>
          <w:p w14:paraId="25693CEB">
            <w:pPr>
              <w:jc w:val="center"/>
              <w:rPr>
                <w:highlight w:val="yellow"/>
              </w:rPr>
            </w:pPr>
            <w:r>
              <w:drawing>
                <wp:inline distT="0" distB="0" distL="114300" distR="114300">
                  <wp:extent cx="2555240" cy="1794510"/>
                  <wp:effectExtent l="0" t="0" r="317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2555240" cy="1794510"/>
                          </a:xfrm>
                          <a:prstGeom prst="rect">
                            <a:avLst/>
                          </a:prstGeom>
                          <a:noFill/>
                          <a:ln>
                            <a:noFill/>
                          </a:ln>
                        </pic:spPr>
                      </pic:pic>
                    </a:graphicData>
                  </a:graphic>
                </wp:inline>
              </w:drawing>
            </w:r>
          </w:p>
        </w:tc>
      </w:tr>
      <w:tr w14:paraId="04CF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2"/>
            <w:vAlign w:val="center"/>
          </w:tcPr>
          <w:p w14:paraId="4200F9B9">
            <w:pPr>
              <w:jc w:val="center"/>
              <w:rPr>
                <w:sz w:val="22"/>
                <w:highlight w:val="yellow"/>
              </w:rPr>
            </w:pPr>
            <w:r>
              <w:rPr>
                <w:rFonts w:hint="eastAsia"/>
                <w:sz w:val="24"/>
                <w:szCs w:val="32"/>
              </w:rPr>
              <w:t>旅游厕所</w:t>
            </w:r>
          </w:p>
        </w:tc>
      </w:tr>
      <w:tr w14:paraId="5822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6" w:hRule="atLeast"/>
          <w:jc w:val="center"/>
        </w:trPr>
        <w:tc>
          <w:tcPr>
            <w:tcW w:w="4276" w:type="dxa"/>
            <w:vAlign w:val="center"/>
          </w:tcPr>
          <w:p w14:paraId="143C6BB9">
            <w:pPr>
              <w:jc w:val="center"/>
              <w:rPr>
                <w:highlight w:val="yellow"/>
              </w:rPr>
            </w:pPr>
            <w:r>
              <w:drawing>
                <wp:inline distT="0" distB="0" distL="114300" distR="114300">
                  <wp:extent cx="2576830" cy="1694815"/>
                  <wp:effectExtent l="0" t="0" r="317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2576830" cy="1694815"/>
                          </a:xfrm>
                          <a:prstGeom prst="rect">
                            <a:avLst/>
                          </a:prstGeom>
                          <a:noFill/>
                          <a:ln>
                            <a:noFill/>
                          </a:ln>
                        </pic:spPr>
                      </pic:pic>
                    </a:graphicData>
                  </a:graphic>
                </wp:inline>
              </w:drawing>
            </w:r>
          </w:p>
        </w:tc>
        <w:tc>
          <w:tcPr>
            <w:tcW w:w="4246" w:type="dxa"/>
            <w:vAlign w:val="center"/>
          </w:tcPr>
          <w:p w14:paraId="0D9EDF8B">
            <w:pPr>
              <w:jc w:val="center"/>
              <w:rPr>
                <w:highlight w:val="yellow"/>
              </w:rPr>
            </w:pPr>
            <w:r>
              <w:drawing>
                <wp:inline distT="0" distB="0" distL="114300" distR="114300">
                  <wp:extent cx="2574290" cy="1761490"/>
                  <wp:effectExtent l="0" t="0" r="5715" b="889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4"/>
                          <a:stretch>
                            <a:fillRect/>
                          </a:stretch>
                        </pic:blipFill>
                        <pic:spPr>
                          <a:xfrm>
                            <a:off x="0" y="0"/>
                            <a:ext cx="2574290" cy="1761490"/>
                          </a:xfrm>
                          <a:prstGeom prst="rect">
                            <a:avLst/>
                          </a:prstGeom>
                          <a:noFill/>
                          <a:ln>
                            <a:noFill/>
                          </a:ln>
                        </pic:spPr>
                      </pic:pic>
                    </a:graphicData>
                  </a:graphic>
                </wp:inline>
              </w:drawing>
            </w:r>
          </w:p>
        </w:tc>
      </w:tr>
      <w:tr w14:paraId="74C4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6" w:type="dxa"/>
            <w:vAlign w:val="center"/>
          </w:tcPr>
          <w:p w14:paraId="22FE61B7">
            <w:pPr>
              <w:jc w:val="center"/>
              <w:rPr>
                <w:sz w:val="22"/>
                <w:szCs w:val="22"/>
                <w:highlight w:val="yellow"/>
              </w:rPr>
            </w:pPr>
            <w:r>
              <w:rPr>
                <w:rFonts w:hint="eastAsia"/>
                <w:sz w:val="22"/>
                <w:szCs w:val="22"/>
              </w:rPr>
              <w:t>鹳雀楼停车场</w:t>
            </w:r>
          </w:p>
        </w:tc>
        <w:tc>
          <w:tcPr>
            <w:tcW w:w="4246" w:type="dxa"/>
            <w:vAlign w:val="center"/>
          </w:tcPr>
          <w:p w14:paraId="4B88945C">
            <w:pPr>
              <w:jc w:val="center"/>
              <w:rPr>
                <w:sz w:val="24"/>
                <w:szCs w:val="32"/>
              </w:rPr>
            </w:pPr>
            <w:r>
              <w:rPr>
                <w:rFonts w:hint="eastAsia"/>
                <w:sz w:val="24"/>
                <w:szCs w:val="32"/>
              </w:rPr>
              <w:t>鹳雀楼标识牌</w:t>
            </w:r>
          </w:p>
        </w:tc>
      </w:tr>
      <w:tr w14:paraId="22C0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4276" w:type="dxa"/>
            <w:vAlign w:val="center"/>
          </w:tcPr>
          <w:p w14:paraId="1D44E8AF">
            <w:pPr>
              <w:jc w:val="center"/>
              <w:rPr>
                <w:sz w:val="22"/>
                <w:szCs w:val="22"/>
                <w:highlight w:val="yellow"/>
              </w:rPr>
            </w:pPr>
            <w:r>
              <w:drawing>
                <wp:inline distT="0" distB="0" distL="114300" distR="114300">
                  <wp:extent cx="2576830" cy="1828165"/>
                  <wp:effectExtent l="0" t="0" r="317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2576830" cy="1828165"/>
                          </a:xfrm>
                          <a:prstGeom prst="rect">
                            <a:avLst/>
                          </a:prstGeom>
                          <a:noFill/>
                          <a:ln>
                            <a:noFill/>
                          </a:ln>
                        </pic:spPr>
                      </pic:pic>
                    </a:graphicData>
                  </a:graphic>
                </wp:inline>
              </w:drawing>
            </w:r>
          </w:p>
        </w:tc>
        <w:tc>
          <w:tcPr>
            <w:tcW w:w="4246" w:type="dxa"/>
            <w:vAlign w:val="center"/>
          </w:tcPr>
          <w:p w14:paraId="44C0B0D2">
            <w:pPr>
              <w:jc w:val="center"/>
              <w:rPr>
                <w:sz w:val="24"/>
                <w:szCs w:val="32"/>
              </w:rPr>
            </w:pPr>
            <w:r>
              <w:drawing>
                <wp:inline distT="0" distB="0" distL="114300" distR="114300">
                  <wp:extent cx="2392680" cy="1892300"/>
                  <wp:effectExtent l="0" t="0" r="3810"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6"/>
                          <a:stretch>
                            <a:fillRect/>
                          </a:stretch>
                        </pic:blipFill>
                        <pic:spPr>
                          <a:xfrm>
                            <a:off x="0" y="0"/>
                            <a:ext cx="2392680" cy="1892300"/>
                          </a:xfrm>
                          <a:prstGeom prst="rect">
                            <a:avLst/>
                          </a:prstGeom>
                          <a:noFill/>
                          <a:ln>
                            <a:noFill/>
                          </a:ln>
                        </pic:spPr>
                      </pic:pic>
                    </a:graphicData>
                  </a:graphic>
                </wp:inline>
              </w:drawing>
            </w:r>
          </w:p>
        </w:tc>
      </w:tr>
      <w:tr w14:paraId="5B7F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6" w:type="dxa"/>
            <w:vAlign w:val="center"/>
          </w:tcPr>
          <w:p w14:paraId="27C60304">
            <w:pPr>
              <w:jc w:val="center"/>
              <w:rPr>
                <w:sz w:val="22"/>
                <w:szCs w:val="22"/>
                <w:highlight w:val="yellow"/>
              </w:rPr>
            </w:pPr>
            <w:r>
              <w:rPr>
                <w:rFonts w:hint="eastAsia"/>
                <w:sz w:val="22"/>
                <w:szCs w:val="22"/>
              </w:rPr>
              <w:t>停车场绿化</w:t>
            </w:r>
          </w:p>
        </w:tc>
        <w:tc>
          <w:tcPr>
            <w:tcW w:w="4246" w:type="dxa"/>
            <w:vAlign w:val="center"/>
          </w:tcPr>
          <w:p w14:paraId="4C109F5E">
            <w:pPr>
              <w:jc w:val="center"/>
              <w:rPr>
                <w:sz w:val="24"/>
                <w:szCs w:val="32"/>
              </w:rPr>
            </w:pPr>
            <w:r>
              <w:rPr>
                <w:rFonts w:hint="eastAsia"/>
                <w:sz w:val="24"/>
                <w:szCs w:val="32"/>
              </w:rPr>
              <w:t>自行车道</w:t>
            </w:r>
          </w:p>
        </w:tc>
      </w:tr>
    </w:tbl>
    <w:p w14:paraId="0F47FF28">
      <w:pPr>
        <w:pStyle w:val="8"/>
        <w:ind w:firstLine="480"/>
        <w:rPr>
          <w:rFonts w:ascii="仿宋" w:hAnsi="仿宋"/>
          <w:sz w:val="24"/>
          <w:szCs w:val="24"/>
          <w:highlight w:val="yellow"/>
        </w:rPr>
        <w:sectPr>
          <w:footerReference r:id="rId17" w:type="default"/>
          <w:pgSz w:w="11906" w:h="16838"/>
          <w:pgMar w:top="1440" w:right="1800" w:bottom="1440" w:left="1800" w:header="851" w:footer="992" w:gutter="0"/>
          <w:cols w:space="425" w:num="1"/>
          <w:docGrid w:type="lines" w:linePitch="312" w:charSpace="0"/>
        </w:sectPr>
      </w:pPr>
    </w:p>
    <w:p w14:paraId="193640E3">
      <w:pPr>
        <w:pStyle w:val="17"/>
      </w:pPr>
      <w:bookmarkStart w:id="435" w:name="_Toc8719"/>
      <w:bookmarkStart w:id="436" w:name="_Toc13670"/>
      <w:bookmarkStart w:id="437" w:name="_Toc4567"/>
      <w:bookmarkStart w:id="438" w:name="_Toc180503521"/>
      <w:bookmarkStart w:id="439" w:name="_Toc180138896"/>
      <w:bookmarkStart w:id="440" w:name="_Toc13902"/>
      <w:r>
        <w:rPr>
          <w:rFonts w:hint="eastAsia"/>
        </w:rPr>
        <w:t>附件4：调查问卷分析报告</w:t>
      </w:r>
      <w:bookmarkEnd w:id="435"/>
      <w:bookmarkEnd w:id="436"/>
      <w:bookmarkEnd w:id="437"/>
      <w:bookmarkEnd w:id="438"/>
      <w:bookmarkEnd w:id="439"/>
      <w:bookmarkEnd w:id="440"/>
    </w:p>
    <w:p w14:paraId="3BF401D8">
      <w:pPr>
        <w:spacing w:line="600" w:lineRule="exact"/>
        <w:jc w:val="center"/>
        <w:rPr>
          <w:b/>
          <w:bCs/>
          <w:sz w:val="32"/>
          <w:szCs w:val="32"/>
        </w:rPr>
      </w:pPr>
      <w:bookmarkStart w:id="441" w:name="_Toc18851"/>
      <w:bookmarkStart w:id="442" w:name="_Toc23022"/>
      <w:r>
        <w:rPr>
          <w:rFonts w:hint="eastAsia"/>
          <w:b/>
          <w:bCs/>
          <w:sz w:val="32"/>
          <w:szCs w:val="32"/>
        </w:rPr>
        <w:t>永济市文化和旅游局2023年度部门整体支出</w:t>
      </w:r>
    </w:p>
    <w:bookmarkEnd w:id="441"/>
    <w:bookmarkEnd w:id="442"/>
    <w:p w14:paraId="5DC3C6D0">
      <w:pPr>
        <w:spacing w:line="600" w:lineRule="exact"/>
        <w:jc w:val="center"/>
      </w:pPr>
      <w:r>
        <w:rPr>
          <w:rFonts w:hint="eastAsia"/>
          <w:b/>
          <w:bCs/>
          <w:sz w:val="32"/>
          <w:szCs w:val="32"/>
        </w:rPr>
        <w:t>游客满意度调查报告</w:t>
      </w:r>
    </w:p>
    <w:p w14:paraId="3BB4A216">
      <w:pPr>
        <w:spacing w:line="560" w:lineRule="exact"/>
        <w:ind w:firstLine="562" w:firstLineChars="200"/>
        <w:rPr>
          <w:b/>
          <w:bCs/>
          <w:lang w:val="zh-TW"/>
        </w:rPr>
      </w:pPr>
      <w:bookmarkStart w:id="443" w:name="_Toc26040"/>
      <w:bookmarkStart w:id="444" w:name="_Toc19811"/>
      <w:r>
        <w:rPr>
          <w:rFonts w:hint="eastAsia"/>
          <w:b/>
          <w:bCs/>
          <w:lang w:val="zh-TW" w:eastAsia="zh-TW"/>
        </w:rPr>
        <w:t>一、调查</w:t>
      </w:r>
      <w:r>
        <w:rPr>
          <w:rFonts w:hint="eastAsia"/>
          <w:b/>
          <w:bCs/>
          <w:lang w:val="zh-TW"/>
        </w:rPr>
        <w:t>目的</w:t>
      </w:r>
      <w:bookmarkEnd w:id="443"/>
      <w:bookmarkEnd w:id="444"/>
    </w:p>
    <w:p w14:paraId="6057BCC8">
      <w:pPr>
        <w:spacing w:line="560" w:lineRule="exact"/>
        <w:ind w:firstLine="560" w:firstLineChars="200"/>
        <w:rPr>
          <w:lang w:val="zh-TW" w:eastAsia="zh-TW"/>
        </w:rPr>
      </w:pPr>
      <w:r>
        <w:rPr>
          <w:rFonts w:hint="eastAsia"/>
          <w:lang w:val="zh-TW" w:eastAsia="zh-TW"/>
        </w:rPr>
        <w:t>本次调查旨在</w:t>
      </w:r>
      <w:r>
        <w:rPr>
          <w:rFonts w:hint="eastAsia"/>
        </w:rPr>
        <w:t>了解游客对永济市文旅局2023年度工作的</w:t>
      </w:r>
      <w:r>
        <w:rPr>
          <w:rFonts w:hint="eastAsia"/>
          <w:lang w:val="zh-TW" w:eastAsia="zh-TW"/>
        </w:rPr>
        <w:t>满意度</w:t>
      </w:r>
      <w:r>
        <w:rPr>
          <w:rFonts w:hint="eastAsia"/>
          <w:lang w:val="zh-TW"/>
        </w:rPr>
        <w:t>，</w:t>
      </w:r>
      <w:r>
        <w:rPr>
          <w:rFonts w:hint="eastAsia"/>
          <w:lang w:val="zh-TW" w:eastAsia="zh-TW"/>
        </w:rPr>
        <w:t>为本次绩效评价工作提供数据支撑。</w:t>
      </w:r>
    </w:p>
    <w:p w14:paraId="60792E4D">
      <w:pPr>
        <w:spacing w:line="560" w:lineRule="exact"/>
        <w:ind w:firstLine="562" w:firstLineChars="200"/>
        <w:rPr>
          <w:b/>
          <w:bCs/>
          <w:lang w:val="zh-TW" w:eastAsia="zh-TW"/>
        </w:rPr>
      </w:pPr>
      <w:bookmarkStart w:id="445" w:name="_Toc22515"/>
      <w:bookmarkStart w:id="446" w:name="_Toc14326"/>
      <w:r>
        <w:rPr>
          <w:rFonts w:hint="eastAsia"/>
          <w:b/>
          <w:bCs/>
          <w:lang w:val="zh-TW"/>
        </w:rPr>
        <w:t>二</w:t>
      </w:r>
      <w:r>
        <w:rPr>
          <w:rFonts w:hint="eastAsia"/>
          <w:b/>
          <w:bCs/>
          <w:lang w:val="zh-TW" w:eastAsia="zh-TW"/>
        </w:rPr>
        <w:t>、调查对象和调查内容</w:t>
      </w:r>
      <w:bookmarkEnd w:id="445"/>
      <w:bookmarkEnd w:id="446"/>
    </w:p>
    <w:p w14:paraId="003EF8F1">
      <w:pPr>
        <w:spacing w:line="560" w:lineRule="exact"/>
        <w:ind w:firstLine="562" w:firstLineChars="200"/>
        <w:rPr>
          <w:b/>
          <w:bCs/>
          <w:lang w:val="zh-TW" w:eastAsia="zh-TW"/>
        </w:rPr>
      </w:pPr>
      <w:bookmarkStart w:id="447" w:name="_Toc21878"/>
      <w:bookmarkStart w:id="448" w:name="_Toc21400"/>
      <w:r>
        <w:rPr>
          <w:rFonts w:hint="eastAsia"/>
          <w:b/>
          <w:bCs/>
          <w:lang w:val="zh-TW" w:eastAsia="zh-TW"/>
        </w:rPr>
        <w:t>（一）调查对象</w:t>
      </w:r>
      <w:bookmarkEnd w:id="447"/>
      <w:bookmarkEnd w:id="448"/>
    </w:p>
    <w:p w14:paraId="4CE4EACA">
      <w:pPr>
        <w:spacing w:line="560" w:lineRule="exact"/>
        <w:ind w:firstLine="560" w:firstLineChars="200"/>
        <w:rPr>
          <w:highlight w:val="yellow"/>
        </w:rPr>
      </w:pPr>
      <w:r>
        <w:rPr>
          <w:rFonts w:hint="eastAsia"/>
          <w:lang w:val="zh-TW" w:eastAsia="zh-TW"/>
        </w:rPr>
        <w:t>本次调查对象为</w:t>
      </w:r>
      <w:r>
        <w:rPr>
          <w:rFonts w:hint="eastAsia"/>
        </w:rPr>
        <w:t>游客。</w:t>
      </w:r>
    </w:p>
    <w:p w14:paraId="58FECB2A">
      <w:pPr>
        <w:spacing w:line="560" w:lineRule="exact"/>
        <w:ind w:firstLine="562" w:firstLineChars="200"/>
        <w:rPr>
          <w:b/>
          <w:lang w:val="zh-TW"/>
        </w:rPr>
      </w:pPr>
      <w:bookmarkStart w:id="449" w:name="_Toc1502"/>
      <w:bookmarkStart w:id="450" w:name="_Toc953"/>
      <w:r>
        <w:rPr>
          <w:rFonts w:hint="eastAsia"/>
          <w:b/>
          <w:lang w:val="zh-TW"/>
        </w:rPr>
        <w:t>（二）调查内容</w:t>
      </w:r>
      <w:bookmarkEnd w:id="449"/>
      <w:bookmarkEnd w:id="450"/>
    </w:p>
    <w:p w14:paraId="101A6892">
      <w:pPr>
        <w:spacing w:line="560" w:lineRule="exact"/>
        <w:ind w:firstLine="560" w:firstLineChars="200"/>
      </w:pPr>
      <w:r>
        <w:rPr>
          <w:rFonts w:hint="eastAsia"/>
          <w:lang w:val="zh-TW" w:eastAsia="zh-TW"/>
        </w:rPr>
        <w:t>（</w:t>
      </w:r>
      <w:r>
        <w:rPr>
          <w:rFonts w:hint="eastAsia"/>
        </w:rPr>
        <w:t>1</w:t>
      </w:r>
      <w:r>
        <w:rPr>
          <w:rFonts w:hint="eastAsia"/>
          <w:lang w:val="zh-TW" w:eastAsia="zh-TW"/>
        </w:rPr>
        <w:t>）</w:t>
      </w:r>
      <w:r>
        <w:rPr>
          <w:rFonts w:hint="eastAsia"/>
          <w:lang w:val="zh-TW"/>
        </w:rPr>
        <w:t>基本</w:t>
      </w:r>
      <w:r>
        <w:rPr>
          <w:rFonts w:hint="eastAsia"/>
          <w:lang w:val="zh-TW" w:eastAsia="zh-TW"/>
        </w:rPr>
        <w:t>信息</w:t>
      </w:r>
    </w:p>
    <w:p w14:paraId="1FCD5D00">
      <w:pPr>
        <w:spacing w:line="560" w:lineRule="exact"/>
        <w:ind w:firstLine="560" w:firstLineChars="200"/>
        <w:rPr>
          <w:lang w:val="zh-TW"/>
        </w:rPr>
      </w:pPr>
      <w:r>
        <w:rPr>
          <w:rFonts w:hint="eastAsia"/>
        </w:rPr>
        <w:t>被调查对象性别、年龄、职业等</w:t>
      </w:r>
      <w:r>
        <w:rPr>
          <w:rFonts w:hint="eastAsia"/>
          <w:lang w:val="zh-TW"/>
        </w:rPr>
        <w:t>。</w:t>
      </w:r>
    </w:p>
    <w:p w14:paraId="0A6B5860">
      <w:pPr>
        <w:spacing w:line="560" w:lineRule="exact"/>
        <w:ind w:firstLine="560" w:firstLineChars="200"/>
        <w:rPr>
          <w:lang w:val="zh-TW"/>
        </w:rPr>
      </w:pPr>
      <w:r>
        <w:rPr>
          <w:rFonts w:hint="eastAsia"/>
          <w:lang w:val="zh-TW" w:eastAsia="zh-TW"/>
        </w:rPr>
        <w:t>（</w:t>
      </w:r>
      <w:r>
        <w:rPr>
          <w:rFonts w:hint="eastAsia"/>
        </w:rPr>
        <w:t>2</w:t>
      </w:r>
      <w:r>
        <w:rPr>
          <w:rFonts w:hint="eastAsia"/>
          <w:lang w:val="zh-TW" w:eastAsia="zh-TW"/>
        </w:rPr>
        <w:t>）</w:t>
      </w:r>
      <w:r>
        <w:rPr>
          <w:rFonts w:hint="eastAsia"/>
          <w:lang w:val="zh-TW"/>
        </w:rPr>
        <w:t>调查内容</w:t>
      </w:r>
    </w:p>
    <w:p w14:paraId="5DB7CBF2">
      <w:pPr>
        <w:spacing w:line="560" w:lineRule="exact"/>
        <w:ind w:firstLine="560" w:firstLineChars="200"/>
      </w:pPr>
      <w:r>
        <w:rPr>
          <w:rFonts w:hint="eastAsia"/>
        </w:rPr>
        <w:t>通过何种方式了解到本地旅游信息；旅游工作满意度；文化工作满意度；旅游人均消费及消费水平是否合理；永济市旅游发展最需要改进的方面及建议。</w:t>
      </w:r>
    </w:p>
    <w:p w14:paraId="070559AC">
      <w:pPr>
        <w:spacing w:line="560" w:lineRule="exact"/>
        <w:ind w:firstLine="562" w:firstLineChars="200"/>
        <w:rPr>
          <w:b/>
          <w:bCs/>
          <w:lang w:val="zh-TW" w:eastAsia="zh-TW"/>
        </w:rPr>
      </w:pPr>
      <w:bookmarkStart w:id="451" w:name="_Toc23131"/>
      <w:bookmarkStart w:id="452" w:name="_Toc23008"/>
      <w:r>
        <w:rPr>
          <w:rFonts w:hint="eastAsia"/>
          <w:b/>
          <w:bCs/>
          <w:lang w:val="zh-TW"/>
        </w:rPr>
        <w:t>三</w:t>
      </w:r>
      <w:r>
        <w:rPr>
          <w:rFonts w:hint="eastAsia"/>
          <w:b/>
          <w:bCs/>
          <w:lang w:val="zh-TW" w:eastAsia="zh-TW"/>
        </w:rPr>
        <w:t>、调查方法与调查方式</w:t>
      </w:r>
      <w:bookmarkEnd w:id="451"/>
      <w:bookmarkEnd w:id="452"/>
    </w:p>
    <w:p w14:paraId="09875E64">
      <w:pPr>
        <w:spacing w:line="560" w:lineRule="exact"/>
        <w:ind w:firstLine="562" w:firstLineChars="200"/>
        <w:rPr>
          <w:b/>
          <w:bCs/>
          <w:lang w:val="zh-TW" w:eastAsia="zh-TW"/>
        </w:rPr>
      </w:pPr>
      <w:bookmarkStart w:id="453" w:name="_Toc19979"/>
      <w:bookmarkStart w:id="454" w:name="_Toc4388"/>
      <w:r>
        <w:rPr>
          <w:rFonts w:hint="eastAsia"/>
          <w:b/>
          <w:bCs/>
          <w:lang w:val="zh-TW" w:eastAsia="zh-TW"/>
        </w:rPr>
        <w:t>（一）调查方法</w:t>
      </w:r>
      <w:bookmarkEnd w:id="453"/>
      <w:bookmarkEnd w:id="454"/>
    </w:p>
    <w:p w14:paraId="208DEF8F">
      <w:pPr>
        <w:spacing w:line="560" w:lineRule="exact"/>
        <w:ind w:firstLine="560" w:firstLineChars="200"/>
        <w:rPr>
          <w:lang w:val="zh-TW"/>
        </w:rPr>
      </w:pPr>
      <w:r>
        <w:rPr>
          <w:rFonts w:hint="eastAsia"/>
          <w:lang w:val="zh-TW"/>
        </w:rPr>
        <w:t>针对上述问卷调查对象开展问卷调查，在调查全面开展之前，先对部分样本问卷进行论证，依据论证结果对问卷和抽样方案进行修改和调整，以保证调研切合实际，顺利进行。</w:t>
      </w:r>
    </w:p>
    <w:p w14:paraId="7B801CF6">
      <w:pPr>
        <w:widowControl w:val="0"/>
        <w:spacing w:line="560" w:lineRule="exact"/>
        <w:ind w:firstLine="562" w:firstLineChars="200"/>
        <w:rPr>
          <w:b/>
          <w:bCs/>
          <w:szCs w:val="32"/>
          <w:lang w:val="zh-TW" w:eastAsia="zh-TW"/>
        </w:rPr>
      </w:pPr>
      <w:bookmarkStart w:id="455" w:name="_Toc13941"/>
      <w:r>
        <w:rPr>
          <w:rFonts w:hint="eastAsia"/>
          <w:b/>
          <w:bCs/>
          <w:szCs w:val="32"/>
          <w:lang w:val="zh-TW" w:eastAsia="zh-TW"/>
        </w:rPr>
        <w:t>（二）调查方式</w:t>
      </w:r>
      <w:bookmarkEnd w:id="455"/>
    </w:p>
    <w:p w14:paraId="44F01394">
      <w:pPr>
        <w:pStyle w:val="8"/>
        <w:widowControl w:val="0"/>
        <w:snapToGrid/>
        <w:ind w:firstLine="560"/>
        <w:rPr>
          <w:rFonts w:ascii="仿宋" w:hAnsi="仿宋"/>
          <w:szCs w:val="32"/>
        </w:rPr>
      </w:pPr>
      <w:r>
        <w:rPr>
          <w:rFonts w:hint="eastAsia" w:ascii="仿宋" w:hAnsi="仿宋"/>
          <w:szCs w:val="32"/>
        </w:rPr>
        <w:t>本次调查采用问卷星结合的方式进行，共计收回问卷1</w:t>
      </w:r>
      <w:r>
        <w:rPr>
          <w:rFonts w:hint="eastAsia" w:ascii="仿宋"/>
          <w:szCs w:val="32"/>
        </w:rPr>
        <w:t>19份</w:t>
      </w:r>
      <w:r>
        <w:rPr>
          <w:rFonts w:hint="eastAsia" w:ascii="仿宋" w:hAnsi="仿宋"/>
          <w:szCs w:val="32"/>
        </w:rPr>
        <w:t>，有效问卷1</w:t>
      </w:r>
      <w:r>
        <w:rPr>
          <w:rFonts w:hint="eastAsia" w:ascii="仿宋"/>
          <w:szCs w:val="32"/>
        </w:rPr>
        <w:t>19</w:t>
      </w:r>
      <w:r>
        <w:rPr>
          <w:rFonts w:hint="eastAsia" w:ascii="仿宋" w:hAnsi="仿宋"/>
          <w:szCs w:val="32"/>
        </w:rPr>
        <w:t>份。</w:t>
      </w:r>
    </w:p>
    <w:p w14:paraId="221CAB64">
      <w:pPr>
        <w:spacing w:line="560" w:lineRule="exact"/>
        <w:ind w:firstLine="562" w:firstLineChars="200"/>
        <w:rPr>
          <w:b/>
          <w:bCs/>
          <w:lang w:val="zh-TW" w:eastAsia="zh-TW"/>
        </w:rPr>
      </w:pPr>
      <w:bookmarkStart w:id="456" w:name="_Toc20194"/>
      <w:bookmarkStart w:id="457" w:name="_Toc24555"/>
      <w:r>
        <w:rPr>
          <w:rFonts w:hint="eastAsia"/>
          <w:b/>
          <w:bCs/>
          <w:lang w:val="zh-TW" w:eastAsia="zh-TW"/>
        </w:rPr>
        <w:t>（</w:t>
      </w:r>
      <w:r>
        <w:rPr>
          <w:rFonts w:hint="eastAsia"/>
          <w:b/>
          <w:bCs/>
        </w:rPr>
        <w:t>三</w:t>
      </w:r>
      <w:r>
        <w:rPr>
          <w:rFonts w:hint="eastAsia"/>
          <w:b/>
          <w:bCs/>
          <w:lang w:val="zh-TW" w:eastAsia="zh-TW"/>
        </w:rPr>
        <w:t>）问卷的发放和回收</w:t>
      </w:r>
      <w:bookmarkEnd w:id="456"/>
      <w:bookmarkEnd w:id="457"/>
      <w:r>
        <w:rPr>
          <w:rFonts w:hint="eastAsia"/>
          <w:b/>
          <w:bCs/>
          <w:lang w:val="zh-TW" w:eastAsia="zh-TW"/>
        </w:rPr>
        <w:tab/>
      </w:r>
    </w:p>
    <w:p w14:paraId="7E91FFBD">
      <w:pPr>
        <w:spacing w:line="560" w:lineRule="exact"/>
        <w:ind w:firstLine="560" w:firstLineChars="200"/>
        <w:rPr>
          <w:lang w:val="zh-TW" w:eastAsia="zh-TW"/>
        </w:rPr>
      </w:pPr>
      <w:r>
        <w:rPr>
          <w:rFonts w:hint="eastAsia"/>
          <w:lang w:val="zh-TW" w:eastAsia="zh-TW"/>
        </w:rPr>
        <w:t>评价组安排专业调查人员，组织安排问卷调查工作。在此过程中，将维持良好的问卷作答环境，保证调研的科学性和严谨性。</w:t>
      </w:r>
    </w:p>
    <w:p w14:paraId="26D28F92">
      <w:pPr>
        <w:spacing w:line="560" w:lineRule="exact"/>
        <w:ind w:firstLine="562" w:firstLineChars="200"/>
        <w:rPr>
          <w:b/>
          <w:bCs/>
          <w:lang w:val="zh-TW"/>
        </w:rPr>
      </w:pPr>
      <w:bookmarkStart w:id="458" w:name="_Toc27270"/>
      <w:bookmarkStart w:id="459" w:name="_Toc28830"/>
      <w:r>
        <w:rPr>
          <w:rFonts w:hint="eastAsia"/>
          <w:b/>
          <w:bCs/>
          <w:lang w:val="zh-TW" w:eastAsia="zh-TW"/>
        </w:rPr>
        <w:t>（</w:t>
      </w:r>
      <w:r>
        <w:rPr>
          <w:rFonts w:hint="eastAsia"/>
          <w:b/>
          <w:bCs/>
        </w:rPr>
        <w:t>四</w:t>
      </w:r>
      <w:r>
        <w:rPr>
          <w:rFonts w:hint="eastAsia"/>
          <w:b/>
          <w:bCs/>
          <w:lang w:val="zh-TW" w:eastAsia="zh-TW"/>
        </w:rPr>
        <w:t>）调研安排</w:t>
      </w:r>
      <w:bookmarkEnd w:id="458"/>
      <w:bookmarkEnd w:id="459"/>
    </w:p>
    <w:p w14:paraId="0F4837AB">
      <w:pPr>
        <w:spacing w:line="560" w:lineRule="exact"/>
        <w:ind w:firstLine="560" w:firstLineChars="200"/>
        <w:rPr>
          <w:b/>
          <w:bCs/>
          <w:highlight w:val="yellow"/>
        </w:rPr>
      </w:pPr>
      <w:r>
        <w:rPr>
          <w:rFonts w:hint="eastAsia"/>
          <w:lang w:val="zh-TW" w:eastAsia="zh-TW"/>
        </w:rPr>
        <w:t>根据项目进度安排，评价组于</w:t>
      </w:r>
      <w:r>
        <w:rPr>
          <w:rFonts w:hint="eastAsia"/>
        </w:rPr>
        <w:t>2024</w:t>
      </w:r>
      <w:r>
        <w:rPr>
          <w:rFonts w:hint="eastAsia"/>
          <w:lang w:val="zh-TW" w:eastAsia="zh-TW"/>
        </w:rPr>
        <w:t>年</w:t>
      </w:r>
      <w:r>
        <w:rPr>
          <w:rFonts w:hint="eastAsia"/>
        </w:rPr>
        <w:t>10</w:t>
      </w:r>
      <w:r>
        <w:rPr>
          <w:rFonts w:hint="eastAsia"/>
          <w:lang w:val="zh-TW" w:eastAsia="zh-TW"/>
        </w:rPr>
        <w:t>月</w:t>
      </w:r>
      <w:r>
        <w:rPr>
          <w:rFonts w:hint="eastAsia"/>
        </w:rPr>
        <w:t>22</w:t>
      </w:r>
      <w:r>
        <w:rPr>
          <w:rFonts w:hint="eastAsia"/>
          <w:lang w:val="zh-TW"/>
        </w:rPr>
        <w:t>日－</w:t>
      </w:r>
      <w:r>
        <w:rPr>
          <w:rFonts w:hint="eastAsia"/>
        </w:rPr>
        <w:t>10</w:t>
      </w:r>
      <w:r>
        <w:rPr>
          <w:rFonts w:hint="eastAsia"/>
          <w:lang w:val="zh-TW"/>
        </w:rPr>
        <w:t>月</w:t>
      </w:r>
      <w:r>
        <w:rPr>
          <w:rFonts w:hint="eastAsia"/>
        </w:rPr>
        <w:t>24</w:t>
      </w:r>
      <w:r>
        <w:rPr>
          <w:rFonts w:hint="eastAsia"/>
          <w:lang w:val="zh-TW"/>
        </w:rPr>
        <w:t>日</w:t>
      </w:r>
      <w:r>
        <w:rPr>
          <w:rFonts w:hint="eastAsia"/>
          <w:lang w:val="zh-TW" w:eastAsia="zh-TW"/>
        </w:rPr>
        <w:t>对调查对象开展问卷调查并回收、分析。</w:t>
      </w:r>
    </w:p>
    <w:p w14:paraId="7E5BEB0E">
      <w:pPr>
        <w:spacing w:line="560" w:lineRule="exact"/>
        <w:ind w:firstLine="562" w:firstLineChars="200"/>
        <w:rPr>
          <w:b/>
          <w:bCs/>
          <w:lang w:val="zh-TW" w:eastAsia="zh-TW"/>
        </w:rPr>
      </w:pPr>
      <w:bookmarkStart w:id="460" w:name="_Toc23184"/>
      <w:bookmarkStart w:id="461" w:name="_Toc1055"/>
      <w:r>
        <w:rPr>
          <w:rFonts w:hint="eastAsia"/>
          <w:b/>
          <w:bCs/>
        </w:rPr>
        <w:t>四</w:t>
      </w:r>
      <w:r>
        <w:rPr>
          <w:rFonts w:hint="eastAsia"/>
          <w:b/>
          <w:bCs/>
          <w:lang w:val="zh-TW" w:eastAsia="zh-TW"/>
        </w:rPr>
        <w:t>、调查分析</w:t>
      </w:r>
      <w:bookmarkEnd w:id="460"/>
      <w:bookmarkEnd w:id="461"/>
    </w:p>
    <w:p w14:paraId="42BE0D1C">
      <w:pPr>
        <w:spacing w:line="560" w:lineRule="exact"/>
        <w:ind w:firstLine="560" w:firstLineChars="200"/>
      </w:pPr>
      <w:r>
        <w:rPr>
          <w:rFonts w:hint="eastAsia"/>
        </w:rPr>
        <w:t>根据基本信息分析，本次调查的内容：</w:t>
      </w:r>
    </w:p>
    <w:p w14:paraId="24C3E61E">
      <w:pPr>
        <w:ind w:firstLine="560" w:firstLineChars="200"/>
        <w:rPr>
          <w:color w:val="0066FF"/>
        </w:rPr>
      </w:pPr>
      <w:r>
        <w:rPr>
          <w:color w:val="000000"/>
        </w:rPr>
        <w:t>1.您的性别</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2492C47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5F5F5"/>
            <w:vAlign w:val="center"/>
          </w:tcPr>
          <w:p w14:paraId="407DC391">
            <w:pPr>
              <w:jc w:val="left"/>
              <w:rPr>
                <w:sz w:val="21"/>
                <w:szCs w:val="21"/>
              </w:rPr>
            </w:pPr>
            <w:r>
              <w:rPr>
                <w:sz w:val="21"/>
                <w:szCs w:val="21"/>
              </w:rPr>
              <w:t>选项</w:t>
            </w:r>
          </w:p>
        </w:tc>
        <w:tc>
          <w:tcPr>
            <w:tcW w:w="1000" w:type="dxa"/>
            <w:shd w:val="clear" w:color="auto" w:fill="F5F5F5"/>
            <w:vAlign w:val="center"/>
          </w:tcPr>
          <w:p w14:paraId="3887871A">
            <w:pPr>
              <w:jc w:val="center"/>
              <w:rPr>
                <w:sz w:val="21"/>
                <w:szCs w:val="21"/>
              </w:rPr>
            </w:pPr>
            <w:r>
              <w:rPr>
                <w:sz w:val="21"/>
                <w:szCs w:val="21"/>
              </w:rPr>
              <w:t>小计</w:t>
            </w:r>
          </w:p>
        </w:tc>
        <w:tc>
          <w:tcPr>
            <w:tcW w:w="3106" w:type="dxa"/>
            <w:shd w:val="clear" w:color="auto" w:fill="F5F5F5"/>
            <w:vAlign w:val="center"/>
          </w:tcPr>
          <w:p w14:paraId="558B32C4">
            <w:pPr>
              <w:jc w:val="left"/>
              <w:rPr>
                <w:sz w:val="21"/>
                <w:szCs w:val="21"/>
              </w:rPr>
            </w:pPr>
            <w:r>
              <w:rPr>
                <w:sz w:val="21"/>
                <w:szCs w:val="21"/>
              </w:rPr>
              <w:t>比例</w:t>
            </w:r>
          </w:p>
        </w:tc>
      </w:tr>
      <w:tr w14:paraId="12756F7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FCB5321">
            <w:pPr>
              <w:jc w:val="left"/>
              <w:rPr>
                <w:sz w:val="21"/>
                <w:szCs w:val="21"/>
              </w:rPr>
            </w:pPr>
            <w:r>
              <w:rPr>
                <w:sz w:val="21"/>
                <w:szCs w:val="21"/>
              </w:rPr>
              <w:t>男</w:t>
            </w:r>
          </w:p>
        </w:tc>
        <w:tc>
          <w:tcPr>
            <w:tcW w:w="1000" w:type="dxa"/>
            <w:shd w:val="clear" w:color="auto" w:fill="FFFFFF"/>
            <w:vAlign w:val="center"/>
          </w:tcPr>
          <w:p w14:paraId="21DA037C">
            <w:pPr>
              <w:jc w:val="center"/>
              <w:rPr>
                <w:sz w:val="21"/>
                <w:szCs w:val="21"/>
              </w:rPr>
            </w:pPr>
            <w:r>
              <w:rPr>
                <w:sz w:val="21"/>
                <w:szCs w:val="21"/>
              </w:rPr>
              <w:t>51</w:t>
            </w:r>
          </w:p>
        </w:tc>
        <w:tc>
          <w:tcPr>
            <w:tcW w:w="3106" w:type="dxa"/>
            <w:shd w:val="clear" w:color="auto" w:fill="FFFFFF"/>
            <w:vAlign w:val="center"/>
          </w:tcPr>
          <w:p w14:paraId="575F4184">
            <w:pPr>
              <w:jc w:val="left"/>
              <w:rPr>
                <w:sz w:val="21"/>
                <w:szCs w:val="21"/>
              </w:rPr>
            </w:pPr>
            <w:r>
              <w:rPr>
                <w:sz w:val="21"/>
                <w:szCs w:val="21"/>
              </w:rPr>
              <w:drawing>
                <wp:inline distT="0" distB="0" distL="114300" distR="114300">
                  <wp:extent cx="571500" cy="114300"/>
                  <wp:effectExtent l="0" t="0" r="635" b="444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7"/>
                          <a:stretch>
                            <a:fillRect/>
                          </a:stretch>
                        </pic:blipFill>
                        <pic:spPr>
                          <a:xfrm>
                            <a:off x="0" y="0"/>
                            <a:ext cx="571580" cy="114316"/>
                          </a:xfrm>
                          <a:prstGeom prst="rect">
                            <a:avLst/>
                          </a:prstGeom>
                        </pic:spPr>
                      </pic:pic>
                    </a:graphicData>
                  </a:graphic>
                </wp:inline>
              </w:drawing>
            </w:r>
            <w:r>
              <w:rPr>
                <w:sz w:val="21"/>
                <w:szCs w:val="21"/>
              </w:rPr>
              <w:drawing>
                <wp:inline distT="0" distB="0" distL="114300" distR="114300">
                  <wp:extent cx="781050" cy="114300"/>
                  <wp:effectExtent l="0" t="0" r="6985" b="444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8"/>
                          <a:stretch>
                            <a:fillRect/>
                          </a:stretch>
                        </pic:blipFill>
                        <pic:spPr>
                          <a:xfrm>
                            <a:off x="0" y="0"/>
                            <a:ext cx="781159" cy="114316"/>
                          </a:xfrm>
                          <a:prstGeom prst="rect">
                            <a:avLst/>
                          </a:prstGeom>
                        </pic:spPr>
                      </pic:pic>
                    </a:graphicData>
                  </a:graphic>
                </wp:inline>
              </w:drawing>
            </w:r>
            <w:r>
              <w:rPr>
                <w:sz w:val="21"/>
                <w:szCs w:val="21"/>
              </w:rPr>
              <w:t>42.86%</w:t>
            </w:r>
          </w:p>
        </w:tc>
      </w:tr>
      <w:tr w14:paraId="46DE646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9AA7293">
            <w:pPr>
              <w:jc w:val="left"/>
              <w:rPr>
                <w:sz w:val="21"/>
                <w:szCs w:val="21"/>
              </w:rPr>
            </w:pPr>
            <w:r>
              <w:rPr>
                <w:sz w:val="21"/>
                <w:szCs w:val="21"/>
              </w:rPr>
              <w:t>女</w:t>
            </w:r>
          </w:p>
        </w:tc>
        <w:tc>
          <w:tcPr>
            <w:tcW w:w="1000" w:type="dxa"/>
            <w:shd w:val="clear" w:color="auto" w:fill="FAFAFA"/>
            <w:vAlign w:val="center"/>
          </w:tcPr>
          <w:p w14:paraId="3EC4A994">
            <w:pPr>
              <w:jc w:val="center"/>
              <w:rPr>
                <w:sz w:val="21"/>
                <w:szCs w:val="21"/>
              </w:rPr>
            </w:pPr>
            <w:r>
              <w:rPr>
                <w:sz w:val="21"/>
                <w:szCs w:val="21"/>
              </w:rPr>
              <w:t>68</w:t>
            </w:r>
          </w:p>
        </w:tc>
        <w:tc>
          <w:tcPr>
            <w:tcW w:w="3106" w:type="dxa"/>
            <w:shd w:val="clear" w:color="auto" w:fill="FAFAFA"/>
            <w:vAlign w:val="center"/>
          </w:tcPr>
          <w:p w14:paraId="23F3D8A5">
            <w:pPr>
              <w:jc w:val="left"/>
              <w:rPr>
                <w:sz w:val="21"/>
                <w:szCs w:val="21"/>
              </w:rPr>
            </w:pPr>
            <w:r>
              <w:rPr>
                <w:sz w:val="21"/>
                <w:szCs w:val="21"/>
              </w:rPr>
              <w:drawing>
                <wp:inline distT="0" distB="0" distL="114300" distR="114300">
                  <wp:extent cx="771525" cy="114300"/>
                  <wp:effectExtent l="0" t="0" r="5715" b="444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9"/>
                          <a:stretch>
                            <a:fillRect/>
                          </a:stretch>
                        </pic:blipFill>
                        <pic:spPr>
                          <a:xfrm>
                            <a:off x="0" y="0"/>
                            <a:ext cx="771633" cy="114316"/>
                          </a:xfrm>
                          <a:prstGeom prst="rect">
                            <a:avLst/>
                          </a:prstGeom>
                        </pic:spPr>
                      </pic:pic>
                    </a:graphicData>
                  </a:graphic>
                </wp:inline>
              </w:drawing>
            </w:r>
            <w:r>
              <w:rPr>
                <w:sz w:val="21"/>
                <w:szCs w:val="21"/>
              </w:rPr>
              <w:drawing>
                <wp:inline distT="0" distB="0" distL="114300" distR="114300">
                  <wp:extent cx="581025" cy="114300"/>
                  <wp:effectExtent l="0" t="0" r="1905" b="444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30"/>
                          <a:stretch>
                            <a:fillRect/>
                          </a:stretch>
                        </pic:blipFill>
                        <pic:spPr>
                          <a:xfrm>
                            <a:off x="0" y="0"/>
                            <a:ext cx="581106" cy="114316"/>
                          </a:xfrm>
                          <a:prstGeom prst="rect">
                            <a:avLst/>
                          </a:prstGeom>
                        </pic:spPr>
                      </pic:pic>
                    </a:graphicData>
                  </a:graphic>
                </wp:inline>
              </w:drawing>
            </w:r>
            <w:r>
              <w:rPr>
                <w:sz w:val="21"/>
                <w:szCs w:val="21"/>
              </w:rPr>
              <w:t>57.14%</w:t>
            </w:r>
          </w:p>
        </w:tc>
      </w:tr>
      <w:tr w14:paraId="51CBF3D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2CB9F35">
            <w:pPr>
              <w:jc w:val="left"/>
              <w:rPr>
                <w:sz w:val="21"/>
                <w:szCs w:val="21"/>
              </w:rPr>
            </w:pPr>
            <w:r>
              <w:rPr>
                <w:sz w:val="21"/>
                <w:szCs w:val="21"/>
              </w:rPr>
              <w:t>本题有效填写人次</w:t>
            </w:r>
          </w:p>
        </w:tc>
        <w:tc>
          <w:tcPr>
            <w:tcW w:w="1000" w:type="dxa"/>
            <w:shd w:val="clear" w:color="auto" w:fill="F5F5F5"/>
            <w:vAlign w:val="center"/>
          </w:tcPr>
          <w:p w14:paraId="0B1D6EE7">
            <w:pPr>
              <w:jc w:val="center"/>
              <w:rPr>
                <w:sz w:val="21"/>
                <w:szCs w:val="21"/>
              </w:rPr>
            </w:pPr>
            <w:r>
              <w:rPr>
                <w:sz w:val="21"/>
                <w:szCs w:val="21"/>
              </w:rPr>
              <w:t>119</w:t>
            </w:r>
          </w:p>
        </w:tc>
        <w:tc>
          <w:tcPr>
            <w:tcW w:w="3106" w:type="dxa"/>
            <w:shd w:val="clear" w:color="auto" w:fill="F5F5F5"/>
            <w:vAlign w:val="center"/>
          </w:tcPr>
          <w:p w14:paraId="768A7050">
            <w:pPr>
              <w:jc w:val="left"/>
              <w:rPr>
                <w:sz w:val="21"/>
                <w:szCs w:val="21"/>
              </w:rPr>
            </w:pPr>
          </w:p>
        </w:tc>
      </w:tr>
    </w:tbl>
    <w:p w14:paraId="01D8955F">
      <w:pPr>
        <w:ind w:firstLine="560" w:firstLineChars="200"/>
        <w:rPr>
          <w:color w:val="000000"/>
        </w:rPr>
      </w:pPr>
      <w:r>
        <w:rPr>
          <w:color w:val="000000"/>
        </w:rPr>
        <w:t>2.您的年龄</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30B7F16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27464C9">
            <w:pPr>
              <w:jc w:val="left"/>
              <w:rPr>
                <w:sz w:val="21"/>
                <w:szCs w:val="21"/>
              </w:rPr>
            </w:pPr>
            <w:r>
              <w:rPr>
                <w:sz w:val="21"/>
                <w:szCs w:val="21"/>
              </w:rPr>
              <w:t>选项</w:t>
            </w:r>
          </w:p>
        </w:tc>
        <w:tc>
          <w:tcPr>
            <w:tcW w:w="1000" w:type="dxa"/>
            <w:shd w:val="clear" w:color="auto" w:fill="F5F5F5"/>
            <w:vAlign w:val="center"/>
          </w:tcPr>
          <w:p w14:paraId="1A48E06C">
            <w:pPr>
              <w:jc w:val="left"/>
              <w:rPr>
                <w:sz w:val="21"/>
                <w:szCs w:val="21"/>
              </w:rPr>
            </w:pPr>
            <w:r>
              <w:rPr>
                <w:sz w:val="21"/>
                <w:szCs w:val="21"/>
              </w:rPr>
              <w:t>小计</w:t>
            </w:r>
          </w:p>
        </w:tc>
        <w:tc>
          <w:tcPr>
            <w:tcW w:w="3106" w:type="dxa"/>
            <w:shd w:val="clear" w:color="auto" w:fill="F5F5F5"/>
            <w:vAlign w:val="center"/>
          </w:tcPr>
          <w:p w14:paraId="49D5E270">
            <w:pPr>
              <w:jc w:val="left"/>
              <w:rPr>
                <w:sz w:val="21"/>
                <w:szCs w:val="21"/>
              </w:rPr>
            </w:pPr>
            <w:r>
              <w:rPr>
                <w:sz w:val="21"/>
                <w:szCs w:val="21"/>
              </w:rPr>
              <w:t>比例</w:t>
            </w:r>
          </w:p>
        </w:tc>
      </w:tr>
      <w:tr w14:paraId="4CAB178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A3BFF5C">
            <w:pPr>
              <w:jc w:val="left"/>
              <w:rPr>
                <w:sz w:val="21"/>
                <w:szCs w:val="21"/>
              </w:rPr>
            </w:pPr>
            <w:r>
              <w:rPr>
                <w:sz w:val="21"/>
                <w:szCs w:val="21"/>
              </w:rPr>
              <w:t>18岁以下</w:t>
            </w:r>
          </w:p>
        </w:tc>
        <w:tc>
          <w:tcPr>
            <w:tcW w:w="1000" w:type="dxa"/>
            <w:shd w:val="clear" w:color="auto" w:fill="FFFFFF"/>
            <w:vAlign w:val="center"/>
          </w:tcPr>
          <w:p w14:paraId="2F482A9B">
            <w:pPr>
              <w:jc w:val="left"/>
              <w:rPr>
                <w:sz w:val="21"/>
                <w:szCs w:val="21"/>
              </w:rPr>
            </w:pPr>
            <w:r>
              <w:rPr>
                <w:sz w:val="21"/>
                <w:szCs w:val="21"/>
              </w:rPr>
              <w:t>9</w:t>
            </w:r>
          </w:p>
        </w:tc>
        <w:tc>
          <w:tcPr>
            <w:tcW w:w="3106" w:type="dxa"/>
            <w:shd w:val="clear" w:color="auto" w:fill="FFFFFF"/>
            <w:vAlign w:val="center"/>
          </w:tcPr>
          <w:p w14:paraId="52852EA0">
            <w:pPr>
              <w:jc w:val="left"/>
              <w:rPr>
                <w:sz w:val="21"/>
                <w:szCs w:val="21"/>
              </w:rPr>
            </w:pPr>
            <w:r>
              <w:rPr>
                <w:sz w:val="21"/>
                <w:szCs w:val="21"/>
              </w:rPr>
              <w:drawing>
                <wp:inline distT="0" distB="0" distL="114300" distR="114300">
                  <wp:extent cx="95250" cy="114300"/>
                  <wp:effectExtent l="0" t="0" r="1905" b="444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31"/>
                          <a:stretch>
                            <a:fillRect/>
                          </a:stretch>
                        </pic:blipFill>
                        <pic:spPr>
                          <a:xfrm>
                            <a:off x="0" y="0"/>
                            <a:ext cx="95263" cy="114316"/>
                          </a:xfrm>
                          <a:prstGeom prst="rect">
                            <a:avLst/>
                          </a:prstGeom>
                        </pic:spPr>
                      </pic:pic>
                    </a:graphicData>
                  </a:graphic>
                </wp:inline>
              </w:drawing>
            </w:r>
            <w:r>
              <w:rPr>
                <w:sz w:val="21"/>
                <w:szCs w:val="21"/>
              </w:rPr>
              <w:drawing>
                <wp:inline distT="0" distB="0" distL="114300" distR="114300">
                  <wp:extent cx="1257300" cy="114300"/>
                  <wp:effectExtent l="0" t="0" r="5715" b="444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2"/>
                          <a:stretch>
                            <a:fillRect/>
                          </a:stretch>
                        </pic:blipFill>
                        <pic:spPr>
                          <a:xfrm>
                            <a:off x="0" y="0"/>
                            <a:ext cx="1257476" cy="114316"/>
                          </a:xfrm>
                          <a:prstGeom prst="rect">
                            <a:avLst/>
                          </a:prstGeom>
                        </pic:spPr>
                      </pic:pic>
                    </a:graphicData>
                  </a:graphic>
                </wp:inline>
              </w:drawing>
            </w:r>
            <w:r>
              <w:rPr>
                <w:sz w:val="21"/>
                <w:szCs w:val="21"/>
              </w:rPr>
              <w:t>7.56%</w:t>
            </w:r>
          </w:p>
        </w:tc>
      </w:tr>
      <w:tr w14:paraId="438C2FB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99D7565">
            <w:pPr>
              <w:jc w:val="left"/>
              <w:rPr>
                <w:sz w:val="21"/>
                <w:szCs w:val="21"/>
              </w:rPr>
            </w:pPr>
            <w:r>
              <w:rPr>
                <w:sz w:val="21"/>
                <w:szCs w:val="21"/>
              </w:rPr>
              <w:t>19-30岁</w:t>
            </w:r>
          </w:p>
        </w:tc>
        <w:tc>
          <w:tcPr>
            <w:tcW w:w="1000" w:type="dxa"/>
            <w:shd w:val="clear" w:color="auto" w:fill="FAFAFA"/>
            <w:vAlign w:val="center"/>
          </w:tcPr>
          <w:p w14:paraId="2A9CF14C">
            <w:pPr>
              <w:jc w:val="left"/>
              <w:rPr>
                <w:sz w:val="21"/>
                <w:szCs w:val="21"/>
              </w:rPr>
            </w:pPr>
            <w:r>
              <w:rPr>
                <w:sz w:val="21"/>
                <w:szCs w:val="21"/>
              </w:rPr>
              <w:t>42</w:t>
            </w:r>
          </w:p>
        </w:tc>
        <w:tc>
          <w:tcPr>
            <w:tcW w:w="3106" w:type="dxa"/>
            <w:shd w:val="clear" w:color="auto" w:fill="FAFAFA"/>
            <w:vAlign w:val="center"/>
          </w:tcPr>
          <w:p w14:paraId="31D62F22">
            <w:pPr>
              <w:jc w:val="left"/>
              <w:rPr>
                <w:sz w:val="21"/>
                <w:szCs w:val="21"/>
              </w:rPr>
            </w:pPr>
            <w:r>
              <w:rPr>
                <w:sz w:val="21"/>
                <w:szCs w:val="21"/>
              </w:rPr>
              <w:drawing>
                <wp:inline distT="0" distB="0" distL="114300" distR="114300">
                  <wp:extent cx="476250" cy="114300"/>
                  <wp:effectExtent l="0" t="0" r="9525" b="444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3"/>
                          <a:stretch>
                            <a:fillRect/>
                          </a:stretch>
                        </pic:blipFill>
                        <pic:spPr>
                          <a:xfrm>
                            <a:off x="0" y="0"/>
                            <a:ext cx="476316" cy="114316"/>
                          </a:xfrm>
                          <a:prstGeom prst="rect">
                            <a:avLst/>
                          </a:prstGeom>
                        </pic:spPr>
                      </pic:pic>
                    </a:graphicData>
                  </a:graphic>
                </wp:inline>
              </w:drawing>
            </w:r>
            <w:r>
              <w:rPr>
                <w:sz w:val="21"/>
                <w:szCs w:val="21"/>
              </w:rPr>
              <w:drawing>
                <wp:inline distT="0" distB="0" distL="114300" distR="114300">
                  <wp:extent cx="876300" cy="114300"/>
                  <wp:effectExtent l="0" t="0" r="8890" b="444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4"/>
                          <a:stretch>
                            <a:fillRect/>
                          </a:stretch>
                        </pic:blipFill>
                        <pic:spPr>
                          <a:xfrm>
                            <a:off x="0" y="0"/>
                            <a:ext cx="876422" cy="114316"/>
                          </a:xfrm>
                          <a:prstGeom prst="rect">
                            <a:avLst/>
                          </a:prstGeom>
                        </pic:spPr>
                      </pic:pic>
                    </a:graphicData>
                  </a:graphic>
                </wp:inline>
              </w:drawing>
            </w:r>
            <w:r>
              <w:rPr>
                <w:sz w:val="21"/>
                <w:szCs w:val="21"/>
              </w:rPr>
              <w:t>35.29%</w:t>
            </w:r>
          </w:p>
        </w:tc>
      </w:tr>
      <w:tr w14:paraId="431D528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EF05F43">
            <w:pPr>
              <w:jc w:val="left"/>
              <w:rPr>
                <w:sz w:val="21"/>
                <w:szCs w:val="21"/>
              </w:rPr>
            </w:pPr>
            <w:r>
              <w:rPr>
                <w:sz w:val="21"/>
                <w:szCs w:val="21"/>
              </w:rPr>
              <w:t>31-55岁</w:t>
            </w:r>
          </w:p>
        </w:tc>
        <w:tc>
          <w:tcPr>
            <w:tcW w:w="1000" w:type="dxa"/>
            <w:shd w:val="clear" w:color="auto" w:fill="FFFFFF"/>
            <w:vAlign w:val="center"/>
          </w:tcPr>
          <w:p w14:paraId="027427D4">
            <w:pPr>
              <w:jc w:val="left"/>
              <w:rPr>
                <w:sz w:val="21"/>
                <w:szCs w:val="21"/>
              </w:rPr>
            </w:pPr>
            <w:r>
              <w:rPr>
                <w:sz w:val="21"/>
                <w:szCs w:val="21"/>
              </w:rPr>
              <w:t>63</w:t>
            </w:r>
          </w:p>
        </w:tc>
        <w:tc>
          <w:tcPr>
            <w:tcW w:w="3106" w:type="dxa"/>
            <w:shd w:val="clear" w:color="auto" w:fill="FFFFFF"/>
            <w:vAlign w:val="center"/>
          </w:tcPr>
          <w:p w14:paraId="2E8C94CB">
            <w:pPr>
              <w:jc w:val="left"/>
              <w:rPr>
                <w:sz w:val="21"/>
                <w:szCs w:val="21"/>
              </w:rPr>
            </w:pPr>
            <w:r>
              <w:rPr>
                <w:sz w:val="21"/>
                <w:szCs w:val="21"/>
              </w:rPr>
              <w:drawing>
                <wp:inline distT="0" distB="0" distL="114300" distR="114300">
                  <wp:extent cx="714375" cy="114300"/>
                  <wp:effectExtent l="0" t="0" r="8890" b="444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5"/>
                          <a:stretch>
                            <a:fillRect/>
                          </a:stretch>
                        </pic:blipFill>
                        <pic:spPr>
                          <a:xfrm>
                            <a:off x="0" y="0"/>
                            <a:ext cx="714475" cy="114316"/>
                          </a:xfrm>
                          <a:prstGeom prst="rect">
                            <a:avLst/>
                          </a:prstGeom>
                        </pic:spPr>
                      </pic:pic>
                    </a:graphicData>
                  </a:graphic>
                </wp:inline>
              </w:drawing>
            </w:r>
            <w:r>
              <w:rPr>
                <w:sz w:val="21"/>
                <w:szCs w:val="21"/>
              </w:rPr>
              <w:drawing>
                <wp:inline distT="0" distB="0" distL="114300" distR="114300">
                  <wp:extent cx="638175" cy="114300"/>
                  <wp:effectExtent l="0" t="0" r="9525" b="444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6"/>
                          <a:stretch>
                            <a:fillRect/>
                          </a:stretch>
                        </pic:blipFill>
                        <pic:spPr>
                          <a:xfrm>
                            <a:off x="0" y="0"/>
                            <a:ext cx="638264" cy="114316"/>
                          </a:xfrm>
                          <a:prstGeom prst="rect">
                            <a:avLst/>
                          </a:prstGeom>
                        </pic:spPr>
                      </pic:pic>
                    </a:graphicData>
                  </a:graphic>
                </wp:inline>
              </w:drawing>
            </w:r>
            <w:r>
              <w:rPr>
                <w:sz w:val="21"/>
                <w:szCs w:val="21"/>
              </w:rPr>
              <w:t>52.94%</w:t>
            </w:r>
          </w:p>
        </w:tc>
      </w:tr>
      <w:tr w14:paraId="755553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5BE5F9D">
            <w:pPr>
              <w:jc w:val="left"/>
              <w:rPr>
                <w:sz w:val="21"/>
                <w:szCs w:val="21"/>
              </w:rPr>
            </w:pPr>
            <w:r>
              <w:rPr>
                <w:sz w:val="21"/>
                <w:szCs w:val="21"/>
              </w:rPr>
              <w:t>56岁以上</w:t>
            </w:r>
          </w:p>
        </w:tc>
        <w:tc>
          <w:tcPr>
            <w:tcW w:w="1000" w:type="dxa"/>
            <w:shd w:val="clear" w:color="auto" w:fill="FAFAFA"/>
            <w:vAlign w:val="center"/>
          </w:tcPr>
          <w:p w14:paraId="67E8A628">
            <w:pPr>
              <w:jc w:val="left"/>
              <w:rPr>
                <w:sz w:val="21"/>
                <w:szCs w:val="21"/>
              </w:rPr>
            </w:pPr>
            <w:r>
              <w:rPr>
                <w:sz w:val="21"/>
                <w:szCs w:val="21"/>
              </w:rPr>
              <w:t>5</w:t>
            </w:r>
          </w:p>
        </w:tc>
        <w:tc>
          <w:tcPr>
            <w:tcW w:w="3106" w:type="dxa"/>
            <w:shd w:val="clear" w:color="auto" w:fill="FAFAFA"/>
            <w:vAlign w:val="center"/>
          </w:tcPr>
          <w:p w14:paraId="44883C1F">
            <w:pPr>
              <w:jc w:val="left"/>
              <w:rPr>
                <w:sz w:val="21"/>
                <w:szCs w:val="21"/>
              </w:rPr>
            </w:pPr>
            <w:r>
              <w:rPr>
                <w:sz w:val="21"/>
                <w:szCs w:val="21"/>
              </w:rPr>
              <w:drawing>
                <wp:inline distT="0" distB="0" distL="114300" distR="114300">
                  <wp:extent cx="47625" cy="114300"/>
                  <wp:effectExtent l="0" t="0" r="6350" b="444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7"/>
                          <a:stretch>
                            <a:fillRect/>
                          </a:stretch>
                        </pic:blipFill>
                        <pic:spPr>
                          <a:xfrm>
                            <a:off x="0" y="0"/>
                            <a:ext cx="47632" cy="114316"/>
                          </a:xfrm>
                          <a:prstGeom prst="rect">
                            <a:avLst/>
                          </a:prstGeom>
                        </pic:spPr>
                      </pic:pic>
                    </a:graphicData>
                  </a:graphic>
                </wp:inline>
              </w:drawing>
            </w:r>
            <w:r>
              <w:rPr>
                <w:sz w:val="21"/>
                <w:szCs w:val="21"/>
              </w:rPr>
              <w:drawing>
                <wp:inline distT="0" distB="0" distL="114300" distR="114300">
                  <wp:extent cx="1304925" cy="114300"/>
                  <wp:effectExtent l="0" t="0" r="1270" b="444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8"/>
                          <a:stretch>
                            <a:fillRect/>
                          </a:stretch>
                        </pic:blipFill>
                        <pic:spPr>
                          <a:xfrm>
                            <a:off x="0" y="0"/>
                            <a:ext cx="1305107" cy="114316"/>
                          </a:xfrm>
                          <a:prstGeom prst="rect">
                            <a:avLst/>
                          </a:prstGeom>
                        </pic:spPr>
                      </pic:pic>
                    </a:graphicData>
                  </a:graphic>
                </wp:inline>
              </w:drawing>
            </w:r>
            <w:r>
              <w:rPr>
                <w:sz w:val="21"/>
                <w:szCs w:val="21"/>
              </w:rPr>
              <w:t>4.2%</w:t>
            </w:r>
          </w:p>
        </w:tc>
      </w:tr>
      <w:tr w14:paraId="3051C47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5F5F5"/>
            <w:vAlign w:val="center"/>
          </w:tcPr>
          <w:p w14:paraId="10B45147">
            <w:pPr>
              <w:jc w:val="left"/>
              <w:rPr>
                <w:sz w:val="21"/>
                <w:szCs w:val="21"/>
              </w:rPr>
            </w:pPr>
            <w:r>
              <w:rPr>
                <w:sz w:val="21"/>
                <w:szCs w:val="21"/>
              </w:rPr>
              <w:t>本题有效填写人次</w:t>
            </w:r>
          </w:p>
        </w:tc>
        <w:tc>
          <w:tcPr>
            <w:tcW w:w="1000" w:type="dxa"/>
            <w:shd w:val="clear" w:color="auto" w:fill="F5F5F5"/>
            <w:vAlign w:val="center"/>
          </w:tcPr>
          <w:p w14:paraId="6048CC86">
            <w:pPr>
              <w:jc w:val="left"/>
              <w:rPr>
                <w:sz w:val="21"/>
                <w:szCs w:val="21"/>
              </w:rPr>
            </w:pPr>
            <w:r>
              <w:rPr>
                <w:sz w:val="21"/>
                <w:szCs w:val="21"/>
              </w:rPr>
              <w:t>119</w:t>
            </w:r>
          </w:p>
        </w:tc>
        <w:tc>
          <w:tcPr>
            <w:tcW w:w="3106" w:type="dxa"/>
            <w:shd w:val="clear" w:color="auto" w:fill="F5F5F5"/>
            <w:vAlign w:val="center"/>
          </w:tcPr>
          <w:p w14:paraId="491A3FD2">
            <w:pPr>
              <w:jc w:val="left"/>
              <w:rPr>
                <w:sz w:val="21"/>
                <w:szCs w:val="21"/>
              </w:rPr>
            </w:pPr>
          </w:p>
        </w:tc>
      </w:tr>
    </w:tbl>
    <w:p w14:paraId="46A3E708">
      <w:pPr>
        <w:ind w:firstLine="560" w:firstLineChars="200"/>
        <w:rPr>
          <w:color w:val="0066FF"/>
        </w:rPr>
      </w:pPr>
      <w:r>
        <w:rPr>
          <w:color w:val="000000"/>
        </w:rPr>
        <w:t>3.您的职业身份</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7279B89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5C85135">
            <w:pPr>
              <w:jc w:val="left"/>
              <w:rPr>
                <w:sz w:val="21"/>
                <w:szCs w:val="21"/>
              </w:rPr>
            </w:pPr>
            <w:r>
              <w:rPr>
                <w:sz w:val="21"/>
                <w:szCs w:val="21"/>
              </w:rPr>
              <w:t>选项</w:t>
            </w:r>
          </w:p>
        </w:tc>
        <w:tc>
          <w:tcPr>
            <w:tcW w:w="1000" w:type="dxa"/>
            <w:shd w:val="clear" w:color="auto" w:fill="F5F5F5"/>
            <w:vAlign w:val="center"/>
          </w:tcPr>
          <w:p w14:paraId="16E4259B">
            <w:pPr>
              <w:jc w:val="center"/>
              <w:rPr>
                <w:sz w:val="21"/>
                <w:szCs w:val="21"/>
              </w:rPr>
            </w:pPr>
            <w:r>
              <w:rPr>
                <w:sz w:val="21"/>
                <w:szCs w:val="21"/>
              </w:rPr>
              <w:t>小计</w:t>
            </w:r>
          </w:p>
        </w:tc>
        <w:tc>
          <w:tcPr>
            <w:tcW w:w="3106" w:type="dxa"/>
            <w:shd w:val="clear" w:color="auto" w:fill="F5F5F5"/>
            <w:vAlign w:val="center"/>
          </w:tcPr>
          <w:p w14:paraId="1BDF9B55">
            <w:pPr>
              <w:jc w:val="left"/>
              <w:rPr>
                <w:sz w:val="21"/>
                <w:szCs w:val="21"/>
              </w:rPr>
            </w:pPr>
            <w:r>
              <w:rPr>
                <w:sz w:val="21"/>
                <w:szCs w:val="21"/>
              </w:rPr>
              <w:t>比例</w:t>
            </w:r>
          </w:p>
        </w:tc>
      </w:tr>
      <w:tr w14:paraId="02A031B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BFA943C">
            <w:pPr>
              <w:jc w:val="left"/>
              <w:rPr>
                <w:sz w:val="21"/>
                <w:szCs w:val="21"/>
              </w:rPr>
            </w:pPr>
            <w:r>
              <w:rPr>
                <w:sz w:val="21"/>
                <w:szCs w:val="21"/>
              </w:rPr>
              <w:t>务农</w:t>
            </w:r>
          </w:p>
        </w:tc>
        <w:tc>
          <w:tcPr>
            <w:tcW w:w="1000" w:type="dxa"/>
            <w:shd w:val="clear" w:color="auto" w:fill="FFFFFF"/>
            <w:vAlign w:val="center"/>
          </w:tcPr>
          <w:p w14:paraId="144382AC">
            <w:pPr>
              <w:jc w:val="center"/>
              <w:rPr>
                <w:sz w:val="21"/>
                <w:szCs w:val="21"/>
              </w:rPr>
            </w:pPr>
            <w:r>
              <w:rPr>
                <w:sz w:val="21"/>
                <w:szCs w:val="21"/>
              </w:rPr>
              <w:t>2</w:t>
            </w:r>
          </w:p>
        </w:tc>
        <w:tc>
          <w:tcPr>
            <w:tcW w:w="3106" w:type="dxa"/>
            <w:shd w:val="clear" w:color="auto" w:fill="FFFFFF"/>
            <w:vAlign w:val="center"/>
          </w:tcPr>
          <w:p w14:paraId="0AB43D1B">
            <w:pPr>
              <w:jc w:val="left"/>
              <w:rPr>
                <w:sz w:val="21"/>
                <w:szCs w:val="21"/>
              </w:rPr>
            </w:pPr>
            <w:r>
              <w:rPr>
                <w:sz w:val="21"/>
                <w:szCs w:val="21"/>
              </w:rPr>
              <w:drawing>
                <wp:inline distT="0" distB="0" distL="114300" distR="114300">
                  <wp:extent cx="19050" cy="114300"/>
                  <wp:effectExtent l="0" t="0" r="2540" b="444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39"/>
                          <a:stretch>
                            <a:fillRect/>
                          </a:stretch>
                        </pic:blipFill>
                        <pic:spPr>
                          <a:xfrm>
                            <a:off x="0" y="0"/>
                            <a:ext cx="19053" cy="114316"/>
                          </a:xfrm>
                          <a:prstGeom prst="rect">
                            <a:avLst/>
                          </a:prstGeom>
                        </pic:spPr>
                      </pic:pic>
                    </a:graphicData>
                  </a:graphic>
                </wp:inline>
              </w:drawing>
            </w:r>
            <w:r>
              <w:rPr>
                <w:sz w:val="21"/>
                <w:szCs w:val="21"/>
              </w:rPr>
              <w:drawing>
                <wp:inline distT="0" distB="0" distL="114300" distR="114300">
                  <wp:extent cx="1333500" cy="114300"/>
                  <wp:effectExtent l="0" t="0" r="5080" b="444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40"/>
                          <a:stretch>
                            <a:fillRect/>
                          </a:stretch>
                        </pic:blipFill>
                        <pic:spPr>
                          <a:xfrm>
                            <a:off x="0" y="0"/>
                            <a:ext cx="1333686" cy="114316"/>
                          </a:xfrm>
                          <a:prstGeom prst="rect">
                            <a:avLst/>
                          </a:prstGeom>
                        </pic:spPr>
                      </pic:pic>
                    </a:graphicData>
                  </a:graphic>
                </wp:inline>
              </w:drawing>
            </w:r>
            <w:r>
              <w:rPr>
                <w:sz w:val="21"/>
                <w:szCs w:val="21"/>
              </w:rPr>
              <w:t>1.68%</w:t>
            </w:r>
          </w:p>
        </w:tc>
      </w:tr>
      <w:tr w14:paraId="30FDE1F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54FC3D0">
            <w:pPr>
              <w:jc w:val="left"/>
              <w:rPr>
                <w:sz w:val="21"/>
                <w:szCs w:val="21"/>
              </w:rPr>
            </w:pPr>
            <w:r>
              <w:rPr>
                <w:sz w:val="21"/>
                <w:szCs w:val="21"/>
              </w:rPr>
              <w:t>务工</w:t>
            </w:r>
          </w:p>
        </w:tc>
        <w:tc>
          <w:tcPr>
            <w:tcW w:w="1000" w:type="dxa"/>
            <w:shd w:val="clear" w:color="auto" w:fill="FAFAFA"/>
            <w:vAlign w:val="center"/>
          </w:tcPr>
          <w:p w14:paraId="336F56CF">
            <w:pPr>
              <w:jc w:val="center"/>
              <w:rPr>
                <w:sz w:val="21"/>
                <w:szCs w:val="21"/>
              </w:rPr>
            </w:pPr>
            <w:r>
              <w:rPr>
                <w:sz w:val="21"/>
                <w:szCs w:val="21"/>
              </w:rPr>
              <w:t>24</w:t>
            </w:r>
          </w:p>
        </w:tc>
        <w:tc>
          <w:tcPr>
            <w:tcW w:w="3106" w:type="dxa"/>
            <w:shd w:val="clear" w:color="auto" w:fill="FAFAFA"/>
            <w:vAlign w:val="center"/>
          </w:tcPr>
          <w:p w14:paraId="6DFFB9FE">
            <w:pPr>
              <w:jc w:val="left"/>
              <w:rPr>
                <w:sz w:val="21"/>
                <w:szCs w:val="21"/>
              </w:rPr>
            </w:pPr>
            <w:r>
              <w:rPr>
                <w:sz w:val="21"/>
                <w:szCs w:val="21"/>
              </w:rPr>
              <w:drawing>
                <wp:inline distT="0" distB="0" distL="114300" distR="114300">
                  <wp:extent cx="266700" cy="114300"/>
                  <wp:effectExtent l="0" t="0" r="3175" b="444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1"/>
                          <a:stretch>
                            <a:fillRect/>
                          </a:stretch>
                        </pic:blipFill>
                        <pic:spPr>
                          <a:xfrm>
                            <a:off x="0" y="0"/>
                            <a:ext cx="266737" cy="114316"/>
                          </a:xfrm>
                          <a:prstGeom prst="rect">
                            <a:avLst/>
                          </a:prstGeom>
                        </pic:spPr>
                      </pic:pic>
                    </a:graphicData>
                  </a:graphic>
                </wp:inline>
              </w:drawing>
            </w:r>
            <w:r>
              <w:rPr>
                <w:sz w:val="21"/>
                <w:szCs w:val="21"/>
              </w:rPr>
              <w:drawing>
                <wp:inline distT="0" distB="0" distL="114300" distR="114300">
                  <wp:extent cx="1085850" cy="114300"/>
                  <wp:effectExtent l="0" t="0" r="4445" b="444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42"/>
                          <a:stretch>
                            <a:fillRect/>
                          </a:stretch>
                        </pic:blipFill>
                        <pic:spPr>
                          <a:xfrm>
                            <a:off x="0" y="0"/>
                            <a:ext cx="1086002" cy="114316"/>
                          </a:xfrm>
                          <a:prstGeom prst="rect">
                            <a:avLst/>
                          </a:prstGeom>
                        </pic:spPr>
                      </pic:pic>
                    </a:graphicData>
                  </a:graphic>
                </wp:inline>
              </w:drawing>
            </w:r>
            <w:r>
              <w:rPr>
                <w:sz w:val="21"/>
                <w:szCs w:val="21"/>
              </w:rPr>
              <w:t>20.17%</w:t>
            </w:r>
          </w:p>
        </w:tc>
      </w:tr>
      <w:tr w14:paraId="6A8B550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CC28A63">
            <w:pPr>
              <w:jc w:val="left"/>
              <w:rPr>
                <w:sz w:val="21"/>
                <w:szCs w:val="21"/>
              </w:rPr>
            </w:pPr>
            <w:r>
              <w:rPr>
                <w:sz w:val="21"/>
                <w:szCs w:val="21"/>
              </w:rPr>
              <w:t>经商</w:t>
            </w:r>
          </w:p>
        </w:tc>
        <w:tc>
          <w:tcPr>
            <w:tcW w:w="1000" w:type="dxa"/>
            <w:shd w:val="clear" w:color="auto" w:fill="FFFFFF"/>
            <w:vAlign w:val="center"/>
          </w:tcPr>
          <w:p w14:paraId="0A29E7D1">
            <w:pPr>
              <w:jc w:val="center"/>
              <w:rPr>
                <w:sz w:val="21"/>
                <w:szCs w:val="21"/>
              </w:rPr>
            </w:pPr>
            <w:r>
              <w:rPr>
                <w:sz w:val="21"/>
                <w:szCs w:val="21"/>
              </w:rPr>
              <w:t>11</w:t>
            </w:r>
          </w:p>
        </w:tc>
        <w:tc>
          <w:tcPr>
            <w:tcW w:w="3106" w:type="dxa"/>
            <w:shd w:val="clear" w:color="auto" w:fill="FFFFFF"/>
            <w:vAlign w:val="center"/>
          </w:tcPr>
          <w:p w14:paraId="453740B6">
            <w:pPr>
              <w:jc w:val="left"/>
              <w:rPr>
                <w:sz w:val="21"/>
                <w:szCs w:val="21"/>
              </w:rPr>
            </w:pPr>
            <w:r>
              <w:rPr>
                <w:sz w:val="21"/>
                <w:szCs w:val="21"/>
              </w:rPr>
              <w:drawing>
                <wp:inline distT="0" distB="0" distL="114300" distR="114300">
                  <wp:extent cx="123825" cy="114300"/>
                  <wp:effectExtent l="0" t="0" r="5715" b="444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43"/>
                          <a:stretch>
                            <a:fillRect/>
                          </a:stretch>
                        </pic:blipFill>
                        <pic:spPr>
                          <a:xfrm>
                            <a:off x="0" y="0"/>
                            <a:ext cx="123842" cy="114316"/>
                          </a:xfrm>
                          <a:prstGeom prst="rect">
                            <a:avLst/>
                          </a:prstGeom>
                        </pic:spPr>
                      </pic:pic>
                    </a:graphicData>
                  </a:graphic>
                </wp:inline>
              </w:drawing>
            </w:r>
            <w:r>
              <w:rPr>
                <w:sz w:val="21"/>
                <w:szCs w:val="21"/>
              </w:rPr>
              <w:drawing>
                <wp:inline distT="0" distB="0" distL="114300" distR="114300">
                  <wp:extent cx="1228725" cy="114300"/>
                  <wp:effectExtent l="0" t="0" r="1905" b="444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44"/>
                          <a:stretch>
                            <a:fillRect/>
                          </a:stretch>
                        </pic:blipFill>
                        <pic:spPr>
                          <a:xfrm>
                            <a:off x="0" y="0"/>
                            <a:ext cx="1228897" cy="114316"/>
                          </a:xfrm>
                          <a:prstGeom prst="rect">
                            <a:avLst/>
                          </a:prstGeom>
                        </pic:spPr>
                      </pic:pic>
                    </a:graphicData>
                  </a:graphic>
                </wp:inline>
              </w:drawing>
            </w:r>
            <w:r>
              <w:rPr>
                <w:sz w:val="21"/>
                <w:szCs w:val="21"/>
              </w:rPr>
              <w:t>9.24%</w:t>
            </w:r>
          </w:p>
        </w:tc>
      </w:tr>
      <w:tr w14:paraId="6B22F63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AFAFA"/>
            <w:vAlign w:val="center"/>
          </w:tcPr>
          <w:p w14:paraId="10C166A1">
            <w:pPr>
              <w:jc w:val="left"/>
              <w:rPr>
                <w:sz w:val="21"/>
                <w:szCs w:val="21"/>
              </w:rPr>
            </w:pPr>
            <w:r>
              <w:rPr>
                <w:sz w:val="21"/>
                <w:szCs w:val="21"/>
              </w:rPr>
              <w:t>其他</w:t>
            </w:r>
          </w:p>
        </w:tc>
        <w:tc>
          <w:tcPr>
            <w:tcW w:w="1000" w:type="dxa"/>
            <w:shd w:val="clear" w:color="auto" w:fill="FAFAFA"/>
            <w:vAlign w:val="center"/>
          </w:tcPr>
          <w:p w14:paraId="79AFD5A9">
            <w:pPr>
              <w:jc w:val="center"/>
              <w:rPr>
                <w:sz w:val="21"/>
                <w:szCs w:val="21"/>
              </w:rPr>
            </w:pPr>
            <w:r>
              <w:rPr>
                <w:sz w:val="21"/>
                <w:szCs w:val="21"/>
              </w:rPr>
              <w:t>82</w:t>
            </w:r>
          </w:p>
        </w:tc>
        <w:tc>
          <w:tcPr>
            <w:tcW w:w="3106" w:type="dxa"/>
            <w:shd w:val="clear" w:color="auto" w:fill="FAFAFA"/>
            <w:vAlign w:val="center"/>
          </w:tcPr>
          <w:p w14:paraId="637E7099">
            <w:pPr>
              <w:jc w:val="left"/>
              <w:rPr>
                <w:sz w:val="21"/>
                <w:szCs w:val="21"/>
              </w:rPr>
            </w:pPr>
            <w:r>
              <w:rPr>
                <w:sz w:val="21"/>
                <w:szCs w:val="21"/>
              </w:rPr>
              <w:drawing>
                <wp:inline distT="0" distB="0" distL="114300" distR="114300">
                  <wp:extent cx="923925" cy="114300"/>
                  <wp:effectExtent l="0" t="0" r="4445" b="444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45"/>
                          <a:stretch>
                            <a:fillRect/>
                          </a:stretch>
                        </pic:blipFill>
                        <pic:spPr>
                          <a:xfrm>
                            <a:off x="0" y="0"/>
                            <a:ext cx="924054" cy="114316"/>
                          </a:xfrm>
                          <a:prstGeom prst="rect">
                            <a:avLst/>
                          </a:prstGeom>
                        </pic:spPr>
                      </pic:pic>
                    </a:graphicData>
                  </a:graphic>
                </wp:inline>
              </w:drawing>
            </w:r>
            <w:r>
              <w:rPr>
                <w:sz w:val="21"/>
                <w:szCs w:val="21"/>
              </w:rPr>
              <w:drawing>
                <wp:inline distT="0" distB="0" distL="114300" distR="114300">
                  <wp:extent cx="428625" cy="114300"/>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a:stretch>
                            <a:fillRect/>
                          </a:stretch>
                        </pic:blipFill>
                        <pic:spPr>
                          <a:xfrm>
                            <a:off x="0" y="0"/>
                            <a:ext cx="428685" cy="114316"/>
                          </a:xfrm>
                          <a:prstGeom prst="rect">
                            <a:avLst/>
                          </a:prstGeom>
                        </pic:spPr>
                      </pic:pic>
                    </a:graphicData>
                  </a:graphic>
                </wp:inline>
              </w:drawing>
            </w:r>
            <w:r>
              <w:rPr>
                <w:sz w:val="21"/>
                <w:szCs w:val="21"/>
              </w:rPr>
              <w:t>68.91%</w:t>
            </w:r>
          </w:p>
        </w:tc>
      </w:tr>
      <w:tr w14:paraId="4189B73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F7B0477">
            <w:pPr>
              <w:jc w:val="left"/>
              <w:rPr>
                <w:sz w:val="21"/>
                <w:szCs w:val="21"/>
              </w:rPr>
            </w:pPr>
            <w:r>
              <w:rPr>
                <w:sz w:val="21"/>
                <w:szCs w:val="21"/>
              </w:rPr>
              <w:t>本题有效填写人次</w:t>
            </w:r>
          </w:p>
        </w:tc>
        <w:tc>
          <w:tcPr>
            <w:tcW w:w="1000" w:type="dxa"/>
            <w:shd w:val="clear" w:color="auto" w:fill="F5F5F5"/>
            <w:vAlign w:val="center"/>
          </w:tcPr>
          <w:p w14:paraId="0610527E">
            <w:pPr>
              <w:jc w:val="center"/>
              <w:rPr>
                <w:sz w:val="21"/>
                <w:szCs w:val="21"/>
              </w:rPr>
            </w:pPr>
            <w:r>
              <w:rPr>
                <w:sz w:val="21"/>
                <w:szCs w:val="21"/>
              </w:rPr>
              <w:t>119</w:t>
            </w:r>
          </w:p>
        </w:tc>
        <w:tc>
          <w:tcPr>
            <w:tcW w:w="3106" w:type="dxa"/>
            <w:shd w:val="clear" w:color="auto" w:fill="F5F5F5"/>
            <w:vAlign w:val="center"/>
          </w:tcPr>
          <w:p w14:paraId="700AA426">
            <w:pPr>
              <w:jc w:val="left"/>
              <w:rPr>
                <w:sz w:val="21"/>
                <w:szCs w:val="21"/>
              </w:rPr>
            </w:pPr>
          </w:p>
        </w:tc>
      </w:tr>
    </w:tbl>
    <w:p w14:paraId="6284C70B"/>
    <w:p w14:paraId="0FDB9F63"/>
    <w:p w14:paraId="3E196D2A">
      <w:pPr>
        <w:ind w:firstLine="560" w:firstLineChars="200"/>
      </w:pPr>
      <w:r>
        <w:rPr>
          <w:color w:val="000000"/>
        </w:rPr>
        <w:t>4.您通过何种方式了解到本地旅游信息</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68B483B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CC4D5D9">
            <w:pPr>
              <w:jc w:val="left"/>
              <w:rPr>
                <w:sz w:val="21"/>
                <w:szCs w:val="21"/>
              </w:rPr>
            </w:pPr>
            <w:r>
              <w:rPr>
                <w:sz w:val="21"/>
                <w:szCs w:val="21"/>
              </w:rPr>
              <w:t>选项</w:t>
            </w:r>
          </w:p>
        </w:tc>
        <w:tc>
          <w:tcPr>
            <w:tcW w:w="1000" w:type="dxa"/>
            <w:shd w:val="clear" w:color="auto" w:fill="F5F5F5"/>
            <w:vAlign w:val="center"/>
          </w:tcPr>
          <w:p w14:paraId="592156D2">
            <w:pPr>
              <w:jc w:val="center"/>
              <w:rPr>
                <w:sz w:val="21"/>
                <w:szCs w:val="21"/>
              </w:rPr>
            </w:pPr>
            <w:r>
              <w:rPr>
                <w:sz w:val="21"/>
                <w:szCs w:val="21"/>
              </w:rPr>
              <w:t>小计</w:t>
            </w:r>
          </w:p>
        </w:tc>
        <w:tc>
          <w:tcPr>
            <w:tcW w:w="3106" w:type="dxa"/>
            <w:shd w:val="clear" w:color="auto" w:fill="F5F5F5"/>
            <w:vAlign w:val="center"/>
          </w:tcPr>
          <w:p w14:paraId="03B8200E">
            <w:pPr>
              <w:jc w:val="left"/>
              <w:rPr>
                <w:sz w:val="21"/>
                <w:szCs w:val="21"/>
              </w:rPr>
            </w:pPr>
            <w:r>
              <w:rPr>
                <w:sz w:val="21"/>
                <w:szCs w:val="21"/>
              </w:rPr>
              <w:t>比例</w:t>
            </w:r>
          </w:p>
        </w:tc>
      </w:tr>
      <w:tr w14:paraId="3D4BDB5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8A2DFF7">
            <w:pPr>
              <w:jc w:val="left"/>
              <w:rPr>
                <w:sz w:val="21"/>
                <w:szCs w:val="21"/>
              </w:rPr>
            </w:pPr>
            <w:r>
              <w:rPr>
                <w:sz w:val="21"/>
                <w:szCs w:val="21"/>
              </w:rPr>
              <w:t>网络、社交媒体</w:t>
            </w:r>
          </w:p>
        </w:tc>
        <w:tc>
          <w:tcPr>
            <w:tcW w:w="1000" w:type="dxa"/>
            <w:shd w:val="clear" w:color="auto" w:fill="FFFFFF"/>
            <w:vAlign w:val="center"/>
          </w:tcPr>
          <w:p w14:paraId="1DB83680">
            <w:pPr>
              <w:jc w:val="center"/>
              <w:rPr>
                <w:sz w:val="21"/>
                <w:szCs w:val="21"/>
              </w:rPr>
            </w:pPr>
            <w:r>
              <w:rPr>
                <w:sz w:val="21"/>
                <w:szCs w:val="21"/>
              </w:rPr>
              <w:t>61</w:t>
            </w:r>
          </w:p>
        </w:tc>
        <w:tc>
          <w:tcPr>
            <w:tcW w:w="3106" w:type="dxa"/>
            <w:shd w:val="clear" w:color="auto" w:fill="FFFFFF"/>
            <w:vAlign w:val="center"/>
          </w:tcPr>
          <w:p w14:paraId="5F304A33">
            <w:pPr>
              <w:jc w:val="left"/>
              <w:rPr>
                <w:sz w:val="21"/>
                <w:szCs w:val="21"/>
              </w:rPr>
            </w:pPr>
            <w:r>
              <w:rPr>
                <w:sz w:val="21"/>
                <w:szCs w:val="21"/>
              </w:rPr>
              <w:drawing>
                <wp:inline distT="0" distB="0" distL="114300" distR="114300">
                  <wp:extent cx="685800" cy="114300"/>
                  <wp:effectExtent l="0" t="0" r="508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a:stretch>
                            <a:fillRect/>
                          </a:stretch>
                        </pic:blipFill>
                        <pic:spPr>
                          <a:xfrm>
                            <a:off x="0" y="0"/>
                            <a:ext cx="685896" cy="114316"/>
                          </a:xfrm>
                          <a:prstGeom prst="rect">
                            <a:avLst/>
                          </a:prstGeom>
                        </pic:spPr>
                      </pic:pic>
                    </a:graphicData>
                  </a:graphic>
                </wp:inline>
              </w:drawing>
            </w:r>
            <w:r>
              <w:rPr>
                <w:sz w:val="21"/>
                <w:szCs w:val="21"/>
              </w:rPr>
              <w:drawing>
                <wp:inline distT="0" distB="0" distL="114300" distR="114300">
                  <wp:extent cx="666750" cy="114300"/>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a:stretch>
                            <a:fillRect/>
                          </a:stretch>
                        </pic:blipFill>
                        <pic:spPr>
                          <a:xfrm>
                            <a:off x="0" y="0"/>
                            <a:ext cx="666843" cy="114316"/>
                          </a:xfrm>
                          <a:prstGeom prst="rect">
                            <a:avLst/>
                          </a:prstGeom>
                        </pic:spPr>
                      </pic:pic>
                    </a:graphicData>
                  </a:graphic>
                </wp:inline>
              </w:drawing>
            </w:r>
            <w:r>
              <w:rPr>
                <w:sz w:val="21"/>
                <w:szCs w:val="21"/>
              </w:rPr>
              <w:t>51.26%</w:t>
            </w:r>
          </w:p>
        </w:tc>
      </w:tr>
      <w:tr w14:paraId="1C52889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8CEA2C3">
            <w:pPr>
              <w:jc w:val="left"/>
              <w:rPr>
                <w:sz w:val="21"/>
                <w:szCs w:val="21"/>
              </w:rPr>
            </w:pPr>
            <w:r>
              <w:rPr>
                <w:sz w:val="21"/>
                <w:szCs w:val="21"/>
              </w:rPr>
              <w:t>旅行社或亲朋好友推荐</w:t>
            </w:r>
          </w:p>
        </w:tc>
        <w:tc>
          <w:tcPr>
            <w:tcW w:w="1000" w:type="dxa"/>
            <w:shd w:val="clear" w:color="auto" w:fill="FAFAFA"/>
            <w:vAlign w:val="center"/>
          </w:tcPr>
          <w:p w14:paraId="1B81C2F7">
            <w:pPr>
              <w:jc w:val="center"/>
              <w:rPr>
                <w:sz w:val="21"/>
                <w:szCs w:val="21"/>
              </w:rPr>
            </w:pPr>
            <w:r>
              <w:rPr>
                <w:sz w:val="21"/>
                <w:szCs w:val="21"/>
              </w:rPr>
              <w:t>25</w:t>
            </w:r>
          </w:p>
        </w:tc>
        <w:tc>
          <w:tcPr>
            <w:tcW w:w="3106" w:type="dxa"/>
            <w:shd w:val="clear" w:color="auto" w:fill="FAFAFA"/>
            <w:vAlign w:val="center"/>
          </w:tcPr>
          <w:p w14:paraId="26ECF7F6">
            <w:pPr>
              <w:jc w:val="left"/>
              <w:rPr>
                <w:sz w:val="21"/>
                <w:szCs w:val="21"/>
              </w:rPr>
            </w:pPr>
            <w:r>
              <w:rPr>
                <w:sz w:val="21"/>
                <w:szCs w:val="21"/>
              </w:rPr>
              <w:drawing>
                <wp:inline distT="0" distB="0" distL="114300" distR="114300">
                  <wp:extent cx="276225" cy="114300"/>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stretch>
                            <a:fillRect/>
                          </a:stretch>
                        </pic:blipFill>
                        <pic:spPr>
                          <a:xfrm>
                            <a:off x="0" y="0"/>
                            <a:ext cx="276264" cy="114316"/>
                          </a:xfrm>
                          <a:prstGeom prst="rect">
                            <a:avLst/>
                          </a:prstGeom>
                        </pic:spPr>
                      </pic:pic>
                    </a:graphicData>
                  </a:graphic>
                </wp:inline>
              </w:drawing>
            </w:r>
            <w:r>
              <w:rPr>
                <w:sz w:val="21"/>
                <w:szCs w:val="21"/>
              </w:rPr>
              <w:drawing>
                <wp:inline distT="0" distB="0" distL="114300" distR="114300">
                  <wp:extent cx="1076325" cy="114300"/>
                  <wp:effectExtent l="0" t="0" r="317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a:stretch>
                            <a:fillRect/>
                          </a:stretch>
                        </pic:blipFill>
                        <pic:spPr>
                          <a:xfrm>
                            <a:off x="0" y="0"/>
                            <a:ext cx="1076475" cy="114316"/>
                          </a:xfrm>
                          <a:prstGeom prst="rect">
                            <a:avLst/>
                          </a:prstGeom>
                        </pic:spPr>
                      </pic:pic>
                    </a:graphicData>
                  </a:graphic>
                </wp:inline>
              </w:drawing>
            </w:r>
            <w:r>
              <w:rPr>
                <w:sz w:val="21"/>
                <w:szCs w:val="21"/>
              </w:rPr>
              <w:t>21.01%</w:t>
            </w:r>
          </w:p>
        </w:tc>
      </w:tr>
      <w:tr w14:paraId="77A9366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5D456F2">
            <w:pPr>
              <w:jc w:val="left"/>
              <w:rPr>
                <w:sz w:val="21"/>
                <w:szCs w:val="21"/>
              </w:rPr>
            </w:pPr>
            <w:r>
              <w:rPr>
                <w:sz w:val="21"/>
                <w:szCs w:val="21"/>
              </w:rPr>
              <w:t>旅游宣传手册</w:t>
            </w:r>
          </w:p>
        </w:tc>
        <w:tc>
          <w:tcPr>
            <w:tcW w:w="1000" w:type="dxa"/>
            <w:shd w:val="clear" w:color="auto" w:fill="FFFFFF"/>
            <w:vAlign w:val="center"/>
          </w:tcPr>
          <w:p w14:paraId="4DE7A695">
            <w:pPr>
              <w:jc w:val="center"/>
              <w:rPr>
                <w:sz w:val="21"/>
                <w:szCs w:val="21"/>
              </w:rPr>
            </w:pPr>
            <w:r>
              <w:rPr>
                <w:sz w:val="21"/>
                <w:szCs w:val="21"/>
              </w:rPr>
              <w:t>11</w:t>
            </w:r>
          </w:p>
        </w:tc>
        <w:tc>
          <w:tcPr>
            <w:tcW w:w="3106" w:type="dxa"/>
            <w:shd w:val="clear" w:color="auto" w:fill="FFFFFF"/>
            <w:vAlign w:val="center"/>
          </w:tcPr>
          <w:p w14:paraId="6142FAF2">
            <w:pPr>
              <w:jc w:val="left"/>
              <w:rPr>
                <w:sz w:val="21"/>
                <w:szCs w:val="21"/>
              </w:rPr>
            </w:pPr>
            <w:r>
              <w:rPr>
                <w:sz w:val="21"/>
                <w:szCs w:val="21"/>
              </w:rPr>
              <w:drawing>
                <wp:inline distT="0" distB="0" distL="114300" distR="114300">
                  <wp:extent cx="123825" cy="114300"/>
                  <wp:effectExtent l="0" t="0" r="571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123842" cy="114316"/>
                          </a:xfrm>
                          <a:prstGeom prst="rect">
                            <a:avLst/>
                          </a:prstGeom>
                        </pic:spPr>
                      </pic:pic>
                    </a:graphicData>
                  </a:graphic>
                </wp:inline>
              </w:drawing>
            </w:r>
            <w:r>
              <w:rPr>
                <w:sz w:val="21"/>
                <w:szCs w:val="21"/>
              </w:rPr>
              <w:drawing>
                <wp:inline distT="0" distB="0" distL="114300" distR="114300">
                  <wp:extent cx="1228725" cy="114300"/>
                  <wp:effectExtent l="0" t="0" r="190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1228897" cy="114316"/>
                          </a:xfrm>
                          <a:prstGeom prst="rect">
                            <a:avLst/>
                          </a:prstGeom>
                        </pic:spPr>
                      </pic:pic>
                    </a:graphicData>
                  </a:graphic>
                </wp:inline>
              </w:drawing>
            </w:r>
            <w:r>
              <w:rPr>
                <w:sz w:val="21"/>
                <w:szCs w:val="21"/>
              </w:rPr>
              <w:t>9.24%</w:t>
            </w:r>
          </w:p>
        </w:tc>
      </w:tr>
      <w:tr w14:paraId="2291F25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8F83123">
            <w:pPr>
              <w:jc w:val="left"/>
              <w:rPr>
                <w:sz w:val="21"/>
                <w:szCs w:val="21"/>
              </w:rPr>
            </w:pPr>
            <w:r>
              <w:rPr>
                <w:sz w:val="21"/>
                <w:szCs w:val="21"/>
              </w:rPr>
              <w:t>其他</w:t>
            </w:r>
          </w:p>
        </w:tc>
        <w:tc>
          <w:tcPr>
            <w:tcW w:w="1000" w:type="dxa"/>
            <w:shd w:val="clear" w:color="auto" w:fill="FAFAFA"/>
            <w:vAlign w:val="center"/>
          </w:tcPr>
          <w:p w14:paraId="495F6ACD">
            <w:pPr>
              <w:jc w:val="center"/>
              <w:rPr>
                <w:sz w:val="21"/>
                <w:szCs w:val="21"/>
              </w:rPr>
            </w:pPr>
            <w:r>
              <w:rPr>
                <w:sz w:val="21"/>
                <w:szCs w:val="21"/>
              </w:rPr>
              <w:t>22</w:t>
            </w:r>
          </w:p>
        </w:tc>
        <w:tc>
          <w:tcPr>
            <w:tcW w:w="3106" w:type="dxa"/>
            <w:shd w:val="clear" w:color="auto" w:fill="FAFAFA"/>
            <w:vAlign w:val="center"/>
          </w:tcPr>
          <w:p w14:paraId="6B360BB7">
            <w:pPr>
              <w:jc w:val="left"/>
              <w:rPr>
                <w:sz w:val="21"/>
                <w:szCs w:val="21"/>
              </w:rPr>
            </w:pPr>
            <w:r>
              <w:rPr>
                <w:sz w:val="21"/>
                <w:szCs w:val="21"/>
              </w:rPr>
              <w:drawing>
                <wp:inline distT="0" distB="0" distL="114300" distR="114300">
                  <wp:extent cx="247650" cy="114300"/>
                  <wp:effectExtent l="0" t="0" r="63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a:stretch>
                            <a:fillRect/>
                          </a:stretch>
                        </pic:blipFill>
                        <pic:spPr>
                          <a:xfrm>
                            <a:off x="0" y="0"/>
                            <a:ext cx="247685" cy="114316"/>
                          </a:xfrm>
                          <a:prstGeom prst="rect">
                            <a:avLst/>
                          </a:prstGeom>
                        </pic:spPr>
                      </pic:pic>
                    </a:graphicData>
                  </a:graphic>
                </wp:inline>
              </w:drawing>
            </w:r>
            <w:r>
              <w:rPr>
                <w:sz w:val="21"/>
                <w:szCs w:val="21"/>
              </w:rPr>
              <w:drawing>
                <wp:inline distT="0" distB="0" distL="114300" distR="114300">
                  <wp:extent cx="1104900" cy="114300"/>
                  <wp:effectExtent l="0" t="0" r="6985" b="4445"/>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52"/>
                          <a:stretch>
                            <a:fillRect/>
                          </a:stretch>
                        </pic:blipFill>
                        <pic:spPr>
                          <a:xfrm>
                            <a:off x="0" y="0"/>
                            <a:ext cx="1105054" cy="114316"/>
                          </a:xfrm>
                          <a:prstGeom prst="rect">
                            <a:avLst/>
                          </a:prstGeom>
                        </pic:spPr>
                      </pic:pic>
                    </a:graphicData>
                  </a:graphic>
                </wp:inline>
              </w:drawing>
            </w:r>
            <w:r>
              <w:rPr>
                <w:sz w:val="21"/>
                <w:szCs w:val="21"/>
              </w:rPr>
              <w:t>18.49%</w:t>
            </w:r>
          </w:p>
        </w:tc>
      </w:tr>
      <w:tr w14:paraId="0C4E491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651DC5D">
            <w:pPr>
              <w:jc w:val="left"/>
              <w:rPr>
                <w:sz w:val="21"/>
                <w:szCs w:val="21"/>
              </w:rPr>
            </w:pPr>
            <w:r>
              <w:rPr>
                <w:sz w:val="21"/>
                <w:szCs w:val="21"/>
              </w:rPr>
              <w:t>本题有效填写人次</w:t>
            </w:r>
          </w:p>
        </w:tc>
        <w:tc>
          <w:tcPr>
            <w:tcW w:w="1000" w:type="dxa"/>
            <w:shd w:val="clear" w:color="auto" w:fill="F5F5F5"/>
            <w:vAlign w:val="center"/>
          </w:tcPr>
          <w:p w14:paraId="18F3971C">
            <w:pPr>
              <w:jc w:val="center"/>
              <w:rPr>
                <w:sz w:val="21"/>
                <w:szCs w:val="21"/>
              </w:rPr>
            </w:pPr>
            <w:r>
              <w:rPr>
                <w:sz w:val="21"/>
                <w:szCs w:val="21"/>
              </w:rPr>
              <w:t>119</w:t>
            </w:r>
          </w:p>
        </w:tc>
        <w:tc>
          <w:tcPr>
            <w:tcW w:w="3106" w:type="dxa"/>
            <w:shd w:val="clear" w:color="auto" w:fill="F5F5F5"/>
            <w:vAlign w:val="center"/>
          </w:tcPr>
          <w:p w14:paraId="7F8DE7CD">
            <w:pPr>
              <w:jc w:val="left"/>
              <w:rPr>
                <w:sz w:val="21"/>
                <w:szCs w:val="21"/>
              </w:rPr>
            </w:pPr>
          </w:p>
        </w:tc>
      </w:tr>
    </w:tbl>
    <w:p w14:paraId="63189034">
      <w:pPr>
        <w:ind w:firstLine="560" w:firstLineChars="200"/>
        <w:rPr>
          <w:color w:val="000000"/>
        </w:rPr>
      </w:pPr>
      <w:r>
        <w:rPr>
          <w:color w:val="000000"/>
        </w:rPr>
        <w:t>5.旅游方面评价如何？（5分为最高，1分为最低）</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642"/>
        <w:gridCol w:w="1320"/>
        <w:gridCol w:w="1208"/>
        <w:gridCol w:w="1312"/>
        <w:gridCol w:w="1226"/>
        <w:gridCol w:w="1012"/>
      </w:tblGrid>
      <w:tr w14:paraId="696FE17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42" w:type="dxa"/>
            <w:shd w:val="clear" w:color="auto" w:fill="F5F5F5"/>
            <w:vAlign w:val="center"/>
          </w:tcPr>
          <w:p w14:paraId="5DDF7198">
            <w:pPr>
              <w:jc w:val="left"/>
              <w:rPr>
                <w:sz w:val="21"/>
                <w:szCs w:val="21"/>
              </w:rPr>
            </w:pPr>
            <w:r>
              <w:rPr>
                <w:sz w:val="21"/>
                <w:szCs w:val="21"/>
              </w:rPr>
              <w:t>题目\选项</w:t>
            </w:r>
          </w:p>
        </w:tc>
        <w:tc>
          <w:tcPr>
            <w:tcW w:w="1320" w:type="dxa"/>
            <w:shd w:val="clear" w:color="auto" w:fill="F5F5F5"/>
            <w:vAlign w:val="center"/>
          </w:tcPr>
          <w:p w14:paraId="0A74D822">
            <w:pPr>
              <w:jc w:val="left"/>
              <w:rPr>
                <w:sz w:val="21"/>
                <w:szCs w:val="21"/>
              </w:rPr>
            </w:pPr>
            <w:r>
              <w:rPr>
                <w:sz w:val="21"/>
                <w:szCs w:val="21"/>
              </w:rPr>
              <w:t>5</w:t>
            </w:r>
          </w:p>
        </w:tc>
        <w:tc>
          <w:tcPr>
            <w:tcW w:w="1208" w:type="dxa"/>
            <w:shd w:val="clear" w:color="auto" w:fill="F5F5F5"/>
            <w:vAlign w:val="center"/>
          </w:tcPr>
          <w:p w14:paraId="2854F3C4">
            <w:pPr>
              <w:jc w:val="left"/>
              <w:rPr>
                <w:sz w:val="21"/>
                <w:szCs w:val="21"/>
              </w:rPr>
            </w:pPr>
            <w:r>
              <w:rPr>
                <w:sz w:val="21"/>
                <w:szCs w:val="21"/>
              </w:rPr>
              <w:t>4</w:t>
            </w:r>
          </w:p>
        </w:tc>
        <w:tc>
          <w:tcPr>
            <w:tcW w:w="1312" w:type="dxa"/>
            <w:shd w:val="clear" w:color="auto" w:fill="F5F5F5"/>
            <w:vAlign w:val="center"/>
          </w:tcPr>
          <w:p w14:paraId="709EA7A5">
            <w:pPr>
              <w:jc w:val="left"/>
              <w:rPr>
                <w:sz w:val="21"/>
                <w:szCs w:val="21"/>
              </w:rPr>
            </w:pPr>
            <w:r>
              <w:rPr>
                <w:sz w:val="21"/>
                <w:szCs w:val="21"/>
              </w:rPr>
              <w:t>3</w:t>
            </w:r>
          </w:p>
        </w:tc>
        <w:tc>
          <w:tcPr>
            <w:tcW w:w="1226" w:type="dxa"/>
            <w:shd w:val="clear" w:color="auto" w:fill="F5F5F5"/>
            <w:vAlign w:val="center"/>
          </w:tcPr>
          <w:p w14:paraId="60F1ECD6">
            <w:pPr>
              <w:jc w:val="left"/>
              <w:rPr>
                <w:sz w:val="21"/>
                <w:szCs w:val="21"/>
              </w:rPr>
            </w:pPr>
            <w:r>
              <w:rPr>
                <w:sz w:val="21"/>
                <w:szCs w:val="21"/>
              </w:rPr>
              <w:t>2</w:t>
            </w:r>
          </w:p>
        </w:tc>
        <w:tc>
          <w:tcPr>
            <w:tcW w:w="1012" w:type="dxa"/>
            <w:shd w:val="clear" w:color="auto" w:fill="F5F5F5"/>
            <w:vAlign w:val="center"/>
          </w:tcPr>
          <w:p w14:paraId="329AF6FF">
            <w:pPr>
              <w:jc w:val="left"/>
              <w:rPr>
                <w:sz w:val="21"/>
                <w:szCs w:val="21"/>
              </w:rPr>
            </w:pPr>
            <w:r>
              <w:rPr>
                <w:sz w:val="21"/>
                <w:szCs w:val="21"/>
              </w:rPr>
              <w:t>1</w:t>
            </w:r>
          </w:p>
        </w:tc>
      </w:tr>
      <w:tr w14:paraId="303C3BE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42" w:type="dxa"/>
            <w:shd w:val="clear" w:color="auto" w:fill="FFFFFF"/>
            <w:vAlign w:val="center"/>
          </w:tcPr>
          <w:p w14:paraId="748A84D1">
            <w:pPr>
              <w:jc w:val="left"/>
              <w:rPr>
                <w:sz w:val="21"/>
                <w:szCs w:val="21"/>
              </w:rPr>
            </w:pPr>
            <w:r>
              <w:rPr>
                <w:sz w:val="21"/>
                <w:szCs w:val="21"/>
              </w:rPr>
              <w:t>旅游景点的整体</w:t>
            </w:r>
            <w:r>
              <w:rPr>
                <w:rFonts w:hint="eastAsia"/>
                <w:sz w:val="21"/>
                <w:szCs w:val="21"/>
              </w:rPr>
              <w:t>布局</w:t>
            </w:r>
            <w:r>
              <w:rPr>
                <w:sz w:val="21"/>
                <w:szCs w:val="21"/>
              </w:rPr>
              <w:t>满意度</w:t>
            </w:r>
          </w:p>
        </w:tc>
        <w:tc>
          <w:tcPr>
            <w:tcW w:w="1320" w:type="dxa"/>
            <w:shd w:val="clear" w:color="auto" w:fill="FFFFFF"/>
            <w:vAlign w:val="center"/>
          </w:tcPr>
          <w:p w14:paraId="1581D6F7">
            <w:pPr>
              <w:spacing w:line="240" w:lineRule="exact"/>
              <w:jc w:val="center"/>
              <w:rPr>
                <w:sz w:val="20"/>
                <w:szCs w:val="20"/>
              </w:rPr>
            </w:pPr>
            <w:r>
              <w:rPr>
                <w:rFonts w:hint="eastAsia"/>
                <w:sz w:val="20"/>
                <w:szCs w:val="20"/>
              </w:rPr>
              <w:t>108</w:t>
            </w:r>
          </w:p>
          <w:p w14:paraId="543F0F37">
            <w:pPr>
              <w:spacing w:line="240" w:lineRule="exact"/>
              <w:jc w:val="center"/>
              <w:rPr>
                <w:sz w:val="21"/>
                <w:szCs w:val="21"/>
              </w:rPr>
            </w:pPr>
            <w:r>
              <w:rPr>
                <w:rFonts w:hint="eastAsia"/>
                <w:sz w:val="20"/>
                <w:szCs w:val="20"/>
              </w:rPr>
              <w:t>(90.76%)</w:t>
            </w:r>
          </w:p>
        </w:tc>
        <w:tc>
          <w:tcPr>
            <w:tcW w:w="1208" w:type="dxa"/>
            <w:shd w:val="clear" w:color="auto" w:fill="FFFFFF"/>
            <w:vAlign w:val="center"/>
          </w:tcPr>
          <w:p w14:paraId="0BCF176A">
            <w:pPr>
              <w:spacing w:line="240" w:lineRule="exact"/>
              <w:jc w:val="center"/>
              <w:rPr>
                <w:sz w:val="20"/>
                <w:szCs w:val="20"/>
              </w:rPr>
            </w:pPr>
            <w:r>
              <w:rPr>
                <w:rFonts w:hint="eastAsia"/>
                <w:sz w:val="20"/>
                <w:szCs w:val="20"/>
              </w:rPr>
              <w:t>4</w:t>
            </w:r>
          </w:p>
          <w:p w14:paraId="27E3F2C1">
            <w:pPr>
              <w:spacing w:line="240" w:lineRule="exact"/>
              <w:jc w:val="center"/>
              <w:rPr>
                <w:sz w:val="21"/>
                <w:szCs w:val="21"/>
              </w:rPr>
            </w:pPr>
            <w:r>
              <w:rPr>
                <w:rFonts w:hint="eastAsia"/>
                <w:sz w:val="20"/>
                <w:szCs w:val="20"/>
              </w:rPr>
              <w:t>(3.36%)</w:t>
            </w:r>
          </w:p>
        </w:tc>
        <w:tc>
          <w:tcPr>
            <w:tcW w:w="1312" w:type="dxa"/>
            <w:shd w:val="clear" w:color="auto" w:fill="FFFFFF"/>
            <w:vAlign w:val="center"/>
          </w:tcPr>
          <w:p w14:paraId="47CDAFD3">
            <w:pPr>
              <w:spacing w:line="240" w:lineRule="exact"/>
              <w:jc w:val="center"/>
              <w:rPr>
                <w:sz w:val="20"/>
                <w:szCs w:val="20"/>
              </w:rPr>
            </w:pPr>
            <w:r>
              <w:rPr>
                <w:rFonts w:hint="eastAsia"/>
                <w:sz w:val="20"/>
                <w:szCs w:val="20"/>
              </w:rPr>
              <w:t>1</w:t>
            </w:r>
          </w:p>
          <w:p w14:paraId="10E359FE">
            <w:pPr>
              <w:spacing w:line="240" w:lineRule="exact"/>
              <w:jc w:val="center"/>
              <w:rPr>
                <w:sz w:val="21"/>
                <w:szCs w:val="21"/>
              </w:rPr>
            </w:pPr>
            <w:r>
              <w:rPr>
                <w:rFonts w:hint="eastAsia"/>
                <w:sz w:val="20"/>
                <w:szCs w:val="20"/>
              </w:rPr>
              <w:t>(0.84%)</w:t>
            </w:r>
          </w:p>
        </w:tc>
        <w:tc>
          <w:tcPr>
            <w:tcW w:w="1226" w:type="dxa"/>
            <w:shd w:val="clear" w:color="auto" w:fill="FFFFFF"/>
            <w:vAlign w:val="center"/>
          </w:tcPr>
          <w:p w14:paraId="3FC49830">
            <w:pPr>
              <w:spacing w:line="240" w:lineRule="exact"/>
              <w:jc w:val="center"/>
              <w:rPr>
                <w:sz w:val="20"/>
                <w:szCs w:val="20"/>
              </w:rPr>
            </w:pPr>
            <w:r>
              <w:rPr>
                <w:rFonts w:hint="eastAsia"/>
                <w:sz w:val="20"/>
                <w:szCs w:val="20"/>
              </w:rPr>
              <w:t>1</w:t>
            </w:r>
          </w:p>
          <w:p w14:paraId="05A54BAE">
            <w:pPr>
              <w:spacing w:line="240" w:lineRule="exact"/>
              <w:jc w:val="center"/>
              <w:rPr>
                <w:sz w:val="21"/>
                <w:szCs w:val="21"/>
              </w:rPr>
            </w:pPr>
            <w:r>
              <w:rPr>
                <w:rFonts w:hint="eastAsia"/>
                <w:sz w:val="20"/>
                <w:szCs w:val="20"/>
              </w:rPr>
              <w:t>(0.84%)</w:t>
            </w:r>
          </w:p>
        </w:tc>
        <w:tc>
          <w:tcPr>
            <w:tcW w:w="1012" w:type="dxa"/>
            <w:shd w:val="clear" w:color="auto" w:fill="FFFFFF"/>
            <w:vAlign w:val="center"/>
          </w:tcPr>
          <w:p w14:paraId="135054CB">
            <w:pPr>
              <w:spacing w:line="240" w:lineRule="exact"/>
              <w:jc w:val="center"/>
              <w:rPr>
                <w:sz w:val="20"/>
                <w:szCs w:val="20"/>
              </w:rPr>
            </w:pPr>
            <w:r>
              <w:rPr>
                <w:rFonts w:hint="eastAsia"/>
                <w:sz w:val="20"/>
                <w:szCs w:val="20"/>
              </w:rPr>
              <w:t>5</w:t>
            </w:r>
          </w:p>
          <w:p w14:paraId="1A3FE033">
            <w:pPr>
              <w:spacing w:line="240" w:lineRule="exact"/>
              <w:jc w:val="center"/>
              <w:rPr>
                <w:sz w:val="21"/>
                <w:szCs w:val="21"/>
              </w:rPr>
            </w:pPr>
            <w:r>
              <w:rPr>
                <w:rFonts w:hint="eastAsia"/>
                <w:sz w:val="20"/>
                <w:szCs w:val="20"/>
              </w:rPr>
              <w:t>(4.2%)</w:t>
            </w:r>
          </w:p>
        </w:tc>
      </w:tr>
      <w:tr w14:paraId="09877AF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42" w:type="dxa"/>
            <w:shd w:val="clear" w:color="auto" w:fill="FAFAFA"/>
            <w:vAlign w:val="center"/>
          </w:tcPr>
          <w:p w14:paraId="145F7B68">
            <w:pPr>
              <w:jc w:val="left"/>
              <w:rPr>
                <w:sz w:val="21"/>
                <w:szCs w:val="21"/>
              </w:rPr>
            </w:pPr>
            <w:r>
              <w:rPr>
                <w:sz w:val="21"/>
                <w:szCs w:val="21"/>
              </w:rPr>
              <w:t>旅游景点的基础设施（如道路、停车场、厕所）满意度</w:t>
            </w:r>
          </w:p>
        </w:tc>
        <w:tc>
          <w:tcPr>
            <w:tcW w:w="1320" w:type="dxa"/>
            <w:shd w:val="clear" w:color="auto" w:fill="FAFAFA"/>
            <w:vAlign w:val="center"/>
          </w:tcPr>
          <w:p w14:paraId="66E9A4B7">
            <w:pPr>
              <w:spacing w:line="240" w:lineRule="exact"/>
              <w:jc w:val="center"/>
              <w:rPr>
                <w:sz w:val="20"/>
                <w:szCs w:val="20"/>
              </w:rPr>
            </w:pPr>
            <w:r>
              <w:rPr>
                <w:rFonts w:hint="eastAsia"/>
                <w:sz w:val="20"/>
                <w:szCs w:val="20"/>
              </w:rPr>
              <w:t>106</w:t>
            </w:r>
          </w:p>
          <w:p w14:paraId="6F7C60DD">
            <w:pPr>
              <w:spacing w:line="240" w:lineRule="exact"/>
              <w:jc w:val="center"/>
              <w:rPr>
                <w:sz w:val="21"/>
                <w:szCs w:val="21"/>
              </w:rPr>
            </w:pPr>
            <w:r>
              <w:rPr>
                <w:rFonts w:hint="eastAsia"/>
                <w:sz w:val="20"/>
                <w:szCs w:val="20"/>
              </w:rPr>
              <w:t>(89.08%)</w:t>
            </w:r>
          </w:p>
        </w:tc>
        <w:tc>
          <w:tcPr>
            <w:tcW w:w="1208" w:type="dxa"/>
            <w:shd w:val="clear" w:color="auto" w:fill="FAFAFA"/>
            <w:vAlign w:val="center"/>
          </w:tcPr>
          <w:p w14:paraId="0A003404">
            <w:pPr>
              <w:spacing w:line="240" w:lineRule="exact"/>
              <w:jc w:val="center"/>
              <w:rPr>
                <w:sz w:val="20"/>
                <w:szCs w:val="20"/>
              </w:rPr>
            </w:pPr>
            <w:r>
              <w:rPr>
                <w:rFonts w:hint="eastAsia"/>
                <w:sz w:val="20"/>
                <w:szCs w:val="20"/>
              </w:rPr>
              <w:t>6</w:t>
            </w:r>
          </w:p>
          <w:p w14:paraId="4E8456E9">
            <w:pPr>
              <w:spacing w:line="240" w:lineRule="exact"/>
              <w:jc w:val="center"/>
              <w:rPr>
                <w:sz w:val="21"/>
                <w:szCs w:val="21"/>
              </w:rPr>
            </w:pPr>
            <w:r>
              <w:rPr>
                <w:rFonts w:hint="eastAsia"/>
                <w:sz w:val="20"/>
                <w:szCs w:val="20"/>
              </w:rPr>
              <w:t>(5.04%)</w:t>
            </w:r>
          </w:p>
        </w:tc>
        <w:tc>
          <w:tcPr>
            <w:tcW w:w="1312" w:type="dxa"/>
            <w:shd w:val="clear" w:color="auto" w:fill="FAFAFA"/>
            <w:vAlign w:val="center"/>
          </w:tcPr>
          <w:p w14:paraId="5EB5BD53">
            <w:pPr>
              <w:spacing w:line="240" w:lineRule="exact"/>
              <w:jc w:val="center"/>
              <w:rPr>
                <w:sz w:val="20"/>
                <w:szCs w:val="20"/>
              </w:rPr>
            </w:pPr>
            <w:r>
              <w:rPr>
                <w:rFonts w:hint="eastAsia"/>
                <w:sz w:val="20"/>
                <w:szCs w:val="20"/>
              </w:rPr>
              <w:t>1</w:t>
            </w:r>
          </w:p>
          <w:p w14:paraId="4C08ABA8">
            <w:pPr>
              <w:spacing w:line="240" w:lineRule="exact"/>
              <w:jc w:val="center"/>
              <w:rPr>
                <w:sz w:val="21"/>
                <w:szCs w:val="21"/>
              </w:rPr>
            </w:pPr>
            <w:r>
              <w:rPr>
                <w:rFonts w:hint="eastAsia"/>
                <w:sz w:val="20"/>
                <w:szCs w:val="20"/>
              </w:rPr>
              <w:t>(0.84%)</w:t>
            </w:r>
          </w:p>
        </w:tc>
        <w:tc>
          <w:tcPr>
            <w:tcW w:w="1226" w:type="dxa"/>
            <w:shd w:val="clear" w:color="auto" w:fill="FAFAFA"/>
            <w:vAlign w:val="center"/>
          </w:tcPr>
          <w:p w14:paraId="4B624D06">
            <w:pPr>
              <w:spacing w:line="240" w:lineRule="exact"/>
              <w:jc w:val="center"/>
              <w:rPr>
                <w:sz w:val="20"/>
                <w:szCs w:val="20"/>
              </w:rPr>
            </w:pPr>
            <w:r>
              <w:rPr>
                <w:rFonts w:hint="eastAsia"/>
                <w:sz w:val="20"/>
                <w:szCs w:val="20"/>
              </w:rPr>
              <w:t>2</w:t>
            </w:r>
          </w:p>
          <w:p w14:paraId="0044EE5A">
            <w:pPr>
              <w:spacing w:line="240" w:lineRule="exact"/>
              <w:jc w:val="center"/>
              <w:rPr>
                <w:sz w:val="21"/>
                <w:szCs w:val="21"/>
              </w:rPr>
            </w:pPr>
            <w:r>
              <w:rPr>
                <w:rFonts w:hint="eastAsia"/>
                <w:sz w:val="20"/>
                <w:szCs w:val="20"/>
              </w:rPr>
              <w:t>(1.68%)</w:t>
            </w:r>
          </w:p>
        </w:tc>
        <w:tc>
          <w:tcPr>
            <w:tcW w:w="1012" w:type="dxa"/>
            <w:shd w:val="clear" w:color="auto" w:fill="FAFAFA"/>
            <w:vAlign w:val="center"/>
          </w:tcPr>
          <w:p w14:paraId="1C34C2EF">
            <w:pPr>
              <w:spacing w:line="240" w:lineRule="exact"/>
              <w:jc w:val="center"/>
              <w:rPr>
                <w:sz w:val="20"/>
                <w:szCs w:val="20"/>
              </w:rPr>
            </w:pPr>
            <w:r>
              <w:rPr>
                <w:rFonts w:hint="eastAsia"/>
                <w:sz w:val="20"/>
                <w:szCs w:val="20"/>
              </w:rPr>
              <w:t>4</w:t>
            </w:r>
          </w:p>
          <w:p w14:paraId="505C9058">
            <w:pPr>
              <w:spacing w:line="240" w:lineRule="exact"/>
              <w:jc w:val="center"/>
              <w:rPr>
                <w:sz w:val="21"/>
                <w:szCs w:val="21"/>
              </w:rPr>
            </w:pPr>
            <w:r>
              <w:rPr>
                <w:rFonts w:hint="eastAsia"/>
                <w:sz w:val="20"/>
                <w:szCs w:val="20"/>
              </w:rPr>
              <w:t>(3.36%)</w:t>
            </w:r>
          </w:p>
        </w:tc>
      </w:tr>
      <w:tr w14:paraId="2ADE7CD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42" w:type="dxa"/>
            <w:shd w:val="clear" w:color="auto" w:fill="FFFFFF"/>
            <w:vAlign w:val="center"/>
          </w:tcPr>
          <w:p w14:paraId="3D971F95">
            <w:pPr>
              <w:jc w:val="left"/>
              <w:rPr>
                <w:sz w:val="21"/>
                <w:szCs w:val="21"/>
              </w:rPr>
            </w:pPr>
            <w:r>
              <w:rPr>
                <w:sz w:val="21"/>
                <w:szCs w:val="21"/>
              </w:rPr>
              <w:t>旅游景区的服务质量满意度</w:t>
            </w:r>
          </w:p>
        </w:tc>
        <w:tc>
          <w:tcPr>
            <w:tcW w:w="1320" w:type="dxa"/>
            <w:shd w:val="clear" w:color="auto" w:fill="FFFFFF"/>
            <w:vAlign w:val="center"/>
          </w:tcPr>
          <w:p w14:paraId="67102E3D">
            <w:pPr>
              <w:spacing w:line="240" w:lineRule="exact"/>
              <w:jc w:val="center"/>
              <w:rPr>
                <w:sz w:val="20"/>
                <w:szCs w:val="20"/>
              </w:rPr>
            </w:pPr>
            <w:r>
              <w:rPr>
                <w:rFonts w:hint="eastAsia"/>
                <w:sz w:val="20"/>
                <w:szCs w:val="20"/>
              </w:rPr>
              <w:t>107</w:t>
            </w:r>
          </w:p>
          <w:p w14:paraId="041E7CCA">
            <w:pPr>
              <w:spacing w:line="240" w:lineRule="exact"/>
              <w:jc w:val="center"/>
              <w:rPr>
                <w:sz w:val="21"/>
                <w:szCs w:val="21"/>
              </w:rPr>
            </w:pPr>
            <w:r>
              <w:rPr>
                <w:rFonts w:hint="eastAsia"/>
                <w:sz w:val="20"/>
                <w:szCs w:val="20"/>
              </w:rPr>
              <w:t>(89.92%)</w:t>
            </w:r>
          </w:p>
        </w:tc>
        <w:tc>
          <w:tcPr>
            <w:tcW w:w="1208" w:type="dxa"/>
            <w:shd w:val="clear" w:color="auto" w:fill="FFFFFF"/>
            <w:vAlign w:val="center"/>
          </w:tcPr>
          <w:p w14:paraId="794B0A05">
            <w:pPr>
              <w:spacing w:line="240" w:lineRule="exact"/>
              <w:jc w:val="center"/>
              <w:rPr>
                <w:sz w:val="20"/>
                <w:szCs w:val="20"/>
              </w:rPr>
            </w:pPr>
            <w:r>
              <w:rPr>
                <w:rFonts w:hint="eastAsia"/>
                <w:sz w:val="20"/>
                <w:szCs w:val="20"/>
              </w:rPr>
              <w:t>5</w:t>
            </w:r>
          </w:p>
          <w:p w14:paraId="19C9927F">
            <w:pPr>
              <w:spacing w:line="240" w:lineRule="exact"/>
              <w:jc w:val="center"/>
              <w:rPr>
                <w:sz w:val="21"/>
                <w:szCs w:val="21"/>
              </w:rPr>
            </w:pPr>
            <w:r>
              <w:rPr>
                <w:rFonts w:hint="eastAsia"/>
                <w:sz w:val="20"/>
                <w:szCs w:val="20"/>
              </w:rPr>
              <w:t>(4.2%)</w:t>
            </w:r>
          </w:p>
        </w:tc>
        <w:tc>
          <w:tcPr>
            <w:tcW w:w="1312" w:type="dxa"/>
            <w:shd w:val="clear" w:color="auto" w:fill="FFFFFF"/>
            <w:vAlign w:val="center"/>
          </w:tcPr>
          <w:p w14:paraId="4C1E068E">
            <w:pPr>
              <w:spacing w:line="240" w:lineRule="exact"/>
              <w:jc w:val="center"/>
              <w:rPr>
                <w:sz w:val="20"/>
                <w:szCs w:val="20"/>
              </w:rPr>
            </w:pPr>
            <w:r>
              <w:rPr>
                <w:rFonts w:hint="eastAsia"/>
                <w:sz w:val="20"/>
                <w:szCs w:val="20"/>
              </w:rPr>
              <w:t>1</w:t>
            </w:r>
          </w:p>
          <w:p w14:paraId="25786252">
            <w:pPr>
              <w:spacing w:line="240" w:lineRule="exact"/>
              <w:jc w:val="center"/>
              <w:rPr>
                <w:sz w:val="21"/>
                <w:szCs w:val="21"/>
              </w:rPr>
            </w:pPr>
            <w:r>
              <w:rPr>
                <w:rFonts w:hint="eastAsia"/>
                <w:sz w:val="20"/>
                <w:szCs w:val="20"/>
              </w:rPr>
              <w:t>(0.84%)</w:t>
            </w:r>
          </w:p>
        </w:tc>
        <w:tc>
          <w:tcPr>
            <w:tcW w:w="1226" w:type="dxa"/>
            <w:shd w:val="clear" w:color="auto" w:fill="FFFFFF"/>
            <w:vAlign w:val="center"/>
          </w:tcPr>
          <w:p w14:paraId="362765D3">
            <w:pPr>
              <w:spacing w:line="240" w:lineRule="exact"/>
              <w:jc w:val="center"/>
              <w:rPr>
                <w:sz w:val="20"/>
                <w:szCs w:val="20"/>
              </w:rPr>
            </w:pPr>
            <w:r>
              <w:rPr>
                <w:rFonts w:hint="eastAsia"/>
                <w:sz w:val="20"/>
                <w:szCs w:val="20"/>
              </w:rPr>
              <w:t>1</w:t>
            </w:r>
          </w:p>
          <w:p w14:paraId="7C588D8B">
            <w:pPr>
              <w:spacing w:line="240" w:lineRule="exact"/>
              <w:jc w:val="center"/>
              <w:rPr>
                <w:sz w:val="21"/>
                <w:szCs w:val="21"/>
              </w:rPr>
            </w:pPr>
            <w:r>
              <w:rPr>
                <w:rFonts w:hint="eastAsia"/>
                <w:sz w:val="20"/>
                <w:szCs w:val="20"/>
              </w:rPr>
              <w:t>(0.84%)</w:t>
            </w:r>
          </w:p>
        </w:tc>
        <w:tc>
          <w:tcPr>
            <w:tcW w:w="1012" w:type="dxa"/>
            <w:shd w:val="clear" w:color="auto" w:fill="FFFFFF"/>
            <w:vAlign w:val="center"/>
          </w:tcPr>
          <w:p w14:paraId="22C0F6F7">
            <w:pPr>
              <w:spacing w:line="240" w:lineRule="exact"/>
              <w:jc w:val="center"/>
              <w:rPr>
                <w:sz w:val="20"/>
                <w:szCs w:val="20"/>
              </w:rPr>
            </w:pPr>
            <w:r>
              <w:rPr>
                <w:rFonts w:hint="eastAsia"/>
                <w:sz w:val="20"/>
                <w:szCs w:val="20"/>
              </w:rPr>
              <w:t>5</w:t>
            </w:r>
          </w:p>
          <w:p w14:paraId="68E02711">
            <w:pPr>
              <w:spacing w:line="240" w:lineRule="exact"/>
              <w:jc w:val="center"/>
              <w:rPr>
                <w:sz w:val="21"/>
                <w:szCs w:val="21"/>
              </w:rPr>
            </w:pPr>
            <w:r>
              <w:rPr>
                <w:rFonts w:hint="eastAsia"/>
                <w:sz w:val="20"/>
                <w:szCs w:val="20"/>
              </w:rPr>
              <w:t>(4.2%)</w:t>
            </w:r>
          </w:p>
        </w:tc>
      </w:tr>
      <w:tr w14:paraId="2382976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642" w:type="dxa"/>
            <w:shd w:val="clear" w:color="auto" w:fill="FAFAFA"/>
            <w:vAlign w:val="center"/>
          </w:tcPr>
          <w:p w14:paraId="3EC8943E">
            <w:pPr>
              <w:jc w:val="left"/>
              <w:rPr>
                <w:sz w:val="21"/>
                <w:szCs w:val="21"/>
              </w:rPr>
            </w:pPr>
            <w:r>
              <w:rPr>
                <w:sz w:val="21"/>
                <w:szCs w:val="21"/>
              </w:rPr>
              <w:t>旅游期间的餐饮和住宿满意度</w:t>
            </w:r>
          </w:p>
        </w:tc>
        <w:tc>
          <w:tcPr>
            <w:tcW w:w="1320" w:type="dxa"/>
            <w:shd w:val="clear" w:color="auto" w:fill="FAFAFA"/>
            <w:vAlign w:val="center"/>
          </w:tcPr>
          <w:p w14:paraId="764236A7">
            <w:pPr>
              <w:spacing w:line="240" w:lineRule="exact"/>
              <w:jc w:val="center"/>
              <w:rPr>
                <w:sz w:val="20"/>
                <w:szCs w:val="20"/>
              </w:rPr>
            </w:pPr>
            <w:r>
              <w:rPr>
                <w:rFonts w:hint="eastAsia"/>
                <w:sz w:val="20"/>
                <w:szCs w:val="20"/>
              </w:rPr>
              <w:t>106</w:t>
            </w:r>
          </w:p>
          <w:p w14:paraId="79DDE312">
            <w:pPr>
              <w:spacing w:line="240" w:lineRule="exact"/>
              <w:jc w:val="center"/>
              <w:rPr>
                <w:sz w:val="21"/>
                <w:szCs w:val="21"/>
              </w:rPr>
            </w:pPr>
            <w:r>
              <w:rPr>
                <w:rFonts w:hint="eastAsia"/>
                <w:sz w:val="20"/>
                <w:szCs w:val="20"/>
              </w:rPr>
              <w:t>(89.08%)</w:t>
            </w:r>
          </w:p>
        </w:tc>
        <w:tc>
          <w:tcPr>
            <w:tcW w:w="1208" w:type="dxa"/>
            <w:shd w:val="clear" w:color="auto" w:fill="FAFAFA"/>
            <w:vAlign w:val="center"/>
          </w:tcPr>
          <w:p w14:paraId="41FEDE63">
            <w:pPr>
              <w:spacing w:line="240" w:lineRule="exact"/>
              <w:jc w:val="center"/>
              <w:rPr>
                <w:sz w:val="20"/>
                <w:szCs w:val="20"/>
              </w:rPr>
            </w:pPr>
            <w:r>
              <w:rPr>
                <w:rFonts w:hint="eastAsia"/>
                <w:sz w:val="20"/>
                <w:szCs w:val="20"/>
              </w:rPr>
              <w:t>6</w:t>
            </w:r>
          </w:p>
          <w:p w14:paraId="79BD6118">
            <w:pPr>
              <w:spacing w:line="240" w:lineRule="exact"/>
              <w:jc w:val="center"/>
              <w:rPr>
                <w:sz w:val="21"/>
                <w:szCs w:val="21"/>
              </w:rPr>
            </w:pPr>
            <w:r>
              <w:rPr>
                <w:rFonts w:hint="eastAsia"/>
                <w:sz w:val="20"/>
                <w:szCs w:val="20"/>
              </w:rPr>
              <w:t>(5.04%)</w:t>
            </w:r>
          </w:p>
        </w:tc>
        <w:tc>
          <w:tcPr>
            <w:tcW w:w="1312" w:type="dxa"/>
            <w:shd w:val="clear" w:color="auto" w:fill="FAFAFA"/>
            <w:vAlign w:val="center"/>
          </w:tcPr>
          <w:p w14:paraId="597E6DE8">
            <w:pPr>
              <w:spacing w:line="240" w:lineRule="exact"/>
              <w:jc w:val="center"/>
              <w:rPr>
                <w:sz w:val="20"/>
                <w:szCs w:val="20"/>
              </w:rPr>
            </w:pPr>
            <w:r>
              <w:rPr>
                <w:rFonts w:hint="eastAsia"/>
                <w:sz w:val="20"/>
                <w:szCs w:val="20"/>
              </w:rPr>
              <w:t>1</w:t>
            </w:r>
          </w:p>
          <w:p w14:paraId="573D1C01">
            <w:pPr>
              <w:spacing w:line="240" w:lineRule="exact"/>
              <w:jc w:val="center"/>
              <w:rPr>
                <w:sz w:val="21"/>
                <w:szCs w:val="21"/>
              </w:rPr>
            </w:pPr>
            <w:r>
              <w:rPr>
                <w:rFonts w:hint="eastAsia"/>
                <w:sz w:val="20"/>
                <w:szCs w:val="20"/>
              </w:rPr>
              <w:t>(0.84%)</w:t>
            </w:r>
          </w:p>
        </w:tc>
        <w:tc>
          <w:tcPr>
            <w:tcW w:w="1226" w:type="dxa"/>
            <w:shd w:val="clear" w:color="auto" w:fill="FAFAFA"/>
            <w:vAlign w:val="center"/>
          </w:tcPr>
          <w:p w14:paraId="6027115A">
            <w:pPr>
              <w:spacing w:line="240" w:lineRule="exact"/>
              <w:jc w:val="center"/>
              <w:rPr>
                <w:sz w:val="20"/>
                <w:szCs w:val="20"/>
              </w:rPr>
            </w:pPr>
            <w:r>
              <w:rPr>
                <w:rFonts w:hint="eastAsia"/>
                <w:sz w:val="20"/>
                <w:szCs w:val="20"/>
              </w:rPr>
              <w:t>2</w:t>
            </w:r>
          </w:p>
          <w:p w14:paraId="13DFF432">
            <w:pPr>
              <w:spacing w:line="240" w:lineRule="exact"/>
              <w:jc w:val="center"/>
              <w:rPr>
                <w:sz w:val="21"/>
                <w:szCs w:val="21"/>
              </w:rPr>
            </w:pPr>
            <w:r>
              <w:rPr>
                <w:rFonts w:hint="eastAsia"/>
                <w:sz w:val="20"/>
                <w:szCs w:val="20"/>
              </w:rPr>
              <w:t>(1.68%)</w:t>
            </w:r>
          </w:p>
        </w:tc>
        <w:tc>
          <w:tcPr>
            <w:tcW w:w="1012" w:type="dxa"/>
            <w:shd w:val="clear" w:color="auto" w:fill="FAFAFA"/>
            <w:vAlign w:val="center"/>
          </w:tcPr>
          <w:p w14:paraId="3876441B">
            <w:pPr>
              <w:spacing w:line="240" w:lineRule="exact"/>
              <w:jc w:val="center"/>
              <w:rPr>
                <w:sz w:val="20"/>
                <w:szCs w:val="20"/>
              </w:rPr>
            </w:pPr>
            <w:r>
              <w:rPr>
                <w:rFonts w:hint="eastAsia"/>
                <w:sz w:val="20"/>
                <w:szCs w:val="20"/>
              </w:rPr>
              <w:t>4</w:t>
            </w:r>
          </w:p>
          <w:p w14:paraId="6388314E">
            <w:pPr>
              <w:spacing w:line="240" w:lineRule="exact"/>
              <w:jc w:val="center"/>
              <w:rPr>
                <w:sz w:val="21"/>
                <w:szCs w:val="21"/>
              </w:rPr>
            </w:pPr>
            <w:r>
              <w:rPr>
                <w:rFonts w:hint="eastAsia"/>
                <w:sz w:val="20"/>
                <w:szCs w:val="20"/>
              </w:rPr>
              <w:t>(3.36%)</w:t>
            </w:r>
          </w:p>
        </w:tc>
      </w:tr>
    </w:tbl>
    <w:p w14:paraId="1346258F">
      <w:pPr>
        <w:ind w:firstLine="560" w:firstLineChars="200"/>
        <w:rPr>
          <w:color w:val="000000"/>
        </w:rPr>
      </w:pPr>
      <w:r>
        <w:rPr>
          <w:color w:val="000000"/>
        </w:rPr>
        <w:t>6.您是否参加过本地举办的文化活动（如民俗表演、节庆活动）</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1C43006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A8806EB">
            <w:pPr>
              <w:jc w:val="left"/>
              <w:rPr>
                <w:sz w:val="21"/>
                <w:szCs w:val="21"/>
              </w:rPr>
            </w:pPr>
            <w:r>
              <w:rPr>
                <w:sz w:val="21"/>
                <w:szCs w:val="21"/>
              </w:rPr>
              <w:t>选项</w:t>
            </w:r>
          </w:p>
        </w:tc>
        <w:tc>
          <w:tcPr>
            <w:tcW w:w="1000" w:type="dxa"/>
            <w:shd w:val="clear" w:color="auto" w:fill="F5F5F5"/>
            <w:vAlign w:val="center"/>
          </w:tcPr>
          <w:p w14:paraId="13244BF6">
            <w:pPr>
              <w:jc w:val="left"/>
              <w:rPr>
                <w:sz w:val="21"/>
                <w:szCs w:val="21"/>
              </w:rPr>
            </w:pPr>
            <w:r>
              <w:rPr>
                <w:sz w:val="21"/>
                <w:szCs w:val="21"/>
              </w:rPr>
              <w:t>小计</w:t>
            </w:r>
          </w:p>
        </w:tc>
        <w:tc>
          <w:tcPr>
            <w:tcW w:w="3106" w:type="dxa"/>
            <w:shd w:val="clear" w:color="auto" w:fill="F5F5F5"/>
            <w:vAlign w:val="center"/>
          </w:tcPr>
          <w:p w14:paraId="1473E305">
            <w:pPr>
              <w:jc w:val="left"/>
              <w:rPr>
                <w:sz w:val="21"/>
                <w:szCs w:val="21"/>
              </w:rPr>
            </w:pPr>
            <w:r>
              <w:rPr>
                <w:sz w:val="21"/>
                <w:szCs w:val="21"/>
              </w:rPr>
              <w:t>比例</w:t>
            </w:r>
          </w:p>
        </w:tc>
      </w:tr>
      <w:tr w14:paraId="552FBD4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535E9ED">
            <w:pPr>
              <w:jc w:val="left"/>
              <w:rPr>
                <w:sz w:val="21"/>
                <w:szCs w:val="21"/>
              </w:rPr>
            </w:pPr>
            <w:r>
              <w:rPr>
                <w:sz w:val="21"/>
                <w:szCs w:val="21"/>
              </w:rPr>
              <w:t>是</w:t>
            </w:r>
          </w:p>
        </w:tc>
        <w:tc>
          <w:tcPr>
            <w:tcW w:w="1000" w:type="dxa"/>
            <w:shd w:val="clear" w:color="auto" w:fill="FFFFFF"/>
            <w:vAlign w:val="center"/>
          </w:tcPr>
          <w:p w14:paraId="126B6A9C">
            <w:pPr>
              <w:jc w:val="left"/>
              <w:rPr>
                <w:sz w:val="21"/>
                <w:szCs w:val="21"/>
              </w:rPr>
            </w:pPr>
            <w:r>
              <w:rPr>
                <w:sz w:val="21"/>
                <w:szCs w:val="21"/>
              </w:rPr>
              <w:t>65</w:t>
            </w:r>
          </w:p>
        </w:tc>
        <w:tc>
          <w:tcPr>
            <w:tcW w:w="3106" w:type="dxa"/>
            <w:shd w:val="clear" w:color="auto" w:fill="FFFFFF"/>
            <w:vAlign w:val="center"/>
          </w:tcPr>
          <w:p w14:paraId="40C8625B">
            <w:pPr>
              <w:jc w:val="left"/>
              <w:rPr>
                <w:sz w:val="21"/>
                <w:szCs w:val="21"/>
              </w:rPr>
            </w:pPr>
            <w:r>
              <w:rPr>
                <w:sz w:val="21"/>
                <w:szCs w:val="21"/>
              </w:rPr>
              <w:drawing>
                <wp:inline distT="0" distB="0" distL="114300" distR="114300">
                  <wp:extent cx="733425" cy="114300"/>
                  <wp:effectExtent l="0" t="0" r="635" b="444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53"/>
                          <a:stretch>
                            <a:fillRect/>
                          </a:stretch>
                        </pic:blipFill>
                        <pic:spPr>
                          <a:xfrm>
                            <a:off x="0" y="0"/>
                            <a:ext cx="733527" cy="114316"/>
                          </a:xfrm>
                          <a:prstGeom prst="rect">
                            <a:avLst/>
                          </a:prstGeom>
                        </pic:spPr>
                      </pic:pic>
                    </a:graphicData>
                  </a:graphic>
                </wp:inline>
              </w:drawing>
            </w:r>
            <w:r>
              <w:rPr>
                <w:sz w:val="21"/>
                <w:szCs w:val="21"/>
              </w:rPr>
              <w:drawing>
                <wp:inline distT="0" distB="0" distL="114300" distR="114300">
                  <wp:extent cx="619125" cy="114300"/>
                  <wp:effectExtent l="0" t="0" r="6985" b="4445"/>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54"/>
                          <a:stretch>
                            <a:fillRect/>
                          </a:stretch>
                        </pic:blipFill>
                        <pic:spPr>
                          <a:xfrm>
                            <a:off x="0" y="0"/>
                            <a:ext cx="619211" cy="114316"/>
                          </a:xfrm>
                          <a:prstGeom prst="rect">
                            <a:avLst/>
                          </a:prstGeom>
                        </pic:spPr>
                      </pic:pic>
                    </a:graphicData>
                  </a:graphic>
                </wp:inline>
              </w:drawing>
            </w:r>
            <w:r>
              <w:rPr>
                <w:sz w:val="21"/>
                <w:szCs w:val="21"/>
              </w:rPr>
              <w:t>54.62%</w:t>
            </w:r>
          </w:p>
        </w:tc>
      </w:tr>
      <w:tr w14:paraId="6174DFF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ED9EE1A">
            <w:pPr>
              <w:jc w:val="left"/>
              <w:rPr>
                <w:sz w:val="21"/>
                <w:szCs w:val="21"/>
              </w:rPr>
            </w:pPr>
            <w:r>
              <w:rPr>
                <w:sz w:val="21"/>
                <w:szCs w:val="21"/>
              </w:rPr>
              <w:t>否</w:t>
            </w:r>
          </w:p>
        </w:tc>
        <w:tc>
          <w:tcPr>
            <w:tcW w:w="1000" w:type="dxa"/>
            <w:shd w:val="clear" w:color="auto" w:fill="FAFAFA"/>
            <w:vAlign w:val="center"/>
          </w:tcPr>
          <w:p w14:paraId="366647C7">
            <w:pPr>
              <w:jc w:val="left"/>
              <w:rPr>
                <w:sz w:val="21"/>
                <w:szCs w:val="21"/>
              </w:rPr>
            </w:pPr>
            <w:r>
              <w:rPr>
                <w:sz w:val="21"/>
                <w:szCs w:val="21"/>
              </w:rPr>
              <w:t>54</w:t>
            </w:r>
          </w:p>
        </w:tc>
        <w:tc>
          <w:tcPr>
            <w:tcW w:w="3106" w:type="dxa"/>
            <w:shd w:val="clear" w:color="auto" w:fill="FAFAFA"/>
            <w:vAlign w:val="center"/>
          </w:tcPr>
          <w:p w14:paraId="7FA569E5">
            <w:pPr>
              <w:jc w:val="left"/>
              <w:rPr>
                <w:sz w:val="21"/>
                <w:szCs w:val="21"/>
              </w:rPr>
            </w:pPr>
            <w:r>
              <w:rPr>
                <w:sz w:val="21"/>
                <w:szCs w:val="21"/>
              </w:rPr>
              <w:drawing>
                <wp:inline distT="0" distB="0" distL="114300" distR="114300">
                  <wp:extent cx="609600" cy="114300"/>
                  <wp:effectExtent l="0" t="0" r="5715" b="444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55"/>
                          <a:stretch>
                            <a:fillRect/>
                          </a:stretch>
                        </pic:blipFill>
                        <pic:spPr>
                          <a:xfrm>
                            <a:off x="0" y="0"/>
                            <a:ext cx="609685" cy="114316"/>
                          </a:xfrm>
                          <a:prstGeom prst="rect">
                            <a:avLst/>
                          </a:prstGeom>
                        </pic:spPr>
                      </pic:pic>
                    </a:graphicData>
                  </a:graphic>
                </wp:inline>
              </w:drawing>
            </w:r>
            <w:r>
              <w:rPr>
                <w:sz w:val="21"/>
                <w:szCs w:val="21"/>
              </w:rPr>
              <w:drawing>
                <wp:inline distT="0" distB="0" distL="114300" distR="114300">
                  <wp:extent cx="742950" cy="114300"/>
                  <wp:effectExtent l="0" t="0" r="1905" b="4445"/>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56"/>
                          <a:stretch>
                            <a:fillRect/>
                          </a:stretch>
                        </pic:blipFill>
                        <pic:spPr>
                          <a:xfrm>
                            <a:off x="0" y="0"/>
                            <a:ext cx="743054" cy="114316"/>
                          </a:xfrm>
                          <a:prstGeom prst="rect">
                            <a:avLst/>
                          </a:prstGeom>
                        </pic:spPr>
                      </pic:pic>
                    </a:graphicData>
                  </a:graphic>
                </wp:inline>
              </w:drawing>
            </w:r>
            <w:r>
              <w:rPr>
                <w:sz w:val="21"/>
                <w:szCs w:val="21"/>
              </w:rPr>
              <w:t>45.38%</w:t>
            </w:r>
          </w:p>
        </w:tc>
      </w:tr>
      <w:tr w14:paraId="396EC23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542181E">
            <w:pPr>
              <w:jc w:val="left"/>
              <w:rPr>
                <w:sz w:val="21"/>
                <w:szCs w:val="21"/>
              </w:rPr>
            </w:pPr>
            <w:r>
              <w:rPr>
                <w:sz w:val="21"/>
                <w:szCs w:val="21"/>
              </w:rPr>
              <w:t>本题有效填写人次</w:t>
            </w:r>
          </w:p>
        </w:tc>
        <w:tc>
          <w:tcPr>
            <w:tcW w:w="1000" w:type="dxa"/>
            <w:shd w:val="clear" w:color="auto" w:fill="F5F5F5"/>
            <w:vAlign w:val="center"/>
          </w:tcPr>
          <w:p w14:paraId="1BFF7903">
            <w:pPr>
              <w:jc w:val="left"/>
              <w:rPr>
                <w:sz w:val="21"/>
                <w:szCs w:val="21"/>
              </w:rPr>
            </w:pPr>
            <w:r>
              <w:rPr>
                <w:sz w:val="21"/>
                <w:szCs w:val="21"/>
              </w:rPr>
              <w:t>119</w:t>
            </w:r>
          </w:p>
        </w:tc>
        <w:tc>
          <w:tcPr>
            <w:tcW w:w="3106" w:type="dxa"/>
            <w:shd w:val="clear" w:color="auto" w:fill="F5F5F5"/>
            <w:vAlign w:val="center"/>
          </w:tcPr>
          <w:p w14:paraId="65FFD0DF">
            <w:pPr>
              <w:jc w:val="left"/>
              <w:rPr>
                <w:sz w:val="21"/>
                <w:szCs w:val="21"/>
              </w:rPr>
            </w:pPr>
          </w:p>
        </w:tc>
      </w:tr>
    </w:tbl>
    <w:p w14:paraId="42FDBC2C">
      <w:pPr>
        <w:ind w:firstLine="560" w:firstLineChars="200"/>
      </w:pPr>
      <w:r>
        <w:rPr>
          <w:color w:val="000000"/>
        </w:rPr>
        <w:t>7.文化活动方面评价如何？（5分为最高，1分为最低）</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fixed"/>
        <w:tblCellMar>
          <w:top w:w="0" w:type="dxa"/>
          <w:left w:w="108" w:type="dxa"/>
          <w:bottom w:w="0" w:type="dxa"/>
          <w:right w:w="108" w:type="dxa"/>
        </w:tblCellMar>
      </w:tblPr>
      <w:tblGrid>
        <w:gridCol w:w="3713"/>
        <w:gridCol w:w="1123"/>
        <w:gridCol w:w="1037"/>
        <w:gridCol w:w="120"/>
        <w:gridCol w:w="823"/>
        <w:gridCol w:w="969"/>
        <w:gridCol w:w="935"/>
      </w:tblGrid>
      <w:tr w14:paraId="079A848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13" w:type="dxa"/>
            <w:shd w:val="clear" w:color="auto" w:fill="F5F5F5"/>
            <w:vAlign w:val="center"/>
          </w:tcPr>
          <w:p w14:paraId="78D81D60">
            <w:pPr>
              <w:jc w:val="left"/>
              <w:rPr>
                <w:sz w:val="21"/>
                <w:szCs w:val="21"/>
              </w:rPr>
            </w:pPr>
            <w:r>
              <w:rPr>
                <w:sz w:val="21"/>
                <w:szCs w:val="21"/>
              </w:rPr>
              <w:t>题目\选项</w:t>
            </w:r>
          </w:p>
        </w:tc>
        <w:tc>
          <w:tcPr>
            <w:tcW w:w="1123" w:type="dxa"/>
            <w:shd w:val="clear" w:color="auto" w:fill="F5F5F5"/>
            <w:vAlign w:val="center"/>
          </w:tcPr>
          <w:p w14:paraId="29BA2324">
            <w:pPr>
              <w:jc w:val="left"/>
              <w:rPr>
                <w:sz w:val="21"/>
                <w:szCs w:val="21"/>
              </w:rPr>
            </w:pPr>
            <w:r>
              <w:rPr>
                <w:sz w:val="21"/>
                <w:szCs w:val="21"/>
              </w:rPr>
              <w:t>5</w:t>
            </w:r>
          </w:p>
        </w:tc>
        <w:tc>
          <w:tcPr>
            <w:tcW w:w="1157" w:type="dxa"/>
            <w:gridSpan w:val="2"/>
            <w:shd w:val="clear" w:color="auto" w:fill="F5F5F5"/>
            <w:vAlign w:val="center"/>
          </w:tcPr>
          <w:p w14:paraId="70278C0F">
            <w:pPr>
              <w:jc w:val="left"/>
              <w:rPr>
                <w:sz w:val="21"/>
                <w:szCs w:val="21"/>
              </w:rPr>
            </w:pPr>
            <w:r>
              <w:rPr>
                <w:sz w:val="21"/>
                <w:szCs w:val="21"/>
              </w:rPr>
              <w:t>4</w:t>
            </w:r>
          </w:p>
        </w:tc>
        <w:tc>
          <w:tcPr>
            <w:tcW w:w="823" w:type="dxa"/>
            <w:shd w:val="clear" w:color="auto" w:fill="F5F5F5"/>
            <w:vAlign w:val="center"/>
          </w:tcPr>
          <w:p w14:paraId="30C95BA0">
            <w:pPr>
              <w:jc w:val="left"/>
              <w:rPr>
                <w:sz w:val="21"/>
                <w:szCs w:val="21"/>
              </w:rPr>
            </w:pPr>
            <w:r>
              <w:rPr>
                <w:sz w:val="21"/>
                <w:szCs w:val="21"/>
              </w:rPr>
              <w:t>3</w:t>
            </w:r>
          </w:p>
        </w:tc>
        <w:tc>
          <w:tcPr>
            <w:tcW w:w="969" w:type="dxa"/>
            <w:shd w:val="clear" w:color="auto" w:fill="F5F5F5"/>
            <w:vAlign w:val="center"/>
          </w:tcPr>
          <w:p w14:paraId="75A7F547">
            <w:pPr>
              <w:jc w:val="left"/>
              <w:rPr>
                <w:sz w:val="21"/>
                <w:szCs w:val="21"/>
              </w:rPr>
            </w:pPr>
            <w:r>
              <w:rPr>
                <w:sz w:val="21"/>
                <w:szCs w:val="21"/>
              </w:rPr>
              <w:t>2</w:t>
            </w:r>
          </w:p>
        </w:tc>
        <w:tc>
          <w:tcPr>
            <w:tcW w:w="935" w:type="dxa"/>
            <w:shd w:val="clear" w:color="auto" w:fill="F5F5F5"/>
            <w:vAlign w:val="center"/>
          </w:tcPr>
          <w:p w14:paraId="74B688F2">
            <w:pPr>
              <w:jc w:val="left"/>
              <w:rPr>
                <w:sz w:val="21"/>
                <w:szCs w:val="21"/>
              </w:rPr>
            </w:pPr>
            <w:r>
              <w:rPr>
                <w:sz w:val="21"/>
                <w:szCs w:val="21"/>
              </w:rPr>
              <w:t>1</w:t>
            </w:r>
          </w:p>
        </w:tc>
      </w:tr>
      <w:tr w14:paraId="358AE8B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13" w:type="dxa"/>
            <w:shd w:val="clear" w:color="auto" w:fill="FFFFFF"/>
            <w:vAlign w:val="center"/>
          </w:tcPr>
          <w:p w14:paraId="2669EAE6">
            <w:pPr>
              <w:jc w:val="left"/>
              <w:rPr>
                <w:sz w:val="21"/>
                <w:szCs w:val="21"/>
              </w:rPr>
            </w:pPr>
            <w:r>
              <w:rPr>
                <w:sz w:val="21"/>
                <w:szCs w:val="21"/>
              </w:rPr>
              <w:t>对参加过的文化活动的</w:t>
            </w:r>
            <w:r>
              <w:rPr>
                <w:rFonts w:hint="eastAsia"/>
                <w:sz w:val="21"/>
                <w:szCs w:val="21"/>
              </w:rPr>
              <w:t>整体安排</w:t>
            </w:r>
            <w:r>
              <w:rPr>
                <w:sz w:val="21"/>
                <w:szCs w:val="21"/>
              </w:rPr>
              <w:t>满意度</w:t>
            </w:r>
          </w:p>
        </w:tc>
        <w:tc>
          <w:tcPr>
            <w:tcW w:w="1123" w:type="dxa"/>
            <w:shd w:val="clear" w:color="auto" w:fill="FFFFFF"/>
            <w:vAlign w:val="center"/>
          </w:tcPr>
          <w:p w14:paraId="504BC582">
            <w:pPr>
              <w:spacing w:line="240" w:lineRule="exact"/>
              <w:jc w:val="center"/>
              <w:rPr>
                <w:sz w:val="20"/>
                <w:szCs w:val="20"/>
              </w:rPr>
            </w:pPr>
            <w:r>
              <w:rPr>
                <w:rFonts w:hint="eastAsia"/>
                <w:sz w:val="20"/>
                <w:szCs w:val="20"/>
              </w:rPr>
              <w:t>98</w:t>
            </w:r>
          </w:p>
          <w:p w14:paraId="5F24DA36">
            <w:pPr>
              <w:spacing w:line="240" w:lineRule="exact"/>
              <w:jc w:val="center"/>
              <w:rPr>
                <w:sz w:val="21"/>
                <w:szCs w:val="21"/>
              </w:rPr>
            </w:pPr>
            <w:r>
              <w:rPr>
                <w:rFonts w:hint="eastAsia"/>
                <w:sz w:val="20"/>
                <w:szCs w:val="20"/>
              </w:rPr>
              <w:t>(82.35%)</w:t>
            </w:r>
          </w:p>
        </w:tc>
        <w:tc>
          <w:tcPr>
            <w:tcW w:w="1037" w:type="dxa"/>
            <w:shd w:val="clear" w:color="auto" w:fill="FFFFFF"/>
            <w:vAlign w:val="center"/>
          </w:tcPr>
          <w:p w14:paraId="5AAF6049">
            <w:pPr>
              <w:spacing w:line="240" w:lineRule="exact"/>
              <w:jc w:val="center"/>
              <w:rPr>
                <w:sz w:val="20"/>
                <w:szCs w:val="20"/>
              </w:rPr>
            </w:pPr>
            <w:r>
              <w:rPr>
                <w:rFonts w:hint="eastAsia"/>
                <w:sz w:val="20"/>
                <w:szCs w:val="20"/>
              </w:rPr>
              <w:t>13</w:t>
            </w:r>
          </w:p>
          <w:p w14:paraId="34FFC520">
            <w:pPr>
              <w:spacing w:line="240" w:lineRule="exact"/>
              <w:jc w:val="center"/>
              <w:rPr>
                <w:sz w:val="21"/>
                <w:szCs w:val="21"/>
              </w:rPr>
            </w:pPr>
            <w:r>
              <w:rPr>
                <w:rFonts w:hint="eastAsia"/>
                <w:sz w:val="20"/>
                <w:szCs w:val="20"/>
              </w:rPr>
              <w:t>(10.92%)</w:t>
            </w:r>
          </w:p>
        </w:tc>
        <w:tc>
          <w:tcPr>
            <w:tcW w:w="943" w:type="dxa"/>
            <w:gridSpan w:val="2"/>
            <w:shd w:val="clear" w:color="auto" w:fill="FFFFFF"/>
            <w:vAlign w:val="center"/>
          </w:tcPr>
          <w:p w14:paraId="5DF19E37">
            <w:pPr>
              <w:spacing w:line="240" w:lineRule="exact"/>
              <w:jc w:val="center"/>
              <w:rPr>
                <w:sz w:val="20"/>
                <w:szCs w:val="20"/>
              </w:rPr>
            </w:pPr>
            <w:r>
              <w:rPr>
                <w:rFonts w:hint="eastAsia"/>
                <w:sz w:val="20"/>
                <w:szCs w:val="20"/>
              </w:rPr>
              <w:t>3</w:t>
            </w:r>
          </w:p>
          <w:p w14:paraId="06314FC5">
            <w:pPr>
              <w:spacing w:line="240" w:lineRule="exact"/>
              <w:jc w:val="center"/>
              <w:rPr>
                <w:sz w:val="21"/>
                <w:szCs w:val="21"/>
              </w:rPr>
            </w:pPr>
            <w:r>
              <w:rPr>
                <w:rFonts w:hint="eastAsia"/>
                <w:sz w:val="20"/>
                <w:szCs w:val="20"/>
              </w:rPr>
              <w:t>(2.52%)</w:t>
            </w:r>
          </w:p>
        </w:tc>
        <w:tc>
          <w:tcPr>
            <w:tcW w:w="969" w:type="dxa"/>
            <w:shd w:val="clear" w:color="auto" w:fill="FFFFFF"/>
            <w:vAlign w:val="center"/>
          </w:tcPr>
          <w:p w14:paraId="24046D28">
            <w:pPr>
              <w:spacing w:line="240" w:lineRule="exact"/>
              <w:jc w:val="center"/>
              <w:rPr>
                <w:sz w:val="20"/>
                <w:szCs w:val="20"/>
              </w:rPr>
            </w:pPr>
            <w:r>
              <w:rPr>
                <w:rFonts w:hint="eastAsia"/>
                <w:sz w:val="20"/>
                <w:szCs w:val="20"/>
              </w:rPr>
              <w:t>1</w:t>
            </w:r>
          </w:p>
          <w:p w14:paraId="35A88093">
            <w:pPr>
              <w:spacing w:line="240" w:lineRule="exact"/>
              <w:jc w:val="center"/>
              <w:rPr>
                <w:sz w:val="21"/>
                <w:szCs w:val="21"/>
              </w:rPr>
            </w:pPr>
            <w:r>
              <w:rPr>
                <w:rFonts w:hint="eastAsia"/>
                <w:sz w:val="20"/>
                <w:szCs w:val="20"/>
              </w:rPr>
              <w:t>(0.84%)</w:t>
            </w:r>
          </w:p>
        </w:tc>
        <w:tc>
          <w:tcPr>
            <w:tcW w:w="935" w:type="dxa"/>
            <w:shd w:val="clear" w:color="auto" w:fill="FFFFFF"/>
            <w:vAlign w:val="center"/>
          </w:tcPr>
          <w:p w14:paraId="5AD0B9A3">
            <w:pPr>
              <w:spacing w:line="240" w:lineRule="exact"/>
              <w:jc w:val="center"/>
              <w:rPr>
                <w:sz w:val="20"/>
                <w:szCs w:val="20"/>
              </w:rPr>
            </w:pPr>
            <w:r>
              <w:rPr>
                <w:rFonts w:hint="eastAsia"/>
                <w:sz w:val="20"/>
                <w:szCs w:val="20"/>
              </w:rPr>
              <w:t>4</w:t>
            </w:r>
          </w:p>
          <w:p w14:paraId="5A8F2D92">
            <w:pPr>
              <w:spacing w:line="240" w:lineRule="exact"/>
              <w:jc w:val="center"/>
              <w:rPr>
                <w:sz w:val="21"/>
                <w:szCs w:val="21"/>
              </w:rPr>
            </w:pPr>
            <w:r>
              <w:rPr>
                <w:rFonts w:hint="eastAsia"/>
                <w:sz w:val="20"/>
                <w:szCs w:val="20"/>
              </w:rPr>
              <w:t>(3.36%)</w:t>
            </w:r>
          </w:p>
        </w:tc>
      </w:tr>
      <w:tr w14:paraId="18A9420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13" w:type="dxa"/>
            <w:shd w:val="clear" w:color="auto" w:fill="FAFAFA"/>
            <w:vAlign w:val="center"/>
          </w:tcPr>
          <w:p w14:paraId="505E644D">
            <w:pPr>
              <w:jc w:val="left"/>
              <w:rPr>
                <w:sz w:val="21"/>
                <w:szCs w:val="21"/>
              </w:rPr>
            </w:pPr>
            <w:r>
              <w:rPr>
                <w:sz w:val="21"/>
                <w:szCs w:val="21"/>
              </w:rPr>
              <w:t>您认为永济的文化活动特色和吸引力情况</w:t>
            </w:r>
          </w:p>
        </w:tc>
        <w:tc>
          <w:tcPr>
            <w:tcW w:w="1123" w:type="dxa"/>
            <w:shd w:val="clear" w:color="auto" w:fill="FAFAFA"/>
            <w:vAlign w:val="center"/>
          </w:tcPr>
          <w:p w14:paraId="468DA1B0">
            <w:pPr>
              <w:spacing w:line="240" w:lineRule="exact"/>
              <w:jc w:val="center"/>
              <w:rPr>
                <w:sz w:val="20"/>
                <w:szCs w:val="20"/>
              </w:rPr>
            </w:pPr>
            <w:r>
              <w:rPr>
                <w:rFonts w:hint="eastAsia"/>
                <w:sz w:val="20"/>
                <w:szCs w:val="20"/>
              </w:rPr>
              <w:t>100</w:t>
            </w:r>
          </w:p>
          <w:p w14:paraId="1CD99D40">
            <w:pPr>
              <w:spacing w:line="240" w:lineRule="exact"/>
              <w:jc w:val="center"/>
              <w:rPr>
                <w:sz w:val="21"/>
                <w:szCs w:val="21"/>
              </w:rPr>
            </w:pPr>
            <w:r>
              <w:rPr>
                <w:rFonts w:hint="eastAsia"/>
                <w:sz w:val="20"/>
                <w:szCs w:val="20"/>
              </w:rPr>
              <w:t>(84.03%)</w:t>
            </w:r>
          </w:p>
        </w:tc>
        <w:tc>
          <w:tcPr>
            <w:tcW w:w="1037" w:type="dxa"/>
            <w:shd w:val="clear" w:color="auto" w:fill="FAFAFA"/>
            <w:vAlign w:val="center"/>
          </w:tcPr>
          <w:p w14:paraId="468BF09B">
            <w:pPr>
              <w:spacing w:line="240" w:lineRule="exact"/>
              <w:jc w:val="center"/>
              <w:rPr>
                <w:sz w:val="20"/>
                <w:szCs w:val="20"/>
              </w:rPr>
            </w:pPr>
            <w:r>
              <w:rPr>
                <w:rFonts w:hint="eastAsia"/>
                <w:sz w:val="20"/>
                <w:szCs w:val="20"/>
              </w:rPr>
              <w:t>10</w:t>
            </w:r>
          </w:p>
          <w:p w14:paraId="24F39FED">
            <w:pPr>
              <w:spacing w:line="240" w:lineRule="exact"/>
              <w:jc w:val="center"/>
              <w:rPr>
                <w:sz w:val="21"/>
                <w:szCs w:val="21"/>
              </w:rPr>
            </w:pPr>
            <w:r>
              <w:rPr>
                <w:rFonts w:hint="eastAsia"/>
                <w:sz w:val="20"/>
                <w:szCs w:val="20"/>
              </w:rPr>
              <w:t>(8.4%)</w:t>
            </w:r>
          </w:p>
        </w:tc>
        <w:tc>
          <w:tcPr>
            <w:tcW w:w="943" w:type="dxa"/>
            <w:gridSpan w:val="2"/>
            <w:shd w:val="clear" w:color="auto" w:fill="FAFAFA"/>
            <w:vAlign w:val="center"/>
          </w:tcPr>
          <w:p w14:paraId="2572CBF3">
            <w:pPr>
              <w:spacing w:line="240" w:lineRule="exact"/>
              <w:jc w:val="center"/>
              <w:rPr>
                <w:sz w:val="20"/>
                <w:szCs w:val="20"/>
              </w:rPr>
            </w:pPr>
            <w:r>
              <w:rPr>
                <w:rFonts w:hint="eastAsia"/>
                <w:sz w:val="20"/>
                <w:szCs w:val="20"/>
              </w:rPr>
              <w:t>4</w:t>
            </w:r>
          </w:p>
          <w:p w14:paraId="09F399A5">
            <w:pPr>
              <w:spacing w:line="240" w:lineRule="exact"/>
              <w:jc w:val="center"/>
              <w:rPr>
                <w:sz w:val="21"/>
                <w:szCs w:val="21"/>
              </w:rPr>
            </w:pPr>
            <w:r>
              <w:rPr>
                <w:rFonts w:hint="eastAsia"/>
                <w:sz w:val="20"/>
                <w:szCs w:val="20"/>
              </w:rPr>
              <w:t>(3.36%)</w:t>
            </w:r>
          </w:p>
        </w:tc>
        <w:tc>
          <w:tcPr>
            <w:tcW w:w="969" w:type="dxa"/>
            <w:shd w:val="clear" w:color="auto" w:fill="FAFAFA"/>
            <w:vAlign w:val="center"/>
          </w:tcPr>
          <w:p w14:paraId="5C667326">
            <w:pPr>
              <w:spacing w:line="240" w:lineRule="exact"/>
              <w:jc w:val="center"/>
              <w:rPr>
                <w:sz w:val="20"/>
                <w:szCs w:val="20"/>
              </w:rPr>
            </w:pPr>
            <w:r>
              <w:rPr>
                <w:rFonts w:hint="eastAsia"/>
                <w:sz w:val="20"/>
                <w:szCs w:val="20"/>
              </w:rPr>
              <w:t>1</w:t>
            </w:r>
          </w:p>
          <w:p w14:paraId="5F856BD0">
            <w:pPr>
              <w:spacing w:line="240" w:lineRule="exact"/>
              <w:jc w:val="center"/>
              <w:rPr>
                <w:sz w:val="21"/>
                <w:szCs w:val="21"/>
              </w:rPr>
            </w:pPr>
            <w:r>
              <w:rPr>
                <w:rFonts w:hint="eastAsia"/>
                <w:sz w:val="20"/>
                <w:szCs w:val="20"/>
              </w:rPr>
              <w:t>(0.84%)</w:t>
            </w:r>
          </w:p>
        </w:tc>
        <w:tc>
          <w:tcPr>
            <w:tcW w:w="935" w:type="dxa"/>
            <w:shd w:val="clear" w:color="auto" w:fill="FAFAFA"/>
            <w:vAlign w:val="center"/>
          </w:tcPr>
          <w:p w14:paraId="13FD1109">
            <w:pPr>
              <w:spacing w:line="240" w:lineRule="exact"/>
              <w:jc w:val="center"/>
              <w:rPr>
                <w:sz w:val="20"/>
                <w:szCs w:val="20"/>
              </w:rPr>
            </w:pPr>
            <w:r>
              <w:rPr>
                <w:rFonts w:hint="eastAsia"/>
                <w:sz w:val="20"/>
                <w:szCs w:val="20"/>
              </w:rPr>
              <w:t>4</w:t>
            </w:r>
          </w:p>
          <w:p w14:paraId="1D23D979">
            <w:pPr>
              <w:spacing w:line="240" w:lineRule="exact"/>
              <w:jc w:val="center"/>
              <w:rPr>
                <w:sz w:val="21"/>
                <w:szCs w:val="21"/>
              </w:rPr>
            </w:pPr>
            <w:r>
              <w:rPr>
                <w:rFonts w:hint="eastAsia"/>
                <w:sz w:val="20"/>
                <w:szCs w:val="20"/>
              </w:rPr>
              <w:t>(3.36%)</w:t>
            </w:r>
          </w:p>
        </w:tc>
      </w:tr>
      <w:tr w14:paraId="594AC0F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13" w:type="dxa"/>
            <w:shd w:val="clear" w:color="auto" w:fill="FFFFFF"/>
            <w:vAlign w:val="center"/>
          </w:tcPr>
          <w:p w14:paraId="67195FB6">
            <w:pPr>
              <w:jc w:val="left"/>
              <w:rPr>
                <w:sz w:val="21"/>
                <w:szCs w:val="21"/>
              </w:rPr>
            </w:pPr>
            <w:r>
              <w:rPr>
                <w:sz w:val="21"/>
                <w:szCs w:val="21"/>
              </w:rPr>
              <w:t>您对永济市文化馆、博物馆、图书馆内的物品及服务人员的满意度</w:t>
            </w:r>
          </w:p>
        </w:tc>
        <w:tc>
          <w:tcPr>
            <w:tcW w:w="1123" w:type="dxa"/>
            <w:shd w:val="clear" w:color="auto" w:fill="FFFFFF"/>
            <w:vAlign w:val="center"/>
          </w:tcPr>
          <w:p w14:paraId="043D37C3">
            <w:pPr>
              <w:spacing w:line="240" w:lineRule="exact"/>
              <w:jc w:val="center"/>
              <w:rPr>
                <w:sz w:val="20"/>
                <w:szCs w:val="20"/>
              </w:rPr>
            </w:pPr>
            <w:r>
              <w:rPr>
                <w:rFonts w:hint="eastAsia"/>
                <w:sz w:val="20"/>
                <w:szCs w:val="20"/>
              </w:rPr>
              <w:t>101</w:t>
            </w:r>
          </w:p>
          <w:p w14:paraId="13677472">
            <w:pPr>
              <w:spacing w:line="240" w:lineRule="exact"/>
              <w:jc w:val="center"/>
              <w:rPr>
                <w:sz w:val="21"/>
                <w:szCs w:val="21"/>
              </w:rPr>
            </w:pPr>
            <w:r>
              <w:rPr>
                <w:rFonts w:hint="eastAsia"/>
                <w:sz w:val="20"/>
                <w:szCs w:val="20"/>
              </w:rPr>
              <w:t>(84.87%)</w:t>
            </w:r>
          </w:p>
        </w:tc>
        <w:tc>
          <w:tcPr>
            <w:tcW w:w="1037" w:type="dxa"/>
            <w:shd w:val="clear" w:color="auto" w:fill="FFFFFF"/>
            <w:vAlign w:val="center"/>
          </w:tcPr>
          <w:p w14:paraId="040F5D19">
            <w:pPr>
              <w:spacing w:line="240" w:lineRule="exact"/>
              <w:jc w:val="center"/>
              <w:rPr>
                <w:sz w:val="20"/>
                <w:szCs w:val="20"/>
              </w:rPr>
            </w:pPr>
            <w:r>
              <w:rPr>
                <w:rFonts w:hint="eastAsia"/>
                <w:sz w:val="20"/>
                <w:szCs w:val="20"/>
              </w:rPr>
              <w:t>9</w:t>
            </w:r>
          </w:p>
          <w:p w14:paraId="1C59D35A">
            <w:pPr>
              <w:spacing w:line="240" w:lineRule="exact"/>
              <w:jc w:val="center"/>
              <w:rPr>
                <w:sz w:val="21"/>
                <w:szCs w:val="21"/>
              </w:rPr>
            </w:pPr>
            <w:r>
              <w:rPr>
                <w:rFonts w:hint="eastAsia"/>
                <w:sz w:val="20"/>
                <w:szCs w:val="20"/>
              </w:rPr>
              <w:t>(7.56%)</w:t>
            </w:r>
          </w:p>
        </w:tc>
        <w:tc>
          <w:tcPr>
            <w:tcW w:w="943" w:type="dxa"/>
            <w:gridSpan w:val="2"/>
            <w:shd w:val="clear" w:color="auto" w:fill="FFFFFF"/>
            <w:vAlign w:val="center"/>
          </w:tcPr>
          <w:p w14:paraId="28618735">
            <w:pPr>
              <w:spacing w:line="240" w:lineRule="exact"/>
              <w:jc w:val="center"/>
              <w:rPr>
                <w:sz w:val="20"/>
                <w:szCs w:val="20"/>
              </w:rPr>
            </w:pPr>
            <w:r>
              <w:rPr>
                <w:rFonts w:hint="eastAsia"/>
                <w:sz w:val="20"/>
                <w:szCs w:val="20"/>
              </w:rPr>
              <w:t>4</w:t>
            </w:r>
          </w:p>
          <w:p w14:paraId="7807D864">
            <w:pPr>
              <w:spacing w:line="240" w:lineRule="exact"/>
              <w:jc w:val="center"/>
              <w:rPr>
                <w:sz w:val="21"/>
                <w:szCs w:val="21"/>
              </w:rPr>
            </w:pPr>
            <w:r>
              <w:rPr>
                <w:rFonts w:hint="eastAsia"/>
                <w:sz w:val="20"/>
                <w:szCs w:val="20"/>
              </w:rPr>
              <w:t>(3.36%)</w:t>
            </w:r>
          </w:p>
        </w:tc>
        <w:tc>
          <w:tcPr>
            <w:tcW w:w="969" w:type="dxa"/>
            <w:shd w:val="clear" w:color="auto" w:fill="FFFFFF"/>
            <w:vAlign w:val="center"/>
          </w:tcPr>
          <w:p w14:paraId="30CDD224">
            <w:pPr>
              <w:spacing w:line="240" w:lineRule="exact"/>
              <w:jc w:val="center"/>
              <w:rPr>
                <w:sz w:val="20"/>
                <w:szCs w:val="20"/>
              </w:rPr>
            </w:pPr>
            <w:r>
              <w:rPr>
                <w:rFonts w:hint="eastAsia"/>
                <w:sz w:val="20"/>
                <w:szCs w:val="20"/>
              </w:rPr>
              <w:t>1</w:t>
            </w:r>
          </w:p>
          <w:p w14:paraId="414F5A22">
            <w:pPr>
              <w:spacing w:line="240" w:lineRule="exact"/>
              <w:jc w:val="center"/>
              <w:rPr>
                <w:sz w:val="21"/>
                <w:szCs w:val="21"/>
              </w:rPr>
            </w:pPr>
            <w:r>
              <w:rPr>
                <w:rFonts w:hint="eastAsia"/>
                <w:sz w:val="20"/>
                <w:szCs w:val="20"/>
              </w:rPr>
              <w:t>(0.84%)</w:t>
            </w:r>
          </w:p>
        </w:tc>
        <w:tc>
          <w:tcPr>
            <w:tcW w:w="935" w:type="dxa"/>
            <w:shd w:val="clear" w:color="auto" w:fill="FFFFFF"/>
            <w:vAlign w:val="center"/>
          </w:tcPr>
          <w:p w14:paraId="28AEC58D">
            <w:pPr>
              <w:spacing w:line="240" w:lineRule="exact"/>
              <w:jc w:val="center"/>
              <w:rPr>
                <w:sz w:val="20"/>
                <w:szCs w:val="20"/>
              </w:rPr>
            </w:pPr>
            <w:r>
              <w:rPr>
                <w:rFonts w:hint="eastAsia"/>
                <w:sz w:val="20"/>
                <w:szCs w:val="20"/>
              </w:rPr>
              <w:t>4</w:t>
            </w:r>
          </w:p>
          <w:p w14:paraId="7D84A26E">
            <w:pPr>
              <w:spacing w:line="240" w:lineRule="exact"/>
              <w:jc w:val="center"/>
              <w:rPr>
                <w:sz w:val="21"/>
                <w:szCs w:val="21"/>
              </w:rPr>
            </w:pPr>
            <w:r>
              <w:rPr>
                <w:rFonts w:hint="eastAsia"/>
                <w:sz w:val="20"/>
                <w:szCs w:val="20"/>
              </w:rPr>
              <w:t>(3.36%)</w:t>
            </w:r>
          </w:p>
        </w:tc>
      </w:tr>
      <w:tr w14:paraId="05B45E0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3713" w:type="dxa"/>
            <w:shd w:val="clear" w:color="auto" w:fill="FAFAFA"/>
            <w:vAlign w:val="center"/>
          </w:tcPr>
          <w:p w14:paraId="02273988">
            <w:pPr>
              <w:jc w:val="left"/>
              <w:rPr>
                <w:sz w:val="21"/>
                <w:szCs w:val="21"/>
              </w:rPr>
            </w:pPr>
            <w:r>
              <w:rPr>
                <w:sz w:val="21"/>
                <w:szCs w:val="21"/>
              </w:rPr>
              <w:t>您对永济市文物保护工作满意度</w:t>
            </w:r>
          </w:p>
        </w:tc>
        <w:tc>
          <w:tcPr>
            <w:tcW w:w="1123" w:type="dxa"/>
            <w:shd w:val="clear" w:color="auto" w:fill="FAFAFA"/>
            <w:vAlign w:val="center"/>
          </w:tcPr>
          <w:p w14:paraId="138E47A3">
            <w:pPr>
              <w:spacing w:line="240" w:lineRule="exact"/>
              <w:jc w:val="center"/>
              <w:rPr>
                <w:sz w:val="20"/>
                <w:szCs w:val="20"/>
              </w:rPr>
            </w:pPr>
            <w:r>
              <w:rPr>
                <w:rFonts w:hint="eastAsia"/>
                <w:sz w:val="20"/>
                <w:szCs w:val="20"/>
              </w:rPr>
              <w:t>107</w:t>
            </w:r>
          </w:p>
          <w:p w14:paraId="371433DE">
            <w:pPr>
              <w:spacing w:line="240" w:lineRule="exact"/>
              <w:jc w:val="center"/>
              <w:rPr>
                <w:sz w:val="21"/>
                <w:szCs w:val="21"/>
              </w:rPr>
            </w:pPr>
            <w:r>
              <w:rPr>
                <w:rFonts w:hint="eastAsia"/>
                <w:sz w:val="20"/>
                <w:szCs w:val="20"/>
              </w:rPr>
              <w:t>(89.92%)</w:t>
            </w:r>
          </w:p>
        </w:tc>
        <w:tc>
          <w:tcPr>
            <w:tcW w:w="1037" w:type="dxa"/>
            <w:shd w:val="clear" w:color="auto" w:fill="FAFAFA"/>
            <w:vAlign w:val="center"/>
          </w:tcPr>
          <w:p w14:paraId="129F81A0">
            <w:pPr>
              <w:spacing w:line="240" w:lineRule="exact"/>
              <w:jc w:val="center"/>
              <w:rPr>
                <w:sz w:val="20"/>
                <w:szCs w:val="20"/>
              </w:rPr>
            </w:pPr>
            <w:r>
              <w:rPr>
                <w:rFonts w:hint="eastAsia"/>
                <w:sz w:val="20"/>
                <w:szCs w:val="20"/>
              </w:rPr>
              <w:t>5</w:t>
            </w:r>
          </w:p>
          <w:p w14:paraId="6736C448">
            <w:pPr>
              <w:spacing w:line="240" w:lineRule="exact"/>
              <w:jc w:val="center"/>
              <w:rPr>
                <w:sz w:val="21"/>
                <w:szCs w:val="21"/>
              </w:rPr>
            </w:pPr>
            <w:r>
              <w:rPr>
                <w:rFonts w:hint="eastAsia"/>
                <w:sz w:val="20"/>
                <w:szCs w:val="20"/>
              </w:rPr>
              <w:t>(4.2%)</w:t>
            </w:r>
          </w:p>
        </w:tc>
        <w:tc>
          <w:tcPr>
            <w:tcW w:w="943" w:type="dxa"/>
            <w:gridSpan w:val="2"/>
            <w:shd w:val="clear" w:color="auto" w:fill="FAFAFA"/>
            <w:vAlign w:val="center"/>
          </w:tcPr>
          <w:p w14:paraId="599803C9">
            <w:pPr>
              <w:spacing w:line="240" w:lineRule="exact"/>
              <w:jc w:val="center"/>
              <w:rPr>
                <w:sz w:val="20"/>
                <w:szCs w:val="20"/>
              </w:rPr>
            </w:pPr>
            <w:r>
              <w:rPr>
                <w:rFonts w:hint="eastAsia"/>
                <w:sz w:val="20"/>
                <w:szCs w:val="20"/>
              </w:rPr>
              <w:t>2</w:t>
            </w:r>
          </w:p>
          <w:p w14:paraId="44A2B202">
            <w:pPr>
              <w:spacing w:line="240" w:lineRule="exact"/>
              <w:jc w:val="center"/>
              <w:rPr>
                <w:sz w:val="21"/>
                <w:szCs w:val="21"/>
              </w:rPr>
            </w:pPr>
            <w:r>
              <w:rPr>
                <w:rFonts w:hint="eastAsia"/>
                <w:sz w:val="20"/>
                <w:szCs w:val="20"/>
              </w:rPr>
              <w:t>(1.68%)</w:t>
            </w:r>
          </w:p>
        </w:tc>
        <w:tc>
          <w:tcPr>
            <w:tcW w:w="969" w:type="dxa"/>
            <w:shd w:val="clear" w:color="auto" w:fill="FAFAFA"/>
            <w:vAlign w:val="center"/>
          </w:tcPr>
          <w:p w14:paraId="651C2AE3">
            <w:pPr>
              <w:spacing w:line="240" w:lineRule="exact"/>
              <w:jc w:val="center"/>
              <w:rPr>
                <w:sz w:val="20"/>
                <w:szCs w:val="20"/>
              </w:rPr>
            </w:pPr>
            <w:r>
              <w:rPr>
                <w:rFonts w:hint="eastAsia"/>
                <w:sz w:val="20"/>
                <w:szCs w:val="20"/>
              </w:rPr>
              <w:t>1</w:t>
            </w:r>
          </w:p>
          <w:p w14:paraId="5AE5BA54">
            <w:pPr>
              <w:spacing w:line="240" w:lineRule="exact"/>
              <w:jc w:val="center"/>
              <w:rPr>
                <w:sz w:val="21"/>
                <w:szCs w:val="21"/>
              </w:rPr>
            </w:pPr>
            <w:r>
              <w:rPr>
                <w:rFonts w:hint="eastAsia"/>
                <w:sz w:val="20"/>
                <w:szCs w:val="20"/>
              </w:rPr>
              <w:t>(0.84%)</w:t>
            </w:r>
          </w:p>
        </w:tc>
        <w:tc>
          <w:tcPr>
            <w:tcW w:w="935" w:type="dxa"/>
            <w:shd w:val="clear" w:color="auto" w:fill="FAFAFA"/>
            <w:vAlign w:val="center"/>
          </w:tcPr>
          <w:p w14:paraId="01F2DD70">
            <w:pPr>
              <w:spacing w:line="240" w:lineRule="exact"/>
              <w:jc w:val="center"/>
              <w:rPr>
                <w:sz w:val="20"/>
                <w:szCs w:val="20"/>
              </w:rPr>
            </w:pPr>
            <w:r>
              <w:rPr>
                <w:rFonts w:hint="eastAsia"/>
                <w:sz w:val="20"/>
                <w:szCs w:val="20"/>
              </w:rPr>
              <w:t>4</w:t>
            </w:r>
          </w:p>
          <w:p w14:paraId="743E895E">
            <w:pPr>
              <w:spacing w:line="240" w:lineRule="exact"/>
              <w:jc w:val="center"/>
              <w:rPr>
                <w:sz w:val="21"/>
                <w:szCs w:val="21"/>
              </w:rPr>
            </w:pPr>
            <w:r>
              <w:rPr>
                <w:rFonts w:hint="eastAsia"/>
                <w:sz w:val="20"/>
                <w:szCs w:val="20"/>
              </w:rPr>
              <w:t>(3.36%)</w:t>
            </w:r>
          </w:p>
        </w:tc>
      </w:tr>
    </w:tbl>
    <w:p w14:paraId="4C5DC991">
      <w:pPr>
        <w:ind w:firstLine="560" w:firstLineChars="200"/>
        <w:rPr>
          <w:color w:val="000000"/>
        </w:rPr>
      </w:pPr>
      <w:r>
        <w:rPr>
          <w:color w:val="000000"/>
        </w:rPr>
        <w:t>8.您在永济市旅游的人均消费大致是</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2A0CC37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F0E159B">
            <w:pPr>
              <w:jc w:val="left"/>
              <w:rPr>
                <w:sz w:val="21"/>
                <w:szCs w:val="21"/>
              </w:rPr>
            </w:pPr>
            <w:r>
              <w:rPr>
                <w:sz w:val="21"/>
                <w:szCs w:val="21"/>
              </w:rPr>
              <w:t>选项</w:t>
            </w:r>
          </w:p>
        </w:tc>
        <w:tc>
          <w:tcPr>
            <w:tcW w:w="1000" w:type="dxa"/>
            <w:shd w:val="clear" w:color="auto" w:fill="F5F5F5"/>
            <w:vAlign w:val="center"/>
          </w:tcPr>
          <w:p w14:paraId="51302F9D">
            <w:pPr>
              <w:jc w:val="left"/>
              <w:rPr>
                <w:sz w:val="21"/>
                <w:szCs w:val="21"/>
              </w:rPr>
            </w:pPr>
            <w:r>
              <w:rPr>
                <w:sz w:val="21"/>
                <w:szCs w:val="21"/>
              </w:rPr>
              <w:t>小计</w:t>
            </w:r>
          </w:p>
        </w:tc>
        <w:tc>
          <w:tcPr>
            <w:tcW w:w="3106" w:type="dxa"/>
            <w:shd w:val="clear" w:color="auto" w:fill="F5F5F5"/>
            <w:vAlign w:val="center"/>
          </w:tcPr>
          <w:p w14:paraId="4501C9EC">
            <w:pPr>
              <w:jc w:val="left"/>
              <w:rPr>
                <w:sz w:val="21"/>
                <w:szCs w:val="21"/>
              </w:rPr>
            </w:pPr>
            <w:r>
              <w:rPr>
                <w:sz w:val="21"/>
                <w:szCs w:val="21"/>
              </w:rPr>
              <w:t>比例</w:t>
            </w:r>
          </w:p>
        </w:tc>
      </w:tr>
      <w:tr w14:paraId="0906C15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E5E0EE0">
            <w:pPr>
              <w:jc w:val="left"/>
              <w:rPr>
                <w:sz w:val="21"/>
                <w:szCs w:val="21"/>
              </w:rPr>
            </w:pPr>
            <w:r>
              <w:rPr>
                <w:sz w:val="21"/>
                <w:szCs w:val="21"/>
              </w:rPr>
              <w:t>500元以下</w:t>
            </w:r>
          </w:p>
        </w:tc>
        <w:tc>
          <w:tcPr>
            <w:tcW w:w="1000" w:type="dxa"/>
            <w:shd w:val="clear" w:color="auto" w:fill="FFFFFF"/>
            <w:vAlign w:val="center"/>
          </w:tcPr>
          <w:p w14:paraId="35F59168">
            <w:pPr>
              <w:jc w:val="left"/>
              <w:rPr>
                <w:sz w:val="21"/>
                <w:szCs w:val="21"/>
              </w:rPr>
            </w:pPr>
            <w:r>
              <w:rPr>
                <w:sz w:val="21"/>
                <w:szCs w:val="21"/>
              </w:rPr>
              <w:t>41</w:t>
            </w:r>
          </w:p>
        </w:tc>
        <w:tc>
          <w:tcPr>
            <w:tcW w:w="3106" w:type="dxa"/>
            <w:shd w:val="clear" w:color="auto" w:fill="FFFFFF"/>
            <w:vAlign w:val="center"/>
          </w:tcPr>
          <w:p w14:paraId="1F9EC1E7">
            <w:pPr>
              <w:jc w:val="left"/>
              <w:rPr>
                <w:sz w:val="21"/>
                <w:szCs w:val="21"/>
              </w:rPr>
            </w:pPr>
            <w:r>
              <w:rPr>
                <w:sz w:val="21"/>
                <w:szCs w:val="21"/>
              </w:rPr>
              <w:drawing>
                <wp:inline distT="0" distB="0" distL="114300" distR="114300">
                  <wp:extent cx="457200" cy="114300"/>
                  <wp:effectExtent l="0" t="0" r="6985" b="444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57"/>
                          <a:stretch>
                            <a:fillRect/>
                          </a:stretch>
                        </pic:blipFill>
                        <pic:spPr>
                          <a:xfrm>
                            <a:off x="0" y="0"/>
                            <a:ext cx="457264" cy="114316"/>
                          </a:xfrm>
                          <a:prstGeom prst="rect">
                            <a:avLst/>
                          </a:prstGeom>
                        </pic:spPr>
                      </pic:pic>
                    </a:graphicData>
                  </a:graphic>
                </wp:inline>
              </w:drawing>
            </w:r>
            <w:r>
              <w:rPr>
                <w:sz w:val="21"/>
                <w:szCs w:val="21"/>
              </w:rPr>
              <w:drawing>
                <wp:inline distT="0" distB="0" distL="114300" distR="114300">
                  <wp:extent cx="895350" cy="114300"/>
                  <wp:effectExtent l="0" t="0" r="635" b="444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58"/>
                          <a:stretch>
                            <a:fillRect/>
                          </a:stretch>
                        </pic:blipFill>
                        <pic:spPr>
                          <a:xfrm>
                            <a:off x="0" y="0"/>
                            <a:ext cx="895475" cy="114316"/>
                          </a:xfrm>
                          <a:prstGeom prst="rect">
                            <a:avLst/>
                          </a:prstGeom>
                        </pic:spPr>
                      </pic:pic>
                    </a:graphicData>
                  </a:graphic>
                </wp:inline>
              </w:drawing>
            </w:r>
            <w:r>
              <w:rPr>
                <w:sz w:val="21"/>
                <w:szCs w:val="21"/>
              </w:rPr>
              <w:t>34.45%</w:t>
            </w:r>
          </w:p>
        </w:tc>
      </w:tr>
      <w:tr w14:paraId="5E27943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08F98F0">
            <w:pPr>
              <w:jc w:val="left"/>
              <w:rPr>
                <w:sz w:val="21"/>
                <w:szCs w:val="21"/>
              </w:rPr>
            </w:pPr>
            <w:r>
              <w:rPr>
                <w:sz w:val="21"/>
                <w:szCs w:val="21"/>
              </w:rPr>
              <w:t>501-1000元</w:t>
            </w:r>
          </w:p>
        </w:tc>
        <w:tc>
          <w:tcPr>
            <w:tcW w:w="1000" w:type="dxa"/>
            <w:shd w:val="clear" w:color="auto" w:fill="FAFAFA"/>
            <w:vAlign w:val="center"/>
          </w:tcPr>
          <w:p w14:paraId="7B9F1C61">
            <w:pPr>
              <w:jc w:val="left"/>
              <w:rPr>
                <w:sz w:val="21"/>
                <w:szCs w:val="21"/>
              </w:rPr>
            </w:pPr>
            <w:r>
              <w:rPr>
                <w:sz w:val="21"/>
                <w:szCs w:val="21"/>
              </w:rPr>
              <w:t>42</w:t>
            </w:r>
          </w:p>
        </w:tc>
        <w:tc>
          <w:tcPr>
            <w:tcW w:w="3106" w:type="dxa"/>
            <w:shd w:val="clear" w:color="auto" w:fill="FAFAFA"/>
            <w:vAlign w:val="center"/>
          </w:tcPr>
          <w:p w14:paraId="5D5C43CD">
            <w:pPr>
              <w:jc w:val="left"/>
              <w:rPr>
                <w:sz w:val="21"/>
                <w:szCs w:val="21"/>
              </w:rPr>
            </w:pPr>
            <w:r>
              <w:rPr>
                <w:sz w:val="21"/>
                <w:szCs w:val="21"/>
              </w:rPr>
              <w:drawing>
                <wp:inline distT="0" distB="0" distL="114300" distR="114300">
                  <wp:extent cx="476250" cy="114300"/>
                  <wp:effectExtent l="0" t="0" r="9525" b="444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33"/>
                          <a:stretch>
                            <a:fillRect/>
                          </a:stretch>
                        </pic:blipFill>
                        <pic:spPr>
                          <a:xfrm>
                            <a:off x="0" y="0"/>
                            <a:ext cx="476316" cy="114316"/>
                          </a:xfrm>
                          <a:prstGeom prst="rect">
                            <a:avLst/>
                          </a:prstGeom>
                        </pic:spPr>
                      </pic:pic>
                    </a:graphicData>
                  </a:graphic>
                </wp:inline>
              </w:drawing>
            </w:r>
            <w:r>
              <w:rPr>
                <w:sz w:val="21"/>
                <w:szCs w:val="21"/>
              </w:rPr>
              <w:drawing>
                <wp:inline distT="0" distB="0" distL="114300" distR="114300">
                  <wp:extent cx="876300" cy="114300"/>
                  <wp:effectExtent l="0" t="0" r="8890" b="444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34"/>
                          <a:stretch>
                            <a:fillRect/>
                          </a:stretch>
                        </pic:blipFill>
                        <pic:spPr>
                          <a:xfrm>
                            <a:off x="0" y="0"/>
                            <a:ext cx="876422" cy="114316"/>
                          </a:xfrm>
                          <a:prstGeom prst="rect">
                            <a:avLst/>
                          </a:prstGeom>
                        </pic:spPr>
                      </pic:pic>
                    </a:graphicData>
                  </a:graphic>
                </wp:inline>
              </w:drawing>
            </w:r>
            <w:r>
              <w:rPr>
                <w:sz w:val="21"/>
                <w:szCs w:val="21"/>
              </w:rPr>
              <w:t>35.29%</w:t>
            </w:r>
          </w:p>
        </w:tc>
      </w:tr>
      <w:tr w14:paraId="3063093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2B62D08">
            <w:pPr>
              <w:jc w:val="left"/>
              <w:rPr>
                <w:sz w:val="21"/>
                <w:szCs w:val="21"/>
              </w:rPr>
            </w:pPr>
            <w:r>
              <w:rPr>
                <w:sz w:val="21"/>
                <w:szCs w:val="21"/>
              </w:rPr>
              <w:t>1001-2000元</w:t>
            </w:r>
          </w:p>
        </w:tc>
        <w:tc>
          <w:tcPr>
            <w:tcW w:w="1000" w:type="dxa"/>
            <w:shd w:val="clear" w:color="auto" w:fill="FFFFFF"/>
            <w:vAlign w:val="center"/>
          </w:tcPr>
          <w:p w14:paraId="0DB1C61C">
            <w:pPr>
              <w:jc w:val="left"/>
              <w:rPr>
                <w:sz w:val="21"/>
                <w:szCs w:val="21"/>
              </w:rPr>
            </w:pPr>
            <w:r>
              <w:rPr>
                <w:sz w:val="21"/>
                <w:szCs w:val="21"/>
              </w:rPr>
              <w:t>22</w:t>
            </w:r>
          </w:p>
        </w:tc>
        <w:tc>
          <w:tcPr>
            <w:tcW w:w="3106" w:type="dxa"/>
            <w:shd w:val="clear" w:color="auto" w:fill="FFFFFF"/>
            <w:vAlign w:val="center"/>
          </w:tcPr>
          <w:p w14:paraId="3CF00B8B">
            <w:pPr>
              <w:jc w:val="left"/>
              <w:rPr>
                <w:sz w:val="21"/>
                <w:szCs w:val="21"/>
              </w:rPr>
            </w:pPr>
            <w:r>
              <w:rPr>
                <w:sz w:val="21"/>
                <w:szCs w:val="21"/>
              </w:rPr>
              <w:drawing>
                <wp:inline distT="0" distB="0" distL="114300" distR="114300">
                  <wp:extent cx="247650" cy="114300"/>
                  <wp:effectExtent l="0" t="0" r="635" b="444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51"/>
                          <a:stretch>
                            <a:fillRect/>
                          </a:stretch>
                        </pic:blipFill>
                        <pic:spPr>
                          <a:xfrm>
                            <a:off x="0" y="0"/>
                            <a:ext cx="247685" cy="114316"/>
                          </a:xfrm>
                          <a:prstGeom prst="rect">
                            <a:avLst/>
                          </a:prstGeom>
                        </pic:spPr>
                      </pic:pic>
                    </a:graphicData>
                  </a:graphic>
                </wp:inline>
              </w:drawing>
            </w:r>
            <w:r>
              <w:rPr>
                <w:sz w:val="21"/>
                <w:szCs w:val="21"/>
              </w:rPr>
              <w:drawing>
                <wp:inline distT="0" distB="0" distL="114300" distR="114300">
                  <wp:extent cx="1104900" cy="114300"/>
                  <wp:effectExtent l="0" t="0" r="6985" b="4445"/>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52"/>
                          <a:stretch>
                            <a:fillRect/>
                          </a:stretch>
                        </pic:blipFill>
                        <pic:spPr>
                          <a:xfrm>
                            <a:off x="0" y="0"/>
                            <a:ext cx="1105054" cy="114316"/>
                          </a:xfrm>
                          <a:prstGeom prst="rect">
                            <a:avLst/>
                          </a:prstGeom>
                        </pic:spPr>
                      </pic:pic>
                    </a:graphicData>
                  </a:graphic>
                </wp:inline>
              </w:drawing>
            </w:r>
            <w:r>
              <w:rPr>
                <w:sz w:val="21"/>
                <w:szCs w:val="21"/>
              </w:rPr>
              <w:t>18.49%</w:t>
            </w:r>
          </w:p>
        </w:tc>
      </w:tr>
      <w:tr w14:paraId="6E90AC4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9CE8A28">
            <w:pPr>
              <w:jc w:val="left"/>
              <w:rPr>
                <w:sz w:val="21"/>
                <w:szCs w:val="21"/>
              </w:rPr>
            </w:pPr>
            <w:r>
              <w:rPr>
                <w:sz w:val="21"/>
                <w:szCs w:val="21"/>
              </w:rPr>
              <w:t>2000元以上</w:t>
            </w:r>
          </w:p>
        </w:tc>
        <w:tc>
          <w:tcPr>
            <w:tcW w:w="1000" w:type="dxa"/>
            <w:shd w:val="clear" w:color="auto" w:fill="FAFAFA"/>
            <w:vAlign w:val="center"/>
          </w:tcPr>
          <w:p w14:paraId="6057A4AC">
            <w:pPr>
              <w:jc w:val="left"/>
              <w:rPr>
                <w:sz w:val="21"/>
                <w:szCs w:val="21"/>
              </w:rPr>
            </w:pPr>
            <w:r>
              <w:rPr>
                <w:sz w:val="21"/>
                <w:szCs w:val="21"/>
              </w:rPr>
              <w:t>14</w:t>
            </w:r>
          </w:p>
        </w:tc>
        <w:tc>
          <w:tcPr>
            <w:tcW w:w="3106" w:type="dxa"/>
            <w:shd w:val="clear" w:color="auto" w:fill="FAFAFA"/>
            <w:vAlign w:val="center"/>
          </w:tcPr>
          <w:p w14:paraId="233C8349">
            <w:pPr>
              <w:jc w:val="left"/>
              <w:rPr>
                <w:sz w:val="21"/>
                <w:szCs w:val="21"/>
              </w:rPr>
            </w:pPr>
            <w:r>
              <w:rPr>
                <w:sz w:val="21"/>
                <w:szCs w:val="21"/>
              </w:rPr>
              <w:drawing>
                <wp:inline distT="0" distB="0" distL="114300" distR="114300">
                  <wp:extent cx="152400" cy="114300"/>
                  <wp:effectExtent l="0" t="0" r="9525" b="444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59"/>
                          <a:stretch>
                            <a:fillRect/>
                          </a:stretch>
                        </pic:blipFill>
                        <pic:spPr>
                          <a:xfrm>
                            <a:off x="0" y="0"/>
                            <a:ext cx="152421" cy="114316"/>
                          </a:xfrm>
                          <a:prstGeom prst="rect">
                            <a:avLst/>
                          </a:prstGeom>
                        </pic:spPr>
                      </pic:pic>
                    </a:graphicData>
                  </a:graphic>
                </wp:inline>
              </w:drawing>
            </w:r>
            <w:r>
              <w:rPr>
                <w:sz w:val="21"/>
                <w:szCs w:val="21"/>
              </w:rPr>
              <w:drawing>
                <wp:inline distT="0" distB="0" distL="114300" distR="114300">
                  <wp:extent cx="1200150" cy="114300"/>
                  <wp:effectExtent l="0" t="0" r="8890" b="4445"/>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60"/>
                          <a:stretch>
                            <a:fillRect/>
                          </a:stretch>
                        </pic:blipFill>
                        <pic:spPr>
                          <a:xfrm>
                            <a:off x="0" y="0"/>
                            <a:ext cx="1200318" cy="114316"/>
                          </a:xfrm>
                          <a:prstGeom prst="rect">
                            <a:avLst/>
                          </a:prstGeom>
                        </pic:spPr>
                      </pic:pic>
                    </a:graphicData>
                  </a:graphic>
                </wp:inline>
              </w:drawing>
            </w:r>
            <w:r>
              <w:rPr>
                <w:sz w:val="21"/>
                <w:szCs w:val="21"/>
              </w:rPr>
              <w:t>11.76%</w:t>
            </w:r>
          </w:p>
        </w:tc>
      </w:tr>
      <w:tr w14:paraId="3439D8E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41FEC29">
            <w:pPr>
              <w:jc w:val="left"/>
              <w:rPr>
                <w:sz w:val="21"/>
                <w:szCs w:val="21"/>
              </w:rPr>
            </w:pPr>
            <w:r>
              <w:rPr>
                <w:sz w:val="21"/>
                <w:szCs w:val="21"/>
              </w:rPr>
              <w:t>本题有效填写人次</w:t>
            </w:r>
          </w:p>
        </w:tc>
        <w:tc>
          <w:tcPr>
            <w:tcW w:w="1000" w:type="dxa"/>
            <w:shd w:val="clear" w:color="auto" w:fill="F5F5F5"/>
            <w:vAlign w:val="center"/>
          </w:tcPr>
          <w:p w14:paraId="36D93D85">
            <w:pPr>
              <w:jc w:val="left"/>
              <w:rPr>
                <w:sz w:val="21"/>
                <w:szCs w:val="21"/>
              </w:rPr>
            </w:pPr>
            <w:r>
              <w:rPr>
                <w:sz w:val="21"/>
                <w:szCs w:val="21"/>
              </w:rPr>
              <w:t>119</w:t>
            </w:r>
          </w:p>
        </w:tc>
        <w:tc>
          <w:tcPr>
            <w:tcW w:w="3106" w:type="dxa"/>
            <w:shd w:val="clear" w:color="auto" w:fill="F5F5F5"/>
            <w:vAlign w:val="center"/>
          </w:tcPr>
          <w:p w14:paraId="353C9B49">
            <w:pPr>
              <w:jc w:val="left"/>
              <w:rPr>
                <w:sz w:val="21"/>
                <w:szCs w:val="21"/>
              </w:rPr>
            </w:pPr>
          </w:p>
        </w:tc>
      </w:tr>
    </w:tbl>
    <w:p w14:paraId="53CEB3D5">
      <w:pPr>
        <w:ind w:firstLine="560" w:firstLineChars="200"/>
        <w:rPr>
          <w:color w:val="000000"/>
        </w:rPr>
      </w:pPr>
      <w:r>
        <w:rPr>
          <w:color w:val="000000"/>
        </w:rPr>
        <w:t>9.您在认为永济市的旅游消费水平是否合理</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2723FDB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97C6EE1">
            <w:pPr>
              <w:jc w:val="left"/>
              <w:rPr>
                <w:sz w:val="21"/>
                <w:szCs w:val="21"/>
              </w:rPr>
            </w:pPr>
            <w:r>
              <w:rPr>
                <w:sz w:val="21"/>
                <w:szCs w:val="21"/>
              </w:rPr>
              <w:t>选项</w:t>
            </w:r>
          </w:p>
        </w:tc>
        <w:tc>
          <w:tcPr>
            <w:tcW w:w="1000" w:type="dxa"/>
            <w:shd w:val="clear" w:color="auto" w:fill="F5F5F5"/>
            <w:vAlign w:val="center"/>
          </w:tcPr>
          <w:p w14:paraId="26906A77">
            <w:pPr>
              <w:jc w:val="left"/>
              <w:rPr>
                <w:sz w:val="21"/>
                <w:szCs w:val="21"/>
              </w:rPr>
            </w:pPr>
            <w:r>
              <w:rPr>
                <w:sz w:val="21"/>
                <w:szCs w:val="21"/>
              </w:rPr>
              <w:t>小计</w:t>
            </w:r>
          </w:p>
        </w:tc>
        <w:tc>
          <w:tcPr>
            <w:tcW w:w="3106" w:type="dxa"/>
            <w:shd w:val="clear" w:color="auto" w:fill="F5F5F5"/>
            <w:vAlign w:val="center"/>
          </w:tcPr>
          <w:p w14:paraId="6ACA7583">
            <w:pPr>
              <w:jc w:val="left"/>
              <w:rPr>
                <w:sz w:val="21"/>
                <w:szCs w:val="21"/>
              </w:rPr>
            </w:pPr>
            <w:r>
              <w:rPr>
                <w:sz w:val="21"/>
                <w:szCs w:val="21"/>
              </w:rPr>
              <w:t>比例</w:t>
            </w:r>
          </w:p>
        </w:tc>
      </w:tr>
      <w:tr w14:paraId="530AD4A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2C71D4D">
            <w:pPr>
              <w:jc w:val="left"/>
              <w:rPr>
                <w:sz w:val="21"/>
                <w:szCs w:val="21"/>
              </w:rPr>
            </w:pPr>
            <w:r>
              <w:rPr>
                <w:sz w:val="21"/>
                <w:szCs w:val="21"/>
              </w:rPr>
              <w:t>非常合理</w:t>
            </w:r>
          </w:p>
        </w:tc>
        <w:tc>
          <w:tcPr>
            <w:tcW w:w="1000" w:type="dxa"/>
            <w:shd w:val="clear" w:color="auto" w:fill="FFFFFF"/>
            <w:vAlign w:val="center"/>
          </w:tcPr>
          <w:p w14:paraId="30E713BE">
            <w:pPr>
              <w:jc w:val="left"/>
              <w:rPr>
                <w:sz w:val="21"/>
                <w:szCs w:val="21"/>
              </w:rPr>
            </w:pPr>
            <w:r>
              <w:rPr>
                <w:sz w:val="21"/>
                <w:szCs w:val="21"/>
              </w:rPr>
              <w:t>64</w:t>
            </w:r>
          </w:p>
        </w:tc>
        <w:tc>
          <w:tcPr>
            <w:tcW w:w="3106" w:type="dxa"/>
            <w:shd w:val="clear" w:color="auto" w:fill="FFFFFF"/>
            <w:vAlign w:val="center"/>
          </w:tcPr>
          <w:p w14:paraId="602AED81">
            <w:pPr>
              <w:jc w:val="left"/>
              <w:rPr>
                <w:sz w:val="21"/>
                <w:szCs w:val="21"/>
              </w:rPr>
            </w:pPr>
            <w:r>
              <w:rPr>
                <w:sz w:val="21"/>
                <w:szCs w:val="21"/>
              </w:rPr>
              <w:drawing>
                <wp:inline distT="0" distB="0" distL="114300" distR="114300">
                  <wp:extent cx="723900" cy="114300"/>
                  <wp:effectExtent l="0" t="0" r="10160" b="444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61"/>
                          <a:stretch>
                            <a:fillRect/>
                          </a:stretch>
                        </pic:blipFill>
                        <pic:spPr>
                          <a:xfrm>
                            <a:off x="0" y="0"/>
                            <a:ext cx="724001" cy="114316"/>
                          </a:xfrm>
                          <a:prstGeom prst="rect">
                            <a:avLst/>
                          </a:prstGeom>
                        </pic:spPr>
                      </pic:pic>
                    </a:graphicData>
                  </a:graphic>
                </wp:inline>
              </w:drawing>
            </w:r>
            <w:r>
              <w:rPr>
                <w:sz w:val="21"/>
                <w:szCs w:val="21"/>
              </w:rPr>
              <w:drawing>
                <wp:inline distT="0" distB="0" distL="114300" distR="114300">
                  <wp:extent cx="628650" cy="114300"/>
                  <wp:effectExtent l="0" t="0" r="8255" b="4445"/>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62"/>
                          <a:stretch>
                            <a:fillRect/>
                          </a:stretch>
                        </pic:blipFill>
                        <pic:spPr>
                          <a:xfrm>
                            <a:off x="0" y="0"/>
                            <a:ext cx="628738" cy="114316"/>
                          </a:xfrm>
                          <a:prstGeom prst="rect">
                            <a:avLst/>
                          </a:prstGeom>
                        </pic:spPr>
                      </pic:pic>
                    </a:graphicData>
                  </a:graphic>
                </wp:inline>
              </w:drawing>
            </w:r>
            <w:r>
              <w:rPr>
                <w:sz w:val="21"/>
                <w:szCs w:val="21"/>
              </w:rPr>
              <w:t>53.78%</w:t>
            </w:r>
          </w:p>
        </w:tc>
      </w:tr>
      <w:tr w14:paraId="11D6119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B4A30B9">
            <w:pPr>
              <w:jc w:val="left"/>
              <w:rPr>
                <w:sz w:val="21"/>
                <w:szCs w:val="21"/>
              </w:rPr>
            </w:pPr>
            <w:r>
              <w:rPr>
                <w:sz w:val="21"/>
                <w:szCs w:val="21"/>
              </w:rPr>
              <w:t>合理</w:t>
            </w:r>
          </w:p>
        </w:tc>
        <w:tc>
          <w:tcPr>
            <w:tcW w:w="1000" w:type="dxa"/>
            <w:shd w:val="clear" w:color="auto" w:fill="FAFAFA"/>
            <w:vAlign w:val="center"/>
          </w:tcPr>
          <w:p w14:paraId="270C6FD8">
            <w:pPr>
              <w:jc w:val="left"/>
              <w:rPr>
                <w:sz w:val="21"/>
                <w:szCs w:val="21"/>
              </w:rPr>
            </w:pPr>
            <w:r>
              <w:rPr>
                <w:sz w:val="21"/>
                <w:szCs w:val="21"/>
              </w:rPr>
              <w:t>48</w:t>
            </w:r>
          </w:p>
        </w:tc>
        <w:tc>
          <w:tcPr>
            <w:tcW w:w="3106" w:type="dxa"/>
            <w:shd w:val="clear" w:color="auto" w:fill="FAFAFA"/>
            <w:vAlign w:val="center"/>
          </w:tcPr>
          <w:p w14:paraId="54806D8B">
            <w:pPr>
              <w:jc w:val="left"/>
              <w:rPr>
                <w:sz w:val="21"/>
                <w:szCs w:val="21"/>
              </w:rPr>
            </w:pPr>
            <w:r>
              <w:rPr>
                <w:sz w:val="21"/>
                <w:szCs w:val="21"/>
              </w:rPr>
              <w:drawing>
                <wp:inline distT="0" distB="0" distL="114300" distR="114300">
                  <wp:extent cx="542925" cy="114300"/>
                  <wp:effectExtent l="0" t="0" r="7620" b="444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3"/>
                          <a:stretch>
                            <a:fillRect/>
                          </a:stretch>
                        </pic:blipFill>
                        <pic:spPr>
                          <a:xfrm>
                            <a:off x="0" y="0"/>
                            <a:ext cx="543001" cy="114316"/>
                          </a:xfrm>
                          <a:prstGeom prst="rect">
                            <a:avLst/>
                          </a:prstGeom>
                        </pic:spPr>
                      </pic:pic>
                    </a:graphicData>
                  </a:graphic>
                </wp:inline>
              </w:drawing>
            </w:r>
            <w:r>
              <w:rPr>
                <w:sz w:val="21"/>
                <w:szCs w:val="21"/>
              </w:rPr>
              <w:drawing>
                <wp:inline distT="0" distB="0" distL="114300" distR="114300">
                  <wp:extent cx="809625" cy="114300"/>
                  <wp:effectExtent l="0" t="0" r="0" b="4445"/>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64"/>
                          <a:stretch>
                            <a:fillRect/>
                          </a:stretch>
                        </pic:blipFill>
                        <pic:spPr>
                          <a:xfrm>
                            <a:off x="0" y="0"/>
                            <a:ext cx="809738" cy="114316"/>
                          </a:xfrm>
                          <a:prstGeom prst="rect">
                            <a:avLst/>
                          </a:prstGeom>
                        </pic:spPr>
                      </pic:pic>
                    </a:graphicData>
                  </a:graphic>
                </wp:inline>
              </w:drawing>
            </w:r>
            <w:r>
              <w:rPr>
                <w:sz w:val="21"/>
                <w:szCs w:val="21"/>
              </w:rPr>
              <w:t>40.34%</w:t>
            </w:r>
          </w:p>
        </w:tc>
      </w:tr>
      <w:tr w14:paraId="5A14A5E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64FB3F2">
            <w:pPr>
              <w:jc w:val="left"/>
              <w:rPr>
                <w:sz w:val="21"/>
                <w:szCs w:val="21"/>
              </w:rPr>
            </w:pPr>
            <w:r>
              <w:rPr>
                <w:sz w:val="21"/>
                <w:szCs w:val="21"/>
              </w:rPr>
              <w:t>一般</w:t>
            </w:r>
          </w:p>
        </w:tc>
        <w:tc>
          <w:tcPr>
            <w:tcW w:w="1000" w:type="dxa"/>
            <w:shd w:val="clear" w:color="auto" w:fill="FFFFFF"/>
            <w:vAlign w:val="center"/>
          </w:tcPr>
          <w:p w14:paraId="3FE87FB3">
            <w:pPr>
              <w:jc w:val="left"/>
              <w:rPr>
                <w:sz w:val="21"/>
                <w:szCs w:val="21"/>
              </w:rPr>
            </w:pPr>
            <w:r>
              <w:rPr>
                <w:sz w:val="21"/>
                <w:szCs w:val="21"/>
              </w:rPr>
              <w:t>7</w:t>
            </w:r>
          </w:p>
        </w:tc>
        <w:tc>
          <w:tcPr>
            <w:tcW w:w="3106" w:type="dxa"/>
            <w:shd w:val="clear" w:color="auto" w:fill="FFFFFF"/>
            <w:vAlign w:val="center"/>
          </w:tcPr>
          <w:p w14:paraId="48CCB3DB">
            <w:pPr>
              <w:jc w:val="left"/>
              <w:rPr>
                <w:sz w:val="21"/>
                <w:szCs w:val="21"/>
              </w:rPr>
            </w:pPr>
            <w:r>
              <w:rPr>
                <w:sz w:val="21"/>
                <w:szCs w:val="21"/>
              </w:rPr>
              <w:drawing>
                <wp:inline distT="0" distB="0" distL="114300" distR="114300">
                  <wp:extent cx="76200" cy="114300"/>
                  <wp:effectExtent l="0" t="0" r="10160" b="444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65"/>
                          <a:stretch>
                            <a:fillRect/>
                          </a:stretch>
                        </pic:blipFill>
                        <pic:spPr>
                          <a:xfrm>
                            <a:off x="0" y="0"/>
                            <a:ext cx="76211" cy="114316"/>
                          </a:xfrm>
                          <a:prstGeom prst="rect">
                            <a:avLst/>
                          </a:prstGeom>
                        </pic:spPr>
                      </pic:pic>
                    </a:graphicData>
                  </a:graphic>
                </wp:inline>
              </w:drawing>
            </w:r>
            <w:r>
              <w:rPr>
                <w:sz w:val="21"/>
                <w:szCs w:val="21"/>
              </w:rPr>
              <w:drawing>
                <wp:inline distT="0" distB="0" distL="114300" distR="114300">
                  <wp:extent cx="1276350" cy="114300"/>
                  <wp:effectExtent l="0" t="0" r="8255" b="4445"/>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66"/>
                          <a:stretch>
                            <a:fillRect/>
                          </a:stretch>
                        </pic:blipFill>
                        <pic:spPr>
                          <a:xfrm>
                            <a:off x="0" y="0"/>
                            <a:ext cx="1276528" cy="114316"/>
                          </a:xfrm>
                          <a:prstGeom prst="rect">
                            <a:avLst/>
                          </a:prstGeom>
                        </pic:spPr>
                      </pic:pic>
                    </a:graphicData>
                  </a:graphic>
                </wp:inline>
              </w:drawing>
            </w:r>
            <w:r>
              <w:rPr>
                <w:sz w:val="21"/>
                <w:szCs w:val="21"/>
              </w:rPr>
              <w:t>5.88%</w:t>
            </w:r>
          </w:p>
        </w:tc>
      </w:tr>
      <w:tr w14:paraId="053159A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43DB7A9">
            <w:pPr>
              <w:jc w:val="left"/>
              <w:rPr>
                <w:sz w:val="21"/>
                <w:szCs w:val="21"/>
              </w:rPr>
            </w:pPr>
            <w:r>
              <w:rPr>
                <w:sz w:val="21"/>
                <w:szCs w:val="21"/>
              </w:rPr>
              <w:t>不合理</w:t>
            </w:r>
          </w:p>
        </w:tc>
        <w:tc>
          <w:tcPr>
            <w:tcW w:w="1000" w:type="dxa"/>
            <w:shd w:val="clear" w:color="auto" w:fill="FAFAFA"/>
            <w:vAlign w:val="center"/>
          </w:tcPr>
          <w:p w14:paraId="579C7052">
            <w:pPr>
              <w:jc w:val="left"/>
              <w:rPr>
                <w:sz w:val="21"/>
                <w:szCs w:val="21"/>
              </w:rPr>
            </w:pPr>
            <w:r>
              <w:rPr>
                <w:sz w:val="21"/>
                <w:szCs w:val="21"/>
              </w:rPr>
              <w:t>0</w:t>
            </w:r>
          </w:p>
        </w:tc>
        <w:tc>
          <w:tcPr>
            <w:tcW w:w="3106" w:type="dxa"/>
            <w:shd w:val="clear" w:color="auto" w:fill="FAFAFA"/>
            <w:vAlign w:val="center"/>
          </w:tcPr>
          <w:p w14:paraId="0DAE1479">
            <w:pPr>
              <w:jc w:val="left"/>
              <w:rPr>
                <w:sz w:val="21"/>
                <w:szCs w:val="21"/>
              </w:rPr>
            </w:pPr>
            <w:r>
              <w:rPr>
                <w:sz w:val="21"/>
                <w:szCs w:val="21"/>
              </w:rPr>
              <w:drawing>
                <wp:inline distT="0" distB="0" distL="114300" distR="114300">
                  <wp:extent cx="1352550" cy="114300"/>
                  <wp:effectExtent l="0" t="0" r="7620" b="4445"/>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67"/>
                          <a:stretch>
                            <a:fillRect/>
                          </a:stretch>
                        </pic:blipFill>
                        <pic:spPr>
                          <a:xfrm>
                            <a:off x="0" y="0"/>
                            <a:ext cx="1352739" cy="114316"/>
                          </a:xfrm>
                          <a:prstGeom prst="rect">
                            <a:avLst/>
                          </a:prstGeom>
                        </pic:spPr>
                      </pic:pic>
                    </a:graphicData>
                  </a:graphic>
                </wp:inline>
              </w:drawing>
            </w:r>
            <w:r>
              <w:rPr>
                <w:sz w:val="21"/>
                <w:szCs w:val="21"/>
              </w:rPr>
              <w:t>0%</w:t>
            </w:r>
          </w:p>
        </w:tc>
      </w:tr>
      <w:tr w14:paraId="6580B79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E94AC30">
            <w:pPr>
              <w:jc w:val="left"/>
              <w:rPr>
                <w:sz w:val="21"/>
                <w:szCs w:val="21"/>
              </w:rPr>
            </w:pPr>
            <w:r>
              <w:rPr>
                <w:sz w:val="21"/>
                <w:szCs w:val="21"/>
              </w:rPr>
              <w:t>非常不合理</w:t>
            </w:r>
          </w:p>
        </w:tc>
        <w:tc>
          <w:tcPr>
            <w:tcW w:w="1000" w:type="dxa"/>
            <w:shd w:val="clear" w:color="auto" w:fill="FFFFFF"/>
            <w:vAlign w:val="center"/>
          </w:tcPr>
          <w:p w14:paraId="11F495B0">
            <w:pPr>
              <w:jc w:val="left"/>
              <w:rPr>
                <w:sz w:val="21"/>
                <w:szCs w:val="21"/>
              </w:rPr>
            </w:pPr>
            <w:r>
              <w:rPr>
                <w:sz w:val="21"/>
                <w:szCs w:val="21"/>
              </w:rPr>
              <w:t>0</w:t>
            </w:r>
          </w:p>
        </w:tc>
        <w:tc>
          <w:tcPr>
            <w:tcW w:w="3106" w:type="dxa"/>
            <w:shd w:val="clear" w:color="auto" w:fill="FFFFFF"/>
            <w:vAlign w:val="center"/>
          </w:tcPr>
          <w:p w14:paraId="69409488">
            <w:pPr>
              <w:jc w:val="left"/>
              <w:rPr>
                <w:sz w:val="21"/>
                <w:szCs w:val="21"/>
              </w:rPr>
            </w:pPr>
            <w:r>
              <w:rPr>
                <w:sz w:val="21"/>
                <w:szCs w:val="21"/>
              </w:rPr>
              <w:drawing>
                <wp:inline distT="0" distB="0" distL="114300" distR="114300">
                  <wp:extent cx="1352550" cy="114300"/>
                  <wp:effectExtent l="0" t="0" r="7620" b="4445"/>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67"/>
                          <a:stretch>
                            <a:fillRect/>
                          </a:stretch>
                        </pic:blipFill>
                        <pic:spPr>
                          <a:xfrm>
                            <a:off x="0" y="0"/>
                            <a:ext cx="1352739" cy="114316"/>
                          </a:xfrm>
                          <a:prstGeom prst="rect">
                            <a:avLst/>
                          </a:prstGeom>
                        </pic:spPr>
                      </pic:pic>
                    </a:graphicData>
                  </a:graphic>
                </wp:inline>
              </w:drawing>
            </w:r>
            <w:r>
              <w:rPr>
                <w:sz w:val="21"/>
                <w:szCs w:val="21"/>
              </w:rPr>
              <w:t>0%</w:t>
            </w:r>
          </w:p>
        </w:tc>
      </w:tr>
      <w:tr w14:paraId="322BA0A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2F3701E">
            <w:pPr>
              <w:jc w:val="left"/>
              <w:rPr>
                <w:sz w:val="21"/>
                <w:szCs w:val="21"/>
              </w:rPr>
            </w:pPr>
            <w:r>
              <w:rPr>
                <w:sz w:val="21"/>
                <w:szCs w:val="21"/>
              </w:rPr>
              <w:t>本题有效填写人次</w:t>
            </w:r>
          </w:p>
        </w:tc>
        <w:tc>
          <w:tcPr>
            <w:tcW w:w="1000" w:type="dxa"/>
            <w:shd w:val="clear" w:color="auto" w:fill="F5F5F5"/>
            <w:vAlign w:val="center"/>
          </w:tcPr>
          <w:p w14:paraId="4A2FC292">
            <w:pPr>
              <w:jc w:val="left"/>
              <w:rPr>
                <w:sz w:val="21"/>
                <w:szCs w:val="21"/>
              </w:rPr>
            </w:pPr>
            <w:r>
              <w:rPr>
                <w:sz w:val="21"/>
                <w:szCs w:val="21"/>
              </w:rPr>
              <w:t>119</w:t>
            </w:r>
          </w:p>
        </w:tc>
        <w:tc>
          <w:tcPr>
            <w:tcW w:w="3106" w:type="dxa"/>
            <w:shd w:val="clear" w:color="auto" w:fill="F5F5F5"/>
            <w:vAlign w:val="center"/>
          </w:tcPr>
          <w:p w14:paraId="5B42D8D2">
            <w:pPr>
              <w:jc w:val="left"/>
              <w:rPr>
                <w:sz w:val="21"/>
                <w:szCs w:val="21"/>
              </w:rPr>
            </w:pPr>
          </w:p>
        </w:tc>
      </w:tr>
    </w:tbl>
    <w:p w14:paraId="5831ECFE">
      <w:pPr>
        <w:ind w:firstLine="560" w:firstLineChars="200"/>
        <w:rPr>
          <w:color w:val="000000"/>
        </w:rPr>
      </w:pPr>
      <w:r>
        <w:rPr>
          <w:color w:val="000000"/>
        </w:rPr>
        <w:t>10.您认为永济市旅游发展最需要改进的方面（可多选）</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298D15D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89E4134">
            <w:pPr>
              <w:jc w:val="left"/>
              <w:rPr>
                <w:sz w:val="21"/>
                <w:szCs w:val="21"/>
              </w:rPr>
            </w:pPr>
            <w:r>
              <w:rPr>
                <w:sz w:val="21"/>
                <w:szCs w:val="21"/>
              </w:rPr>
              <w:t>选项</w:t>
            </w:r>
          </w:p>
        </w:tc>
        <w:tc>
          <w:tcPr>
            <w:tcW w:w="1000" w:type="dxa"/>
            <w:shd w:val="clear" w:color="auto" w:fill="F5F5F5"/>
            <w:vAlign w:val="center"/>
          </w:tcPr>
          <w:p w14:paraId="2DD3B16C">
            <w:pPr>
              <w:jc w:val="left"/>
              <w:rPr>
                <w:sz w:val="21"/>
                <w:szCs w:val="21"/>
              </w:rPr>
            </w:pPr>
            <w:r>
              <w:rPr>
                <w:sz w:val="21"/>
                <w:szCs w:val="21"/>
              </w:rPr>
              <w:t>小计</w:t>
            </w:r>
          </w:p>
        </w:tc>
        <w:tc>
          <w:tcPr>
            <w:tcW w:w="3106" w:type="dxa"/>
            <w:shd w:val="clear" w:color="auto" w:fill="F5F5F5"/>
            <w:vAlign w:val="center"/>
          </w:tcPr>
          <w:p w14:paraId="26540D66">
            <w:pPr>
              <w:jc w:val="left"/>
              <w:rPr>
                <w:sz w:val="21"/>
                <w:szCs w:val="21"/>
              </w:rPr>
            </w:pPr>
            <w:r>
              <w:rPr>
                <w:sz w:val="21"/>
                <w:szCs w:val="21"/>
              </w:rPr>
              <w:t>比例</w:t>
            </w:r>
          </w:p>
        </w:tc>
      </w:tr>
      <w:tr w14:paraId="4EB1B7B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8B4D92D">
            <w:pPr>
              <w:jc w:val="left"/>
              <w:rPr>
                <w:sz w:val="21"/>
                <w:szCs w:val="21"/>
              </w:rPr>
            </w:pPr>
            <w:r>
              <w:rPr>
                <w:sz w:val="21"/>
                <w:szCs w:val="21"/>
              </w:rPr>
              <w:t>旅游景点开发</w:t>
            </w:r>
          </w:p>
        </w:tc>
        <w:tc>
          <w:tcPr>
            <w:tcW w:w="1000" w:type="dxa"/>
            <w:shd w:val="clear" w:color="auto" w:fill="FFFFFF"/>
            <w:vAlign w:val="center"/>
          </w:tcPr>
          <w:p w14:paraId="404BFCA2">
            <w:pPr>
              <w:jc w:val="left"/>
              <w:rPr>
                <w:sz w:val="21"/>
                <w:szCs w:val="21"/>
              </w:rPr>
            </w:pPr>
            <w:r>
              <w:rPr>
                <w:sz w:val="21"/>
                <w:szCs w:val="21"/>
              </w:rPr>
              <w:t>77</w:t>
            </w:r>
          </w:p>
        </w:tc>
        <w:tc>
          <w:tcPr>
            <w:tcW w:w="3106" w:type="dxa"/>
            <w:shd w:val="clear" w:color="auto" w:fill="FFFFFF"/>
            <w:vAlign w:val="center"/>
          </w:tcPr>
          <w:p w14:paraId="29BBE7A4">
            <w:pPr>
              <w:jc w:val="left"/>
              <w:rPr>
                <w:sz w:val="21"/>
                <w:szCs w:val="21"/>
              </w:rPr>
            </w:pPr>
            <w:r>
              <w:rPr>
                <w:sz w:val="21"/>
                <w:szCs w:val="21"/>
              </w:rPr>
              <w:drawing>
                <wp:inline distT="0" distB="0" distL="114300" distR="114300">
                  <wp:extent cx="866775" cy="114300"/>
                  <wp:effectExtent l="0" t="0" r="7620" b="4445"/>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68"/>
                          <a:stretch>
                            <a:fillRect/>
                          </a:stretch>
                        </pic:blipFill>
                        <pic:spPr>
                          <a:xfrm>
                            <a:off x="0" y="0"/>
                            <a:ext cx="866896" cy="114316"/>
                          </a:xfrm>
                          <a:prstGeom prst="rect">
                            <a:avLst/>
                          </a:prstGeom>
                        </pic:spPr>
                      </pic:pic>
                    </a:graphicData>
                  </a:graphic>
                </wp:inline>
              </w:drawing>
            </w:r>
            <w:r>
              <w:rPr>
                <w:sz w:val="21"/>
                <w:szCs w:val="21"/>
              </w:rPr>
              <w:drawing>
                <wp:inline distT="0" distB="0" distL="114300" distR="114300">
                  <wp:extent cx="485775" cy="114300"/>
                  <wp:effectExtent l="0" t="0" r="0" b="444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69"/>
                          <a:stretch>
                            <a:fillRect/>
                          </a:stretch>
                        </pic:blipFill>
                        <pic:spPr>
                          <a:xfrm>
                            <a:off x="0" y="0"/>
                            <a:ext cx="485843" cy="114316"/>
                          </a:xfrm>
                          <a:prstGeom prst="rect">
                            <a:avLst/>
                          </a:prstGeom>
                        </pic:spPr>
                      </pic:pic>
                    </a:graphicData>
                  </a:graphic>
                </wp:inline>
              </w:drawing>
            </w:r>
            <w:r>
              <w:rPr>
                <w:sz w:val="21"/>
                <w:szCs w:val="21"/>
              </w:rPr>
              <w:t>64.71%</w:t>
            </w:r>
          </w:p>
        </w:tc>
      </w:tr>
      <w:tr w14:paraId="35DB794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380A449">
            <w:pPr>
              <w:jc w:val="left"/>
              <w:rPr>
                <w:sz w:val="21"/>
                <w:szCs w:val="21"/>
              </w:rPr>
            </w:pPr>
            <w:r>
              <w:rPr>
                <w:sz w:val="21"/>
                <w:szCs w:val="21"/>
              </w:rPr>
              <w:t>旅游基础设施建设</w:t>
            </w:r>
          </w:p>
        </w:tc>
        <w:tc>
          <w:tcPr>
            <w:tcW w:w="1000" w:type="dxa"/>
            <w:shd w:val="clear" w:color="auto" w:fill="FAFAFA"/>
            <w:vAlign w:val="center"/>
          </w:tcPr>
          <w:p w14:paraId="7A657F71">
            <w:pPr>
              <w:jc w:val="left"/>
              <w:rPr>
                <w:sz w:val="21"/>
                <w:szCs w:val="21"/>
              </w:rPr>
            </w:pPr>
            <w:r>
              <w:rPr>
                <w:sz w:val="21"/>
                <w:szCs w:val="21"/>
              </w:rPr>
              <w:t>47</w:t>
            </w:r>
          </w:p>
        </w:tc>
        <w:tc>
          <w:tcPr>
            <w:tcW w:w="3106" w:type="dxa"/>
            <w:shd w:val="clear" w:color="auto" w:fill="FAFAFA"/>
            <w:vAlign w:val="center"/>
          </w:tcPr>
          <w:p w14:paraId="576244D2">
            <w:pPr>
              <w:jc w:val="left"/>
              <w:rPr>
                <w:sz w:val="21"/>
                <w:szCs w:val="21"/>
              </w:rPr>
            </w:pPr>
            <w:r>
              <w:rPr>
                <w:sz w:val="21"/>
                <w:szCs w:val="21"/>
              </w:rPr>
              <w:drawing>
                <wp:inline distT="0" distB="0" distL="114300" distR="114300">
                  <wp:extent cx="533400" cy="114300"/>
                  <wp:effectExtent l="0" t="0" r="6350" b="4445"/>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70"/>
                          <a:stretch>
                            <a:fillRect/>
                          </a:stretch>
                        </pic:blipFill>
                        <pic:spPr>
                          <a:xfrm>
                            <a:off x="0" y="0"/>
                            <a:ext cx="533474" cy="114316"/>
                          </a:xfrm>
                          <a:prstGeom prst="rect">
                            <a:avLst/>
                          </a:prstGeom>
                        </pic:spPr>
                      </pic:pic>
                    </a:graphicData>
                  </a:graphic>
                </wp:inline>
              </w:drawing>
            </w:r>
            <w:r>
              <w:rPr>
                <w:sz w:val="21"/>
                <w:szCs w:val="21"/>
              </w:rPr>
              <w:drawing>
                <wp:inline distT="0" distB="0" distL="114300" distR="114300">
                  <wp:extent cx="819150" cy="114300"/>
                  <wp:effectExtent l="0" t="0" r="1270" b="4445"/>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71"/>
                          <a:stretch>
                            <a:fillRect/>
                          </a:stretch>
                        </pic:blipFill>
                        <pic:spPr>
                          <a:xfrm>
                            <a:off x="0" y="0"/>
                            <a:ext cx="819264" cy="114316"/>
                          </a:xfrm>
                          <a:prstGeom prst="rect">
                            <a:avLst/>
                          </a:prstGeom>
                        </pic:spPr>
                      </pic:pic>
                    </a:graphicData>
                  </a:graphic>
                </wp:inline>
              </w:drawing>
            </w:r>
            <w:r>
              <w:rPr>
                <w:sz w:val="21"/>
                <w:szCs w:val="21"/>
              </w:rPr>
              <w:t>39.5%</w:t>
            </w:r>
          </w:p>
        </w:tc>
      </w:tr>
      <w:tr w14:paraId="7FE8E60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68A8FAB">
            <w:pPr>
              <w:jc w:val="left"/>
              <w:rPr>
                <w:sz w:val="21"/>
                <w:szCs w:val="21"/>
              </w:rPr>
            </w:pPr>
            <w:r>
              <w:rPr>
                <w:sz w:val="21"/>
                <w:szCs w:val="21"/>
              </w:rPr>
              <w:t>旅游服务质量提升</w:t>
            </w:r>
          </w:p>
        </w:tc>
        <w:tc>
          <w:tcPr>
            <w:tcW w:w="1000" w:type="dxa"/>
            <w:shd w:val="clear" w:color="auto" w:fill="FFFFFF"/>
            <w:vAlign w:val="center"/>
          </w:tcPr>
          <w:p w14:paraId="36678DC5">
            <w:pPr>
              <w:jc w:val="left"/>
              <w:rPr>
                <w:sz w:val="21"/>
                <w:szCs w:val="21"/>
              </w:rPr>
            </w:pPr>
            <w:r>
              <w:rPr>
                <w:sz w:val="21"/>
                <w:szCs w:val="21"/>
              </w:rPr>
              <w:t>36</w:t>
            </w:r>
          </w:p>
        </w:tc>
        <w:tc>
          <w:tcPr>
            <w:tcW w:w="3106" w:type="dxa"/>
            <w:shd w:val="clear" w:color="auto" w:fill="FFFFFF"/>
            <w:vAlign w:val="center"/>
          </w:tcPr>
          <w:p w14:paraId="05054200">
            <w:pPr>
              <w:jc w:val="left"/>
              <w:rPr>
                <w:sz w:val="21"/>
                <w:szCs w:val="21"/>
              </w:rPr>
            </w:pPr>
            <w:r>
              <w:rPr>
                <w:sz w:val="21"/>
                <w:szCs w:val="21"/>
              </w:rPr>
              <w:drawing>
                <wp:inline distT="0" distB="0" distL="114300" distR="114300">
                  <wp:extent cx="400050" cy="114300"/>
                  <wp:effectExtent l="0" t="0" r="10160" b="4445"/>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72"/>
                          <a:stretch>
                            <a:fillRect/>
                          </a:stretch>
                        </pic:blipFill>
                        <pic:spPr>
                          <a:xfrm>
                            <a:off x="0" y="0"/>
                            <a:ext cx="400106" cy="114316"/>
                          </a:xfrm>
                          <a:prstGeom prst="rect">
                            <a:avLst/>
                          </a:prstGeom>
                        </pic:spPr>
                      </pic:pic>
                    </a:graphicData>
                  </a:graphic>
                </wp:inline>
              </w:drawing>
            </w:r>
            <w:r>
              <w:rPr>
                <w:sz w:val="21"/>
                <w:szCs w:val="21"/>
              </w:rPr>
              <w:drawing>
                <wp:inline distT="0" distB="0" distL="114300" distR="114300">
                  <wp:extent cx="952500" cy="114300"/>
                  <wp:effectExtent l="0" t="0" r="8255" b="4445"/>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73"/>
                          <a:stretch>
                            <a:fillRect/>
                          </a:stretch>
                        </pic:blipFill>
                        <pic:spPr>
                          <a:xfrm>
                            <a:off x="0" y="0"/>
                            <a:ext cx="952633" cy="114316"/>
                          </a:xfrm>
                          <a:prstGeom prst="rect">
                            <a:avLst/>
                          </a:prstGeom>
                        </pic:spPr>
                      </pic:pic>
                    </a:graphicData>
                  </a:graphic>
                </wp:inline>
              </w:drawing>
            </w:r>
            <w:r>
              <w:rPr>
                <w:sz w:val="21"/>
                <w:szCs w:val="21"/>
              </w:rPr>
              <w:t>30.25%</w:t>
            </w:r>
          </w:p>
        </w:tc>
      </w:tr>
      <w:tr w14:paraId="0A26F86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002E67E">
            <w:pPr>
              <w:jc w:val="left"/>
              <w:rPr>
                <w:sz w:val="21"/>
                <w:szCs w:val="21"/>
              </w:rPr>
            </w:pPr>
            <w:r>
              <w:rPr>
                <w:sz w:val="21"/>
                <w:szCs w:val="21"/>
              </w:rPr>
              <w:t>文化活动创新</w:t>
            </w:r>
          </w:p>
        </w:tc>
        <w:tc>
          <w:tcPr>
            <w:tcW w:w="1000" w:type="dxa"/>
            <w:shd w:val="clear" w:color="auto" w:fill="FAFAFA"/>
            <w:vAlign w:val="center"/>
          </w:tcPr>
          <w:p w14:paraId="3AE73D38">
            <w:pPr>
              <w:jc w:val="left"/>
              <w:rPr>
                <w:sz w:val="21"/>
                <w:szCs w:val="21"/>
              </w:rPr>
            </w:pPr>
            <w:r>
              <w:rPr>
                <w:sz w:val="21"/>
                <w:szCs w:val="21"/>
              </w:rPr>
              <w:t>36</w:t>
            </w:r>
          </w:p>
        </w:tc>
        <w:tc>
          <w:tcPr>
            <w:tcW w:w="3106" w:type="dxa"/>
            <w:shd w:val="clear" w:color="auto" w:fill="FAFAFA"/>
            <w:vAlign w:val="center"/>
          </w:tcPr>
          <w:p w14:paraId="6F3FC5F7">
            <w:pPr>
              <w:jc w:val="left"/>
              <w:rPr>
                <w:sz w:val="21"/>
                <w:szCs w:val="21"/>
              </w:rPr>
            </w:pPr>
            <w:r>
              <w:rPr>
                <w:sz w:val="21"/>
                <w:szCs w:val="21"/>
              </w:rPr>
              <w:drawing>
                <wp:inline distT="0" distB="0" distL="114300" distR="114300">
                  <wp:extent cx="400050" cy="114300"/>
                  <wp:effectExtent l="0" t="0" r="10160" b="444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72"/>
                          <a:stretch>
                            <a:fillRect/>
                          </a:stretch>
                        </pic:blipFill>
                        <pic:spPr>
                          <a:xfrm>
                            <a:off x="0" y="0"/>
                            <a:ext cx="400106" cy="114316"/>
                          </a:xfrm>
                          <a:prstGeom prst="rect">
                            <a:avLst/>
                          </a:prstGeom>
                        </pic:spPr>
                      </pic:pic>
                    </a:graphicData>
                  </a:graphic>
                </wp:inline>
              </w:drawing>
            </w:r>
            <w:r>
              <w:rPr>
                <w:sz w:val="21"/>
                <w:szCs w:val="21"/>
              </w:rPr>
              <w:drawing>
                <wp:inline distT="0" distB="0" distL="114300" distR="114300">
                  <wp:extent cx="952500" cy="114300"/>
                  <wp:effectExtent l="0" t="0" r="8255" b="4445"/>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73"/>
                          <a:stretch>
                            <a:fillRect/>
                          </a:stretch>
                        </pic:blipFill>
                        <pic:spPr>
                          <a:xfrm>
                            <a:off x="0" y="0"/>
                            <a:ext cx="952633" cy="114316"/>
                          </a:xfrm>
                          <a:prstGeom prst="rect">
                            <a:avLst/>
                          </a:prstGeom>
                        </pic:spPr>
                      </pic:pic>
                    </a:graphicData>
                  </a:graphic>
                </wp:inline>
              </w:drawing>
            </w:r>
            <w:r>
              <w:rPr>
                <w:sz w:val="21"/>
                <w:szCs w:val="21"/>
              </w:rPr>
              <w:t>30.25%</w:t>
            </w:r>
          </w:p>
        </w:tc>
      </w:tr>
      <w:tr w14:paraId="44E3BF9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2B6E8FF">
            <w:pPr>
              <w:jc w:val="left"/>
              <w:rPr>
                <w:sz w:val="21"/>
                <w:szCs w:val="21"/>
              </w:rPr>
            </w:pPr>
            <w:r>
              <w:rPr>
                <w:sz w:val="21"/>
                <w:szCs w:val="21"/>
              </w:rPr>
              <w:t>旅游宣传推广</w:t>
            </w:r>
          </w:p>
        </w:tc>
        <w:tc>
          <w:tcPr>
            <w:tcW w:w="1000" w:type="dxa"/>
            <w:shd w:val="clear" w:color="auto" w:fill="FFFFFF"/>
            <w:vAlign w:val="center"/>
          </w:tcPr>
          <w:p w14:paraId="4CF430E4">
            <w:pPr>
              <w:jc w:val="left"/>
              <w:rPr>
                <w:sz w:val="21"/>
                <w:szCs w:val="21"/>
              </w:rPr>
            </w:pPr>
            <w:r>
              <w:rPr>
                <w:sz w:val="21"/>
                <w:szCs w:val="21"/>
              </w:rPr>
              <w:t>33</w:t>
            </w:r>
          </w:p>
        </w:tc>
        <w:tc>
          <w:tcPr>
            <w:tcW w:w="3106" w:type="dxa"/>
            <w:shd w:val="clear" w:color="auto" w:fill="FFFFFF"/>
            <w:vAlign w:val="center"/>
          </w:tcPr>
          <w:p w14:paraId="77A7DE32">
            <w:pPr>
              <w:jc w:val="left"/>
              <w:rPr>
                <w:sz w:val="21"/>
                <w:szCs w:val="21"/>
              </w:rPr>
            </w:pPr>
            <w:r>
              <w:rPr>
                <w:sz w:val="21"/>
                <w:szCs w:val="21"/>
              </w:rPr>
              <w:drawing>
                <wp:inline distT="0" distB="0" distL="114300" distR="114300">
                  <wp:extent cx="371475" cy="114300"/>
                  <wp:effectExtent l="0" t="0" r="6350" b="444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74"/>
                          <a:stretch>
                            <a:fillRect/>
                          </a:stretch>
                        </pic:blipFill>
                        <pic:spPr>
                          <a:xfrm>
                            <a:off x="0" y="0"/>
                            <a:ext cx="371527" cy="114316"/>
                          </a:xfrm>
                          <a:prstGeom prst="rect">
                            <a:avLst/>
                          </a:prstGeom>
                        </pic:spPr>
                      </pic:pic>
                    </a:graphicData>
                  </a:graphic>
                </wp:inline>
              </w:drawing>
            </w:r>
            <w:r>
              <w:rPr>
                <w:sz w:val="21"/>
                <w:szCs w:val="21"/>
              </w:rPr>
              <w:drawing>
                <wp:inline distT="0" distB="0" distL="114300" distR="114300">
                  <wp:extent cx="981075" cy="114300"/>
                  <wp:effectExtent l="0" t="0" r="1270" b="4445"/>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75"/>
                          <a:stretch>
                            <a:fillRect/>
                          </a:stretch>
                        </pic:blipFill>
                        <pic:spPr>
                          <a:xfrm>
                            <a:off x="0" y="0"/>
                            <a:ext cx="981212" cy="114316"/>
                          </a:xfrm>
                          <a:prstGeom prst="rect">
                            <a:avLst/>
                          </a:prstGeom>
                        </pic:spPr>
                      </pic:pic>
                    </a:graphicData>
                  </a:graphic>
                </wp:inline>
              </w:drawing>
            </w:r>
            <w:r>
              <w:rPr>
                <w:sz w:val="21"/>
                <w:szCs w:val="21"/>
              </w:rPr>
              <w:t>27.73%</w:t>
            </w:r>
          </w:p>
        </w:tc>
      </w:tr>
      <w:tr w14:paraId="226C7B8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A627A46">
            <w:pPr>
              <w:jc w:val="left"/>
              <w:rPr>
                <w:sz w:val="21"/>
                <w:szCs w:val="21"/>
              </w:rPr>
            </w:pPr>
            <w:r>
              <w:rPr>
                <w:sz w:val="21"/>
                <w:szCs w:val="21"/>
              </w:rPr>
              <w:t>其他</w:t>
            </w:r>
          </w:p>
        </w:tc>
        <w:tc>
          <w:tcPr>
            <w:tcW w:w="1000" w:type="dxa"/>
            <w:shd w:val="clear" w:color="auto" w:fill="FAFAFA"/>
            <w:vAlign w:val="center"/>
          </w:tcPr>
          <w:p w14:paraId="0AE07C62">
            <w:pPr>
              <w:jc w:val="left"/>
              <w:rPr>
                <w:sz w:val="21"/>
                <w:szCs w:val="21"/>
              </w:rPr>
            </w:pPr>
            <w:r>
              <w:rPr>
                <w:sz w:val="21"/>
                <w:szCs w:val="21"/>
              </w:rPr>
              <w:t>19</w:t>
            </w:r>
          </w:p>
        </w:tc>
        <w:tc>
          <w:tcPr>
            <w:tcW w:w="3106" w:type="dxa"/>
            <w:shd w:val="clear" w:color="auto" w:fill="FAFAFA"/>
            <w:vAlign w:val="center"/>
          </w:tcPr>
          <w:p w14:paraId="4D4F4EE8">
            <w:pPr>
              <w:jc w:val="left"/>
              <w:rPr>
                <w:sz w:val="21"/>
                <w:szCs w:val="21"/>
              </w:rPr>
            </w:pPr>
            <w:r>
              <w:rPr>
                <w:sz w:val="21"/>
                <w:szCs w:val="21"/>
              </w:rPr>
              <w:drawing>
                <wp:inline distT="0" distB="0" distL="114300" distR="114300">
                  <wp:extent cx="209550" cy="114300"/>
                  <wp:effectExtent l="0" t="0" r="6350" b="4445"/>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76"/>
                          <a:stretch>
                            <a:fillRect/>
                          </a:stretch>
                        </pic:blipFill>
                        <pic:spPr>
                          <a:xfrm>
                            <a:off x="0" y="0"/>
                            <a:ext cx="209579" cy="114316"/>
                          </a:xfrm>
                          <a:prstGeom prst="rect">
                            <a:avLst/>
                          </a:prstGeom>
                        </pic:spPr>
                      </pic:pic>
                    </a:graphicData>
                  </a:graphic>
                </wp:inline>
              </w:drawing>
            </w:r>
            <w:r>
              <w:rPr>
                <w:sz w:val="21"/>
                <w:szCs w:val="21"/>
              </w:rPr>
              <w:drawing>
                <wp:inline distT="0" distB="0" distL="114300" distR="114300">
                  <wp:extent cx="1143000" cy="114300"/>
                  <wp:effectExtent l="0" t="0" r="1270" b="4445"/>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77"/>
                          <a:stretch>
                            <a:fillRect/>
                          </a:stretch>
                        </pic:blipFill>
                        <pic:spPr>
                          <a:xfrm>
                            <a:off x="0" y="0"/>
                            <a:ext cx="1143160" cy="114316"/>
                          </a:xfrm>
                          <a:prstGeom prst="rect">
                            <a:avLst/>
                          </a:prstGeom>
                        </pic:spPr>
                      </pic:pic>
                    </a:graphicData>
                  </a:graphic>
                </wp:inline>
              </w:drawing>
            </w:r>
            <w:r>
              <w:rPr>
                <w:sz w:val="21"/>
                <w:szCs w:val="21"/>
              </w:rPr>
              <w:t>15.97%</w:t>
            </w:r>
          </w:p>
        </w:tc>
      </w:tr>
      <w:tr w14:paraId="331B0AA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D3690AD">
            <w:pPr>
              <w:jc w:val="left"/>
              <w:rPr>
                <w:sz w:val="21"/>
                <w:szCs w:val="21"/>
              </w:rPr>
            </w:pPr>
            <w:r>
              <w:rPr>
                <w:sz w:val="21"/>
                <w:szCs w:val="21"/>
              </w:rPr>
              <w:t>本题有效填写人次</w:t>
            </w:r>
          </w:p>
        </w:tc>
        <w:tc>
          <w:tcPr>
            <w:tcW w:w="1000" w:type="dxa"/>
            <w:shd w:val="clear" w:color="auto" w:fill="F5F5F5"/>
            <w:vAlign w:val="center"/>
          </w:tcPr>
          <w:p w14:paraId="3216C844">
            <w:pPr>
              <w:jc w:val="left"/>
              <w:rPr>
                <w:sz w:val="21"/>
                <w:szCs w:val="21"/>
              </w:rPr>
            </w:pPr>
            <w:r>
              <w:rPr>
                <w:sz w:val="21"/>
                <w:szCs w:val="21"/>
              </w:rPr>
              <w:t>119</w:t>
            </w:r>
          </w:p>
        </w:tc>
        <w:tc>
          <w:tcPr>
            <w:tcW w:w="3106" w:type="dxa"/>
            <w:shd w:val="clear" w:color="auto" w:fill="F5F5F5"/>
            <w:vAlign w:val="center"/>
          </w:tcPr>
          <w:p w14:paraId="7AC44AA2">
            <w:pPr>
              <w:jc w:val="left"/>
              <w:rPr>
                <w:sz w:val="21"/>
                <w:szCs w:val="21"/>
              </w:rPr>
            </w:pPr>
          </w:p>
        </w:tc>
      </w:tr>
    </w:tbl>
    <w:p w14:paraId="2C0572E6">
      <w:pPr>
        <w:spacing w:line="360" w:lineRule="auto"/>
        <w:ind w:firstLine="560"/>
      </w:pPr>
      <w:r>
        <w:rPr>
          <w:rFonts w:hint="eastAsia"/>
        </w:rPr>
        <w:t>。</w:t>
      </w:r>
    </w:p>
    <w:p w14:paraId="4294D67B">
      <w:pPr>
        <w:spacing w:line="360" w:lineRule="auto"/>
        <w:ind w:firstLine="560"/>
        <w:sectPr>
          <w:footerReference r:id="rId19" w:type="first"/>
          <w:footerReference r:id="rId18" w:type="default"/>
          <w:pgSz w:w="11906" w:h="16838"/>
          <w:pgMar w:top="1247" w:right="1701" w:bottom="1247" w:left="1701" w:header="851" w:footer="850" w:gutter="0"/>
          <w:cols w:space="720" w:num="1"/>
          <w:titlePg/>
          <w:docGrid w:type="lines" w:linePitch="381" w:charSpace="0"/>
        </w:sectPr>
      </w:pPr>
    </w:p>
    <w:p w14:paraId="570AD6F6">
      <w:pPr>
        <w:spacing w:line="560" w:lineRule="exact"/>
        <w:jc w:val="center"/>
        <w:rPr>
          <w:b/>
          <w:bCs/>
          <w:sz w:val="32"/>
          <w:szCs w:val="32"/>
        </w:rPr>
      </w:pPr>
      <w:r>
        <w:rPr>
          <w:rFonts w:hint="eastAsia"/>
          <w:b/>
          <w:bCs/>
          <w:sz w:val="32"/>
          <w:szCs w:val="32"/>
        </w:rPr>
        <w:t>永济市文化和旅游局2023年度部门整体支出</w:t>
      </w:r>
    </w:p>
    <w:p w14:paraId="3360906F">
      <w:pPr>
        <w:spacing w:line="560" w:lineRule="exact"/>
        <w:jc w:val="center"/>
        <w:rPr>
          <w:b/>
          <w:bCs/>
          <w:sz w:val="32"/>
          <w:szCs w:val="32"/>
        </w:rPr>
      </w:pPr>
      <w:r>
        <w:rPr>
          <w:rFonts w:hint="eastAsia"/>
          <w:b/>
          <w:bCs/>
          <w:sz w:val="32"/>
          <w:szCs w:val="32"/>
        </w:rPr>
        <w:t>职工满意度调查分析报告</w:t>
      </w:r>
    </w:p>
    <w:p w14:paraId="796999C9">
      <w:pPr>
        <w:spacing w:line="560" w:lineRule="exact"/>
        <w:ind w:firstLine="562" w:firstLineChars="200"/>
        <w:rPr>
          <w:b/>
          <w:bCs/>
          <w:lang w:val="zh-TW"/>
        </w:rPr>
      </w:pPr>
      <w:r>
        <w:rPr>
          <w:rFonts w:hint="eastAsia"/>
          <w:b/>
          <w:bCs/>
          <w:lang w:val="zh-TW" w:eastAsia="zh-TW"/>
        </w:rPr>
        <w:t>一、调查</w:t>
      </w:r>
      <w:r>
        <w:rPr>
          <w:rFonts w:hint="eastAsia"/>
          <w:b/>
          <w:bCs/>
          <w:lang w:val="zh-TW"/>
        </w:rPr>
        <w:t>目的</w:t>
      </w:r>
    </w:p>
    <w:p w14:paraId="38DE25A5">
      <w:pPr>
        <w:spacing w:line="560" w:lineRule="exact"/>
        <w:ind w:firstLine="560" w:firstLineChars="200"/>
        <w:rPr>
          <w:lang w:val="zh-TW" w:eastAsia="zh-TW"/>
        </w:rPr>
      </w:pPr>
      <w:r>
        <w:rPr>
          <w:rFonts w:hint="eastAsia"/>
          <w:lang w:val="zh-TW" w:eastAsia="zh-TW"/>
        </w:rPr>
        <w:t>本次调查旨在</w:t>
      </w:r>
      <w:r>
        <w:rPr>
          <w:rFonts w:hint="eastAsia"/>
        </w:rPr>
        <w:t>了解永济市文旅局在职人员对</w:t>
      </w:r>
      <w:r>
        <w:rPr>
          <w:rFonts w:hint="eastAsia"/>
          <w:lang w:val="zh-TW" w:eastAsia="zh-TW"/>
        </w:rPr>
        <w:t>部门工作的满意度</w:t>
      </w:r>
      <w:r>
        <w:rPr>
          <w:rFonts w:hint="eastAsia"/>
          <w:lang w:val="zh-TW"/>
        </w:rPr>
        <w:t>，</w:t>
      </w:r>
      <w:r>
        <w:rPr>
          <w:rFonts w:hint="eastAsia"/>
          <w:lang w:val="zh-TW" w:eastAsia="zh-TW"/>
        </w:rPr>
        <w:t>为本次绩效评价工作提供数据支撑。</w:t>
      </w:r>
    </w:p>
    <w:p w14:paraId="3E9EB923">
      <w:pPr>
        <w:spacing w:line="560" w:lineRule="exact"/>
        <w:ind w:firstLine="562" w:firstLineChars="200"/>
        <w:rPr>
          <w:b/>
          <w:bCs/>
          <w:lang w:val="zh-TW" w:eastAsia="zh-TW"/>
        </w:rPr>
      </w:pPr>
      <w:r>
        <w:rPr>
          <w:rFonts w:hint="eastAsia"/>
          <w:b/>
          <w:bCs/>
          <w:lang w:val="zh-TW"/>
        </w:rPr>
        <w:t>二</w:t>
      </w:r>
      <w:r>
        <w:rPr>
          <w:rFonts w:hint="eastAsia"/>
          <w:b/>
          <w:bCs/>
          <w:lang w:val="zh-TW" w:eastAsia="zh-TW"/>
        </w:rPr>
        <w:t>、调查对象和调查内容</w:t>
      </w:r>
    </w:p>
    <w:p w14:paraId="1E0EB716">
      <w:pPr>
        <w:spacing w:line="560" w:lineRule="exact"/>
        <w:ind w:firstLine="562" w:firstLineChars="200"/>
        <w:rPr>
          <w:b/>
          <w:bCs/>
          <w:lang w:val="zh-TW" w:eastAsia="zh-TW"/>
        </w:rPr>
      </w:pPr>
      <w:r>
        <w:rPr>
          <w:rFonts w:hint="eastAsia"/>
          <w:b/>
          <w:bCs/>
          <w:lang w:val="zh-TW" w:eastAsia="zh-TW"/>
        </w:rPr>
        <w:t>（一）调查对象</w:t>
      </w:r>
    </w:p>
    <w:p w14:paraId="1EAA0D9E">
      <w:pPr>
        <w:spacing w:line="560" w:lineRule="exact"/>
        <w:ind w:firstLine="560" w:firstLineChars="200"/>
        <w:rPr>
          <w:highlight w:val="yellow"/>
        </w:rPr>
      </w:pPr>
      <w:r>
        <w:rPr>
          <w:rFonts w:hint="eastAsia"/>
          <w:lang w:val="zh-TW" w:eastAsia="zh-TW"/>
        </w:rPr>
        <w:t>本次调查对象为</w:t>
      </w:r>
      <w:r>
        <w:rPr>
          <w:rFonts w:hint="eastAsia"/>
        </w:rPr>
        <w:t>永济市永济市文旅局职工。</w:t>
      </w:r>
    </w:p>
    <w:p w14:paraId="42270DC0">
      <w:pPr>
        <w:spacing w:line="560" w:lineRule="exact"/>
        <w:ind w:firstLine="562" w:firstLineChars="200"/>
        <w:rPr>
          <w:b/>
          <w:lang w:val="zh-TW"/>
        </w:rPr>
      </w:pPr>
      <w:r>
        <w:rPr>
          <w:rFonts w:hint="eastAsia"/>
          <w:b/>
          <w:lang w:val="zh-TW"/>
        </w:rPr>
        <w:t>（二）调查内容</w:t>
      </w:r>
    </w:p>
    <w:p w14:paraId="3346595B">
      <w:pPr>
        <w:spacing w:line="560" w:lineRule="exact"/>
        <w:ind w:firstLine="560" w:firstLineChars="200"/>
      </w:pPr>
      <w:r>
        <w:rPr>
          <w:rFonts w:hint="eastAsia"/>
          <w:lang w:val="zh-TW" w:eastAsia="zh-TW"/>
        </w:rPr>
        <w:t>（</w:t>
      </w:r>
      <w:r>
        <w:rPr>
          <w:rFonts w:hint="eastAsia"/>
        </w:rPr>
        <w:t>1</w:t>
      </w:r>
      <w:r>
        <w:rPr>
          <w:rFonts w:hint="eastAsia"/>
          <w:lang w:val="zh-TW" w:eastAsia="zh-TW"/>
        </w:rPr>
        <w:t>）</w:t>
      </w:r>
      <w:r>
        <w:rPr>
          <w:rFonts w:hint="eastAsia"/>
          <w:lang w:val="zh-TW"/>
        </w:rPr>
        <w:t>基本</w:t>
      </w:r>
      <w:r>
        <w:rPr>
          <w:rFonts w:hint="eastAsia"/>
          <w:lang w:val="zh-TW" w:eastAsia="zh-TW"/>
        </w:rPr>
        <w:t>信息</w:t>
      </w:r>
    </w:p>
    <w:p w14:paraId="38C4246A">
      <w:pPr>
        <w:spacing w:line="560" w:lineRule="exact"/>
        <w:ind w:firstLine="560" w:firstLineChars="200"/>
        <w:rPr>
          <w:lang w:val="zh-TW"/>
        </w:rPr>
      </w:pPr>
      <w:r>
        <w:rPr>
          <w:rFonts w:hint="eastAsia"/>
        </w:rPr>
        <w:t>被调查对象在单位工作年限</w:t>
      </w:r>
      <w:r>
        <w:rPr>
          <w:rFonts w:hint="eastAsia"/>
          <w:lang w:val="zh-TW"/>
        </w:rPr>
        <w:t>。</w:t>
      </w:r>
    </w:p>
    <w:p w14:paraId="46B982EA">
      <w:pPr>
        <w:spacing w:line="560" w:lineRule="exact"/>
        <w:ind w:firstLine="560" w:firstLineChars="200"/>
        <w:rPr>
          <w:lang w:val="zh-TW"/>
        </w:rPr>
      </w:pPr>
      <w:r>
        <w:rPr>
          <w:rFonts w:hint="eastAsia"/>
          <w:lang w:val="zh-TW" w:eastAsia="zh-TW"/>
        </w:rPr>
        <w:t>（</w:t>
      </w:r>
      <w:r>
        <w:rPr>
          <w:rFonts w:hint="eastAsia"/>
        </w:rPr>
        <w:t>2</w:t>
      </w:r>
      <w:r>
        <w:rPr>
          <w:rFonts w:hint="eastAsia"/>
          <w:lang w:val="zh-TW" w:eastAsia="zh-TW"/>
        </w:rPr>
        <w:t>）</w:t>
      </w:r>
      <w:r>
        <w:rPr>
          <w:rFonts w:hint="eastAsia"/>
          <w:lang w:val="zh-TW"/>
        </w:rPr>
        <w:t>调查内容</w:t>
      </w:r>
    </w:p>
    <w:p w14:paraId="1B4B4710">
      <w:pPr>
        <w:spacing w:line="560" w:lineRule="exact"/>
        <w:ind w:firstLine="560" w:firstLineChars="200"/>
      </w:pPr>
      <w:r>
        <w:rPr>
          <w:rFonts w:hint="eastAsia"/>
        </w:rPr>
        <w:t>被调查对象对所在单位工作环境、工作氛围、日常工作安排、同事间工作配合与协作、部门间信息交流便捷性、单位管理制度情况、单位制度执行情况、单位领导管理水平、所在部门职责履行情况、所在部门2023年工作成效十个方面的满意度；对所在单位和部门的意见和建议。</w:t>
      </w:r>
    </w:p>
    <w:p w14:paraId="5E337050">
      <w:pPr>
        <w:spacing w:line="560" w:lineRule="exact"/>
        <w:ind w:firstLine="562" w:firstLineChars="200"/>
        <w:rPr>
          <w:b/>
          <w:bCs/>
          <w:lang w:val="zh-TW" w:eastAsia="zh-TW"/>
        </w:rPr>
      </w:pPr>
      <w:r>
        <w:rPr>
          <w:rFonts w:hint="eastAsia"/>
          <w:b/>
          <w:bCs/>
          <w:lang w:val="zh-TW"/>
        </w:rPr>
        <w:t>三</w:t>
      </w:r>
      <w:r>
        <w:rPr>
          <w:rFonts w:hint="eastAsia"/>
          <w:b/>
          <w:bCs/>
          <w:lang w:val="zh-TW" w:eastAsia="zh-TW"/>
        </w:rPr>
        <w:t>、调查方法与调查方式</w:t>
      </w:r>
    </w:p>
    <w:p w14:paraId="2082393E">
      <w:pPr>
        <w:spacing w:line="560" w:lineRule="exact"/>
        <w:ind w:firstLine="562" w:firstLineChars="200"/>
        <w:rPr>
          <w:b/>
          <w:bCs/>
          <w:lang w:val="zh-TW" w:eastAsia="zh-TW"/>
        </w:rPr>
      </w:pPr>
      <w:r>
        <w:rPr>
          <w:rFonts w:hint="eastAsia"/>
          <w:b/>
          <w:bCs/>
          <w:lang w:val="zh-TW" w:eastAsia="zh-TW"/>
        </w:rPr>
        <w:t>（一）调查方法</w:t>
      </w:r>
    </w:p>
    <w:p w14:paraId="3649E9EB">
      <w:pPr>
        <w:spacing w:line="560" w:lineRule="exact"/>
        <w:ind w:firstLine="560" w:firstLineChars="200"/>
        <w:rPr>
          <w:lang w:val="zh-TW"/>
        </w:rPr>
      </w:pPr>
      <w:r>
        <w:rPr>
          <w:rFonts w:hint="eastAsia"/>
          <w:lang w:val="zh-TW"/>
        </w:rPr>
        <w:t>针对上述问卷调查对象开展问卷调查，在调查全面开展之前，先对部分样本问卷进行论证，依据论证结果对问卷和抽样方案进行修改和调整，以保证调研切合实际，顺利进行。</w:t>
      </w:r>
    </w:p>
    <w:p w14:paraId="52F46ED5">
      <w:pPr>
        <w:widowControl w:val="0"/>
        <w:spacing w:line="560" w:lineRule="exact"/>
        <w:ind w:firstLine="562" w:firstLineChars="200"/>
        <w:rPr>
          <w:b/>
          <w:bCs/>
          <w:szCs w:val="32"/>
          <w:lang w:val="zh-TW" w:eastAsia="zh-TW"/>
        </w:rPr>
      </w:pPr>
      <w:r>
        <w:rPr>
          <w:rFonts w:hint="eastAsia"/>
          <w:b/>
          <w:bCs/>
          <w:szCs w:val="32"/>
          <w:lang w:val="zh-TW" w:eastAsia="zh-TW"/>
        </w:rPr>
        <w:t>（二）调查方式</w:t>
      </w:r>
    </w:p>
    <w:p w14:paraId="4552B61F">
      <w:pPr>
        <w:pStyle w:val="8"/>
        <w:widowControl w:val="0"/>
        <w:snapToGrid/>
        <w:ind w:firstLine="560"/>
        <w:rPr>
          <w:rFonts w:ascii="仿宋" w:hAnsi="仿宋"/>
          <w:szCs w:val="32"/>
        </w:rPr>
      </w:pPr>
      <w:r>
        <w:rPr>
          <w:rFonts w:hint="eastAsia" w:ascii="仿宋" w:hAnsi="仿宋"/>
          <w:szCs w:val="32"/>
        </w:rPr>
        <w:t>本次调查采用问卷星结合的方式进行，共计收回问卷</w:t>
      </w:r>
      <w:r>
        <w:rPr>
          <w:rFonts w:hint="eastAsia" w:ascii="仿宋"/>
          <w:szCs w:val="32"/>
        </w:rPr>
        <w:t>22份</w:t>
      </w:r>
      <w:r>
        <w:rPr>
          <w:rFonts w:hint="eastAsia" w:ascii="仿宋" w:hAnsi="仿宋"/>
          <w:szCs w:val="32"/>
        </w:rPr>
        <w:t>，有效问卷</w:t>
      </w:r>
      <w:r>
        <w:rPr>
          <w:rFonts w:hint="eastAsia" w:ascii="仿宋"/>
          <w:szCs w:val="32"/>
        </w:rPr>
        <w:t>22</w:t>
      </w:r>
      <w:r>
        <w:rPr>
          <w:rFonts w:hint="eastAsia" w:ascii="仿宋" w:hAnsi="仿宋"/>
          <w:szCs w:val="32"/>
        </w:rPr>
        <w:t>份。</w:t>
      </w:r>
    </w:p>
    <w:p w14:paraId="1B8D1584">
      <w:pPr>
        <w:spacing w:line="560" w:lineRule="exact"/>
        <w:ind w:firstLine="562" w:firstLineChars="200"/>
        <w:rPr>
          <w:b/>
          <w:bCs/>
          <w:lang w:val="zh-TW" w:eastAsia="zh-TW"/>
        </w:rPr>
      </w:pPr>
      <w:r>
        <w:rPr>
          <w:rFonts w:hint="eastAsia"/>
          <w:b/>
          <w:bCs/>
          <w:lang w:val="zh-TW" w:eastAsia="zh-TW"/>
        </w:rPr>
        <w:t>（</w:t>
      </w:r>
      <w:r>
        <w:rPr>
          <w:rFonts w:hint="eastAsia"/>
          <w:b/>
          <w:bCs/>
        </w:rPr>
        <w:t>三</w:t>
      </w:r>
      <w:r>
        <w:rPr>
          <w:rFonts w:hint="eastAsia"/>
          <w:b/>
          <w:bCs/>
          <w:lang w:val="zh-TW" w:eastAsia="zh-TW"/>
        </w:rPr>
        <w:t>）问卷的发放和回收</w:t>
      </w:r>
      <w:r>
        <w:rPr>
          <w:rFonts w:hint="eastAsia"/>
          <w:b/>
          <w:bCs/>
          <w:lang w:val="zh-TW" w:eastAsia="zh-TW"/>
        </w:rPr>
        <w:tab/>
      </w:r>
    </w:p>
    <w:p w14:paraId="75266767">
      <w:pPr>
        <w:spacing w:line="560" w:lineRule="exact"/>
        <w:ind w:firstLine="560" w:firstLineChars="200"/>
        <w:rPr>
          <w:lang w:val="zh-TW" w:eastAsia="zh-TW"/>
        </w:rPr>
      </w:pPr>
      <w:r>
        <w:rPr>
          <w:rFonts w:hint="eastAsia"/>
          <w:lang w:val="zh-TW" w:eastAsia="zh-TW"/>
        </w:rPr>
        <w:t>评价组安排专业调查人员，组织安排问卷调查工作。在此过程中，将维持良好的问卷作答环境，保证调研的科学性和严谨性。</w:t>
      </w:r>
    </w:p>
    <w:p w14:paraId="4A1267CF">
      <w:pPr>
        <w:spacing w:line="560" w:lineRule="exact"/>
        <w:ind w:firstLine="562" w:firstLineChars="200"/>
        <w:rPr>
          <w:b/>
          <w:bCs/>
          <w:lang w:val="zh-TW"/>
        </w:rPr>
      </w:pPr>
      <w:r>
        <w:rPr>
          <w:rFonts w:hint="eastAsia"/>
          <w:b/>
          <w:bCs/>
          <w:lang w:val="zh-TW" w:eastAsia="zh-TW"/>
        </w:rPr>
        <w:t>（</w:t>
      </w:r>
      <w:r>
        <w:rPr>
          <w:rFonts w:hint="eastAsia"/>
          <w:b/>
          <w:bCs/>
        </w:rPr>
        <w:t>四</w:t>
      </w:r>
      <w:r>
        <w:rPr>
          <w:rFonts w:hint="eastAsia"/>
          <w:b/>
          <w:bCs/>
          <w:lang w:val="zh-TW" w:eastAsia="zh-TW"/>
        </w:rPr>
        <w:t>）调研安排</w:t>
      </w:r>
    </w:p>
    <w:p w14:paraId="290E5842">
      <w:pPr>
        <w:spacing w:line="560" w:lineRule="exact"/>
        <w:ind w:firstLine="560" w:firstLineChars="200"/>
        <w:rPr>
          <w:b/>
          <w:bCs/>
          <w:highlight w:val="yellow"/>
        </w:rPr>
      </w:pPr>
      <w:r>
        <w:rPr>
          <w:rFonts w:hint="eastAsia"/>
          <w:lang w:val="zh-TW" w:eastAsia="zh-TW"/>
        </w:rPr>
        <w:t>根据项目进度安排，评价组于</w:t>
      </w:r>
      <w:r>
        <w:rPr>
          <w:rFonts w:hint="eastAsia"/>
        </w:rPr>
        <w:t>2024</w:t>
      </w:r>
      <w:r>
        <w:rPr>
          <w:rFonts w:hint="eastAsia"/>
          <w:lang w:val="zh-TW" w:eastAsia="zh-TW"/>
        </w:rPr>
        <w:t>年</w:t>
      </w:r>
      <w:r>
        <w:rPr>
          <w:rFonts w:hint="eastAsia"/>
        </w:rPr>
        <w:t>10</w:t>
      </w:r>
      <w:r>
        <w:rPr>
          <w:rFonts w:hint="eastAsia"/>
          <w:lang w:val="zh-TW" w:eastAsia="zh-TW"/>
        </w:rPr>
        <w:t>月</w:t>
      </w:r>
      <w:r>
        <w:rPr>
          <w:rFonts w:hint="eastAsia"/>
        </w:rPr>
        <w:t>22</w:t>
      </w:r>
      <w:r>
        <w:rPr>
          <w:rFonts w:hint="eastAsia"/>
          <w:lang w:val="zh-TW"/>
        </w:rPr>
        <w:t>日－</w:t>
      </w:r>
      <w:r>
        <w:rPr>
          <w:rFonts w:hint="eastAsia"/>
        </w:rPr>
        <w:t>10</w:t>
      </w:r>
      <w:r>
        <w:rPr>
          <w:rFonts w:hint="eastAsia"/>
          <w:lang w:val="zh-TW"/>
        </w:rPr>
        <w:t>月</w:t>
      </w:r>
      <w:r>
        <w:rPr>
          <w:rFonts w:hint="eastAsia"/>
        </w:rPr>
        <w:t>24</w:t>
      </w:r>
      <w:r>
        <w:rPr>
          <w:rFonts w:hint="eastAsia"/>
          <w:lang w:val="zh-TW"/>
        </w:rPr>
        <w:t>日</w:t>
      </w:r>
      <w:r>
        <w:rPr>
          <w:rFonts w:hint="eastAsia"/>
          <w:lang w:val="zh-TW" w:eastAsia="zh-TW"/>
        </w:rPr>
        <w:t>对调查对象开展问卷调查并回收、分析。</w:t>
      </w:r>
    </w:p>
    <w:p w14:paraId="4D80464A">
      <w:pPr>
        <w:spacing w:line="560" w:lineRule="exact"/>
        <w:ind w:firstLine="562" w:firstLineChars="200"/>
        <w:rPr>
          <w:b/>
          <w:bCs/>
          <w:lang w:val="zh-TW" w:eastAsia="zh-TW"/>
        </w:rPr>
      </w:pPr>
      <w:r>
        <w:rPr>
          <w:rFonts w:hint="eastAsia"/>
          <w:b/>
          <w:bCs/>
        </w:rPr>
        <w:t>四</w:t>
      </w:r>
      <w:r>
        <w:rPr>
          <w:rFonts w:hint="eastAsia"/>
          <w:b/>
          <w:bCs/>
          <w:lang w:val="zh-TW" w:eastAsia="zh-TW"/>
        </w:rPr>
        <w:t>、调查分析</w:t>
      </w:r>
    </w:p>
    <w:p w14:paraId="1887700E">
      <w:pPr>
        <w:spacing w:line="560" w:lineRule="exact"/>
        <w:ind w:firstLine="560" w:firstLineChars="200"/>
      </w:pPr>
      <w:r>
        <w:rPr>
          <w:rFonts w:hint="eastAsia"/>
        </w:rPr>
        <w:t>根据基本信息分析，本次调查的内容：</w:t>
      </w:r>
    </w:p>
    <w:p w14:paraId="7614A49F">
      <w:pPr>
        <w:spacing w:line="560" w:lineRule="exact"/>
        <w:ind w:firstLine="560" w:firstLineChars="200"/>
      </w:pPr>
      <w:r>
        <w:rPr>
          <w:rFonts w:hint="eastAsia"/>
        </w:rPr>
        <w:t>1.被调查对象的工作年限：</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09"/>
        <w:gridCol w:w="1050"/>
        <w:gridCol w:w="3261"/>
      </w:tblGrid>
      <w:tr w14:paraId="5001BF6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5F5F5"/>
            <w:vAlign w:val="center"/>
          </w:tcPr>
          <w:p w14:paraId="66E0F088">
            <w:pPr>
              <w:jc w:val="left"/>
              <w:rPr>
                <w:sz w:val="21"/>
                <w:szCs w:val="21"/>
              </w:rPr>
            </w:pPr>
            <w:r>
              <w:rPr>
                <w:sz w:val="21"/>
                <w:szCs w:val="21"/>
              </w:rPr>
              <w:t>选项</w:t>
            </w:r>
          </w:p>
        </w:tc>
        <w:tc>
          <w:tcPr>
            <w:tcW w:w="1050" w:type="dxa"/>
            <w:shd w:val="clear" w:color="auto" w:fill="F5F5F5"/>
            <w:vAlign w:val="center"/>
          </w:tcPr>
          <w:p w14:paraId="522B4E79">
            <w:pPr>
              <w:jc w:val="left"/>
              <w:rPr>
                <w:sz w:val="21"/>
                <w:szCs w:val="21"/>
              </w:rPr>
            </w:pPr>
            <w:r>
              <w:rPr>
                <w:sz w:val="21"/>
                <w:szCs w:val="21"/>
              </w:rPr>
              <w:t>小计</w:t>
            </w:r>
          </w:p>
        </w:tc>
        <w:tc>
          <w:tcPr>
            <w:tcW w:w="3261" w:type="dxa"/>
            <w:shd w:val="clear" w:color="auto" w:fill="F5F5F5"/>
            <w:vAlign w:val="center"/>
          </w:tcPr>
          <w:p w14:paraId="75A3EB6F">
            <w:pPr>
              <w:jc w:val="left"/>
              <w:rPr>
                <w:sz w:val="21"/>
                <w:szCs w:val="21"/>
              </w:rPr>
            </w:pPr>
            <w:r>
              <w:rPr>
                <w:sz w:val="21"/>
                <w:szCs w:val="21"/>
              </w:rPr>
              <w:t>比例</w:t>
            </w:r>
          </w:p>
        </w:tc>
      </w:tr>
      <w:tr w14:paraId="555C10B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FFFFF"/>
            <w:vAlign w:val="center"/>
          </w:tcPr>
          <w:p w14:paraId="1807997A">
            <w:pPr>
              <w:jc w:val="left"/>
              <w:rPr>
                <w:sz w:val="21"/>
                <w:szCs w:val="21"/>
              </w:rPr>
            </w:pPr>
            <w:r>
              <w:rPr>
                <w:sz w:val="21"/>
                <w:szCs w:val="21"/>
              </w:rPr>
              <w:t>1年以内</w:t>
            </w:r>
          </w:p>
        </w:tc>
        <w:tc>
          <w:tcPr>
            <w:tcW w:w="1050" w:type="dxa"/>
            <w:shd w:val="clear" w:color="auto" w:fill="FFFFFF"/>
            <w:vAlign w:val="center"/>
          </w:tcPr>
          <w:p w14:paraId="2DE36617">
            <w:pPr>
              <w:jc w:val="left"/>
              <w:rPr>
                <w:sz w:val="21"/>
                <w:szCs w:val="21"/>
              </w:rPr>
            </w:pPr>
            <w:r>
              <w:rPr>
                <w:sz w:val="21"/>
                <w:szCs w:val="21"/>
              </w:rPr>
              <w:t>0</w:t>
            </w:r>
          </w:p>
        </w:tc>
        <w:tc>
          <w:tcPr>
            <w:tcW w:w="3261" w:type="dxa"/>
            <w:shd w:val="clear" w:color="auto" w:fill="FFFFFF"/>
            <w:vAlign w:val="center"/>
          </w:tcPr>
          <w:p w14:paraId="3723A8A9">
            <w:pPr>
              <w:jc w:val="left"/>
              <w:rPr>
                <w:sz w:val="21"/>
                <w:szCs w:val="21"/>
              </w:rPr>
            </w:pPr>
            <w:r>
              <w:rPr>
                <w:sz w:val="21"/>
                <w:szCs w:val="21"/>
              </w:rPr>
              <w:drawing>
                <wp:inline distT="0" distB="0" distL="114300" distR="114300">
                  <wp:extent cx="1352550" cy="114300"/>
                  <wp:effectExtent l="0" t="0" r="762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7"/>
                          <a:stretch>
                            <a:fillRect/>
                          </a:stretch>
                        </pic:blipFill>
                        <pic:spPr>
                          <a:xfrm>
                            <a:off x="0" y="0"/>
                            <a:ext cx="1352739" cy="114316"/>
                          </a:xfrm>
                          <a:prstGeom prst="rect">
                            <a:avLst/>
                          </a:prstGeom>
                        </pic:spPr>
                      </pic:pic>
                    </a:graphicData>
                  </a:graphic>
                </wp:inline>
              </w:drawing>
            </w:r>
            <w:r>
              <w:rPr>
                <w:sz w:val="21"/>
                <w:szCs w:val="21"/>
              </w:rPr>
              <w:t>0%</w:t>
            </w:r>
          </w:p>
        </w:tc>
      </w:tr>
      <w:tr w14:paraId="5974F88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AFAFA"/>
            <w:vAlign w:val="center"/>
          </w:tcPr>
          <w:p w14:paraId="1C15DED8">
            <w:pPr>
              <w:jc w:val="left"/>
              <w:rPr>
                <w:sz w:val="21"/>
                <w:szCs w:val="21"/>
              </w:rPr>
            </w:pPr>
            <w:r>
              <w:rPr>
                <w:sz w:val="21"/>
                <w:szCs w:val="21"/>
              </w:rPr>
              <w:t>1-3年</w:t>
            </w:r>
          </w:p>
        </w:tc>
        <w:tc>
          <w:tcPr>
            <w:tcW w:w="1050" w:type="dxa"/>
            <w:shd w:val="clear" w:color="auto" w:fill="FAFAFA"/>
            <w:vAlign w:val="center"/>
          </w:tcPr>
          <w:p w14:paraId="12548CE5">
            <w:pPr>
              <w:jc w:val="left"/>
              <w:rPr>
                <w:sz w:val="21"/>
                <w:szCs w:val="21"/>
              </w:rPr>
            </w:pPr>
            <w:r>
              <w:rPr>
                <w:sz w:val="21"/>
                <w:szCs w:val="21"/>
              </w:rPr>
              <w:t>4</w:t>
            </w:r>
          </w:p>
        </w:tc>
        <w:tc>
          <w:tcPr>
            <w:tcW w:w="3261" w:type="dxa"/>
            <w:shd w:val="clear" w:color="auto" w:fill="FAFAFA"/>
            <w:vAlign w:val="center"/>
          </w:tcPr>
          <w:p w14:paraId="2EAC0C45">
            <w:pPr>
              <w:jc w:val="left"/>
              <w:rPr>
                <w:sz w:val="21"/>
                <w:szCs w:val="21"/>
              </w:rPr>
            </w:pPr>
            <w:r>
              <w:rPr>
                <w:sz w:val="21"/>
                <w:szCs w:val="21"/>
              </w:rPr>
              <w:drawing>
                <wp:inline distT="0" distB="0" distL="114300" distR="114300">
                  <wp:extent cx="238125" cy="114300"/>
                  <wp:effectExtent l="0" t="0" r="1016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8"/>
                          <a:stretch>
                            <a:fillRect/>
                          </a:stretch>
                        </pic:blipFill>
                        <pic:spPr>
                          <a:xfrm>
                            <a:off x="0" y="0"/>
                            <a:ext cx="238158" cy="114316"/>
                          </a:xfrm>
                          <a:prstGeom prst="rect">
                            <a:avLst/>
                          </a:prstGeom>
                        </pic:spPr>
                      </pic:pic>
                    </a:graphicData>
                  </a:graphic>
                </wp:inline>
              </w:drawing>
            </w:r>
            <w:r>
              <w:rPr>
                <w:sz w:val="21"/>
                <w:szCs w:val="21"/>
              </w:rPr>
              <w:drawing>
                <wp:inline distT="0" distB="0" distL="114300" distR="114300">
                  <wp:extent cx="1114425" cy="114300"/>
                  <wp:effectExtent l="0" t="0" r="825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9"/>
                          <a:stretch>
                            <a:fillRect/>
                          </a:stretch>
                        </pic:blipFill>
                        <pic:spPr>
                          <a:xfrm>
                            <a:off x="0" y="0"/>
                            <a:ext cx="1114581" cy="114316"/>
                          </a:xfrm>
                          <a:prstGeom prst="rect">
                            <a:avLst/>
                          </a:prstGeom>
                        </pic:spPr>
                      </pic:pic>
                    </a:graphicData>
                  </a:graphic>
                </wp:inline>
              </w:drawing>
            </w:r>
            <w:r>
              <w:rPr>
                <w:sz w:val="21"/>
                <w:szCs w:val="21"/>
              </w:rPr>
              <w:t>18.18%</w:t>
            </w:r>
          </w:p>
        </w:tc>
      </w:tr>
      <w:tr w14:paraId="796D8E7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FFFFF"/>
            <w:vAlign w:val="center"/>
          </w:tcPr>
          <w:p w14:paraId="6C593436">
            <w:pPr>
              <w:jc w:val="left"/>
              <w:rPr>
                <w:sz w:val="21"/>
                <w:szCs w:val="21"/>
              </w:rPr>
            </w:pPr>
            <w:r>
              <w:rPr>
                <w:sz w:val="21"/>
                <w:szCs w:val="21"/>
              </w:rPr>
              <w:t>3-5年</w:t>
            </w:r>
          </w:p>
        </w:tc>
        <w:tc>
          <w:tcPr>
            <w:tcW w:w="1050" w:type="dxa"/>
            <w:shd w:val="clear" w:color="auto" w:fill="FFFFFF"/>
            <w:vAlign w:val="center"/>
          </w:tcPr>
          <w:p w14:paraId="09295721">
            <w:pPr>
              <w:jc w:val="left"/>
              <w:rPr>
                <w:sz w:val="21"/>
                <w:szCs w:val="21"/>
              </w:rPr>
            </w:pPr>
            <w:r>
              <w:rPr>
                <w:sz w:val="21"/>
                <w:szCs w:val="21"/>
              </w:rPr>
              <w:t>2</w:t>
            </w:r>
          </w:p>
        </w:tc>
        <w:tc>
          <w:tcPr>
            <w:tcW w:w="3261" w:type="dxa"/>
            <w:shd w:val="clear" w:color="auto" w:fill="FFFFFF"/>
            <w:vAlign w:val="center"/>
          </w:tcPr>
          <w:p w14:paraId="37599C48">
            <w:pPr>
              <w:jc w:val="left"/>
              <w:rPr>
                <w:sz w:val="21"/>
                <w:szCs w:val="21"/>
              </w:rPr>
            </w:pPr>
            <w:r>
              <w:rPr>
                <w:sz w:val="21"/>
                <w:szCs w:val="21"/>
              </w:rPr>
              <w:drawing>
                <wp:inline distT="0" distB="0" distL="114300" distR="114300">
                  <wp:extent cx="114300" cy="114300"/>
                  <wp:effectExtent l="0" t="0" r="444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0"/>
                          <a:stretch>
                            <a:fillRect/>
                          </a:stretch>
                        </pic:blipFill>
                        <pic:spPr>
                          <a:xfrm>
                            <a:off x="0" y="0"/>
                            <a:ext cx="114316" cy="114316"/>
                          </a:xfrm>
                          <a:prstGeom prst="rect">
                            <a:avLst/>
                          </a:prstGeom>
                        </pic:spPr>
                      </pic:pic>
                    </a:graphicData>
                  </a:graphic>
                </wp:inline>
              </w:drawing>
            </w:r>
            <w:r>
              <w:rPr>
                <w:sz w:val="21"/>
                <w:szCs w:val="21"/>
              </w:rPr>
              <w:drawing>
                <wp:inline distT="0" distB="0" distL="114300" distR="114300">
                  <wp:extent cx="1238250" cy="114300"/>
                  <wp:effectExtent l="0" t="0" r="317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1"/>
                          <a:stretch>
                            <a:fillRect/>
                          </a:stretch>
                        </pic:blipFill>
                        <pic:spPr>
                          <a:xfrm>
                            <a:off x="0" y="0"/>
                            <a:ext cx="1238423" cy="114316"/>
                          </a:xfrm>
                          <a:prstGeom prst="rect">
                            <a:avLst/>
                          </a:prstGeom>
                        </pic:spPr>
                      </pic:pic>
                    </a:graphicData>
                  </a:graphic>
                </wp:inline>
              </w:drawing>
            </w:r>
            <w:r>
              <w:rPr>
                <w:sz w:val="21"/>
                <w:szCs w:val="21"/>
              </w:rPr>
              <w:t>9.09%</w:t>
            </w:r>
          </w:p>
        </w:tc>
      </w:tr>
      <w:tr w14:paraId="69FDC1E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AFAFA"/>
            <w:vAlign w:val="center"/>
          </w:tcPr>
          <w:p w14:paraId="5FF0941A">
            <w:pPr>
              <w:jc w:val="left"/>
              <w:rPr>
                <w:sz w:val="21"/>
                <w:szCs w:val="21"/>
              </w:rPr>
            </w:pPr>
            <w:r>
              <w:rPr>
                <w:sz w:val="21"/>
                <w:szCs w:val="21"/>
              </w:rPr>
              <w:t>5年以上</w:t>
            </w:r>
          </w:p>
        </w:tc>
        <w:tc>
          <w:tcPr>
            <w:tcW w:w="1050" w:type="dxa"/>
            <w:shd w:val="clear" w:color="auto" w:fill="FAFAFA"/>
            <w:vAlign w:val="center"/>
          </w:tcPr>
          <w:p w14:paraId="39212D52">
            <w:pPr>
              <w:jc w:val="left"/>
              <w:rPr>
                <w:sz w:val="21"/>
                <w:szCs w:val="21"/>
              </w:rPr>
            </w:pPr>
            <w:r>
              <w:rPr>
                <w:sz w:val="21"/>
                <w:szCs w:val="21"/>
              </w:rPr>
              <w:t>16</w:t>
            </w:r>
          </w:p>
        </w:tc>
        <w:tc>
          <w:tcPr>
            <w:tcW w:w="3261" w:type="dxa"/>
            <w:shd w:val="clear" w:color="auto" w:fill="FAFAFA"/>
            <w:vAlign w:val="center"/>
          </w:tcPr>
          <w:p w14:paraId="4ACC87C6">
            <w:pPr>
              <w:jc w:val="left"/>
              <w:rPr>
                <w:sz w:val="21"/>
                <w:szCs w:val="21"/>
              </w:rPr>
            </w:pPr>
            <w:r>
              <w:rPr>
                <w:sz w:val="21"/>
                <w:szCs w:val="21"/>
              </w:rPr>
              <w:drawing>
                <wp:inline distT="0" distB="0" distL="114300" distR="114300">
                  <wp:extent cx="981075" cy="114300"/>
                  <wp:effectExtent l="0" t="0" r="127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2"/>
                          <a:stretch>
                            <a:fillRect/>
                          </a:stretch>
                        </pic:blipFill>
                        <pic:spPr>
                          <a:xfrm>
                            <a:off x="0" y="0"/>
                            <a:ext cx="981212" cy="114316"/>
                          </a:xfrm>
                          <a:prstGeom prst="rect">
                            <a:avLst/>
                          </a:prstGeom>
                        </pic:spPr>
                      </pic:pic>
                    </a:graphicData>
                  </a:graphic>
                </wp:inline>
              </w:drawing>
            </w:r>
            <w:r>
              <w:rPr>
                <w:sz w:val="21"/>
                <w:szCs w:val="21"/>
              </w:rPr>
              <w:drawing>
                <wp:inline distT="0" distB="0" distL="114300" distR="114300">
                  <wp:extent cx="371475" cy="114300"/>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3"/>
                          <a:stretch>
                            <a:fillRect/>
                          </a:stretch>
                        </pic:blipFill>
                        <pic:spPr>
                          <a:xfrm>
                            <a:off x="0" y="0"/>
                            <a:ext cx="371527" cy="114316"/>
                          </a:xfrm>
                          <a:prstGeom prst="rect">
                            <a:avLst/>
                          </a:prstGeom>
                        </pic:spPr>
                      </pic:pic>
                    </a:graphicData>
                  </a:graphic>
                </wp:inline>
              </w:drawing>
            </w:r>
            <w:r>
              <w:rPr>
                <w:sz w:val="21"/>
                <w:szCs w:val="21"/>
              </w:rPr>
              <w:t>72.73%</w:t>
            </w:r>
          </w:p>
        </w:tc>
      </w:tr>
      <w:tr w14:paraId="71F3BE1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09" w:type="dxa"/>
            <w:shd w:val="clear" w:color="auto" w:fill="F5F5F5"/>
            <w:vAlign w:val="center"/>
          </w:tcPr>
          <w:p w14:paraId="61F20D94">
            <w:pPr>
              <w:jc w:val="left"/>
              <w:rPr>
                <w:sz w:val="21"/>
                <w:szCs w:val="21"/>
              </w:rPr>
            </w:pPr>
            <w:r>
              <w:rPr>
                <w:sz w:val="21"/>
                <w:szCs w:val="21"/>
              </w:rPr>
              <w:t>本题有效填写人次</w:t>
            </w:r>
          </w:p>
        </w:tc>
        <w:tc>
          <w:tcPr>
            <w:tcW w:w="1050" w:type="dxa"/>
            <w:shd w:val="clear" w:color="auto" w:fill="F5F5F5"/>
            <w:vAlign w:val="center"/>
          </w:tcPr>
          <w:p w14:paraId="229322E1">
            <w:pPr>
              <w:jc w:val="left"/>
              <w:rPr>
                <w:sz w:val="21"/>
                <w:szCs w:val="21"/>
              </w:rPr>
            </w:pPr>
            <w:r>
              <w:rPr>
                <w:sz w:val="21"/>
                <w:szCs w:val="21"/>
              </w:rPr>
              <w:t>22</w:t>
            </w:r>
          </w:p>
        </w:tc>
        <w:tc>
          <w:tcPr>
            <w:tcW w:w="3261" w:type="dxa"/>
            <w:shd w:val="clear" w:color="auto" w:fill="F5F5F5"/>
            <w:vAlign w:val="center"/>
          </w:tcPr>
          <w:p w14:paraId="6A72E7E5">
            <w:pPr>
              <w:jc w:val="left"/>
              <w:rPr>
                <w:sz w:val="21"/>
                <w:szCs w:val="21"/>
              </w:rPr>
            </w:pPr>
          </w:p>
        </w:tc>
      </w:tr>
    </w:tbl>
    <w:p w14:paraId="710C8AA3">
      <w:pPr>
        <w:spacing w:line="560" w:lineRule="exact"/>
        <w:ind w:firstLine="560" w:firstLineChars="200"/>
      </w:pPr>
      <w:r>
        <w:rPr>
          <w:rFonts w:hint="eastAsia"/>
        </w:rPr>
        <w:t>2.对所在单位的满意度程度：</w:t>
      </w:r>
    </w:p>
    <w:tbl>
      <w:tblPr>
        <w:tblStyle w:val="24"/>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2822"/>
        <w:gridCol w:w="1456"/>
        <w:gridCol w:w="1311"/>
        <w:gridCol w:w="1122"/>
        <w:gridCol w:w="913"/>
        <w:gridCol w:w="1096"/>
      </w:tblGrid>
      <w:tr w14:paraId="37955F2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5F5F5"/>
            <w:vAlign w:val="center"/>
          </w:tcPr>
          <w:p w14:paraId="095BAE31">
            <w:pPr>
              <w:jc w:val="center"/>
              <w:rPr>
                <w:sz w:val="21"/>
                <w:szCs w:val="21"/>
              </w:rPr>
            </w:pPr>
            <w:r>
              <w:rPr>
                <w:rFonts w:hint="eastAsia"/>
                <w:sz w:val="21"/>
                <w:szCs w:val="21"/>
              </w:rPr>
              <w:t>题目\选项</w:t>
            </w:r>
          </w:p>
        </w:tc>
        <w:tc>
          <w:tcPr>
            <w:tcW w:w="1456" w:type="dxa"/>
            <w:shd w:val="clear" w:color="auto" w:fill="F5F5F5"/>
            <w:vAlign w:val="center"/>
          </w:tcPr>
          <w:p w14:paraId="36F17033">
            <w:pPr>
              <w:jc w:val="center"/>
              <w:rPr>
                <w:sz w:val="21"/>
                <w:szCs w:val="21"/>
              </w:rPr>
            </w:pPr>
            <w:r>
              <w:rPr>
                <w:rFonts w:hint="eastAsia"/>
                <w:sz w:val="21"/>
                <w:szCs w:val="21"/>
              </w:rPr>
              <w:t>5</w:t>
            </w:r>
          </w:p>
        </w:tc>
        <w:tc>
          <w:tcPr>
            <w:tcW w:w="1311" w:type="dxa"/>
            <w:shd w:val="clear" w:color="auto" w:fill="F5F5F5"/>
            <w:vAlign w:val="center"/>
          </w:tcPr>
          <w:p w14:paraId="69E83027">
            <w:pPr>
              <w:jc w:val="center"/>
              <w:rPr>
                <w:sz w:val="21"/>
                <w:szCs w:val="21"/>
              </w:rPr>
            </w:pPr>
            <w:r>
              <w:rPr>
                <w:rFonts w:hint="eastAsia"/>
                <w:sz w:val="21"/>
                <w:szCs w:val="21"/>
              </w:rPr>
              <w:t>4</w:t>
            </w:r>
          </w:p>
        </w:tc>
        <w:tc>
          <w:tcPr>
            <w:tcW w:w="1122" w:type="dxa"/>
            <w:shd w:val="clear" w:color="auto" w:fill="F5F5F5"/>
            <w:vAlign w:val="center"/>
          </w:tcPr>
          <w:p w14:paraId="0F5045E0">
            <w:pPr>
              <w:jc w:val="center"/>
              <w:rPr>
                <w:sz w:val="21"/>
                <w:szCs w:val="21"/>
              </w:rPr>
            </w:pPr>
            <w:r>
              <w:rPr>
                <w:rFonts w:hint="eastAsia"/>
                <w:sz w:val="21"/>
                <w:szCs w:val="21"/>
              </w:rPr>
              <w:t>3</w:t>
            </w:r>
          </w:p>
        </w:tc>
        <w:tc>
          <w:tcPr>
            <w:tcW w:w="913" w:type="dxa"/>
            <w:shd w:val="clear" w:color="auto" w:fill="F5F5F5"/>
            <w:vAlign w:val="center"/>
          </w:tcPr>
          <w:p w14:paraId="62629811">
            <w:pPr>
              <w:jc w:val="center"/>
              <w:rPr>
                <w:sz w:val="21"/>
                <w:szCs w:val="21"/>
              </w:rPr>
            </w:pPr>
            <w:r>
              <w:rPr>
                <w:rFonts w:hint="eastAsia"/>
                <w:sz w:val="21"/>
                <w:szCs w:val="21"/>
              </w:rPr>
              <w:t>2</w:t>
            </w:r>
          </w:p>
        </w:tc>
        <w:tc>
          <w:tcPr>
            <w:tcW w:w="1096" w:type="dxa"/>
            <w:shd w:val="clear" w:color="auto" w:fill="F5F5F5"/>
            <w:vAlign w:val="center"/>
          </w:tcPr>
          <w:p w14:paraId="7CE9CDC9">
            <w:pPr>
              <w:jc w:val="center"/>
              <w:rPr>
                <w:sz w:val="21"/>
                <w:szCs w:val="21"/>
              </w:rPr>
            </w:pPr>
            <w:r>
              <w:rPr>
                <w:rFonts w:hint="eastAsia"/>
                <w:sz w:val="21"/>
                <w:szCs w:val="21"/>
              </w:rPr>
              <w:t>1</w:t>
            </w:r>
          </w:p>
        </w:tc>
      </w:tr>
      <w:tr w14:paraId="4B8B4D6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FFFFF"/>
            <w:vAlign w:val="center"/>
          </w:tcPr>
          <w:p w14:paraId="5048B462">
            <w:pPr>
              <w:jc w:val="center"/>
              <w:rPr>
                <w:sz w:val="21"/>
                <w:szCs w:val="21"/>
              </w:rPr>
            </w:pPr>
            <w:r>
              <w:rPr>
                <w:rFonts w:hint="eastAsia"/>
                <w:sz w:val="21"/>
                <w:szCs w:val="21"/>
              </w:rPr>
              <w:t>工作环境</w:t>
            </w:r>
          </w:p>
        </w:tc>
        <w:tc>
          <w:tcPr>
            <w:tcW w:w="1456" w:type="dxa"/>
            <w:shd w:val="clear" w:color="auto" w:fill="FFFFFF"/>
            <w:vAlign w:val="center"/>
          </w:tcPr>
          <w:p w14:paraId="041C54E9">
            <w:pPr>
              <w:spacing w:line="240" w:lineRule="exact"/>
              <w:jc w:val="center"/>
              <w:rPr>
                <w:sz w:val="21"/>
                <w:szCs w:val="21"/>
              </w:rPr>
            </w:pPr>
            <w:r>
              <w:rPr>
                <w:rFonts w:hint="eastAsia"/>
                <w:sz w:val="21"/>
                <w:szCs w:val="21"/>
              </w:rPr>
              <w:t>18</w:t>
            </w:r>
          </w:p>
          <w:p w14:paraId="7D7DDAE2">
            <w:pPr>
              <w:spacing w:line="240" w:lineRule="exact"/>
              <w:jc w:val="center"/>
              <w:rPr>
                <w:sz w:val="21"/>
                <w:szCs w:val="21"/>
              </w:rPr>
            </w:pPr>
            <w:r>
              <w:rPr>
                <w:rFonts w:hint="eastAsia"/>
                <w:sz w:val="21"/>
                <w:szCs w:val="21"/>
              </w:rPr>
              <w:t>(81.82%)</w:t>
            </w:r>
          </w:p>
        </w:tc>
        <w:tc>
          <w:tcPr>
            <w:tcW w:w="1311" w:type="dxa"/>
            <w:shd w:val="clear" w:color="auto" w:fill="FFFFFF"/>
            <w:vAlign w:val="center"/>
          </w:tcPr>
          <w:p w14:paraId="7A916089">
            <w:pPr>
              <w:spacing w:line="240" w:lineRule="exact"/>
              <w:jc w:val="center"/>
              <w:rPr>
                <w:sz w:val="21"/>
                <w:szCs w:val="21"/>
              </w:rPr>
            </w:pPr>
            <w:r>
              <w:rPr>
                <w:rFonts w:hint="eastAsia"/>
                <w:sz w:val="21"/>
                <w:szCs w:val="21"/>
              </w:rPr>
              <w:t>1</w:t>
            </w:r>
          </w:p>
          <w:p w14:paraId="4A9B9513">
            <w:pPr>
              <w:spacing w:line="240" w:lineRule="exact"/>
              <w:jc w:val="center"/>
              <w:rPr>
                <w:sz w:val="21"/>
                <w:szCs w:val="21"/>
              </w:rPr>
            </w:pPr>
            <w:r>
              <w:rPr>
                <w:rFonts w:hint="eastAsia"/>
                <w:sz w:val="21"/>
                <w:szCs w:val="21"/>
              </w:rPr>
              <w:t>(4.55%)</w:t>
            </w:r>
          </w:p>
        </w:tc>
        <w:tc>
          <w:tcPr>
            <w:tcW w:w="1122" w:type="dxa"/>
            <w:shd w:val="clear" w:color="auto" w:fill="FFFFFF"/>
            <w:vAlign w:val="center"/>
          </w:tcPr>
          <w:p w14:paraId="57D7BA34">
            <w:pPr>
              <w:spacing w:line="240" w:lineRule="exact"/>
              <w:jc w:val="center"/>
              <w:rPr>
                <w:sz w:val="21"/>
                <w:szCs w:val="21"/>
              </w:rPr>
            </w:pPr>
            <w:r>
              <w:rPr>
                <w:rFonts w:hint="eastAsia"/>
                <w:sz w:val="21"/>
                <w:szCs w:val="21"/>
              </w:rPr>
              <w:t>2</w:t>
            </w:r>
          </w:p>
          <w:p w14:paraId="7C5AF818">
            <w:pPr>
              <w:spacing w:line="240" w:lineRule="exact"/>
              <w:jc w:val="center"/>
              <w:rPr>
                <w:sz w:val="21"/>
                <w:szCs w:val="21"/>
              </w:rPr>
            </w:pPr>
            <w:r>
              <w:rPr>
                <w:rFonts w:hint="eastAsia"/>
                <w:sz w:val="21"/>
                <w:szCs w:val="21"/>
              </w:rPr>
              <w:t>(9.09%)</w:t>
            </w:r>
          </w:p>
        </w:tc>
        <w:tc>
          <w:tcPr>
            <w:tcW w:w="913" w:type="dxa"/>
            <w:shd w:val="clear" w:color="auto" w:fill="FFFFFF"/>
            <w:vAlign w:val="center"/>
          </w:tcPr>
          <w:p w14:paraId="65F8B02F">
            <w:pPr>
              <w:spacing w:line="240" w:lineRule="exact"/>
              <w:jc w:val="center"/>
              <w:rPr>
                <w:sz w:val="21"/>
                <w:szCs w:val="21"/>
              </w:rPr>
            </w:pPr>
            <w:r>
              <w:rPr>
                <w:rFonts w:hint="eastAsia"/>
                <w:sz w:val="21"/>
                <w:szCs w:val="21"/>
              </w:rPr>
              <w:t>0</w:t>
            </w:r>
          </w:p>
          <w:p w14:paraId="480EB74A">
            <w:pPr>
              <w:spacing w:line="240" w:lineRule="exact"/>
              <w:jc w:val="center"/>
              <w:rPr>
                <w:sz w:val="21"/>
                <w:szCs w:val="21"/>
              </w:rPr>
            </w:pPr>
            <w:r>
              <w:rPr>
                <w:rFonts w:hint="eastAsia"/>
                <w:sz w:val="21"/>
                <w:szCs w:val="21"/>
              </w:rPr>
              <w:t>(0%)</w:t>
            </w:r>
          </w:p>
        </w:tc>
        <w:tc>
          <w:tcPr>
            <w:tcW w:w="1096" w:type="dxa"/>
            <w:shd w:val="clear" w:color="auto" w:fill="FFFFFF"/>
            <w:vAlign w:val="center"/>
          </w:tcPr>
          <w:p w14:paraId="03BAD885">
            <w:pPr>
              <w:spacing w:line="240" w:lineRule="exact"/>
              <w:jc w:val="center"/>
              <w:rPr>
                <w:sz w:val="21"/>
                <w:szCs w:val="21"/>
              </w:rPr>
            </w:pPr>
            <w:r>
              <w:rPr>
                <w:rFonts w:hint="eastAsia"/>
                <w:sz w:val="21"/>
                <w:szCs w:val="21"/>
              </w:rPr>
              <w:t>1</w:t>
            </w:r>
          </w:p>
          <w:p w14:paraId="561D9578">
            <w:pPr>
              <w:spacing w:line="240" w:lineRule="exact"/>
              <w:jc w:val="center"/>
              <w:rPr>
                <w:sz w:val="21"/>
                <w:szCs w:val="21"/>
              </w:rPr>
            </w:pPr>
            <w:r>
              <w:rPr>
                <w:rFonts w:hint="eastAsia"/>
                <w:sz w:val="21"/>
                <w:szCs w:val="21"/>
              </w:rPr>
              <w:t>(4.55%)</w:t>
            </w:r>
          </w:p>
        </w:tc>
      </w:tr>
      <w:tr w14:paraId="68C6CC8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AFAFA"/>
            <w:vAlign w:val="center"/>
          </w:tcPr>
          <w:p w14:paraId="125538F6">
            <w:pPr>
              <w:jc w:val="center"/>
              <w:rPr>
                <w:sz w:val="21"/>
                <w:szCs w:val="21"/>
              </w:rPr>
            </w:pPr>
            <w:r>
              <w:rPr>
                <w:rFonts w:hint="eastAsia"/>
                <w:sz w:val="21"/>
                <w:szCs w:val="21"/>
              </w:rPr>
              <w:t>工作氛围</w:t>
            </w:r>
          </w:p>
        </w:tc>
        <w:tc>
          <w:tcPr>
            <w:tcW w:w="1456" w:type="dxa"/>
            <w:shd w:val="clear" w:color="auto" w:fill="FAFAFA"/>
            <w:vAlign w:val="center"/>
          </w:tcPr>
          <w:p w14:paraId="614C813F">
            <w:pPr>
              <w:spacing w:line="240" w:lineRule="exact"/>
              <w:jc w:val="center"/>
              <w:rPr>
                <w:sz w:val="21"/>
                <w:szCs w:val="21"/>
              </w:rPr>
            </w:pPr>
            <w:r>
              <w:rPr>
                <w:rFonts w:hint="eastAsia"/>
                <w:sz w:val="21"/>
                <w:szCs w:val="21"/>
              </w:rPr>
              <w:t>22</w:t>
            </w:r>
          </w:p>
          <w:p w14:paraId="422887CD">
            <w:pPr>
              <w:spacing w:line="240" w:lineRule="exact"/>
              <w:jc w:val="center"/>
              <w:rPr>
                <w:sz w:val="21"/>
                <w:szCs w:val="21"/>
              </w:rPr>
            </w:pPr>
            <w:r>
              <w:rPr>
                <w:rFonts w:hint="eastAsia"/>
                <w:sz w:val="21"/>
                <w:szCs w:val="21"/>
              </w:rPr>
              <w:t>(100%)</w:t>
            </w:r>
          </w:p>
        </w:tc>
        <w:tc>
          <w:tcPr>
            <w:tcW w:w="1311" w:type="dxa"/>
            <w:shd w:val="clear" w:color="auto" w:fill="FAFAFA"/>
            <w:vAlign w:val="center"/>
          </w:tcPr>
          <w:p w14:paraId="62404FAE">
            <w:pPr>
              <w:spacing w:line="240" w:lineRule="exact"/>
              <w:jc w:val="center"/>
              <w:rPr>
                <w:sz w:val="21"/>
                <w:szCs w:val="21"/>
              </w:rPr>
            </w:pPr>
            <w:r>
              <w:rPr>
                <w:rFonts w:hint="eastAsia"/>
                <w:sz w:val="21"/>
                <w:szCs w:val="21"/>
              </w:rPr>
              <w:t>0</w:t>
            </w:r>
          </w:p>
          <w:p w14:paraId="1A9E5516">
            <w:pPr>
              <w:spacing w:line="240" w:lineRule="exact"/>
              <w:jc w:val="center"/>
              <w:rPr>
                <w:sz w:val="21"/>
                <w:szCs w:val="21"/>
              </w:rPr>
            </w:pPr>
            <w:r>
              <w:rPr>
                <w:rFonts w:hint="eastAsia"/>
                <w:sz w:val="21"/>
                <w:szCs w:val="21"/>
              </w:rPr>
              <w:t>(0%)</w:t>
            </w:r>
          </w:p>
        </w:tc>
        <w:tc>
          <w:tcPr>
            <w:tcW w:w="1122" w:type="dxa"/>
            <w:shd w:val="clear" w:color="auto" w:fill="FAFAFA"/>
            <w:vAlign w:val="center"/>
          </w:tcPr>
          <w:p w14:paraId="2C96EC8F">
            <w:pPr>
              <w:spacing w:line="240" w:lineRule="exact"/>
              <w:jc w:val="center"/>
              <w:rPr>
                <w:sz w:val="21"/>
                <w:szCs w:val="21"/>
              </w:rPr>
            </w:pPr>
            <w:r>
              <w:rPr>
                <w:rFonts w:hint="eastAsia"/>
                <w:sz w:val="21"/>
                <w:szCs w:val="21"/>
              </w:rPr>
              <w:t>0</w:t>
            </w:r>
          </w:p>
          <w:p w14:paraId="6B535EAD">
            <w:pPr>
              <w:spacing w:line="240" w:lineRule="exact"/>
              <w:jc w:val="center"/>
              <w:rPr>
                <w:sz w:val="21"/>
                <w:szCs w:val="21"/>
              </w:rPr>
            </w:pPr>
            <w:r>
              <w:rPr>
                <w:rFonts w:hint="eastAsia"/>
                <w:sz w:val="21"/>
                <w:szCs w:val="21"/>
              </w:rPr>
              <w:t>(0%)</w:t>
            </w:r>
          </w:p>
        </w:tc>
        <w:tc>
          <w:tcPr>
            <w:tcW w:w="913" w:type="dxa"/>
            <w:shd w:val="clear" w:color="auto" w:fill="FAFAFA"/>
            <w:vAlign w:val="center"/>
          </w:tcPr>
          <w:p w14:paraId="70B188E3">
            <w:pPr>
              <w:spacing w:line="240" w:lineRule="exact"/>
              <w:jc w:val="center"/>
              <w:rPr>
                <w:sz w:val="21"/>
                <w:szCs w:val="21"/>
              </w:rPr>
            </w:pPr>
            <w:r>
              <w:rPr>
                <w:rFonts w:hint="eastAsia"/>
                <w:sz w:val="21"/>
                <w:szCs w:val="21"/>
              </w:rPr>
              <w:t>0</w:t>
            </w:r>
          </w:p>
          <w:p w14:paraId="4B08E29F">
            <w:pPr>
              <w:spacing w:line="240" w:lineRule="exact"/>
              <w:jc w:val="center"/>
              <w:rPr>
                <w:sz w:val="21"/>
                <w:szCs w:val="21"/>
              </w:rPr>
            </w:pPr>
            <w:r>
              <w:rPr>
                <w:rFonts w:hint="eastAsia"/>
                <w:sz w:val="21"/>
                <w:szCs w:val="21"/>
              </w:rPr>
              <w:t>(0%)</w:t>
            </w:r>
          </w:p>
        </w:tc>
        <w:tc>
          <w:tcPr>
            <w:tcW w:w="1096" w:type="dxa"/>
            <w:shd w:val="clear" w:color="auto" w:fill="FAFAFA"/>
            <w:vAlign w:val="center"/>
          </w:tcPr>
          <w:p w14:paraId="615F1AF3">
            <w:pPr>
              <w:spacing w:line="240" w:lineRule="exact"/>
              <w:jc w:val="center"/>
              <w:rPr>
                <w:sz w:val="21"/>
                <w:szCs w:val="21"/>
              </w:rPr>
            </w:pPr>
            <w:r>
              <w:rPr>
                <w:rFonts w:hint="eastAsia"/>
                <w:sz w:val="21"/>
                <w:szCs w:val="21"/>
              </w:rPr>
              <w:t>0</w:t>
            </w:r>
          </w:p>
          <w:p w14:paraId="58D12D4A">
            <w:pPr>
              <w:spacing w:line="240" w:lineRule="exact"/>
              <w:jc w:val="center"/>
              <w:rPr>
                <w:sz w:val="21"/>
                <w:szCs w:val="21"/>
              </w:rPr>
            </w:pPr>
            <w:r>
              <w:rPr>
                <w:rFonts w:hint="eastAsia"/>
                <w:sz w:val="21"/>
                <w:szCs w:val="21"/>
              </w:rPr>
              <w:t>(0%)</w:t>
            </w:r>
          </w:p>
        </w:tc>
      </w:tr>
      <w:tr w14:paraId="1222C5B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FFFFF"/>
            <w:vAlign w:val="center"/>
          </w:tcPr>
          <w:p w14:paraId="21C803B8">
            <w:pPr>
              <w:jc w:val="center"/>
              <w:rPr>
                <w:sz w:val="21"/>
                <w:szCs w:val="21"/>
              </w:rPr>
            </w:pPr>
            <w:r>
              <w:rPr>
                <w:rFonts w:hint="eastAsia"/>
                <w:sz w:val="21"/>
                <w:szCs w:val="21"/>
              </w:rPr>
              <w:t>日常工作安排</w:t>
            </w:r>
          </w:p>
        </w:tc>
        <w:tc>
          <w:tcPr>
            <w:tcW w:w="1456" w:type="dxa"/>
            <w:shd w:val="clear" w:color="auto" w:fill="FFFFFF"/>
            <w:vAlign w:val="center"/>
          </w:tcPr>
          <w:p w14:paraId="47444A2E">
            <w:pPr>
              <w:spacing w:line="240" w:lineRule="exact"/>
              <w:jc w:val="center"/>
              <w:rPr>
                <w:sz w:val="21"/>
                <w:szCs w:val="21"/>
              </w:rPr>
            </w:pPr>
            <w:r>
              <w:rPr>
                <w:rFonts w:hint="eastAsia"/>
                <w:sz w:val="21"/>
                <w:szCs w:val="21"/>
              </w:rPr>
              <w:t>20</w:t>
            </w:r>
          </w:p>
          <w:p w14:paraId="0F8D945E">
            <w:pPr>
              <w:spacing w:line="240" w:lineRule="exact"/>
              <w:jc w:val="center"/>
              <w:rPr>
                <w:sz w:val="21"/>
                <w:szCs w:val="21"/>
              </w:rPr>
            </w:pPr>
            <w:r>
              <w:rPr>
                <w:rFonts w:hint="eastAsia"/>
                <w:sz w:val="21"/>
                <w:szCs w:val="21"/>
              </w:rPr>
              <w:t>(90.91%)</w:t>
            </w:r>
          </w:p>
        </w:tc>
        <w:tc>
          <w:tcPr>
            <w:tcW w:w="1311" w:type="dxa"/>
            <w:shd w:val="clear" w:color="auto" w:fill="FFFFFF"/>
            <w:vAlign w:val="center"/>
          </w:tcPr>
          <w:p w14:paraId="193DCC5C">
            <w:pPr>
              <w:spacing w:line="240" w:lineRule="exact"/>
              <w:jc w:val="center"/>
              <w:rPr>
                <w:sz w:val="21"/>
                <w:szCs w:val="21"/>
              </w:rPr>
            </w:pPr>
            <w:r>
              <w:rPr>
                <w:rFonts w:hint="eastAsia"/>
                <w:sz w:val="21"/>
                <w:szCs w:val="21"/>
              </w:rPr>
              <w:t>2</w:t>
            </w:r>
          </w:p>
          <w:p w14:paraId="271EF32F">
            <w:pPr>
              <w:spacing w:line="240" w:lineRule="exact"/>
              <w:jc w:val="center"/>
              <w:rPr>
                <w:sz w:val="21"/>
                <w:szCs w:val="21"/>
              </w:rPr>
            </w:pPr>
            <w:r>
              <w:rPr>
                <w:rFonts w:hint="eastAsia"/>
                <w:sz w:val="21"/>
                <w:szCs w:val="21"/>
              </w:rPr>
              <w:t>(9.09%)</w:t>
            </w:r>
          </w:p>
        </w:tc>
        <w:tc>
          <w:tcPr>
            <w:tcW w:w="1122" w:type="dxa"/>
            <w:shd w:val="clear" w:color="auto" w:fill="FFFFFF"/>
            <w:vAlign w:val="center"/>
          </w:tcPr>
          <w:p w14:paraId="53A17E63">
            <w:pPr>
              <w:spacing w:line="240" w:lineRule="exact"/>
              <w:jc w:val="center"/>
              <w:rPr>
                <w:sz w:val="21"/>
                <w:szCs w:val="21"/>
              </w:rPr>
            </w:pPr>
            <w:r>
              <w:rPr>
                <w:rFonts w:hint="eastAsia"/>
                <w:sz w:val="21"/>
                <w:szCs w:val="21"/>
              </w:rPr>
              <w:t>0</w:t>
            </w:r>
          </w:p>
          <w:p w14:paraId="600757C0">
            <w:pPr>
              <w:spacing w:line="240" w:lineRule="exact"/>
              <w:jc w:val="center"/>
              <w:rPr>
                <w:sz w:val="21"/>
                <w:szCs w:val="21"/>
              </w:rPr>
            </w:pPr>
            <w:r>
              <w:rPr>
                <w:rFonts w:hint="eastAsia"/>
                <w:sz w:val="21"/>
                <w:szCs w:val="21"/>
              </w:rPr>
              <w:t>(0%)</w:t>
            </w:r>
          </w:p>
        </w:tc>
        <w:tc>
          <w:tcPr>
            <w:tcW w:w="913" w:type="dxa"/>
            <w:shd w:val="clear" w:color="auto" w:fill="FFFFFF"/>
            <w:vAlign w:val="center"/>
          </w:tcPr>
          <w:p w14:paraId="21AC3580">
            <w:pPr>
              <w:spacing w:line="240" w:lineRule="exact"/>
              <w:jc w:val="center"/>
              <w:rPr>
                <w:sz w:val="21"/>
                <w:szCs w:val="21"/>
              </w:rPr>
            </w:pPr>
            <w:r>
              <w:rPr>
                <w:rFonts w:hint="eastAsia"/>
                <w:sz w:val="21"/>
                <w:szCs w:val="21"/>
              </w:rPr>
              <w:t>0</w:t>
            </w:r>
          </w:p>
          <w:p w14:paraId="7EB32080">
            <w:pPr>
              <w:spacing w:line="240" w:lineRule="exact"/>
              <w:jc w:val="center"/>
              <w:rPr>
                <w:sz w:val="21"/>
                <w:szCs w:val="21"/>
              </w:rPr>
            </w:pPr>
            <w:r>
              <w:rPr>
                <w:rFonts w:hint="eastAsia"/>
                <w:sz w:val="21"/>
                <w:szCs w:val="21"/>
              </w:rPr>
              <w:t>(0%)</w:t>
            </w:r>
          </w:p>
        </w:tc>
        <w:tc>
          <w:tcPr>
            <w:tcW w:w="1096" w:type="dxa"/>
            <w:shd w:val="clear" w:color="auto" w:fill="FFFFFF"/>
            <w:vAlign w:val="center"/>
          </w:tcPr>
          <w:p w14:paraId="2D62AD8F">
            <w:pPr>
              <w:spacing w:line="240" w:lineRule="exact"/>
              <w:jc w:val="center"/>
              <w:rPr>
                <w:sz w:val="21"/>
                <w:szCs w:val="21"/>
              </w:rPr>
            </w:pPr>
            <w:r>
              <w:rPr>
                <w:rFonts w:hint="eastAsia"/>
                <w:sz w:val="21"/>
                <w:szCs w:val="21"/>
              </w:rPr>
              <w:t>0</w:t>
            </w:r>
          </w:p>
          <w:p w14:paraId="2DB3BB87">
            <w:pPr>
              <w:spacing w:line="240" w:lineRule="exact"/>
              <w:jc w:val="center"/>
              <w:rPr>
                <w:sz w:val="21"/>
                <w:szCs w:val="21"/>
              </w:rPr>
            </w:pPr>
            <w:r>
              <w:rPr>
                <w:rFonts w:hint="eastAsia"/>
                <w:sz w:val="21"/>
                <w:szCs w:val="21"/>
              </w:rPr>
              <w:t>(0%)</w:t>
            </w:r>
          </w:p>
        </w:tc>
      </w:tr>
      <w:tr w14:paraId="049DCD1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AFAFA"/>
            <w:vAlign w:val="center"/>
          </w:tcPr>
          <w:p w14:paraId="15525AA5">
            <w:pPr>
              <w:jc w:val="center"/>
              <w:rPr>
                <w:sz w:val="21"/>
                <w:szCs w:val="21"/>
              </w:rPr>
            </w:pPr>
            <w:r>
              <w:rPr>
                <w:rFonts w:hint="eastAsia"/>
                <w:sz w:val="21"/>
                <w:szCs w:val="21"/>
              </w:rPr>
              <w:t>同事间工作配合与协作</w:t>
            </w:r>
          </w:p>
        </w:tc>
        <w:tc>
          <w:tcPr>
            <w:tcW w:w="1456" w:type="dxa"/>
            <w:shd w:val="clear" w:color="auto" w:fill="FAFAFA"/>
            <w:vAlign w:val="center"/>
          </w:tcPr>
          <w:p w14:paraId="1DCCC182">
            <w:pPr>
              <w:spacing w:line="240" w:lineRule="exact"/>
              <w:jc w:val="center"/>
              <w:rPr>
                <w:sz w:val="21"/>
                <w:szCs w:val="21"/>
              </w:rPr>
            </w:pPr>
            <w:r>
              <w:rPr>
                <w:rFonts w:hint="eastAsia"/>
                <w:sz w:val="21"/>
                <w:szCs w:val="21"/>
              </w:rPr>
              <w:t>22</w:t>
            </w:r>
          </w:p>
          <w:p w14:paraId="648E4E19">
            <w:pPr>
              <w:spacing w:line="240" w:lineRule="exact"/>
              <w:jc w:val="center"/>
              <w:rPr>
                <w:sz w:val="21"/>
                <w:szCs w:val="21"/>
              </w:rPr>
            </w:pPr>
            <w:r>
              <w:rPr>
                <w:rFonts w:hint="eastAsia"/>
                <w:sz w:val="21"/>
                <w:szCs w:val="21"/>
              </w:rPr>
              <w:t>(100%)</w:t>
            </w:r>
          </w:p>
        </w:tc>
        <w:tc>
          <w:tcPr>
            <w:tcW w:w="1311" w:type="dxa"/>
            <w:shd w:val="clear" w:color="auto" w:fill="FAFAFA"/>
            <w:vAlign w:val="center"/>
          </w:tcPr>
          <w:p w14:paraId="14579771">
            <w:pPr>
              <w:spacing w:line="240" w:lineRule="exact"/>
              <w:jc w:val="center"/>
              <w:rPr>
                <w:sz w:val="21"/>
                <w:szCs w:val="21"/>
              </w:rPr>
            </w:pPr>
            <w:r>
              <w:rPr>
                <w:rFonts w:hint="eastAsia"/>
                <w:sz w:val="21"/>
                <w:szCs w:val="21"/>
              </w:rPr>
              <w:t>0</w:t>
            </w:r>
          </w:p>
          <w:p w14:paraId="2995DEB4">
            <w:pPr>
              <w:spacing w:line="240" w:lineRule="exact"/>
              <w:jc w:val="center"/>
              <w:rPr>
                <w:sz w:val="21"/>
                <w:szCs w:val="21"/>
              </w:rPr>
            </w:pPr>
            <w:r>
              <w:rPr>
                <w:rFonts w:hint="eastAsia"/>
                <w:sz w:val="21"/>
                <w:szCs w:val="21"/>
              </w:rPr>
              <w:t>(0%)</w:t>
            </w:r>
          </w:p>
        </w:tc>
        <w:tc>
          <w:tcPr>
            <w:tcW w:w="1122" w:type="dxa"/>
            <w:shd w:val="clear" w:color="auto" w:fill="FAFAFA"/>
            <w:vAlign w:val="center"/>
          </w:tcPr>
          <w:p w14:paraId="42B75988">
            <w:pPr>
              <w:spacing w:line="240" w:lineRule="exact"/>
              <w:jc w:val="center"/>
              <w:rPr>
                <w:sz w:val="21"/>
                <w:szCs w:val="21"/>
              </w:rPr>
            </w:pPr>
            <w:r>
              <w:rPr>
                <w:rFonts w:hint="eastAsia"/>
                <w:sz w:val="21"/>
                <w:szCs w:val="21"/>
              </w:rPr>
              <w:t>0</w:t>
            </w:r>
          </w:p>
          <w:p w14:paraId="5EA01A5F">
            <w:pPr>
              <w:spacing w:line="240" w:lineRule="exact"/>
              <w:jc w:val="center"/>
              <w:rPr>
                <w:sz w:val="21"/>
                <w:szCs w:val="21"/>
              </w:rPr>
            </w:pPr>
            <w:r>
              <w:rPr>
                <w:rFonts w:hint="eastAsia"/>
                <w:sz w:val="21"/>
                <w:szCs w:val="21"/>
              </w:rPr>
              <w:t>(0%)</w:t>
            </w:r>
          </w:p>
        </w:tc>
        <w:tc>
          <w:tcPr>
            <w:tcW w:w="913" w:type="dxa"/>
            <w:shd w:val="clear" w:color="auto" w:fill="FAFAFA"/>
            <w:vAlign w:val="center"/>
          </w:tcPr>
          <w:p w14:paraId="2C01A848">
            <w:pPr>
              <w:spacing w:line="240" w:lineRule="exact"/>
              <w:jc w:val="center"/>
              <w:rPr>
                <w:sz w:val="21"/>
                <w:szCs w:val="21"/>
              </w:rPr>
            </w:pPr>
            <w:r>
              <w:rPr>
                <w:rFonts w:hint="eastAsia"/>
                <w:sz w:val="21"/>
                <w:szCs w:val="21"/>
              </w:rPr>
              <w:t>0</w:t>
            </w:r>
          </w:p>
          <w:p w14:paraId="34B0E42B">
            <w:pPr>
              <w:spacing w:line="240" w:lineRule="exact"/>
              <w:jc w:val="center"/>
              <w:rPr>
                <w:sz w:val="21"/>
                <w:szCs w:val="21"/>
              </w:rPr>
            </w:pPr>
            <w:r>
              <w:rPr>
                <w:rFonts w:hint="eastAsia"/>
                <w:sz w:val="21"/>
                <w:szCs w:val="21"/>
              </w:rPr>
              <w:t>(0%)</w:t>
            </w:r>
          </w:p>
        </w:tc>
        <w:tc>
          <w:tcPr>
            <w:tcW w:w="1096" w:type="dxa"/>
            <w:shd w:val="clear" w:color="auto" w:fill="FAFAFA"/>
            <w:vAlign w:val="center"/>
          </w:tcPr>
          <w:p w14:paraId="401B9405">
            <w:pPr>
              <w:spacing w:line="240" w:lineRule="exact"/>
              <w:jc w:val="center"/>
              <w:rPr>
                <w:sz w:val="21"/>
                <w:szCs w:val="21"/>
              </w:rPr>
            </w:pPr>
            <w:r>
              <w:rPr>
                <w:rFonts w:hint="eastAsia"/>
                <w:sz w:val="21"/>
                <w:szCs w:val="21"/>
              </w:rPr>
              <w:t>0</w:t>
            </w:r>
          </w:p>
          <w:p w14:paraId="7B7D7BC3">
            <w:pPr>
              <w:spacing w:line="240" w:lineRule="exact"/>
              <w:jc w:val="center"/>
              <w:rPr>
                <w:sz w:val="21"/>
                <w:szCs w:val="21"/>
              </w:rPr>
            </w:pPr>
            <w:r>
              <w:rPr>
                <w:rFonts w:hint="eastAsia"/>
                <w:sz w:val="21"/>
                <w:szCs w:val="21"/>
              </w:rPr>
              <w:t>(0%)</w:t>
            </w:r>
          </w:p>
        </w:tc>
      </w:tr>
      <w:tr w14:paraId="77F0F57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FFFFF"/>
            <w:vAlign w:val="center"/>
          </w:tcPr>
          <w:p w14:paraId="76ECD738">
            <w:pPr>
              <w:jc w:val="center"/>
              <w:rPr>
                <w:sz w:val="21"/>
                <w:szCs w:val="21"/>
              </w:rPr>
            </w:pPr>
            <w:r>
              <w:rPr>
                <w:rFonts w:hint="eastAsia"/>
                <w:sz w:val="21"/>
                <w:szCs w:val="21"/>
              </w:rPr>
              <w:t>部门间信息交流便捷性</w:t>
            </w:r>
          </w:p>
        </w:tc>
        <w:tc>
          <w:tcPr>
            <w:tcW w:w="1456" w:type="dxa"/>
            <w:shd w:val="clear" w:color="auto" w:fill="FFFFFF"/>
            <w:vAlign w:val="center"/>
          </w:tcPr>
          <w:p w14:paraId="6C8C756A">
            <w:pPr>
              <w:spacing w:line="240" w:lineRule="exact"/>
              <w:jc w:val="center"/>
              <w:rPr>
                <w:sz w:val="21"/>
                <w:szCs w:val="21"/>
              </w:rPr>
            </w:pPr>
            <w:r>
              <w:rPr>
                <w:rFonts w:hint="eastAsia"/>
                <w:sz w:val="21"/>
                <w:szCs w:val="21"/>
              </w:rPr>
              <w:t>20</w:t>
            </w:r>
          </w:p>
          <w:p w14:paraId="77AA7577">
            <w:pPr>
              <w:spacing w:line="240" w:lineRule="exact"/>
              <w:jc w:val="center"/>
              <w:rPr>
                <w:sz w:val="21"/>
                <w:szCs w:val="21"/>
              </w:rPr>
            </w:pPr>
            <w:r>
              <w:rPr>
                <w:rFonts w:hint="eastAsia"/>
                <w:sz w:val="21"/>
                <w:szCs w:val="21"/>
              </w:rPr>
              <w:t>(90.91%)</w:t>
            </w:r>
          </w:p>
        </w:tc>
        <w:tc>
          <w:tcPr>
            <w:tcW w:w="1311" w:type="dxa"/>
            <w:shd w:val="clear" w:color="auto" w:fill="FFFFFF"/>
            <w:vAlign w:val="center"/>
          </w:tcPr>
          <w:p w14:paraId="3F93F0CB">
            <w:pPr>
              <w:spacing w:line="240" w:lineRule="exact"/>
              <w:jc w:val="center"/>
              <w:rPr>
                <w:sz w:val="21"/>
                <w:szCs w:val="21"/>
              </w:rPr>
            </w:pPr>
            <w:r>
              <w:rPr>
                <w:rFonts w:hint="eastAsia"/>
                <w:sz w:val="21"/>
                <w:szCs w:val="21"/>
              </w:rPr>
              <w:t>2</w:t>
            </w:r>
          </w:p>
          <w:p w14:paraId="3A95FC8F">
            <w:pPr>
              <w:spacing w:line="240" w:lineRule="exact"/>
              <w:jc w:val="center"/>
              <w:rPr>
                <w:sz w:val="21"/>
                <w:szCs w:val="21"/>
              </w:rPr>
            </w:pPr>
            <w:r>
              <w:rPr>
                <w:rFonts w:hint="eastAsia"/>
                <w:sz w:val="21"/>
                <w:szCs w:val="21"/>
              </w:rPr>
              <w:t>(9.09%)</w:t>
            </w:r>
          </w:p>
        </w:tc>
        <w:tc>
          <w:tcPr>
            <w:tcW w:w="1122" w:type="dxa"/>
            <w:shd w:val="clear" w:color="auto" w:fill="FFFFFF"/>
            <w:vAlign w:val="center"/>
          </w:tcPr>
          <w:p w14:paraId="475584AE">
            <w:pPr>
              <w:spacing w:line="240" w:lineRule="exact"/>
              <w:jc w:val="center"/>
              <w:rPr>
                <w:sz w:val="21"/>
                <w:szCs w:val="21"/>
              </w:rPr>
            </w:pPr>
            <w:r>
              <w:rPr>
                <w:rFonts w:hint="eastAsia"/>
                <w:sz w:val="21"/>
                <w:szCs w:val="21"/>
              </w:rPr>
              <w:t>0</w:t>
            </w:r>
          </w:p>
          <w:p w14:paraId="7B62AA73">
            <w:pPr>
              <w:spacing w:line="240" w:lineRule="exact"/>
              <w:jc w:val="center"/>
              <w:rPr>
                <w:sz w:val="21"/>
                <w:szCs w:val="21"/>
              </w:rPr>
            </w:pPr>
            <w:r>
              <w:rPr>
                <w:rFonts w:hint="eastAsia"/>
                <w:sz w:val="21"/>
                <w:szCs w:val="21"/>
              </w:rPr>
              <w:t>(0%)</w:t>
            </w:r>
          </w:p>
        </w:tc>
        <w:tc>
          <w:tcPr>
            <w:tcW w:w="913" w:type="dxa"/>
            <w:shd w:val="clear" w:color="auto" w:fill="FFFFFF"/>
            <w:vAlign w:val="center"/>
          </w:tcPr>
          <w:p w14:paraId="1057EC5B">
            <w:pPr>
              <w:spacing w:line="240" w:lineRule="exact"/>
              <w:jc w:val="center"/>
              <w:rPr>
                <w:sz w:val="21"/>
                <w:szCs w:val="21"/>
              </w:rPr>
            </w:pPr>
            <w:r>
              <w:rPr>
                <w:rFonts w:hint="eastAsia"/>
                <w:sz w:val="21"/>
                <w:szCs w:val="21"/>
              </w:rPr>
              <w:t>0</w:t>
            </w:r>
          </w:p>
          <w:p w14:paraId="41D2933D">
            <w:pPr>
              <w:spacing w:line="240" w:lineRule="exact"/>
              <w:jc w:val="center"/>
              <w:rPr>
                <w:sz w:val="21"/>
                <w:szCs w:val="21"/>
              </w:rPr>
            </w:pPr>
            <w:r>
              <w:rPr>
                <w:rFonts w:hint="eastAsia"/>
                <w:sz w:val="21"/>
                <w:szCs w:val="21"/>
              </w:rPr>
              <w:t>(0%)</w:t>
            </w:r>
          </w:p>
        </w:tc>
        <w:tc>
          <w:tcPr>
            <w:tcW w:w="1096" w:type="dxa"/>
            <w:shd w:val="clear" w:color="auto" w:fill="FFFFFF"/>
            <w:vAlign w:val="center"/>
          </w:tcPr>
          <w:p w14:paraId="18DCCA4D">
            <w:pPr>
              <w:spacing w:line="240" w:lineRule="exact"/>
              <w:jc w:val="center"/>
              <w:rPr>
                <w:sz w:val="21"/>
                <w:szCs w:val="21"/>
              </w:rPr>
            </w:pPr>
            <w:r>
              <w:rPr>
                <w:rFonts w:hint="eastAsia"/>
                <w:sz w:val="21"/>
                <w:szCs w:val="21"/>
              </w:rPr>
              <w:t>0</w:t>
            </w:r>
          </w:p>
          <w:p w14:paraId="5A7E4A4E">
            <w:pPr>
              <w:spacing w:line="240" w:lineRule="exact"/>
              <w:jc w:val="center"/>
              <w:rPr>
                <w:sz w:val="21"/>
                <w:szCs w:val="21"/>
              </w:rPr>
            </w:pPr>
            <w:r>
              <w:rPr>
                <w:rFonts w:hint="eastAsia"/>
                <w:sz w:val="21"/>
                <w:szCs w:val="21"/>
              </w:rPr>
              <w:t>(0%)</w:t>
            </w:r>
          </w:p>
        </w:tc>
      </w:tr>
      <w:tr w14:paraId="51156D6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AFAFA"/>
            <w:vAlign w:val="center"/>
          </w:tcPr>
          <w:p w14:paraId="2ABFFB01">
            <w:pPr>
              <w:jc w:val="center"/>
              <w:rPr>
                <w:sz w:val="21"/>
                <w:szCs w:val="21"/>
              </w:rPr>
            </w:pPr>
            <w:r>
              <w:rPr>
                <w:rFonts w:hint="eastAsia"/>
                <w:sz w:val="21"/>
                <w:szCs w:val="21"/>
              </w:rPr>
              <w:t>单位管理制度情况</w:t>
            </w:r>
          </w:p>
        </w:tc>
        <w:tc>
          <w:tcPr>
            <w:tcW w:w="1456" w:type="dxa"/>
            <w:shd w:val="clear" w:color="auto" w:fill="FAFAFA"/>
            <w:vAlign w:val="center"/>
          </w:tcPr>
          <w:p w14:paraId="46954202">
            <w:pPr>
              <w:spacing w:line="240" w:lineRule="exact"/>
              <w:jc w:val="center"/>
              <w:rPr>
                <w:sz w:val="21"/>
                <w:szCs w:val="21"/>
              </w:rPr>
            </w:pPr>
            <w:r>
              <w:rPr>
                <w:rFonts w:hint="eastAsia"/>
                <w:sz w:val="21"/>
                <w:szCs w:val="21"/>
              </w:rPr>
              <w:t>21</w:t>
            </w:r>
          </w:p>
          <w:p w14:paraId="76E33F52">
            <w:pPr>
              <w:spacing w:line="240" w:lineRule="exact"/>
              <w:jc w:val="center"/>
              <w:rPr>
                <w:sz w:val="21"/>
                <w:szCs w:val="21"/>
              </w:rPr>
            </w:pPr>
            <w:r>
              <w:rPr>
                <w:rFonts w:hint="eastAsia"/>
                <w:sz w:val="21"/>
                <w:szCs w:val="21"/>
              </w:rPr>
              <w:t>(95.45%)</w:t>
            </w:r>
          </w:p>
        </w:tc>
        <w:tc>
          <w:tcPr>
            <w:tcW w:w="1311" w:type="dxa"/>
            <w:shd w:val="clear" w:color="auto" w:fill="FAFAFA"/>
            <w:vAlign w:val="center"/>
          </w:tcPr>
          <w:p w14:paraId="0735F01D">
            <w:pPr>
              <w:spacing w:line="240" w:lineRule="exact"/>
              <w:jc w:val="center"/>
              <w:rPr>
                <w:sz w:val="21"/>
                <w:szCs w:val="21"/>
              </w:rPr>
            </w:pPr>
            <w:r>
              <w:rPr>
                <w:rFonts w:hint="eastAsia"/>
                <w:sz w:val="21"/>
                <w:szCs w:val="21"/>
              </w:rPr>
              <w:t>1</w:t>
            </w:r>
          </w:p>
          <w:p w14:paraId="46699AB7">
            <w:pPr>
              <w:spacing w:line="240" w:lineRule="exact"/>
              <w:jc w:val="center"/>
              <w:rPr>
                <w:sz w:val="21"/>
                <w:szCs w:val="21"/>
              </w:rPr>
            </w:pPr>
            <w:r>
              <w:rPr>
                <w:rFonts w:hint="eastAsia"/>
                <w:sz w:val="21"/>
                <w:szCs w:val="21"/>
              </w:rPr>
              <w:t>(4.55%)</w:t>
            </w:r>
          </w:p>
        </w:tc>
        <w:tc>
          <w:tcPr>
            <w:tcW w:w="1122" w:type="dxa"/>
            <w:shd w:val="clear" w:color="auto" w:fill="FAFAFA"/>
            <w:vAlign w:val="center"/>
          </w:tcPr>
          <w:p w14:paraId="67664CDD">
            <w:pPr>
              <w:spacing w:line="240" w:lineRule="exact"/>
              <w:jc w:val="center"/>
              <w:rPr>
                <w:sz w:val="21"/>
                <w:szCs w:val="21"/>
              </w:rPr>
            </w:pPr>
            <w:r>
              <w:rPr>
                <w:rFonts w:hint="eastAsia"/>
                <w:sz w:val="21"/>
                <w:szCs w:val="21"/>
              </w:rPr>
              <w:t>0</w:t>
            </w:r>
          </w:p>
          <w:p w14:paraId="0D09E2BC">
            <w:pPr>
              <w:spacing w:line="240" w:lineRule="exact"/>
              <w:jc w:val="center"/>
              <w:rPr>
                <w:sz w:val="21"/>
                <w:szCs w:val="21"/>
              </w:rPr>
            </w:pPr>
            <w:r>
              <w:rPr>
                <w:rFonts w:hint="eastAsia"/>
                <w:sz w:val="21"/>
                <w:szCs w:val="21"/>
              </w:rPr>
              <w:t>(0%)</w:t>
            </w:r>
          </w:p>
        </w:tc>
        <w:tc>
          <w:tcPr>
            <w:tcW w:w="913" w:type="dxa"/>
            <w:shd w:val="clear" w:color="auto" w:fill="FAFAFA"/>
            <w:vAlign w:val="center"/>
          </w:tcPr>
          <w:p w14:paraId="0CBF7FE8">
            <w:pPr>
              <w:spacing w:line="240" w:lineRule="exact"/>
              <w:jc w:val="center"/>
              <w:rPr>
                <w:sz w:val="21"/>
                <w:szCs w:val="21"/>
              </w:rPr>
            </w:pPr>
            <w:r>
              <w:rPr>
                <w:rFonts w:hint="eastAsia"/>
                <w:sz w:val="21"/>
                <w:szCs w:val="21"/>
              </w:rPr>
              <w:t>0</w:t>
            </w:r>
          </w:p>
          <w:p w14:paraId="1D92AC3A">
            <w:pPr>
              <w:spacing w:line="240" w:lineRule="exact"/>
              <w:jc w:val="center"/>
              <w:rPr>
                <w:sz w:val="21"/>
                <w:szCs w:val="21"/>
              </w:rPr>
            </w:pPr>
            <w:r>
              <w:rPr>
                <w:rFonts w:hint="eastAsia"/>
                <w:sz w:val="21"/>
                <w:szCs w:val="21"/>
              </w:rPr>
              <w:t>(0%)</w:t>
            </w:r>
          </w:p>
        </w:tc>
        <w:tc>
          <w:tcPr>
            <w:tcW w:w="1096" w:type="dxa"/>
            <w:shd w:val="clear" w:color="auto" w:fill="FAFAFA"/>
            <w:vAlign w:val="center"/>
          </w:tcPr>
          <w:p w14:paraId="62302093">
            <w:pPr>
              <w:spacing w:line="240" w:lineRule="exact"/>
              <w:jc w:val="center"/>
              <w:rPr>
                <w:sz w:val="21"/>
                <w:szCs w:val="21"/>
              </w:rPr>
            </w:pPr>
            <w:r>
              <w:rPr>
                <w:rFonts w:hint="eastAsia"/>
                <w:sz w:val="21"/>
                <w:szCs w:val="21"/>
              </w:rPr>
              <w:t>0</w:t>
            </w:r>
          </w:p>
          <w:p w14:paraId="7473BE48">
            <w:pPr>
              <w:spacing w:line="240" w:lineRule="exact"/>
              <w:jc w:val="center"/>
              <w:rPr>
                <w:sz w:val="21"/>
                <w:szCs w:val="21"/>
              </w:rPr>
            </w:pPr>
            <w:r>
              <w:rPr>
                <w:rFonts w:hint="eastAsia"/>
                <w:sz w:val="21"/>
                <w:szCs w:val="21"/>
              </w:rPr>
              <w:t>(0%)</w:t>
            </w:r>
          </w:p>
        </w:tc>
      </w:tr>
      <w:tr w14:paraId="4F65E3A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FFFFF"/>
            <w:vAlign w:val="center"/>
          </w:tcPr>
          <w:p w14:paraId="2423D777">
            <w:pPr>
              <w:jc w:val="center"/>
              <w:rPr>
                <w:sz w:val="21"/>
                <w:szCs w:val="21"/>
              </w:rPr>
            </w:pPr>
            <w:r>
              <w:rPr>
                <w:rFonts w:hint="eastAsia"/>
                <w:sz w:val="21"/>
                <w:szCs w:val="21"/>
              </w:rPr>
              <w:t>单位制度执行情况</w:t>
            </w:r>
          </w:p>
        </w:tc>
        <w:tc>
          <w:tcPr>
            <w:tcW w:w="1456" w:type="dxa"/>
            <w:shd w:val="clear" w:color="auto" w:fill="FFFFFF"/>
            <w:vAlign w:val="center"/>
          </w:tcPr>
          <w:p w14:paraId="36461C32">
            <w:pPr>
              <w:spacing w:line="240" w:lineRule="exact"/>
              <w:jc w:val="center"/>
              <w:rPr>
                <w:sz w:val="21"/>
                <w:szCs w:val="21"/>
              </w:rPr>
            </w:pPr>
            <w:r>
              <w:rPr>
                <w:rFonts w:hint="eastAsia"/>
                <w:sz w:val="21"/>
                <w:szCs w:val="21"/>
              </w:rPr>
              <w:t>22</w:t>
            </w:r>
          </w:p>
          <w:p w14:paraId="30526150">
            <w:pPr>
              <w:spacing w:line="240" w:lineRule="exact"/>
              <w:jc w:val="center"/>
              <w:rPr>
                <w:sz w:val="21"/>
                <w:szCs w:val="21"/>
              </w:rPr>
            </w:pPr>
            <w:r>
              <w:rPr>
                <w:rFonts w:hint="eastAsia"/>
                <w:sz w:val="21"/>
                <w:szCs w:val="21"/>
              </w:rPr>
              <w:t>(100%)</w:t>
            </w:r>
          </w:p>
        </w:tc>
        <w:tc>
          <w:tcPr>
            <w:tcW w:w="1311" w:type="dxa"/>
            <w:shd w:val="clear" w:color="auto" w:fill="FFFFFF"/>
            <w:vAlign w:val="center"/>
          </w:tcPr>
          <w:p w14:paraId="3EDCA25A">
            <w:pPr>
              <w:spacing w:line="240" w:lineRule="exact"/>
              <w:jc w:val="center"/>
              <w:rPr>
                <w:sz w:val="21"/>
                <w:szCs w:val="21"/>
              </w:rPr>
            </w:pPr>
            <w:r>
              <w:rPr>
                <w:rFonts w:hint="eastAsia"/>
                <w:sz w:val="21"/>
                <w:szCs w:val="21"/>
              </w:rPr>
              <w:t>0</w:t>
            </w:r>
          </w:p>
          <w:p w14:paraId="03B5E1D0">
            <w:pPr>
              <w:spacing w:line="240" w:lineRule="exact"/>
              <w:jc w:val="center"/>
              <w:rPr>
                <w:sz w:val="21"/>
                <w:szCs w:val="21"/>
              </w:rPr>
            </w:pPr>
            <w:r>
              <w:rPr>
                <w:rFonts w:hint="eastAsia"/>
                <w:sz w:val="21"/>
                <w:szCs w:val="21"/>
              </w:rPr>
              <w:t>(0%)</w:t>
            </w:r>
          </w:p>
        </w:tc>
        <w:tc>
          <w:tcPr>
            <w:tcW w:w="1122" w:type="dxa"/>
            <w:shd w:val="clear" w:color="auto" w:fill="FFFFFF"/>
            <w:vAlign w:val="center"/>
          </w:tcPr>
          <w:p w14:paraId="67BC8D79">
            <w:pPr>
              <w:spacing w:line="240" w:lineRule="exact"/>
              <w:jc w:val="center"/>
              <w:rPr>
                <w:sz w:val="21"/>
                <w:szCs w:val="21"/>
              </w:rPr>
            </w:pPr>
            <w:r>
              <w:rPr>
                <w:rFonts w:hint="eastAsia"/>
                <w:sz w:val="21"/>
                <w:szCs w:val="21"/>
              </w:rPr>
              <w:t>0</w:t>
            </w:r>
          </w:p>
          <w:p w14:paraId="44BDD86E">
            <w:pPr>
              <w:spacing w:line="240" w:lineRule="exact"/>
              <w:jc w:val="center"/>
              <w:rPr>
                <w:sz w:val="21"/>
                <w:szCs w:val="21"/>
              </w:rPr>
            </w:pPr>
            <w:r>
              <w:rPr>
                <w:rFonts w:hint="eastAsia"/>
                <w:sz w:val="21"/>
                <w:szCs w:val="21"/>
              </w:rPr>
              <w:t>(0%)</w:t>
            </w:r>
          </w:p>
        </w:tc>
        <w:tc>
          <w:tcPr>
            <w:tcW w:w="913" w:type="dxa"/>
            <w:shd w:val="clear" w:color="auto" w:fill="FFFFFF"/>
            <w:vAlign w:val="center"/>
          </w:tcPr>
          <w:p w14:paraId="744E80AD">
            <w:pPr>
              <w:spacing w:line="240" w:lineRule="exact"/>
              <w:jc w:val="center"/>
              <w:rPr>
                <w:sz w:val="21"/>
                <w:szCs w:val="21"/>
              </w:rPr>
            </w:pPr>
            <w:r>
              <w:rPr>
                <w:rFonts w:hint="eastAsia"/>
                <w:sz w:val="21"/>
                <w:szCs w:val="21"/>
              </w:rPr>
              <w:t>0</w:t>
            </w:r>
          </w:p>
          <w:p w14:paraId="7B0B2BBE">
            <w:pPr>
              <w:spacing w:line="240" w:lineRule="exact"/>
              <w:jc w:val="center"/>
              <w:rPr>
                <w:sz w:val="21"/>
                <w:szCs w:val="21"/>
              </w:rPr>
            </w:pPr>
            <w:r>
              <w:rPr>
                <w:rFonts w:hint="eastAsia"/>
                <w:sz w:val="21"/>
                <w:szCs w:val="21"/>
              </w:rPr>
              <w:t>(0%)</w:t>
            </w:r>
          </w:p>
        </w:tc>
        <w:tc>
          <w:tcPr>
            <w:tcW w:w="1096" w:type="dxa"/>
            <w:shd w:val="clear" w:color="auto" w:fill="FFFFFF"/>
            <w:vAlign w:val="center"/>
          </w:tcPr>
          <w:p w14:paraId="0C010EB8">
            <w:pPr>
              <w:spacing w:line="240" w:lineRule="exact"/>
              <w:jc w:val="center"/>
              <w:rPr>
                <w:sz w:val="21"/>
                <w:szCs w:val="21"/>
              </w:rPr>
            </w:pPr>
            <w:r>
              <w:rPr>
                <w:rFonts w:hint="eastAsia"/>
                <w:sz w:val="21"/>
                <w:szCs w:val="21"/>
              </w:rPr>
              <w:t>0</w:t>
            </w:r>
          </w:p>
          <w:p w14:paraId="67758AA2">
            <w:pPr>
              <w:spacing w:line="240" w:lineRule="exact"/>
              <w:jc w:val="center"/>
              <w:rPr>
                <w:sz w:val="21"/>
                <w:szCs w:val="21"/>
              </w:rPr>
            </w:pPr>
            <w:r>
              <w:rPr>
                <w:rFonts w:hint="eastAsia"/>
                <w:sz w:val="21"/>
                <w:szCs w:val="21"/>
              </w:rPr>
              <w:t>(0%)</w:t>
            </w:r>
          </w:p>
        </w:tc>
      </w:tr>
      <w:tr w14:paraId="7587F2A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AFAFA"/>
            <w:vAlign w:val="center"/>
          </w:tcPr>
          <w:p w14:paraId="07228D16">
            <w:pPr>
              <w:jc w:val="center"/>
              <w:rPr>
                <w:sz w:val="21"/>
                <w:szCs w:val="21"/>
              </w:rPr>
            </w:pPr>
            <w:r>
              <w:rPr>
                <w:rFonts w:hint="eastAsia"/>
                <w:sz w:val="21"/>
                <w:szCs w:val="21"/>
              </w:rPr>
              <w:t>单位领导管理水平</w:t>
            </w:r>
          </w:p>
        </w:tc>
        <w:tc>
          <w:tcPr>
            <w:tcW w:w="1456" w:type="dxa"/>
            <w:shd w:val="clear" w:color="auto" w:fill="FAFAFA"/>
            <w:vAlign w:val="center"/>
          </w:tcPr>
          <w:p w14:paraId="03D57CA1">
            <w:pPr>
              <w:spacing w:line="240" w:lineRule="exact"/>
              <w:jc w:val="center"/>
              <w:rPr>
                <w:sz w:val="21"/>
                <w:szCs w:val="21"/>
              </w:rPr>
            </w:pPr>
            <w:r>
              <w:rPr>
                <w:rFonts w:hint="eastAsia"/>
                <w:sz w:val="21"/>
                <w:szCs w:val="21"/>
              </w:rPr>
              <w:t>22</w:t>
            </w:r>
          </w:p>
          <w:p w14:paraId="4E34F776">
            <w:pPr>
              <w:spacing w:line="240" w:lineRule="exact"/>
              <w:jc w:val="center"/>
              <w:rPr>
                <w:sz w:val="21"/>
                <w:szCs w:val="21"/>
              </w:rPr>
            </w:pPr>
            <w:r>
              <w:rPr>
                <w:rFonts w:hint="eastAsia"/>
                <w:sz w:val="21"/>
                <w:szCs w:val="21"/>
              </w:rPr>
              <w:t>(100%)</w:t>
            </w:r>
          </w:p>
        </w:tc>
        <w:tc>
          <w:tcPr>
            <w:tcW w:w="1311" w:type="dxa"/>
            <w:shd w:val="clear" w:color="auto" w:fill="FAFAFA"/>
            <w:vAlign w:val="center"/>
          </w:tcPr>
          <w:p w14:paraId="5439B05A">
            <w:pPr>
              <w:spacing w:line="240" w:lineRule="exact"/>
              <w:jc w:val="center"/>
              <w:rPr>
                <w:sz w:val="21"/>
                <w:szCs w:val="21"/>
              </w:rPr>
            </w:pPr>
            <w:r>
              <w:rPr>
                <w:rFonts w:hint="eastAsia"/>
                <w:sz w:val="21"/>
                <w:szCs w:val="21"/>
              </w:rPr>
              <w:t>0</w:t>
            </w:r>
          </w:p>
          <w:p w14:paraId="035601CA">
            <w:pPr>
              <w:spacing w:line="240" w:lineRule="exact"/>
              <w:jc w:val="center"/>
              <w:rPr>
                <w:sz w:val="21"/>
                <w:szCs w:val="21"/>
              </w:rPr>
            </w:pPr>
            <w:r>
              <w:rPr>
                <w:rFonts w:hint="eastAsia"/>
                <w:sz w:val="21"/>
                <w:szCs w:val="21"/>
              </w:rPr>
              <w:t>(0%)</w:t>
            </w:r>
          </w:p>
        </w:tc>
        <w:tc>
          <w:tcPr>
            <w:tcW w:w="1122" w:type="dxa"/>
            <w:shd w:val="clear" w:color="auto" w:fill="FAFAFA"/>
            <w:vAlign w:val="center"/>
          </w:tcPr>
          <w:p w14:paraId="47C93ADB">
            <w:pPr>
              <w:spacing w:line="240" w:lineRule="exact"/>
              <w:jc w:val="center"/>
              <w:rPr>
                <w:sz w:val="21"/>
                <w:szCs w:val="21"/>
              </w:rPr>
            </w:pPr>
            <w:r>
              <w:rPr>
                <w:rFonts w:hint="eastAsia"/>
                <w:sz w:val="21"/>
                <w:szCs w:val="21"/>
              </w:rPr>
              <w:t>0</w:t>
            </w:r>
          </w:p>
          <w:p w14:paraId="09D17E36">
            <w:pPr>
              <w:spacing w:line="240" w:lineRule="exact"/>
              <w:jc w:val="center"/>
              <w:rPr>
                <w:sz w:val="21"/>
                <w:szCs w:val="21"/>
              </w:rPr>
            </w:pPr>
            <w:r>
              <w:rPr>
                <w:rFonts w:hint="eastAsia"/>
                <w:sz w:val="21"/>
                <w:szCs w:val="21"/>
              </w:rPr>
              <w:t>(0%)</w:t>
            </w:r>
          </w:p>
        </w:tc>
        <w:tc>
          <w:tcPr>
            <w:tcW w:w="913" w:type="dxa"/>
            <w:shd w:val="clear" w:color="auto" w:fill="FAFAFA"/>
            <w:vAlign w:val="center"/>
          </w:tcPr>
          <w:p w14:paraId="02E5FA73">
            <w:pPr>
              <w:spacing w:line="240" w:lineRule="exact"/>
              <w:jc w:val="center"/>
              <w:rPr>
                <w:sz w:val="21"/>
                <w:szCs w:val="21"/>
              </w:rPr>
            </w:pPr>
            <w:r>
              <w:rPr>
                <w:rFonts w:hint="eastAsia"/>
                <w:sz w:val="21"/>
                <w:szCs w:val="21"/>
              </w:rPr>
              <w:t>0</w:t>
            </w:r>
          </w:p>
          <w:p w14:paraId="2457E638">
            <w:pPr>
              <w:spacing w:line="240" w:lineRule="exact"/>
              <w:jc w:val="center"/>
              <w:rPr>
                <w:sz w:val="21"/>
                <w:szCs w:val="21"/>
              </w:rPr>
            </w:pPr>
            <w:r>
              <w:rPr>
                <w:rFonts w:hint="eastAsia"/>
                <w:sz w:val="21"/>
                <w:szCs w:val="21"/>
              </w:rPr>
              <w:t>(0%)</w:t>
            </w:r>
          </w:p>
        </w:tc>
        <w:tc>
          <w:tcPr>
            <w:tcW w:w="1096" w:type="dxa"/>
            <w:shd w:val="clear" w:color="auto" w:fill="FAFAFA"/>
            <w:vAlign w:val="center"/>
          </w:tcPr>
          <w:p w14:paraId="4D61AE94">
            <w:pPr>
              <w:spacing w:line="240" w:lineRule="exact"/>
              <w:jc w:val="center"/>
              <w:rPr>
                <w:sz w:val="21"/>
                <w:szCs w:val="21"/>
              </w:rPr>
            </w:pPr>
            <w:r>
              <w:rPr>
                <w:rFonts w:hint="eastAsia"/>
                <w:sz w:val="21"/>
                <w:szCs w:val="21"/>
              </w:rPr>
              <w:t>0</w:t>
            </w:r>
          </w:p>
          <w:p w14:paraId="0147E4B2">
            <w:pPr>
              <w:spacing w:line="240" w:lineRule="exact"/>
              <w:jc w:val="center"/>
              <w:rPr>
                <w:sz w:val="21"/>
                <w:szCs w:val="21"/>
              </w:rPr>
            </w:pPr>
            <w:r>
              <w:rPr>
                <w:rFonts w:hint="eastAsia"/>
                <w:sz w:val="21"/>
                <w:szCs w:val="21"/>
              </w:rPr>
              <w:t>(0%)</w:t>
            </w:r>
          </w:p>
        </w:tc>
      </w:tr>
      <w:tr w14:paraId="03CADBC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FFFFF"/>
            <w:vAlign w:val="center"/>
          </w:tcPr>
          <w:p w14:paraId="7BF2ACEB">
            <w:pPr>
              <w:jc w:val="center"/>
              <w:rPr>
                <w:sz w:val="21"/>
                <w:szCs w:val="21"/>
              </w:rPr>
            </w:pPr>
            <w:r>
              <w:rPr>
                <w:rFonts w:hint="eastAsia"/>
                <w:sz w:val="21"/>
                <w:szCs w:val="21"/>
              </w:rPr>
              <w:t>所在部门职责履行情况</w:t>
            </w:r>
          </w:p>
        </w:tc>
        <w:tc>
          <w:tcPr>
            <w:tcW w:w="1456" w:type="dxa"/>
            <w:shd w:val="clear" w:color="auto" w:fill="FFFFFF"/>
            <w:vAlign w:val="center"/>
          </w:tcPr>
          <w:p w14:paraId="6F16EA9D">
            <w:pPr>
              <w:spacing w:line="240" w:lineRule="exact"/>
              <w:jc w:val="center"/>
              <w:rPr>
                <w:sz w:val="21"/>
                <w:szCs w:val="21"/>
              </w:rPr>
            </w:pPr>
            <w:r>
              <w:rPr>
                <w:rFonts w:hint="eastAsia"/>
                <w:sz w:val="21"/>
                <w:szCs w:val="21"/>
              </w:rPr>
              <w:t>22</w:t>
            </w:r>
          </w:p>
          <w:p w14:paraId="26088852">
            <w:pPr>
              <w:spacing w:line="240" w:lineRule="exact"/>
              <w:jc w:val="center"/>
              <w:rPr>
                <w:sz w:val="21"/>
                <w:szCs w:val="21"/>
              </w:rPr>
            </w:pPr>
            <w:r>
              <w:rPr>
                <w:rFonts w:hint="eastAsia"/>
                <w:sz w:val="21"/>
                <w:szCs w:val="21"/>
              </w:rPr>
              <w:t>(100%)</w:t>
            </w:r>
          </w:p>
        </w:tc>
        <w:tc>
          <w:tcPr>
            <w:tcW w:w="1311" w:type="dxa"/>
            <w:shd w:val="clear" w:color="auto" w:fill="FFFFFF"/>
            <w:vAlign w:val="center"/>
          </w:tcPr>
          <w:p w14:paraId="27E560E4">
            <w:pPr>
              <w:spacing w:line="240" w:lineRule="exact"/>
              <w:jc w:val="center"/>
              <w:rPr>
                <w:sz w:val="21"/>
                <w:szCs w:val="21"/>
              </w:rPr>
            </w:pPr>
            <w:r>
              <w:rPr>
                <w:rFonts w:hint="eastAsia"/>
                <w:sz w:val="21"/>
                <w:szCs w:val="21"/>
              </w:rPr>
              <w:t>0</w:t>
            </w:r>
          </w:p>
          <w:p w14:paraId="235F2FB6">
            <w:pPr>
              <w:spacing w:line="240" w:lineRule="exact"/>
              <w:jc w:val="center"/>
              <w:rPr>
                <w:sz w:val="21"/>
                <w:szCs w:val="21"/>
              </w:rPr>
            </w:pPr>
            <w:r>
              <w:rPr>
                <w:rFonts w:hint="eastAsia"/>
                <w:sz w:val="21"/>
                <w:szCs w:val="21"/>
              </w:rPr>
              <w:t>(0%)</w:t>
            </w:r>
          </w:p>
        </w:tc>
        <w:tc>
          <w:tcPr>
            <w:tcW w:w="1122" w:type="dxa"/>
            <w:shd w:val="clear" w:color="auto" w:fill="FFFFFF"/>
            <w:vAlign w:val="center"/>
          </w:tcPr>
          <w:p w14:paraId="3E5B8850">
            <w:pPr>
              <w:spacing w:line="240" w:lineRule="exact"/>
              <w:jc w:val="center"/>
              <w:rPr>
                <w:sz w:val="21"/>
                <w:szCs w:val="21"/>
              </w:rPr>
            </w:pPr>
            <w:r>
              <w:rPr>
                <w:rFonts w:hint="eastAsia"/>
                <w:sz w:val="21"/>
                <w:szCs w:val="21"/>
              </w:rPr>
              <w:t>0</w:t>
            </w:r>
          </w:p>
          <w:p w14:paraId="09BF027E">
            <w:pPr>
              <w:spacing w:line="240" w:lineRule="exact"/>
              <w:jc w:val="center"/>
              <w:rPr>
                <w:sz w:val="21"/>
                <w:szCs w:val="21"/>
              </w:rPr>
            </w:pPr>
            <w:r>
              <w:rPr>
                <w:rFonts w:hint="eastAsia"/>
                <w:sz w:val="21"/>
                <w:szCs w:val="21"/>
              </w:rPr>
              <w:t>(0%)</w:t>
            </w:r>
          </w:p>
        </w:tc>
        <w:tc>
          <w:tcPr>
            <w:tcW w:w="913" w:type="dxa"/>
            <w:shd w:val="clear" w:color="auto" w:fill="FFFFFF"/>
            <w:vAlign w:val="center"/>
          </w:tcPr>
          <w:p w14:paraId="097A7EC0">
            <w:pPr>
              <w:spacing w:line="240" w:lineRule="exact"/>
              <w:jc w:val="center"/>
              <w:rPr>
                <w:sz w:val="21"/>
                <w:szCs w:val="21"/>
              </w:rPr>
            </w:pPr>
            <w:r>
              <w:rPr>
                <w:rFonts w:hint="eastAsia"/>
                <w:sz w:val="21"/>
                <w:szCs w:val="21"/>
              </w:rPr>
              <w:t>0</w:t>
            </w:r>
          </w:p>
          <w:p w14:paraId="442B4897">
            <w:pPr>
              <w:spacing w:line="240" w:lineRule="exact"/>
              <w:jc w:val="center"/>
              <w:rPr>
                <w:sz w:val="21"/>
                <w:szCs w:val="21"/>
              </w:rPr>
            </w:pPr>
            <w:r>
              <w:rPr>
                <w:rFonts w:hint="eastAsia"/>
                <w:sz w:val="21"/>
                <w:szCs w:val="21"/>
              </w:rPr>
              <w:t>(0%)</w:t>
            </w:r>
          </w:p>
        </w:tc>
        <w:tc>
          <w:tcPr>
            <w:tcW w:w="1096" w:type="dxa"/>
            <w:shd w:val="clear" w:color="auto" w:fill="FFFFFF"/>
            <w:vAlign w:val="center"/>
          </w:tcPr>
          <w:p w14:paraId="09B9EA4D">
            <w:pPr>
              <w:spacing w:line="240" w:lineRule="exact"/>
              <w:jc w:val="center"/>
              <w:rPr>
                <w:sz w:val="21"/>
                <w:szCs w:val="21"/>
              </w:rPr>
            </w:pPr>
            <w:r>
              <w:rPr>
                <w:rFonts w:hint="eastAsia"/>
                <w:sz w:val="21"/>
                <w:szCs w:val="21"/>
              </w:rPr>
              <w:t>0</w:t>
            </w:r>
          </w:p>
          <w:p w14:paraId="1AFAA420">
            <w:pPr>
              <w:spacing w:line="240" w:lineRule="exact"/>
              <w:jc w:val="center"/>
              <w:rPr>
                <w:sz w:val="21"/>
                <w:szCs w:val="21"/>
              </w:rPr>
            </w:pPr>
            <w:r>
              <w:rPr>
                <w:rFonts w:hint="eastAsia"/>
                <w:sz w:val="21"/>
                <w:szCs w:val="21"/>
              </w:rPr>
              <w:t>(0%)</w:t>
            </w:r>
          </w:p>
        </w:tc>
      </w:tr>
      <w:tr w14:paraId="6DE584B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2822" w:type="dxa"/>
            <w:shd w:val="clear" w:color="auto" w:fill="FAFAFA"/>
            <w:vAlign w:val="center"/>
          </w:tcPr>
          <w:p w14:paraId="11563CA9">
            <w:pPr>
              <w:jc w:val="center"/>
              <w:rPr>
                <w:sz w:val="21"/>
                <w:szCs w:val="21"/>
              </w:rPr>
            </w:pPr>
            <w:r>
              <w:rPr>
                <w:rFonts w:hint="eastAsia"/>
                <w:sz w:val="21"/>
                <w:szCs w:val="21"/>
              </w:rPr>
              <w:t>所在部门2023年工作成效</w:t>
            </w:r>
          </w:p>
        </w:tc>
        <w:tc>
          <w:tcPr>
            <w:tcW w:w="1456" w:type="dxa"/>
            <w:shd w:val="clear" w:color="auto" w:fill="FAFAFA"/>
            <w:vAlign w:val="center"/>
          </w:tcPr>
          <w:p w14:paraId="08C3912A">
            <w:pPr>
              <w:spacing w:line="240" w:lineRule="exact"/>
              <w:jc w:val="center"/>
              <w:rPr>
                <w:sz w:val="21"/>
                <w:szCs w:val="21"/>
              </w:rPr>
            </w:pPr>
            <w:r>
              <w:rPr>
                <w:rFonts w:hint="eastAsia"/>
                <w:sz w:val="21"/>
                <w:szCs w:val="21"/>
              </w:rPr>
              <w:t>22</w:t>
            </w:r>
          </w:p>
          <w:p w14:paraId="7D8B62CA">
            <w:pPr>
              <w:spacing w:line="240" w:lineRule="exact"/>
              <w:jc w:val="center"/>
              <w:rPr>
                <w:sz w:val="21"/>
                <w:szCs w:val="21"/>
              </w:rPr>
            </w:pPr>
            <w:r>
              <w:rPr>
                <w:rFonts w:hint="eastAsia"/>
                <w:sz w:val="21"/>
                <w:szCs w:val="21"/>
              </w:rPr>
              <w:t>(100%)</w:t>
            </w:r>
          </w:p>
        </w:tc>
        <w:tc>
          <w:tcPr>
            <w:tcW w:w="1311" w:type="dxa"/>
            <w:shd w:val="clear" w:color="auto" w:fill="FAFAFA"/>
            <w:vAlign w:val="center"/>
          </w:tcPr>
          <w:p w14:paraId="244A3B38">
            <w:pPr>
              <w:spacing w:line="240" w:lineRule="exact"/>
              <w:jc w:val="center"/>
              <w:rPr>
                <w:sz w:val="21"/>
                <w:szCs w:val="21"/>
              </w:rPr>
            </w:pPr>
            <w:r>
              <w:rPr>
                <w:rFonts w:hint="eastAsia"/>
                <w:sz w:val="21"/>
                <w:szCs w:val="21"/>
              </w:rPr>
              <w:t>0</w:t>
            </w:r>
          </w:p>
          <w:p w14:paraId="47EDD28F">
            <w:pPr>
              <w:spacing w:line="240" w:lineRule="exact"/>
              <w:jc w:val="center"/>
              <w:rPr>
                <w:sz w:val="21"/>
                <w:szCs w:val="21"/>
              </w:rPr>
            </w:pPr>
            <w:r>
              <w:rPr>
                <w:rFonts w:hint="eastAsia"/>
                <w:sz w:val="21"/>
                <w:szCs w:val="21"/>
              </w:rPr>
              <w:t>(0%)</w:t>
            </w:r>
          </w:p>
        </w:tc>
        <w:tc>
          <w:tcPr>
            <w:tcW w:w="1122" w:type="dxa"/>
            <w:shd w:val="clear" w:color="auto" w:fill="FAFAFA"/>
            <w:vAlign w:val="center"/>
          </w:tcPr>
          <w:p w14:paraId="6DE93647">
            <w:pPr>
              <w:spacing w:line="240" w:lineRule="exact"/>
              <w:jc w:val="center"/>
              <w:rPr>
                <w:sz w:val="21"/>
                <w:szCs w:val="21"/>
              </w:rPr>
            </w:pPr>
            <w:r>
              <w:rPr>
                <w:rFonts w:hint="eastAsia"/>
                <w:sz w:val="21"/>
                <w:szCs w:val="21"/>
              </w:rPr>
              <w:t>0</w:t>
            </w:r>
          </w:p>
          <w:p w14:paraId="420C4008">
            <w:pPr>
              <w:spacing w:line="240" w:lineRule="exact"/>
              <w:jc w:val="center"/>
              <w:rPr>
                <w:sz w:val="21"/>
                <w:szCs w:val="21"/>
              </w:rPr>
            </w:pPr>
            <w:r>
              <w:rPr>
                <w:rFonts w:hint="eastAsia"/>
                <w:sz w:val="21"/>
                <w:szCs w:val="21"/>
              </w:rPr>
              <w:t>(0%)</w:t>
            </w:r>
          </w:p>
        </w:tc>
        <w:tc>
          <w:tcPr>
            <w:tcW w:w="913" w:type="dxa"/>
            <w:shd w:val="clear" w:color="auto" w:fill="FAFAFA"/>
            <w:vAlign w:val="center"/>
          </w:tcPr>
          <w:p w14:paraId="5CC40C6D">
            <w:pPr>
              <w:spacing w:line="240" w:lineRule="exact"/>
              <w:jc w:val="center"/>
              <w:rPr>
                <w:sz w:val="21"/>
                <w:szCs w:val="21"/>
              </w:rPr>
            </w:pPr>
            <w:r>
              <w:rPr>
                <w:rFonts w:hint="eastAsia"/>
                <w:sz w:val="21"/>
                <w:szCs w:val="21"/>
              </w:rPr>
              <w:t>0</w:t>
            </w:r>
          </w:p>
          <w:p w14:paraId="60EC858A">
            <w:pPr>
              <w:spacing w:line="240" w:lineRule="exact"/>
              <w:jc w:val="center"/>
              <w:rPr>
                <w:sz w:val="21"/>
                <w:szCs w:val="21"/>
              </w:rPr>
            </w:pPr>
            <w:r>
              <w:rPr>
                <w:rFonts w:hint="eastAsia"/>
                <w:sz w:val="21"/>
                <w:szCs w:val="21"/>
              </w:rPr>
              <w:t>(0%)</w:t>
            </w:r>
          </w:p>
        </w:tc>
        <w:tc>
          <w:tcPr>
            <w:tcW w:w="1096" w:type="dxa"/>
            <w:shd w:val="clear" w:color="auto" w:fill="FAFAFA"/>
            <w:vAlign w:val="center"/>
          </w:tcPr>
          <w:p w14:paraId="4671DD7A">
            <w:pPr>
              <w:spacing w:line="240" w:lineRule="exact"/>
              <w:jc w:val="center"/>
              <w:rPr>
                <w:sz w:val="21"/>
                <w:szCs w:val="21"/>
              </w:rPr>
            </w:pPr>
            <w:r>
              <w:rPr>
                <w:rFonts w:hint="eastAsia"/>
                <w:sz w:val="21"/>
                <w:szCs w:val="21"/>
              </w:rPr>
              <w:t>0</w:t>
            </w:r>
          </w:p>
          <w:p w14:paraId="75ABC865">
            <w:pPr>
              <w:spacing w:line="240" w:lineRule="exact"/>
              <w:jc w:val="center"/>
              <w:rPr>
                <w:sz w:val="21"/>
                <w:szCs w:val="21"/>
              </w:rPr>
            </w:pPr>
            <w:r>
              <w:rPr>
                <w:rFonts w:hint="eastAsia"/>
                <w:sz w:val="21"/>
                <w:szCs w:val="21"/>
              </w:rPr>
              <w:t>(0%)</w:t>
            </w:r>
          </w:p>
        </w:tc>
      </w:tr>
    </w:tbl>
    <w:p w14:paraId="1E49C26C">
      <w:pPr>
        <w:pStyle w:val="17"/>
      </w:pPr>
      <w:bookmarkStart w:id="462" w:name="_Toc19342_WPSOffice_Level1"/>
      <w:bookmarkStart w:id="463" w:name="_Toc25675_WPSOffice_Level1"/>
      <w:bookmarkStart w:id="464" w:name="_Toc180503522"/>
      <w:bookmarkStart w:id="465" w:name="_Toc180138897"/>
      <w:bookmarkStart w:id="466" w:name="_Toc29707_WPSOffice_Level1"/>
      <w:bookmarkStart w:id="467" w:name="_Toc30310"/>
      <w:bookmarkStart w:id="468" w:name="_Toc674"/>
      <w:bookmarkStart w:id="469" w:name="_Toc322"/>
      <w:r>
        <w:rPr>
          <w:rFonts w:hint="eastAsia"/>
        </w:rPr>
        <w:t>附件5：基础数据表</w:t>
      </w:r>
      <w:bookmarkEnd w:id="462"/>
      <w:bookmarkEnd w:id="463"/>
      <w:bookmarkEnd w:id="464"/>
      <w:bookmarkEnd w:id="465"/>
      <w:bookmarkEnd w:id="466"/>
      <w:bookmarkEnd w:id="467"/>
      <w:bookmarkEnd w:id="468"/>
      <w:bookmarkEnd w:id="469"/>
    </w:p>
    <w:p w14:paraId="6EE92020">
      <w:pPr>
        <w:pStyle w:val="10"/>
        <w:spacing w:after="0" w:line="480" w:lineRule="exact"/>
        <w:ind w:left="0" w:leftChars="0" w:right="0" w:rightChars="0"/>
        <w:jc w:val="center"/>
        <w:rPr>
          <w:rFonts w:ascii="仿宋" w:hAnsi="仿宋" w:eastAsia="仿宋" w:cs="仿宋"/>
          <w:b/>
          <w:sz w:val="28"/>
          <w:szCs w:val="28"/>
        </w:rPr>
      </w:pPr>
      <w:bookmarkStart w:id="470" w:name="_Toc22465"/>
      <w:r>
        <w:rPr>
          <w:rFonts w:hint="eastAsia" w:ascii="仿宋" w:hAnsi="仿宋" w:eastAsia="仿宋" w:cs="仿宋"/>
          <w:b/>
          <w:sz w:val="28"/>
          <w:szCs w:val="28"/>
        </w:rPr>
        <w:t>永济市文化和旅游局2023年度部门整体支出</w:t>
      </w:r>
    </w:p>
    <w:p w14:paraId="4495C55C">
      <w:pPr>
        <w:pStyle w:val="10"/>
        <w:spacing w:afterLines="50" w:line="480" w:lineRule="exact"/>
        <w:ind w:left="0" w:leftChars="0" w:right="0" w:rightChars="0"/>
        <w:jc w:val="center"/>
        <w:rPr>
          <w:rFonts w:ascii="仿宋" w:hAnsi="仿宋" w:eastAsia="仿宋" w:cs="仿宋"/>
          <w:b/>
          <w:sz w:val="28"/>
          <w:szCs w:val="28"/>
        </w:rPr>
      </w:pPr>
      <w:r>
        <w:rPr>
          <w:rFonts w:hint="eastAsia" w:ascii="仿宋" w:hAnsi="仿宋" w:eastAsia="仿宋" w:cs="仿宋"/>
          <w:b/>
          <w:sz w:val="28"/>
          <w:szCs w:val="28"/>
        </w:rPr>
        <w:t>基础信息及自评报告复核情况表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429"/>
        <w:gridCol w:w="7069"/>
      </w:tblGrid>
      <w:tr w14:paraId="25B3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vAlign w:val="center"/>
          </w:tcPr>
          <w:p w14:paraId="53951854">
            <w:pPr>
              <w:pStyle w:val="10"/>
              <w:spacing w:after="0"/>
              <w:ind w:left="1960" w:right="0" w:rightChars="0"/>
              <w:jc w:val="center"/>
              <w:outlineLvl w:val="0"/>
              <w:rPr>
                <w:rFonts w:ascii="仿宋" w:hAnsi="仿宋" w:eastAsia="仿宋" w:cs="仿宋"/>
                <w:bCs/>
                <w:sz w:val="22"/>
                <w:szCs w:val="22"/>
              </w:rPr>
            </w:pPr>
            <w:bookmarkStart w:id="471" w:name="_Toc12428"/>
          </w:p>
          <w:p w14:paraId="77BC964C">
            <w:pPr>
              <w:jc w:val="center"/>
            </w:pPr>
            <w:r>
              <w:rPr>
                <w:rFonts w:hint="eastAsia"/>
                <w:sz w:val="21"/>
                <w:szCs w:val="21"/>
              </w:rPr>
              <w:t>项目资金</w:t>
            </w:r>
          </w:p>
        </w:tc>
        <w:tc>
          <w:tcPr>
            <w:tcW w:w="7498" w:type="dxa"/>
            <w:gridSpan w:val="2"/>
            <w:shd w:val="clear" w:color="auto" w:fill="auto"/>
            <w:vAlign w:val="center"/>
          </w:tcPr>
          <w:p w14:paraId="702005F2">
            <w:pPr>
              <w:rPr>
                <w:sz w:val="21"/>
                <w:szCs w:val="21"/>
              </w:rPr>
            </w:pPr>
            <w:r>
              <w:rPr>
                <w:rFonts w:hint="eastAsia"/>
                <w:sz w:val="21"/>
                <w:szCs w:val="21"/>
              </w:rPr>
              <w:t>年初结转结余：52.5426万元</w:t>
            </w:r>
          </w:p>
        </w:tc>
      </w:tr>
      <w:tr w14:paraId="44C7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1928AE0A">
            <w:pPr>
              <w:pStyle w:val="10"/>
              <w:spacing w:after="0"/>
              <w:ind w:left="1960" w:right="0" w:rightChars="0"/>
              <w:jc w:val="left"/>
              <w:outlineLvl w:val="0"/>
              <w:rPr>
                <w:rFonts w:ascii="仿宋" w:hAnsi="仿宋" w:eastAsia="仿宋" w:cs="仿宋"/>
                <w:bCs/>
                <w:sz w:val="22"/>
                <w:szCs w:val="22"/>
              </w:rPr>
            </w:pPr>
          </w:p>
        </w:tc>
        <w:tc>
          <w:tcPr>
            <w:tcW w:w="7498" w:type="dxa"/>
            <w:gridSpan w:val="2"/>
            <w:shd w:val="clear" w:color="auto" w:fill="auto"/>
            <w:vAlign w:val="center"/>
          </w:tcPr>
          <w:p w14:paraId="306B2088">
            <w:pPr>
              <w:rPr>
                <w:sz w:val="21"/>
                <w:szCs w:val="21"/>
              </w:rPr>
            </w:pPr>
            <w:r>
              <w:rPr>
                <w:rFonts w:hint="eastAsia"/>
                <w:sz w:val="21"/>
                <w:szCs w:val="21"/>
              </w:rPr>
              <w:t>本年总收入：8,287.4526万元</w:t>
            </w:r>
          </w:p>
        </w:tc>
      </w:tr>
      <w:tr w14:paraId="1093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19398DB1">
            <w:pPr>
              <w:pStyle w:val="10"/>
              <w:spacing w:after="0"/>
              <w:ind w:left="1960" w:right="0" w:rightChars="0"/>
              <w:jc w:val="left"/>
              <w:outlineLvl w:val="0"/>
              <w:rPr>
                <w:rFonts w:ascii="仿宋" w:hAnsi="仿宋" w:eastAsia="仿宋" w:cs="仿宋"/>
                <w:bCs/>
                <w:sz w:val="22"/>
                <w:szCs w:val="22"/>
              </w:rPr>
            </w:pPr>
          </w:p>
        </w:tc>
        <w:tc>
          <w:tcPr>
            <w:tcW w:w="7498" w:type="dxa"/>
            <w:gridSpan w:val="2"/>
            <w:shd w:val="clear" w:color="auto" w:fill="auto"/>
            <w:vAlign w:val="center"/>
          </w:tcPr>
          <w:p w14:paraId="46916B43">
            <w:pPr>
              <w:rPr>
                <w:sz w:val="21"/>
                <w:szCs w:val="21"/>
              </w:rPr>
            </w:pPr>
            <w:r>
              <w:rPr>
                <w:rFonts w:hint="eastAsia"/>
                <w:sz w:val="21"/>
                <w:szCs w:val="21"/>
              </w:rPr>
              <w:t>本年总支出：8,278.3252万元</w:t>
            </w:r>
          </w:p>
        </w:tc>
      </w:tr>
      <w:tr w14:paraId="41A9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Pr>
          <w:p w14:paraId="20426486">
            <w:pPr>
              <w:pStyle w:val="10"/>
              <w:spacing w:after="0"/>
              <w:ind w:left="1960" w:right="0" w:rightChars="0"/>
              <w:jc w:val="left"/>
              <w:outlineLvl w:val="0"/>
              <w:rPr>
                <w:rFonts w:ascii="仿宋" w:hAnsi="仿宋" w:eastAsia="仿宋" w:cs="仿宋"/>
                <w:bCs/>
                <w:sz w:val="22"/>
                <w:szCs w:val="22"/>
              </w:rPr>
            </w:pPr>
          </w:p>
        </w:tc>
        <w:tc>
          <w:tcPr>
            <w:tcW w:w="7498" w:type="dxa"/>
            <w:gridSpan w:val="2"/>
            <w:shd w:val="clear" w:color="auto" w:fill="auto"/>
            <w:vAlign w:val="center"/>
          </w:tcPr>
          <w:p w14:paraId="7B0B30C1">
            <w:pPr>
              <w:rPr>
                <w:sz w:val="21"/>
                <w:szCs w:val="21"/>
              </w:rPr>
            </w:pPr>
            <w:r>
              <w:rPr>
                <w:rFonts w:hint="eastAsia"/>
                <w:sz w:val="21"/>
                <w:szCs w:val="21"/>
              </w:rPr>
              <w:t>财政收回结余资金7.8995万元，结转下年度资金1.2279元</w:t>
            </w:r>
          </w:p>
        </w:tc>
      </w:tr>
      <w:tr w14:paraId="55FB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09BA02B4">
            <w:pPr>
              <w:numPr>
                <w:ilvl w:val="0"/>
                <w:numId w:val="3"/>
              </w:numPr>
              <w:rPr>
                <w:sz w:val="21"/>
                <w:szCs w:val="21"/>
              </w:rPr>
            </w:pPr>
            <w:r>
              <w:rPr>
                <w:rFonts w:hint="eastAsia"/>
                <w:sz w:val="21"/>
                <w:szCs w:val="21"/>
              </w:rPr>
              <w:t>基本情况</w:t>
            </w:r>
          </w:p>
          <w:p w14:paraId="59F4A5D6">
            <w:pPr>
              <w:ind w:firstLine="420" w:firstLineChars="200"/>
              <w:rPr>
                <w:sz w:val="21"/>
                <w:szCs w:val="21"/>
              </w:rPr>
            </w:pPr>
            <w:r>
              <w:rPr>
                <w:rFonts w:hint="eastAsia"/>
                <w:sz w:val="21"/>
                <w:szCs w:val="21"/>
              </w:rPr>
              <w:t>永济市文化和旅游局（以下简称“永济市文旅局”）属行政单位，机构性质为机关，位于永济市舜都大道13号，单位负责人：薛翠凤，统一社会信用代码：11141081012885352B。</w:t>
            </w:r>
          </w:p>
          <w:p w14:paraId="635EF731">
            <w:pPr>
              <w:ind w:firstLine="420" w:firstLineChars="200"/>
              <w:rPr>
                <w:sz w:val="21"/>
                <w:szCs w:val="21"/>
              </w:rPr>
            </w:pPr>
            <w:r>
              <w:rPr>
                <w:rFonts w:hint="eastAsia"/>
                <w:sz w:val="21"/>
                <w:szCs w:val="21"/>
              </w:rPr>
              <w:t>2023年独立核算单位有7个，分别为永济市文化和旅游局、永济市文化市场综合行政执法队、永济市文化馆、永济市图书馆、永济市文物保护中心、永济市博物馆、永济市旅游服务中心。</w:t>
            </w:r>
          </w:p>
          <w:p w14:paraId="17EFFB5C">
            <w:pPr>
              <w:ind w:firstLine="420" w:firstLineChars="200"/>
              <w:rPr>
                <w:sz w:val="21"/>
                <w:szCs w:val="21"/>
              </w:rPr>
            </w:pPr>
            <w:r>
              <w:rPr>
                <w:rFonts w:hint="eastAsia"/>
                <w:sz w:val="21"/>
                <w:szCs w:val="21"/>
              </w:rPr>
              <w:t>单位编制人数139名（其中行政编制16名，事业编制123名），在职正式人数165名（其中行政在职17名，事业在职148名），临时人员22名，公益岗1名。</w:t>
            </w:r>
          </w:p>
          <w:p w14:paraId="656D4D89">
            <w:pPr>
              <w:pStyle w:val="8"/>
              <w:numPr>
                <w:ilvl w:val="0"/>
                <w:numId w:val="3"/>
              </w:numPr>
              <w:ind w:firstLine="0" w:firstLineChars="0"/>
              <w:rPr>
                <w:rFonts w:ascii="仿宋" w:hAnsi="仿宋"/>
                <w:sz w:val="21"/>
                <w:szCs w:val="21"/>
              </w:rPr>
            </w:pPr>
            <w:r>
              <w:rPr>
                <w:rFonts w:hint="eastAsia" w:ascii="仿宋" w:hAnsi="仿宋"/>
                <w:sz w:val="21"/>
                <w:szCs w:val="21"/>
              </w:rPr>
              <w:t>绩效总目标</w:t>
            </w:r>
          </w:p>
          <w:p w14:paraId="179CE4A5">
            <w:pPr>
              <w:ind w:firstLine="420" w:firstLineChars="200"/>
              <w:rPr>
                <w:sz w:val="21"/>
                <w:szCs w:val="21"/>
              </w:rPr>
            </w:pPr>
            <w:r>
              <w:rPr>
                <w:rFonts w:hint="eastAsia"/>
                <w:sz w:val="21"/>
                <w:szCs w:val="21"/>
              </w:rPr>
              <w:t>围绕构建“543”现代产业矩阵,着力建设“3大文旅经济带[ 3大文旅经济带：指的是涑水亲水宜居文旅带、沿黄历史文化文旅带、中条山休闲康养文旅带。]”，推动文化繁荣兴盛，促进旅游业高质量发展，实现文化和旅游深度融合，满足人民群众日益增长的精神文化需求，提升永济市文化软实力和旅游竞争力，促进经济社会的全面发展。</w:t>
            </w:r>
          </w:p>
          <w:p w14:paraId="5BAF2812">
            <w:pPr>
              <w:pStyle w:val="8"/>
              <w:ind w:firstLine="0" w:firstLineChars="0"/>
              <w:jc w:val="left"/>
              <w:rPr>
                <w:rFonts w:ascii="仿宋" w:hAnsi="仿宋"/>
                <w:sz w:val="21"/>
                <w:szCs w:val="21"/>
              </w:rPr>
            </w:pPr>
            <w:r>
              <w:rPr>
                <w:rFonts w:hint="eastAsia" w:ascii="仿宋" w:hAnsi="仿宋"/>
                <w:sz w:val="21"/>
                <w:szCs w:val="21"/>
              </w:rPr>
              <w:t>三、2023年度的目标任务</w:t>
            </w:r>
          </w:p>
          <w:p w14:paraId="501EA7C4">
            <w:pPr>
              <w:rPr>
                <w:sz w:val="21"/>
                <w:szCs w:val="21"/>
              </w:rPr>
            </w:pPr>
            <w:r>
              <w:rPr>
                <w:rFonts w:hint="eastAsia"/>
                <w:sz w:val="21"/>
                <w:szCs w:val="21"/>
              </w:rPr>
              <w:t>（1）局机关：实施重点项目建设行动，推进文旅产业高质量发展。按序时进度完成2023年承担的重点项目。分别是：五老峰景区创建国家5A级旅游景区建设项目、鹳雀楼周边乡村振兴基础提升工程和万固寺至鹳雀楼旅游复合廊道项目；完成运城下达的五老峰景区停车场旅游厕所和中寺农文旅融合旅游厕所建设工作；完成上级下达的市场主</w:t>
            </w:r>
            <w:r>
              <w:rPr>
                <w:rFonts w:hint="eastAsia"/>
                <w:sz w:val="21"/>
                <w:szCs w:val="21"/>
                <w:lang w:val="en-US" w:eastAsia="zh-CN"/>
              </w:rPr>
              <w:t>体</w:t>
            </w:r>
            <w:r>
              <w:rPr>
                <w:rFonts w:hint="eastAsia"/>
                <w:sz w:val="21"/>
                <w:szCs w:val="21"/>
              </w:rPr>
              <w:t>倍增任务；完成送戏下乡120场；加大招商引资力度，不断丰富全市旅游业态。进一步加大招商引资力度，招引国内外知名旅游企业来永考察投资，丰富旅游业态，提升全市民宿服务水平，打造运城“条山驿”特色民宿品牌。</w:t>
            </w:r>
          </w:p>
          <w:p w14:paraId="7B167C95">
            <w:pPr>
              <w:rPr>
                <w:sz w:val="21"/>
                <w:szCs w:val="21"/>
              </w:rPr>
            </w:pPr>
            <w:r>
              <w:rPr>
                <w:rFonts w:hint="eastAsia"/>
                <w:sz w:val="21"/>
                <w:szCs w:val="21"/>
              </w:rPr>
              <w:t>（2）旅游服务中心：加快推进A级景区提质增效，2023年成功创建4A级旅游景区1个；实施宣传推介营销行动，塑造永济文旅品牌形象。坚持品牌赋能，在春节、五一、端午、国庆节等节假日策划组织一系列创意新颖、独具特色的文旅活动；在西安、河南等地举办永济旅游专场推介会；积极筹备普救寺爱情文化节，统筹全市农文旅结合的各项活动，推广我市自然风光、人文历史、特产美食等各种优质资源，确保我市旅游市场持续发展。</w:t>
            </w:r>
          </w:p>
          <w:p w14:paraId="66949A75">
            <w:pPr>
              <w:rPr>
                <w:sz w:val="21"/>
                <w:szCs w:val="21"/>
              </w:rPr>
            </w:pPr>
            <w:r>
              <w:rPr>
                <w:rFonts w:hint="eastAsia"/>
                <w:sz w:val="21"/>
                <w:szCs w:val="21"/>
              </w:rPr>
              <w:t>（3）文化馆：实施群众文化惠民行动，繁荣发展永济文旅事业。组织开展“我有拿手戏”群众文艺大展演；培育乡村群众文艺队伍并开展基层演出活动；挖掘乡土文化能人开展各类农村活动；培养乡村文化带头人，组织各类群众活动。全年共开展各类群众文化活动1818场。</w:t>
            </w:r>
          </w:p>
          <w:p w14:paraId="2487D099">
            <w:pPr>
              <w:rPr>
                <w:sz w:val="21"/>
                <w:szCs w:val="21"/>
              </w:rPr>
            </w:pPr>
            <w:r>
              <w:rPr>
                <w:rFonts w:hint="eastAsia"/>
                <w:sz w:val="21"/>
                <w:szCs w:val="21"/>
              </w:rPr>
              <w:t>（4）图书馆：新建1个标志性特色“河东书房”，基本建成15分钟高品质文化生活圈。</w:t>
            </w:r>
          </w:p>
          <w:p w14:paraId="3528BC84">
            <w:pPr>
              <w:rPr>
                <w:sz w:val="21"/>
                <w:szCs w:val="21"/>
              </w:rPr>
            </w:pPr>
            <w:r>
              <w:rPr>
                <w:rFonts w:hint="eastAsia"/>
                <w:sz w:val="21"/>
                <w:szCs w:val="21"/>
              </w:rPr>
              <w:t>（5）执法大队：实施服务质量提升行动，着力优化旅游发展环境。加大执法检查、巡查、督查力度，做好全市文化、旅游、文物行业领域安全生产专项整治和旅游服务提升等工作，助推文旅行业高质量发展。</w:t>
            </w:r>
          </w:p>
          <w:p w14:paraId="16CA21E3">
            <w:pPr>
              <w:rPr>
                <w:sz w:val="21"/>
                <w:szCs w:val="21"/>
              </w:rPr>
            </w:pPr>
            <w:r>
              <w:rPr>
                <w:rFonts w:hint="eastAsia"/>
                <w:sz w:val="21"/>
                <w:szCs w:val="21"/>
              </w:rPr>
              <w:t>（6）文保中心：</w:t>
            </w:r>
          </w:p>
          <w:p w14:paraId="5B2EB0C2">
            <w:pPr>
              <w:rPr>
                <w:sz w:val="21"/>
                <w:szCs w:val="21"/>
              </w:rPr>
            </w:pPr>
            <w:r>
              <w:rPr>
                <w:rFonts w:hint="eastAsia"/>
                <w:sz w:val="21"/>
                <w:szCs w:val="21"/>
              </w:rPr>
              <w:t>①筹备召开永济市文物工作会议。</w:t>
            </w:r>
          </w:p>
          <w:p w14:paraId="4E64F172">
            <w:pPr>
              <w:rPr>
                <w:sz w:val="21"/>
                <w:szCs w:val="21"/>
              </w:rPr>
            </w:pPr>
            <w:r>
              <w:rPr>
                <w:rFonts w:hint="eastAsia"/>
                <w:sz w:val="21"/>
                <w:szCs w:val="21"/>
              </w:rPr>
              <w:t>②实施各项文物保护工程。2024年5月底前，完成投资458万元的永济市万固寺抢险修缮工程；完成投资435万元的李雪峰故居保护修缮工程；完成投资50万元的杨村娘娘庙正殿保护修缮工程；完成投资53万元的杨庄关帝庙正殿保护修缮工程；完成投资40万元的永安真武庙戏台保护修缮工程；完成投资6万元的太谷屯祖师庙抢险加固工程；完成投资68万元的南梯娘娘庙戏台保护修缮工程；完成投资1017万元的尧台三庙环境整治工程的财评、招标、开工等工作；完成县级文物保护单位安防信息监控平台项目的立项、方案、评审、财评等前期准备工作。</w:t>
            </w:r>
          </w:p>
          <w:p w14:paraId="04A42E9D">
            <w:pPr>
              <w:rPr>
                <w:sz w:val="21"/>
                <w:szCs w:val="21"/>
              </w:rPr>
            </w:pPr>
            <w:r>
              <w:rPr>
                <w:rFonts w:hint="eastAsia"/>
                <w:sz w:val="21"/>
                <w:szCs w:val="21"/>
              </w:rPr>
              <w:t>③积极编制项目计划书和设计方案，申请各类经费。编制永济市栖岩寺塔林平台前缘不稳定斜坡治理工程、解梁故城遗址保护及防护工程、永济扁鹊庙献殿修缮及扁鹊墓周边环境整治工程、董村戏台环境整治及展示工程、永济扁鹊庙彩塑壁画保护修复项目计划书，并上报审批；编制宋家卓舞台保护修缮工程设计方案、李荣故居保护修缮工程设计方案、晓朝戏台保护修缮工程设计方案；申请2024年国家、省文物保护专项补助经费；申请2024年专项债券资金；申请2024年政府一般债券资金；完成永济市文物数字化信息管理平台项目和永济扁鹊庙彩塑壁画保护修复项目立项及方案编制工作。</w:t>
            </w:r>
          </w:p>
          <w:p w14:paraId="15C11C69">
            <w:pPr>
              <w:rPr>
                <w:sz w:val="21"/>
                <w:szCs w:val="21"/>
              </w:rPr>
            </w:pPr>
            <w:r>
              <w:rPr>
                <w:rFonts w:hint="eastAsia"/>
                <w:sz w:val="21"/>
                <w:szCs w:val="21"/>
              </w:rPr>
              <w:t>④推进文物资源普查调查工作。完成第四次全国文物普查前期准备工作；完成国、省保单位附属文物排查及登记造册工作；完成国有及非国有博物馆年检工作（博物馆）。</w:t>
            </w:r>
          </w:p>
          <w:p w14:paraId="5B018208">
            <w:pPr>
              <w:rPr>
                <w:sz w:val="21"/>
                <w:szCs w:val="21"/>
              </w:rPr>
            </w:pPr>
            <w:r>
              <w:rPr>
                <w:rFonts w:hint="eastAsia"/>
                <w:sz w:val="21"/>
                <w:szCs w:val="21"/>
              </w:rPr>
              <w:t>⑤做好文物安全排查及培训工作。加大安全隐患排查工作，完成文保单位的安全责任人公示牌和承诺牌全覆盖；对文物保护单位保护员进行文物法律、法规及消防安全知识培训，并进行消防演练；对部分重要古建筑灭火器进行重装和更换；联合相关部门开展文物安全大检查。</w:t>
            </w:r>
          </w:p>
          <w:p w14:paraId="29C928C3">
            <w:pPr>
              <w:rPr>
                <w:sz w:val="21"/>
                <w:szCs w:val="21"/>
              </w:rPr>
            </w:pPr>
            <w:r>
              <w:rPr>
                <w:rFonts w:hint="eastAsia"/>
                <w:sz w:val="21"/>
                <w:szCs w:val="21"/>
              </w:rPr>
              <w:t>⑥提升文物宣传传播影响力。拍摄《我从蒲州来》12集系列宣传片（博物馆）；开展“5·18国际博物馆日”和“6·11文化和自然遗产日”主题宣传活动（博物馆）；积极开展文博知识进校园活动，推动文物保护与学校教育有机衔接（博物馆）；开展全省革命文物故事宣讲推介活动；开展第七届永济市博物馆“小小讲解员”活动（博物馆）。</w:t>
            </w:r>
          </w:p>
          <w:p w14:paraId="09D7AEF5">
            <w:r>
              <w:rPr>
                <w:rFonts w:hint="eastAsia"/>
                <w:sz w:val="21"/>
                <w:szCs w:val="21"/>
              </w:rPr>
              <w:t>⑦加强人才队伍建设工作。继续引进一批高素质、高质量的文博专业人才，充实文物保护专业技术人才队伍；组织开展“文博大讲堂”活动，促进中心人员政治理论水平和业务工作能力提升。</w:t>
            </w:r>
          </w:p>
        </w:tc>
      </w:tr>
      <w:tr w14:paraId="03A3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gridSpan w:val="2"/>
            <w:vAlign w:val="center"/>
          </w:tcPr>
          <w:p w14:paraId="1D1BD1D6">
            <w:pPr>
              <w:jc w:val="center"/>
              <w:rPr>
                <w:sz w:val="21"/>
                <w:szCs w:val="21"/>
              </w:rPr>
            </w:pPr>
            <w:r>
              <w:rPr>
                <w:rFonts w:hint="eastAsia"/>
                <w:sz w:val="21"/>
                <w:szCs w:val="21"/>
              </w:rPr>
              <w:t>项目自评报告复核情况</w:t>
            </w:r>
          </w:p>
        </w:tc>
        <w:tc>
          <w:tcPr>
            <w:tcW w:w="7069" w:type="dxa"/>
          </w:tcPr>
          <w:p w14:paraId="328DFA60">
            <w:pPr>
              <w:rPr>
                <w:sz w:val="21"/>
                <w:szCs w:val="21"/>
              </w:rPr>
            </w:pPr>
            <w:r>
              <w:rPr>
                <w:rFonts w:hint="eastAsia"/>
                <w:sz w:val="21"/>
                <w:szCs w:val="21"/>
              </w:rPr>
              <w:t>永济市文旅局按照绩效管理的要求，编制部门年度绩效自评总结报告，并对每一个项目编制了项目绩效自评报告。</w:t>
            </w:r>
          </w:p>
        </w:tc>
      </w:tr>
    </w:tbl>
    <w:p w14:paraId="33B0AFA6">
      <w:pPr>
        <w:pStyle w:val="10"/>
        <w:spacing w:after="0"/>
        <w:ind w:left="0" w:leftChars="0" w:right="0" w:rightChars="0"/>
        <w:jc w:val="left"/>
        <w:outlineLvl w:val="0"/>
        <w:rPr>
          <w:rFonts w:ascii="仿宋" w:hAnsi="仿宋" w:eastAsia="仿宋" w:cs="仿宋"/>
          <w:bCs/>
          <w:sz w:val="22"/>
          <w:szCs w:val="22"/>
        </w:rPr>
      </w:pPr>
    </w:p>
    <w:p w14:paraId="6F871F94">
      <w:pPr>
        <w:pStyle w:val="10"/>
        <w:spacing w:after="0"/>
        <w:ind w:left="0" w:leftChars="0" w:right="0" w:rightChars="0"/>
        <w:jc w:val="left"/>
        <w:outlineLvl w:val="0"/>
        <w:rPr>
          <w:rFonts w:ascii="仿宋" w:hAnsi="仿宋" w:eastAsia="仿宋" w:cs="仿宋"/>
          <w:bCs/>
          <w:sz w:val="22"/>
          <w:szCs w:val="22"/>
        </w:rPr>
      </w:pPr>
    </w:p>
    <w:p w14:paraId="4957DFD2">
      <w:pPr>
        <w:pStyle w:val="17"/>
      </w:pPr>
      <w:bookmarkStart w:id="472" w:name="_Toc180503523"/>
      <w:bookmarkStart w:id="473" w:name="_Toc180138898"/>
      <w:r>
        <w:rPr>
          <w:rFonts w:hint="eastAsia"/>
        </w:rPr>
        <w:t>附件6：部门整体支出合规性检查</w:t>
      </w:r>
      <w:bookmarkEnd w:id="470"/>
      <w:bookmarkEnd w:id="471"/>
      <w:bookmarkEnd w:id="472"/>
      <w:bookmarkEnd w:id="473"/>
    </w:p>
    <w:p w14:paraId="1B6313EB">
      <w:pPr>
        <w:spacing w:beforeLines="50" w:line="500" w:lineRule="exact"/>
        <w:jc w:val="center"/>
        <w:rPr>
          <w:b/>
          <w:bCs/>
        </w:rPr>
      </w:pPr>
      <w:r>
        <w:rPr>
          <w:rFonts w:hint="eastAsia"/>
          <w:b/>
          <w:bCs/>
        </w:rPr>
        <w:t>永济市文化和旅游局2023年度部门整体支出</w:t>
      </w:r>
    </w:p>
    <w:p w14:paraId="1C64D8F3">
      <w:pPr>
        <w:spacing w:afterLines="50" w:line="500" w:lineRule="exact"/>
        <w:jc w:val="center"/>
        <w:rPr>
          <w:b/>
          <w:bCs/>
          <w:lang w:val="zh-CN"/>
        </w:rPr>
      </w:pPr>
      <w:r>
        <w:rPr>
          <w:rFonts w:hint="eastAsia"/>
          <w:b/>
          <w:bCs/>
          <w:lang w:val="zh-CN"/>
        </w:rPr>
        <w:t>资金合规性检查报告</w:t>
      </w:r>
    </w:p>
    <w:p w14:paraId="04F7E501">
      <w:pPr>
        <w:spacing w:line="560" w:lineRule="exact"/>
        <w:ind w:firstLine="560" w:firstLineChars="200"/>
      </w:pPr>
      <w:r>
        <w:rPr>
          <w:rFonts w:hint="eastAsia"/>
        </w:rPr>
        <w:t>本次合规性检查包括财政预算收支及结转结余情况、财务管理、政府采购管理等内容，目的在于深入了解涉及永济市文化和旅游局2023年度财政</w:t>
      </w:r>
      <w:r>
        <w:rPr>
          <w:rFonts w:hint="eastAsia"/>
          <w:lang w:val="zh-TW"/>
        </w:rPr>
        <w:t>资金管理、使用和监管等方面工作的开展情况。</w:t>
      </w:r>
    </w:p>
    <w:p w14:paraId="157A92F1">
      <w:pPr>
        <w:spacing w:line="560" w:lineRule="exact"/>
        <w:ind w:firstLine="562" w:firstLineChars="200"/>
        <w:rPr>
          <w:b/>
          <w:bCs/>
        </w:rPr>
      </w:pPr>
      <w:bookmarkStart w:id="474" w:name="_Toc12222"/>
      <w:bookmarkStart w:id="475" w:name="_Toc1150"/>
      <w:bookmarkStart w:id="476" w:name="_Toc25074"/>
      <w:r>
        <w:rPr>
          <w:rFonts w:hint="eastAsia"/>
          <w:b/>
          <w:bCs/>
        </w:rPr>
        <w:t>一、部门预算收支及结转结余情况</w:t>
      </w:r>
      <w:bookmarkEnd w:id="474"/>
      <w:bookmarkEnd w:id="475"/>
      <w:bookmarkEnd w:id="476"/>
    </w:p>
    <w:p w14:paraId="1D2C0CC4">
      <w:pPr>
        <w:spacing w:line="560" w:lineRule="exact"/>
        <w:ind w:firstLine="560" w:firstLineChars="200"/>
        <w:rPr>
          <w:bCs/>
          <w:kern w:val="0"/>
          <w:shd w:val="clear" w:color="auto" w:fill="FFFFFF"/>
        </w:rPr>
      </w:pPr>
      <w:bookmarkStart w:id="477" w:name="_Toc32180"/>
      <w:r>
        <w:rPr>
          <w:rFonts w:hint="eastAsia"/>
          <w:bCs/>
          <w:kern w:val="0"/>
          <w:shd w:val="clear" w:color="auto" w:fill="FFFFFF"/>
        </w:rPr>
        <w:t>2023年度永济市文旅局预算批复共计8,234.91万元，其中：年初预算3,225.64万元，追加预算5,009.27万元。另外上年末结转至本年度资金52.5426万元，本年度收入共计8,287.4526万元，2023年度永济市文旅局部门整体支出8,278.3252万元，年末财政收回结余资金7.8995万元，结转下年度资金1.2279元。</w:t>
      </w:r>
    </w:p>
    <w:p w14:paraId="36EE872B">
      <w:pPr>
        <w:spacing w:line="560" w:lineRule="exact"/>
        <w:ind w:firstLine="562" w:firstLineChars="200"/>
        <w:rPr>
          <w:b/>
          <w:bCs/>
        </w:rPr>
      </w:pPr>
      <w:r>
        <w:rPr>
          <w:rFonts w:hint="eastAsia"/>
          <w:b/>
          <w:bCs/>
        </w:rPr>
        <w:t>二、</w:t>
      </w:r>
      <w:bookmarkEnd w:id="477"/>
      <w:r>
        <w:rPr>
          <w:rFonts w:hint="eastAsia"/>
          <w:b/>
          <w:bCs/>
        </w:rPr>
        <w:t>财务管理</w:t>
      </w:r>
    </w:p>
    <w:p w14:paraId="425B24F3">
      <w:pPr>
        <w:spacing w:line="560" w:lineRule="exact"/>
        <w:ind w:firstLine="560" w:firstLineChars="200"/>
      </w:pPr>
      <w:r>
        <w:rPr>
          <w:rFonts w:hint="eastAsia"/>
        </w:rPr>
        <w:t>本次评价过程中发现存在以下问题：</w:t>
      </w:r>
    </w:p>
    <w:p w14:paraId="2A54D9B4">
      <w:pPr>
        <w:widowControl w:val="0"/>
        <w:spacing w:line="600" w:lineRule="exact"/>
        <w:ind w:firstLine="562" w:firstLineChars="200"/>
        <w:outlineLvl w:val="5"/>
        <w:rPr>
          <w:rFonts w:hAnsiTheme="minorHAnsi"/>
          <w:b/>
        </w:rPr>
      </w:pPr>
      <w:r>
        <w:rPr>
          <w:rFonts w:hint="eastAsia" w:hAnsiTheme="minorHAnsi"/>
          <w:b/>
        </w:rPr>
        <w:t>（一）实有资金户取得的收入未及时上缴财政</w:t>
      </w:r>
    </w:p>
    <w:p w14:paraId="4DC60741">
      <w:pPr>
        <w:widowControl w:val="0"/>
        <w:spacing w:line="600" w:lineRule="exact"/>
        <w:ind w:firstLine="560" w:firstLineChars="200"/>
        <w:rPr>
          <w:rFonts w:hAnsiTheme="minorHAnsi"/>
          <w:bCs/>
        </w:rPr>
      </w:pPr>
      <w:r>
        <w:rPr>
          <w:rFonts w:hint="eastAsia" w:hAnsiTheme="minorHAnsi"/>
          <w:bCs/>
        </w:rPr>
        <w:t>文保中心2023年收扁鹊庙管理费7,000.00元，2023年末及时上交国库，仍在“应缴国库”挂账，违反了《行政单位财务规则》第七章负债管理“行政单位取得罚没收入、行政事业性收费收入、政府性基金收入、国有资源（资产）有偿使用收入等，应当按照国库集中收缴的有关规定及时足额上缴，不得隐瞒、滞留、截留、占用、挪用、拖欠或者坐支。”的规定。</w:t>
      </w:r>
    </w:p>
    <w:p w14:paraId="4D2F7240">
      <w:pPr>
        <w:pStyle w:val="8"/>
        <w:widowControl w:val="0"/>
        <w:snapToGrid/>
        <w:ind w:firstLine="562"/>
        <w:rPr>
          <w:rFonts w:ascii="仿宋"/>
          <w:b/>
        </w:rPr>
      </w:pPr>
      <w:r>
        <w:rPr>
          <w:rFonts w:hint="eastAsia" w:ascii="仿宋"/>
          <w:b/>
        </w:rPr>
        <w:t>（二）未按预算用途列支</w:t>
      </w:r>
    </w:p>
    <w:p w14:paraId="6C976740">
      <w:pPr>
        <w:pStyle w:val="8"/>
        <w:widowControl w:val="0"/>
        <w:snapToGrid/>
        <w:ind w:firstLine="560"/>
        <w:rPr>
          <w:rFonts w:ascii="仿宋"/>
          <w:bCs/>
        </w:rPr>
      </w:pPr>
      <w:r>
        <w:rPr>
          <w:rFonts w:hint="eastAsia" w:ascii="仿宋"/>
          <w:bCs/>
        </w:rPr>
        <w:t>贵单位未按预算用途列支5笔，涉及金额58,326.00元，具体明细见如下表所示：</w:t>
      </w:r>
    </w:p>
    <w:tbl>
      <w:tblPr>
        <w:tblStyle w:val="24"/>
        <w:tblW w:w="4933" w:type="pct"/>
        <w:tblInd w:w="0" w:type="dxa"/>
        <w:tblLayout w:type="fixed"/>
        <w:tblCellMar>
          <w:top w:w="0" w:type="dxa"/>
          <w:left w:w="108" w:type="dxa"/>
          <w:bottom w:w="0" w:type="dxa"/>
          <w:right w:w="108" w:type="dxa"/>
        </w:tblCellMar>
      </w:tblPr>
      <w:tblGrid>
        <w:gridCol w:w="1118"/>
        <w:gridCol w:w="1351"/>
        <w:gridCol w:w="2287"/>
        <w:gridCol w:w="1860"/>
        <w:gridCol w:w="1987"/>
      </w:tblGrid>
      <w:tr w14:paraId="49B5DEA0">
        <w:tblPrEx>
          <w:tblCellMar>
            <w:top w:w="0" w:type="dxa"/>
            <w:left w:w="108" w:type="dxa"/>
            <w:bottom w:w="0" w:type="dxa"/>
            <w:right w:w="108" w:type="dxa"/>
          </w:tblCellMar>
        </w:tblPrEx>
        <w:trPr>
          <w:trHeight w:val="442" w:hRule="atLeast"/>
          <w:tblHeader/>
        </w:trPr>
        <w:tc>
          <w:tcPr>
            <w:tcW w:w="64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998CCD9">
            <w:pPr>
              <w:jc w:val="center"/>
              <w:textAlignment w:val="center"/>
              <w:rPr>
                <w:b/>
                <w:bCs/>
                <w:color w:val="000000"/>
                <w:sz w:val="21"/>
                <w:szCs w:val="21"/>
              </w:rPr>
            </w:pPr>
            <w:r>
              <w:rPr>
                <w:rFonts w:hint="eastAsia"/>
                <w:b/>
                <w:bCs/>
                <w:color w:val="000000"/>
                <w:sz w:val="21"/>
                <w:szCs w:val="21"/>
              </w:rPr>
              <w:t>部门</w:t>
            </w:r>
          </w:p>
        </w:tc>
        <w:tc>
          <w:tcPr>
            <w:tcW w:w="78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2D45ED4">
            <w:pPr>
              <w:jc w:val="center"/>
              <w:textAlignment w:val="center"/>
              <w:rPr>
                <w:b/>
                <w:bCs/>
                <w:color w:val="000000"/>
                <w:sz w:val="21"/>
                <w:szCs w:val="21"/>
              </w:rPr>
            </w:pPr>
            <w:r>
              <w:rPr>
                <w:rFonts w:hint="eastAsia"/>
                <w:b/>
                <w:bCs/>
                <w:color w:val="000000"/>
                <w:sz w:val="21"/>
                <w:szCs w:val="21"/>
              </w:rPr>
              <w:t>凭证号</w:t>
            </w:r>
          </w:p>
        </w:tc>
        <w:tc>
          <w:tcPr>
            <w:tcW w:w="132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1FA998">
            <w:pPr>
              <w:jc w:val="center"/>
              <w:textAlignment w:val="center"/>
              <w:rPr>
                <w:b/>
                <w:bCs/>
                <w:color w:val="000000"/>
                <w:sz w:val="21"/>
                <w:szCs w:val="21"/>
              </w:rPr>
            </w:pPr>
            <w:r>
              <w:rPr>
                <w:rFonts w:hint="eastAsia"/>
                <w:b/>
                <w:bCs/>
                <w:color w:val="000000"/>
                <w:sz w:val="21"/>
                <w:szCs w:val="21"/>
              </w:rPr>
              <w:t>摘要</w:t>
            </w:r>
          </w:p>
        </w:tc>
        <w:tc>
          <w:tcPr>
            <w:tcW w:w="108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6EA3683">
            <w:pPr>
              <w:jc w:val="center"/>
              <w:textAlignment w:val="center"/>
              <w:rPr>
                <w:b/>
                <w:bCs/>
                <w:color w:val="000000"/>
                <w:kern w:val="0"/>
                <w:sz w:val="21"/>
                <w:szCs w:val="21"/>
              </w:rPr>
            </w:pPr>
            <w:r>
              <w:rPr>
                <w:rFonts w:hint="eastAsia"/>
                <w:b/>
                <w:bCs/>
                <w:color w:val="000000"/>
                <w:kern w:val="0"/>
                <w:sz w:val="21"/>
                <w:szCs w:val="21"/>
              </w:rPr>
              <w:t>金额</w:t>
            </w:r>
          </w:p>
        </w:tc>
        <w:tc>
          <w:tcPr>
            <w:tcW w:w="115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2E875E1">
            <w:pPr>
              <w:jc w:val="center"/>
              <w:textAlignment w:val="center"/>
              <w:rPr>
                <w:b/>
                <w:bCs/>
                <w:color w:val="000000"/>
                <w:kern w:val="0"/>
                <w:sz w:val="21"/>
                <w:szCs w:val="21"/>
              </w:rPr>
            </w:pPr>
            <w:r>
              <w:rPr>
                <w:rFonts w:hint="eastAsia"/>
                <w:b/>
                <w:bCs/>
                <w:color w:val="000000"/>
                <w:kern w:val="0"/>
                <w:sz w:val="21"/>
                <w:szCs w:val="21"/>
              </w:rPr>
              <w:t>项目名称/部门科目名称</w:t>
            </w:r>
          </w:p>
        </w:tc>
      </w:tr>
      <w:tr w14:paraId="3608E67C">
        <w:tblPrEx>
          <w:tblCellMar>
            <w:top w:w="0" w:type="dxa"/>
            <w:left w:w="108" w:type="dxa"/>
            <w:bottom w:w="0" w:type="dxa"/>
            <w:right w:w="108" w:type="dxa"/>
          </w:tblCellMar>
        </w:tblPrEx>
        <w:trPr>
          <w:trHeight w:val="58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DAE6">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2EF9">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19147">
            <w:pPr>
              <w:jc w:val="center"/>
              <w:textAlignment w:val="center"/>
              <w:rPr>
                <w:color w:val="000000"/>
                <w:sz w:val="21"/>
                <w:szCs w:val="21"/>
              </w:rPr>
            </w:pPr>
            <w:r>
              <w:rPr>
                <w:rFonts w:hint="eastAsia"/>
                <w:color w:val="000000"/>
                <w:kern w:val="0"/>
                <w:sz w:val="21"/>
                <w:szCs w:val="21"/>
              </w:rPr>
              <w:t>退休人员补贴</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6F18">
            <w:pPr>
              <w:jc w:val="right"/>
              <w:textAlignment w:val="center"/>
              <w:rPr>
                <w:color w:val="000000"/>
                <w:sz w:val="21"/>
                <w:szCs w:val="21"/>
              </w:rPr>
            </w:pPr>
            <w:r>
              <w:rPr>
                <w:rFonts w:hint="eastAsia"/>
                <w:color w:val="000000"/>
                <w:kern w:val="0"/>
                <w:sz w:val="21"/>
                <w:szCs w:val="21"/>
              </w:rPr>
              <w:t>25,944.00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E18D">
            <w:pPr>
              <w:jc w:val="center"/>
              <w:textAlignment w:val="center"/>
              <w:rPr>
                <w:color w:val="000000"/>
                <w:sz w:val="21"/>
                <w:szCs w:val="21"/>
              </w:rPr>
            </w:pPr>
            <w:r>
              <w:rPr>
                <w:rFonts w:hint="eastAsia"/>
                <w:color w:val="000000"/>
                <w:kern w:val="0"/>
                <w:sz w:val="21"/>
                <w:szCs w:val="21"/>
              </w:rPr>
              <w:t>奖金</w:t>
            </w:r>
          </w:p>
        </w:tc>
      </w:tr>
      <w:tr w14:paraId="3E4BA74F">
        <w:tblPrEx>
          <w:tblCellMar>
            <w:top w:w="0" w:type="dxa"/>
            <w:left w:w="108" w:type="dxa"/>
            <w:bottom w:w="0" w:type="dxa"/>
            <w:right w:w="108" w:type="dxa"/>
          </w:tblCellMar>
        </w:tblPrEx>
        <w:trPr>
          <w:trHeight w:val="567"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B1AE">
            <w:pPr>
              <w:jc w:val="center"/>
              <w:textAlignment w:val="center"/>
              <w:rPr>
                <w:color w:val="000000"/>
                <w:sz w:val="21"/>
                <w:szCs w:val="21"/>
              </w:rPr>
            </w:pPr>
            <w:r>
              <w:rPr>
                <w:rFonts w:hint="eastAsia"/>
                <w:color w:val="000000"/>
                <w:kern w:val="0"/>
                <w:sz w:val="21"/>
                <w:szCs w:val="21"/>
              </w:rPr>
              <w:t>图书馆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23F9">
            <w:pPr>
              <w:jc w:val="center"/>
              <w:rPr>
                <w:color w:val="000000"/>
                <w:sz w:val="21"/>
                <w:szCs w:val="21"/>
              </w:rPr>
            </w:pPr>
            <w:r>
              <w:rPr>
                <w:rFonts w:hint="eastAsia"/>
                <w:color w:val="000000"/>
                <w:sz w:val="21"/>
                <w:szCs w:val="21"/>
              </w:rPr>
              <w:t>2023年</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D896">
            <w:pPr>
              <w:jc w:val="center"/>
              <w:textAlignment w:val="center"/>
              <w:rPr>
                <w:color w:val="000000"/>
                <w:sz w:val="21"/>
                <w:szCs w:val="21"/>
              </w:rPr>
            </w:pPr>
            <w:r>
              <w:rPr>
                <w:rFonts w:hint="eastAsia"/>
                <w:color w:val="000000"/>
                <w:kern w:val="0"/>
                <w:sz w:val="21"/>
                <w:szCs w:val="21"/>
              </w:rPr>
              <w:t>在职人员工资保险</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5B5B">
            <w:pPr>
              <w:jc w:val="right"/>
              <w:textAlignment w:val="center"/>
              <w:rPr>
                <w:color w:val="000000"/>
                <w:sz w:val="21"/>
                <w:szCs w:val="21"/>
              </w:rPr>
            </w:pPr>
            <w:r>
              <w:rPr>
                <w:rFonts w:hint="eastAsia"/>
                <w:color w:val="000000"/>
                <w:kern w:val="0"/>
                <w:sz w:val="21"/>
                <w:szCs w:val="21"/>
              </w:rPr>
              <w:t>30,336.00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7E5E">
            <w:pPr>
              <w:jc w:val="center"/>
              <w:textAlignment w:val="center"/>
              <w:rPr>
                <w:color w:val="000000"/>
                <w:sz w:val="21"/>
                <w:szCs w:val="21"/>
              </w:rPr>
            </w:pPr>
            <w:r>
              <w:rPr>
                <w:rFonts w:hint="eastAsia"/>
                <w:color w:val="000000"/>
                <w:kern w:val="0"/>
                <w:sz w:val="21"/>
                <w:szCs w:val="21"/>
              </w:rPr>
              <w:t>退休费</w:t>
            </w:r>
          </w:p>
        </w:tc>
      </w:tr>
      <w:tr w14:paraId="5258CD92">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DCF2">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8DB8">
            <w:pPr>
              <w:jc w:val="center"/>
              <w:textAlignment w:val="center"/>
              <w:rPr>
                <w:color w:val="000000"/>
                <w:sz w:val="21"/>
                <w:szCs w:val="21"/>
              </w:rPr>
            </w:pPr>
            <w:r>
              <w:rPr>
                <w:rFonts w:hint="eastAsia"/>
                <w:color w:val="000000"/>
                <w:kern w:val="0"/>
                <w:sz w:val="21"/>
                <w:szCs w:val="21"/>
              </w:rPr>
              <w:t>9月20#、11月29#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4FFF">
            <w:pPr>
              <w:jc w:val="center"/>
              <w:textAlignment w:val="center"/>
              <w:rPr>
                <w:color w:val="000000"/>
                <w:sz w:val="21"/>
                <w:szCs w:val="21"/>
              </w:rPr>
            </w:pPr>
            <w:r>
              <w:rPr>
                <w:rFonts w:hint="eastAsia"/>
                <w:color w:val="000000"/>
                <w:kern w:val="0"/>
                <w:sz w:val="21"/>
                <w:szCs w:val="21"/>
              </w:rPr>
              <w:t>9月11</w:t>
            </w:r>
            <w:r>
              <w:rPr>
                <w:rFonts w:hint="eastAsia"/>
                <w:color w:val="000000"/>
                <w:kern w:val="0"/>
                <w:sz w:val="21"/>
                <w:szCs w:val="21"/>
                <w:lang w:val="en-US" w:eastAsia="zh-CN"/>
              </w:rPr>
              <w:t>日</w:t>
            </w:r>
            <w:r>
              <w:rPr>
                <w:rFonts w:hint="eastAsia"/>
                <w:color w:val="000000"/>
                <w:kern w:val="0"/>
                <w:sz w:val="21"/>
                <w:szCs w:val="21"/>
              </w:rPr>
              <w:t>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1E5B">
            <w:pPr>
              <w:jc w:val="right"/>
              <w:textAlignment w:val="center"/>
              <w:rPr>
                <w:color w:val="000000"/>
                <w:sz w:val="21"/>
                <w:szCs w:val="21"/>
              </w:rPr>
            </w:pPr>
            <w:r>
              <w:rPr>
                <w:rFonts w:hint="eastAsia"/>
                <w:color w:val="000000"/>
                <w:kern w:val="0"/>
                <w:sz w:val="21"/>
                <w:szCs w:val="21"/>
              </w:rPr>
              <w:t>720.00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179A">
            <w:pPr>
              <w:jc w:val="center"/>
              <w:textAlignment w:val="center"/>
              <w:rPr>
                <w:color w:val="000000"/>
                <w:sz w:val="21"/>
                <w:szCs w:val="21"/>
              </w:rPr>
            </w:pPr>
            <w:r>
              <w:rPr>
                <w:rFonts w:hint="eastAsia"/>
                <w:color w:val="000000"/>
                <w:kern w:val="0"/>
                <w:sz w:val="21"/>
                <w:szCs w:val="21"/>
              </w:rPr>
              <w:t>退休人员住宅取暖补贴（含新中国成立前老工人）</w:t>
            </w:r>
          </w:p>
        </w:tc>
      </w:tr>
      <w:tr w14:paraId="12B815E1">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B5B5">
            <w:pPr>
              <w:jc w:val="center"/>
              <w:textAlignment w:val="center"/>
              <w:rPr>
                <w:color w:val="000000"/>
                <w:sz w:val="21"/>
                <w:szCs w:val="21"/>
              </w:rPr>
            </w:pPr>
            <w:r>
              <w:rPr>
                <w:rFonts w:hint="eastAsia"/>
                <w:color w:val="000000"/>
                <w:kern w:val="0"/>
                <w:sz w:val="21"/>
                <w:szCs w:val="21"/>
              </w:rPr>
              <w:t>文化馆</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B86F1">
            <w:pPr>
              <w:jc w:val="center"/>
              <w:textAlignment w:val="center"/>
              <w:rPr>
                <w:color w:val="000000"/>
                <w:sz w:val="21"/>
                <w:szCs w:val="21"/>
              </w:rPr>
            </w:pPr>
            <w:r>
              <w:rPr>
                <w:rFonts w:hint="eastAsia"/>
                <w:color w:val="000000"/>
                <w:kern w:val="0"/>
                <w:sz w:val="21"/>
                <w:szCs w:val="21"/>
              </w:rPr>
              <w:t>10月19#</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3ABE">
            <w:pPr>
              <w:jc w:val="center"/>
              <w:textAlignment w:val="center"/>
              <w:rPr>
                <w:color w:val="000000"/>
                <w:sz w:val="21"/>
                <w:szCs w:val="21"/>
              </w:rPr>
            </w:pPr>
            <w:r>
              <w:rPr>
                <w:rFonts w:hint="eastAsia"/>
                <w:color w:val="000000"/>
                <w:kern w:val="0"/>
                <w:sz w:val="21"/>
                <w:szCs w:val="21"/>
              </w:rPr>
              <w:t>10月职工医保</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7607">
            <w:pPr>
              <w:jc w:val="right"/>
              <w:textAlignment w:val="center"/>
              <w:rPr>
                <w:color w:val="000000"/>
                <w:sz w:val="21"/>
                <w:szCs w:val="21"/>
              </w:rPr>
            </w:pPr>
            <w:r>
              <w:rPr>
                <w:rFonts w:hint="eastAsia"/>
                <w:color w:val="000000"/>
                <w:kern w:val="0"/>
                <w:sz w:val="21"/>
                <w:szCs w:val="21"/>
              </w:rPr>
              <w:t>1,080.00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01DA">
            <w:pPr>
              <w:jc w:val="center"/>
              <w:textAlignment w:val="center"/>
              <w:rPr>
                <w:color w:val="000000"/>
                <w:sz w:val="21"/>
                <w:szCs w:val="21"/>
              </w:rPr>
            </w:pPr>
            <w:r>
              <w:rPr>
                <w:rFonts w:hint="eastAsia"/>
                <w:color w:val="000000"/>
                <w:kern w:val="0"/>
                <w:sz w:val="21"/>
                <w:szCs w:val="21"/>
              </w:rPr>
              <w:t>退休人员补充医疗保险</w:t>
            </w:r>
          </w:p>
        </w:tc>
      </w:tr>
      <w:tr w14:paraId="59CCA510">
        <w:tblPrEx>
          <w:tblCellMar>
            <w:top w:w="0" w:type="dxa"/>
            <w:left w:w="108" w:type="dxa"/>
            <w:bottom w:w="0" w:type="dxa"/>
            <w:right w:w="108" w:type="dxa"/>
          </w:tblCellMar>
        </w:tblPrEx>
        <w:trPr>
          <w:trHeight w:val="454" w:hRule="atLeast"/>
        </w:trPr>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1EA4">
            <w:pPr>
              <w:jc w:val="center"/>
              <w:textAlignment w:val="center"/>
              <w:rPr>
                <w:color w:val="000000"/>
                <w:sz w:val="21"/>
                <w:szCs w:val="21"/>
              </w:rPr>
            </w:pPr>
            <w:r>
              <w:rPr>
                <w:rFonts w:hint="eastAsia"/>
                <w:color w:val="000000"/>
                <w:kern w:val="0"/>
                <w:sz w:val="21"/>
                <w:szCs w:val="21"/>
              </w:rPr>
              <w:t>局机关</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8BD9">
            <w:pPr>
              <w:jc w:val="center"/>
              <w:textAlignment w:val="center"/>
              <w:rPr>
                <w:color w:val="000000"/>
                <w:sz w:val="21"/>
                <w:szCs w:val="21"/>
              </w:rPr>
            </w:pPr>
            <w:r>
              <w:rPr>
                <w:rFonts w:hint="eastAsia"/>
                <w:color w:val="000000"/>
                <w:kern w:val="0"/>
                <w:sz w:val="21"/>
                <w:szCs w:val="21"/>
              </w:rPr>
              <w:t>11月7#</w:t>
            </w:r>
          </w:p>
        </w:tc>
        <w:tc>
          <w:tcPr>
            <w:tcW w:w="1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29B5">
            <w:pPr>
              <w:jc w:val="center"/>
              <w:textAlignment w:val="center"/>
              <w:rPr>
                <w:color w:val="000000"/>
                <w:sz w:val="21"/>
                <w:szCs w:val="21"/>
              </w:rPr>
            </w:pPr>
            <w:r>
              <w:rPr>
                <w:rFonts w:hint="eastAsia"/>
                <w:color w:val="000000"/>
                <w:kern w:val="0"/>
                <w:sz w:val="21"/>
                <w:szCs w:val="21"/>
              </w:rPr>
              <w:t>重阳节慰问老干部</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1FC4">
            <w:pPr>
              <w:jc w:val="right"/>
              <w:textAlignment w:val="center"/>
              <w:rPr>
                <w:color w:val="000000"/>
                <w:sz w:val="21"/>
                <w:szCs w:val="21"/>
              </w:rPr>
            </w:pPr>
            <w:r>
              <w:rPr>
                <w:rFonts w:hint="eastAsia"/>
                <w:color w:val="000000"/>
                <w:kern w:val="0"/>
                <w:sz w:val="21"/>
                <w:szCs w:val="21"/>
              </w:rPr>
              <w:t>246.00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F656B">
            <w:pPr>
              <w:jc w:val="center"/>
              <w:textAlignment w:val="center"/>
              <w:rPr>
                <w:color w:val="000000"/>
                <w:sz w:val="21"/>
                <w:szCs w:val="21"/>
              </w:rPr>
            </w:pPr>
            <w:r>
              <w:rPr>
                <w:rFonts w:hint="eastAsia"/>
                <w:color w:val="000000"/>
                <w:kern w:val="0"/>
                <w:sz w:val="21"/>
                <w:szCs w:val="21"/>
              </w:rPr>
              <w:t>目标责任考核奖</w:t>
            </w:r>
          </w:p>
        </w:tc>
      </w:tr>
      <w:tr w14:paraId="0540FEEB">
        <w:tblPrEx>
          <w:tblCellMar>
            <w:top w:w="0" w:type="dxa"/>
            <w:left w:w="108" w:type="dxa"/>
            <w:bottom w:w="0" w:type="dxa"/>
            <w:right w:w="108" w:type="dxa"/>
          </w:tblCellMar>
        </w:tblPrEx>
        <w:trPr>
          <w:trHeight w:val="454" w:hRule="atLeast"/>
        </w:trPr>
        <w:tc>
          <w:tcPr>
            <w:tcW w:w="276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6F69">
            <w:pPr>
              <w:jc w:val="center"/>
              <w:rPr>
                <w:color w:val="000000"/>
                <w:sz w:val="21"/>
                <w:szCs w:val="21"/>
              </w:rPr>
            </w:pPr>
            <w:r>
              <w:rPr>
                <w:rFonts w:hint="eastAsia"/>
                <w:color w:val="000000"/>
                <w:sz w:val="21"/>
                <w:szCs w:val="21"/>
              </w:rPr>
              <w:t>合计</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AD49">
            <w:pPr>
              <w:jc w:val="right"/>
              <w:textAlignment w:val="center"/>
              <w:rPr>
                <w:color w:val="000000"/>
                <w:sz w:val="21"/>
                <w:szCs w:val="21"/>
              </w:rPr>
            </w:pPr>
            <w:r>
              <w:rPr>
                <w:rFonts w:hint="eastAsia"/>
                <w:color w:val="000000"/>
                <w:sz w:val="21"/>
                <w:szCs w:val="21"/>
              </w:rPr>
              <w:t>58,326.00</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A2CC">
            <w:pPr>
              <w:jc w:val="center"/>
              <w:rPr>
                <w:color w:val="000000"/>
                <w:sz w:val="21"/>
                <w:szCs w:val="21"/>
              </w:rPr>
            </w:pPr>
          </w:p>
        </w:tc>
      </w:tr>
    </w:tbl>
    <w:p w14:paraId="70015F7C">
      <w:pPr>
        <w:pStyle w:val="8"/>
        <w:widowControl w:val="0"/>
        <w:snapToGrid/>
        <w:ind w:firstLine="562"/>
        <w:rPr>
          <w:rFonts w:ascii="仿宋"/>
          <w:b/>
        </w:rPr>
      </w:pPr>
      <w:r>
        <w:rPr>
          <w:rFonts w:hint="eastAsia" w:ascii="仿宋"/>
          <w:b/>
        </w:rPr>
        <w:t>（三）财务核算不规范</w:t>
      </w:r>
    </w:p>
    <w:p w14:paraId="722E954F">
      <w:pPr>
        <w:pStyle w:val="8"/>
        <w:widowControl w:val="0"/>
        <w:snapToGrid/>
        <w:ind w:firstLine="560"/>
        <w:rPr>
          <w:rFonts w:ascii="仿宋"/>
          <w:bCs/>
        </w:rPr>
      </w:pPr>
      <w:r>
        <w:rPr>
          <w:rFonts w:hint="eastAsia" w:ascii="仿宋"/>
          <w:bCs/>
        </w:rPr>
        <w:t>文化馆2023年12月8日33#凭证支付法律顾问咨询费用2400元，聘请个人孙兴赤为法律顾问，开具的发票备注栏标注“购买方应在次月15日前代扣代缴销售方个人所得税”，文化馆未实际代扣代缴个税。</w:t>
      </w:r>
    </w:p>
    <w:p w14:paraId="53BD03C9">
      <w:pPr>
        <w:pStyle w:val="8"/>
        <w:widowControl w:val="0"/>
        <w:snapToGrid/>
        <w:ind w:firstLine="562"/>
        <w:rPr>
          <w:rFonts w:ascii="仿宋"/>
          <w:b/>
        </w:rPr>
      </w:pPr>
      <w:r>
        <w:rPr>
          <w:rFonts w:hint="eastAsia" w:ascii="仿宋"/>
          <w:b/>
        </w:rPr>
        <w:t>（四）核销程序不合规</w:t>
      </w:r>
    </w:p>
    <w:p w14:paraId="1C726ACB">
      <w:pPr>
        <w:pStyle w:val="8"/>
        <w:widowControl w:val="0"/>
        <w:snapToGrid/>
        <w:ind w:firstLine="560"/>
        <w:rPr>
          <w:rFonts w:ascii="仿宋"/>
          <w:bCs/>
        </w:rPr>
      </w:pPr>
      <w:r>
        <w:rPr>
          <w:rFonts w:hint="eastAsia" w:ascii="仿宋"/>
          <w:bCs/>
        </w:rPr>
        <w:t>永济市文保中心核销其他应收款212,600.00元，未经主管部门审核（审批），不符合《行政事业单位资产清查核实管理办法》（财资〔2016〕1号）第三十六条行政事业单位资产核实的一般程序的规定。</w:t>
      </w:r>
    </w:p>
    <w:p w14:paraId="2FF5837D">
      <w:pPr>
        <w:spacing w:line="360" w:lineRule="auto"/>
        <w:ind w:firstLine="560"/>
        <w:rPr>
          <w:highlight w:val="yellow"/>
        </w:rPr>
      </w:pPr>
    </w:p>
    <w:sectPr>
      <w:pgSz w:w="11906" w:h="16838"/>
      <w:pgMar w:top="1247" w:right="1701" w:bottom="1247" w:left="1701" w:header="851" w:footer="850" w:gutter="0"/>
      <w:cols w:space="720" w:num="1"/>
      <w:titlePg/>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1F9E1">
    <w:pPr>
      <w:pStyle w:val="14"/>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2AF76">
    <w:pPr>
      <w:pStyle w:val="14"/>
      <w:jc w:val="both"/>
    </w:pPr>
    <w:r>
      <w:pict>
        <v:shape id="_x0000_s4104" o:spid="_x0000_s4104"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14:paraId="2A1622EB">
                <w:pPr>
                  <w:pStyle w:val="14"/>
                </w:pPr>
                <w:r>
                  <w:fldChar w:fldCharType="begin"/>
                </w:r>
                <w:r>
                  <w:instrText xml:space="preserve"> PAGE  \* MERGEFORMAT </w:instrText>
                </w:r>
                <w:r>
                  <w:fldChar w:fldCharType="separate"/>
                </w:r>
                <w:r>
                  <w:t>77</w:t>
                </w:r>
                <w:r>
                  <w:fldChar w:fldCharType="end"/>
                </w:r>
              </w:p>
            </w:txbxContent>
          </v:textbox>
        </v:shape>
      </w:pict>
    </w:r>
  </w:p>
  <w:p w14:paraId="3D3454F4">
    <w:pPr>
      <w:pStyle w:val="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2B11A">
    <w:pPr>
      <w:pStyle w:val="14"/>
    </w:pPr>
    <w:r>
      <w:pict>
        <v:shape id="_x0000_s4105" o:spid="_x0000_s4105"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joinstyle="miter"/>
          <v:imagedata o:title=""/>
          <o:lock v:ext="edit"/>
          <v:textbox inset="0mm,0mm,0mm,0mm" style="mso-fit-shape-to-text:t;">
            <w:txbxContent>
              <w:p w14:paraId="1B275701">
                <w:pPr>
                  <w:pStyle w:val="14"/>
                </w:pPr>
                <w:r>
                  <w:fldChar w:fldCharType="begin"/>
                </w:r>
                <w:r>
                  <w:instrText xml:space="preserve"> PAGE  \* MERGEFORMAT </w:instrText>
                </w:r>
                <w:r>
                  <w:fldChar w:fldCharType="separate"/>
                </w:r>
                <w:r>
                  <w:t>80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8CB57">
    <w:pPr>
      <w:pStyle w:val="14"/>
    </w:pPr>
    <w:r>
      <w:pict>
        <v:shape id="_x0000_s4107" o:spid="_x0000_s4107"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14:paraId="35E38688">
                <w:pPr>
                  <w:pStyle w:val="14"/>
                </w:pPr>
                <w:r>
                  <w:fldChar w:fldCharType="begin"/>
                </w:r>
                <w:r>
                  <w:instrText xml:space="preserve"> PAGE  \* MERGEFORMAT </w:instrText>
                </w:r>
                <w:r>
                  <w:fldChar w:fldCharType="separate"/>
                </w:r>
                <w:r>
                  <w:t>90</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526EE">
    <w:pPr>
      <w:pStyle w:val="14"/>
      <w:jc w:val="center"/>
    </w:pPr>
    <w:r>
      <w:pict>
        <v:shape id="_x0000_s4106" o:spid="_x0000_s410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joinstyle="miter"/>
          <v:imagedata o:title=""/>
          <o:lock v:ext="edit"/>
          <v:textbox inset="0mm,0mm,0mm,0mm" style="mso-fit-shape-to-text:t;">
            <w:txbxContent>
              <w:p w14:paraId="16C08C99">
                <w:pPr>
                  <w:pStyle w:val="14"/>
                </w:pPr>
                <w:r>
                  <w:fldChar w:fldCharType="begin"/>
                </w:r>
                <w:r>
                  <w:instrText xml:space="preserve"> PAGE  \* MERGEFORMAT </w:instrText>
                </w:r>
                <w:r>
                  <w:fldChar w:fldCharType="separate"/>
                </w:r>
                <w:r>
                  <w:t>85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E6800">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B73CF">
    <w:pPr>
      <w:pStyle w:val="14"/>
      <w:jc w:val="center"/>
    </w:pPr>
    <w:r>
      <w:pict>
        <v:shape id="文本框 1068"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otsP3MQBAACRAwAADgAAAAAAAAABACAAAAAeAQAAZHJzL2Uyb0RvYy54bWxQ&#10;SwUGAAAAAAYABgBZAQAAVAUAAAAA&#10;">
          <v:path/>
          <v:fill on="f" focussize="0,0"/>
          <v:stroke on="f" joinstyle="miter"/>
          <v:imagedata o:title=""/>
          <o:lock v:ext="edit"/>
          <v:textbox inset="0mm,0mm,0mm,0mm" style="mso-fit-shape-to-text:t;">
            <w:txbxContent>
              <w:p w14:paraId="59CC9F6C">
                <w:pPr>
                  <w:pStyle w:val="14"/>
                </w:pPr>
                <w:r>
                  <w:fldChar w:fldCharType="begin"/>
                </w:r>
                <w:r>
                  <w:instrText xml:space="preserve"> PAGE  \* MERGEFORMAT </w:instrText>
                </w:r>
                <w:r>
                  <w:fldChar w:fldCharType="separate"/>
                </w:r>
                <w:r>
                  <w:t>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55575">
    <w:pPr>
      <w:pStyle w:val="14"/>
      <w:jc w:val="center"/>
    </w:pPr>
    <w:r>
      <w:pict>
        <v:shape id="文本框 1069" o:spid="_x0000_s409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lGJ+IMQBAACRAwAADgAAAAAAAAABACAAAAAeAQAAZHJzL2Uyb0RvYy54bWxQ&#10;SwUGAAAAAAYABgBZAQAAVAUAAAAA&#10;">
          <v:path/>
          <v:fill on="f" focussize="0,0"/>
          <v:stroke on="f" joinstyle="miter"/>
          <v:imagedata o:title=""/>
          <o:lock v:ext="edit"/>
          <v:textbox inset="0mm,0mm,0mm,0mm" style="mso-fit-shape-to-text:t;">
            <w:txbxContent>
              <w:p w14:paraId="69346C24">
                <w:pPr>
                  <w:pStyle w:val="14"/>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D2FC8">
    <w:pPr>
      <w:pStyle w:val="14"/>
      <w:jc w:val="center"/>
    </w:pPr>
    <w:r>
      <w:pict>
        <v:shape id="_x0000_s4100" o:spid="_x0000_s410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UGsdF8QBAACRAwAADgAAAAAAAAABACAAAAAeAQAAZHJzL2Uyb0RvYy54bWxQ&#10;SwUGAAAAAAYABgBZAQAAVAUAAAAA&#10;">
          <v:path/>
          <v:fill on="f" focussize="0,0"/>
          <v:stroke on="f" joinstyle="miter"/>
          <v:imagedata o:title=""/>
          <o:lock v:ext="edit"/>
          <v:textbox inset="0mm,0mm,0mm,0mm" style="mso-fit-shape-to-text:t;">
            <w:txbxContent>
              <w:p w14:paraId="60FC4246">
                <w:pPr>
                  <w:pStyle w:val="14"/>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B3F6">
    <w:pPr>
      <w:pStyle w:val="14"/>
      <w:jc w:val="center"/>
    </w:pPr>
    <w:r>
      <w:pict>
        <v:shape id="_x0000_s4099" o:spid="_x0000_s409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tJs68QBAACRAwAADgAAAGRycy9lMm9Eb2MueG1srVPNjtMwEL4j8Q6W&#10;79Rpk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hPRq4B4fUxYeHST0YdoaZiOKnCaNqqvAp/3kvWw5+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tJs68QBAACRAwAADgAAAAAAAAABACAAAAAeAQAAZHJzL2Uyb0RvYy54bWxQ&#10;SwUGAAAAAAYABgBZAQAAVAUAAAAA&#10;">
          <v:path/>
          <v:fill on="f" focussize="0,0"/>
          <v:stroke on="f" joinstyle="miter"/>
          <v:imagedata o:title=""/>
          <o:lock v:ext="edit"/>
          <v:textbox inset="0mm,0mm,0mm,0mm" style="mso-fit-shape-to-text:t;">
            <w:txbxContent>
              <w:p w14:paraId="68ADC47E">
                <w:pPr>
                  <w:pStyle w:val="14"/>
                </w:pPr>
                <w:r>
                  <w:fldChar w:fldCharType="begin"/>
                </w:r>
                <w:r>
                  <w:instrText xml:space="preserve"> PAGE  \* MERGEFORMAT </w:instrText>
                </w:r>
                <w:r>
                  <w:fldChar w:fldCharType="separate"/>
                </w:r>
                <w:r>
                  <w:t>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90E1F">
    <w:pPr>
      <w:pStyle w:val="14"/>
      <w:jc w:val="center"/>
    </w:pPr>
    <w:r>
      <w:pict>
        <v:shape id="_x0000_s4102" o:spid="_x0000_s4102"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path/>
          <v:fill on="f" focussize="0,0"/>
          <v:stroke on="f" weight="0.5pt" joinstyle="miter"/>
          <v:imagedata o:title=""/>
          <o:lock v:ext="edit"/>
          <v:textbox inset="0mm,0mm,0mm,0mm" style="mso-fit-shape-to-text:t;">
            <w:txbxContent>
              <w:p w14:paraId="32038BDC">
                <w:pPr>
                  <w:pStyle w:val="14"/>
                </w:pPr>
                <w:r>
                  <w:fldChar w:fldCharType="begin"/>
                </w:r>
                <w:r>
                  <w:instrText xml:space="preserve"> PAGE  \* MERGEFORMAT </w:instrText>
                </w:r>
                <w:r>
                  <w:fldChar w:fldCharType="separate"/>
                </w:r>
                <w:r>
                  <w:t>65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DAB88">
    <w:pPr>
      <w:pStyle w:val="14"/>
      <w:jc w:val="center"/>
    </w:pPr>
    <w:r>
      <w:pict>
        <v:shape id="_x0000_s4101" o:spid="_x0000_s4101"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path/>
          <v:fill on="f" focussize="0,0"/>
          <v:stroke on="f" weight="0.5pt" joinstyle="miter"/>
          <v:imagedata o:title=""/>
          <o:lock v:ext="edit"/>
          <v:textbox inset="0mm,0mm,0mm,0mm" style="mso-fit-shape-to-text:t;">
            <w:txbxContent>
              <w:p w14:paraId="29507E8B">
                <w:pPr>
                  <w:pStyle w:val="14"/>
                </w:pPr>
                <w:r>
                  <w:fldChar w:fldCharType="begin"/>
                </w:r>
                <w:r>
                  <w:instrText xml:space="preserve"> PAGE  \* MERGEFORMAT </w:instrText>
                </w:r>
                <w:r>
                  <w:fldChar w:fldCharType="separate"/>
                </w:r>
                <w:r>
                  <w:t>9</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EA5BB">
    <w:pPr>
      <w:pStyle w:val="14"/>
      <w:jc w:val="both"/>
    </w:pPr>
    <w:r>
      <w:pict>
        <v:shape id="_x0000_s4103" o:spid="_x0000_s410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14:paraId="2D5C344E">
                <w:pPr>
                  <w:pStyle w:val="14"/>
                </w:pPr>
                <w:r>
                  <w:fldChar w:fldCharType="begin"/>
                </w:r>
                <w:r>
                  <w:instrText xml:space="preserve"> PAGE  \* MERGEFORMAT </w:instrText>
                </w:r>
                <w:r>
                  <w:fldChar w:fldCharType="separate"/>
                </w:r>
                <w:r>
                  <w:t>69</w:t>
                </w:r>
                <w:r>
                  <w:fldChar w:fldCharType="end"/>
                </w:r>
              </w:p>
            </w:txbxContent>
          </v:textbox>
        </v:shape>
      </w:pict>
    </w:r>
  </w:p>
  <w:p w14:paraId="63AA893C">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ADDCE2D">
      <w:pPr>
        <w:pStyle w:val="18"/>
        <w:rPr>
          <w:rFonts w:eastAsia="宋体"/>
        </w:rPr>
      </w:pPr>
      <w:r>
        <w:rPr>
          <w:rStyle w:val="31"/>
        </w:rPr>
        <w:footnoteRef/>
      </w:r>
      <w:r>
        <w:rPr>
          <w:rFonts w:hint="eastAsia"/>
          <w:szCs w:val="18"/>
        </w:rPr>
        <w:t>3大文旅经济带：指的是涑水亲水宜居文旅带、沿黄历史文化文旅带、中条山休闲康养文旅带。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7EB5">
    <w:pPr>
      <w:pStyle w:val="15"/>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6884">
    <w:pPr>
      <w:pStyle w:val="15"/>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EC028">
    <w:pPr>
      <w:pStyle w:val="15"/>
      <w:pBdr>
        <w:bottom w:val="none" w:color="auto" w:sz="0" w:space="1"/>
      </w:pBdr>
      <w:spacing w:line="288"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9AF5A8"/>
    <w:multiLevelType w:val="singleLevel"/>
    <w:tmpl w:val="A99AF5A8"/>
    <w:lvl w:ilvl="0" w:tentative="0">
      <w:start w:val="1"/>
      <w:numFmt w:val="chineseCounting"/>
      <w:suff w:val="nothing"/>
      <w:lvlText w:val="%1、"/>
      <w:lvlJc w:val="left"/>
      <w:rPr>
        <w:rFonts w:hint="eastAsia"/>
      </w:rPr>
    </w:lvl>
  </w:abstractNum>
  <w:abstractNum w:abstractNumId="1">
    <w:nsid w:val="207D16CD"/>
    <w:multiLevelType w:val="singleLevel"/>
    <w:tmpl w:val="207D16CD"/>
    <w:lvl w:ilvl="0" w:tentative="0">
      <w:start w:val="3"/>
      <w:numFmt w:val="chineseCounting"/>
      <w:suff w:val="nothing"/>
      <w:lvlText w:val="%1、"/>
      <w:lvlJc w:val="left"/>
      <w:rPr>
        <w:rFonts w:hint="eastAsia"/>
      </w:rPr>
    </w:lvl>
  </w:abstractNum>
  <w:abstractNum w:abstractNumId="2">
    <w:nsid w:val="3A1CDFC9"/>
    <w:multiLevelType w:val="singleLevel"/>
    <w:tmpl w:val="3A1CDFC9"/>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noPunctuationKerning w:val="1"/>
  <w:characterSpacingControl w:val="compressPunctuation"/>
  <w:doNotValidateAgainstSchema/>
  <w:doNotDemarcateInvalidXml/>
  <w:hdrShapeDefaults>
    <o:shapelayout v:ext="edit">
      <o:idmap v:ext="edit" data="3,4"/>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Y5NDYxYTRhNjhjNmYwNTg2MDdiNzhhYzZkY2U1MmQifQ=="/>
  </w:docVars>
  <w:rsids>
    <w:rsidRoot w:val="00172A27"/>
    <w:rsid w:val="00000046"/>
    <w:rsid w:val="00000335"/>
    <w:rsid w:val="00000503"/>
    <w:rsid w:val="0000105F"/>
    <w:rsid w:val="000010EB"/>
    <w:rsid w:val="00001744"/>
    <w:rsid w:val="00001803"/>
    <w:rsid w:val="00001D26"/>
    <w:rsid w:val="000024AB"/>
    <w:rsid w:val="000025F8"/>
    <w:rsid w:val="00002AA2"/>
    <w:rsid w:val="00002BB6"/>
    <w:rsid w:val="00002C15"/>
    <w:rsid w:val="000030AA"/>
    <w:rsid w:val="00003659"/>
    <w:rsid w:val="000038BB"/>
    <w:rsid w:val="000038D6"/>
    <w:rsid w:val="00003C90"/>
    <w:rsid w:val="0000428E"/>
    <w:rsid w:val="000048FA"/>
    <w:rsid w:val="00004E10"/>
    <w:rsid w:val="00005030"/>
    <w:rsid w:val="0000559C"/>
    <w:rsid w:val="0000579A"/>
    <w:rsid w:val="00005C29"/>
    <w:rsid w:val="00005D80"/>
    <w:rsid w:val="000064C5"/>
    <w:rsid w:val="0000650C"/>
    <w:rsid w:val="000070E2"/>
    <w:rsid w:val="0000739C"/>
    <w:rsid w:val="00007E92"/>
    <w:rsid w:val="00010DE1"/>
    <w:rsid w:val="00010ECC"/>
    <w:rsid w:val="00010F84"/>
    <w:rsid w:val="0001147A"/>
    <w:rsid w:val="000118E8"/>
    <w:rsid w:val="00011BB6"/>
    <w:rsid w:val="00012049"/>
    <w:rsid w:val="00012304"/>
    <w:rsid w:val="000123D3"/>
    <w:rsid w:val="0001254A"/>
    <w:rsid w:val="00012621"/>
    <w:rsid w:val="00012C33"/>
    <w:rsid w:val="00012CAF"/>
    <w:rsid w:val="00013090"/>
    <w:rsid w:val="000133CD"/>
    <w:rsid w:val="0001346C"/>
    <w:rsid w:val="00013B21"/>
    <w:rsid w:val="00013D73"/>
    <w:rsid w:val="00013EF1"/>
    <w:rsid w:val="00013FED"/>
    <w:rsid w:val="00014654"/>
    <w:rsid w:val="00014716"/>
    <w:rsid w:val="00014AEE"/>
    <w:rsid w:val="00014CCD"/>
    <w:rsid w:val="00014F7E"/>
    <w:rsid w:val="00014FBF"/>
    <w:rsid w:val="0001511F"/>
    <w:rsid w:val="00015BAF"/>
    <w:rsid w:val="00016085"/>
    <w:rsid w:val="0001652C"/>
    <w:rsid w:val="0001655C"/>
    <w:rsid w:val="0001731C"/>
    <w:rsid w:val="00017886"/>
    <w:rsid w:val="00017923"/>
    <w:rsid w:val="000179AB"/>
    <w:rsid w:val="00017FA5"/>
    <w:rsid w:val="00017FE9"/>
    <w:rsid w:val="000200F2"/>
    <w:rsid w:val="00020148"/>
    <w:rsid w:val="00020B77"/>
    <w:rsid w:val="00020E98"/>
    <w:rsid w:val="000214DE"/>
    <w:rsid w:val="0002180D"/>
    <w:rsid w:val="00021D51"/>
    <w:rsid w:val="0002263B"/>
    <w:rsid w:val="000227EE"/>
    <w:rsid w:val="000232D3"/>
    <w:rsid w:val="00023848"/>
    <w:rsid w:val="0002414D"/>
    <w:rsid w:val="0002479F"/>
    <w:rsid w:val="0002489A"/>
    <w:rsid w:val="00024A08"/>
    <w:rsid w:val="00024D58"/>
    <w:rsid w:val="00025490"/>
    <w:rsid w:val="00025B1A"/>
    <w:rsid w:val="00025E0C"/>
    <w:rsid w:val="000260CF"/>
    <w:rsid w:val="00026286"/>
    <w:rsid w:val="00026B03"/>
    <w:rsid w:val="000271BF"/>
    <w:rsid w:val="00027402"/>
    <w:rsid w:val="00027901"/>
    <w:rsid w:val="00027E6C"/>
    <w:rsid w:val="00027FC8"/>
    <w:rsid w:val="0003050C"/>
    <w:rsid w:val="00030D93"/>
    <w:rsid w:val="00030E8F"/>
    <w:rsid w:val="000323CA"/>
    <w:rsid w:val="00032EE2"/>
    <w:rsid w:val="000332FB"/>
    <w:rsid w:val="00033C97"/>
    <w:rsid w:val="00034220"/>
    <w:rsid w:val="00034566"/>
    <w:rsid w:val="0003458B"/>
    <w:rsid w:val="00035084"/>
    <w:rsid w:val="000351CA"/>
    <w:rsid w:val="00035578"/>
    <w:rsid w:val="0003613B"/>
    <w:rsid w:val="000364B7"/>
    <w:rsid w:val="00036959"/>
    <w:rsid w:val="00036FE7"/>
    <w:rsid w:val="00037091"/>
    <w:rsid w:val="000376AA"/>
    <w:rsid w:val="00037B7E"/>
    <w:rsid w:val="0004001A"/>
    <w:rsid w:val="00040266"/>
    <w:rsid w:val="00040709"/>
    <w:rsid w:val="000409BC"/>
    <w:rsid w:val="00041FCD"/>
    <w:rsid w:val="00041FD7"/>
    <w:rsid w:val="00042A12"/>
    <w:rsid w:val="000430A7"/>
    <w:rsid w:val="000432D3"/>
    <w:rsid w:val="0004368B"/>
    <w:rsid w:val="0004381F"/>
    <w:rsid w:val="00043D3D"/>
    <w:rsid w:val="0004482A"/>
    <w:rsid w:val="000449CF"/>
    <w:rsid w:val="00044B17"/>
    <w:rsid w:val="00044B2C"/>
    <w:rsid w:val="000458DC"/>
    <w:rsid w:val="00045A37"/>
    <w:rsid w:val="00045D55"/>
    <w:rsid w:val="00045F1C"/>
    <w:rsid w:val="0004617B"/>
    <w:rsid w:val="0004669A"/>
    <w:rsid w:val="00046C4F"/>
    <w:rsid w:val="00046CA0"/>
    <w:rsid w:val="00046E0C"/>
    <w:rsid w:val="000472EE"/>
    <w:rsid w:val="00047887"/>
    <w:rsid w:val="00047CF9"/>
    <w:rsid w:val="00047D8B"/>
    <w:rsid w:val="00050019"/>
    <w:rsid w:val="000508E3"/>
    <w:rsid w:val="00050938"/>
    <w:rsid w:val="000509EC"/>
    <w:rsid w:val="00051FAB"/>
    <w:rsid w:val="0005214A"/>
    <w:rsid w:val="000522AE"/>
    <w:rsid w:val="0005263B"/>
    <w:rsid w:val="0005296C"/>
    <w:rsid w:val="00052D62"/>
    <w:rsid w:val="00053254"/>
    <w:rsid w:val="000534A9"/>
    <w:rsid w:val="0005363E"/>
    <w:rsid w:val="00053B7A"/>
    <w:rsid w:val="0005409B"/>
    <w:rsid w:val="00054BCA"/>
    <w:rsid w:val="00054DA2"/>
    <w:rsid w:val="000556CF"/>
    <w:rsid w:val="00055DAC"/>
    <w:rsid w:val="00056066"/>
    <w:rsid w:val="00056418"/>
    <w:rsid w:val="0005670A"/>
    <w:rsid w:val="00056A7D"/>
    <w:rsid w:val="00056DA6"/>
    <w:rsid w:val="000571DE"/>
    <w:rsid w:val="000575B7"/>
    <w:rsid w:val="00057687"/>
    <w:rsid w:val="00057914"/>
    <w:rsid w:val="00057BA1"/>
    <w:rsid w:val="0006008B"/>
    <w:rsid w:val="00060497"/>
    <w:rsid w:val="000608FD"/>
    <w:rsid w:val="0006093D"/>
    <w:rsid w:val="0006149D"/>
    <w:rsid w:val="00061652"/>
    <w:rsid w:val="00061F5E"/>
    <w:rsid w:val="00062B1F"/>
    <w:rsid w:val="00062BCF"/>
    <w:rsid w:val="00062DDA"/>
    <w:rsid w:val="00062FF7"/>
    <w:rsid w:val="00063072"/>
    <w:rsid w:val="000632CF"/>
    <w:rsid w:val="00063930"/>
    <w:rsid w:val="00063E5E"/>
    <w:rsid w:val="000641B7"/>
    <w:rsid w:val="0006470D"/>
    <w:rsid w:val="00064730"/>
    <w:rsid w:val="00064835"/>
    <w:rsid w:val="000651F5"/>
    <w:rsid w:val="00065766"/>
    <w:rsid w:val="00065CAB"/>
    <w:rsid w:val="0006643C"/>
    <w:rsid w:val="0006674D"/>
    <w:rsid w:val="0006687E"/>
    <w:rsid w:val="00066B3C"/>
    <w:rsid w:val="000670B2"/>
    <w:rsid w:val="0006712E"/>
    <w:rsid w:val="00067265"/>
    <w:rsid w:val="000679BB"/>
    <w:rsid w:val="00067C01"/>
    <w:rsid w:val="000700CB"/>
    <w:rsid w:val="000707E1"/>
    <w:rsid w:val="00070CB9"/>
    <w:rsid w:val="00070CFB"/>
    <w:rsid w:val="000712FA"/>
    <w:rsid w:val="00071C07"/>
    <w:rsid w:val="0007230B"/>
    <w:rsid w:val="00073635"/>
    <w:rsid w:val="000738AA"/>
    <w:rsid w:val="00073997"/>
    <w:rsid w:val="00073C8A"/>
    <w:rsid w:val="00073CE0"/>
    <w:rsid w:val="00073E6C"/>
    <w:rsid w:val="000742D0"/>
    <w:rsid w:val="00074CB9"/>
    <w:rsid w:val="0007595F"/>
    <w:rsid w:val="00075BF2"/>
    <w:rsid w:val="00075F98"/>
    <w:rsid w:val="00075FDD"/>
    <w:rsid w:val="00076BCD"/>
    <w:rsid w:val="00076C5A"/>
    <w:rsid w:val="00076C96"/>
    <w:rsid w:val="00076E35"/>
    <w:rsid w:val="000770BE"/>
    <w:rsid w:val="0007775B"/>
    <w:rsid w:val="000778C0"/>
    <w:rsid w:val="00077DD6"/>
    <w:rsid w:val="00080669"/>
    <w:rsid w:val="00080ABE"/>
    <w:rsid w:val="00081025"/>
    <w:rsid w:val="0008130B"/>
    <w:rsid w:val="00081523"/>
    <w:rsid w:val="00081770"/>
    <w:rsid w:val="0008194C"/>
    <w:rsid w:val="000819DE"/>
    <w:rsid w:val="00081C2B"/>
    <w:rsid w:val="00081CCD"/>
    <w:rsid w:val="00082602"/>
    <w:rsid w:val="00082DE8"/>
    <w:rsid w:val="000831C4"/>
    <w:rsid w:val="00083690"/>
    <w:rsid w:val="0008384E"/>
    <w:rsid w:val="0008411A"/>
    <w:rsid w:val="00084A8D"/>
    <w:rsid w:val="00084BA1"/>
    <w:rsid w:val="00084BC2"/>
    <w:rsid w:val="000851D0"/>
    <w:rsid w:val="000852BC"/>
    <w:rsid w:val="000854C8"/>
    <w:rsid w:val="0008554B"/>
    <w:rsid w:val="000856BB"/>
    <w:rsid w:val="000858E6"/>
    <w:rsid w:val="00085A0B"/>
    <w:rsid w:val="00085BA2"/>
    <w:rsid w:val="0008659B"/>
    <w:rsid w:val="0008697E"/>
    <w:rsid w:val="00086A93"/>
    <w:rsid w:val="00086D9D"/>
    <w:rsid w:val="00086F68"/>
    <w:rsid w:val="00087026"/>
    <w:rsid w:val="0008724F"/>
    <w:rsid w:val="000873BC"/>
    <w:rsid w:val="00087832"/>
    <w:rsid w:val="00087A6B"/>
    <w:rsid w:val="00090463"/>
    <w:rsid w:val="0009107B"/>
    <w:rsid w:val="000917F6"/>
    <w:rsid w:val="00091C86"/>
    <w:rsid w:val="000926B5"/>
    <w:rsid w:val="00092C43"/>
    <w:rsid w:val="0009391B"/>
    <w:rsid w:val="0009466A"/>
    <w:rsid w:val="000946D1"/>
    <w:rsid w:val="00094887"/>
    <w:rsid w:val="00094892"/>
    <w:rsid w:val="00095501"/>
    <w:rsid w:val="00095636"/>
    <w:rsid w:val="00095A0C"/>
    <w:rsid w:val="00095AFB"/>
    <w:rsid w:val="00096058"/>
    <w:rsid w:val="0009621F"/>
    <w:rsid w:val="00096286"/>
    <w:rsid w:val="000963DB"/>
    <w:rsid w:val="0009645F"/>
    <w:rsid w:val="00096518"/>
    <w:rsid w:val="000966D4"/>
    <w:rsid w:val="00096854"/>
    <w:rsid w:val="00096E0B"/>
    <w:rsid w:val="00096F58"/>
    <w:rsid w:val="00097089"/>
    <w:rsid w:val="0009730E"/>
    <w:rsid w:val="000975AA"/>
    <w:rsid w:val="000A06B3"/>
    <w:rsid w:val="000A0CBF"/>
    <w:rsid w:val="000A1174"/>
    <w:rsid w:val="000A1598"/>
    <w:rsid w:val="000A15AA"/>
    <w:rsid w:val="000A1874"/>
    <w:rsid w:val="000A1895"/>
    <w:rsid w:val="000A1B3E"/>
    <w:rsid w:val="000A2B85"/>
    <w:rsid w:val="000A3379"/>
    <w:rsid w:val="000A3D94"/>
    <w:rsid w:val="000A3EE8"/>
    <w:rsid w:val="000A49D6"/>
    <w:rsid w:val="000A4A16"/>
    <w:rsid w:val="000A4A6E"/>
    <w:rsid w:val="000A4B92"/>
    <w:rsid w:val="000A4C36"/>
    <w:rsid w:val="000A4F87"/>
    <w:rsid w:val="000A53CD"/>
    <w:rsid w:val="000A56B0"/>
    <w:rsid w:val="000A649F"/>
    <w:rsid w:val="000A686D"/>
    <w:rsid w:val="000A6C08"/>
    <w:rsid w:val="000A6E2C"/>
    <w:rsid w:val="000A7280"/>
    <w:rsid w:val="000A74E6"/>
    <w:rsid w:val="000A7905"/>
    <w:rsid w:val="000A7D1D"/>
    <w:rsid w:val="000B0127"/>
    <w:rsid w:val="000B043E"/>
    <w:rsid w:val="000B047A"/>
    <w:rsid w:val="000B08C6"/>
    <w:rsid w:val="000B0F4B"/>
    <w:rsid w:val="000B1C58"/>
    <w:rsid w:val="000B2E24"/>
    <w:rsid w:val="000B348A"/>
    <w:rsid w:val="000B37A5"/>
    <w:rsid w:val="000B3BFF"/>
    <w:rsid w:val="000B3EF1"/>
    <w:rsid w:val="000B487F"/>
    <w:rsid w:val="000B5694"/>
    <w:rsid w:val="000B5821"/>
    <w:rsid w:val="000B59DE"/>
    <w:rsid w:val="000B5F31"/>
    <w:rsid w:val="000B5FE8"/>
    <w:rsid w:val="000B61E3"/>
    <w:rsid w:val="000B627D"/>
    <w:rsid w:val="000B739A"/>
    <w:rsid w:val="000B76D4"/>
    <w:rsid w:val="000B7983"/>
    <w:rsid w:val="000B7DC7"/>
    <w:rsid w:val="000C0ADF"/>
    <w:rsid w:val="000C1819"/>
    <w:rsid w:val="000C1CDB"/>
    <w:rsid w:val="000C1F17"/>
    <w:rsid w:val="000C24C1"/>
    <w:rsid w:val="000C28EA"/>
    <w:rsid w:val="000C2959"/>
    <w:rsid w:val="000C2D83"/>
    <w:rsid w:val="000C39AA"/>
    <w:rsid w:val="000C3B9C"/>
    <w:rsid w:val="000C3EFC"/>
    <w:rsid w:val="000C41E5"/>
    <w:rsid w:val="000C44F8"/>
    <w:rsid w:val="000C51A0"/>
    <w:rsid w:val="000C5320"/>
    <w:rsid w:val="000C5388"/>
    <w:rsid w:val="000C5D57"/>
    <w:rsid w:val="000C6772"/>
    <w:rsid w:val="000C681E"/>
    <w:rsid w:val="000C716C"/>
    <w:rsid w:val="000C741C"/>
    <w:rsid w:val="000C7903"/>
    <w:rsid w:val="000C7AEE"/>
    <w:rsid w:val="000C7EBD"/>
    <w:rsid w:val="000C7F4A"/>
    <w:rsid w:val="000D01E3"/>
    <w:rsid w:val="000D058E"/>
    <w:rsid w:val="000D0D05"/>
    <w:rsid w:val="000D1002"/>
    <w:rsid w:val="000D11C1"/>
    <w:rsid w:val="000D12BC"/>
    <w:rsid w:val="000D1584"/>
    <w:rsid w:val="000D1A27"/>
    <w:rsid w:val="000D1BC2"/>
    <w:rsid w:val="000D2067"/>
    <w:rsid w:val="000D2CF7"/>
    <w:rsid w:val="000D2E36"/>
    <w:rsid w:val="000D2FD3"/>
    <w:rsid w:val="000D318E"/>
    <w:rsid w:val="000D3F77"/>
    <w:rsid w:val="000D45A7"/>
    <w:rsid w:val="000D57E7"/>
    <w:rsid w:val="000D598F"/>
    <w:rsid w:val="000D6820"/>
    <w:rsid w:val="000D69BD"/>
    <w:rsid w:val="000D71A9"/>
    <w:rsid w:val="000D75CE"/>
    <w:rsid w:val="000D771F"/>
    <w:rsid w:val="000D7EFB"/>
    <w:rsid w:val="000E0037"/>
    <w:rsid w:val="000E0592"/>
    <w:rsid w:val="000E06FD"/>
    <w:rsid w:val="000E0A39"/>
    <w:rsid w:val="000E0B71"/>
    <w:rsid w:val="000E1555"/>
    <w:rsid w:val="000E1A5B"/>
    <w:rsid w:val="000E1FFB"/>
    <w:rsid w:val="000E222C"/>
    <w:rsid w:val="000E2BE1"/>
    <w:rsid w:val="000E2F93"/>
    <w:rsid w:val="000E3166"/>
    <w:rsid w:val="000E383F"/>
    <w:rsid w:val="000E4638"/>
    <w:rsid w:val="000E4B7D"/>
    <w:rsid w:val="000E598E"/>
    <w:rsid w:val="000E59CA"/>
    <w:rsid w:val="000E5C87"/>
    <w:rsid w:val="000E6422"/>
    <w:rsid w:val="000E69E0"/>
    <w:rsid w:val="000E69FD"/>
    <w:rsid w:val="000E746F"/>
    <w:rsid w:val="000E7501"/>
    <w:rsid w:val="000E7B05"/>
    <w:rsid w:val="000E7F7A"/>
    <w:rsid w:val="000F0002"/>
    <w:rsid w:val="000F0836"/>
    <w:rsid w:val="000F0CAB"/>
    <w:rsid w:val="000F0E6D"/>
    <w:rsid w:val="000F12A8"/>
    <w:rsid w:val="000F141D"/>
    <w:rsid w:val="000F208F"/>
    <w:rsid w:val="000F2127"/>
    <w:rsid w:val="000F25E4"/>
    <w:rsid w:val="000F2BF2"/>
    <w:rsid w:val="000F31E5"/>
    <w:rsid w:val="000F3841"/>
    <w:rsid w:val="000F3E62"/>
    <w:rsid w:val="000F42D5"/>
    <w:rsid w:val="000F4F76"/>
    <w:rsid w:val="000F5032"/>
    <w:rsid w:val="000F50AA"/>
    <w:rsid w:val="000F541F"/>
    <w:rsid w:val="000F56A7"/>
    <w:rsid w:val="000F594C"/>
    <w:rsid w:val="000F626F"/>
    <w:rsid w:val="000F6507"/>
    <w:rsid w:val="000F6DF2"/>
    <w:rsid w:val="000F70A2"/>
    <w:rsid w:val="0010005E"/>
    <w:rsid w:val="00100627"/>
    <w:rsid w:val="001008EF"/>
    <w:rsid w:val="00100AB4"/>
    <w:rsid w:val="00100F9D"/>
    <w:rsid w:val="0010111D"/>
    <w:rsid w:val="00101364"/>
    <w:rsid w:val="0010170B"/>
    <w:rsid w:val="001020BD"/>
    <w:rsid w:val="0010243D"/>
    <w:rsid w:val="00102876"/>
    <w:rsid w:val="00102CD5"/>
    <w:rsid w:val="00103170"/>
    <w:rsid w:val="001035EF"/>
    <w:rsid w:val="00103D6B"/>
    <w:rsid w:val="00103D81"/>
    <w:rsid w:val="00104A04"/>
    <w:rsid w:val="00105556"/>
    <w:rsid w:val="001060DC"/>
    <w:rsid w:val="001068C7"/>
    <w:rsid w:val="001068EC"/>
    <w:rsid w:val="001070B6"/>
    <w:rsid w:val="001074D7"/>
    <w:rsid w:val="00107D76"/>
    <w:rsid w:val="00107DC7"/>
    <w:rsid w:val="00107FBA"/>
    <w:rsid w:val="00110C77"/>
    <w:rsid w:val="001111D4"/>
    <w:rsid w:val="00111270"/>
    <w:rsid w:val="00111577"/>
    <w:rsid w:val="00111837"/>
    <w:rsid w:val="00111D83"/>
    <w:rsid w:val="00112111"/>
    <w:rsid w:val="001121E9"/>
    <w:rsid w:val="001123D3"/>
    <w:rsid w:val="001127C9"/>
    <w:rsid w:val="00112AC2"/>
    <w:rsid w:val="00112FF1"/>
    <w:rsid w:val="00113CEF"/>
    <w:rsid w:val="00113EFA"/>
    <w:rsid w:val="001144A4"/>
    <w:rsid w:val="001153B8"/>
    <w:rsid w:val="001154AC"/>
    <w:rsid w:val="00115C6F"/>
    <w:rsid w:val="00116002"/>
    <w:rsid w:val="001162D6"/>
    <w:rsid w:val="0011660D"/>
    <w:rsid w:val="00116781"/>
    <w:rsid w:val="001167DA"/>
    <w:rsid w:val="00116EE7"/>
    <w:rsid w:val="0011731D"/>
    <w:rsid w:val="00117456"/>
    <w:rsid w:val="0011745A"/>
    <w:rsid w:val="00117A79"/>
    <w:rsid w:val="00117FC1"/>
    <w:rsid w:val="0012027C"/>
    <w:rsid w:val="0012072D"/>
    <w:rsid w:val="00120AEA"/>
    <w:rsid w:val="00120E3C"/>
    <w:rsid w:val="00120FC6"/>
    <w:rsid w:val="0012106E"/>
    <w:rsid w:val="001211E2"/>
    <w:rsid w:val="00121681"/>
    <w:rsid w:val="0012199C"/>
    <w:rsid w:val="00121EDB"/>
    <w:rsid w:val="001222AD"/>
    <w:rsid w:val="00122415"/>
    <w:rsid w:val="00122BD0"/>
    <w:rsid w:val="0012341D"/>
    <w:rsid w:val="00123B5F"/>
    <w:rsid w:val="00123C49"/>
    <w:rsid w:val="00123CDF"/>
    <w:rsid w:val="00123D4B"/>
    <w:rsid w:val="001242F2"/>
    <w:rsid w:val="00124319"/>
    <w:rsid w:val="00124A68"/>
    <w:rsid w:val="00125081"/>
    <w:rsid w:val="001256E4"/>
    <w:rsid w:val="001257E6"/>
    <w:rsid w:val="00125B27"/>
    <w:rsid w:val="00125CAC"/>
    <w:rsid w:val="00125F71"/>
    <w:rsid w:val="001264E9"/>
    <w:rsid w:val="00126751"/>
    <w:rsid w:val="00126AFD"/>
    <w:rsid w:val="00127170"/>
    <w:rsid w:val="00130112"/>
    <w:rsid w:val="0013057D"/>
    <w:rsid w:val="001307A5"/>
    <w:rsid w:val="00130873"/>
    <w:rsid w:val="00130CAA"/>
    <w:rsid w:val="00130CD4"/>
    <w:rsid w:val="00130D37"/>
    <w:rsid w:val="00130F11"/>
    <w:rsid w:val="00131270"/>
    <w:rsid w:val="001317C4"/>
    <w:rsid w:val="0013200D"/>
    <w:rsid w:val="0013214B"/>
    <w:rsid w:val="00132C5E"/>
    <w:rsid w:val="00133330"/>
    <w:rsid w:val="0013343D"/>
    <w:rsid w:val="00133BC4"/>
    <w:rsid w:val="00133C04"/>
    <w:rsid w:val="00133ECA"/>
    <w:rsid w:val="001342C0"/>
    <w:rsid w:val="001354B0"/>
    <w:rsid w:val="00136C43"/>
    <w:rsid w:val="00136F54"/>
    <w:rsid w:val="001371EE"/>
    <w:rsid w:val="0013759E"/>
    <w:rsid w:val="00137A73"/>
    <w:rsid w:val="00137D91"/>
    <w:rsid w:val="0014064A"/>
    <w:rsid w:val="00140926"/>
    <w:rsid w:val="0014097D"/>
    <w:rsid w:val="00140E5F"/>
    <w:rsid w:val="001412BC"/>
    <w:rsid w:val="00141A83"/>
    <w:rsid w:val="00143197"/>
    <w:rsid w:val="00143205"/>
    <w:rsid w:val="001439DB"/>
    <w:rsid w:val="00144F63"/>
    <w:rsid w:val="001456CB"/>
    <w:rsid w:val="001457C8"/>
    <w:rsid w:val="00145917"/>
    <w:rsid w:val="0014616F"/>
    <w:rsid w:val="0014617A"/>
    <w:rsid w:val="001462FC"/>
    <w:rsid w:val="00146634"/>
    <w:rsid w:val="0014669A"/>
    <w:rsid w:val="00146A6D"/>
    <w:rsid w:val="00146C5B"/>
    <w:rsid w:val="00146CA7"/>
    <w:rsid w:val="00147059"/>
    <w:rsid w:val="0014747A"/>
    <w:rsid w:val="001476F6"/>
    <w:rsid w:val="00150406"/>
    <w:rsid w:val="00150A90"/>
    <w:rsid w:val="0015113A"/>
    <w:rsid w:val="001511D2"/>
    <w:rsid w:val="0015135C"/>
    <w:rsid w:val="0015137F"/>
    <w:rsid w:val="0015143B"/>
    <w:rsid w:val="0015165A"/>
    <w:rsid w:val="00151C86"/>
    <w:rsid w:val="00151E73"/>
    <w:rsid w:val="001528D2"/>
    <w:rsid w:val="00152B86"/>
    <w:rsid w:val="00152D6A"/>
    <w:rsid w:val="001537B1"/>
    <w:rsid w:val="001539B2"/>
    <w:rsid w:val="00153BD2"/>
    <w:rsid w:val="00153C03"/>
    <w:rsid w:val="00153E07"/>
    <w:rsid w:val="00154516"/>
    <w:rsid w:val="001546B4"/>
    <w:rsid w:val="001548B7"/>
    <w:rsid w:val="001548CF"/>
    <w:rsid w:val="00154B90"/>
    <w:rsid w:val="0015546C"/>
    <w:rsid w:val="00155942"/>
    <w:rsid w:val="00155BE6"/>
    <w:rsid w:val="0015675F"/>
    <w:rsid w:val="00156BE6"/>
    <w:rsid w:val="00156C24"/>
    <w:rsid w:val="00157569"/>
    <w:rsid w:val="001575B6"/>
    <w:rsid w:val="00157D68"/>
    <w:rsid w:val="00157DEB"/>
    <w:rsid w:val="00160165"/>
    <w:rsid w:val="001606E8"/>
    <w:rsid w:val="00160E5C"/>
    <w:rsid w:val="00161656"/>
    <w:rsid w:val="00161C33"/>
    <w:rsid w:val="001625CB"/>
    <w:rsid w:val="00162B2A"/>
    <w:rsid w:val="00162BA9"/>
    <w:rsid w:val="00162F1F"/>
    <w:rsid w:val="00163806"/>
    <w:rsid w:val="00163CE4"/>
    <w:rsid w:val="00164B93"/>
    <w:rsid w:val="00164CE5"/>
    <w:rsid w:val="0016549F"/>
    <w:rsid w:val="00165979"/>
    <w:rsid w:val="001659A8"/>
    <w:rsid w:val="00165A8E"/>
    <w:rsid w:val="00165AAF"/>
    <w:rsid w:val="00165C7E"/>
    <w:rsid w:val="00165F31"/>
    <w:rsid w:val="00166095"/>
    <w:rsid w:val="001662FC"/>
    <w:rsid w:val="00166346"/>
    <w:rsid w:val="00166CBB"/>
    <w:rsid w:val="0016786C"/>
    <w:rsid w:val="00167870"/>
    <w:rsid w:val="00167FB1"/>
    <w:rsid w:val="001701E5"/>
    <w:rsid w:val="00170C06"/>
    <w:rsid w:val="00170CCE"/>
    <w:rsid w:val="00171646"/>
    <w:rsid w:val="0017172C"/>
    <w:rsid w:val="00171DF0"/>
    <w:rsid w:val="00172A27"/>
    <w:rsid w:val="00173088"/>
    <w:rsid w:val="0017317E"/>
    <w:rsid w:val="001736C3"/>
    <w:rsid w:val="0017412E"/>
    <w:rsid w:val="0017453D"/>
    <w:rsid w:val="001746E6"/>
    <w:rsid w:val="00174A95"/>
    <w:rsid w:val="00174DEC"/>
    <w:rsid w:val="001753ED"/>
    <w:rsid w:val="001766B3"/>
    <w:rsid w:val="00176E72"/>
    <w:rsid w:val="001770B9"/>
    <w:rsid w:val="0017713E"/>
    <w:rsid w:val="00180764"/>
    <w:rsid w:val="001809BE"/>
    <w:rsid w:val="00180AB2"/>
    <w:rsid w:val="00180B72"/>
    <w:rsid w:val="00180F2A"/>
    <w:rsid w:val="001811E4"/>
    <w:rsid w:val="001812D5"/>
    <w:rsid w:val="001819A7"/>
    <w:rsid w:val="00181BBB"/>
    <w:rsid w:val="00181C28"/>
    <w:rsid w:val="00181E3B"/>
    <w:rsid w:val="0018227F"/>
    <w:rsid w:val="001829DE"/>
    <w:rsid w:val="00182AE1"/>
    <w:rsid w:val="0018304B"/>
    <w:rsid w:val="0018386B"/>
    <w:rsid w:val="00183FAC"/>
    <w:rsid w:val="0018408E"/>
    <w:rsid w:val="0018415F"/>
    <w:rsid w:val="001842A6"/>
    <w:rsid w:val="00184499"/>
    <w:rsid w:val="00184D6F"/>
    <w:rsid w:val="00184EEE"/>
    <w:rsid w:val="00185091"/>
    <w:rsid w:val="001852DD"/>
    <w:rsid w:val="00185AF7"/>
    <w:rsid w:val="00186166"/>
    <w:rsid w:val="00186170"/>
    <w:rsid w:val="00186435"/>
    <w:rsid w:val="00186527"/>
    <w:rsid w:val="0018680E"/>
    <w:rsid w:val="00186874"/>
    <w:rsid w:val="00186AA1"/>
    <w:rsid w:val="00186BF0"/>
    <w:rsid w:val="001870D9"/>
    <w:rsid w:val="001870F6"/>
    <w:rsid w:val="00187166"/>
    <w:rsid w:val="001871DE"/>
    <w:rsid w:val="00187B80"/>
    <w:rsid w:val="00187ED1"/>
    <w:rsid w:val="00187FCC"/>
    <w:rsid w:val="001900B7"/>
    <w:rsid w:val="00190233"/>
    <w:rsid w:val="00190266"/>
    <w:rsid w:val="001905B3"/>
    <w:rsid w:val="00191123"/>
    <w:rsid w:val="00191BCE"/>
    <w:rsid w:val="00191DCC"/>
    <w:rsid w:val="001920B2"/>
    <w:rsid w:val="0019236A"/>
    <w:rsid w:val="00192704"/>
    <w:rsid w:val="0019285A"/>
    <w:rsid w:val="00193CCB"/>
    <w:rsid w:val="00193D28"/>
    <w:rsid w:val="001942B9"/>
    <w:rsid w:val="001942C9"/>
    <w:rsid w:val="0019468C"/>
    <w:rsid w:val="001959E2"/>
    <w:rsid w:val="00195C02"/>
    <w:rsid w:val="00195EC3"/>
    <w:rsid w:val="001963C6"/>
    <w:rsid w:val="00197092"/>
    <w:rsid w:val="0019767F"/>
    <w:rsid w:val="0019799F"/>
    <w:rsid w:val="00197DCB"/>
    <w:rsid w:val="00197E09"/>
    <w:rsid w:val="001A00A7"/>
    <w:rsid w:val="001A11A8"/>
    <w:rsid w:val="001A1269"/>
    <w:rsid w:val="001A19DB"/>
    <w:rsid w:val="001A2591"/>
    <w:rsid w:val="001A2663"/>
    <w:rsid w:val="001A27EC"/>
    <w:rsid w:val="001A2DA1"/>
    <w:rsid w:val="001A3501"/>
    <w:rsid w:val="001A3571"/>
    <w:rsid w:val="001A35B3"/>
    <w:rsid w:val="001A3AA0"/>
    <w:rsid w:val="001A44E7"/>
    <w:rsid w:val="001A46EC"/>
    <w:rsid w:val="001A4B52"/>
    <w:rsid w:val="001A543D"/>
    <w:rsid w:val="001A5906"/>
    <w:rsid w:val="001A5FFB"/>
    <w:rsid w:val="001A6777"/>
    <w:rsid w:val="001A7BF5"/>
    <w:rsid w:val="001B1316"/>
    <w:rsid w:val="001B1425"/>
    <w:rsid w:val="001B1971"/>
    <w:rsid w:val="001B1FA5"/>
    <w:rsid w:val="001B2049"/>
    <w:rsid w:val="001B2807"/>
    <w:rsid w:val="001B2CD6"/>
    <w:rsid w:val="001B3210"/>
    <w:rsid w:val="001B3528"/>
    <w:rsid w:val="001B3628"/>
    <w:rsid w:val="001B3B9A"/>
    <w:rsid w:val="001B5075"/>
    <w:rsid w:val="001B5732"/>
    <w:rsid w:val="001B5A21"/>
    <w:rsid w:val="001B611A"/>
    <w:rsid w:val="001B659D"/>
    <w:rsid w:val="001B6C66"/>
    <w:rsid w:val="001B7817"/>
    <w:rsid w:val="001B7A46"/>
    <w:rsid w:val="001B7E03"/>
    <w:rsid w:val="001C0139"/>
    <w:rsid w:val="001C04CF"/>
    <w:rsid w:val="001C051B"/>
    <w:rsid w:val="001C0520"/>
    <w:rsid w:val="001C06FC"/>
    <w:rsid w:val="001C0D97"/>
    <w:rsid w:val="001C13BB"/>
    <w:rsid w:val="001C145D"/>
    <w:rsid w:val="001C1AE5"/>
    <w:rsid w:val="001C1CA3"/>
    <w:rsid w:val="001C2531"/>
    <w:rsid w:val="001C2B2C"/>
    <w:rsid w:val="001C2D31"/>
    <w:rsid w:val="001C3595"/>
    <w:rsid w:val="001C3F19"/>
    <w:rsid w:val="001C3FA6"/>
    <w:rsid w:val="001C4293"/>
    <w:rsid w:val="001C43C9"/>
    <w:rsid w:val="001C4808"/>
    <w:rsid w:val="001C4A44"/>
    <w:rsid w:val="001C4A55"/>
    <w:rsid w:val="001C4BE4"/>
    <w:rsid w:val="001C4F2A"/>
    <w:rsid w:val="001C529B"/>
    <w:rsid w:val="001C5C0B"/>
    <w:rsid w:val="001C6063"/>
    <w:rsid w:val="001C619E"/>
    <w:rsid w:val="001C6348"/>
    <w:rsid w:val="001C7164"/>
    <w:rsid w:val="001C7400"/>
    <w:rsid w:val="001C7BC8"/>
    <w:rsid w:val="001C7D85"/>
    <w:rsid w:val="001D00D8"/>
    <w:rsid w:val="001D0581"/>
    <w:rsid w:val="001D0DE6"/>
    <w:rsid w:val="001D0DF7"/>
    <w:rsid w:val="001D0E15"/>
    <w:rsid w:val="001D1055"/>
    <w:rsid w:val="001D116B"/>
    <w:rsid w:val="001D1750"/>
    <w:rsid w:val="001D2F46"/>
    <w:rsid w:val="001D3125"/>
    <w:rsid w:val="001D383F"/>
    <w:rsid w:val="001D3B51"/>
    <w:rsid w:val="001D3BBF"/>
    <w:rsid w:val="001D3C3D"/>
    <w:rsid w:val="001D3E0E"/>
    <w:rsid w:val="001D3E66"/>
    <w:rsid w:val="001D46F8"/>
    <w:rsid w:val="001D4745"/>
    <w:rsid w:val="001D4D7F"/>
    <w:rsid w:val="001D553C"/>
    <w:rsid w:val="001D565D"/>
    <w:rsid w:val="001D6D5A"/>
    <w:rsid w:val="001D6D9F"/>
    <w:rsid w:val="001D6F05"/>
    <w:rsid w:val="001D7101"/>
    <w:rsid w:val="001D71C4"/>
    <w:rsid w:val="001D790C"/>
    <w:rsid w:val="001D7AE1"/>
    <w:rsid w:val="001E065C"/>
    <w:rsid w:val="001E084B"/>
    <w:rsid w:val="001E08BA"/>
    <w:rsid w:val="001E0F69"/>
    <w:rsid w:val="001E1A19"/>
    <w:rsid w:val="001E1B25"/>
    <w:rsid w:val="001E1B3A"/>
    <w:rsid w:val="001E1D79"/>
    <w:rsid w:val="001E1DB4"/>
    <w:rsid w:val="001E2B2E"/>
    <w:rsid w:val="001E3340"/>
    <w:rsid w:val="001E34E3"/>
    <w:rsid w:val="001E372F"/>
    <w:rsid w:val="001E3DCA"/>
    <w:rsid w:val="001E3DD6"/>
    <w:rsid w:val="001E3DF7"/>
    <w:rsid w:val="001E48FD"/>
    <w:rsid w:val="001E4F57"/>
    <w:rsid w:val="001E53B5"/>
    <w:rsid w:val="001E58AE"/>
    <w:rsid w:val="001E5917"/>
    <w:rsid w:val="001E595F"/>
    <w:rsid w:val="001E5981"/>
    <w:rsid w:val="001E61B4"/>
    <w:rsid w:val="001E68B4"/>
    <w:rsid w:val="001E6905"/>
    <w:rsid w:val="001E6AA1"/>
    <w:rsid w:val="001E6AC2"/>
    <w:rsid w:val="001E6AD9"/>
    <w:rsid w:val="001E6D61"/>
    <w:rsid w:val="001E76FE"/>
    <w:rsid w:val="001F04A6"/>
    <w:rsid w:val="001F05FD"/>
    <w:rsid w:val="001F0F32"/>
    <w:rsid w:val="001F0F7C"/>
    <w:rsid w:val="001F1460"/>
    <w:rsid w:val="001F1B61"/>
    <w:rsid w:val="001F27DF"/>
    <w:rsid w:val="001F31B0"/>
    <w:rsid w:val="001F32A3"/>
    <w:rsid w:val="001F3617"/>
    <w:rsid w:val="001F3D6C"/>
    <w:rsid w:val="001F3E14"/>
    <w:rsid w:val="001F3EF8"/>
    <w:rsid w:val="001F404F"/>
    <w:rsid w:val="001F446B"/>
    <w:rsid w:val="001F4A27"/>
    <w:rsid w:val="001F4B13"/>
    <w:rsid w:val="001F4B40"/>
    <w:rsid w:val="001F4C13"/>
    <w:rsid w:val="001F5666"/>
    <w:rsid w:val="001F5AB5"/>
    <w:rsid w:val="001F5C37"/>
    <w:rsid w:val="001F5D4B"/>
    <w:rsid w:val="001F5D9E"/>
    <w:rsid w:val="001F5F16"/>
    <w:rsid w:val="001F6088"/>
    <w:rsid w:val="001F60B6"/>
    <w:rsid w:val="001F6A01"/>
    <w:rsid w:val="001F6AFD"/>
    <w:rsid w:val="001F6B44"/>
    <w:rsid w:val="001F6CA0"/>
    <w:rsid w:val="001F7084"/>
    <w:rsid w:val="001F74F2"/>
    <w:rsid w:val="001F74F6"/>
    <w:rsid w:val="001F7750"/>
    <w:rsid w:val="001F7E97"/>
    <w:rsid w:val="00200145"/>
    <w:rsid w:val="00200A48"/>
    <w:rsid w:val="00201402"/>
    <w:rsid w:val="0020158D"/>
    <w:rsid w:val="00201730"/>
    <w:rsid w:val="002018A2"/>
    <w:rsid w:val="00202B77"/>
    <w:rsid w:val="002038B5"/>
    <w:rsid w:val="00203C38"/>
    <w:rsid w:val="00203EED"/>
    <w:rsid w:val="00204E60"/>
    <w:rsid w:val="0020599D"/>
    <w:rsid w:val="0020655A"/>
    <w:rsid w:val="00206B30"/>
    <w:rsid w:val="00206BE2"/>
    <w:rsid w:val="00207092"/>
    <w:rsid w:val="00207323"/>
    <w:rsid w:val="0020781F"/>
    <w:rsid w:val="00210058"/>
    <w:rsid w:val="0021044D"/>
    <w:rsid w:val="00210652"/>
    <w:rsid w:val="0021090D"/>
    <w:rsid w:val="0021157A"/>
    <w:rsid w:val="00211602"/>
    <w:rsid w:val="00211A35"/>
    <w:rsid w:val="00211B81"/>
    <w:rsid w:val="0021213A"/>
    <w:rsid w:val="0021294B"/>
    <w:rsid w:val="00212A0A"/>
    <w:rsid w:val="0021314D"/>
    <w:rsid w:val="00213239"/>
    <w:rsid w:val="00213508"/>
    <w:rsid w:val="002147C4"/>
    <w:rsid w:val="0021500E"/>
    <w:rsid w:val="002152A4"/>
    <w:rsid w:val="002155E9"/>
    <w:rsid w:val="002157D1"/>
    <w:rsid w:val="00215E80"/>
    <w:rsid w:val="00216FB2"/>
    <w:rsid w:val="00217582"/>
    <w:rsid w:val="0021772D"/>
    <w:rsid w:val="00217CC0"/>
    <w:rsid w:val="00217EDD"/>
    <w:rsid w:val="00220575"/>
    <w:rsid w:val="00220577"/>
    <w:rsid w:val="0022064D"/>
    <w:rsid w:val="00220701"/>
    <w:rsid w:val="00220EEC"/>
    <w:rsid w:val="00221070"/>
    <w:rsid w:val="00221A10"/>
    <w:rsid w:val="00221A53"/>
    <w:rsid w:val="00221BA7"/>
    <w:rsid w:val="00221D3B"/>
    <w:rsid w:val="002220A9"/>
    <w:rsid w:val="002222EE"/>
    <w:rsid w:val="00222407"/>
    <w:rsid w:val="002224CD"/>
    <w:rsid w:val="00222796"/>
    <w:rsid w:val="00222AF2"/>
    <w:rsid w:val="00222B0B"/>
    <w:rsid w:val="00222C4B"/>
    <w:rsid w:val="00222C4F"/>
    <w:rsid w:val="00223288"/>
    <w:rsid w:val="00223328"/>
    <w:rsid w:val="00223406"/>
    <w:rsid w:val="00223590"/>
    <w:rsid w:val="0022383D"/>
    <w:rsid w:val="00224668"/>
    <w:rsid w:val="00224F63"/>
    <w:rsid w:val="00225606"/>
    <w:rsid w:val="00226CFF"/>
    <w:rsid w:val="00226D38"/>
    <w:rsid w:val="0022757B"/>
    <w:rsid w:val="00230B32"/>
    <w:rsid w:val="00230B72"/>
    <w:rsid w:val="00230C59"/>
    <w:rsid w:val="00231077"/>
    <w:rsid w:val="00232C63"/>
    <w:rsid w:val="00232F11"/>
    <w:rsid w:val="0023301F"/>
    <w:rsid w:val="0023387B"/>
    <w:rsid w:val="0023449A"/>
    <w:rsid w:val="00234652"/>
    <w:rsid w:val="002346BA"/>
    <w:rsid w:val="00234AC7"/>
    <w:rsid w:val="00234C15"/>
    <w:rsid w:val="00235615"/>
    <w:rsid w:val="0023566D"/>
    <w:rsid w:val="00235E65"/>
    <w:rsid w:val="0023630D"/>
    <w:rsid w:val="002364E7"/>
    <w:rsid w:val="00236710"/>
    <w:rsid w:val="0023683E"/>
    <w:rsid w:val="0023687E"/>
    <w:rsid w:val="00236DA5"/>
    <w:rsid w:val="00237527"/>
    <w:rsid w:val="00237785"/>
    <w:rsid w:val="00237797"/>
    <w:rsid w:val="002378FA"/>
    <w:rsid w:val="00237E36"/>
    <w:rsid w:val="00240D0E"/>
    <w:rsid w:val="0024135F"/>
    <w:rsid w:val="0024167D"/>
    <w:rsid w:val="00241CFE"/>
    <w:rsid w:val="00241FB1"/>
    <w:rsid w:val="00242040"/>
    <w:rsid w:val="002422DC"/>
    <w:rsid w:val="00242782"/>
    <w:rsid w:val="00242ED1"/>
    <w:rsid w:val="00243342"/>
    <w:rsid w:val="002433FC"/>
    <w:rsid w:val="002437C3"/>
    <w:rsid w:val="00243DA3"/>
    <w:rsid w:val="00244523"/>
    <w:rsid w:val="00244668"/>
    <w:rsid w:val="00244A2B"/>
    <w:rsid w:val="00245E85"/>
    <w:rsid w:val="0024682B"/>
    <w:rsid w:val="00246BEC"/>
    <w:rsid w:val="00246E22"/>
    <w:rsid w:val="00247BCD"/>
    <w:rsid w:val="00247CB9"/>
    <w:rsid w:val="00247E0F"/>
    <w:rsid w:val="00247E92"/>
    <w:rsid w:val="00250152"/>
    <w:rsid w:val="0025020F"/>
    <w:rsid w:val="00250313"/>
    <w:rsid w:val="0025039A"/>
    <w:rsid w:val="00250BDD"/>
    <w:rsid w:val="00250CD2"/>
    <w:rsid w:val="00250CE1"/>
    <w:rsid w:val="00250E19"/>
    <w:rsid w:val="00250EB1"/>
    <w:rsid w:val="00251451"/>
    <w:rsid w:val="00251B19"/>
    <w:rsid w:val="00251B41"/>
    <w:rsid w:val="00251F12"/>
    <w:rsid w:val="00252256"/>
    <w:rsid w:val="00252579"/>
    <w:rsid w:val="00252B94"/>
    <w:rsid w:val="00252C8E"/>
    <w:rsid w:val="002531AD"/>
    <w:rsid w:val="002534DB"/>
    <w:rsid w:val="00253B77"/>
    <w:rsid w:val="002545CE"/>
    <w:rsid w:val="00254937"/>
    <w:rsid w:val="00254AB5"/>
    <w:rsid w:val="00254D93"/>
    <w:rsid w:val="00254ECD"/>
    <w:rsid w:val="00255450"/>
    <w:rsid w:val="0025550D"/>
    <w:rsid w:val="00255781"/>
    <w:rsid w:val="00255AC9"/>
    <w:rsid w:val="00255AD3"/>
    <w:rsid w:val="0025622E"/>
    <w:rsid w:val="00256730"/>
    <w:rsid w:val="00256E15"/>
    <w:rsid w:val="00257206"/>
    <w:rsid w:val="002579EB"/>
    <w:rsid w:val="00257C82"/>
    <w:rsid w:val="00261628"/>
    <w:rsid w:val="00261C8D"/>
    <w:rsid w:val="00261DC8"/>
    <w:rsid w:val="00262387"/>
    <w:rsid w:val="00262398"/>
    <w:rsid w:val="002628A4"/>
    <w:rsid w:val="00262A1F"/>
    <w:rsid w:val="00262A6B"/>
    <w:rsid w:val="00262FCF"/>
    <w:rsid w:val="00263B34"/>
    <w:rsid w:val="00263CC6"/>
    <w:rsid w:val="00264721"/>
    <w:rsid w:val="00264A37"/>
    <w:rsid w:val="00264C18"/>
    <w:rsid w:val="00264F9A"/>
    <w:rsid w:val="00265557"/>
    <w:rsid w:val="00265F24"/>
    <w:rsid w:val="002670C4"/>
    <w:rsid w:val="00267480"/>
    <w:rsid w:val="002703D1"/>
    <w:rsid w:val="002707E0"/>
    <w:rsid w:val="00270BE1"/>
    <w:rsid w:val="0027104B"/>
    <w:rsid w:val="00271ECE"/>
    <w:rsid w:val="00272294"/>
    <w:rsid w:val="002723B1"/>
    <w:rsid w:val="0027261B"/>
    <w:rsid w:val="00272967"/>
    <w:rsid w:val="00272B90"/>
    <w:rsid w:val="00272C30"/>
    <w:rsid w:val="002731B5"/>
    <w:rsid w:val="0027384C"/>
    <w:rsid w:val="00273C33"/>
    <w:rsid w:val="002742E8"/>
    <w:rsid w:val="00274397"/>
    <w:rsid w:val="00274E1F"/>
    <w:rsid w:val="0027574C"/>
    <w:rsid w:val="002758CB"/>
    <w:rsid w:val="002758F6"/>
    <w:rsid w:val="0027590F"/>
    <w:rsid w:val="002759CF"/>
    <w:rsid w:val="00275BD0"/>
    <w:rsid w:val="00275EBE"/>
    <w:rsid w:val="00275F3C"/>
    <w:rsid w:val="00276108"/>
    <w:rsid w:val="0027647E"/>
    <w:rsid w:val="0027649E"/>
    <w:rsid w:val="0027657F"/>
    <w:rsid w:val="002766FD"/>
    <w:rsid w:val="00276B96"/>
    <w:rsid w:val="00276E66"/>
    <w:rsid w:val="00277204"/>
    <w:rsid w:val="00277551"/>
    <w:rsid w:val="00277F84"/>
    <w:rsid w:val="00280058"/>
    <w:rsid w:val="002800F0"/>
    <w:rsid w:val="00280ABC"/>
    <w:rsid w:val="00280B86"/>
    <w:rsid w:val="00280D9A"/>
    <w:rsid w:val="00280E29"/>
    <w:rsid w:val="0028122E"/>
    <w:rsid w:val="0028165B"/>
    <w:rsid w:val="00281984"/>
    <w:rsid w:val="00281D4B"/>
    <w:rsid w:val="00282400"/>
    <w:rsid w:val="00282403"/>
    <w:rsid w:val="00282AEF"/>
    <w:rsid w:val="00282B90"/>
    <w:rsid w:val="0028354D"/>
    <w:rsid w:val="0028383E"/>
    <w:rsid w:val="00283A8D"/>
    <w:rsid w:val="002846BA"/>
    <w:rsid w:val="00284CC1"/>
    <w:rsid w:val="00284D07"/>
    <w:rsid w:val="00284D74"/>
    <w:rsid w:val="00285624"/>
    <w:rsid w:val="00286371"/>
    <w:rsid w:val="0028682F"/>
    <w:rsid w:val="002868F2"/>
    <w:rsid w:val="002871DF"/>
    <w:rsid w:val="002878A6"/>
    <w:rsid w:val="0028794D"/>
    <w:rsid w:val="002905CA"/>
    <w:rsid w:val="002910AA"/>
    <w:rsid w:val="0029112F"/>
    <w:rsid w:val="002914E4"/>
    <w:rsid w:val="002916FF"/>
    <w:rsid w:val="00291AFB"/>
    <w:rsid w:val="00293635"/>
    <w:rsid w:val="002937C0"/>
    <w:rsid w:val="0029389E"/>
    <w:rsid w:val="0029418E"/>
    <w:rsid w:val="00294BD1"/>
    <w:rsid w:val="00294C2D"/>
    <w:rsid w:val="00294CDA"/>
    <w:rsid w:val="0029527F"/>
    <w:rsid w:val="0029565E"/>
    <w:rsid w:val="0029581E"/>
    <w:rsid w:val="00295917"/>
    <w:rsid w:val="00295ADD"/>
    <w:rsid w:val="00295C18"/>
    <w:rsid w:val="00296B5D"/>
    <w:rsid w:val="00296C6F"/>
    <w:rsid w:val="00296D12"/>
    <w:rsid w:val="00297093"/>
    <w:rsid w:val="002970A4"/>
    <w:rsid w:val="002971CD"/>
    <w:rsid w:val="002972DE"/>
    <w:rsid w:val="002972FD"/>
    <w:rsid w:val="002973BD"/>
    <w:rsid w:val="002974B7"/>
    <w:rsid w:val="00297660"/>
    <w:rsid w:val="00297DDA"/>
    <w:rsid w:val="002A02CE"/>
    <w:rsid w:val="002A0634"/>
    <w:rsid w:val="002A096B"/>
    <w:rsid w:val="002A098D"/>
    <w:rsid w:val="002A0A27"/>
    <w:rsid w:val="002A14D1"/>
    <w:rsid w:val="002A19BB"/>
    <w:rsid w:val="002A272D"/>
    <w:rsid w:val="002A2919"/>
    <w:rsid w:val="002A2A39"/>
    <w:rsid w:val="002A2BB0"/>
    <w:rsid w:val="002A2F22"/>
    <w:rsid w:val="002A350F"/>
    <w:rsid w:val="002A3C1A"/>
    <w:rsid w:val="002A3DAA"/>
    <w:rsid w:val="002A43EC"/>
    <w:rsid w:val="002A456B"/>
    <w:rsid w:val="002A46AF"/>
    <w:rsid w:val="002A4779"/>
    <w:rsid w:val="002A4875"/>
    <w:rsid w:val="002A4D7D"/>
    <w:rsid w:val="002A4FB3"/>
    <w:rsid w:val="002A59CB"/>
    <w:rsid w:val="002A5D2E"/>
    <w:rsid w:val="002A5F79"/>
    <w:rsid w:val="002A6456"/>
    <w:rsid w:val="002A6536"/>
    <w:rsid w:val="002A696E"/>
    <w:rsid w:val="002A6A6D"/>
    <w:rsid w:val="002A7486"/>
    <w:rsid w:val="002A7543"/>
    <w:rsid w:val="002A7836"/>
    <w:rsid w:val="002A7903"/>
    <w:rsid w:val="002B00D8"/>
    <w:rsid w:val="002B0A15"/>
    <w:rsid w:val="002B0BC5"/>
    <w:rsid w:val="002B0D5F"/>
    <w:rsid w:val="002B0FF1"/>
    <w:rsid w:val="002B1383"/>
    <w:rsid w:val="002B1EB0"/>
    <w:rsid w:val="002B20D6"/>
    <w:rsid w:val="002B243B"/>
    <w:rsid w:val="002B248F"/>
    <w:rsid w:val="002B24A4"/>
    <w:rsid w:val="002B270E"/>
    <w:rsid w:val="002B28CF"/>
    <w:rsid w:val="002B2AC2"/>
    <w:rsid w:val="002B3275"/>
    <w:rsid w:val="002B3352"/>
    <w:rsid w:val="002B33EA"/>
    <w:rsid w:val="002B3CE3"/>
    <w:rsid w:val="002B46FB"/>
    <w:rsid w:val="002B599E"/>
    <w:rsid w:val="002B61FA"/>
    <w:rsid w:val="002B63E7"/>
    <w:rsid w:val="002B64F6"/>
    <w:rsid w:val="002B6EB4"/>
    <w:rsid w:val="002B7024"/>
    <w:rsid w:val="002B75AA"/>
    <w:rsid w:val="002B765B"/>
    <w:rsid w:val="002B78A1"/>
    <w:rsid w:val="002B7C73"/>
    <w:rsid w:val="002B7CD9"/>
    <w:rsid w:val="002C07EA"/>
    <w:rsid w:val="002C09BF"/>
    <w:rsid w:val="002C11A6"/>
    <w:rsid w:val="002C192B"/>
    <w:rsid w:val="002C1CE8"/>
    <w:rsid w:val="002C26E7"/>
    <w:rsid w:val="002C28F0"/>
    <w:rsid w:val="002C3400"/>
    <w:rsid w:val="002C3F20"/>
    <w:rsid w:val="002C4182"/>
    <w:rsid w:val="002C46FE"/>
    <w:rsid w:val="002C479F"/>
    <w:rsid w:val="002C4C18"/>
    <w:rsid w:val="002C5098"/>
    <w:rsid w:val="002C575F"/>
    <w:rsid w:val="002C5812"/>
    <w:rsid w:val="002C5A4D"/>
    <w:rsid w:val="002C5C32"/>
    <w:rsid w:val="002C7204"/>
    <w:rsid w:val="002C72B2"/>
    <w:rsid w:val="002C79FD"/>
    <w:rsid w:val="002C7A83"/>
    <w:rsid w:val="002C7AED"/>
    <w:rsid w:val="002C7E01"/>
    <w:rsid w:val="002C7F87"/>
    <w:rsid w:val="002D03EF"/>
    <w:rsid w:val="002D05EF"/>
    <w:rsid w:val="002D0BC4"/>
    <w:rsid w:val="002D13C6"/>
    <w:rsid w:val="002D13E6"/>
    <w:rsid w:val="002D14F3"/>
    <w:rsid w:val="002D16E4"/>
    <w:rsid w:val="002D1DD9"/>
    <w:rsid w:val="002D2CA1"/>
    <w:rsid w:val="002D2F8C"/>
    <w:rsid w:val="002D3322"/>
    <w:rsid w:val="002D34F4"/>
    <w:rsid w:val="002D3930"/>
    <w:rsid w:val="002D3A37"/>
    <w:rsid w:val="002D3A86"/>
    <w:rsid w:val="002D3AC9"/>
    <w:rsid w:val="002D3C4A"/>
    <w:rsid w:val="002D4DD2"/>
    <w:rsid w:val="002D4EBE"/>
    <w:rsid w:val="002D5073"/>
    <w:rsid w:val="002D5836"/>
    <w:rsid w:val="002D5EB9"/>
    <w:rsid w:val="002D609D"/>
    <w:rsid w:val="002D65D3"/>
    <w:rsid w:val="002D680F"/>
    <w:rsid w:val="002D6A45"/>
    <w:rsid w:val="002D6DFC"/>
    <w:rsid w:val="002D7392"/>
    <w:rsid w:val="002D7B2C"/>
    <w:rsid w:val="002E0AED"/>
    <w:rsid w:val="002E11F0"/>
    <w:rsid w:val="002E1311"/>
    <w:rsid w:val="002E1717"/>
    <w:rsid w:val="002E235A"/>
    <w:rsid w:val="002E2B88"/>
    <w:rsid w:val="002E3242"/>
    <w:rsid w:val="002E33BD"/>
    <w:rsid w:val="002E385A"/>
    <w:rsid w:val="002E394A"/>
    <w:rsid w:val="002E3D34"/>
    <w:rsid w:val="002E4421"/>
    <w:rsid w:val="002E4AFC"/>
    <w:rsid w:val="002E5242"/>
    <w:rsid w:val="002E5260"/>
    <w:rsid w:val="002E531A"/>
    <w:rsid w:val="002E5595"/>
    <w:rsid w:val="002E5B07"/>
    <w:rsid w:val="002E5BBD"/>
    <w:rsid w:val="002E747C"/>
    <w:rsid w:val="002E75F8"/>
    <w:rsid w:val="002E77D2"/>
    <w:rsid w:val="002E788F"/>
    <w:rsid w:val="002E7A67"/>
    <w:rsid w:val="002E7DE8"/>
    <w:rsid w:val="002F0ACA"/>
    <w:rsid w:val="002F1560"/>
    <w:rsid w:val="002F1700"/>
    <w:rsid w:val="002F24E5"/>
    <w:rsid w:val="002F256B"/>
    <w:rsid w:val="002F2C47"/>
    <w:rsid w:val="002F2CFD"/>
    <w:rsid w:val="002F3210"/>
    <w:rsid w:val="002F37A8"/>
    <w:rsid w:val="002F3AB1"/>
    <w:rsid w:val="002F4775"/>
    <w:rsid w:val="002F4CA6"/>
    <w:rsid w:val="002F51CB"/>
    <w:rsid w:val="002F564A"/>
    <w:rsid w:val="002F5E89"/>
    <w:rsid w:val="002F5ED6"/>
    <w:rsid w:val="002F607F"/>
    <w:rsid w:val="002F60D4"/>
    <w:rsid w:val="002F62AA"/>
    <w:rsid w:val="002F63DF"/>
    <w:rsid w:val="002F64EE"/>
    <w:rsid w:val="002F6D12"/>
    <w:rsid w:val="002F6E00"/>
    <w:rsid w:val="002F7034"/>
    <w:rsid w:val="002F71EC"/>
    <w:rsid w:val="002F7299"/>
    <w:rsid w:val="002F74B7"/>
    <w:rsid w:val="002F7C13"/>
    <w:rsid w:val="002F7C4B"/>
    <w:rsid w:val="002F7EEA"/>
    <w:rsid w:val="002F7FBA"/>
    <w:rsid w:val="00300670"/>
    <w:rsid w:val="003006C1"/>
    <w:rsid w:val="00300D3E"/>
    <w:rsid w:val="00301B17"/>
    <w:rsid w:val="00301D0F"/>
    <w:rsid w:val="00301E9A"/>
    <w:rsid w:val="0030222E"/>
    <w:rsid w:val="00302303"/>
    <w:rsid w:val="00302BB4"/>
    <w:rsid w:val="00302DB3"/>
    <w:rsid w:val="00302F8B"/>
    <w:rsid w:val="0030311F"/>
    <w:rsid w:val="003033CB"/>
    <w:rsid w:val="00303550"/>
    <w:rsid w:val="00304CD8"/>
    <w:rsid w:val="00304E7B"/>
    <w:rsid w:val="003053B6"/>
    <w:rsid w:val="003054B0"/>
    <w:rsid w:val="003058B8"/>
    <w:rsid w:val="00305EE2"/>
    <w:rsid w:val="003061D1"/>
    <w:rsid w:val="00306470"/>
    <w:rsid w:val="00306A36"/>
    <w:rsid w:val="00306BE6"/>
    <w:rsid w:val="00306C10"/>
    <w:rsid w:val="00306F3B"/>
    <w:rsid w:val="003074CF"/>
    <w:rsid w:val="00307882"/>
    <w:rsid w:val="00307AAE"/>
    <w:rsid w:val="00307EA3"/>
    <w:rsid w:val="00307F81"/>
    <w:rsid w:val="00310476"/>
    <w:rsid w:val="00310697"/>
    <w:rsid w:val="00310821"/>
    <w:rsid w:val="00310A59"/>
    <w:rsid w:val="00310DB6"/>
    <w:rsid w:val="00311107"/>
    <w:rsid w:val="00311356"/>
    <w:rsid w:val="0031142F"/>
    <w:rsid w:val="003116E9"/>
    <w:rsid w:val="0031267D"/>
    <w:rsid w:val="0031291E"/>
    <w:rsid w:val="00312A47"/>
    <w:rsid w:val="00312D5C"/>
    <w:rsid w:val="0031314A"/>
    <w:rsid w:val="0031353B"/>
    <w:rsid w:val="00314940"/>
    <w:rsid w:val="003149AE"/>
    <w:rsid w:val="00314C27"/>
    <w:rsid w:val="00314E26"/>
    <w:rsid w:val="00315073"/>
    <w:rsid w:val="00315266"/>
    <w:rsid w:val="00315889"/>
    <w:rsid w:val="00315D7E"/>
    <w:rsid w:val="00316088"/>
    <w:rsid w:val="0031615E"/>
    <w:rsid w:val="00316311"/>
    <w:rsid w:val="00316B86"/>
    <w:rsid w:val="003173A3"/>
    <w:rsid w:val="003173E5"/>
    <w:rsid w:val="003174FB"/>
    <w:rsid w:val="00317708"/>
    <w:rsid w:val="00317B71"/>
    <w:rsid w:val="00317FA8"/>
    <w:rsid w:val="003203C0"/>
    <w:rsid w:val="00320AD1"/>
    <w:rsid w:val="00320E33"/>
    <w:rsid w:val="00321164"/>
    <w:rsid w:val="00321338"/>
    <w:rsid w:val="003213DE"/>
    <w:rsid w:val="003218D7"/>
    <w:rsid w:val="00321DC2"/>
    <w:rsid w:val="00321F0D"/>
    <w:rsid w:val="00321F40"/>
    <w:rsid w:val="00322851"/>
    <w:rsid w:val="0032298C"/>
    <w:rsid w:val="00322EBF"/>
    <w:rsid w:val="0032326E"/>
    <w:rsid w:val="00323B93"/>
    <w:rsid w:val="00324A5F"/>
    <w:rsid w:val="00324B8E"/>
    <w:rsid w:val="00325441"/>
    <w:rsid w:val="003254C0"/>
    <w:rsid w:val="00325D61"/>
    <w:rsid w:val="00326130"/>
    <w:rsid w:val="00326149"/>
    <w:rsid w:val="0032633F"/>
    <w:rsid w:val="003263CA"/>
    <w:rsid w:val="00326A2F"/>
    <w:rsid w:val="00326C54"/>
    <w:rsid w:val="00326CF1"/>
    <w:rsid w:val="00327129"/>
    <w:rsid w:val="003271C6"/>
    <w:rsid w:val="00327516"/>
    <w:rsid w:val="0032772B"/>
    <w:rsid w:val="003278D5"/>
    <w:rsid w:val="00327CB7"/>
    <w:rsid w:val="00327FCE"/>
    <w:rsid w:val="003308B3"/>
    <w:rsid w:val="00330D00"/>
    <w:rsid w:val="0033120F"/>
    <w:rsid w:val="00331274"/>
    <w:rsid w:val="003313D1"/>
    <w:rsid w:val="003314B3"/>
    <w:rsid w:val="00331BB4"/>
    <w:rsid w:val="00331C92"/>
    <w:rsid w:val="003320A0"/>
    <w:rsid w:val="00332219"/>
    <w:rsid w:val="003324EC"/>
    <w:rsid w:val="003324F1"/>
    <w:rsid w:val="00332C70"/>
    <w:rsid w:val="0033318E"/>
    <w:rsid w:val="00333397"/>
    <w:rsid w:val="00333426"/>
    <w:rsid w:val="003339CF"/>
    <w:rsid w:val="00333AF2"/>
    <w:rsid w:val="00333C00"/>
    <w:rsid w:val="0033404C"/>
    <w:rsid w:val="00334402"/>
    <w:rsid w:val="003349FC"/>
    <w:rsid w:val="00334B9A"/>
    <w:rsid w:val="0033529E"/>
    <w:rsid w:val="003358D7"/>
    <w:rsid w:val="00336091"/>
    <w:rsid w:val="0033619C"/>
    <w:rsid w:val="00336222"/>
    <w:rsid w:val="0033658A"/>
    <w:rsid w:val="0033687F"/>
    <w:rsid w:val="00336ADF"/>
    <w:rsid w:val="0033797E"/>
    <w:rsid w:val="00337CC2"/>
    <w:rsid w:val="00337E84"/>
    <w:rsid w:val="003409A7"/>
    <w:rsid w:val="00341600"/>
    <w:rsid w:val="00341A82"/>
    <w:rsid w:val="00341BF9"/>
    <w:rsid w:val="00341F3E"/>
    <w:rsid w:val="00341F8B"/>
    <w:rsid w:val="00342335"/>
    <w:rsid w:val="003429AF"/>
    <w:rsid w:val="00342DD2"/>
    <w:rsid w:val="00342E5F"/>
    <w:rsid w:val="003431E0"/>
    <w:rsid w:val="003433E0"/>
    <w:rsid w:val="00343537"/>
    <w:rsid w:val="00343569"/>
    <w:rsid w:val="003438D6"/>
    <w:rsid w:val="00343D18"/>
    <w:rsid w:val="00343DFB"/>
    <w:rsid w:val="00343EF8"/>
    <w:rsid w:val="003443A6"/>
    <w:rsid w:val="003448AF"/>
    <w:rsid w:val="00345C6B"/>
    <w:rsid w:val="00345FE2"/>
    <w:rsid w:val="00346660"/>
    <w:rsid w:val="00346D4D"/>
    <w:rsid w:val="00346F1D"/>
    <w:rsid w:val="0034760D"/>
    <w:rsid w:val="00347AC3"/>
    <w:rsid w:val="00347F92"/>
    <w:rsid w:val="00350286"/>
    <w:rsid w:val="00350484"/>
    <w:rsid w:val="003504A0"/>
    <w:rsid w:val="00350D92"/>
    <w:rsid w:val="00350EB9"/>
    <w:rsid w:val="00351544"/>
    <w:rsid w:val="00351636"/>
    <w:rsid w:val="00351A0A"/>
    <w:rsid w:val="00351AF0"/>
    <w:rsid w:val="00351C80"/>
    <w:rsid w:val="003521EB"/>
    <w:rsid w:val="0035233C"/>
    <w:rsid w:val="0035309D"/>
    <w:rsid w:val="00353990"/>
    <w:rsid w:val="00353A70"/>
    <w:rsid w:val="00353B4C"/>
    <w:rsid w:val="00353D77"/>
    <w:rsid w:val="00353EC4"/>
    <w:rsid w:val="0035429B"/>
    <w:rsid w:val="00354322"/>
    <w:rsid w:val="0035481C"/>
    <w:rsid w:val="00355083"/>
    <w:rsid w:val="0035512E"/>
    <w:rsid w:val="0035514E"/>
    <w:rsid w:val="00355313"/>
    <w:rsid w:val="00355662"/>
    <w:rsid w:val="00355712"/>
    <w:rsid w:val="003558F9"/>
    <w:rsid w:val="00355C28"/>
    <w:rsid w:val="00356242"/>
    <w:rsid w:val="00356626"/>
    <w:rsid w:val="00356A72"/>
    <w:rsid w:val="00356C13"/>
    <w:rsid w:val="00357AF2"/>
    <w:rsid w:val="00357C46"/>
    <w:rsid w:val="00360326"/>
    <w:rsid w:val="003609A6"/>
    <w:rsid w:val="00360AD9"/>
    <w:rsid w:val="00360C32"/>
    <w:rsid w:val="003611B1"/>
    <w:rsid w:val="003615E0"/>
    <w:rsid w:val="003615E5"/>
    <w:rsid w:val="00361782"/>
    <w:rsid w:val="0036182E"/>
    <w:rsid w:val="00361ABE"/>
    <w:rsid w:val="003620AA"/>
    <w:rsid w:val="003623B8"/>
    <w:rsid w:val="00362CD5"/>
    <w:rsid w:val="00362F65"/>
    <w:rsid w:val="00363B68"/>
    <w:rsid w:val="0036411C"/>
    <w:rsid w:val="00364AEE"/>
    <w:rsid w:val="00364FE1"/>
    <w:rsid w:val="00365470"/>
    <w:rsid w:val="00365A32"/>
    <w:rsid w:val="00365B7B"/>
    <w:rsid w:val="00365EDB"/>
    <w:rsid w:val="00365F58"/>
    <w:rsid w:val="003668E0"/>
    <w:rsid w:val="00366AB1"/>
    <w:rsid w:val="00366D16"/>
    <w:rsid w:val="00367002"/>
    <w:rsid w:val="0036737F"/>
    <w:rsid w:val="00367604"/>
    <w:rsid w:val="003677CC"/>
    <w:rsid w:val="003678BB"/>
    <w:rsid w:val="00367F2A"/>
    <w:rsid w:val="00367FB7"/>
    <w:rsid w:val="0037009E"/>
    <w:rsid w:val="003704F8"/>
    <w:rsid w:val="00370A6A"/>
    <w:rsid w:val="00370B30"/>
    <w:rsid w:val="003710D7"/>
    <w:rsid w:val="0037126D"/>
    <w:rsid w:val="003716A6"/>
    <w:rsid w:val="00371BC7"/>
    <w:rsid w:val="00371ECF"/>
    <w:rsid w:val="00371FE9"/>
    <w:rsid w:val="003722DC"/>
    <w:rsid w:val="00372318"/>
    <w:rsid w:val="0037238F"/>
    <w:rsid w:val="00372911"/>
    <w:rsid w:val="00372B53"/>
    <w:rsid w:val="00372B55"/>
    <w:rsid w:val="00372EEE"/>
    <w:rsid w:val="003737C9"/>
    <w:rsid w:val="00373E18"/>
    <w:rsid w:val="003741DB"/>
    <w:rsid w:val="003745DA"/>
    <w:rsid w:val="00374BC1"/>
    <w:rsid w:val="00375056"/>
    <w:rsid w:val="00375395"/>
    <w:rsid w:val="0037591C"/>
    <w:rsid w:val="00375EC0"/>
    <w:rsid w:val="00376374"/>
    <w:rsid w:val="003768AC"/>
    <w:rsid w:val="0037768A"/>
    <w:rsid w:val="00377C61"/>
    <w:rsid w:val="003800CE"/>
    <w:rsid w:val="00380230"/>
    <w:rsid w:val="00380853"/>
    <w:rsid w:val="00380D24"/>
    <w:rsid w:val="003818D8"/>
    <w:rsid w:val="00381C63"/>
    <w:rsid w:val="00382324"/>
    <w:rsid w:val="00382331"/>
    <w:rsid w:val="00382B8F"/>
    <w:rsid w:val="00382E72"/>
    <w:rsid w:val="00383055"/>
    <w:rsid w:val="00383C0E"/>
    <w:rsid w:val="00384202"/>
    <w:rsid w:val="003842EB"/>
    <w:rsid w:val="003844DD"/>
    <w:rsid w:val="003845F3"/>
    <w:rsid w:val="003848BA"/>
    <w:rsid w:val="00384BFE"/>
    <w:rsid w:val="003852C0"/>
    <w:rsid w:val="00385641"/>
    <w:rsid w:val="003858D8"/>
    <w:rsid w:val="00385943"/>
    <w:rsid w:val="003859AE"/>
    <w:rsid w:val="003869D3"/>
    <w:rsid w:val="00386B11"/>
    <w:rsid w:val="00386C87"/>
    <w:rsid w:val="003870BB"/>
    <w:rsid w:val="00387377"/>
    <w:rsid w:val="003878A6"/>
    <w:rsid w:val="00387DC3"/>
    <w:rsid w:val="0039006F"/>
    <w:rsid w:val="00390542"/>
    <w:rsid w:val="00390A99"/>
    <w:rsid w:val="00390F24"/>
    <w:rsid w:val="00391514"/>
    <w:rsid w:val="0039164A"/>
    <w:rsid w:val="00391743"/>
    <w:rsid w:val="003918DC"/>
    <w:rsid w:val="003919EA"/>
    <w:rsid w:val="00391A27"/>
    <w:rsid w:val="00391D66"/>
    <w:rsid w:val="0039230E"/>
    <w:rsid w:val="00392506"/>
    <w:rsid w:val="003928C9"/>
    <w:rsid w:val="00392EA3"/>
    <w:rsid w:val="00393183"/>
    <w:rsid w:val="00393277"/>
    <w:rsid w:val="003937FF"/>
    <w:rsid w:val="00393F12"/>
    <w:rsid w:val="00393F1F"/>
    <w:rsid w:val="00393F49"/>
    <w:rsid w:val="00393FED"/>
    <w:rsid w:val="0039404C"/>
    <w:rsid w:val="0039415C"/>
    <w:rsid w:val="00394922"/>
    <w:rsid w:val="00394C58"/>
    <w:rsid w:val="00394E1F"/>
    <w:rsid w:val="00395C83"/>
    <w:rsid w:val="00395CE3"/>
    <w:rsid w:val="00396009"/>
    <w:rsid w:val="00396C0C"/>
    <w:rsid w:val="00396C36"/>
    <w:rsid w:val="00396C4F"/>
    <w:rsid w:val="00396F63"/>
    <w:rsid w:val="0039755C"/>
    <w:rsid w:val="003976B9"/>
    <w:rsid w:val="003976DE"/>
    <w:rsid w:val="00397FC1"/>
    <w:rsid w:val="003A0003"/>
    <w:rsid w:val="003A0199"/>
    <w:rsid w:val="003A067E"/>
    <w:rsid w:val="003A15FB"/>
    <w:rsid w:val="003A1752"/>
    <w:rsid w:val="003A1942"/>
    <w:rsid w:val="003A1B49"/>
    <w:rsid w:val="003A2459"/>
    <w:rsid w:val="003A2AA8"/>
    <w:rsid w:val="003A2B94"/>
    <w:rsid w:val="003A3443"/>
    <w:rsid w:val="003A350C"/>
    <w:rsid w:val="003A397C"/>
    <w:rsid w:val="003A4042"/>
    <w:rsid w:val="003A432A"/>
    <w:rsid w:val="003A4331"/>
    <w:rsid w:val="003A438E"/>
    <w:rsid w:val="003A492B"/>
    <w:rsid w:val="003A510E"/>
    <w:rsid w:val="003A639C"/>
    <w:rsid w:val="003A63F4"/>
    <w:rsid w:val="003A669D"/>
    <w:rsid w:val="003A675B"/>
    <w:rsid w:val="003A68FE"/>
    <w:rsid w:val="003A6B12"/>
    <w:rsid w:val="003A7584"/>
    <w:rsid w:val="003A7681"/>
    <w:rsid w:val="003A7E6C"/>
    <w:rsid w:val="003A7F24"/>
    <w:rsid w:val="003A7FC2"/>
    <w:rsid w:val="003B0418"/>
    <w:rsid w:val="003B0829"/>
    <w:rsid w:val="003B0BB5"/>
    <w:rsid w:val="003B0F27"/>
    <w:rsid w:val="003B1725"/>
    <w:rsid w:val="003B17E1"/>
    <w:rsid w:val="003B2210"/>
    <w:rsid w:val="003B2361"/>
    <w:rsid w:val="003B28FE"/>
    <w:rsid w:val="003B2AD4"/>
    <w:rsid w:val="003B3BD2"/>
    <w:rsid w:val="003B3D09"/>
    <w:rsid w:val="003B44D9"/>
    <w:rsid w:val="003B4819"/>
    <w:rsid w:val="003B4B50"/>
    <w:rsid w:val="003B4CBE"/>
    <w:rsid w:val="003B4D92"/>
    <w:rsid w:val="003B5456"/>
    <w:rsid w:val="003B561F"/>
    <w:rsid w:val="003B5C10"/>
    <w:rsid w:val="003B5C63"/>
    <w:rsid w:val="003B5CBB"/>
    <w:rsid w:val="003B5D5D"/>
    <w:rsid w:val="003B6777"/>
    <w:rsid w:val="003B6B75"/>
    <w:rsid w:val="003B73AA"/>
    <w:rsid w:val="003B74F2"/>
    <w:rsid w:val="003B7AF3"/>
    <w:rsid w:val="003C0166"/>
    <w:rsid w:val="003C0A8B"/>
    <w:rsid w:val="003C0EA4"/>
    <w:rsid w:val="003C10BC"/>
    <w:rsid w:val="003C1B4C"/>
    <w:rsid w:val="003C1C33"/>
    <w:rsid w:val="003C24A4"/>
    <w:rsid w:val="003C28BD"/>
    <w:rsid w:val="003C2A1E"/>
    <w:rsid w:val="003C2B46"/>
    <w:rsid w:val="003C2DA6"/>
    <w:rsid w:val="003C3460"/>
    <w:rsid w:val="003C41DB"/>
    <w:rsid w:val="003C44E2"/>
    <w:rsid w:val="003C4697"/>
    <w:rsid w:val="003C4A45"/>
    <w:rsid w:val="003C581F"/>
    <w:rsid w:val="003C61BD"/>
    <w:rsid w:val="003C6214"/>
    <w:rsid w:val="003C67D6"/>
    <w:rsid w:val="003C6ADA"/>
    <w:rsid w:val="003C6F37"/>
    <w:rsid w:val="003C7656"/>
    <w:rsid w:val="003C7AA4"/>
    <w:rsid w:val="003C7C2A"/>
    <w:rsid w:val="003C7C69"/>
    <w:rsid w:val="003D07FC"/>
    <w:rsid w:val="003D0A31"/>
    <w:rsid w:val="003D0BB6"/>
    <w:rsid w:val="003D0BEC"/>
    <w:rsid w:val="003D1596"/>
    <w:rsid w:val="003D188B"/>
    <w:rsid w:val="003D1A70"/>
    <w:rsid w:val="003D20D4"/>
    <w:rsid w:val="003D237E"/>
    <w:rsid w:val="003D23DB"/>
    <w:rsid w:val="003D24F4"/>
    <w:rsid w:val="003D26F8"/>
    <w:rsid w:val="003D2A7A"/>
    <w:rsid w:val="003D2F16"/>
    <w:rsid w:val="003D3146"/>
    <w:rsid w:val="003D40B9"/>
    <w:rsid w:val="003D4374"/>
    <w:rsid w:val="003D47AD"/>
    <w:rsid w:val="003D480A"/>
    <w:rsid w:val="003D4E4C"/>
    <w:rsid w:val="003D5161"/>
    <w:rsid w:val="003D55FD"/>
    <w:rsid w:val="003D5E1C"/>
    <w:rsid w:val="003D63C2"/>
    <w:rsid w:val="003D67E1"/>
    <w:rsid w:val="003D6A6A"/>
    <w:rsid w:val="003D6CBA"/>
    <w:rsid w:val="003D6D13"/>
    <w:rsid w:val="003D72B8"/>
    <w:rsid w:val="003D7F75"/>
    <w:rsid w:val="003E0F23"/>
    <w:rsid w:val="003E159C"/>
    <w:rsid w:val="003E2341"/>
    <w:rsid w:val="003E2357"/>
    <w:rsid w:val="003E25FC"/>
    <w:rsid w:val="003E319D"/>
    <w:rsid w:val="003E3C34"/>
    <w:rsid w:val="003E4DF2"/>
    <w:rsid w:val="003E4F8F"/>
    <w:rsid w:val="003E4FE7"/>
    <w:rsid w:val="003E559E"/>
    <w:rsid w:val="003E5982"/>
    <w:rsid w:val="003E5B61"/>
    <w:rsid w:val="003E682C"/>
    <w:rsid w:val="003E6C51"/>
    <w:rsid w:val="003E7474"/>
    <w:rsid w:val="003E7849"/>
    <w:rsid w:val="003E7891"/>
    <w:rsid w:val="003E7B09"/>
    <w:rsid w:val="003F0362"/>
    <w:rsid w:val="003F07FE"/>
    <w:rsid w:val="003F1175"/>
    <w:rsid w:val="003F1746"/>
    <w:rsid w:val="003F1B63"/>
    <w:rsid w:val="003F1BFB"/>
    <w:rsid w:val="003F2A5B"/>
    <w:rsid w:val="003F2BB5"/>
    <w:rsid w:val="003F2BBA"/>
    <w:rsid w:val="003F30E1"/>
    <w:rsid w:val="003F3C60"/>
    <w:rsid w:val="003F4A35"/>
    <w:rsid w:val="003F4EE7"/>
    <w:rsid w:val="003F5476"/>
    <w:rsid w:val="003F689F"/>
    <w:rsid w:val="003F6B42"/>
    <w:rsid w:val="004007BB"/>
    <w:rsid w:val="0040097A"/>
    <w:rsid w:val="00400AD1"/>
    <w:rsid w:val="00400FE7"/>
    <w:rsid w:val="004010D1"/>
    <w:rsid w:val="004015D7"/>
    <w:rsid w:val="0040160A"/>
    <w:rsid w:val="00401FE2"/>
    <w:rsid w:val="00402121"/>
    <w:rsid w:val="00402B0A"/>
    <w:rsid w:val="004031FE"/>
    <w:rsid w:val="004036AB"/>
    <w:rsid w:val="004036D6"/>
    <w:rsid w:val="004036F8"/>
    <w:rsid w:val="00403C03"/>
    <w:rsid w:val="00403DDE"/>
    <w:rsid w:val="0040416F"/>
    <w:rsid w:val="0040423A"/>
    <w:rsid w:val="00404717"/>
    <w:rsid w:val="00404E41"/>
    <w:rsid w:val="004052CC"/>
    <w:rsid w:val="004054BB"/>
    <w:rsid w:val="00405D4E"/>
    <w:rsid w:val="00405F9B"/>
    <w:rsid w:val="00406114"/>
    <w:rsid w:val="0040654E"/>
    <w:rsid w:val="00406599"/>
    <w:rsid w:val="00406DA9"/>
    <w:rsid w:val="00407091"/>
    <w:rsid w:val="0040773E"/>
    <w:rsid w:val="00407866"/>
    <w:rsid w:val="00407BC4"/>
    <w:rsid w:val="0041001F"/>
    <w:rsid w:val="00410BE9"/>
    <w:rsid w:val="00410C73"/>
    <w:rsid w:val="00410CEF"/>
    <w:rsid w:val="004111E0"/>
    <w:rsid w:val="00411947"/>
    <w:rsid w:val="00411FAA"/>
    <w:rsid w:val="0041221C"/>
    <w:rsid w:val="00412BA6"/>
    <w:rsid w:val="004132D9"/>
    <w:rsid w:val="00413A45"/>
    <w:rsid w:val="00413E2B"/>
    <w:rsid w:val="00414453"/>
    <w:rsid w:val="00414467"/>
    <w:rsid w:val="00414A4B"/>
    <w:rsid w:val="00414CF1"/>
    <w:rsid w:val="004156B4"/>
    <w:rsid w:val="004160EB"/>
    <w:rsid w:val="00416154"/>
    <w:rsid w:val="00416330"/>
    <w:rsid w:val="00416AB1"/>
    <w:rsid w:val="00416BA2"/>
    <w:rsid w:val="00416C44"/>
    <w:rsid w:val="00416ECE"/>
    <w:rsid w:val="00417CE0"/>
    <w:rsid w:val="00417D0F"/>
    <w:rsid w:val="00417F78"/>
    <w:rsid w:val="0042085C"/>
    <w:rsid w:val="00420B74"/>
    <w:rsid w:val="004214B3"/>
    <w:rsid w:val="00421548"/>
    <w:rsid w:val="0042179F"/>
    <w:rsid w:val="00421CE7"/>
    <w:rsid w:val="0042206F"/>
    <w:rsid w:val="0042208B"/>
    <w:rsid w:val="004228EE"/>
    <w:rsid w:val="00422D78"/>
    <w:rsid w:val="00422DE3"/>
    <w:rsid w:val="00422E01"/>
    <w:rsid w:val="00422FF6"/>
    <w:rsid w:val="00423106"/>
    <w:rsid w:val="00423693"/>
    <w:rsid w:val="004241C6"/>
    <w:rsid w:val="004248FD"/>
    <w:rsid w:val="00424C40"/>
    <w:rsid w:val="00424D92"/>
    <w:rsid w:val="00425143"/>
    <w:rsid w:val="00425A1B"/>
    <w:rsid w:val="00426471"/>
    <w:rsid w:val="004264CF"/>
    <w:rsid w:val="00426905"/>
    <w:rsid w:val="004269A9"/>
    <w:rsid w:val="00426C42"/>
    <w:rsid w:val="00426CA2"/>
    <w:rsid w:val="00427636"/>
    <w:rsid w:val="004276A9"/>
    <w:rsid w:val="00427907"/>
    <w:rsid w:val="00427DC3"/>
    <w:rsid w:val="004303AD"/>
    <w:rsid w:val="0043047B"/>
    <w:rsid w:val="004307B7"/>
    <w:rsid w:val="00430B63"/>
    <w:rsid w:val="00430FDA"/>
    <w:rsid w:val="00431161"/>
    <w:rsid w:val="004311B8"/>
    <w:rsid w:val="00431A55"/>
    <w:rsid w:val="00431C2E"/>
    <w:rsid w:val="00431E49"/>
    <w:rsid w:val="00432BB8"/>
    <w:rsid w:val="0043328F"/>
    <w:rsid w:val="0043361D"/>
    <w:rsid w:val="00433F7C"/>
    <w:rsid w:val="00434138"/>
    <w:rsid w:val="004344F5"/>
    <w:rsid w:val="00435988"/>
    <w:rsid w:val="00435B43"/>
    <w:rsid w:val="00436300"/>
    <w:rsid w:val="0043670A"/>
    <w:rsid w:val="004369F6"/>
    <w:rsid w:val="00436C97"/>
    <w:rsid w:val="00436D53"/>
    <w:rsid w:val="0043743A"/>
    <w:rsid w:val="0043764D"/>
    <w:rsid w:val="00437814"/>
    <w:rsid w:val="004378DC"/>
    <w:rsid w:val="00437A94"/>
    <w:rsid w:val="00437F00"/>
    <w:rsid w:val="004402B8"/>
    <w:rsid w:val="0044043F"/>
    <w:rsid w:val="004413ED"/>
    <w:rsid w:val="0044146D"/>
    <w:rsid w:val="0044163B"/>
    <w:rsid w:val="004417BE"/>
    <w:rsid w:val="004426BB"/>
    <w:rsid w:val="00442EE2"/>
    <w:rsid w:val="004430B5"/>
    <w:rsid w:val="004431D9"/>
    <w:rsid w:val="00443651"/>
    <w:rsid w:val="00443C50"/>
    <w:rsid w:val="004442EB"/>
    <w:rsid w:val="00444693"/>
    <w:rsid w:val="004447F3"/>
    <w:rsid w:val="00444997"/>
    <w:rsid w:val="00444CBF"/>
    <w:rsid w:val="00445502"/>
    <w:rsid w:val="00445658"/>
    <w:rsid w:val="00445693"/>
    <w:rsid w:val="00445731"/>
    <w:rsid w:val="00445BF2"/>
    <w:rsid w:val="0044620C"/>
    <w:rsid w:val="0044621E"/>
    <w:rsid w:val="00446253"/>
    <w:rsid w:val="00446C65"/>
    <w:rsid w:val="00446F62"/>
    <w:rsid w:val="00446FB2"/>
    <w:rsid w:val="00447289"/>
    <w:rsid w:val="00447375"/>
    <w:rsid w:val="004476A6"/>
    <w:rsid w:val="004507D0"/>
    <w:rsid w:val="0045098A"/>
    <w:rsid w:val="00450B62"/>
    <w:rsid w:val="00450C72"/>
    <w:rsid w:val="004516AA"/>
    <w:rsid w:val="00451FCB"/>
    <w:rsid w:val="00452153"/>
    <w:rsid w:val="0045232D"/>
    <w:rsid w:val="00452D4B"/>
    <w:rsid w:val="00452FDA"/>
    <w:rsid w:val="00454388"/>
    <w:rsid w:val="004545F5"/>
    <w:rsid w:val="00454701"/>
    <w:rsid w:val="0045483C"/>
    <w:rsid w:val="00455081"/>
    <w:rsid w:val="00455453"/>
    <w:rsid w:val="0045582D"/>
    <w:rsid w:val="004558E3"/>
    <w:rsid w:val="00455DD8"/>
    <w:rsid w:val="00455F06"/>
    <w:rsid w:val="004565A2"/>
    <w:rsid w:val="00456C01"/>
    <w:rsid w:val="00457912"/>
    <w:rsid w:val="0045794A"/>
    <w:rsid w:val="00460472"/>
    <w:rsid w:val="00460940"/>
    <w:rsid w:val="00460A57"/>
    <w:rsid w:val="00460AB0"/>
    <w:rsid w:val="00460CA9"/>
    <w:rsid w:val="004613FE"/>
    <w:rsid w:val="00461B3E"/>
    <w:rsid w:val="004624BB"/>
    <w:rsid w:val="0046252C"/>
    <w:rsid w:val="0046265A"/>
    <w:rsid w:val="0046284D"/>
    <w:rsid w:val="00462874"/>
    <w:rsid w:val="00462B39"/>
    <w:rsid w:val="00462E9D"/>
    <w:rsid w:val="00463030"/>
    <w:rsid w:val="0046326F"/>
    <w:rsid w:val="004635AD"/>
    <w:rsid w:val="0046367D"/>
    <w:rsid w:val="004636BD"/>
    <w:rsid w:val="00463905"/>
    <w:rsid w:val="00463B0C"/>
    <w:rsid w:val="00463FDA"/>
    <w:rsid w:val="004648C4"/>
    <w:rsid w:val="00464EB9"/>
    <w:rsid w:val="00464EC1"/>
    <w:rsid w:val="00465144"/>
    <w:rsid w:val="004653A0"/>
    <w:rsid w:val="00465494"/>
    <w:rsid w:val="00465CA0"/>
    <w:rsid w:val="00466413"/>
    <w:rsid w:val="00466AE5"/>
    <w:rsid w:val="00466E1D"/>
    <w:rsid w:val="00467222"/>
    <w:rsid w:val="0046727C"/>
    <w:rsid w:val="00467395"/>
    <w:rsid w:val="00467577"/>
    <w:rsid w:val="00467AB8"/>
    <w:rsid w:val="00467AF2"/>
    <w:rsid w:val="0047002C"/>
    <w:rsid w:val="00470304"/>
    <w:rsid w:val="00470B51"/>
    <w:rsid w:val="0047119D"/>
    <w:rsid w:val="00471627"/>
    <w:rsid w:val="00471E66"/>
    <w:rsid w:val="00472308"/>
    <w:rsid w:val="004728B9"/>
    <w:rsid w:val="0047440B"/>
    <w:rsid w:val="00474EE0"/>
    <w:rsid w:val="00475353"/>
    <w:rsid w:val="0047556C"/>
    <w:rsid w:val="004759D7"/>
    <w:rsid w:val="00476231"/>
    <w:rsid w:val="004762C2"/>
    <w:rsid w:val="004764FF"/>
    <w:rsid w:val="00476DC7"/>
    <w:rsid w:val="004770C9"/>
    <w:rsid w:val="004770DA"/>
    <w:rsid w:val="00477220"/>
    <w:rsid w:val="00477336"/>
    <w:rsid w:val="00481210"/>
    <w:rsid w:val="00481C9E"/>
    <w:rsid w:val="00481E4A"/>
    <w:rsid w:val="004823AD"/>
    <w:rsid w:val="00482A3E"/>
    <w:rsid w:val="00482AD7"/>
    <w:rsid w:val="004837DC"/>
    <w:rsid w:val="00483C75"/>
    <w:rsid w:val="00483DE3"/>
    <w:rsid w:val="00483FF2"/>
    <w:rsid w:val="004840CB"/>
    <w:rsid w:val="00484326"/>
    <w:rsid w:val="00484373"/>
    <w:rsid w:val="0048437F"/>
    <w:rsid w:val="0048505A"/>
    <w:rsid w:val="00485545"/>
    <w:rsid w:val="00485DE9"/>
    <w:rsid w:val="00485E85"/>
    <w:rsid w:val="00486620"/>
    <w:rsid w:val="004866D4"/>
    <w:rsid w:val="00486A85"/>
    <w:rsid w:val="004872D7"/>
    <w:rsid w:val="00487654"/>
    <w:rsid w:val="00487A1F"/>
    <w:rsid w:val="00487BF2"/>
    <w:rsid w:val="00490C05"/>
    <w:rsid w:val="00490D84"/>
    <w:rsid w:val="00490E85"/>
    <w:rsid w:val="00491056"/>
    <w:rsid w:val="00491172"/>
    <w:rsid w:val="004911FC"/>
    <w:rsid w:val="0049127B"/>
    <w:rsid w:val="004919C5"/>
    <w:rsid w:val="00491C35"/>
    <w:rsid w:val="00491E4E"/>
    <w:rsid w:val="00491EEA"/>
    <w:rsid w:val="00492702"/>
    <w:rsid w:val="00492820"/>
    <w:rsid w:val="00492833"/>
    <w:rsid w:val="0049284A"/>
    <w:rsid w:val="00492ABE"/>
    <w:rsid w:val="004930AD"/>
    <w:rsid w:val="00493144"/>
    <w:rsid w:val="0049344C"/>
    <w:rsid w:val="004938FC"/>
    <w:rsid w:val="0049427E"/>
    <w:rsid w:val="00494418"/>
    <w:rsid w:val="00494722"/>
    <w:rsid w:val="0049497B"/>
    <w:rsid w:val="00495593"/>
    <w:rsid w:val="00495733"/>
    <w:rsid w:val="00495A4C"/>
    <w:rsid w:val="004964CD"/>
    <w:rsid w:val="00497005"/>
    <w:rsid w:val="00497959"/>
    <w:rsid w:val="00497B4E"/>
    <w:rsid w:val="00497C18"/>
    <w:rsid w:val="00497F93"/>
    <w:rsid w:val="004A0060"/>
    <w:rsid w:val="004A0229"/>
    <w:rsid w:val="004A062D"/>
    <w:rsid w:val="004A118B"/>
    <w:rsid w:val="004A1D62"/>
    <w:rsid w:val="004A1DE6"/>
    <w:rsid w:val="004A1F7C"/>
    <w:rsid w:val="004A241A"/>
    <w:rsid w:val="004A25AB"/>
    <w:rsid w:val="004A2AA1"/>
    <w:rsid w:val="004A2D9B"/>
    <w:rsid w:val="004A3B20"/>
    <w:rsid w:val="004A40C2"/>
    <w:rsid w:val="004A448C"/>
    <w:rsid w:val="004A44DA"/>
    <w:rsid w:val="004A4500"/>
    <w:rsid w:val="004A4539"/>
    <w:rsid w:val="004A4BE0"/>
    <w:rsid w:val="004A57D1"/>
    <w:rsid w:val="004A5808"/>
    <w:rsid w:val="004A593C"/>
    <w:rsid w:val="004A59F2"/>
    <w:rsid w:val="004A5DBE"/>
    <w:rsid w:val="004A6023"/>
    <w:rsid w:val="004A6297"/>
    <w:rsid w:val="004A6310"/>
    <w:rsid w:val="004A78C0"/>
    <w:rsid w:val="004A7926"/>
    <w:rsid w:val="004A7AF7"/>
    <w:rsid w:val="004A7F72"/>
    <w:rsid w:val="004B0728"/>
    <w:rsid w:val="004B134B"/>
    <w:rsid w:val="004B1740"/>
    <w:rsid w:val="004B1AEB"/>
    <w:rsid w:val="004B1E4F"/>
    <w:rsid w:val="004B20D5"/>
    <w:rsid w:val="004B21F5"/>
    <w:rsid w:val="004B251E"/>
    <w:rsid w:val="004B281F"/>
    <w:rsid w:val="004B2A2A"/>
    <w:rsid w:val="004B2C79"/>
    <w:rsid w:val="004B3B87"/>
    <w:rsid w:val="004B3CE0"/>
    <w:rsid w:val="004B4959"/>
    <w:rsid w:val="004B5171"/>
    <w:rsid w:val="004B53B6"/>
    <w:rsid w:val="004B5828"/>
    <w:rsid w:val="004B5912"/>
    <w:rsid w:val="004B598C"/>
    <w:rsid w:val="004B5AA5"/>
    <w:rsid w:val="004B6021"/>
    <w:rsid w:val="004B6039"/>
    <w:rsid w:val="004B685A"/>
    <w:rsid w:val="004B6A2F"/>
    <w:rsid w:val="004B6E8D"/>
    <w:rsid w:val="004B6FF5"/>
    <w:rsid w:val="004B7027"/>
    <w:rsid w:val="004B71FB"/>
    <w:rsid w:val="004B74D1"/>
    <w:rsid w:val="004B75CA"/>
    <w:rsid w:val="004B7692"/>
    <w:rsid w:val="004B7900"/>
    <w:rsid w:val="004B7DDC"/>
    <w:rsid w:val="004C002E"/>
    <w:rsid w:val="004C01C2"/>
    <w:rsid w:val="004C05A0"/>
    <w:rsid w:val="004C07F0"/>
    <w:rsid w:val="004C0C4A"/>
    <w:rsid w:val="004C0D70"/>
    <w:rsid w:val="004C11E3"/>
    <w:rsid w:val="004C124A"/>
    <w:rsid w:val="004C1698"/>
    <w:rsid w:val="004C1A98"/>
    <w:rsid w:val="004C1CA2"/>
    <w:rsid w:val="004C1E59"/>
    <w:rsid w:val="004C2317"/>
    <w:rsid w:val="004C2502"/>
    <w:rsid w:val="004C26D1"/>
    <w:rsid w:val="004C27F7"/>
    <w:rsid w:val="004C28B6"/>
    <w:rsid w:val="004C3043"/>
    <w:rsid w:val="004C3363"/>
    <w:rsid w:val="004C3476"/>
    <w:rsid w:val="004C35D4"/>
    <w:rsid w:val="004C36FF"/>
    <w:rsid w:val="004C3B4C"/>
    <w:rsid w:val="004C431C"/>
    <w:rsid w:val="004C4578"/>
    <w:rsid w:val="004C470F"/>
    <w:rsid w:val="004C4DAE"/>
    <w:rsid w:val="004C5149"/>
    <w:rsid w:val="004C515E"/>
    <w:rsid w:val="004C5496"/>
    <w:rsid w:val="004C54F0"/>
    <w:rsid w:val="004C58A0"/>
    <w:rsid w:val="004C58AB"/>
    <w:rsid w:val="004C694C"/>
    <w:rsid w:val="004C733C"/>
    <w:rsid w:val="004C75A0"/>
    <w:rsid w:val="004C796E"/>
    <w:rsid w:val="004C7BAE"/>
    <w:rsid w:val="004C7C8A"/>
    <w:rsid w:val="004D015C"/>
    <w:rsid w:val="004D0D1C"/>
    <w:rsid w:val="004D0DCE"/>
    <w:rsid w:val="004D1A2D"/>
    <w:rsid w:val="004D2889"/>
    <w:rsid w:val="004D2E8E"/>
    <w:rsid w:val="004D2ED4"/>
    <w:rsid w:val="004D3037"/>
    <w:rsid w:val="004D3734"/>
    <w:rsid w:val="004D39E1"/>
    <w:rsid w:val="004D3A59"/>
    <w:rsid w:val="004D4046"/>
    <w:rsid w:val="004D4060"/>
    <w:rsid w:val="004D42C6"/>
    <w:rsid w:val="004D434A"/>
    <w:rsid w:val="004D44F3"/>
    <w:rsid w:val="004D49AD"/>
    <w:rsid w:val="004D4AEB"/>
    <w:rsid w:val="004D4D06"/>
    <w:rsid w:val="004D4DD4"/>
    <w:rsid w:val="004D539B"/>
    <w:rsid w:val="004D58E4"/>
    <w:rsid w:val="004D5C7A"/>
    <w:rsid w:val="004D5C86"/>
    <w:rsid w:val="004D5E86"/>
    <w:rsid w:val="004D7349"/>
    <w:rsid w:val="004D7814"/>
    <w:rsid w:val="004E02B1"/>
    <w:rsid w:val="004E0596"/>
    <w:rsid w:val="004E0D28"/>
    <w:rsid w:val="004E1367"/>
    <w:rsid w:val="004E17E1"/>
    <w:rsid w:val="004E18E1"/>
    <w:rsid w:val="004E19A9"/>
    <w:rsid w:val="004E1A64"/>
    <w:rsid w:val="004E1C21"/>
    <w:rsid w:val="004E2C55"/>
    <w:rsid w:val="004E2D9C"/>
    <w:rsid w:val="004E2EFA"/>
    <w:rsid w:val="004E305C"/>
    <w:rsid w:val="004E3908"/>
    <w:rsid w:val="004E47F3"/>
    <w:rsid w:val="004E489F"/>
    <w:rsid w:val="004E49B1"/>
    <w:rsid w:val="004E4B2D"/>
    <w:rsid w:val="004E569F"/>
    <w:rsid w:val="004E5761"/>
    <w:rsid w:val="004E5D88"/>
    <w:rsid w:val="004E634B"/>
    <w:rsid w:val="004E69F8"/>
    <w:rsid w:val="004E6AA8"/>
    <w:rsid w:val="004E6C04"/>
    <w:rsid w:val="004E7238"/>
    <w:rsid w:val="004E7359"/>
    <w:rsid w:val="004E73EF"/>
    <w:rsid w:val="004E79B3"/>
    <w:rsid w:val="004F00E3"/>
    <w:rsid w:val="004F02D4"/>
    <w:rsid w:val="004F081A"/>
    <w:rsid w:val="004F08D3"/>
    <w:rsid w:val="004F0F80"/>
    <w:rsid w:val="004F13C0"/>
    <w:rsid w:val="004F15A2"/>
    <w:rsid w:val="004F1A58"/>
    <w:rsid w:val="004F1EE9"/>
    <w:rsid w:val="004F2012"/>
    <w:rsid w:val="004F2112"/>
    <w:rsid w:val="004F23CA"/>
    <w:rsid w:val="004F2D11"/>
    <w:rsid w:val="004F2DEA"/>
    <w:rsid w:val="004F2DF8"/>
    <w:rsid w:val="004F2EFD"/>
    <w:rsid w:val="004F3C86"/>
    <w:rsid w:val="004F3E4E"/>
    <w:rsid w:val="004F3E4F"/>
    <w:rsid w:val="004F45CF"/>
    <w:rsid w:val="004F4E08"/>
    <w:rsid w:val="004F4E34"/>
    <w:rsid w:val="004F5026"/>
    <w:rsid w:val="004F5273"/>
    <w:rsid w:val="004F5E5F"/>
    <w:rsid w:val="004F6798"/>
    <w:rsid w:val="004F6F60"/>
    <w:rsid w:val="004F6F75"/>
    <w:rsid w:val="004F7187"/>
    <w:rsid w:val="004F77C9"/>
    <w:rsid w:val="0050079C"/>
    <w:rsid w:val="00500A4A"/>
    <w:rsid w:val="00500AC1"/>
    <w:rsid w:val="00500F8D"/>
    <w:rsid w:val="005018D1"/>
    <w:rsid w:val="00501F37"/>
    <w:rsid w:val="00501F9B"/>
    <w:rsid w:val="00502291"/>
    <w:rsid w:val="00502966"/>
    <w:rsid w:val="00502D89"/>
    <w:rsid w:val="00502F4F"/>
    <w:rsid w:val="00502F77"/>
    <w:rsid w:val="0050333B"/>
    <w:rsid w:val="00503649"/>
    <w:rsid w:val="00503898"/>
    <w:rsid w:val="00503A42"/>
    <w:rsid w:val="00503BE9"/>
    <w:rsid w:val="00503D28"/>
    <w:rsid w:val="00503FDD"/>
    <w:rsid w:val="00504EC2"/>
    <w:rsid w:val="00504ECE"/>
    <w:rsid w:val="00504F66"/>
    <w:rsid w:val="005054C1"/>
    <w:rsid w:val="0050551A"/>
    <w:rsid w:val="005055F5"/>
    <w:rsid w:val="00505A72"/>
    <w:rsid w:val="0050618C"/>
    <w:rsid w:val="0050638A"/>
    <w:rsid w:val="00506B1F"/>
    <w:rsid w:val="00506D68"/>
    <w:rsid w:val="00507F3C"/>
    <w:rsid w:val="005103A0"/>
    <w:rsid w:val="0051154A"/>
    <w:rsid w:val="005117C3"/>
    <w:rsid w:val="00511A87"/>
    <w:rsid w:val="00511AEC"/>
    <w:rsid w:val="00511B6D"/>
    <w:rsid w:val="005120F9"/>
    <w:rsid w:val="0051249E"/>
    <w:rsid w:val="005127CD"/>
    <w:rsid w:val="00512848"/>
    <w:rsid w:val="00512B71"/>
    <w:rsid w:val="00513212"/>
    <w:rsid w:val="00513EEF"/>
    <w:rsid w:val="00514021"/>
    <w:rsid w:val="00514095"/>
    <w:rsid w:val="00514144"/>
    <w:rsid w:val="00514DF5"/>
    <w:rsid w:val="00514F61"/>
    <w:rsid w:val="00515140"/>
    <w:rsid w:val="00515837"/>
    <w:rsid w:val="005159E5"/>
    <w:rsid w:val="00515AF3"/>
    <w:rsid w:val="0051653B"/>
    <w:rsid w:val="00516C69"/>
    <w:rsid w:val="00516D0A"/>
    <w:rsid w:val="00516DD3"/>
    <w:rsid w:val="00517316"/>
    <w:rsid w:val="00517703"/>
    <w:rsid w:val="005178DB"/>
    <w:rsid w:val="00517E67"/>
    <w:rsid w:val="005202B6"/>
    <w:rsid w:val="00520337"/>
    <w:rsid w:val="005203D7"/>
    <w:rsid w:val="0052040D"/>
    <w:rsid w:val="00520442"/>
    <w:rsid w:val="005205DA"/>
    <w:rsid w:val="00520BEE"/>
    <w:rsid w:val="00520F57"/>
    <w:rsid w:val="005211CB"/>
    <w:rsid w:val="00521921"/>
    <w:rsid w:val="00521ADE"/>
    <w:rsid w:val="00521CAD"/>
    <w:rsid w:val="00521F55"/>
    <w:rsid w:val="00521FA2"/>
    <w:rsid w:val="00522083"/>
    <w:rsid w:val="00522D0E"/>
    <w:rsid w:val="00522FB9"/>
    <w:rsid w:val="00523607"/>
    <w:rsid w:val="00524323"/>
    <w:rsid w:val="005244C3"/>
    <w:rsid w:val="00524865"/>
    <w:rsid w:val="0052487C"/>
    <w:rsid w:val="00524A19"/>
    <w:rsid w:val="00524D36"/>
    <w:rsid w:val="005253EE"/>
    <w:rsid w:val="00525E79"/>
    <w:rsid w:val="005262FF"/>
    <w:rsid w:val="005266D5"/>
    <w:rsid w:val="0052757A"/>
    <w:rsid w:val="00527A73"/>
    <w:rsid w:val="00527CF3"/>
    <w:rsid w:val="0053068C"/>
    <w:rsid w:val="005308CA"/>
    <w:rsid w:val="00530913"/>
    <w:rsid w:val="00530EE2"/>
    <w:rsid w:val="0053152B"/>
    <w:rsid w:val="005315A9"/>
    <w:rsid w:val="005319D6"/>
    <w:rsid w:val="005325DB"/>
    <w:rsid w:val="005325EB"/>
    <w:rsid w:val="00534B91"/>
    <w:rsid w:val="00534BF6"/>
    <w:rsid w:val="00534E9B"/>
    <w:rsid w:val="00535916"/>
    <w:rsid w:val="005365DD"/>
    <w:rsid w:val="0053668F"/>
    <w:rsid w:val="0053721A"/>
    <w:rsid w:val="005373D7"/>
    <w:rsid w:val="005378DF"/>
    <w:rsid w:val="005379E7"/>
    <w:rsid w:val="00540016"/>
    <w:rsid w:val="0054073D"/>
    <w:rsid w:val="00540D9F"/>
    <w:rsid w:val="00541396"/>
    <w:rsid w:val="0054208B"/>
    <w:rsid w:val="0054239F"/>
    <w:rsid w:val="00542A52"/>
    <w:rsid w:val="00542C41"/>
    <w:rsid w:val="00542EAB"/>
    <w:rsid w:val="005432BA"/>
    <w:rsid w:val="005432EA"/>
    <w:rsid w:val="005433F6"/>
    <w:rsid w:val="00543772"/>
    <w:rsid w:val="00543FA6"/>
    <w:rsid w:val="00544CEE"/>
    <w:rsid w:val="00545A50"/>
    <w:rsid w:val="00545F97"/>
    <w:rsid w:val="0054625E"/>
    <w:rsid w:val="0054647F"/>
    <w:rsid w:val="00546B57"/>
    <w:rsid w:val="00546F7C"/>
    <w:rsid w:val="005470C0"/>
    <w:rsid w:val="0054746B"/>
    <w:rsid w:val="00547977"/>
    <w:rsid w:val="00550186"/>
    <w:rsid w:val="005501CA"/>
    <w:rsid w:val="0055033D"/>
    <w:rsid w:val="005503F5"/>
    <w:rsid w:val="00550530"/>
    <w:rsid w:val="00550731"/>
    <w:rsid w:val="00550DD2"/>
    <w:rsid w:val="00551303"/>
    <w:rsid w:val="00551E43"/>
    <w:rsid w:val="00551E46"/>
    <w:rsid w:val="00551F22"/>
    <w:rsid w:val="005522C6"/>
    <w:rsid w:val="005527E4"/>
    <w:rsid w:val="0055302A"/>
    <w:rsid w:val="0055319C"/>
    <w:rsid w:val="00553526"/>
    <w:rsid w:val="0055361F"/>
    <w:rsid w:val="00553B3A"/>
    <w:rsid w:val="00553BAB"/>
    <w:rsid w:val="00553BB8"/>
    <w:rsid w:val="00553D21"/>
    <w:rsid w:val="005545DE"/>
    <w:rsid w:val="005546E2"/>
    <w:rsid w:val="00554E59"/>
    <w:rsid w:val="0055539A"/>
    <w:rsid w:val="00555639"/>
    <w:rsid w:val="0055563B"/>
    <w:rsid w:val="0055573C"/>
    <w:rsid w:val="005557D6"/>
    <w:rsid w:val="005557DE"/>
    <w:rsid w:val="005559E0"/>
    <w:rsid w:val="00556556"/>
    <w:rsid w:val="005571A1"/>
    <w:rsid w:val="005577EF"/>
    <w:rsid w:val="00557EF8"/>
    <w:rsid w:val="00560641"/>
    <w:rsid w:val="00560850"/>
    <w:rsid w:val="0056088B"/>
    <w:rsid w:val="00560A4F"/>
    <w:rsid w:val="00560FFF"/>
    <w:rsid w:val="0056102B"/>
    <w:rsid w:val="00561295"/>
    <w:rsid w:val="005613C0"/>
    <w:rsid w:val="0056151E"/>
    <w:rsid w:val="005618D7"/>
    <w:rsid w:val="00561BEC"/>
    <w:rsid w:val="0056211B"/>
    <w:rsid w:val="0056223C"/>
    <w:rsid w:val="00562417"/>
    <w:rsid w:val="00562678"/>
    <w:rsid w:val="00562CB8"/>
    <w:rsid w:val="00563771"/>
    <w:rsid w:val="00563C00"/>
    <w:rsid w:val="0056499A"/>
    <w:rsid w:val="00564AC6"/>
    <w:rsid w:val="00564B8A"/>
    <w:rsid w:val="00564CF1"/>
    <w:rsid w:val="00564D35"/>
    <w:rsid w:val="00564EE1"/>
    <w:rsid w:val="00565396"/>
    <w:rsid w:val="00565CDC"/>
    <w:rsid w:val="00565E69"/>
    <w:rsid w:val="00565FE4"/>
    <w:rsid w:val="00566638"/>
    <w:rsid w:val="00566708"/>
    <w:rsid w:val="0056694D"/>
    <w:rsid w:val="00566B50"/>
    <w:rsid w:val="00567015"/>
    <w:rsid w:val="00567265"/>
    <w:rsid w:val="00567D89"/>
    <w:rsid w:val="00567FD3"/>
    <w:rsid w:val="00570838"/>
    <w:rsid w:val="0057093A"/>
    <w:rsid w:val="005709DF"/>
    <w:rsid w:val="00570C3C"/>
    <w:rsid w:val="0057177A"/>
    <w:rsid w:val="005717FB"/>
    <w:rsid w:val="0057219E"/>
    <w:rsid w:val="005726FC"/>
    <w:rsid w:val="00572B94"/>
    <w:rsid w:val="00572DCD"/>
    <w:rsid w:val="00573329"/>
    <w:rsid w:val="0057335D"/>
    <w:rsid w:val="0057336E"/>
    <w:rsid w:val="0057359D"/>
    <w:rsid w:val="00573A0E"/>
    <w:rsid w:val="00573A9A"/>
    <w:rsid w:val="00573BBD"/>
    <w:rsid w:val="00574461"/>
    <w:rsid w:val="00574701"/>
    <w:rsid w:val="00574FA4"/>
    <w:rsid w:val="00574FAB"/>
    <w:rsid w:val="00575801"/>
    <w:rsid w:val="005766D9"/>
    <w:rsid w:val="00576AC3"/>
    <w:rsid w:val="00576BEB"/>
    <w:rsid w:val="005771AB"/>
    <w:rsid w:val="005772B4"/>
    <w:rsid w:val="005774A0"/>
    <w:rsid w:val="00577875"/>
    <w:rsid w:val="005778DF"/>
    <w:rsid w:val="00577AD8"/>
    <w:rsid w:val="0058014B"/>
    <w:rsid w:val="005803B6"/>
    <w:rsid w:val="00580B4A"/>
    <w:rsid w:val="00580BCE"/>
    <w:rsid w:val="00580C46"/>
    <w:rsid w:val="0058121D"/>
    <w:rsid w:val="00581B9F"/>
    <w:rsid w:val="00581BB6"/>
    <w:rsid w:val="00581CBB"/>
    <w:rsid w:val="00581F60"/>
    <w:rsid w:val="00581FB0"/>
    <w:rsid w:val="0058264C"/>
    <w:rsid w:val="00582A19"/>
    <w:rsid w:val="00582AAB"/>
    <w:rsid w:val="005846FF"/>
    <w:rsid w:val="00584A45"/>
    <w:rsid w:val="005856A5"/>
    <w:rsid w:val="00586004"/>
    <w:rsid w:val="005862A2"/>
    <w:rsid w:val="005862F5"/>
    <w:rsid w:val="005873EC"/>
    <w:rsid w:val="00587D64"/>
    <w:rsid w:val="00587DED"/>
    <w:rsid w:val="00590001"/>
    <w:rsid w:val="00590D85"/>
    <w:rsid w:val="00590E5B"/>
    <w:rsid w:val="00591060"/>
    <w:rsid w:val="005911C6"/>
    <w:rsid w:val="005919EC"/>
    <w:rsid w:val="00591AC2"/>
    <w:rsid w:val="00591C5E"/>
    <w:rsid w:val="00592533"/>
    <w:rsid w:val="0059283B"/>
    <w:rsid w:val="00592A34"/>
    <w:rsid w:val="00592C72"/>
    <w:rsid w:val="00592E57"/>
    <w:rsid w:val="005934F0"/>
    <w:rsid w:val="0059380D"/>
    <w:rsid w:val="005948B9"/>
    <w:rsid w:val="00594AA3"/>
    <w:rsid w:val="00594EDE"/>
    <w:rsid w:val="00594FC0"/>
    <w:rsid w:val="00595343"/>
    <w:rsid w:val="005955A3"/>
    <w:rsid w:val="00595C2A"/>
    <w:rsid w:val="0059640E"/>
    <w:rsid w:val="00596506"/>
    <w:rsid w:val="005966BE"/>
    <w:rsid w:val="00597761"/>
    <w:rsid w:val="00597DBF"/>
    <w:rsid w:val="005A0408"/>
    <w:rsid w:val="005A0786"/>
    <w:rsid w:val="005A0C19"/>
    <w:rsid w:val="005A0F0F"/>
    <w:rsid w:val="005A0FB6"/>
    <w:rsid w:val="005A2866"/>
    <w:rsid w:val="005A2D1D"/>
    <w:rsid w:val="005A2E5B"/>
    <w:rsid w:val="005A2EEB"/>
    <w:rsid w:val="005A3084"/>
    <w:rsid w:val="005A3807"/>
    <w:rsid w:val="005A3925"/>
    <w:rsid w:val="005A39BB"/>
    <w:rsid w:val="005A4065"/>
    <w:rsid w:val="005A439E"/>
    <w:rsid w:val="005A59FD"/>
    <w:rsid w:val="005A5AD4"/>
    <w:rsid w:val="005A61FD"/>
    <w:rsid w:val="005A622C"/>
    <w:rsid w:val="005A6649"/>
    <w:rsid w:val="005A6819"/>
    <w:rsid w:val="005A6B4C"/>
    <w:rsid w:val="005A79C0"/>
    <w:rsid w:val="005B00A5"/>
    <w:rsid w:val="005B01C4"/>
    <w:rsid w:val="005B04B1"/>
    <w:rsid w:val="005B06D7"/>
    <w:rsid w:val="005B13FA"/>
    <w:rsid w:val="005B17FE"/>
    <w:rsid w:val="005B1D4E"/>
    <w:rsid w:val="005B1DC0"/>
    <w:rsid w:val="005B1E25"/>
    <w:rsid w:val="005B1EC2"/>
    <w:rsid w:val="005B1FF8"/>
    <w:rsid w:val="005B219D"/>
    <w:rsid w:val="005B22AB"/>
    <w:rsid w:val="005B22C9"/>
    <w:rsid w:val="005B257D"/>
    <w:rsid w:val="005B274E"/>
    <w:rsid w:val="005B28DB"/>
    <w:rsid w:val="005B2923"/>
    <w:rsid w:val="005B2FD6"/>
    <w:rsid w:val="005B3103"/>
    <w:rsid w:val="005B3241"/>
    <w:rsid w:val="005B3D57"/>
    <w:rsid w:val="005B41F8"/>
    <w:rsid w:val="005B44E8"/>
    <w:rsid w:val="005B48D8"/>
    <w:rsid w:val="005B4971"/>
    <w:rsid w:val="005B4EC3"/>
    <w:rsid w:val="005B542F"/>
    <w:rsid w:val="005B5589"/>
    <w:rsid w:val="005B5CD0"/>
    <w:rsid w:val="005B5F70"/>
    <w:rsid w:val="005B6161"/>
    <w:rsid w:val="005B64FF"/>
    <w:rsid w:val="005B65C5"/>
    <w:rsid w:val="005B67FD"/>
    <w:rsid w:val="005B6CC5"/>
    <w:rsid w:val="005B6FF1"/>
    <w:rsid w:val="005B70CA"/>
    <w:rsid w:val="005B75B7"/>
    <w:rsid w:val="005B75E6"/>
    <w:rsid w:val="005B764E"/>
    <w:rsid w:val="005B78A6"/>
    <w:rsid w:val="005B7C1B"/>
    <w:rsid w:val="005B7EB0"/>
    <w:rsid w:val="005B7EE6"/>
    <w:rsid w:val="005C06BB"/>
    <w:rsid w:val="005C08DF"/>
    <w:rsid w:val="005C09D3"/>
    <w:rsid w:val="005C0DD4"/>
    <w:rsid w:val="005C121F"/>
    <w:rsid w:val="005C16A5"/>
    <w:rsid w:val="005C187F"/>
    <w:rsid w:val="005C1B52"/>
    <w:rsid w:val="005C1F06"/>
    <w:rsid w:val="005C1F63"/>
    <w:rsid w:val="005C1F6D"/>
    <w:rsid w:val="005C2148"/>
    <w:rsid w:val="005C2EB1"/>
    <w:rsid w:val="005C2F7B"/>
    <w:rsid w:val="005C30DC"/>
    <w:rsid w:val="005C317D"/>
    <w:rsid w:val="005C3520"/>
    <w:rsid w:val="005C37A0"/>
    <w:rsid w:val="005C3AAE"/>
    <w:rsid w:val="005C3C29"/>
    <w:rsid w:val="005C3C40"/>
    <w:rsid w:val="005C3CA6"/>
    <w:rsid w:val="005C3D61"/>
    <w:rsid w:val="005C43D6"/>
    <w:rsid w:val="005C44CF"/>
    <w:rsid w:val="005C4833"/>
    <w:rsid w:val="005C4EEE"/>
    <w:rsid w:val="005C5496"/>
    <w:rsid w:val="005C6001"/>
    <w:rsid w:val="005C66C0"/>
    <w:rsid w:val="005C693B"/>
    <w:rsid w:val="005C6A97"/>
    <w:rsid w:val="005C7B20"/>
    <w:rsid w:val="005D00D3"/>
    <w:rsid w:val="005D056D"/>
    <w:rsid w:val="005D08C5"/>
    <w:rsid w:val="005D0CB8"/>
    <w:rsid w:val="005D0E10"/>
    <w:rsid w:val="005D1341"/>
    <w:rsid w:val="005D17DB"/>
    <w:rsid w:val="005D1CF3"/>
    <w:rsid w:val="005D2A10"/>
    <w:rsid w:val="005D2B1D"/>
    <w:rsid w:val="005D2C23"/>
    <w:rsid w:val="005D2C50"/>
    <w:rsid w:val="005D2D06"/>
    <w:rsid w:val="005D2F83"/>
    <w:rsid w:val="005D32E4"/>
    <w:rsid w:val="005D3B6C"/>
    <w:rsid w:val="005D4198"/>
    <w:rsid w:val="005D4234"/>
    <w:rsid w:val="005D46DC"/>
    <w:rsid w:val="005D5215"/>
    <w:rsid w:val="005D59F0"/>
    <w:rsid w:val="005D5F2B"/>
    <w:rsid w:val="005D6108"/>
    <w:rsid w:val="005D655C"/>
    <w:rsid w:val="005D6A71"/>
    <w:rsid w:val="005D6A77"/>
    <w:rsid w:val="005D73BF"/>
    <w:rsid w:val="005D74F9"/>
    <w:rsid w:val="005D7ACB"/>
    <w:rsid w:val="005D7C4D"/>
    <w:rsid w:val="005E0A4C"/>
    <w:rsid w:val="005E0CFD"/>
    <w:rsid w:val="005E19DA"/>
    <w:rsid w:val="005E2360"/>
    <w:rsid w:val="005E2A58"/>
    <w:rsid w:val="005E2AA3"/>
    <w:rsid w:val="005E2E4A"/>
    <w:rsid w:val="005E2EA2"/>
    <w:rsid w:val="005E32F9"/>
    <w:rsid w:val="005E34E7"/>
    <w:rsid w:val="005E371E"/>
    <w:rsid w:val="005E374C"/>
    <w:rsid w:val="005E3E8A"/>
    <w:rsid w:val="005E4310"/>
    <w:rsid w:val="005E4317"/>
    <w:rsid w:val="005E4B9E"/>
    <w:rsid w:val="005E4E79"/>
    <w:rsid w:val="005E4FF0"/>
    <w:rsid w:val="005E52F3"/>
    <w:rsid w:val="005E560A"/>
    <w:rsid w:val="005E5761"/>
    <w:rsid w:val="005E5989"/>
    <w:rsid w:val="005E62F7"/>
    <w:rsid w:val="005E6554"/>
    <w:rsid w:val="005E66BF"/>
    <w:rsid w:val="005E676C"/>
    <w:rsid w:val="005E6DEC"/>
    <w:rsid w:val="005E6F8F"/>
    <w:rsid w:val="005E7203"/>
    <w:rsid w:val="005E7BF1"/>
    <w:rsid w:val="005F0307"/>
    <w:rsid w:val="005F0661"/>
    <w:rsid w:val="005F118C"/>
    <w:rsid w:val="005F18F3"/>
    <w:rsid w:val="005F1D6E"/>
    <w:rsid w:val="005F2349"/>
    <w:rsid w:val="005F25B4"/>
    <w:rsid w:val="005F306D"/>
    <w:rsid w:val="005F33B6"/>
    <w:rsid w:val="005F3C35"/>
    <w:rsid w:val="005F4599"/>
    <w:rsid w:val="005F54AE"/>
    <w:rsid w:val="005F561F"/>
    <w:rsid w:val="005F5E20"/>
    <w:rsid w:val="005F610A"/>
    <w:rsid w:val="005F643B"/>
    <w:rsid w:val="005F64BE"/>
    <w:rsid w:val="005F6634"/>
    <w:rsid w:val="005F6979"/>
    <w:rsid w:val="005F69B9"/>
    <w:rsid w:val="005F6E16"/>
    <w:rsid w:val="005F6E6F"/>
    <w:rsid w:val="005F6E86"/>
    <w:rsid w:val="005F705A"/>
    <w:rsid w:val="005F71B4"/>
    <w:rsid w:val="005F742C"/>
    <w:rsid w:val="005F7B97"/>
    <w:rsid w:val="005F7F48"/>
    <w:rsid w:val="0060071A"/>
    <w:rsid w:val="0060083B"/>
    <w:rsid w:val="00600A0F"/>
    <w:rsid w:val="00600A15"/>
    <w:rsid w:val="006012E8"/>
    <w:rsid w:val="006014E3"/>
    <w:rsid w:val="00601A5B"/>
    <w:rsid w:val="00601B24"/>
    <w:rsid w:val="00602322"/>
    <w:rsid w:val="006026CE"/>
    <w:rsid w:val="006028B5"/>
    <w:rsid w:val="00602BB1"/>
    <w:rsid w:val="00602D0A"/>
    <w:rsid w:val="00602EF6"/>
    <w:rsid w:val="00603336"/>
    <w:rsid w:val="006033DB"/>
    <w:rsid w:val="00603F8C"/>
    <w:rsid w:val="006041C4"/>
    <w:rsid w:val="00604AD2"/>
    <w:rsid w:val="00604CE9"/>
    <w:rsid w:val="00606249"/>
    <w:rsid w:val="0060634A"/>
    <w:rsid w:val="00607205"/>
    <w:rsid w:val="00607537"/>
    <w:rsid w:val="00607EDB"/>
    <w:rsid w:val="006105A1"/>
    <w:rsid w:val="00610B14"/>
    <w:rsid w:val="00610EDC"/>
    <w:rsid w:val="00611237"/>
    <w:rsid w:val="00611243"/>
    <w:rsid w:val="00611375"/>
    <w:rsid w:val="00611863"/>
    <w:rsid w:val="00611A02"/>
    <w:rsid w:val="00611CF3"/>
    <w:rsid w:val="0061257C"/>
    <w:rsid w:val="006127D6"/>
    <w:rsid w:val="006128E9"/>
    <w:rsid w:val="0061364F"/>
    <w:rsid w:val="00613762"/>
    <w:rsid w:val="00613765"/>
    <w:rsid w:val="00613B46"/>
    <w:rsid w:val="00613B6D"/>
    <w:rsid w:val="0061461A"/>
    <w:rsid w:val="00614CF3"/>
    <w:rsid w:val="00614D4A"/>
    <w:rsid w:val="00615096"/>
    <w:rsid w:val="006154D6"/>
    <w:rsid w:val="00615CD3"/>
    <w:rsid w:val="0061601E"/>
    <w:rsid w:val="00616197"/>
    <w:rsid w:val="0061640B"/>
    <w:rsid w:val="006178C5"/>
    <w:rsid w:val="006178D4"/>
    <w:rsid w:val="00617D0C"/>
    <w:rsid w:val="00617E7A"/>
    <w:rsid w:val="006201BC"/>
    <w:rsid w:val="00620448"/>
    <w:rsid w:val="00620A1C"/>
    <w:rsid w:val="00620B33"/>
    <w:rsid w:val="00620F4F"/>
    <w:rsid w:val="006211FE"/>
    <w:rsid w:val="0062158B"/>
    <w:rsid w:val="006219E0"/>
    <w:rsid w:val="006221E8"/>
    <w:rsid w:val="0062227B"/>
    <w:rsid w:val="0062277B"/>
    <w:rsid w:val="00622AAA"/>
    <w:rsid w:val="0062320D"/>
    <w:rsid w:val="00623314"/>
    <w:rsid w:val="0062387F"/>
    <w:rsid w:val="00623D81"/>
    <w:rsid w:val="0062405D"/>
    <w:rsid w:val="0062415B"/>
    <w:rsid w:val="00624414"/>
    <w:rsid w:val="00624455"/>
    <w:rsid w:val="0062459A"/>
    <w:rsid w:val="006246EA"/>
    <w:rsid w:val="006254B4"/>
    <w:rsid w:val="0062586E"/>
    <w:rsid w:val="00625F81"/>
    <w:rsid w:val="00626181"/>
    <w:rsid w:val="00626E02"/>
    <w:rsid w:val="006275E7"/>
    <w:rsid w:val="00627F4B"/>
    <w:rsid w:val="00627F9F"/>
    <w:rsid w:val="00630013"/>
    <w:rsid w:val="006300F3"/>
    <w:rsid w:val="00630130"/>
    <w:rsid w:val="00630182"/>
    <w:rsid w:val="0063059A"/>
    <w:rsid w:val="0063069E"/>
    <w:rsid w:val="006307B5"/>
    <w:rsid w:val="00630941"/>
    <w:rsid w:val="00630B2A"/>
    <w:rsid w:val="006313C8"/>
    <w:rsid w:val="00631E4B"/>
    <w:rsid w:val="0063218B"/>
    <w:rsid w:val="00632553"/>
    <w:rsid w:val="006330BF"/>
    <w:rsid w:val="006338D5"/>
    <w:rsid w:val="00633DAD"/>
    <w:rsid w:val="0063431F"/>
    <w:rsid w:val="00634D32"/>
    <w:rsid w:val="00634E81"/>
    <w:rsid w:val="00634FC7"/>
    <w:rsid w:val="00635144"/>
    <w:rsid w:val="006354C4"/>
    <w:rsid w:val="006356A3"/>
    <w:rsid w:val="00635D91"/>
    <w:rsid w:val="00636511"/>
    <w:rsid w:val="00636A84"/>
    <w:rsid w:val="0063705C"/>
    <w:rsid w:val="00637655"/>
    <w:rsid w:val="00637D1D"/>
    <w:rsid w:val="00640427"/>
    <w:rsid w:val="00640A3E"/>
    <w:rsid w:val="00641404"/>
    <w:rsid w:val="00641967"/>
    <w:rsid w:val="0064269B"/>
    <w:rsid w:val="006426FD"/>
    <w:rsid w:val="00642866"/>
    <w:rsid w:val="006429EF"/>
    <w:rsid w:val="00643324"/>
    <w:rsid w:val="00643841"/>
    <w:rsid w:val="00643C13"/>
    <w:rsid w:val="00643D82"/>
    <w:rsid w:val="0064412D"/>
    <w:rsid w:val="006448EF"/>
    <w:rsid w:val="00645346"/>
    <w:rsid w:val="00645359"/>
    <w:rsid w:val="0064579E"/>
    <w:rsid w:val="00645A7A"/>
    <w:rsid w:val="00645CB5"/>
    <w:rsid w:val="00645D2D"/>
    <w:rsid w:val="006463C1"/>
    <w:rsid w:val="006465CE"/>
    <w:rsid w:val="0064667E"/>
    <w:rsid w:val="00646A57"/>
    <w:rsid w:val="00647109"/>
    <w:rsid w:val="006476E2"/>
    <w:rsid w:val="0064778D"/>
    <w:rsid w:val="00647AAC"/>
    <w:rsid w:val="00647E58"/>
    <w:rsid w:val="00650215"/>
    <w:rsid w:val="00650BD8"/>
    <w:rsid w:val="00650C68"/>
    <w:rsid w:val="00650F09"/>
    <w:rsid w:val="006520F6"/>
    <w:rsid w:val="006522AD"/>
    <w:rsid w:val="006522C4"/>
    <w:rsid w:val="006524F9"/>
    <w:rsid w:val="00652F6B"/>
    <w:rsid w:val="0065331B"/>
    <w:rsid w:val="006533AF"/>
    <w:rsid w:val="006535D6"/>
    <w:rsid w:val="00653777"/>
    <w:rsid w:val="0065407B"/>
    <w:rsid w:val="006547C7"/>
    <w:rsid w:val="00654817"/>
    <w:rsid w:val="00654A2A"/>
    <w:rsid w:val="00654ACF"/>
    <w:rsid w:val="00654CFF"/>
    <w:rsid w:val="006552F2"/>
    <w:rsid w:val="00655521"/>
    <w:rsid w:val="006560F3"/>
    <w:rsid w:val="00656206"/>
    <w:rsid w:val="00656603"/>
    <w:rsid w:val="00656C7A"/>
    <w:rsid w:val="0065725D"/>
    <w:rsid w:val="00657BDB"/>
    <w:rsid w:val="00657C7A"/>
    <w:rsid w:val="00660551"/>
    <w:rsid w:val="00660561"/>
    <w:rsid w:val="006608BA"/>
    <w:rsid w:val="00660B4B"/>
    <w:rsid w:val="00660EB3"/>
    <w:rsid w:val="0066178F"/>
    <w:rsid w:val="00662025"/>
    <w:rsid w:val="00662588"/>
    <w:rsid w:val="00662663"/>
    <w:rsid w:val="00662863"/>
    <w:rsid w:val="00662934"/>
    <w:rsid w:val="00662C32"/>
    <w:rsid w:val="00663CBC"/>
    <w:rsid w:val="00663DE1"/>
    <w:rsid w:val="006647F7"/>
    <w:rsid w:val="00664D68"/>
    <w:rsid w:val="00664DEC"/>
    <w:rsid w:val="00665137"/>
    <w:rsid w:val="0066529A"/>
    <w:rsid w:val="00665CE6"/>
    <w:rsid w:val="00665EBF"/>
    <w:rsid w:val="00665EDB"/>
    <w:rsid w:val="00666043"/>
    <w:rsid w:val="00666772"/>
    <w:rsid w:val="006669C2"/>
    <w:rsid w:val="00666C80"/>
    <w:rsid w:val="0066737B"/>
    <w:rsid w:val="00667681"/>
    <w:rsid w:val="0066768B"/>
    <w:rsid w:val="00670149"/>
    <w:rsid w:val="00670334"/>
    <w:rsid w:val="00670436"/>
    <w:rsid w:val="00670782"/>
    <w:rsid w:val="006713BE"/>
    <w:rsid w:val="00671F1F"/>
    <w:rsid w:val="0067251F"/>
    <w:rsid w:val="006727F4"/>
    <w:rsid w:val="006728C1"/>
    <w:rsid w:val="00672935"/>
    <w:rsid w:val="006729E2"/>
    <w:rsid w:val="00672D18"/>
    <w:rsid w:val="00672E7F"/>
    <w:rsid w:val="006731A6"/>
    <w:rsid w:val="0067369F"/>
    <w:rsid w:val="00673833"/>
    <w:rsid w:val="006738BF"/>
    <w:rsid w:val="006738CB"/>
    <w:rsid w:val="00674181"/>
    <w:rsid w:val="00674297"/>
    <w:rsid w:val="006746BB"/>
    <w:rsid w:val="0067481F"/>
    <w:rsid w:val="00674E23"/>
    <w:rsid w:val="00675279"/>
    <w:rsid w:val="00675282"/>
    <w:rsid w:val="006754FF"/>
    <w:rsid w:val="0067550A"/>
    <w:rsid w:val="006757F7"/>
    <w:rsid w:val="00676CFF"/>
    <w:rsid w:val="00677121"/>
    <w:rsid w:val="0067740D"/>
    <w:rsid w:val="0067799C"/>
    <w:rsid w:val="006800F9"/>
    <w:rsid w:val="006802EC"/>
    <w:rsid w:val="0068072C"/>
    <w:rsid w:val="00680798"/>
    <w:rsid w:val="006810F6"/>
    <w:rsid w:val="00681911"/>
    <w:rsid w:val="00681A9A"/>
    <w:rsid w:val="00681DE2"/>
    <w:rsid w:val="00681E15"/>
    <w:rsid w:val="00682601"/>
    <w:rsid w:val="00683904"/>
    <w:rsid w:val="00683EB1"/>
    <w:rsid w:val="00683F41"/>
    <w:rsid w:val="0068406C"/>
    <w:rsid w:val="00684390"/>
    <w:rsid w:val="006844A2"/>
    <w:rsid w:val="00684A58"/>
    <w:rsid w:val="00684C26"/>
    <w:rsid w:val="006862AB"/>
    <w:rsid w:val="00686C5E"/>
    <w:rsid w:val="00686D44"/>
    <w:rsid w:val="00686E02"/>
    <w:rsid w:val="00686FF6"/>
    <w:rsid w:val="00687228"/>
    <w:rsid w:val="006872CA"/>
    <w:rsid w:val="00687CA1"/>
    <w:rsid w:val="006906F9"/>
    <w:rsid w:val="00690F53"/>
    <w:rsid w:val="006917A8"/>
    <w:rsid w:val="00691EE6"/>
    <w:rsid w:val="006923D0"/>
    <w:rsid w:val="006924B5"/>
    <w:rsid w:val="00692BFF"/>
    <w:rsid w:val="00693201"/>
    <w:rsid w:val="00693511"/>
    <w:rsid w:val="00693D30"/>
    <w:rsid w:val="006949BF"/>
    <w:rsid w:val="00694AA2"/>
    <w:rsid w:val="00694DAC"/>
    <w:rsid w:val="0069538B"/>
    <w:rsid w:val="00695BAC"/>
    <w:rsid w:val="006966DA"/>
    <w:rsid w:val="00696A5B"/>
    <w:rsid w:val="00697191"/>
    <w:rsid w:val="006977A0"/>
    <w:rsid w:val="0069790A"/>
    <w:rsid w:val="00697929"/>
    <w:rsid w:val="006979E1"/>
    <w:rsid w:val="00697B70"/>
    <w:rsid w:val="00697C99"/>
    <w:rsid w:val="00697E45"/>
    <w:rsid w:val="006A08F1"/>
    <w:rsid w:val="006A141F"/>
    <w:rsid w:val="006A1684"/>
    <w:rsid w:val="006A1893"/>
    <w:rsid w:val="006A207E"/>
    <w:rsid w:val="006A28A1"/>
    <w:rsid w:val="006A2CEA"/>
    <w:rsid w:val="006A30BA"/>
    <w:rsid w:val="006A33E3"/>
    <w:rsid w:val="006A3845"/>
    <w:rsid w:val="006A3AF2"/>
    <w:rsid w:val="006A3C09"/>
    <w:rsid w:val="006A3CD2"/>
    <w:rsid w:val="006A407A"/>
    <w:rsid w:val="006A40CF"/>
    <w:rsid w:val="006A43EB"/>
    <w:rsid w:val="006A4681"/>
    <w:rsid w:val="006A509A"/>
    <w:rsid w:val="006A6290"/>
    <w:rsid w:val="006A6955"/>
    <w:rsid w:val="006A709A"/>
    <w:rsid w:val="006A7104"/>
    <w:rsid w:val="006A7A34"/>
    <w:rsid w:val="006A7A99"/>
    <w:rsid w:val="006B0014"/>
    <w:rsid w:val="006B0992"/>
    <w:rsid w:val="006B0BDA"/>
    <w:rsid w:val="006B13AD"/>
    <w:rsid w:val="006B13E1"/>
    <w:rsid w:val="006B176B"/>
    <w:rsid w:val="006B1DD6"/>
    <w:rsid w:val="006B1E97"/>
    <w:rsid w:val="006B1FED"/>
    <w:rsid w:val="006B25F1"/>
    <w:rsid w:val="006B2850"/>
    <w:rsid w:val="006B29E2"/>
    <w:rsid w:val="006B3918"/>
    <w:rsid w:val="006B39BE"/>
    <w:rsid w:val="006B3C4E"/>
    <w:rsid w:val="006B3C8D"/>
    <w:rsid w:val="006B42CD"/>
    <w:rsid w:val="006B4435"/>
    <w:rsid w:val="006B46F6"/>
    <w:rsid w:val="006B47C0"/>
    <w:rsid w:val="006B47D4"/>
    <w:rsid w:val="006B4C8C"/>
    <w:rsid w:val="006B51C5"/>
    <w:rsid w:val="006B5308"/>
    <w:rsid w:val="006B56A1"/>
    <w:rsid w:val="006B58B6"/>
    <w:rsid w:val="006B5990"/>
    <w:rsid w:val="006B5C0B"/>
    <w:rsid w:val="006B6D3B"/>
    <w:rsid w:val="006B6E15"/>
    <w:rsid w:val="006B6F74"/>
    <w:rsid w:val="006B769C"/>
    <w:rsid w:val="006B788A"/>
    <w:rsid w:val="006B79AF"/>
    <w:rsid w:val="006B7CDE"/>
    <w:rsid w:val="006B7DB2"/>
    <w:rsid w:val="006B7DB3"/>
    <w:rsid w:val="006C0851"/>
    <w:rsid w:val="006C096D"/>
    <w:rsid w:val="006C0B92"/>
    <w:rsid w:val="006C0CB1"/>
    <w:rsid w:val="006C1526"/>
    <w:rsid w:val="006C1ED9"/>
    <w:rsid w:val="006C1F46"/>
    <w:rsid w:val="006C2473"/>
    <w:rsid w:val="006C2993"/>
    <w:rsid w:val="006C389F"/>
    <w:rsid w:val="006C3A50"/>
    <w:rsid w:val="006C486E"/>
    <w:rsid w:val="006C4BBB"/>
    <w:rsid w:val="006C4D88"/>
    <w:rsid w:val="006C5317"/>
    <w:rsid w:val="006C5B12"/>
    <w:rsid w:val="006C5C97"/>
    <w:rsid w:val="006C638D"/>
    <w:rsid w:val="006C726E"/>
    <w:rsid w:val="006C7574"/>
    <w:rsid w:val="006C7A6F"/>
    <w:rsid w:val="006D03AA"/>
    <w:rsid w:val="006D1391"/>
    <w:rsid w:val="006D13BF"/>
    <w:rsid w:val="006D19C8"/>
    <w:rsid w:val="006D2111"/>
    <w:rsid w:val="006D24CA"/>
    <w:rsid w:val="006D2D9C"/>
    <w:rsid w:val="006D3805"/>
    <w:rsid w:val="006D397A"/>
    <w:rsid w:val="006D3D22"/>
    <w:rsid w:val="006D3E64"/>
    <w:rsid w:val="006D3F73"/>
    <w:rsid w:val="006D3FEC"/>
    <w:rsid w:val="006D423B"/>
    <w:rsid w:val="006D4D34"/>
    <w:rsid w:val="006D4DD0"/>
    <w:rsid w:val="006D506C"/>
    <w:rsid w:val="006D50A2"/>
    <w:rsid w:val="006D5464"/>
    <w:rsid w:val="006D5469"/>
    <w:rsid w:val="006D55BB"/>
    <w:rsid w:val="006D59AF"/>
    <w:rsid w:val="006D664C"/>
    <w:rsid w:val="006D6CA0"/>
    <w:rsid w:val="006D73B4"/>
    <w:rsid w:val="006D785A"/>
    <w:rsid w:val="006E04EF"/>
    <w:rsid w:val="006E0575"/>
    <w:rsid w:val="006E05BE"/>
    <w:rsid w:val="006E09DC"/>
    <w:rsid w:val="006E0B48"/>
    <w:rsid w:val="006E0C71"/>
    <w:rsid w:val="006E10F1"/>
    <w:rsid w:val="006E1304"/>
    <w:rsid w:val="006E136A"/>
    <w:rsid w:val="006E1750"/>
    <w:rsid w:val="006E196F"/>
    <w:rsid w:val="006E1F67"/>
    <w:rsid w:val="006E2193"/>
    <w:rsid w:val="006E275C"/>
    <w:rsid w:val="006E2908"/>
    <w:rsid w:val="006E298B"/>
    <w:rsid w:val="006E29B5"/>
    <w:rsid w:val="006E2A9F"/>
    <w:rsid w:val="006E2AA7"/>
    <w:rsid w:val="006E2C62"/>
    <w:rsid w:val="006E2E6E"/>
    <w:rsid w:val="006E3233"/>
    <w:rsid w:val="006E3FA4"/>
    <w:rsid w:val="006E3FD1"/>
    <w:rsid w:val="006E40C1"/>
    <w:rsid w:val="006E423A"/>
    <w:rsid w:val="006E498E"/>
    <w:rsid w:val="006E4D34"/>
    <w:rsid w:val="006E4FE4"/>
    <w:rsid w:val="006E507E"/>
    <w:rsid w:val="006E5355"/>
    <w:rsid w:val="006E560C"/>
    <w:rsid w:val="006E561D"/>
    <w:rsid w:val="006E60B5"/>
    <w:rsid w:val="006E6654"/>
    <w:rsid w:val="006E67A4"/>
    <w:rsid w:val="006E6A2B"/>
    <w:rsid w:val="006E71F0"/>
    <w:rsid w:val="006E75D1"/>
    <w:rsid w:val="006E7705"/>
    <w:rsid w:val="006E7D43"/>
    <w:rsid w:val="006E7F5C"/>
    <w:rsid w:val="006F00A1"/>
    <w:rsid w:val="006F0241"/>
    <w:rsid w:val="006F08E1"/>
    <w:rsid w:val="006F0AA2"/>
    <w:rsid w:val="006F0C5B"/>
    <w:rsid w:val="006F0E0D"/>
    <w:rsid w:val="006F116D"/>
    <w:rsid w:val="006F1180"/>
    <w:rsid w:val="006F1365"/>
    <w:rsid w:val="006F19B8"/>
    <w:rsid w:val="006F1C0C"/>
    <w:rsid w:val="006F20F2"/>
    <w:rsid w:val="006F236E"/>
    <w:rsid w:val="006F252A"/>
    <w:rsid w:val="006F25AC"/>
    <w:rsid w:val="006F2755"/>
    <w:rsid w:val="006F2A8D"/>
    <w:rsid w:val="006F2CEB"/>
    <w:rsid w:val="006F2CF3"/>
    <w:rsid w:val="006F2F68"/>
    <w:rsid w:val="006F308B"/>
    <w:rsid w:val="006F35A1"/>
    <w:rsid w:val="006F3F3B"/>
    <w:rsid w:val="006F423A"/>
    <w:rsid w:val="006F44C6"/>
    <w:rsid w:val="006F4A1A"/>
    <w:rsid w:val="006F4A41"/>
    <w:rsid w:val="006F4AEB"/>
    <w:rsid w:val="006F5C3A"/>
    <w:rsid w:val="006F6A54"/>
    <w:rsid w:val="006F6E16"/>
    <w:rsid w:val="006F6FC2"/>
    <w:rsid w:val="006F744F"/>
    <w:rsid w:val="006F7541"/>
    <w:rsid w:val="006F7C05"/>
    <w:rsid w:val="006F7D44"/>
    <w:rsid w:val="006F7FAC"/>
    <w:rsid w:val="007001EC"/>
    <w:rsid w:val="00700C2A"/>
    <w:rsid w:val="00701A70"/>
    <w:rsid w:val="0070278E"/>
    <w:rsid w:val="00702A34"/>
    <w:rsid w:val="00702DE6"/>
    <w:rsid w:val="00702F0A"/>
    <w:rsid w:val="00703847"/>
    <w:rsid w:val="00703CF7"/>
    <w:rsid w:val="00703DC2"/>
    <w:rsid w:val="00703EDA"/>
    <w:rsid w:val="007044E3"/>
    <w:rsid w:val="00704AAE"/>
    <w:rsid w:val="00704ED9"/>
    <w:rsid w:val="00705BD5"/>
    <w:rsid w:val="007067BB"/>
    <w:rsid w:val="00706F79"/>
    <w:rsid w:val="00707722"/>
    <w:rsid w:val="00707772"/>
    <w:rsid w:val="007078BB"/>
    <w:rsid w:val="00707D9A"/>
    <w:rsid w:val="00707F07"/>
    <w:rsid w:val="00710743"/>
    <w:rsid w:val="00710DE7"/>
    <w:rsid w:val="00710E82"/>
    <w:rsid w:val="00710F85"/>
    <w:rsid w:val="00711336"/>
    <w:rsid w:val="0071160E"/>
    <w:rsid w:val="00711662"/>
    <w:rsid w:val="007118DD"/>
    <w:rsid w:val="00711A9A"/>
    <w:rsid w:val="0071221A"/>
    <w:rsid w:val="00712A8B"/>
    <w:rsid w:val="00712CE9"/>
    <w:rsid w:val="00713E62"/>
    <w:rsid w:val="00713F22"/>
    <w:rsid w:val="007140DB"/>
    <w:rsid w:val="007149DD"/>
    <w:rsid w:val="00714A34"/>
    <w:rsid w:val="00715435"/>
    <w:rsid w:val="00715592"/>
    <w:rsid w:val="00715B30"/>
    <w:rsid w:val="0071607F"/>
    <w:rsid w:val="0071626C"/>
    <w:rsid w:val="00716341"/>
    <w:rsid w:val="00716436"/>
    <w:rsid w:val="007167F8"/>
    <w:rsid w:val="00716EF2"/>
    <w:rsid w:val="007173EC"/>
    <w:rsid w:val="00717BDE"/>
    <w:rsid w:val="0072007D"/>
    <w:rsid w:val="00720109"/>
    <w:rsid w:val="0072018B"/>
    <w:rsid w:val="007201F6"/>
    <w:rsid w:val="00720339"/>
    <w:rsid w:val="00720A4A"/>
    <w:rsid w:val="00721381"/>
    <w:rsid w:val="00721613"/>
    <w:rsid w:val="00721B63"/>
    <w:rsid w:val="0072209C"/>
    <w:rsid w:val="00722286"/>
    <w:rsid w:val="0072235F"/>
    <w:rsid w:val="007228F5"/>
    <w:rsid w:val="00722C96"/>
    <w:rsid w:val="00722DCF"/>
    <w:rsid w:val="00722EFF"/>
    <w:rsid w:val="00723401"/>
    <w:rsid w:val="007235AA"/>
    <w:rsid w:val="00723CF0"/>
    <w:rsid w:val="007240D8"/>
    <w:rsid w:val="00724124"/>
    <w:rsid w:val="00724C2B"/>
    <w:rsid w:val="007262FD"/>
    <w:rsid w:val="0072630C"/>
    <w:rsid w:val="00726706"/>
    <w:rsid w:val="00726B3A"/>
    <w:rsid w:val="00726FD9"/>
    <w:rsid w:val="007271BB"/>
    <w:rsid w:val="00727439"/>
    <w:rsid w:val="00727543"/>
    <w:rsid w:val="00727C2D"/>
    <w:rsid w:val="007304E9"/>
    <w:rsid w:val="0073079C"/>
    <w:rsid w:val="00730BA8"/>
    <w:rsid w:val="00731926"/>
    <w:rsid w:val="00731FEB"/>
    <w:rsid w:val="00732516"/>
    <w:rsid w:val="0073271D"/>
    <w:rsid w:val="00732835"/>
    <w:rsid w:val="007328CC"/>
    <w:rsid w:val="00732DDA"/>
    <w:rsid w:val="007331B9"/>
    <w:rsid w:val="007332E5"/>
    <w:rsid w:val="007337E0"/>
    <w:rsid w:val="00733830"/>
    <w:rsid w:val="007339C2"/>
    <w:rsid w:val="00733AE0"/>
    <w:rsid w:val="007342C8"/>
    <w:rsid w:val="0073439A"/>
    <w:rsid w:val="00734673"/>
    <w:rsid w:val="007348EA"/>
    <w:rsid w:val="00734A48"/>
    <w:rsid w:val="00734E7A"/>
    <w:rsid w:val="007350C5"/>
    <w:rsid w:val="00735775"/>
    <w:rsid w:val="00735FED"/>
    <w:rsid w:val="00735FF6"/>
    <w:rsid w:val="007360E6"/>
    <w:rsid w:val="00736175"/>
    <w:rsid w:val="007366E3"/>
    <w:rsid w:val="00737E44"/>
    <w:rsid w:val="007400E5"/>
    <w:rsid w:val="007409D4"/>
    <w:rsid w:val="007411DB"/>
    <w:rsid w:val="007413C9"/>
    <w:rsid w:val="00741D31"/>
    <w:rsid w:val="00742133"/>
    <w:rsid w:val="00742228"/>
    <w:rsid w:val="007425A9"/>
    <w:rsid w:val="007429DF"/>
    <w:rsid w:val="007431F7"/>
    <w:rsid w:val="00743A13"/>
    <w:rsid w:val="00743C0C"/>
    <w:rsid w:val="007446F9"/>
    <w:rsid w:val="00744A6B"/>
    <w:rsid w:val="00744EF6"/>
    <w:rsid w:val="007455F7"/>
    <w:rsid w:val="007460A7"/>
    <w:rsid w:val="0074641B"/>
    <w:rsid w:val="0074669E"/>
    <w:rsid w:val="0074704F"/>
    <w:rsid w:val="007479A0"/>
    <w:rsid w:val="00750FFD"/>
    <w:rsid w:val="00751012"/>
    <w:rsid w:val="00751719"/>
    <w:rsid w:val="00751A79"/>
    <w:rsid w:val="00751BA7"/>
    <w:rsid w:val="00752442"/>
    <w:rsid w:val="007526B2"/>
    <w:rsid w:val="00752E88"/>
    <w:rsid w:val="00752FA4"/>
    <w:rsid w:val="00753122"/>
    <w:rsid w:val="0075345E"/>
    <w:rsid w:val="00753D33"/>
    <w:rsid w:val="00753E3E"/>
    <w:rsid w:val="007541D6"/>
    <w:rsid w:val="0075424B"/>
    <w:rsid w:val="0075427D"/>
    <w:rsid w:val="00754A3F"/>
    <w:rsid w:val="00754ACE"/>
    <w:rsid w:val="00754D5E"/>
    <w:rsid w:val="00754ED3"/>
    <w:rsid w:val="0075553D"/>
    <w:rsid w:val="00755A79"/>
    <w:rsid w:val="00755BC8"/>
    <w:rsid w:val="007568A6"/>
    <w:rsid w:val="007568CD"/>
    <w:rsid w:val="00756C7E"/>
    <w:rsid w:val="00756D35"/>
    <w:rsid w:val="007575EA"/>
    <w:rsid w:val="007577C8"/>
    <w:rsid w:val="00757C13"/>
    <w:rsid w:val="00757FCB"/>
    <w:rsid w:val="007603BA"/>
    <w:rsid w:val="00760B46"/>
    <w:rsid w:val="00761126"/>
    <w:rsid w:val="00761357"/>
    <w:rsid w:val="0076169E"/>
    <w:rsid w:val="00761849"/>
    <w:rsid w:val="007618C6"/>
    <w:rsid w:val="00761ED1"/>
    <w:rsid w:val="0076288A"/>
    <w:rsid w:val="00762CCF"/>
    <w:rsid w:val="00762F6F"/>
    <w:rsid w:val="00763752"/>
    <w:rsid w:val="0076389F"/>
    <w:rsid w:val="00763F11"/>
    <w:rsid w:val="007642CA"/>
    <w:rsid w:val="0076452F"/>
    <w:rsid w:val="00764BC3"/>
    <w:rsid w:val="00764D15"/>
    <w:rsid w:val="00765918"/>
    <w:rsid w:val="00765A4C"/>
    <w:rsid w:val="00765D42"/>
    <w:rsid w:val="007667CD"/>
    <w:rsid w:val="00766BCB"/>
    <w:rsid w:val="00766E85"/>
    <w:rsid w:val="00767E8D"/>
    <w:rsid w:val="0077088E"/>
    <w:rsid w:val="00772277"/>
    <w:rsid w:val="00772351"/>
    <w:rsid w:val="0077261B"/>
    <w:rsid w:val="00772D4F"/>
    <w:rsid w:val="00773473"/>
    <w:rsid w:val="007735B2"/>
    <w:rsid w:val="0077409B"/>
    <w:rsid w:val="0077409F"/>
    <w:rsid w:val="00774956"/>
    <w:rsid w:val="00774F99"/>
    <w:rsid w:val="00775187"/>
    <w:rsid w:val="00775663"/>
    <w:rsid w:val="00775B86"/>
    <w:rsid w:val="00775FB5"/>
    <w:rsid w:val="0077604C"/>
    <w:rsid w:val="00776133"/>
    <w:rsid w:val="00776EB7"/>
    <w:rsid w:val="00776F02"/>
    <w:rsid w:val="00777134"/>
    <w:rsid w:val="0077728E"/>
    <w:rsid w:val="00777339"/>
    <w:rsid w:val="00777A49"/>
    <w:rsid w:val="00777B0D"/>
    <w:rsid w:val="00777B4F"/>
    <w:rsid w:val="007801A4"/>
    <w:rsid w:val="00780609"/>
    <w:rsid w:val="00780621"/>
    <w:rsid w:val="0078068D"/>
    <w:rsid w:val="00780A15"/>
    <w:rsid w:val="00780A81"/>
    <w:rsid w:val="007813F0"/>
    <w:rsid w:val="0078143C"/>
    <w:rsid w:val="007814B8"/>
    <w:rsid w:val="00781705"/>
    <w:rsid w:val="007818F8"/>
    <w:rsid w:val="00781A15"/>
    <w:rsid w:val="00781BD6"/>
    <w:rsid w:val="007825B2"/>
    <w:rsid w:val="007829E4"/>
    <w:rsid w:val="00782D55"/>
    <w:rsid w:val="0078313F"/>
    <w:rsid w:val="007835C0"/>
    <w:rsid w:val="00783637"/>
    <w:rsid w:val="00783A6D"/>
    <w:rsid w:val="00783A82"/>
    <w:rsid w:val="00783C2D"/>
    <w:rsid w:val="00784020"/>
    <w:rsid w:val="007843E6"/>
    <w:rsid w:val="00784AD6"/>
    <w:rsid w:val="007851C0"/>
    <w:rsid w:val="00785419"/>
    <w:rsid w:val="00785830"/>
    <w:rsid w:val="00785B22"/>
    <w:rsid w:val="00786560"/>
    <w:rsid w:val="0078669A"/>
    <w:rsid w:val="00786AC9"/>
    <w:rsid w:val="00786C4B"/>
    <w:rsid w:val="00786F14"/>
    <w:rsid w:val="00786FA7"/>
    <w:rsid w:val="00787245"/>
    <w:rsid w:val="00787394"/>
    <w:rsid w:val="007874B1"/>
    <w:rsid w:val="00787CDB"/>
    <w:rsid w:val="00787F2D"/>
    <w:rsid w:val="00790224"/>
    <w:rsid w:val="00790303"/>
    <w:rsid w:val="00790388"/>
    <w:rsid w:val="00790497"/>
    <w:rsid w:val="00790A1F"/>
    <w:rsid w:val="00790C81"/>
    <w:rsid w:val="00790EBE"/>
    <w:rsid w:val="00791356"/>
    <w:rsid w:val="007914B8"/>
    <w:rsid w:val="007916D6"/>
    <w:rsid w:val="007917F5"/>
    <w:rsid w:val="00791981"/>
    <w:rsid w:val="0079217A"/>
    <w:rsid w:val="0079275B"/>
    <w:rsid w:val="00792794"/>
    <w:rsid w:val="00792BC8"/>
    <w:rsid w:val="00792FCA"/>
    <w:rsid w:val="007935B5"/>
    <w:rsid w:val="0079372C"/>
    <w:rsid w:val="007937C6"/>
    <w:rsid w:val="007938C1"/>
    <w:rsid w:val="007948B2"/>
    <w:rsid w:val="00795B9B"/>
    <w:rsid w:val="0079685C"/>
    <w:rsid w:val="0079728C"/>
    <w:rsid w:val="00797B66"/>
    <w:rsid w:val="007A03FC"/>
    <w:rsid w:val="007A0AE7"/>
    <w:rsid w:val="007A0F6C"/>
    <w:rsid w:val="007A166C"/>
    <w:rsid w:val="007A16AF"/>
    <w:rsid w:val="007A16CD"/>
    <w:rsid w:val="007A1A4E"/>
    <w:rsid w:val="007A1EEC"/>
    <w:rsid w:val="007A1EEE"/>
    <w:rsid w:val="007A2563"/>
    <w:rsid w:val="007A2A32"/>
    <w:rsid w:val="007A2D97"/>
    <w:rsid w:val="007A2DC1"/>
    <w:rsid w:val="007A3187"/>
    <w:rsid w:val="007A362B"/>
    <w:rsid w:val="007A36EA"/>
    <w:rsid w:val="007A3A02"/>
    <w:rsid w:val="007A3BBB"/>
    <w:rsid w:val="007A3C81"/>
    <w:rsid w:val="007A3CB3"/>
    <w:rsid w:val="007A3D8D"/>
    <w:rsid w:val="007A4ADE"/>
    <w:rsid w:val="007A5A96"/>
    <w:rsid w:val="007A62E1"/>
    <w:rsid w:val="007A64E0"/>
    <w:rsid w:val="007A710C"/>
    <w:rsid w:val="007A76E2"/>
    <w:rsid w:val="007A78D9"/>
    <w:rsid w:val="007A7908"/>
    <w:rsid w:val="007B0DC3"/>
    <w:rsid w:val="007B0E74"/>
    <w:rsid w:val="007B12AA"/>
    <w:rsid w:val="007B1486"/>
    <w:rsid w:val="007B1591"/>
    <w:rsid w:val="007B1A90"/>
    <w:rsid w:val="007B1B02"/>
    <w:rsid w:val="007B2474"/>
    <w:rsid w:val="007B24F5"/>
    <w:rsid w:val="007B26C6"/>
    <w:rsid w:val="007B2767"/>
    <w:rsid w:val="007B2998"/>
    <w:rsid w:val="007B31A6"/>
    <w:rsid w:val="007B362A"/>
    <w:rsid w:val="007B43FD"/>
    <w:rsid w:val="007B450A"/>
    <w:rsid w:val="007B4667"/>
    <w:rsid w:val="007B46E1"/>
    <w:rsid w:val="007B48CD"/>
    <w:rsid w:val="007B4A29"/>
    <w:rsid w:val="007B4ACF"/>
    <w:rsid w:val="007B4BEA"/>
    <w:rsid w:val="007B4EFB"/>
    <w:rsid w:val="007B6240"/>
    <w:rsid w:val="007B75F8"/>
    <w:rsid w:val="007B7D5C"/>
    <w:rsid w:val="007C0591"/>
    <w:rsid w:val="007C06F4"/>
    <w:rsid w:val="007C077C"/>
    <w:rsid w:val="007C2817"/>
    <w:rsid w:val="007C28BA"/>
    <w:rsid w:val="007C2BDA"/>
    <w:rsid w:val="007C2ED0"/>
    <w:rsid w:val="007C3342"/>
    <w:rsid w:val="007C3345"/>
    <w:rsid w:val="007C386E"/>
    <w:rsid w:val="007C38DE"/>
    <w:rsid w:val="007C3E7C"/>
    <w:rsid w:val="007C3F88"/>
    <w:rsid w:val="007C407A"/>
    <w:rsid w:val="007C482C"/>
    <w:rsid w:val="007C488A"/>
    <w:rsid w:val="007C4BCF"/>
    <w:rsid w:val="007C520B"/>
    <w:rsid w:val="007C5E49"/>
    <w:rsid w:val="007C5FCE"/>
    <w:rsid w:val="007C5FE5"/>
    <w:rsid w:val="007C67F3"/>
    <w:rsid w:val="007C6A1E"/>
    <w:rsid w:val="007C6F31"/>
    <w:rsid w:val="007C71D2"/>
    <w:rsid w:val="007C72D2"/>
    <w:rsid w:val="007C7376"/>
    <w:rsid w:val="007C7574"/>
    <w:rsid w:val="007D017B"/>
    <w:rsid w:val="007D01F1"/>
    <w:rsid w:val="007D06FB"/>
    <w:rsid w:val="007D0DA5"/>
    <w:rsid w:val="007D10A5"/>
    <w:rsid w:val="007D14FC"/>
    <w:rsid w:val="007D1A35"/>
    <w:rsid w:val="007D2051"/>
    <w:rsid w:val="007D216D"/>
    <w:rsid w:val="007D2225"/>
    <w:rsid w:val="007D4345"/>
    <w:rsid w:val="007D4376"/>
    <w:rsid w:val="007D4486"/>
    <w:rsid w:val="007D45EC"/>
    <w:rsid w:val="007D4DCA"/>
    <w:rsid w:val="007D5784"/>
    <w:rsid w:val="007D591F"/>
    <w:rsid w:val="007D5B01"/>
    <w:rsid w:val="007D5EC1"/>
    <w:rsid w:val="007D5EEF"/>
    <w:rsid w:val="007D5F14"/>
    <w:rsid w:val="007D5F56"/>
    <w:rsid w:val="007D6BC7"/>
    <w:rsid w:val="007D7038"/>
    <w:rsid w:val="007D77ED"/>
    <w:rsid w:val="007E064E"/>
    <w:rsid w:val="007E06AF"/>
    <w:rsid w:val="007E0AD4"/>
    <w:rsid w:val="007E17A1"/>
    <w:rsid w:val="007E1B52"/>
    <w:rsid w:val="007E1DC9"/>
    <w:rsid w:val="007E1DF0"/>
    <w:rsid w:val="007E1E45"/>
    <w:rsid w:val="007E231E"/>
    <w:rsid w:val="007E23A7"/>
    <w:rsid w:val="007E23F5"/>
    <w:rsid w:val="007E2651"/>
    <w:rsid w:val="007E2BCC"/>
    <w:rsid w:val="007E2D16"/>
    <w:rsid w:val="007E2F73"/>
    <w:rsid w:val="007E3047"/>
    <w:rsid w:val="007E37E8"/>
    <w:rsid w:val="007E3861"/>
    <w:rsid w:val="007E38FA"/>
    <w:rsid w:val="007E415B"/>
    <w:rsid w:val="007E4213"/>
    <w:rsid w:val="007E42FE"/>
    <w:rsid w:val="007E43F0"/>
    <w:rsid w:val="007E4617"/>
    <w:rsid w:val="007E4836"/>
    <w:rsid w:val="007E4A5C"/>
    <w:rsid w:val="007E58A6"/>
    <w:rsid w:val="007E5EF1"/>
    <w:rsid w:val="007E605D"/>
    <w:rsid w:val="007E60B1"/>
    <w:rsid w:val="007E63E9"/>
    <w:rsid w:val="007E69DF"/>
    <w:rsid w:val="007E6FBF"/>
    <w:rsid w:val="007E713C"/>
    <w:rsid w:val="007E71F4"/>
    <w:rsid w:val="007E75E3"/>
    <w:rsid w:val="007E76CD"/>
    <w:rsid w:val="007E7FD5"/>
    <w:rsid w:val="007F0281"/>
    <w:rsid w:val="007F0414"/>
    <w:rsid w:val="007F089A"/>
    <w:rsid w:val="007F0AEC"/>
    <w:rsid w:val="007F0EEA"/>
    <w:rsid w:val="007F110B"/>
    <w:rsid w:val="007F1571"/>
    <w:rsid w:val="007F1DD4"/>
    <w:rsid w:val="007F1E41"/>
    <w:rsid w:val="007F2076"/>
    <w:rsid w:val="007F2571"/>
    <w:rsid w:val="007F29B3"/>
    <w:rsid w:val="007F34B3"/>
    <w:rsid w:val="007F35B0"/>
    <w:rsid w:val="007F3618"/>
    <w:rsid w:val="007F3DF3"/>
    <w:rsid w:val="007F3F76"/>
    <w:rsid w:val="007F45A2"/>
    <w:rsid w:val="007F4E85"/>
    <w:rsid w:val="007F57BD"/>
    <w:rsid w:val="007F5A83"/>
    <w:rsid w:val="007F5BAB"/>
    <w:rsid w:val="007F5DFF"/>
    <w:rsid w:val="007F5EE8"/>
    <w:rsid w:val="007F626A"/>
    <w:rsid w:val="007F6AAE"/>
    <w:rsid w:val="007F6D97"/>
    <w:rsid w:val="007F731B"/>
    <w:rsid w:val="007F7375"/>
    <w:rsid w:val="007F7A4E"/>
    <w:rsid w:val="007F7E49"/>
    <w:rsid w:val="00800360"/>
    <w:rsid w:val="00800396"/>
    <w:rsid w:val="0080081D"/>
    <w:rsid w:val="00800B30"/>
    <w:rsid w:val="00800D48"/>
    <w:rsid w:val="00800EC9"/>
    <w:rsid w:val="00800F24"/>
    <w:rsid w:val="008021A3"/>
    <w:rsid w:val="008021FD"/>
    <w:rsid w:val="0080254C"/>
    <w:rsid w:val="00802828"/>
    <w:rsid w:val="0080293B"/>
    <w:rsid w:val="0080321E"/>
    <w:rsid w:val="008033D5"/>
    <w:rsid w:val="008038AA"/>
    <w:rsid w:val="0080402B"/>
    <w:rsid w:val="00804062"/>
    <w:rsid w:val="00805419"/>
    <w:rsid w:val="008056F9"/>
    <w:rsid w:val="00805E96"/>
    <w:rsid w:val="0080616D"/>
    <w:rsid w:val="008064CE"/>
    <w:rsid w:val="0080692C"/>
    <w:rsid w:val="00806F0B"/>
    <w:rsid w:val="0081010A"/>
    <w:rsid w:val="00810130"/>
    <w:rsid w:val="0081027D"/>
    <w:rsid w:val="008102E9"/>
    <w:rsid w:val="008102F1"/>
    <w:rsid w:val="00810C40"/>
    <w:rsid w:val="00810C92"/>
    <w:rsid w:val="00810DED"/>
    <w:rsid w:val="00811193"/>
    <w:rsid w:val="008114F6"/>
    <w:rsid w:val="008118CE"/>
    <w:rsid w:val="00813A17"/>
    <w:rsid w:val="00813AA0"/>
    <w:rsid w:val="00813C4A"/>
    <w:rsid w:val="00813CFD"/>
    <w:rsid w:val="00814A68"/>
    <w:rsid w:val="00814E6E"/>
    <w:rsid w:val="00815148"/>
    <w:rsid w:val="00815153"/>
    <w:rsid w:val="0081544A"/>
    <w:rsid w:val="00816C28"/>
    <w:rsid w:val="00816CBD"/>
    <w:rsid w:val="0081784B"/>
    <w:rsid w:val="00817CAC"/>
    <w:rsid w:val="00817ED5"/>
    <w:rsid w:val="008209F4"/>
    <w:rsid w:val="00820EFB"/>
    <w:rsid w:val="008210BC"/>
    <w:rsid w:val="00821841"/>
    <w:rsid w:val="00822384"/>
    <w:rsid w:val="0082252F"/>
    <w:rsid w:val="00822886"/>
    <w:rsid w:val="00822963"/>
    <w:rsid w:val="00822B52"/>
    <w:rsid w:val="00822D3C"/>
    <w:rsid w:val="00822ED6"/>
    <w:rsid w:val="00823534"/>
    <w:rsid w:val="00823560"/>
    <w:rsid w:val="008239EA"/>
    <w:rsid w:val="00823B59"/>
    <w:rsid w:val="00823C63"/>
    <w:rsid w:val="00824069"/>
    <w:rsid w:val="0082437A"/>
    <w:rsid w:val="008251EE"/>
    <w:rsid w:val="008258EB"/>
    <w:rsid w:val="00825FB0"/>
    <w:rsid w:val="008271C2"/>
    <w:rsid w:val="008271D7"/>
    <w:rsid w:val="00827C52"/>
    <w:rsid w:val="0083040E"/>
    <w:rsid w:val="00830A63"/>
    <w:rsid w:val="00830C83"/>
    <w:rsid w:val="00830E4C"/>
    <w:rsid w:val="00831D00"/>
    <w:rsid w:val="00831FBE"/>
    <w:rsid w:val="00831FD0"/>
    <w:rsid w:val="00832624"/>
    <w:rsid w:val="0083295F"/>
    <w:rsid w:val="00832C58"/>
    <w:rsid w:val="00833397"/>
    <w:rsid w:val="00833551"/>
    <w:rsid w:val="0083429F"/>
    <w:rsid w:val="00834638"/>
    <w:rsid w:val="00834995"/>
    <w:rsid w:val="00834BA8"/>
    <w:rsid w:val="00834D3D"/>
    <w:rsid w:val="00835038"/>
    <w:rsid w:val="008351C0"/>
    <w:rsid w:val="00835273"/>
    <w:rsid w:val="0083563C"/>
    <w:rsid w:val="008359C6"/>
    <w:rsid w:val="00835CC9"/>
    <w:rsid w:val="00835FEE"/>
    <w:rsid w:val="0083625B"/>
    <w:rsid w:val="008368F8"/>
    <w:rsid w:val="00836932"/>
    <w:rsid w:val="00836BC4"/>
    <w:rsid w:val="00836EB7"/>
    <w:rsid w:val="00837319"/>
    <w:rsid w:val="00837686"/>
    <w:rsid w:val="008376B1"/>
    <w:rsid w:val="0083776C"/>
    <w:rsid w:val="00837EBD"/>
    <w:rsid w:val="008401C8"/>
    <w:rsid w:val="00840D5F"/>
    <w:rsid w:val="00840F1A"/>
    <w:rsid w:val="00840FB2"/>
    <w:rsid w:val="008413CC"/>
    <w:rsid w:val="00841D56"/>
    <w:rsid w:val="00842428"/>
    <w:rsid w:val="008427BD"/>
    <w:rsid w:val="00842ABE"/>
    <w:rsid w:val="0084357D"/>
    <w:rsid w:val="00843C9C"/>
    <w:rsid w:val="00843EEA"/>
    <w:rsid w:val="00843F08"/>
    <w:rsid w:val="008440A7"/>
    <w:rsid w:val="0084428D"/>
    <w:rsid w:val="008442A9"/>
    <w:rsid w:val="008442D1"/>
    <w:rsid w:val="00844434"/>
    <w:rsid w:val="0084582F"/>
    <w:rsid w:val="00845856"/>
    <w:rsid w:val="00846314"/>
    <w:rsid w:val="008464CF"/>
    <w:rsid w:val="00846C6D"/>
    <w:rsid w:val="00846E1B"/>
    <w:rsid w:val="00846E7A"/>
    <w:rsid w:val="0084717B"/>
    <w:rsid w:val="008477B4"/>
    <w:rsid w:val="00847DE1"/>
    <w:rsid w:val="00847F35"/>
    <w:rsid w:val="00847F8B"/>
    <w:rsid w:val="008503EC"/>
    <w:rsid w:val="00850652"/>
    <w:rsid w:val="0085069A"/>
    <w:rsid w:val="00850F9D"/>
    <w:rsid w:val="00851886"/>
    <w:rsid w:val="00851ED3"/>
    <w:rsid w:val="00852267"/>
    <w:rsid w:val="00852538"/>
    <w:rsid w:val="00852595"/>
    <w:rsid w:val="00852E97"/>
    <w:rsid w:val="008532AF"/>
    <w:rsid w:val="008533FF"/>
    <w:rsid w:val="00853957"/>
    <w:rsid w:val="00853E69"/>
    <w:rsid w:val="00854A27"/>
    <w:rsid w:val="00854AAD"/>
    <w:rsid w:val="00854C91"/>
    <w:rsid w:val="0085544E"/>
    <w:rsid w:val="00855529"/>
    <w:rsid w:val="00856114"/>
    <w:rsid w:val="00856115"/>
    <w:rsid w:val="0085679C"/>
    <w:rsid w:val="00856A2D"/>
    <w:rsid w:val="00856DB2"/>
    <w:rsid w:val="0085716D"/>
    <w:rsid w:val="008571AB"/>
    <w:rsid w:val="00857A5F"/>
    <w:rsid w:val="00857D02"/>
    <w:rsid w:val="008600BE"/>
    <w:rsid w:val="0086049C"/>
    <w:rsid w:val="008608BA"/>
    <w:rsid w:val="008608BB"/>
    <w:rsid w:val="00860CA5"/>
    <w:rsid w:val="008614BA"/>
    <w:rsid w:val="00861C58"/>
    <w:rsid w:val="00862413"/>
    <w:rsid w:val="008627BE"/>
    <w:rsid w:val="00862937"/>
    <w:rsid w:val="00862B2C"/>
    <w:rsid w:val="00862C3D"/>
    <w:rsid w:val="00862CD9"/>
    <w:rsid w:val="00862DFB"/>
    <w:rsid w:val="0086381F"/>
    <w:rsid w:val="0086386D"/>
    <w:rsid w:val="00863C18"/>
    <w:rsid w:val="00863C52"/>
    <w:rsid w:val="00863CC8"/>
    <w:rsid w:val="008641B3"/>
    <w:rsid w:val="008641BD"/>
    <w:rsid w:val="008644EB"/>
    <w:rsid w:val="008647D2"/>
    <w:rsid w:val="0086493C"/>
    <w:rsid w:val="00864971"/>
    <w:rsid w:val="00864EEF"/>
    <w:rsid w:val="00865277"/>
    <w:rsid w:val="008654F4"/>
    <w:rsid w:val="00865683"/>
    <w:rsid w:val="00866074"/>
    <w:rsid w:val="00866A2D"/>
    <w:rsid w:val="00866AFB"/>
    <w:rsid w:val="00867022"/>
    <w:rsid w:val="008672A2"/>
    <w:rsid w:val="00867520"/>
    <w:rsid w:val="0086756B"/>
    <w:rsid w:val="00867A0A"/>
    <w:rsid w:val="0087024A"/>
    <w:rsid w:val="00870B2A"/>
    <w:rsid w:val="008714B5"/>
    <w:rsid w:val="008721DC"/>
    <w:rsid w:val="00872346"/>
    <w:rsid w:val="00872B3D"/>
    <w:rsid w:val="00872B49"/>
    <w:rsid w:val="00872DD5"/>
    <w:rsid w:val="00873390"/>
    <w:rsid w:val="0087371C"/>
    <w:rsid w:val="00873A2C"/>
    <w:rsid w:val="00873DD2"/>
    <w:rsid w:val="00874042"/>
    <w:rsid w:val="00874C3D"/>
    <w:rsid w:val="00874C64"/>
    <w:rsid w:val="00874D7A"/>
    <w:rsid w:val="00875F11"/>
    <w:rsid w:val="0087600C"/>
    <w:rsid w:val="00876DC9"/>
    <w:rsid w:val="00876FE6"/>
    <w:rsid w:val="0087798D"/>
    <w:rsid w:val="00877C46"/>
    <w:rsid w:val="0088072D"/>
    <w:rsid w:val="00880892"/>
    <w:rsid w:val="00881384"/>
    <w:rsid w:val="00881B3F"/>
    <w:rsid w:val="00881D04"/>
    <w:rsid w:val="00882113"/>
    <w:rsid w:val="008821FB"/>
    <w:rsid w:val="008822CC"/>
    <w:rsid w:val="0088248B"/>
    <w:rsid w:val="00882A86"/>
    <w:rsid w:val="00882ACB"/>
    <w:rsid w:val="00882D3A"/>
    <w:rsid w:val="00883259"/>
    <w:rsid w:val="0088357E"/>
    <w:rsid w:val="008835FE"/>
    <w:rsid w:val="00883A9B"/>
    <w:rsid w:val="00883AB2"/>
    <w:rsid w:val="008846C2"/>
    <w:rsid w:val="00884B31"/>
    <w:rsid w:val="008854B6"/>
    <w:rsid w:val="0088558F"/>
    <w:rsid w:val="0088570A"/>
    <w:rsid w:val="0088580E"/>
    <w:rsid w:val="00885833"/>
    <w:rsid w:val="008858E0"/>
    <w:rsid w:val="00885A0E"/>
    <w:rsid w:val="008867FC"/>
    <w:rsid w:val="0088686B"/>
    <w:rsid w:val="0088734C"/>
    <w:rsid w:val="00887743"/>
    <w:rsid w:val="00890094"/>
    <w:rsid w:val="0089040F"/>
    <w:rsid w:val="00890680"/>
    <w:rsid w:val="0089098E"/>
    <w:rsid w:val="00890D4A"/>
    <w:rsid w:val="008911D8"/>
    <w:rsid w:val="00891392"/>
    <w:rsid w:val="008914D0"/>
    <w:rsid w:val="008915E5"/>
    <w:rsid w:val="008916C1"/>
    <w:rsid w:val="008916D3"/>
    <w:rsid w:val="008923A7"/>
    <w:rsid w:val="00892F38"/>
    <w:rsid w:val="0089341A"/>
    <w:rsid w:val="00893462"/>
    <w:rsid w:val="008935B8"/>
    <w:rsid w:val="008937F6"/>
    <w:rsid w:val="00893E0C"/>
    <w:rsid w:val="00893FB3"/>
    <w:rsid w:val="008945E7"/>
    <w:rsid w:val="00894675"/>
    <w:rsid w:val="008952BF"/>
    <w:rsid w:val="00895655"/>
    <w:rsid w:val="00895A7D"/>
    <w:rsid w:val="00896AA9"/>
    <w:rsid w:val="00896E1E"/>
    <w:rsid w:val="008974EF"/>
    <w:rsid w:val="00897622"/>
    <w:rsid w:val="00897750"/>
    <w:rsid w:val="008A1E69"/>
    <w:rsid w:val="008A22BC"/>
    <w:rsid w:val="008A2903"/>
    <w:rsid w:val="008A29E6"/>
    <w:rsid w:val="008A2F2C"/>
    <w:rsid w:val="008A2FB6"/>
    <w:rsid w:val="008A31A7"/>
    <w:rsid w:val="008A33D6"/>
    <w:rsid w:val="008A3B53"/>
    <w:rsid w:val="008A41E5"/>
    <w:rsid w:val="008A4421"/>
    <w:rsid w:val="008A45B5"/>
    <w:rsid w:val="008A46A6"/>
    <w:rsid w:val="008A49B0"/>
    <w:rsid w:val="008A4B47"/>
    <w:rsid w:val="008A4DA0"/>
    <w:rsid w:val="008A56F5"/>
    <w:rsid w:val="008A5DFC"/>
    <w:rsid w:val="008A6541"/>
    <w:rsid w:val="008A6DC3"/>
    <w:rsid w:val="008A6E16"/>
    <w:rsid w:val="008A7341"/>
    <w:rsid w:val="008A77CE"/>
    <w:rsid w:val="008A7BB3"/>
    <w:rsid w:val="008B0074"/>
    <w:rsid w:val="008B0755"/>
    <w:rsid w:val="008B084C"/>
    <w:rsid w:val="008B0EFF"/>
    <w:rsid w:val="008B1556"/>
    <w:rsid w:val="008B187E"/>
    <w:rsid w:val="008B1BF9"/>
    <w:rsid w:val="008B1E01"/>
    <w:rsid w:val="008B2A75"/>
    <w:rsid w:val="008B2F2E"/>
    <w:rsid w:val="008B3431"/>
    <w:rsid w:val="008B375C"/>
    <w:rsid w:val="008B3783"/>
    <w:rsid w:val="008B3D96"/>
    <w:rsid w:val="008B3E1B"/>
    <w:rsid w:val="008B4F45"/>
    <w:rsid w:val="008B5041"/>
    <w:rsid w:val="008B54B2"/>
    <w:rsid w:val="008B555F"/>
    <w:rsid w:val="008B55A7"/>
    <w:rsid w:val="008B565F"/>
    <w:rsid w:val="008B5809"/>
    <w:rsid w:val="008B5871"/>
    <w:rsid w:val="008B5955"/>
    <w:rsid w:val="008B6895"/>
    <w:rsid w:val="008B7193"/>
    <w:rsid w:val="008C031E"/>
    <w:rsid w:val="008C05EC"/>
    <w:rsid w:val="008C074B"/>
    <w:rsid w:val="008C07C1"/>
    <w:rsid w:val="008C0A51"/>
    <w:rsid w:val="008C0E1A"/>
    <w:rsid w:val="008C0F19"/>
    <w:rsid w:val="008C1579"/>
    <w:rsid w:val="008C2662"/>
    <w:rsid w:val="008C33C0"/>
    <w:rsid w:val="008C35D2"/>
    <w:rsid w:val="008C36AD"/>
    <w:rsid w:val="008C3AAE"/>
    <w:rsid w:val="008C3ED0"/>
    <w:rsid w:val="008C3FA6"/>
    <w:rsid w:val="008C423A"/>
    <w:rsid w:val="008C546E"/>
    <w:rsid w:val="008C559A"/>
    <w:rsid w:val="008C5938"/>
    <w:rsid w:val="008C5C96"/>
    <w:rsid w:val="008C5F95"/>
    <w:rsid w:val="008C6407"/>
    <w:rsid w:val="008C69B0"/>
    <w:rsid w:val="008C6A48"/>
    <w:rsid w:val="008C6E57"/>
    <w:rsid w:val="008C6EC5"/>
    <w:rsid w:val="008C71EB"/>
    <w:rsid w:val="008C72A2"/>
    <w:rsid w:val="008C79D7"/>
    <w:rsid w:val="008C7CF6"/>
    <w:rsid w:val="008D03B4"/>
    <w:rsid w:val="008D1021"/>
    <w:rsid w:val="008D10DC"/>
    <w:rsid w:val="008D17E2"/>
    <w:rsid w:val="008D2757"/>
    <w:rsid w:val="008D2BA1"/>
    <w:rsid w:val="008D2C1D"/>
    <w:rsid w:val="008D2E0A"/>
    <w:rsid w:val="008D3987"/>
    <w:rsid w:val="008D4B27"/>
    <w:rsid w:val="008D4D42"/>
    <w:rsid w:val="008D542A"/>
    <w:rsid w:val="008D59E0"/>
    <w:rsid w:val="008D5F13"/>
    <w:rsid w:val="008D7172"/>
    <w:rsid w:val="008E035B"/>
    <w:rsid w:val="008E0C60"/>
    <w:rsid w:val="008E0DD5"/>
    <w:rsid w:val="008E1144"/>
    <w:rsid w:val="008E19D2"/>
    <w:rsid w:val="008E1AB5"/>
    <w:rsid w:val="008E1B1D"/>
    <w:rsid w:val="008E1D3D"/>
    <w:rsid w:val="008E2661"/>
    <w:rsid w:val="008E2871"/>
    <w:rsid w:val="008E3001"/>
    <w:rsid w:val="008E3970"/>
    <w:rsid w:val="008E3D58"/>
    <w:rsid w:val="008E480A"/>
    <w:rsid w:val="008E486D"/>
    <w:rsid w:val="008E4940"/>
    <w:rsid w:val="008E49AC"/>
    <w:rsid w:val="008E4B9E"/>
    <w:rsid w:val="008E4D35"/>
    <w:rsid w:val="008E4E5A"/>
    <w:rsid w:val="008E50E6"/>
    <w:rsid w:val="008E54C8"/>
    <w:rsid w:val="008E5F89"/>
    <w:rsid w:val="008E5FB5"/>
    <w:rsid w:val="008E616B"/>
    <w:rsid w:val="008E63BC"/>
    <w:rsid w:val="008E6799"/>
    <w:rsid w:val="008E67AA"/>
    <w:rsid w:val="008E6C7D"/>
    <w:rsid w:val="008E6E7E"/>
    <w:rsid w:val="008E7457"/>
    <w:rsid w:val="008E76DE"/>
    <w:rsid w:val="008E776A"/>
    <w:rsid w:val="008E7AC5"/>
    <w:rsid w:val="008E7CCE"/>
    <w:rsid w:val="008E7EFC"/>
    <w:rsid w:val="008F0472"/>
    <w:rsid w:val="008F05CC"/>
    <w:rsid w:val="008F0C2B"/>
    <w:rsid w:val="008F10F7"/>
    <w:rsid w:val="008F1425"/>
    <w:rsid w:val="008F16DB"/>
    <w:rsid w:val="008F19D6"/>
    <w:rsid w:val="008F2C5D"/>
    <w:rsid w:val="008F2DB5"/>
    <w:rsid w:val="008F3313"/>
    <w:rsid w:val="008F4013"/>
    <w:rsid w:val="008F4074"/>
    <w:rsid w:val="008F40EE"/>
    <w:rsid w:val="008F43C8"/>
    <w:rsid w:val="008F45A6"/>
    <w:rsid w:val="008F46E4"/>
    <w:rsid w:val="008F4AE7"/>
    <w:rsid w:val="008F5875"/>
    <w:rsid w:val="008F59DD"/>
    <w:rsid w:val="008F5EE2"/>
    <w:rsid w:val="008F63EA"/>
    <w:rsid w:val="008F659C"/>
    <w:rsid w:val="008F6E07"/>
    <w:rsid w:val="008F6F7F"/>
    <w:rsid w:val="008F6FEE"/>
    <w:rsid w:val="008F7067"/>
    <w:rsid w:val="008F72F3"/>
    <w:rsid w:val="008F7639"/>
    <w:rsid w:val="008F7784"/>
    <w:rsid w:val="008F7AF5"/>
    <w:rsid w:val="008F7CF4"/>
    <w:rsid w:val="009000D2"/>
    <w:rsid w:val="00900458"/>
    <w:rsid w:val="00900B9F"/>
    <w:rsid w:val="00900C1D"/>
    <w:rsid w:val="00900D64"/>
    <w:rsid w:val="00901147"/>
    <w:rsid w:val="009013CF"/>
    <w:rsid w:val="00901DC3"/>
    <w:rsid w:val="0090227D"/>
    <w:rsid w:val="00903246"/>
    <w:rsid w:val="00903343"/>
    <w:rsid w:val="00903832"/>
    <w:rsid w:val="00903EF5"/>
    <w:rsid w:val="009048FD"/>
    <w:rsid w:val="00904BA2"/>
    <w:rsid w:val="00905321"/>
    <w:rsid w:val="009053BA"/>
    <w:rsid w:val="009055CE"/>
    <w:rsid w:val="00905711"/>
    <w:rsid w:val="00905BC2"/>
    <w:rsid w:val="00905D63"/>
    <w:rsid w:val="00905D96"/>
    <w:rsid w:val="0090606D"/>
    <w:rsid w:val="009060EC"/>
    <w:rsid w:val="00906278"/>
    <w:rsid w:val="0090657C"/>
    <w:rsid w:val="00906946"/>
    <w:rsid w:val="00906D80"/>
    <w:rsid w:val="00906E0A"/>
    <w:rsid w:val="0090767E"/>
    <w:rsid w:val="00907BB0"/>
    <w:rsid w:val="00907C87"/>
    <w:rsid w:val="00910482"/>
    <w:rsid w:val="009110C0"/>
    <w:rsid w:val="009111EE"/>
    <w:rsid w:val="00911BE6"/>
    <w:rsid w:val="00911D2D"/>
    <w:rsid w:val="00911F22"/>
    <w:rsid w:val="00911FA3"/>
    <w:rsid w:val="00912126"/>
    <w:rsid w:val="009138D9"/>
    <w:rsid w:val="00913B65"/>
    <w:rsid w:val="00913D99"/>
    <w:rsid w:val="009152EA"/>
    <w:rsid w:val="00915D46"/>
    <w:rsid w:val="00916145"/>
    <w:rsid w:val="0091641A"/>
    <w:rsid w:val="009165AD"/>
    <w:rsid w:val="00916E8E"/>
    <w:rsid w:val="00916EA8"/>
    <w:rsid w:val="009173B2"/>
    <w:rsid w:val="00917849"/>
    <w:rsid w:val="0092070A"/>
    <w:rsid w:val="00920EA2"/>
    <w:rsid w:val="00921749"/>
    <w:rsid w:val="00921D84"/>
    <w:rsid w:val="00921FC6"/>
    <w:rsid w:val="009223E4"/>
    <w:rsid w:val="00922A6E"/>
    <w:rsid w:val="00922BBB"/>
    <w:rsid w:val="00923516"/>
    <w:rsid w:val="00923B0C"/>
    <w:rsid w:val="00923F6B"/>
    <w:rsid w:val="00923FCB"/>
    <w:rsid w:val="0092459F"/>
    <w:rsid w:val="009247CC"/>
    <w:rsid w:val="0092536C"/>
    <w:rsid w:val="0092544F"/>
    <w:rsid w:val="00925673"/>
    <w:rsid w:val="00925D40"/>
    <w:rsid w:val="00925EB4"/>
    <w:rsid w:val="00926A2E"/>
    <w:rsid w:val="00927455"/>
    <w:rsid w:val="0092751D"/>
    <w:rsid w:val="0092782C"/>
    <w:rsid w:val="009279AD"/>
    <w:rsid w:val="00927A61"/>
    <w:rsid w:val="00927C78"/>
    <w:rsid w:val="00927CF8"/>
    <w:rsid w:val="00930017"/>
    <w:rsid w:val="0093068C"/>
    <w:rsid w:val="009306C4"/>
    <w:rsid w:val="00930FDF"/>
    <w:rsid w:val="00931123"/>
    <w:rsid w:val="00931135"/>
    <w:rsid w:val="009311C4"/>
    <w:rsid w:val="00931D5A"/>
    <w:rsid w:val="00932B3F"/>
    <w:rsid w:val="00933168"/>
    <w:rsid w:val="009339E0"/>
    <w:rsid w:val="00933B67"/>
    <w:rsid w:val="00933C83"/>
    <w:rsid w:val="00933C95"/>
    <w:rsid w:val="00933EBD"/>
    <w:rsid w:val="00933F1D"/>
    <w:rsid w:val="0093527B"/>
    <w:rsid w:val="009353A4"/>
    <w:rsid w:val="00935A59"/>
    <w:rsid w:val="00935FE7"/>
    <w:rsid w:val="009370CA"/>
    <w:rsid w:val="0093778A"/>
    <w:rsid w:val="00942052"/>
    <w:rsid w:val="00942B04"/>
    <w:rsid w:val="00942C67"/>
    <w:rsid w:val="0094365F"/>
    <w:rsid w:val="00943736"/>
    <w:rsid w:val="00943771"/>
    <w:rsid w:val="00943844"/>
    <w:rsid w:val="0094391A"/>
    <w:rsid w:val="00944385"/>
    <w:rsid w:val="009446FF"/>
    <w:rsid w:val="00944B28"/>
    <w:rsid w:val="00945950"/>
    <w:rsid w:val="00945D0C"/>
    <w:rsid w:val="009463C4"/>
    <w:rsid w:val="0094659B"/>
    <w:rsid w:val="00946C68"/>
    <w:rsid w:val="00947424"/>
    <w:rsid w:val="009477E5"/>
    <w:rsid w:val="009477F3"/>
    <w:rsid w:val="0094796E"/>
    <w:rsid w:val="00947B08"/>
    <w:rsid w:val="0095006E"/>
    <w:rsid w:val="009516C4"/>
    <w:rsid w:val="009520C1"/>
    <w:rsid w:val="009520E7"/>
    <w:rsid w:val="00952213"/>
    <w:rsid w:val="00952512"/>
    <w:rsid w:val="00952A17"/>
    <w:rsid w:val="00952D17"/>
    <w:rsid w:val="00953300"/>
    <w:rsid w:val="009533AF"/>
    <w:rsid w:val="00953552"/>
    <w:rsid w:val="00954780"/>
    <w:rsid w:val="009547AB"/>
    <w:rsid w:val="00954A0B"/>
    <w:rsid w:val="00954A92"/>
    <w:rsid w:val="00954B48"/>
    <w:rsid w:val="009561BC"/>
    <w:rsid w:val="009562D5"/>
    <w:rsid w:val="00956329"/>
    <w:rsid w:val="009566A1"/>
    <w:rsid w:val="009567C2"/>
    <w:rsid w:val="00956B68"/>
    <w:rsid w:val="009603E1"/>
    <w:rsid w:val="00960416"/>
    <w:rsid w:val="0096056C"/>
    <w:rsid w:val="00960C8A"/>
    <w:rsid w:val="00960D4A"/>
    <w:rsid w:val="00961524"/>
    <w:rsid w:val="00961ACB"/>
    <w:rsid w:val="009635E5"/>
    <w:rsid w:val="0096387C"/>
    <w:rsid w:val="00963C7F"/>
    <w:rsid w:val="00964286"/>
    <w:rsid w:val="009642D0"/>
    <w:rsid w:val="009643AB"/>
    <w:rsid w:val="009647CE"/>
    <w:rsid w:val="009648D9"/>
    <w:rsid w:val="009652BA"/>
    <w:rsid w:val="0096684B"/>
    <w:rsid w:val="00966BFC"/>
    <w:rsid w:val="00966CC5"/>
    <w:rsid w:val="00966EB2"/>
    <w:rsid w:val="00967231"/>
    <w:rsid w:val="00967C64"/>
    <w:rsid w:val="00970885"/>
    <w:rsid w:val="0097103F"/>
    <w:rsid w:val="009712C3"/>
    <w:rsid w:val="009712D8"/>
    <w:rsid w:val="0097170B"/>
    <w:rsid w:val="00971C4D"/>
    <w:rsid w:val="00972174"/>
    <w:rsid w:val="00972912"/>
    <w:rsid w:val="00972CB6"/>
    <w:rsid w:val="0097360B"/>
    <w:rsid w:val="0097407C"/>
    <w:rsid w:val="00974B2E"/>
    <w:rsid w:val="00974E9E"/>
    <w:rsid w:val="00975219"/>
    <w:rsid w:val="0097617E"/>
    <w:rsid w:val="009768F3"/>
    <w:rsid w:val="0097709B"/>
    <w:rsid w:val="009771E9"/>
    <w:rsid w:val="009776CF"/>
    <w:rsid w:val="0097788F"/>
    <w:rsid w:val="00977A5B"/>
    <w:rsid w:val="00977B8F"/>
    <w:rsid w:val="00980142"/>
    <w:rsid w:val="00980C97"/>
    <w:rsid w:val="009811AC"/>
    <w:rsid w:val="00981510"/>
    <w:rsid w:val="0098157C"/>
    <w:rsid w:val="00981DE5"/>
    <w:rsid w:val="00982398"/>
    <w:rsid w:val="009823DE"/>
    <w:rsid w:val="00982761"/>
    <w:rsid w:val="0098280B"/>
    <w:rsid w:val="009828E4"/>
    <w:rsid w:val="00982B47"/>
    <w:rsid w:val="00982CB6"/>
    <w:rsid w:val="00983973"/>
    <w:rsid w:val="00983AA1"/>
    <w:rsid w:val="0098417E"/>
    <w:rsid w:val="0098438E"/>
    <w:rsid w:val="00984978"/>
    <w:rsid w:val="00984C0A"/>
    <w:rsid w:val="00984D66"/>
    <w:rsid w:val="00984EB9"/>
    <w:rsid w:val="00985812"/>
    <w:rsid w:val="00985AC6"/>
    <w:rsid w:val="00985BDE"/>
    <w:rsid w:val="00986505"/>
    <w:rsid w:val="0098684D"/>
    <w:rsid w:val="00986B48"/>
    <w:rsid w:val="00986BD6"/>
    <w:rsid w:val="00986C92"/>
    <w:rsid w:val="00986E9D"/>
    <w:rsid w:val="00987567"/>
    <w:rsid w:val="00987CA4"/>
    <w:rsid w:val="00987E46"/>
    <w:rsid w:val="00990EE4"/>
    <w:rsid w:val="0099139D"/>
    <w:rsid w:val="0099163E"/>
    <w:rsid w:val="009916D8"/>
    <w:rsid w:val="0099189A"/>
    <w:rsid w:val="00991AA3"/>
    <w:rsid w:val="00991ADF"/>
    <w:rsid w:val="00992370"/>
    <w:rsid w:val="0099237B"/>
    <w:rsid w:val="009924EA"/>
    <w:rsid w:val="00992CCA"/>
    <w:rsid w:val="00992D2F"/>
    <w:rsid w:val="00992EF9"/>
    <w:rsid w:val="00993C8C"/>
    <w:rsid w:val="009943E8"/>
    <w:rsid w:val="0099443C"/>
    <w:rsid w:val="009951E7"/>
    <w:rsid w:val="009954AE"/>
    <w:rsid w:val="00995617"/>
    <w:rsid w:val="00995716"/>
    <w:rsid w:val="00995861"/>
    <w:rsid w:val="009958E3"/>
    <w:rsid w:val="0099596A"/>
    <w:rsid w:val="00995AA5"/>
    <w:rsid w:val="00995D99"/>
    <w:rsid w:val="009969DD"/>
    <w:rsid w:val="009971F6"/>
    <w:rsid w:val="0099782E"/>
    <w:rsid w:val="00997B0D"/>
    <w:rsid w:val="00997CD8"/>
    <w:rsid w:val="009A0129"/>
    <w:rsid w:val="009A0800"/>
    <w:rsid w:val="009A1DC8"/>
    <w:rsid w:val="009A1F81"/>
    <w:rsid w:val="009A20A6"/>
    <w:rsid w:val="009A2207"/>
    <w:rsid w:val="009A22C5"/>
    <w:rsid w:val="009A23A3"/>
    <w:rsid w:val="009A25A5"/>
    <w:rsid w:val="009A27BF"/>
    <w:rsid w:val="009A31B6"/>
    <w:rsid w:val="009A31C7"/>
    <w:rsid w:val="009A3579"/>
    <w:rsid w:val="009A38B9"/>
    <w:rsid w:val="009A3CF2"/>
    <w:rsid w:val="009A4069"/>
    <w:rsid w:val="009A428D"/>
    <w:rsid w:val="009A4914"/>
    <w:rsid w:val="009A5151"/>
    <w:rsid w:val="009A5342"/>
    <w:rsid w:val="009A618C"/>
    <w:rsid w:val="009A623E"/>
    <w:rsid w:val="009A63B8"/>
    <w:rsid w:val="009A699A"/>
    <w:rsid w:val="009A69E5"/>
    <w:rsid w:val="009A6D6B"/>
    <w:rsid w:val="009A716C"/>
    <w:rsid w:val="009A722D"/>
    <w:rsid w:val="009A75B6"/>
    <w:rsid w:val="009A7A97"/>
    <w:rsid w:val="009A7CD1"/>
    <w:rsid w:val="009B0203"/>
    <w:rsid w:val="009B050E"/>
    <w:rsid w:val="009B081A"/>
    <w:rsid w:val="009B09E1"/>
    <w:rsid w:val="009B0FC4"/>
    <w:rsid w:val="009B1630"/>
    <w:rsid w:val="009B180E"/>
    <w:rsid w:val="009B19DF"/>
    <w:rsid w:val="009B1C53"/>
    <w:rsid w:val="009B1D36"/>
    <w:rsid w:val="009B20DB"/>
    <w:rsid w:val="009B265F"/>
    <w:rsid w:val="009B27C5"/>
    <w:rsid w:val="009B286B"/>
    <w:rsid w:val="009B29C6"/>
    <w:rsid w:val="009B2E4D"/>
    <w:rsid w:val="009B32BD"/>
    <w:rsid w:val="009B3DBF"/>
    <w:rsid w:val="009B4371"/>
    <w:rsid w:val="009B4617"/>
    <w:rsid w:val="009B47C7"/>
    <w:rsid w:val="009B508E"/>
    <w:rsid w:val="009B5716"/>
    <w:rsid w:val="009B5817"/>
    <w:rsid w:val="009B5ED7"/>
    <w:rsid w:val="009B601B"/>
    <w:rsid w:val="009B6B0F"/>
    <w:rsid w:val="009B6D6F"/>
    <w:rsid w:val="009B6D7A"/>
    <w:rsid w:val="009B70B1"/>
    <w:rsid w:val="009B771C"/>
    <w:rsid w:val="009B7ECB"/>
    <w:rsid w:val="009C0036"/>
    <w:rsid w:val="009C0560"/>
    <w:rsid w:val="009C05C5"/>
    <w:rsid w:val="009C08BB"/>
    <w:rsid w:val="009C0C20"/>
    <w:rsid w:val="009C1036"/>
    <w:rsid w:val="009C14AB"/>
    <w:rsid w:val="009C1793"/>
    <w:rsid w:val="009C189E"/>
    <w:rsid w:val="009C1FE6"/>
    <w:rsid w:val="009C24CD"/>
    <w:rsid w:val="009C2603"/>
    <w:rsid w:val="009C283F"/>
    <w:rsid w:val="009C293E"/>
    <w:rsid w:val="009C29A7"/>
    <w:rsid w:val="009C2B3F"/>
    <w:rsid w:val="009C2CB9"/>
    <w:rsid w:val="009C307F"/>
    <w:rsid w:val="009C3E86"/>
    <w:rsid w:val="009C478F"/>
    <w:rsid w:val="009C4F67"/>
    <w:rsid w:val="009C4FE4"/>
    <w:rsid w:val="009C523F"/>
    <w:rsid w:val="009C5367"/>
    <w:rsid w:val="009C54AB"/>
    <w:rsid w:val="009C5CB1"/>
    <w:rsid w:val="009C5DB1"/>
    <w:rsid w:val="009C63F6"/>
    <w:rsid w:val="009C64AD"/>
    <w:rsid w:val="009C66B2"/>
    <w:rsid w:val="009C68B4"/>
    <w:rsid w:val="009C6934"/>
    <w:rsid w:val="009C6C21"/>
    <w:rsid w:val="009C6DA6"/>
    <w:rsid w:val="009C6F47"/>
    <w:rsid w:val="009C71EA"/>
    <w:rsid w:val="009C79AB"/>
    <w:rsid w:val="009C7AF4"/>
    <w:rsid w:val="009C7B09"/>
    <w:rsid w:val="009C7CFA"/>
    <w:rsid w:val="009C7D95"/>
    <w:rsid w:val="009D07A5"/>
    <w:rsid w:val="009D0842"/>
    <w:rsid w:val="009D086C"/>
    <w:rsid w:val="009D13A7"/>
    <w:rsid w:val="009D176C"/>
    <w:rsid w:val="009D1A85"/>
    <w:rsid w:val="009D1BF3"/>
    <w:rsid w:val="009D1E14"/>
    <w:rsid w:val="009D1EB8"/>
    <w:rsid w:val="009D27C0"/>
    <w:rsid w:val="009D2CF1"/>
    <w:rsid w:val="009D3210"/>
    <w:rsid w:val="009D326B"/>
    <w:rsid w:val="009D3629"/>
    <w:rsid w:val="009D3807"/>
    <w:rsid w:val="009D3B99"/>
    <w:rsid w:val="009D4825"/>
    <w:rsid w:val="009D4930"/>
    <w:rsid w:val="009D4FF1"/>
    <w:rsid w:val="009D55AA"/>
    <w:rsid w:val="009D5957"/>
    <w:rsid w:val="009D5FA1"/>
    <w:rsid w:val="009D696C"/>
    <w:rsid w:val="009D6DAB"/>
    <w:rsid w:val="009D6F33"/>
    <w:rsid w:val="009D6FBA"/>
    <w:rsid w:val="009D7521"/>
    <w:rsid w:val="009D77E9"/>
    <w:rsid w:val="009D79B5"/>
    <w:rsid w:val="009E0323"/>
    <w:rsid w:val="009E049D"/>
    <w:rsid w:val="009E0902"/>
    <w:rsid w:val="009E11E9"/>
    <w:rsid w:val="009E14EB"/>
    <w:rsid w:val="009E1825"/>
    <w:rsid w:val="009E1AEB"/>
    <w:rsid w:val="009E213C"/>
    <w:rsid w:val="009E22E5"/>
    <w:rsid w:val="009E236C"/>
    <w:rsid w:val="009E286E"/>
    <w:rsid w:val="009E3045"/>
    <w:rsid w:val="009E323A"/>
    <w:rsid w:val="009E344D"/>
    <w:rsid w:val="009E36A1"/>
    <w:rsid w:val="009E36E6"/>
    <w:rsid w:val="009E3E57"/>
    <w:rsid w:val="009E419E"/>
    <w:rsid w:val="009E466E"/>
    <w:rsid w:val="009E50F5"/>
    <w:rsid w:val="009E52A4"/>
    <w:rsid w:val="009E5339"/>
    <w:rsid w:val="009E5417"/>
    <w:rsid w:val="009E5709"/>
    <w:rsid w:val="009E5E1F"/>
    <w:rsid w:val="009E6F27"/>
    <w:rsid w:val="009E7289"/>
    <w:rsid w:val="009F005B"/>
    <w:rsid w:val="009F0576"/>
    <w:rsid w:val="009F063E"/>
    <w:rsid w:val="009F0781"/>
    <w:rsid w:val="009F0C52"/>
    <w:rsid w:val="009F169B"/>
    <w:rsid w:val="009F1726"/>
    <w:rsid w:val="009F245A"/>
    <w:rsid w:val="009F2F07"/>
    <w:rsid w:val="009F2FB3"/>
    <w:rsid w:val="009F30BC"/>
    <w:rsid w:val="009F318C"/>
    <w:rsid w:val="009F3809"/>
    <w:rsid w:val="009F381F"/>
    <w:rsid w:val="009F43CB"/>
    <w:rsid w:val="009F47F0"/>
    <w:rsid w:val="009F4837"/>
    <w:rsid w:val="009F4A87"/>
    <w:rsid w:val="009F53F1"/>
    <w:rsid w:val="009F62FC"/>
    <w:rsid w:val="009F68AB"/>
    <w:rsid w:val="009F6F0E"/>
    <w:rsid w:val="009F7513"/>
    <w:rsid w:val="009F7525"/>
    <w:rsid w:val="009F7984"/>
    <w:rsid w:val="009F7BF9"/>
    <w:rsid w:val="009F7ED5"/>
    <w:rsid w:val="00A00064"/>
    <w:rsid w:val="00A0077C"/>
    <w:rsid w:val="00A00B80"/>
    <w:rsid w:val="00A031D6"/>
    <w:rsid w:val="00A03229"/>
    <w:rsid w:val="00A03431"/>
    <w:rsid w:val="00A0399E"/>
    <w:rsid w:val="00A0405E"/>
    <w:rsid w:val="00A04081"/>
    <w:rsid w:val="00A04616"/>
    <w:rsid w:val="00A049C3"/>
    <w:rsid w:val="00A04B66"/>
    <w:rsid w:val="00A051C0"/>
    <w:rsid w:val="00A05409"/>
    <w:rsid w:val="00A05958"/>
    <w:rsid w:val="00A05A4B"/>
    <w:rsid w:val="00A05BC3"/>
    <w:rsid w:val="00A05D00"/>
    <w:rsid w:val="00A0609A"/>
    <w:rsid w:val="00A06B79"/>
    <w:rsid w:val="00A06D2F"/>
    <w:rsid w:val="00A07203"/>
    <w:rsid w:val="00A07AC4"/>
    <w:rsid w:val="00A07B94"/>
    <w:rsid w:val="00A07BCD"/>
    <w:rsid w:val="00A07FF9"/>
    <w:rsid w:val="00A101F0"/>
    <w:rsid w:val="00A10731"/>
    <w:rsid w:val="00A10A1E"/>
    <w:rsid w:val="00A10E51"/>
    <w:rsid w:val="00A10EA4"/>
    <w:rsid w:val="00A116AE"/>
    <w:rsid w:val="00A12034"/>
    <w:rsid w:val="00A124B4"/>
    <w:rsid w:val="00A132B1"/>
    <w:rsid w:val="00A13441"/>
    <w:rsid w:val="00A13B7F"/>
    <w:rsid w:val="00A13B94"/>
    <w:rsid w:val="00A13D21"/>
    <w:rsid w:val="00A14153"/>
    <w:rsid w:val="00A14EE2"/>
    <w:rsid w:val="00A15375"/>
    <w:rsid w:val="00A15496"/>
    <w:rsid w:val="00A15753"/>
    <w:rsid w:val="00A160B2"/>
    <w:rsid w:val="00A16102"/>
    <w:rsid w:val="00A16237"/>
    <w:rsid w:val="00A16710"/>
    <w:rsid w:val="00A16CCF"/>
    <w:rsid w:val="00A17606"/>
    <w:rsid w:val="00A17874"/>
    <w:rsid w:val="00A17A1F"/>
    <w:rsid w:val="00A20E6B"/>
    <w:rsid w:val="00A210D7"/>
    <w:rsid w:val="00A21360"/>
    <w:rsid w:val="00A21401"/>
    <w:rsid w:val="00A21580"/>
    <w:rsid w:val="00A21956"/>
    <w:rsid w:val="00A21AFC"/>
    <w:rsid w:val="00A21D3A"/>
    <w:rsid w:val="00A21F87"/>
    <w:rsid w:val="00A223BE"/>
    <w:rsid w:val="00A22654"/>
    <w:rsid w:val="00A22EAC"/>
    <w:rsid w:val="00A23893"/>
    <w:rsid w:val="00A23A14"/>
    <w:rsid w:val="00A23B80"/>
    <w:rsid w:val="00A23CB1"/>
    <w:rsid w:val="00A24058"/>
    <w:rsid w:val="00A243AC"/>
    <w:rsid w:val="00A24425"/>
    <w:rsid w:val="00A245E9"/>
    <w:rsid w:val="00A2477E"/>
    <w:rsid w:val="00A24C83"/>
    <w:rsid w:val="00A25064"/>
    <w:rsid w:val="00A25484"/>
    <w:rsid w:val="00A255CC"/>
    <w:rsid w:val="00A25718"/>
    <w:rsid w:val="00A26284"/>
    <w:rsid w:val="00A264CE"/>
    <w:rsid w:val="00A26A71"/>
    <w:rsid w:val="00A26BEB"/>
    <w:rsid w:val="00A26F1A"/>
    <w:rsid w:val="00A26FCF"/>
    <w:rsid w:val="00A2708F"/>
    <w:rsid w:val="00A27165"/>
    <w:rsid w:val="00A27316"/>
    <w:rsid w:val="00A27444"/>
    <w:rsid w:val="00A2793F"/>
    <w:rsid w:val="00A279F0"/>
    <w:rsid w:val="00A27AF8"/>
    <w:rsid w:val="00A27CBB"/>
    <w:rsid w:val="00A27F5B"/>
    <w:rsid w:val="00A3022B"/>
    <w:rsid w:val="00A30662"/>
    <w:rsid w:val="00A30FD7"/>
    <w:rsid w:val="00A311C9"/>
    <w:rsid w:val="00A313FA"/>
    <w:rsid w:val="00A3148F"/>
    <w:rsid w:val="00A31523"/>
    <w:rsid w:val="00A32C07"/>
    <w:rsid w:val="00A32D31"/>
    <w:rsid w:val="00A32DC6"/>
    <w:rsid w:val="00A32E4B"/>
    <w:rsid w:val="00A33059"/>
    <w:rsid w:val="00A3332C"/>
    <w:rsid w:val="00A33BCF"/>
    <w:rsid w:val="00A33F28"/>
    <w:rsid w:val="00A33F29"/>
    <w:rsid w:val="00A34434"/>
    <w:rsid w:val="00A3444B"/>
    <w:rsid w:val="00A34626"/>
    <w:rsid w:val="00A348F2"/>
    <w:rsid w:val="00A35428"/>
    <w:rsid w:val="00A3542A"/>
    <w:rsid w:val="00A35B54"/>
    <w:rsid w:val="00A35D00"/>
    <w:rsid w:val="00A35DB1"/>
    <w:rsid w:val="00A3614B"/>
    <w:rsid w:val="00A37125"/>
    <w:rsid w:val="00A376C0"/>
    <w:rsid w:val="00A37D2F"/>
    <w:rsid w:val="00A40483"/>
    <w:rsid w:val="00A406C0"/>
    <w:rsid w:val="00A4167B"/>
    <w:rsid w:val="00A416A8"/>
    <w:rsid w:val="00A419BA"/>
    <w:rsid w:val="00A42231"/>
    <w:rsid w:val="00A424C2"/>
    <w:rsid w:val="00A426A3"/>
    <w:rsid w:val="00A4288F"/>
    <w:rsid w:val="00A42BB1"/>
    <w:rsid w:val="00A42C69"/>
    <w:rsid w:val="00A42EAA"/>
    <w:rsid w:val="00A42FA0"/>
    <w:rsid w:val="00A4309E"/>
    <w:rsid w:val="00A4323C"/>
    <w:rsid w:val="00A436B4"/>
    <w:rsid w:val="00A4471C"/>
    <w:rsid w:val="00A449C2"/>
    <w:rsid w:val="00A44AE7"/>
    <w:rsid w:val="00A44FE8"/>
    <w:rsid w:val="00A450E1"/>
    <w:rsid w:val="00A45968"/>
    <w:rsid w:val="00A45D9A"/>
    <w:rsid w:val="00A4604F"/>
    <w:rsid w:val="00A4611E"/>
    <w:rsid w:val="00A46447"/>
    <w:rsid w:val="00A4653B"/>
    <w:rsid w:val="00A46602"/>
    <w:rsid w:val="00A468D7"/>
    <w:rsid w:val="00A46C92"/>
    <w:rsid w:val="00A46E3E"/>
    <w:rsid w:val="00A4735E"/>
    <w:rsid w:val="00A47476"/>
    <w:rsid w:val="00A47ADB"/>
    <w:rsid w:val="00A47ECE"/>
    <w:rsid w:val="00A47F3B"/>
    <w:rsid w:val="00A500C2"/>
    <w:rsid w:val="00A514EC"/>
    <w:rsid w:val="00A515B7"/>
    <w:rsid w:val="00A51862"/>
    <w:rsid w:val="00A51A5E"/>
    <w:rsid w:val="00A51FF9"/>
    <w:rsid w:val="00A5200C"/>
    <w:rsid w:val="00A52F5C"/>
    <w:rsid w:val="00A5301C"/>
    <w:rsid w:val="00A538D7"/>
    <w:rsid w:val="00A5397E"/>
    <w:rsid w:val="00A53A50"/>
    <w:rsid w:val="00A53BF0"/>
    <w:rsid w:val="00A54219"/>
    <w:rsid w:val="00A54731"/>
    <w:rsid w:val="00A54C30"/>
    <w:rsid w:val="00A54CA1"/>
    <w:rsid w:val="00A550C7"/>
    <w:rsid w:val="00A55369"/>
    <w:rsid w:val="00A5567B"/>
    <w:rsid w:val="00A55B9F"/>
    <w:rsid w:val="00A55D74"/>
    <w:rsid w:val="00A55E82"/>
    <w:rsid w:val="00A5665E"/>
    <w:rsid w:val="00A566D5"/>
    <w:rsid w:val="00A5770B"/>
    <w:rsid w:val="00A57934"/>
    <w:rsid w:val="00A6017B"/>
    <w:rsid w:val="00A60181"/>
    <w:rsid w:val="00A60641"/>
    <w:rsid w:val="00A6091A"/>
    <w:rsid w:val="00A60BBB"/>
    <w:rsid w:val="00A62CD3"/>
    <w:rsid w:val="00A62E63"/>
    <w:rsid w:val="00A6302A"/>
    <w:rsid w:val="00A63FFD"/>
    <w:rsid w:val="00A64237"/>
    <w:rsid w:val="00A64733"/>
    <w:rsid w:val="00A64B4E"/>
    <w:rsid w:val="00A652A4"/>
    <w:rsid w:val="00A66311"/>
    <w:rsid w:val="00A67499"/>
    <w:rsid w:val="00A6751F"/>
    <w:rsid w:val="00A6797F"/>
    <w:rsid w:val="00A67F7B"/>
    <w:rsid w:val="00A701C7"/>
    <w:rsid w:val="00A70CB5"/>
    <w:rsid w:val="00A71A67"/>
    <w:rsid w:val="00A71E15"/>
    <w:rsid w:val="00A71E4A"/>
    <w:rsid w:val="00A7267A"/>
    <w:rsid w:val="00A728C9"/>
    <w:rsid w:val="00A728DE"/>
    <w:rsid w:val="00A729C6"/>
    <w:rsid w:val="00A72F7C"/>
    <w:rsid w:val="00A731ED"/>
    <w:rsid w:val="00A73214"/>
    <w:rsid w:val="00A737E2"/>
    <w:rsid w:val="00A73C1E"/>
    <w:rsid w:val="00A7423B"/>
    <w:rsid w:val="00A744A6"/>
    <w:rsid w:val="00A744E6"/>
    <w:rsid w:val="00A745EA"/>
    <w:rsid w:val="00A74641"/>
    <w:rsid w:val="00A74CEE"/>
    <w:rsid w:val="00A758F9"/>
    <w:rsid w:val="00A75AFA"/>
    <w:rsid w:val="00A76611"/>
    <w:rsid w:val="00A76719"/>
    <w:rsid w:val="00A76DF6"/>
    <w:rsid w:val="00A77C06"/>
    <w:rsid w:val="00A80AAF"/>
    <w:rsid w:val="00A80BD2"/>
    <w:rsid w:val="00A80BFE"/>
    <w:rsid w:val="00A80C5E"/>
    <w:rsid w:val="00A81141"/>
    <w:rsid w:val="00A81348"/>
    <w:rsid w:val="00A81466"/>
    <w:rsid w:val="00A81D3B"/>
    <w:rsid w:val="00A820A6"/>
    <w:rsid w:val="00A82F17"/>
    <w:rsid w:val="00A83945"/>
    <w:rsid w:val="00A83D44"/>
    <w:rsid w:val="00A83EAE"/>
    <w:rsid w:val="00A83FB8"/>
    <w:rsid w:val="00A841C7"/>
    <w:rsid w:val="00A84CF8"/>
    <w:rsid w:val="00A85146"/>
    <w:rsid w:val="00A86529"/>
    <w:rsid w:val="00A8670F"/>
    <w:rsid w:val="00A86C3B"/>
    <w:rsid w:val="00A87711"/>
    <w:rsid w:val="00A87767"/>
    <w:rsid w:val="00A87B7B"/>
    <w:rsid w:val="00A87BF2"/>
    <w:rsid w:val="00A87E61"/>
    <w:rsid w:val="00A87FD7"/>
    <w:rsid w:val="00A907BA"/>
    <w:rsid w:val="00A908AD"/>
    <w:rsid w:val="00A90C61"/>
    <w:rsid w:val="00A90DCE"/>
    <w:rsid w:val="00A911DB"/>
    <w:rsid w:val="00A91911"/>
    <w:rsid w:val="00A91AB6"/>
    <w:rsid w:val="00A92059"/>
    <w:rsid w:val="00A92374"/>
    <w:rsid w:val="00A923AC"/>
    <w:rsid w:val="00A9272B"/>
    <w:rsid w:val="00A92E55"/>
    <w:rsid w:val="00A930E4"/>
    <w:rsid w:val="00A93492"/>
    <w:rsid w:val="00A934EA"/>
    <w:rsid w:val="00A937E3"/>
    <w:rsid w:val="00A9391E"/>
    <w:rsid w:val="00A93F17"/>
    <w:rsid w:val="00A94820"/>
    <w:rsid w:val="00A948C9"/>
    <w:rsid w:val="00A948DC"/>
    <w:rsid w:val="00A950CC"/>
    <w:rsid w:val="00A95119"/>
    <w:rsid w:val="00A95411"/>
    <w:rsid w:val="00A9604E"/>
    <w:rsid w:val="00A9704F"/>
    <w:rsid w:val="00A971CD"/>
    <w:rsid w:val="00A974E3"/>
    <w:rsid w:val="00A97D3D"/>
    <w:rsid w:val="00AA0062"/>
    <w:rsid w:val="00AA051F"/>
    <w:rsid w:val="00AA120D"/>
    <w:rsid w:val="00AA120F"/>
    <w:rsid w:val="00AA12B1"/>
    <w:rsid w:val="00AA1401"/>
    <w:rsid w:val="00AA1AD8"/>
    <w:rsid w:val="00AA1BD7"/>
    <w:rsid w:val="00AA1D1B"/>
    <w:rsid w:val="00AA1F61"/>
    <w:rsid w:val="00AA2068"/>
    <w:rsid w:val="00AA25B0"/>
    <w:rsid w:val="00AA26C9"/>
    <w:rsid w:val="00AA30EF"/>
    <w:rsid w:val="00AA33E4"/>
    <w:rsid w:val="00AA33FC"/>
    <w:rsid w:val="00AA35EE"/>
    <w:rsid w:val="00AA3689"/>
    <w:rsid w:val="00AA38BF"/>
    <w:rsid w:val="00AA39E0"/>
    <w:rsid w:val="00AA3B86"/>
    <w:rsid w:val="00AA3C2E"/>
    <w:rsid w:val="00AA3CD5"/>
    <w:rsid w:val="00AA45A8"/>
    <w:rsid w:val="00AA4776"/>
    <w:rsid w:val="00AA4E3C"/>
    <w:rsid w:val="00AA4EE1"/>
    <w:rsid w:val="00AA4FDC"/>
    <w:rsid w:val="00AA52D9"/>
    <w:rsid w:val="00AA55F2"/>
    <w:rsid w:val="00AA5745"/>
    <w:rsid w:val="00AA59B0"/>
    <w:rsid w:val="00AA5B7E"/>
    <w:rsid w:val="00AA5B87"/>
    <w:rsid w:val="00AA5EE3"/>
    <w:rsid w:val="00AA6149"/>
    <w:rsid w:val="00AA629A"/>
    <w:rsid w:val="00AA637F"/>
    <w:rsid w:val="00AA6555"/>
    <w:rsid w:val="00AA660C"/>
    <w:rsid w:val="00AA66A1"/>
    <w:rsid w:val="00AA6A0D"/>
    <w:rsid w:val="00AA6DC7"/>
    <w:rsid w:val="00AA71E6"/>
    <w:rsid w:val="00AA737A"/>
    <w:rsid w:val="00AA7828"/>
    <w:rsid w:val="00AB03C5"/>
    <w:rsid w:val="00AB049C"/>
    <w:rsid w:val="00AB09AE"/>
    <w:rsid w:val="00AB0CD3"/>
    <w:rsid w:val="00AB141A"/>
    <w:rsid w:val="00AB14C2"/>
    <w:rsid w:val="00AB150B"/>
    <w:rsid w:val="00AB1AAC"/>
    <w:rsid w:val="00AB1BF8"/>
    <w:rsid w:val="00AB2E19"/>
    <w:rsid w:val="00AB44E1"/>
    <w:rsid w:val="00AB4D31"/>
    <w:rsid w:val="00AB4D7E"/>
    <w:rsid w:val="00AB51B3"/>
    <w:rsid w:val="00AB5435"/>
    <w:rsid w:val="00AB5EAA"/>
    <w:rsid w:val="00AB6222"/>
    <w:rsid w:val="00AB62BB"/>
    <w:rsid w:val="00AB6638"/>
    <w:rsid w:val="00AB7367"/>
    <w:rsid w:val="00AB768A"/>
    <w:rsid w:val="00AB7C14"/>
    <w:rsid w:val="00AB7E2E"/>
    <w:rsid w:val="00AB7EEA"/>
    <w:rsid w:val="00AC02A0"/>
    <w:rsid w:val="00AC03FB"/>
    <w:rsid w:val="00AC069E"/>
    <w:rsid w:val="00AC0BF0"/>
    <w:rsid w:val="00AC0EBB"/>
    <w:rsid w:val="00AC1324"/>
    <w:rsid w:val="00AC1540"/>
    <w:rsid w:val="00AC1E13"/>
    <w:rsid w:val="00AC2747"/>
    <w:rsid w:val="00AC2A52"/>
    <w:rsid w:val="00AC2C02"/>
    <w:rsid w:val="00AC2CC4"/>
    <w:rsid w:val="00AC2D1F"/>
    <w:rsid w:val="00AC31CA"/>
    <w:rsid w:val="00AC3414"/>
    <w:rsid w:val="00AC379D"/>
    <w:rsid w:val="00AC3846"/>
    <w:rsid w:val="00AC3A22"/>
    <w:rsid w:val="00AC3D66"/>
    <w:rsid w:val="00AC43A5"/>
    <w:rsid w:val="00AC4507"/>
    <w:rsid w:val="00AC4697"/>
    <w:rsid w:val="00AC4710"/>
    <w:rsid w:val="00AC48EB"/>
    <w:rsid w:val="00AC4C13"/>
    <w:rsid w:val="00AC52B8"/>
    <w:rsid w:val="00AC54F3"/>
    <w:rsid w:val="00AC577D"/>
    <w:rsid w:val="00AC5782"/>
    <w:rsid w:val="00AC5A79"/>
    <w:rsid w:val="00AC5F65"/>
    <w:rsid w:val="00AC635D"/>
    <w:rsid w:val="00AC6665"/>
    <w:rsid w:val="00AC6F11"/>
    <w:rsid w:val="00AC711B"/>
    <w:rsid w:val="00AC7235"/>
    <w:rsid w:val="00AC7308"/>
    <w:rsid w:val="00AC7386"/>
    <w:rsid w:val="00AC77AA"/>
    <w:rsid w:val="00AD01F8"/>
    <w:rsid w:val="00AD025F"/>
    <w:rsid w:val="00AD02C8"/>
    <w:rsid w:val="00AD0989"/>
    <w:rsid w:val="00AD0A8E"/>
    <w:rsid w:val="00AD1483"/>
    <w:rsid w:val="00AD16B3"/>
    <w:rsid w:val="00AD1AFF"/>
    <w:rsid w:val="00AD1C4B"/>
    <w:rsid w:val="00AD2C36"/>
    <w:rsid w:val="00AD2F4F"/>
    <w:rsid w:val="00AD32E6"/>
    <w:rsid w:val="00AD334C"/>
    <w:rsid w:val="00AD3549"/>
    <w:rsid w:val="00AD36E6"/>
    <w:rsid w:val="00AD423B"/>
    <w:rsid w:val="00AD47B7"/>
    <w:rsid w:val="00AD48E5"/>
    <w:rsid w:val="00AD500C"/>
    <w:rsid w:val="00AD52B8"/>
    <w:rsid w:val="00AD59A5"/>
    <w:rsid w:val="00AD5C70"/>
    <w:rsid w:val="00AD6551"/>
    <w:rsid w:val="00AD6777"/>
    <w:rsid w:val="00AD6825"/>
    <w:rsid w:val="00AD6EE8"/>
    <w:rsid w:val="00AD70CF"/>
    <w:rsid w:val="00AD791E"/>
    <w:rsid w:val="00AD7959"/>
    <w:rsid w:val="00AE0079"/>
    <w:rsid w:val="00AE07AA"/>
    <w:rsid w:val="00AE0A60"/>
    <w:rsid w:val="00AE0D9D"/>
    <w:rsid w:val="00AE14F6"/>
    <w:rsid w:val="00AE26A4"/>
    <w:rsid w:val="00AE2926"/>
    <w:rsid w:val="00AE2EF3"/>
    <w:rsid w:val="00AE3638"/>
    <w:rsid w:val="00AE3A2B"/>
    <w:rsid w:val="00AE3DD9"/>
    <w:rsid w:val="00AE4085"/>
    <w:rsid w:val="00AE4855"/>
    <w:rsid w:val="00AE4BFC"/>
    <w:rsid w:val="00AE4C78"/>
    <w:rsid w:val="00AE5036"/>
    <w:rsid w:val="00AE516F"/>
    <w:rsid w:val="00AE51E8"/>
    <w:rsid w:val="00AE53F4"/>
    <w:rsid w:val="00AE58FF"/>
    <w:rsid w:val="00AE5DE5"/>
    <w:rsid w:val="00AE6AEA"/>
    <w:rsid w:val="00AE6C4A"/>
    <w:rsid w:val="00AE7333"/>
    <w:rsid w:val="00AE739E"/>
    <w:rsid w:val="00AE7997"/>
    <w:rsid w:val="00AE7EDF"/>
    <w:rsid w:val="00AF0476"/>
    <w:rsid w:val="00AF051E"/>
    <w:rsid w:val="00AF0A2A"/>
    <w:rsid w:val="00AF0DC0"/>
    <w:rsid w:val="00AF10F8"/>
    <w:rsid w:val="00AF1293"/>
    <w:rsid w:val="00AF2A07"/>
    <w:rsid w:val="00AF357A"/>
    <w:rsid w:val="00AF3B16"/>
    <w:rsid w:val="00AF4036"/>
    <w:rsid w:val="00AF4521"/>
    <w:rsid w:val="00AF48B5"/>
    <w:rsid w:val="00AF4B43"/>
    <w:rsid w:val="00AF4EC1"/>
    <w:rsid w:val="00AF51CF"/>
    <w:rsid w:val="00AF5529"/>
    <w:rsid w:val="00AF5868"/>
    <w:rsid w:val="00AF58D7"/>
    <w:rsid w:val="00AF5A0E"/>
    <w:rsid w:val="00AF5AE4"/>
    <w:rsid w:val="00AF603C"/>
    <w:rsid w:val="00AF649F"/>
    <w:rsid w:val="00AF64D7"/>
    <w:rsid w:val="00AF74F8"/>
    <w:rsid w:val="00B00684"/>
    <w:rsid w:val="00B00B6B"/>
    <w:rsid w:val="00B00E05"/>
    <w:rsid w:val="00B012C0"/>
    <w:rsid w:val="00B01926"/>
    <w:rsid w:val="00B01A38"/>
    <w:rsid w:val="00B01AE5"/>
    <w:rsid w:val="00B01B26"/>
    <w:rsid w:val="00B01F36"/>
    <w:rsid w:val="00B02856"/>
    <w:rsid w:val="00B02B26"/>
    <w:rsid w:val="00B02DF1"/>
    <w:rsid w:val="00B02FB8"/>
    <w:rsid w:val="00B03279"/>
    <w:rsid w:val="00B03763"/>
    <w:rsid w:val="00B03782"/>
    <w:rsid w:val="00B037C1"/>
    <w:rsid w:val="00B037E0"/>
    <w:rsid w:val="00B0388F"/>
    <w:rsid w:val="00B038F3"/>
    <w:rsid w:val="00B03942"/>
    <w:rsid w:val="00B03B0C"/>
    <w:rsid w:val="00B03C8F"/>
    <w:rsid w:val="00B04177"/>
    <w:rsid w:val="00B04241"/>
    <w:rsid w:val="00B04F61"/>
    <w:rsid w:val="00B058B9"/>
    <w:rsid w:val="00B059A7"/>
    <w:rsid w:val="00B05B46"/>
    <w:rsid w:val="00B064D5"/>
    <w:rsid w:val="00B06A23"/>
    <w:rsid w:val="00B077CF"/>
    <w:rsid w:val="00B10587"/>
    <w:rsid w:val="00B10C02"/>
    <w:rsid w:val="00B10CB0"/>
    <w:rsid w:val="00B115A3"/>
    <w:rsid w:val="00B11DC2"/>
    <w:rsid w:val="00B11E9F"/>
    <w:rsid w:val="00B121A2"/>
    <w:rsid w:val="00B12E29"/>
    <w:rsid w:val="00B12F05"/>
    <w:rsid w:val="00B139C4"/>
    <w:rsid w:val="00B13B05"/>
    <w:rsid w:val="00B1404B"/>
    <w:rsid w:val="00B141C8"/>
    <w:rsid w:val="00B1443C"/>
    <w:rsid w:val="00B1488A"/>
    <w:rsid w:val="00B148EC"/>
    <w:rsid w:val="00B149C2"/>
    <w:rsid w:val="00B14C88"/>
    <w:rsid w:val="00B15AB7"/>
    <w:rsid w:val="00B15E9E"/>
    <w:rsid w:val="00B1631E"/>
    <w:rsid w:val="00B1638C"/>
    <w:rsid w:val="00B1666E"/>
    <w:rsid w:val="00B1709C"/>
    <w:rsid w:val="00B171A0"/>
    <w:rsid w:val="00B1741F"/>
    <w:rsid w:val="00B17739"/>
    <w:rsid w:val="00B2053F"/>
    <w:rsid w:val="00B20886"/>
    <w:rsid w:val="00B20912"/>
    <w:rsid w:val="00B20980"/>
    <w:rsid w:val="00B21042"/>
    <w:rsid w:val="00B21104"/>
    <w:rsid w:val="00B212AD"/>
    <w:rsid w:val="00B213F5"/>
    <w:rsid w:val="00B21888"/>
    <w:rsid w:val="00B21B52"/>
    <w:rsid w:val="00B22A93"/>
    <w:rsid w:val="00B22B48"/>
    <w:rsid w:val="00B22BA0"/>
    <w:rsid w:val="00B22BC7"/>
    <w:rsid w:val="00B22E5D"/>
    <w:rsid w:val="00B2317E"/>
    <w:rsid w:val="00B23749"/>
    <w:rsid w:val="00B2390A"/>
    <w:rsid w:val="00B23C54"/>
    <w:rsid w:val="00B23CFD"/>
    <w:rsid w:val="00B24305"/>
    <w:rsid w:val="00B24346"/>
    <w:rsid w:val="00B244B2"/>
    <w:rsid w:val="00B24706"/>
    <w:rsid w:val="00B247CF"/>
    <w:rsid w:val="00B248FE"/>
    <w:rsid w:val="00B2494E"/>
    <w:rsid w:val="00B250CA"/>
    <w:rsid w:val="00B2515C"/>
    <w:rsid w:val="00B254E6"/>
    <w:rsid w:val="00B256BB"/>
    <w:rsid w:val="00B260B1"/>
    <w:rsid w:val="00B26152"/>
    <w:rsid w:val="00B26154"/>
    <w:rsid w:val="00B2637C"/>
    <w:rsid w:val="00B263B7"/>
    <w:rsid w:val="00B272C0"/>
    <w:rsid w:val="00B276CD"/>
    <w:rsid w:val="00B2770B"/>
    <w:rsid w:val="00B27750"/>
    <w:rsid w:val="00B27FC8"/>
    <w:rsid w:val="00B30417"/>
    <w:rsid w:val="00B309A6"/>
    <w:rsid w:val="00B31201"/>
    <w:rsid w:val="00B31233"/>
    <w:rsid w:val="00B32124"/>
    <w:rsid w:val="00B3231D"/>
    <w:rsid w:val="00B323E7"/>
    <w:rsid w:val="00B3243D"/>
    <w:rsid w:val="00B327F2"/>
    <w:rsid w:val="00B33F0D"/>
    <w:rsid w:val="00B345E0"/>
    <w:rsid w:val="00B348FC"/>
    <w:rsid w:val="00B34C2B"/>
    <w:rsid w:val="00B35204"/>
    <w:rsid w:val="00B35214"/>
    <w:rsid w:val="00B354E4"/>
    <w:rsid w:val="00B35AA0"/>
    <w:rsid w:val="00B35B3A"/>
    <w:rsid w:val="00B3604C"/>
    <w:rsid w:val="00B364C7"/>
    <w:rsid w:val="00B36843"/>
    <w:rsid w:val="00B375F5"/>
    <w:rsid w:val="00B37CE2"/>
    <w:rsid w:val="00B400C9"/>
    <w:rsid w:val="00B40143"/>
    <w:rsid w:val="00B4035B"/>
    <w:rsid w:val="00B405C4"/>
    <w:rsid w:val="00B40829"/>
    <w:rsid w:val="00B40BD0"/>
    <w:rsid w:val="00B4163F"/>
    <w:rsid w:val="00B41720"/>
    <w:rsid w:val="00B41B2D"/>
    <w:rsid w:val="00B41D5B"/>
    <w:rsid w:val="00B42BCC"/>
    <w:rsid w:val="00B4338E"/>
    <w:rsid w:val="00B43FB8"/>
    <w:rsid w:val="00B444F3"/>
    <w:rsid w:val="00B445EA"/>
    <w:rsid w:val="00B4487A"/>
    <w:rsid w:val="00B44A39"/>
    <w:rsid w:val="00B44BE2"/>
    <w:rsid w:val="00B45001"/>
    <w:rsid w:val="00B459A6"/>
    <w:rsid w:val="00B45E10"/>
    <w:rsid w:val="00B463EE"/>
    <w:rsid w:val="00B46A5B"/>
    <w:rsid w:val="00B46B22"/>
    <w:rsid w:val="00B47262"/>
    <w:rsid w:val="00B47615"/>
    <w:rsid w:val="00B47C1F"/>
    <w:rsid w:val="00B50AC7"/>
    <w:rsid w:val="00B510F4"/>
    <w:rsid w:val="00B5146A"/>
    <w:rsid w:val="00B514EE"/>
    <w:rsid w:val="00B516E0"/>
    <w:rsid w:val="00B518C9"/>
    <w:rsid w:val="00B51912"/>
    <w:rsid w:val="00B51C0D"/>
    <w:rsid w:val="00B52435"/>
    <w:rsid w:val="00B53D46"/>
    <w:rsid w:val="00B540AD"/>
    <w:rsid w:val="00B5421E"/>
    <w:rsid w:val="00B544D8"/>
    <w:rsid w:val="00B54561"/>
    <w:rsid w:val="00B5471A"/>
    <w:rsid w:val="00B54D6C"/>
    <w:rsid w:val="00B5536A"/>
    <w:rsid w:val="00B5587B"/>
    <w:rsid w:val="00B55AC4"/>
    <w:rsid w:val="00B5686C"/>
    <w:rsid w:val="00B56A20"/>
    <w:rsid w:val="00B5703F"/>
    <w:rsid w:val="00B571A6"/>
    <w:rsid w:val="00B57249"/>
    <w:rsid w:val="00B572AB"/>
    <w:rsid w:val="00B5743E"/>
    <w:rsid w:val="00B57587"/>
    <w:rsid w:val="00B57A1C"/>
    <w:rsid w:val="00B60BEB"/>
    <w:rsid w:val="00B60DB6"/>
    <w:rsid w:val="00B60E99"/>
    <w:rsid w:val="00B6107C"/>
    <w:rsid w:val="00B615EB"/>
    <w:rsid w:val="00B61B97"/>
    <w:rsid w:val="00B61D62"/>
    <w:rsid w:val="00B62A0E"/>
    <w:rsid w:val="00B62B4D"/>
    <w:rsid w:val="00B63522"/>
    <w:rsid w:val="00B63EC4"/>
    <w:rsid w:val="00B63F2E"/>
    <w:rsid w:val="00B646A0"/>
    <w:rsid w:val="00B64D3E"/>
    <w:rsid w:val="00B64DCA"/>
    <w:rsid w:val="00B6564F"/>
    <w:rsid w:val="00B65BB0"/>
    <w:rsid w:val="00B65F0C"/>
    <w:rsid w:val="00B65F59"/>
    <w:rsid w:val="00B66770"/>
    <w:rsid w:val="00B679B5"/>
    <w:rsid w:val="00B67AD3"/>
    <w:rsid w:val="00B67B31"/>
    <w:rsid w:val="00B67CD4"/>
    <w:rsid w:val="00B67D9B"/>
    <w:rsid w:val="00B67F78"/>
    <w:rsid w:val="00B700A1"/>
    <w:rsid w:val="00B701A5"/>
    <w:rsid w:val="00B701B2"/>
    <w:rsid w:val="00B701F5"/>
    <w:rsid w:val="00B70BC2"/>
    <w:rsid w:val="00B7118F"/>
    <w:rsid w:val="00B712DF"/>
    <w:rsid w:val="00B71779"/>
    <w:rsid w:val="00B71B96"/>
    <w:rsid w:val="00B71BD7"/>
    <w:rsid w:val="00B72056"/>
    <w:rsid w:val="00B7221C"/>
    <w:rsid w:val="00B72768"/>
    <w:rsid w:val="00B73148"/>
    <w:rsid w:val="00B7325E"/>
    <w:rsid w:val="00B73373"/>
    <w:rsid w:val="00B73465"/>
    <w:rsid w:val="00B73594"/>
    <w:rsid w:val="00B74023"/>
    <w:rsid w:val="00B7410C"/>
    <w:rsid w:val="00B749E0"/>
    <w:rsid w:val="00B74D36"/>
    <w:rsid w:val="00B74E4A"/>
    <w:rsid w:val="00B754BB"/>
    <w:rsid w:val="00B759DB"/>
    <w:rsid w:val="00B76224"/>
    <w:rsid w:val="00B762F6"/>
    <w:rsid w:val="00B763DF"/>
    <w:rsid w:val="00B767D7"/>
    <w:rsid w:val="00B76EEC"/>
    <w:rsid w:val="00B772EA"/>
    <w:rsid w:val="00B777E4"/>
    <w:rsid w:val="00B77CF6"/>
    <w:rsid w:val="00B77EF1"/>
    <w:rsid w:val="00B80681"/>
    <w:rsid w:val="00B80791"/>
    <w:rsid w:val="00B80A49"/>
    <w:rsid w:val="00B8101B"/>
    <w:rsid w:val="00B8143C"/>
    <w:rsid w:val="00B814C5"/>
    <w:rsid w:val="00B8178A"/>
    <w:rsid w:val="00B821FC"/>
    <w:rsid w:val="00B8231C"/>
    <w:rsid w:val="00B8258E"/>
    <w:rsid w:val="00B82CB6"/>
    <w:rsid w:val="00B82E17"/>
    <w:rsid w:val="00B8366C"/>
    <w:rsid w:val="00B8425E"/>
    <w:rsid w:val="00B843F7"/>
    <w:rsid w:val="00B8443D"/>
    <w:rsid w:val="00B84C4B"/>
    <w:rsid w:val="00B84F9C"/>
    <w:rsid w:val="00B84FF1"/>
    <w:rsid w:val="00B85046"/>
    <w:rsid w:val="00B8514B"/>
    <w:rsid w:val="00B855E6"/>
    <w:rsid w:val="00B8579E"/>
    <w:rsid w:val="00B8598D"/>
    <w:rsid w:val="00B85F43"/>
    <w:rsid w:val="00B86009"/>
    <w:rsid w:val="00B863D6"/>
    <w:rsid w:val="00B87152"/>
    <w:rsid w:val="00B87604"/>
    <w:rsid w:val="00B87BB9"/>
    <w:rsid w:val="00B90503"/>
    <w:rsid w:val="00B9089C"/>
    <w:rsid w:val="00B90962"/>
    <w:rsid w:val="00B90CDC"/>
    <w:rsid w:val="00B9185A"/>
    <w:rsid w:val="00B91B57"/>
    <w:rsid w:val="00B9205C"/>
    <w:rsid w:val="00B92779"/>
    <w:rsid w:val="00B92AA9"/>
    <w:rsid w:val="00B932F2"/>
    <w:rsid w:val="00B937A4"/>
    <w:rsid w:val="00B93BB6"/>
    <w:rsid w:val="00B93C75"/>
    <w:rsid w:val="00B94198"/>
    <w:rsid w:val="00B9444D"/>
    <w:rsid w:val="00B944B9"/>
    <w:rsid w:val="00B94562"/>
    <w:rsid w:val="00B947A7"/>
    <w:rsid w:val="00B947A8"/>
    <w:rsid w:val="00B94840"/>
    <w:rsid w:val="00B9503E"/>
    <w:rsid w:val="00B95380"/>
    <w:rsid w:val="00B95491"/>
    <w:rsid w:val="00B955DF"/>
    <w:rsid w:val="00B9567F"/>
    <w:rsid w:val="00B9571D"/>
    <w:rsid w:val="00B958CD"/>
    <w:rsid w:val="00B96231"/>
    <w:rsid w:val="00B97206"/>
    <w:rsid w:val="00B9743A"/>
    <w:rsid w:val="00B97C46"/>
    <w:rsid w:val="00B97DAB"/>
    <w:rsid w:val="00B97F40"/>
    <w:rsid w:val="00BA08F8"/>
    <w:rsid w:val="00BA0EDC"/>
    <w:rsid w:val="00BA0FD4"/>
    <w:rsid w:val="00BA1A04"/>
    <w:rsid w:val="00BA1C26"/>
    <w:rsid w:val="00BA226E"/>
    <w:rsid w:val="00BA2BCE"/>
    <w:rsid w:val="00BA2EB4"/>
    <w:rsid w:val="00BA31EE"/>
    <w:rsid w:val="00BA3257"/>
    <w:rsid w:val="00BA3314"/>
    <w:rsid w:val="00BA34DD"/>
    <w:rsid w:val="00BA3566"/>
    <w:rsid w:val="00BA374D"/>
    <w:rsid w:val="00BA3D6A"/>
    <w:rsid w:val="00BA4D7F"/>
    <w:rsid w:val="00BA5C83"/>
    <w:rsid w:val="00BA5DF4"/>
    <w:rsid w:val="00BA681E"/>
    <w:rsid w:val="00BA6AB6"/>
    <w:rsid w:val="00BA6D2C"/>
    <w:rsid w:val="00BA6EAD"/>
    <w:rsid w:val="00BA771C"/>
    <w:rsid w:val="00BA7774"/>
    <w:rsid w:val="00BB030C"/>
    <w:rsid w:val="00BB04F8"/>
    <w:rsid w:val="00BB054A"/>
    <w:rsid w:val="00BB0643"/>
    <w:rsid w:val="00BB0B8F"/>
    <w:rsid w:val="00BB1475"/>
    <w:rsid w:val="00BB16F1"/>
    <w:rsid w:val="00BB1BF4"/>
    <w:rsid w:val="00BB1DF2"/>
    <w:rsid w:val="00BB2025"/>
    <w:rsid w:val="00BB20D1"/>
    <w:rsid w:val="00BB21ED"/>
    <w:rsid w:val="00BB24D3"/>
    <w:rsid w:val="00BB2707"/>
    <w:rsid w:val="00BB28A9"/>
    <w:rsid w:val="00BB2F55"/>
    <w:rsid w:val="00BB3698"/>
    <w:rsid w:val="00BB4527"/>
    <w:rsid w:val="00BB4FE2"/>
    <w:rsid w:val="00BB53DF"/>
    <w:rsid w:val="00BB55AD"/>
    <w:rsid w:val="00BB5931"/>
    <w:rsid w:val="00BB5950"/>
    <w:rsid w:val="00BB6757"/>
    <w:rsid w:val="00BB6A7C"/>
    <w:rsid w:val="00BB713F"/>
    <w:rsid w:val="00BB714A"/>
    <w:rsid w:val="00BB71F4"/>
    <w:rsid w:val="00BB7FD9"/>
    <w:rsid w:val="00BC04D0"/>
    <w:rsid w:val="00BC06F3"/>
    <w:rsid w:val="00BC089C"/>
    <w:rsid w:val="00BC0B32"/>
    <w:rsid w:val="00BC102E"/>
    <w:rsid w:val="00BC13F8"/>
    <w:rsid w:val="00BC17AC"/>
    <w:rsid w:val="00BC1EFB"/>
    <w:rsid w:val="00BC2102"/>
    <w:rsid w:val="00BC294C"/>
    <w:rsid w:val="00BC2970"/>
    <w:rsid w:val="00BC2E1F"/>
    <w:rsid w:val="00BC3238"/>
    <w:rsid w:val="00BC34AC"/>
    <w:rsid w:val="00BC3678"/>
    <w:rsid w:val="00BC3786"/>
    <w:rsid w:val="00BC38B4"/>
    <w:rsid w:val="00BC38B9"/>
    <w:rsid w:val="00BC3C4D"/>
    <w:rsid w:val="00BC4242"/>
    <w:rsid w:val="00BC4252"/>
    <w:rsid w:val="00BC461B"/>
    <w:rsid w:val="00BC4646"/>
    <w:rsid w:val="00BC482C"/>
    <w:rsid w:val="00BC4A00"/>
    <w:rsid w:val="00BC4A26"/>
    <w:rsid w:val="00BC4FBF"/>
    <w:rsid w:val="00BC5026"/>
    <w:rsid w:val="00BC5EF8"/>
    <w:rsid w:val="00BC61B2"/>
    <w:rsid w:val="00BC79DB"/>
    <w:rsid w:val="00BC7A86"/>
    <w:rsid w:val="00BC7ABF"/>
    <w:rsid w:val="00BC7B2D"/>
    <w:rsid w:val="00BD0103"/>
    <w:rsid w:val="00BD01AF"/>
    <w:rsid w:val="00BD02C9"/>
    <w:rsid w:val="00BD04AE"/>
    <w:rsid w:val="00BD04C7"/>
    <w:rsid w:val="00BD08BC"/>
    <w:rsid w:val="00BD0904"/>
    <w:rsid w:val="00BD0950"/>
    <w:rsid w:val="00BD0CE3"/>
    <w:rsid w:val="00BD0F5B"/>
    <w:rsid w:val="00BD1386"/>
    <w:rsid w:val="00BD14D5"/>
    <w:rsid w:val="00BD16E2"/>
    <w:rsid w:val="00BD1F46"/>
    <w:rsid w:val="00BD20FB"/>
    <w:rsid w:val="00BD2581"/>
    <w:rsid w:val="00BD2699"/>
    <w:rsid w:val="00BD34A7"/>
    <w:rsid w:val="00BD3C03"/>
    <w:rsid w:val="00BD3C40"/>
    <w:rsid w:val="00BD4371"/>
    <w:rsid w:val="00BD45B2"/>
    <w:rsid w:val="00BD4615"/>
    <w:rsid w:val="00BD51B0"/>
    <w:rsid w:val="00BD5284"/>
    <w:rsid w:val="00BD5BDE"/>
    <w:rsid w:val="00BD5FBA"/>
    <w:rsid w:val="00BD62DC"/>
    <w:rsid w:val="00BD63B9"/>
    <w:rsid w:val="00BD6606"/>
    <w:rsid w:val="00BD6987"/>
    <w:rsid w:val="00BD6B5B"/>
    <w:rsid w:val="00BD71D9"/>
    <w:rsid w:val="00BD731A"/>
    <w:rsid w:val="00BD7361"/>
    <w:rsid w:val="00BD760F"/>
    <w:rsid w:val="00BD7689"/>
    <w:rsid w:val="00BD78AB"/>
    <w:rsid w:val="00BD7C96"/>
    <w:rsid w:val="00BD7F9E"/>
    <w:rsid w:val="00BE0351"/>
    <w:rsid w:val="00BE066E"/>
    <w:rsid w:val="00BE0749"/>
    <w:rsid w:val="00BE07E0"/>
    <w:rsid w:val="00BE0B42"/>
    <w:rsid w:val="00BE0E8E"/>
    <w:rsid w:val="00BE141E"/>
    <w:rsid w:val="00BE1561"/>
    <w:rsid w:val="00BE197F"/>
    <w:rsid w:val="00BE1A9A"/>
    <w:rsid w:val="00BE1AC1"/>
    <w:rsid w:val="00BE27CE"/>
    <w:rsid w:val="00BE2DA3"/>
    <w:rsid w:val="00BE312F"/>
    <w:rsid w:val="00BE3226"/>
    <w:rsid w:val="00BE32F3"/>
    <w:rsid w:val="00BE389A"/>
    <w:rsid w:val="00BE39CD"/>
    <w:rsid w:val="00BE3ADF"/>
    <w:rsid w:val="00BE3C40"/>
    <w:rsid w:val="00BE3EA7"/>
    <w:rsid w:val="00BE4079"/>
    <w:rsid w:val="00BE4154"/>
    <w:rsid w:val="00BE45E4"/>
    <w:rsid w:val="00BE4686"/>
    <w:rsid w:val="00BE4719"/>
    <w:rsid w:val="00BE4828"/>
    <w:rsid w:val="00BE4F73"/>
    <w:rsid w:val="00BE54F4"/>
    <w:rsid w:val="00BE55B2"/>
    <w:rsid w:val="00BE565E"/>
    <w:rsid w:val="00BE57A4"/>
    <w:rsid w:val="00BE5859"/>
    <w:rsid w:val="00BE5A56"/>
    <w:rsid w:val="00BE74BA"/>
    <w:rsid w:val="00BE7AB0"/>
    <w:rsid w:val="00BE7B11"/>
    <w:rsid w:val="00BE7F82"/>
    <w:rsid w:val="00BF10C2"/>
    <w:rsid w:val="00BF1363"/>
    <w:rsid w:val="00BF160C"/>
    <w:rsid w:val="00BF17A1"/>
    <w:rsid w:val="00BF1907"/>
    <w:rsid w:val="00BF1B96"/>
    <w:rsid w:val="00BF1EF0"/>
    <w:rsid w:val="00BF2147"/>
    <w:rsid w:val="00BF21D5"/>
    <w:rsid w:val="00BF2A64"/>
    <w:rsid w:val="00BF305F"/>
    <w:rsid w:val="00BF3568"/>
    <w:rsid w:val="00BF3668"/>
    <w:rsid w:val="00BF3BB0"/>
    <w:rsid w:val="00BF4737"/>
    <w:rsid w:val="00BF4787"/>
    <w:rsid w:val="00BF48CD"/>
    <w:rsid w:val="00BF4E09"/>
    <w:rsid w:val="00BF520A"/>
    <w:rsid w:val="00BF5BB9"/>
    <w:rsid w:val="00BF5DCE"/>
    <w:rsid w:val="00BF5ED6"/>
    <w:rsid w:val="00BF5F35"/>
    <w:rsid w:val="00BF6005"/>
    <w:rsid w:val="00BF6C0E"/>
    <w:rsid w:val="00BF6C63"/>
    <w:rsid w:val="00BF7077"/>
    <w:rsid w:val="00BF71C1"/>
    <w:rsid w:val="00BF74F4"/>
    <w:rsid w:val="00BF7C9C"/>
    <w:rsid w:val="00BF7EFA"/>
    <w:rsid w:val="00C00759"/>
    <w:rsid w:val="00C00BD8"/>
    <w:rsid w:val="00C00BDC"/>
    <w:rsid w:val="00C011E5"/>
    <w:rsid w:val="00C013B6"/>
    <w:rsid w:val="00C01F90"/>
    <w:rsid w:val="00C02207"/>
    <w:rsid w:val="00C02250"/>
    <w:rsid w:val="00C03554"/>
    <w:rsid w:val="00C037A1"/>
    <w:rsid w:val="00C04993"/>
    <w:rsid w:val="00C0506E"/>
    <w:rsid w:val="00C0526D"/>
    <w:rsid w:val="00C05562"/>
    <w:rsid w:val="00C05D24"/>
    <w:rsid w:val="00C05D69"/>
    <w:rsid w:val="00C05EDA"/>
    <w:rsid w:val="00C0674C"/>
    <w:rsid w:val="00C06CDB"/>
    <w:rsid w:val="00C06EE4"/>
    <w:rsid w:val="00C07051"/>
    <w:rsid w:val="00C0746A"/>
    <w:rsid w:val="00C07782"/>
    <w:rsid w:val="00C07FE7"/>
    <w:rsid w:val="00C113B4"/>
    <w:rsid w:val="00C115EB"/>
    <w:rsid w:val="00C116E5"/>
    <w:rsid w:val="00C118A6"/>
    <w:rsid w:val="00C118E6"/>
    <w:rsid w:val="00C11E80"/>
    <w:rsid w:val="00C12003"/>
    <w:rsid w:val="00C12907"/>
    <w:rsid w:val="00C12FD9"/>
    <w:rsid w:val="00C132C8"/>
    <w:rsid w:val="00C13308"/>
    <w:rsid w:val="00C13383"/>
    <w:rsid w:val="00C13818"/>
    <w:rsid w:val="00C13C8E"/>
    <w:rsid w:val="00C14459"/>
    <w:rsid w:val="00C14537"/>
    <w:rsid w:val="00C1567F"/>
    <w:rsid w:val="00C165FB"/>
    <w:rsid w:val="00C166B4"/>
    <w:rsid w:val="00C16AE5"/>
    <w:rsid w:val="00C16D0C"/>
    <w:rsid w:val="00C17161"/>
    <w:rsid w:val="00C1718A"/>
    <w:rsid w:val="00C1789D"/>
    <w:rsid w:val="00C17990"/>
    <w:rsid w:val="00C203AA"/>
    <w:rsid w:val="00C20538"/>
    <w:rsid w:val="00C2070E"/>
    <w:rsid w:val="00C207CC"/>
    <w:rsid w:val="00C2095F"/>
    <w:rsid w:val="00C214C1"/>
    <w:rsid w:val="00C2218A"/>
    <w:rsid w:val="00C224FA"/>
    <w:rsid w:val="00C22A6D"/>
    <w:rsid w:val="00C22EA9"/>
    <w:rsid w:val="00C2423E"/>
    <w:rsid w:val="00C24E44"/>
    <w:rsid w:val="00C256BF"/>
    <w:rsid w:val="00C2665D"/>
    <w:rsid w:val="00C26813"/>
    <w:rsid w:val="00C2689E"/>
    <w:rsid w:val="00C26B6A"/>
    <w:rsid w:val="00C276D4"/>
    <w:rsid w:val="00C27938"/>
    <w:rsid w:val="00C27CE0"/>
    <w:rsid w:val="00C3040B"/>
    <w:rsid w:val="00C305BF"/>
    <w:rsid w:val="00C30909"/>
    <w:rsid w:val="00C31059"/>
    <w:rsid w:val="00C315B9"/>
    <w:rsid w:val="00C32978"/>
    <w:rsid w:val="00C32A3B"/>
    <w:rsid w:val="00C33506"/>
    <w:rsid w:val="00C338C8"/>
    <w:rsid w:val="00C33AE9"/>
    <w:rsid w:val="00C34153"/>
    <w:rsid w:val="00C34A4A"/>
    <w:rsid w:val="00C35378"/>
    <w:rsid w:val="00C35676"/>
    <w:rsid w:val="00C357D9"/>
    <w:rsid w:val="00C35A61"/>
    <w:rsid w:val="00C35AE3"/>
    <w:rsid w:val="00C35B00"/>
    <w:rsid w:val="00C36137"/>
    <w:rsid w:val="00C3646C"/>
    <w:rsid w:val="00C36E84"/>
    <w:rsid w:val="00C3725A"/>
    <w:rsid w:val="00C3726F"/>
    <w:rsid w:val="00C377F0"/>
    <w:rsid w:val="00C37F86"/>
    <w:rsid w:val="00C402EB"/>
    <w:rsid w:val="00C40A0E"/>
    <w:rsid w:val="00C41335"/>
    <w:rsid w:val="00C415BC"/>
    <w:rsid w:val="00C41A22"/>
    <w:rsid w:val="00C41A9C"/>
    <w:rsid w:val="00C41AB3"/>
    <w:rsid w:val="00C41D2D"/>
    <w:rsid w:val="00C41E09"/>
    <w:rsid w:val="00C41FB4"/>
    <w:rsid w:val="00C42235"/>
    <w:rsid w:val="00C42703"/>
    <w:rsid w:val="00C4285C"/>
    <w:rsid w:val="00C428AF"/>
    <w:rsid w:val="00C4313B"/>
    <w:rsid w:val="00C438FF"/>
    <w:rsid w:val="00C43AE5"/>
    <w:rsid w:val="00C43AF4"/>
    <w:rsid w:val="00C43FFA"/>
    <w:rsid w:val="00C44AAB"/>
    <w:rsid w:val="00C44C09"/>
    <w:rsid w:val="00C44D7A"/>
    <w:rsid w:val="00C4578E"/>
    <w:rsid w:val="00C459A4"/>
    <w:rsid w:val="00C45B3D"/>
    <w:rsid w:val="00C4628A"/>
    <w:rsid w:val="00C467DC"/>
    <w:rsid w:val="00C4681C"/>
    <w:rsid w:val="00C46AEF"/>
    <w:rsid w:val="00C46B8A"/>
    <w:rsid w:val="00C46E97"/>
    <w:rsid w:val="00C4706E"/>
    <w:rsid w:val="00C472CA"/>
    <w:rsid w:val="00C47DC6"/>
    <w:rsid w:val="00C47E95"/>
    <w:rsid w:val="00C47EBB"/>
    <w:rsid w:val="00C503C0"/>
    <w:rsid w:val="00C50480"/>
    <w:rsid w:val="00C508BC"/>
    <w:rsid w:val="00C509BB"/>
    <w:rsid w:val="00C51912"/>
    <w:rsid w:val="00C5199B"/>
    <w:rsid w:val="00C520B4"/>
    <w:rsid w:val="00C520F9"/>
    <w:rsid w:val="00C521B9"/>
    <w:rsid w:val="00C5232E"/>
    <w:rsid w:val="00C5247A"/>
    <w:rsid w:val="00C52C2C"/>
    <w:rsid w:val="00C52D99"/>
    <w:rsid w:val="00C53282"/>
    <w:rsid w:val="00C532D7"/>
    <w:rsid w:val="00C53773"/>
    <w:rsid w:val="00C53797"/>
    <w:rsid w:val="00C53B09"/>
    <w:rsid w:val="00C53FB3"/>
    <w:rsid w:val="00C5427D"/>
    <w:rsid w:val="00C5459A"/>
    <w:rsid w:val="00C54AB4"/>
    <w:rsid w:val="00C54CCD"/>
    <w:rsid w:val="00C54D2C"/>
    <w:rsid w:val="00C551D5"/>
    <w:rsid w:val="00C55667"/>
    <w:rsid w:val="00C55725"/>
    <w:rsid w:val="00C558D0"/>
    <w:rsid w:val="00C55A06"/>
    <w:rsid w:val="00C56367"/>
    <w:rsid w:val="00C569AC"/>
    <w:rsid w:val="00C56A50"/>
    <w:rsid w:val="00C576B3"/>
    <w:rsid w:val="00C57AC1"/>
    <w:rsid w:val="00C60201"/>
    <w:rsid w:val="00C6098F"/>
    <w:rsid w:val="00C60FE9"/>
    <w:rsid w:val="00C613E1"/>
    <w:rsid w:val="00C619EA"/>
    <w:rsid w:val="00C61D4F"/>
    <w:rsid w:val="00C61D9D"/>
    <w:rsid w:val="00C61F72"/>
    <w:rsid w:val="00C626F7"/>
    <w:rsid w:val="00C62BCA"/>
    <w:rsid w:val="00C63626"/>
    <w:rsid w:val="00C6392E"/>
    <w:rsid w:val="00C63DD3"/>
    <w:rsid w:val="00C63FF4"/>
    <w:rsid w:val="00C64048"/>
    <w:rsid w:val="00C64334"/>
    <w:rsid w:val="00C64683"/>
    <w:rsid w:val="00C64862"/>
    <w:rsid w:val="00C64952"/>
    <w:rsid w:val="00C64F05"/>
    <w:rsid w:val="00C64F7D"/>
    <w:rsid w:val="00C650F3"/>
    <w:rsid w:val="00C656C6"/>
    <w:rsid w:val="00C65BE5"/>
    <w:rsid w:val="00C65F76"/>
    <w:rsid w:val="00C65FB8"/>
    <w:rsid w:val="00C6662E"/>
    <w:rsid w:val="00C66E1F"/>
    <w:rsid w:val="00C66E3F"/>
    <w:rsid w:val="00C66FA3"/>
    <w:rsid w:val="00C67113"/>
    <w:rsid w:val="00C67130"/>
    <w:rsid w:val="00C6755D"/>
    <w:rsid w:val="00C703B5"/>
    <w:rsid w:val="00C7107A"/>
    <w:rsid w:val="00C71317"/>
    <w:rsid w:val="00C71797"/>
    <w:rsid w:val="00C72483"/>
    <w:rsid w:val="00C72F02"/>
    <w:rsid w:val="00C7318F"/>
    <w:rsid w:val="00C73342"/>
    <w:rsid w:val="00C73ACC"/>
    <w:rsid w:val="00C73F01"/>
    <w:rsid w:val="00C74797"/>
    <w:rsid w:val="00C758BE"/>
    <w:rsid w:val="00C75921"/>
    <w:rsid w:val="00C75CBC"/>
    <w:rsid w:val="00C765F2"/>
    <w:rsid w:val="00C767B0"/>
    <w:rsid w:val="00C76D27"/>
    <w:rsid w:val="00C8018F"/>
    <w:rsid w:val="00C80605"/>
    <w:rsid w:val="00C80950"/>
    <w:rsid w:val="00C80F2C"/>
    <w:rsid w:val="00C80FBB"/>
    <w:rsid w:val="00C813FA"/>
    <w:rsid w:val="00C81403"/>
    <w:rsid w:val="00C81A57"/>
    <w:rsid w:val="00C81D65"/>
    <w:rsid w:val="00C81FA9"/>
    <w:rsid w:val="00C8267C"/>
    <w:rsid w:val="00C826B7"/>
    <w:rsid w:val="00C82911"/>
    <w:rsid w:val="00C82E50"/>
    <w:rsid w:val="00C830CD"/>
    <w:rsid w:val="00C84585"/>
    <w:rsid w:val="00C847E6"/>
    <w:rsid w:val="00C84C68"/>
    <w:rsid w:val="00C84E0A"/>
    <w:rsid w:val="00C84FDB"/>
    <w:rsid w:val="00C8518C"/>
    <w:rsid w:val="00C852C8"/>
    <w:rsid w:val="00C8533F"/>
    <w:rsid w:val="00C8564F"/>
    <w:rsid w:val="00C8587F"/>
    <w:rsid w:val="00C85CFF"/>
    <w:rsid w:val="00C85ECC"/>
    <w:rsid w:val="00C8610D"/>
    <w:rsid w:val="00C86A2F"/>
    <w:rsid w:val="00C86D4D"/>
    <w:rsid w:val="00C86FD3"/>
    <w:rsid w:val="00C87706"/>
    <w:rsid w:val="00C87727"/>
    <w:rsid w:val="00C87F7D"/>
    <w:rsid w:val="00C9012C"/>
    <w:rsid w:val="00C90322"/>
    <w:rsid w:val="00C904C6"/>
    <w:rsid w:val="00C90A9E"/>
    <w:rsid w:val="00C90E0D"/>
    <w:rsid w:val="00C91604"/>
    <w:rsid w:val="00C91A38"/>
    <w:rsid w:val="00C91D05"/>
    <w:rsid w:val="00C924A0"/>
    <w:rsid w:val="00C92EDE"/>
    <w:rsid w:val="00C92F75"/>
    <w:rsid w:val="00C92FE8"/>
    <w:rsid w:val="00C932AF"/>
    <w:rsid w:val="00C93686"/>
    <w:rsid w:val="00C939A1"/>
    <w:rsid w:val="00C93D66"/>
    <w:rsid w:val="00C93EAA"/>
    <w:rsid w:val="00C94192"/>
    <w:rsid w:val="00C941D1"/>
    <w:rsid w:val="00C94F10"/>
    <w:rsid w:val="00C94FA8"/>
    <w:rsid w:val="00C9600F"/>
    <w:rsid w:val="00C9601C"/>
    <w:rsid w:val="00C960A9"/>
    <w:rsid w:val="00C96158"/>
    <w:rsid w:val="00C964A6"/>
    <w:rsid w:val="00C97611"/>
    <w:rsid w:val="00C9780B"/>
    <w:rsid w:val="00C9791E"/>
    <w:rsid w:val="00C97997"/>
    <w:rsid w:val="00CA0372"/>
    <w:rsid w:val="00CA040C"/>
    <w:rsid w:val="00CA0B92"/>
    <w:rsid w:val="00CA18CB"/>
    <w:rsid w:val="00CA1C75"/>
    <w:rsid w:val="00CA1EC1"/>
    <w:rsid w:val="00CA20A8"/>
    <w:rsid w:val="00CA2281"/>
    <w:rsid w:val="00CA24B5"/>
    <w:rsid w:val="00CA2F71"/>
    <w:rsid w:val="00CA3A5D"/>
    <w:rsid w:val="00CA42E5"/>
    <w:rsid w:val="00CA50C4"/>
    <w:rsid w:val="00CA519F"/>
    <w:rsid w:val="00CA533C"/>
    <w:rsid w:val="00CA53FB"/>
    <w:rsid w:val="00CA54ED"/>
    <w:rsid w:val="00CA5E30"/>
    <w:rsid w:val="00CA61B3"/>
    <w:rsid w:val="00CA6697"/>
    <w:rsid w:val="00CA682F"/>
    <w:rsid w:val="00CA6C86"/>
    <w:rsid w:val="00CA7077"/>
    <w:rsid w:val="00CA73A6"/>
    <w:rsid w:val="00CA7E34"/>
    <w:rsid w:val="00CB07BD"/>
    <w:rsid w:val="00CB0A43"/>
    <w:rsid w:val="00CB10D2"/>
    <w:rsid w:val="00CB11EB"/>
    <w:rsid w:val="00CB1C33"/>
    <w:rsid w:val="00CB21E0"/>
    <w:rsid w:val="00CB2A18"/>
    <w:rsid w:val="00CB2AFE"/>
    <w:rsid w:val="00CB2CF9"/>
    <w:rsid w:val="00CB2FF8"/>
    <w:rsid w:val="00CB356A"/>
    <w:rsid w:val="00CB38D1"/>
    <w:rsid w:val="00CB3E5E"/>
    <w:rsid w:val="00CB3F18"/>
    <w:rsid w:val="00CB409F"/>
    <w:rsid w:val="00CB4150"/>
    <w:rsid w:val="00CB4243"/>
    <w:rsid w:val="00CB44F2"/>
    <w:rsid w:val="00CB4E72"/>
    <w:rsid w:val="00CB51B3"/>
    <w:rsid w:val="00CB52BA"/>
    <w:rsid w:val="00CB5D18"/>
    <w:rsid w:val="00CB5F18"/>
    <w:rsid w:val="00CB659A"/>
    <w:rsid w:val="00CB6E50"/>
    <w:rsid w:val="00CB6FD6"/>
    <w:rsid w:val="00CB735C"/>
    <w:rsid w:val="00CB7541"/>
    <w:rsid w:val="00CB79BB"/>
    <w:rsid w:val="00CC073B"/>
    <w:rsid w:val="00CC0A21"/>
    <w:rsid w:val="00CC0BFC"/>
    <w:rsid w:val="00CC1074"/>
    <w:rsid w:val="00CC10E4"/>
    <w:rsid w:val="00CC1872"/>
    <w:rsid w:val="00CC1A6C"/>
    <w:rsid w:val="00CC2580"/>
    <w:rsid w:val="00CC3DCB"/>
    <w:rsid w:val="00CC42A2"/>
    <w:rsid w:val="00CC49A3"/>
    <w:rsid w:val="00CC4A18"/>
    <w:rsid w:val="00CC558C"/>
    <w:rsid w:val="00CC5F1B"/>
    <w:rsid w:val="00CC6E74"/>
    <w:rsid w:val="00CC6F7B"/>
    <w:rsid w:val="00CC7111"/>
    <w:rsid w:val="00CC74F3"/>
    <w:rsid w:val="00CC7CFF"/>
    <w:rsid w:val="00CD01BC"/>
    <w:rsid w:val="00CD02A4"/>
    <w:rsid w:val="00CD055E"/>
    <w:rsid w:val="00CD0D9F"/>
    <w:rsid w:val="00CD11CF"/>
    <w:rsid w:val="00CD1287"/>
    <w:rsid w:val="00CD172D"/>
    <w:rsid w:val="00CD1DF1"/>
    <w:rsid w:val="00CD29B2"/>
    <w:rsid w:val="00CD2FF4"/>
    <w:rsid w:val="00CD310C"/>
    <w:rsid w:val="00CD34F9"/>
    <w:rsid w:val="00CD38EB"/>
    <w:rsid w:val="00CD39E1"/>
    <w:rsid w:val="00CD3A90"/>
    <w:rsid w:val="00CD3C51"/>
    <w:rsid w:val="00CD3F0C"/>
    <w:rsid w:val="00CD416D"/>
    <w:rsid w:val="00CD4AA3"/>
    <w:rsid w:val="00CD52CC"/>
    <w:rsid w:val="00CD5AB4"/>
    <w:rsid w:val="00CD5D18"/>
    <w:rsid w:val="00CD6206"/>
    <w:rsid w:val="00CD66AF"/>
    <w:rsid w:val="00CD670D"/>
    <w:rsid w:val="00CD6AF9"/>
    <w:rsid w:val="00CD6BF1"/>
    <w:rsid w:val="00CD6C0D"/>
    <w:rsid w:val="00CD6DE5"/>
    <w:rsid w:val="00CD6E20"/>
    <w:rsid w:val="00CD71FB"/>
    <w:rsid w:val="00CD722B"/>
    <w:rsid w:val="00CD72C3"/>
    <w:rsid w:val="00CD7452"/>
    <w:rsid w:val="00CD75D3"/>
    <w:rsid w:val="00CD75EC"/>
    <w:rsid w:val="00CD765E"/>
    <w:rsid w:val="00CD77E2"/>
    <w:rsid w:val="00CD7B35"/>
    <w:rsid w:val="00CD7E9A"/>
    <w:rsid w:val="00CE0028"/>
    <w:rsid w:val="00CE0539"/>
    <w:rsid w:val="00CE0990"/>
    <w:rsid w:val="00CE0999"/>
    <w:rsid w:val="00CE0B5B"/>
    <w:rsid w:val="00CE0B97"/>
    <w:rsid w:val="00CE0C36"/>
    <w:rsid w:val="00CE0F58"/>
    <w:rsid w:val="00CE101E"/>
    <w:rsid w:val="00CE179B"/>
    <w:rsid w:val="00CE1DBB"/>
    <w:rsid w:val="00CE1F74"/>
    <w:rsid w:val="00CE2161"/>
    <w:rsid w:val="00CE22FF"/>
    <w:rsid w:val="00CE2787"/>
    <w:rsid w:val="00CE28E0"/>
    <w:rsid w:val="00CE3A14"/>
    <w:rsid w:val="00CE3A57"/>
    <w:rsid w:val="00CE3EBE"/>
    <w:rsid w:val="00CE437B"/>
    <w:rsid w:val="00CE445C"/>
    <w:rsid w:val="00CE4658"/>
    <w:rsid w:val="00CE47A9"/>
    <w:rsid w:val="00CE5747"/>
    <w:rsid w:val="00CE5810"/>
    <w:rsid w:val="00CE5D9E"/>
    <w:rsid w:val="00CE600E"/>
    <w:rsid w:val="00CE6688"/>
    <w:rsid w:val="00CE6712"/>
    <w:rsid w:val="00CE6F5B"/>
    <w:rsid w:val="00CE707A"/>
    <w:rsid w:val="00CE782E"/>
    <w:rsid w:val="00CE79C7"/>
    <w:rsid w:val="00CF0F37"/>
    <w:rsid w:val="00CF102B"/>
    <w:rsid w:val="00CF160A"/>
    <w:rsid w:val="00CF19A1"/>
    <w:rsid w:val="00CF1C46"/>
    <w:rsid w:val="00CF340E"/>
    <w:rsid w:val="00CF3752"/>
    <w:rsid w:val="00CF3921"/>
    <w:rsid w:val="00CF3A1F"/>
    <w:rsid w:val="00CF4363"/>
    <w:rsid w:val="00CF4499"/>
    <w:rsid w:val="00CF4535"/>
    <w:rsid w:val="00CF512B"/>
    <w:rsid w:val="00CF519D"/>
    <w:rsid w:val="00CF51F7"/>
    <w:rsid w:val="00CF5545"/>
    <w:rsid w:val="00CF58E6"/>
    <w:rsid w:val="00CF63F7"/>
    <w:rsid w:val="00CF667F"/>
    <w:rsid w:val="00CF6A59"/>
    <w:rsid w:val="00CF6D79"/>
    <w:rsid w:val="00CF6DF3"/>
    <w:rsid w:val="00CF71A2"/>
    <w:rsid w:val="00CF755A"/>
    <w:rsid w:val="00CF7B1E"/>
    <w:rsid w:val="00D00251"/>
    <w:rsid w:val="00D004B0"/>
    <w:rsid w:val="00D007CE"/>
    <w:rsid w:val="00D00820"/>
    <w:rsid w:val="00D01101"/>
    <w:rsid w:val="00D017D2"/>
    <w:rsid w:val="00D020DE"/>
    <w:rsid w:val="00D0282B"/>
    <w:rsid w:val="00D02A17"/>
    <w:rsid w:val="00D02D8D"/>
    <w:rsid w:val="00D02FC7"/>
    <w:rsid w:val="00D03893"/>
    <w:rsid w:val="00D04489"/>
    <w:rsid w:val="00D0459D"/>
    <w:rsid w:val="00D04A68"/>
    <w:rsid w:val="00D04D1D"/>
    <w:rsid w:val="00D05541"/>
    <w:rsid w:val="00D056F8"/>
    <w:rsid w:val="00D05A1E"/>
    <w:rsid w:val="00D062BA"/>
    <w:rsid w:val="00D06603"/>
    <w:rsid w:val="00D068BF"/>
    <w:rsid w:val="00D06A6A"/>
    <w:rsid w:val="00D06ADB"/>
    <w:rsid w:val="00D070E2"/>
    <w:rsid w:val="00D075F7"/>
    <w:rsid w:val="00D07932"/>
    <w:rsid w:val="00D07C7E"/>
    <w:rsid w:val="00D07CF8"/>
    <w:rsid w:val="00D1009C"/>
    <w:rsid w:val="00D10830"/>
    <w:rsid w:val="00D10912"/>
    <w:rsid w:val="00D10C50"/>
    <w:rsid w:val="00D10DEB"/>
    <w:rsid w:val="00D114DD"/>
    <w:rsid w:val="00D11AF1"/>
    <w:rsid w:val="00D11F7D"/>
    <w:rsid w:val="00D138E5"/>
    <w:rsid w:val="00D139C4"/>
    <w:rsid w:val="00D13A4F"/>
    <w:rsid w:val="00D13B84"/>
    <w:rsid w:val="00D13E8A"/>
    <w:rsid w:val="00D13F82"/>
    <w:rsid w:val="00D1465F"/>
    <w:rsid w:val="00D149A9"/>
    <w:rsid w:val="00D14C06"/>
    <w:rsid w:val="00D14C60"/>
    <w:rsid w:val="00D14CD9"/>
    <w:rsid w:val="00D14EF0"/>
    <w:rsid w:val="00D15318"/>
    <w:rsid w:val="00D15399"/>
    <w:rsid w:val="00D155B0"/>
    <w:rsid w:val="00D1560B"/>
    <w:rsid w:val="00D15A85"/>
    <w:rsid w:val="00D15CBE"/>
    <w:rsid w:val="00D1612D"/>
    <w:rsid w:val="00D1636E"/>
    <w:rsid w:val="00D16430"/>
    <w:rsid w:val="00D1651A"/>
    <w:rsid w:val="00D16B59"/>
    <w:rsid w:val="00D16D02"/>
    <w:rsid w:val="00D17271"/>
    <w:rsid w:val="00D178C0"/>
    <w:rsid w:val="00D17CA7"/>
    <w:rsid w:val="00D17DC9"/>
    <w:rsid w:val="00D2009B"/>
    <w:rsid w:val="00D20809"/>
    <w:rsid w:val="00D20CFA"/>
    <w:rsid w:val="00D21336"/>
    <w:rsid w:val="00D21382"/>
    <w:rsid w:val="00D214EA"/>
    <w:rsid w:val="00D2169F"/>
    <w:rsid w:val="00D21D78"/>
    <w:rsid w:val="00D223E3"/>
    <w:rsid w:val="00D22513"/>
    <w:rsid w:val="00D229D5"/>
    <w:rsid w:val="00D23C20"/>
    <w:rsid w:val="00D24E15"/>
    <w:rsid w:val="00D24EDD"/>
    <w:rsid w:val="00D25801"/>
    <w:rsid w:val="00D2594B"/>
    <w:rsid w:val="00D25A2E"/>
    <w:rsid w:val="00D267BB"/>
    <w:rsid w:val="00D278B6"/>
    <w:rsid w:val="00D278F7"/>
    <w:rsid w:val="00D27C3E"/>
    <w:rsid w:val="00D308D9"/>
    <w:rsid w:val="00D30EF7"/>
    <w:rsid w:val="00D30F4B"/>
    <w:rsid w:val="00D31384"/>
    <w:rsid w:val="00D318DD"/>
    <w:rsid w:val="00D31C6A"/>
    <w:rsid w:val="00D3285D"/>
    <w:rsid w:val="00D328AD"/>
    <w:rsid w:val="00D32DE2"/>
    <w:rsid w:val="00D32E09"/>
    <w:rsid w:val="00D33038"/>
    <w:rsid w:val="00D33A24"/>
    <w:rsid w:val="00D33AFB"/>
    <w:rsid w:val="00D33C03"/>
    <w:rsid w:val="00D33D64"/>
    <w:rsid w:val="00D340BF"/>
    <w:rsid w:val="00D346C4"/>
    <w:rsid w:val="00D34968"/>
    <w:rsid w:val="00D34B08"/>
    <w:rsid w:val="00D34B4F"/>
    <w:rsid w:val="00D35224"/>
    <w:rsid w:val="00D35581"/>
    <w:rsid w:val="00D355C9"/>
    <w:rsid w:val="00D355F1"/>
    <w:rsid w:val="00D358B1"/>
    <w:rsid w:val="00D35ADD"/>
    <w:rsid w:val="00D368F1"/>
    <w:rsid w:val="00D36B15"/>
    <w:rsid w:val="00D36B29"/>
    <w:rsid w:val="00D374C8"/>
    <w:rsid w:val="00D3752A"/>
    <w:rsid w:val="00D3757F"/>
    <w:rsid w:val="00D379C9"/>
    <w:rsid w:val="00D37A71"/>
    <w:rsid w:val="00D402ED"/>
    <w:rsid w:val="00D4038D"/>
    <w:rsid w:val="00D40561"/>
    <w:rsid w:val="00D408AF"/>
    <w:rsid w:val="00D40D69"/>
    <w:rsid w:val="00D40E50"/>
    <w:rsid w:val="00D41086"/>
    <w:rsid w:val="00D41869"/>
    <w:rsid w:val="00D42030"/>
    <w:rsid w:val="00D422A2"/>
    <w:rsid w:val="00D422FC"/>
    <w:rsid w:val="00D4281C"/>
    <w:rsid w:val="00D42C57"/>
    <w:rsid w:val="00D43083"/>
    <w:rsid w:val="00D43210"/>
    <w:rsid w:val="00D44321"/>
    <w:rsid w:val="00D4459F"/>
    <w:rsid w:val="00D44FA2"/>
    <w:rsid w:val="00D457F5"/>
    <w:rsid w:val="00D45B25"/>
    <w:rsid w:val="00D4680B"/>
    <w:rsid w:val="00D46C25"/>
    <w:rsid w:val="00D47092"/>
    <w:rsid w:val="00D4714B"/>
    <w:rsid w:val="00D472EB"/>
    <w:rsid w:val="00D475AA"/>
    <w:rsid w:val="00D50288"/>
    <w:rsid w:val="00D5051E"/>
    <w:rsid w:val="00D50D2E"/>
    <w:rsid w:val="00D5141C"/>
    <w:rsid w:val="00D518C7"/>
    <w:rsid w:val="00D51D76"/>
    <w:rsid w:val="00D52079"/>
    <w:rsid w:val="00D52156"/>
    <w:rsid w:val="00D53193"/>
    <w:rsid w:val="00D534C8"/>
    <w:rsid w:val="00D543E6"/>
    <w:rsid w:val="00D54DDD"/>
    <w:rsid w:val="00D54F42"/>
    <w:rsid w:val="00D55875"/>
    <w:rsid w:val="00D55E31"/>
    <w:rsid w:val="00D56B0F"/>
    <w:rsid w:val="00D56FD6"/>
    <w:rsid w:val="00D57189"/>
    <w:rsid w:val="00D572C2"/>
    <w:rsid w:val="00D57703"/>
    <w:rsid w:val="00D60D68"/>
    <w:rsid w:val="00D60EF2"/>
    <w:rsid w:val="00D61A40"/>
    <w:rsid w:val="00D61D2F"/>
    <w:rsid w:val="00D61D33"/>
    <w:rsid w:val="00D62125"/>
    <w:rsid w:val="00D6221E"/>
    <w:rsid w:val="00D6223E"/>
    <w:rsid w:val="00D62277"/>
    <w:rsid w:val="00D6263C"/>
    <w:rsid w:val="00D6305B"/>
    <w:rsid w:val="00D633DC"/>
    <w:rsid w:val="00D63907"/>
    <w:rsid w:val="00D6391E"/>
    <w:rsid w:val="00D639D5"/>
    <w:rsid w:val="00D63D90"/>
    <w:rsid w:val="00D63E33"/>
    <w:rsid w:val="00D64172"/>
    <w:rsid w:val="00D64201"/>
    <w:rsid w:val="00D646A4"/>
    <w:rsid w:val="00D64AE1"/>
    <w:rsid w:val="00D64D5C"/>
    <w:rsid w:val="00D64F68"/>
    <w:rsid w:val="00D6528E"/>
    <w:rsid w:val="00D65354"/>
    <w:rsid w:val="00D65C81"/>
    <w:rsid w:val="00D65EE5"/>
    <w:rsid w:val="00D66057"/>
    <w:rsid w:val="00D66521"/>
    <w:rsid w:val="00D66BEA"/>
    <w:rsid w:val="00D66BEB"/>
    <w:rsid w:val="00D677A4"/>
    <w:rsid w:val="00D678FF"/>
    <w:rsid w:val="00D6795B"/>
    <w:rsid w:val="00D67A97"/>
    <w:rsid w:val="00D67E82"/>
    <w:rsid w:val="00D67EC8"/>
    <w:rsid w:val="00D702F3"/>
    <w:rsid w:val="00D70351"/>
    <w:rsid w:val="00D7042B"/>
    <w:rsid w:val="00D704DA"/>
    <w:rsid w:val="00D7076D"/>
    <w:rsid w:val="00D70ACA"/>
    <w:rsid w:val="00D7176E"/>
    <w:rsid w:val="00D720B6"/>
    <w:rsid w:val="00D72381"/>
    <w:rsid w:val="00D726DB"/>
    <w:rsid w:val="00D72B31"/>
    <w:rsid w:val="00D734D7"/>
    <w:rsid w:val="00D734E9"/>
    <w:rsid w:val="00D73B3F"/>
    <w:rsid w:val="00D73E8F"/>
    <w:rsid w:val="00D74335"/>
    <w:rsid w:val="00D74C17"/>
    <w:rsid w:val="00D74E02"/>
    <w:rsid w:val="00D75047"/>
    <w:rsid w:val="00D7537B"/>
    <w:rsid w:val="00D756A0"/>
    <w:rsid w:val="00D757E9"/>
    <w:rsid w:val="00D76835"/>
    <w:rsid w:val="00D76868"/>
    <w:rsid w:val="00D76A0A"/>
    <w:rsid w:val="00D76C97"/>
    <w:rsid w:val="00D77612"/>
    <w:rsid w:val="00D77639"/>
    <w:rsid w:val="00D77918"/>
    <w:rsid w:val="00D80152"/>
    <w:rsid w:val="00D80DC6"/>
    <w:rsid w:val="00D80E0A"/>
    <w:rsid w:val="00D80E39"/>
    <w:rsid w:val="00D80F64"/>
    <w:rsid w:val="00D81DCB"/>
    <w:rsid w:val="00D823C3"/>
    <w:rsid w:val="00D82515"/>
    <w:rsid w:val="00D825F0"/>
    <w:rsid w:val="00D82C29"/>
    <w:rsid w:val="00D82C6F"/>
    <w:rsid w:val="00D83196"/>
    <w:rsid w:val="00D83457"/>
    <w:rsid w:val="00D837C4"/>
    <w:rsid w:val="00D839E1"/>
    <w:rsid w:val="00D843A0"/>
    <w:rsid w:val="00D84BC7"/>
    <w:rsid w:val="00D84C51"/>
    <w:rsid w:val="00D84F11"/>
    <w:rsid w:val="00D8506A"/>
    <w:rsid w:val="00D85293"/>
    <w:rsid w:val="00D8587C"/>
    <w:rsid w:val="00D85A76"/>
    <w:rsid w:val="00D865A7"/>
    <w:rsid w:val="00D86A79"/>
    <w:rsid w:val="00D905DF"/>
    <w:rsid w:val="00D90E91"/>
    <w:rsid w:val="00D910D0"/>
    <w:rsid w:val="00D91237"/>
    <w:rsid w:val="00D920FC"/>
    <w:rsid w:val="00D9251F"/>
    <w:rsid w:val="00D93693"/>
    <w:rsid w:val="00D93BCC"/>
    <w:rsid w:val="00D93D31"/>
    <w:rsid w:val="00D93E74"/>
    <w:rsid w:val="00D93E7B"/>
    <w:rsid w:val="00D9430C"/>
    <w:rsid w:val="00D9434A"/>
    <w:rsid w:val="00D950C6"/>
    <w:rsid w:val="00D955AF"/>
    <w:rsid w:val="00D9573A"/>
    <w:rsid w:val="00D958A9"/>
    <w:rsid w:val="00D9591F"/>
    <w:rsid w:val="00D95D82"/>
    <w:rsid w:val="00D95D9E"/>
    <w:rsid w:val="00D95F97"/>
    <w:rsid w:val="00D97091"/>
    <w:rsid w:val="00D972A5"/>
    <w:rsid w:val="00D97B1C"/>
    <w:rsid w:val="00D97B5D"/>
    <w:rsid w:val="00DA00B6"/>
    <w:rsid w:val="00DA0850"/>
    <w:rsid w:val="00DA1648"/>
    <w:rsid w:val="00DA1BE6"/>
    <w:rsid w:val="00DA1C64"/>
    <w:rsid w:val="00DA2551"/>
    <w:rsid w:val="00DA2A14"/>
    <w:rsid w:val="00DA2AD4"/>
    <w:rsid w:val="00DA2D6F"/>
    <w:rsid w:val="00DA2D9E"/>
    <w:rsid w:val="00DA37D6"/>
    <w:rsid w:val="00DA38A2"/>
    <w:rsid w:val="00DA4045"/>
    <w:rsid w:val="00DA44AD"/>
    <w:rsid w:val="00DA48A5"/>
    <w:rsid w:val="00DA4C13"/>
    <w:rsid w:val="00DA4C43"/>
    <w:rsid w:val="00DA4E8C"/>
    <w:rsid w:val="00DA5404"/>
    <w:rsid w:val="00DA5E83"/>
    <w:rsid w:val="00DA6191"/>
    <w:rsid w:val="00DA6560"/>
    <w:rsid w:val="00DA66E4"/>
    <w:rsid w:val="00DA6DBC"/>
    <w:rsid w:val="00DA6DD5"/>
    <w:rsid w:val="00DA7593"/>
    <w:rsid w:val="00DA7677"/>
    <w:rsid w:val="00DA7C85"/>
    <w:rsid w:val="00DA7F8E"/>
    <w:rsid w:val="00DB092A"/>
    <w:rsid w:val="00DB100D"/>
    <w:rsid w:val="00DB11B3"/>
    <w:rsid w:val="00DB1998"/>
    <w:rsid w:val="00DB2627"/>
    <w:rsid w:val="00DB2768"/>
    <w:rsid w:val="00DB30E5"/>
    <w:rsid w:val="00DB3452"/>
    <w:rsid w:val="00DB3FB9"/>
    <w:rsid w:val="00DB4665"/>
    <w:rsid w:val="00DB4C5F"/>
    <w:rsid w:val="00DB50E9"/>
    <w:rsid w:val="00DB50F1"/>
    <w:rsid w:val="00DB58DB"/>
    <w:rsid w:val="00DB58F9"/>
    <w:rsid w:val="00DB6354"/>
    <w:rsid w:val="00DB6B69"/>
    <w:rsid w:val="00DB6BE4"/>
    <w:rsid w:val="00DB73F2"/>
    <w:rsid w:val="00DB7C68"/>
    <w:rsid w:val="00DC031B"/>
    <w:rsid w:val="00DC08FD"/>
    <w:rsid w:val="00DC0B9E"/>
    <w:rsid w:val="00DC10C9"/>
    <w:rsid w:val="00DC127D"/>
    <w:rsid w:val="00DC1544"/>
    <w:rsid w:val="00DC1A87"/>
    <w:rsid w:val="00DC1B9F"/>
    <w:rsid w:val="00DC205D"/>
    <w:rsid w:val="00DC214A"/>
    <w:rsid w:val="00DC2155"/>
    <w:rsid w:val="00DC23CE"/>
    <w:rsid w:val="00DC24F7"/>
    <w:rsid w:val="00DC29A7"/>
    <w:rsid w:val="00DC2CFF"/>
    <w:rsid w:val="00DC2F9D"/>
    <w:rsid w:val="00DC3340"/>
    <w:rsid w:val="00DC3D1A"/>
    <w:rsid w:val="00DC4147"/>
    <w:rsid w:val="00DC4619"/>
    <w:rsid w:val="00DC5100"/>
    <w:rsid w:val="00DC51C1"/>
    <w:rsid w:val="00DC5343"/>
    <w:rsid w:val="00DC5DCA"/>
    <w:rsid w:val="00DC5E79"/>
    <w:rsid w:val="00DC62AD"/>
    <w:rsid w:val="00DC67DC"/>
    <w:rsid w:val="00DC67E6"/>
    <w:rsid w:val="00DC71B7"/>
    <w:rsid w:val="00DC7457"/>
    <w:rsid w:val="00DC7636"/>
    <w:rsid w:val="00DD087C"/>
    <w:rsid w:val="00DD08D1"/>
    <w:rsid w:val="00DD0CC8"/>
    <w:rsid w:val="00DD1677"/>
    <w:rsid w:val="00DD21A3"/>
    <w:rsid w:val="00DD2DFF"/>
    <w:rsid w:val="00DD31AD"/>
    <w:rsid w:val="00DD3478"/>
    <w:rsid w:val="00DD36D7"/>
    <w:rsid w:val="00DD3A1C"/>
    <w:rsid w:val="00DD3C71"/>
    <w:rsid w:val="00DD3FD0"/>
    <w:rsid w:val="00DD48A0"/>
    <w:rsid w:val="00DD4DF7"/>
    <w:rsid w:val="00DD5159"/>
    <w:rsid w:val="00DD537A"/>
    <w:rsid w:val="00DD54E4"/>
    <w:rsid w:val="00DD57DA"/>
    <w:rsid w:val="00DD5C60"/>
    <w:rsid w:val="00DD60A2"/>
    <w:rsid w:val="00DD690D"/>
    <w:rsid w:val="00DD6DC7"/>
    <w:rsid w:val="00DD7505"/>
    <w:rsid w:val="00DE00E3"/>
    <w:rsid w:val="00DE00EB"/>
    <w:rsid w:val="00DE07B0"/>
    <w:rsid w:val="00DE0F00"/>
    <w:rsid w:val="00DE1011"/>
    <w:rsid w:val="00DE174F"/>
    <w:rsid w:val="00DE178C"/>
    <w:rsid w:val="00DE1C08"/>
    <w:rsid w:val="00DE2354"/>
    <w:rsid w:val="00DE2457"/>
    <w:rsid w:val="00DE2B42"/>
    <w:rsid w:val="00DE2C67"/>
    <w:rsid w:val="00DE30A7"/>
    <w:rsid w:val="00DE3110"/>
    <w:rsid w:val="00DE3929"/>
    <w:rsid w:val="00DE3C7B"/>
    <w:rsid w:val="00DE406E"/>
    <w:rsid w:val="00DE4326"/>
    <w:rsid w:val="00DE4390"/>
    <w:rsid w:val="00DE45A3"/>
    <w:rsid w:val="00DE477F"/>
    <w:rsid w:val="00DE4BF6"/>
    <w:rsid w:val="00DE4E2A"/>
    <w:rsid w:val="00DE5114"/>
    <w:rsid w:val="00DE515C"/>
    <w:rsid w:val="00DE527F"/>
    <w:rsid w:val="00DE56EA"/>
    <w:rsid w:val="00DE5C62"/>
    <w:rsid w:val="00DE5EAA"/>
    <w:rsid w:val="00DE607F"/>
    <w:rsid w:val="00DE6DC5"/>
    <w:rsid w:val="00DE6DCE"/>
    <w:rsid w:val="00DE6E02"/>
    <w:rsid w:val="00DE7678"/>
    <w:rsid w:val="00DE76E0"/>
    <w:rsid w:val="00DE7931"/>
    <w:rsid w:val="00DE7C65"/>
    <w:rsid w:val="00DE7C75"/>
    <w:rsid w:val="00DE7EFD"/>
    <w:rsid w:val="00DE7F61"/>
    <w:rsid w:val="00DF033D"/>
    <w:rsid w:val="00DF03DC"/>
    <w:rsid w:val="00DF07EC"/>
    <w:rsid w:val="00DF0AAF"/>
    <w:rsid w:val="00DF0C3C"/>
    <w:rsid w:val="00DF0E3B"/>
    <w:rsid w:val="00DF121F"/>
    <w:rsid w:val="00DF28DB"/>
    <w:rsid w:val="00DF294F"/>
    <w:rsid w:val="00DF29C0"/>
    <w:rsid w:val="00DF2A27"/>
    <w:rsid w:val="00DF2ED7"/>
    <w:rsid w:val="00DF32F5"/>
    <w:rsid w:val="00DF364E"/>
    <w:rsid w:val="00DF3D0C"/>
    <w:rsid w:val="00DF3EE2"/>
    <w:rsid w:val="00DF3F81"/>
    <w:rsid w:val="00DF43FA"/>
    <w:rsid w:val="00DF493D"/>
    <w:rsid w:val="00DF49DF"/>
    <w:rsid w:val="00DF5617"/>
    <w:rsid w:val="00DF60D6"/>
    <w:rsid w:val="00DF6727"/>
    <w:rsid w:val="00DF6A42"/>
    <w:rsid w:val="00DF6D81"/>
    <w:rsid w:val="00DF71E6"/>
    <w:rsid w:val="00DF743E"/>
    <w:rsid w:val="00DF7CF6"/>
    <w:rsid w:val="00E00026"/>
    <w:rsid w:val="00E00928"/>
    <w:rsid w:val="00E01729"/>
    <w:rsid w:val="00E01D1A"/>
    <w:rsid w:val="00E01DBD"/>
    <w:rsid w:val="00E01EC1"/>
    <w:rsid w:val="00E02ACD"/>
    <w:rsid w:val="00E02E73"/>
    <w:rsid w:val="00E02EC2"/>
    <w:rsid w:val="00E03201"/>
    <w:rsid w:val="00E037B6"/>
    <w:rsid w:val="00E038A8"/>
    <w:rsid w:val="00E041D7"/>
    <w:rsid w:val="00E045E6"/>
    <w:rsid w:val="00E04617"/>
    <w:rsid w:val="00E04778"/>
    <w:rsid w:val="00E0486E"/>
    <w:rsid w:val="00E04E05"/>
    <w:rsid w:val="00E04E28"/>
    <w:rsid w:val="00E05098"/>
    <w:rsid w:val="00E052C6"/>
    <w:rsid w:val="00E054C2"/>
    <w:rsid w:val="00E05530"/>
    <w:rsid w:val="00E0574E"/>
    <w:rsid w:val="00E0592E"/>
    <w:rsid w:val="00E0611C"/>
    <w:rsid w:val="00E061B7"/>
    <w:rsid w:val="00E068DF"/>
    <w:rsid w:val="00E06B67"/>
    <w:rsid w:val="00E06BBA"/>
    <w:rsid w:val="00E06EDA"/>
    <w:rsid w:val="00E06FBD"/>
    <w:rsid w:val="00E07464"/>
    <w:rsid w:val="00E079EC"/>
    <w:rsid w:val="00E07BBB"/>
    <w:rsid w:val="00E10762"/>
    <w:rsid w:val="00E11478"/>
    <w:rsid w:val="00E117CD"/>
    <w:rsid w:val="00E11B92"/>
    <w:rsid w:val="00E120EB"/>
    <w:rsid w:val="00E124A0"/>
    <w:rsid w:val="00E124FF"/>
    <w:rsid w:val="00E126C6"/>
    <w:rsid w:val="00E12732"/>
    <w:rsid w:val="00E12D9F"/>
    <w:rsid w:val="00E12DAE"/>
    <w:rsid w:val="00E12FAB"/>
    <w:rsid w:val="00E134BA"/>
    <w:rsid w:val="00E1350D"/>
    <w:rsid w:val="00E137D6"/>
    <w:rsid w:val="00E14121"/>
    <w:rsid w:val="00E14783"/>
    <w:rsid w:val="00E149DB"/>
    <w:rsid w:val="00E14CA0"/>
    <w:rsid w:val="00E15BBF"/>
    <w:rsid w:val="00E15D00"/>
    <w:rsid w:val="00E160DC"/>
    <w:rsid w:val="00E168CA"/>
    <w:rsid w:val="00E177D8"/>
    <w:rsid w:val="00E17CD2"/>
    <w:rsid w:val="00E17DF1"/>
    <w:rsid w:val="00E20418"/>
    <w:rsid w:val="00E208C0"/>
    <w:rsid w:val="00E2092F"/>
    <w:rsid w:val="00E20C6C"/>
    <w:rsid w:val="00E20E6E"/>
    <w:rsid w:val="00E20FE1"/>
    <w:rsid w:val="00E21434"/>
    <w:rsid w:val="00E217A4"/>
    <w:rsid w:val="00E21D19"/>
    <w:rsid w:val="00E21D5D"/>
    <w:rsid w:val="00E21EEC"/>
    <w:rsid w:val="00E22A7C"/>
    <w:rsid w:val="00E22BFE"/>
    <w:rsid w:val="00E22C3D"/>
    <w:rsid w:val="00E22CB1"/>
    <w:rsid w:val="00E22F86"/>
    <w:rsid w:val="00E2319E"/>
    <w:rsid w:val="00E2334D"/>
    <w:rsid w:val="00E23558"/>
    <w:rsid w:val="00E23750"/>
    <w:rsid w:val="00E239E9"/>
    <w:rsid w:val="00E23CA0"/>
    <w:rsid w:val="00E23EEE"/>
    <w:rsid w:val="00E2448E"/>
    <w:rsid w:val="00E245ED"/>
    <w:rsid w:val="00E24935"/>
    <w:rsid w:val="00E253F1"/>
    <w:rsid w:val="00E25554"/>
    <w:rsid w:val="00E25947"/>
    <w:rsid w:val="00E25CBC"/>
    <w:rsid w:val="00E25F9E"/>
    <w:rsid w:val="00E2602E"/>
    <w:rsid w:val="00E2604D"/>
    <w:rsid w:val="00E261C8"/>
    <w:rsid w:val="00E26426"/>
    <w:rsid w:val="00E27028"/>
    <w:rsid w:val="00E27561"/>
    <w:rsid w:val="00E2798D"/>
    <w:rsid w:val="00E30139"/>
    <w:rsid w:val="00E30C52"/>
    <w:rsid w:val="00E30D96"/>
    <w:rsid w:val="00E311EB"/>
    <w:rsid w:val="00E314E3"/>
    <w:rsid w:val="00E31603"/>
    <w:rsid w:val="00E317E5"/>
    <w:rsid w:val="00E31813"/>
    <w:rsid w:val="00E31F47"/>
    <w:rsid w:val="00E322E6"/>
    <w:rsid w:val="00E3233D"/>
    <w:rsid w:val="00E3245A"/>
    <w:rsid w:val="00E32603"/>
    <w:rsid w:val="00E33712"/>
    <w:rsid w:val="00E3394B"/>
    <w:rsid w:val="00E33F97"/>
    <w:rsid w:val="00E34279"/>
    <w:rsid w:val="00E3484E"/>
    <w:rsid w:val="00E35359"/>
    <w:rsid w:val="00E35429"/>
    <w:rsid w:val="00E35ABE"/>
    <w:rsid w:val="00E35B9B"/>
    <w:rsid w:val="00E35FB8"/>
    <w:rsid w:val="00E3645C"/>
    <w:rsid w:val="00E37001"/>
    <w:rsid w:val="00E37106"/>
    <w:rsid w:val="00E37276"/>
    <w:rsid w:val="00E3740B"/>
    <w:rsid w:val="00E37435"/>
    <w:rsid w:val="00E37E51"/>
    <w:rsid w:val="00E4002A"/>
    <w:rsid w:val="00E402C6"/>
    <w:rsid w:val="00E40ADC"/>
    <w:rsid w:val="00E40B55"/>
    <w:rsid w:val="00E40CAB"/>
    <w:rsid w:val="00E41A9D"/>
    <w:rsid w:val="00E41D5C"/>
    <w:rsid w:val="00E42409"/>
    <w:rsid w:val="00E42475"/>
    <w:rsid w:val="00E42C25"/>
    <w:rsid w:val="00E42DE1"/>
    <w:rsid w:val="00E43E2B"/>
    <w:rsid w:val="00E44081"/>
    <w:rsid w:val="00E44156"/>
    <w:rsid w:val="00E44499"/>
    <w:rsid w:val="00E444EA"/>
    <w:rsid w:val="00E44790"/>
    <w:rsid w:val="00E44AED"/>
    <w:rsid w:val="00E450C9"/>
    <w:rsid w:val="00E453D7"/>
    <w:rsid w:val="00E455E5"/>
    <w:rsid w:val="00E46783"/>
    <w:rsid w:val="00E46C30"/>
    <w:rsid w:val="00E46CEB"/>
    <w:rsid w:val="00E46E6B"/>
    <w:rsid w:val="00E473F9"/>
    <w:rsid w:val="00E477B3"/>
    <w:rsid w:val="00E5001E"/>
    <w:rsid w:val="00E5004B"/>
    <w:rsid w:val="00E5086D"/>
    <w:rsid w:val="00E50A59"/>
    <w:rsid w:val="00E50F82"/>
    <w:rsid w:val="00E516FE"/>
    <w:rsid w:val="00E51D76"/>
    <w:rsid w:val="00E51DDB"/>
    <w:rsid w:val="00E52619"/>
    <w:rsid w:val="00E52DF5"/>
    <w:rsid w:val="00E533FE"/>
    <w:rsid w:val="00E535FA"/>
    <w:rsid w:val="00E54440"/>
    <w:rsid w:val="00E54561"/>
    <w:rsid w:val="00E54D92"/>
    <w:rsid w:val="00E552F0"/>
    <w:rsid w:val="00E55C82"/>
    <w:rsid w:val="00E55E47"/>
    <w:rsid w:val="00E55F34"/>
    <w:rsid w:val="00E55FEF"/>
    <w:rsid w:val="00E56037"/>
    <w:rsid w:val="00E560B6"/>
    <w:rsid w:val="00E56700"/>
    <w:rsid w:val="00E56EB2"/>
    <w:rsid w:val="00E57D19"/>
    <w:rsid w:val="00E57EB3"/>
    <w:rsid w:val="00E57F95"/>
    <w:rsid w:val="00E60021"/>
    <w:rsid w:val="00E601C8"/>
    <w:rsid w:val="00E609A6"/>
    <w:rsid w:val="00E617BB"/>
    <w:rsid w:val="00E61CE9"/>
    <w:rsid w:val="00E61E93"/>
    <w:rsid w:val="00E6201D"/>
    <w:rsid w:val="00E62493"/>
    <w:rsid w:val="00E62553"/>
    <w:rsid w:val="00E62581"/>
    <w:rsid w:val="00E62906"/>
    <w:rsid w:val="00E629D4"/>
    <w:rsid w:val="00E62C71"/>
    <w:rsid w:val="00E62D31"/>
    <w:rsid w:val="00E62D89"/>
    <w:rsid w:val="00E63E9C"/>
    <w:rsid w:val="00E64311"/>
    <w:rsid w:val="00E64C96"/>
    <w:rsid w:val="00E65D07"/>
    <w:rsid w:val="00E65D54"/>
    <w:rsid w:val="00E662C5"/>
    <w:rsid w:val="00E677A9"/>
    <w:rsid w:val="00E67DE6"/>
    <w:rsid w:val="00E70100"/>
    <w:rsid w:val="00E70AFF"/>
    <w:rsid w:val="00E70BBC"/>
    <w:rsid w:val="00E71746"/>
    <w:rsid w:val="00E71AA4"/>
    <w:rsid w:val="00E71DA5"/>
    <w:rsid w:val="00E71F89"/>
    <w:rsid w:val="00E721E6"/>
    <w:rsid w:val="00E72264"/>
    <w:rsid w:val="00E72B4E"/>
    <w:rsid w:val="00E72C23"/>
    <w:rsid w:val="00E73046"/>
    <w:rsid w:val="00E733E5"/>
    <w:rsid w:val="00E73593"/>
    <w:rsid w:val="00E73649"/>
    <w:rsid w:val="00E737ED"/>
    <w:rsid w:val="00E739C6"/>
    <w:rsid w:val="00E73AD3"/>
    <w:rsid w:val="00E74387"/>
    <w:rsid w:val="00E74CF2"/>
    <w:rsid w:val="00E75605"/>
    <w:rsid w:val="00E75D40"/>
    <w:rsid w:val="00E767AF"/>
    <w:rsid w:val="00E76CBA"/>
    <w:rsid w:val="00E8022F"/>
    <w:rsid w:val="00E80234"/>
    <w:rsid w:val="00E80444"/>
    <w:rsid w:val="00E8050B"/>
    <w:rsid w:val="00E80E01"/>
    <w:rsid w:val="00E80E4D"/>
    <w:rsid w:val="00E80F4B"/>
    <w:rsid w:val="00E81197"/>
    <w:rsid w:val="00E811B2"/>
    <w:rsid w:val="00E815C4"/>
    <w:rsid w:val="00E81C96"/>
    <w:rsid w:val="00E82202"/>
    <w:rsid w:val="00E8280C"/>
    <w:rsid w:val="00E82B5A"/>
    <w:rsid w:val="00E82BDB"/>
    <w:rsid w:val="00E8313C"/>
    <w:rsid w:val="00E83255"/>
    <w:rsid w:val="00E842DC"/>
    <w:rsid w:val="00E843F2"/>
    <w:rsid w:val="00E84AA5"/>
    <w:rsid w:val="00E84B99"/>
    <w:rsid w:val="00E84DD4"/>
    <w:rsid w:val="00E86189"/>
    <w:rsid w:val="00E864BB"/>
    <w:rsid w:val="00E864C0"/>
    <w:rsid w:val="00E8664F"/>
    <w:rsid w:val="00E866AC"/>
    <w:rsid w:val="00E87490"/>
    <w:rsid w:val="00E875B7"/>
    <w:rsid w:val="00E8784E"/>
    <w:rsid w:val="00E87B87"/>
    <w:rsid w:val="00E87FC4"/>
    <w:rsid w:val="00E905B1"/>
    <w:rsid w:val="00E90980"/>
    <w:rsid w:val="00E90A89"/>
    <w:rsid w:val="00E91603"/>
    <w:rsid w:val="00E917E2"/>
    <w:rsid w:val="00E91985"/>
    <w:rsid w:val="00E91B5E"/>
    <w:rsid w:val="00E92136"/>
    <w:rsid w:val="00E92459"/>
    <w:rsid w:val="00E92E84"/>
    <w:rsid w:val="00E92FC9"/>
    <w:rsid w:val="00E932D5"/>
    <w:rsid w:val="00E93AF2"/>
    <w:rsid w:val="00E93E82"/>
    <w:rsid w:val="00E9483D"/>
    <w:rsid w:val="00E953B9"/>
    <w:rsid w:val="00E955CD"/>
    <w:rsid w:val="00E95EE1"/>
    <w:rsid w:val="00E9615D"/>
    <w:rsid w:val="00E9620C"/>
    <w:rsid w:val="00E962F5"/>
    <w:rsid w:val="00E964E8"/>
    <w:rsid w:val="00E96CC5"/>
    <w:rsid w:val="00E96E07"/>
    <w:rsid w:val="00E96F0F"/>
    <w:rsid w:val="00E975CD"/>
    <w:rsid w:val="00E977E5"/>
    <w:rsid w:val="00E979D9"/>
    <w:rsid w:val="00E97C4D"/>
    <w:rsid w:val="00E97C5A"/>
    <w:rsid w:val="00EA002D"/>
    <w:rsid w:val="00EA0499"/>
    <w:rsid w:val="00EA0CBB"/>
    <w:rsid w:val="00EA161A"/>
    <w:rsid w:val="00EA1E02"/>
    <w:rsid w:val="00EA1F16"/>
    <w:rsid w:val="00EA245E"/>
    <w:rsid w:val="00EA374C"/>
    <w:rsid w:val="00EA38E8"/>
    <w:rsid w:val="00EA3B0D"/>
    <w:rsid w:val="00EA3B56"/>
    <w:rsid w:val="00EA3EB9"/>
    <w:rsid w:val="00EA3FF0"/>
    <w:rsid w:val="00EA40AA"/>
    <w:rsid w:val="00EA4288"/>
    <w:rsid w:val="00EA588D"/>
    <w:rsid w:val="00EA639E"/>
    <w:rsid w:val="00EA6487"/>
    <w:rsid w:val="00EA648C"/>
    <w:rsid w:val="00EA64DD"/>
    <w:rsid w:val="00EA6731"/>
    <w:rsid w:val="00EA6E1A"/>
    <w:rsid w:val="00EA7903"/>
    <w:rsid w:val="00EA7DF9"/>
    <w:rsid w:val="00EB078C"/>
    <w:rsid w:val="00EB0D89"/>
    <w:rsid w:val="00EB117B"/>
    <w:rsid w:val="00EB11A3"/>
    <w:rsid w:val="00EB140B"/>
    <w:rsid w:val="00EB1C0E"/>
    <w:rsid w:val="00EB1DC5"/>
    <w:rsid w:val="00EB20FA"/>
    <w:rsid w:val="00EB2465"/>
    <w:rsid w:val="00EB25DA"/>
    <w:rsid w:val="00EB2843"/>
    <w:rsid w:val="00EB28F3"/>
    <w:rsid w:val="00EB2B86"/>
    <w:rsid w:val="00EB2D97"/>
    <w:rsid w:val="00EB2DE3"/>
    <w:rsid w:val="00EB3BF3"/>
    <w:rsid w:val="00EB4463"/>
    <w:rsid w:val="00EB449F"/>
    <w:rsid w:val="00EB45C9"/>
    <w:rsid w:val="00EB4CA4"/>
    <w:rsid w:val="00EB5121"/>
    <w:rsid w:val="00EB58F9"/>
    <w:rsid w:val="00EB5DCA"/>
    <w:rsid w:val="00EB6A88"/>
    <w:rsid w:val="00EB7678"/>
    <w:rsid w:val="00EB7773"/>
    <w:rsid w:val="00EB7DBB"/>
    <w:rsid w:val="00EC011E"/>
    <w:rsid w:val="00EC026F"/>
    <w:rsid w:val="00EC029E"/>
    <w:rsid w:val="00EC0954"/>
    <w:rsid w:val="00EC0C61"/>
    <w:rsid w:val="00EC0E86"/>
    <w:rsid w:val="00EC1829"/>
    <w:rsid w:val="00EC25A3"/>
    <w:rsid w:val="00EC2600"/>
    <w:rsid w:val="00EC261F"/>
    <w:rsid w:val="00EC2704"/>
    <w:rsid w:val="00EC2DCB"/>
    <w:rsid w:val="00EC2ED4"/>
    <w:rsid w:val="00EC2F4E"/>
    <w:rsid w:val="00EC32A2"/>
    <w:rsid w:val="00EC38DA"/>
    <w:rsid w:val="00EC3BA0"/>
    <w:rsid w:val="00EC3C1A"/>
    <w:rsid w:val="00EC4208"/>
    <w:rsid w:val="00EC45D3"/>
    <w:rsid w:val="00EC4871"/>
    <w:rsid w:val="00EC657C"/>
    <w:rsid w:val="00EC67F1"/>
    <w:rsid w:val="00EC6FBE"/>
    <w:rsid w:val="00EC7912"/>
    <w:rsid w:val="00EC7949"/>
    <w:rsid w:val="00EC7E75"/>
    <w:rsid w:val="00ED1396"/>
    <w:rsid w:val="00ED155A"/>
    <w:rsid w:val="00ED1BE9"/>
    <w:rsid w:val="00ED1C54"/>
    <w:rsid w:val="00ED1EF4"/>
    <w:rsid w:val="00ED24D7"/>
    <w:rsid w:val="00ED278B"/>
    <w:rsid w:val="00ED30B2"/>
    <w:rsid w:val="00ED31A0"/>
    <w:rsid w:val="00ED3E41"/>
    <w:rsid w:val="00ED40CC"/>
    <w:rsid w:val="00ED41B8"/>
    <w:rsid w:val="00ED4B44"/>
    <w:rsid w:val="00ED4D1E"/>
    <w:rsid w:val="00ED51F9"/>
    <w:rsid w:val="00ED56E6"/>
    <w:rsid w:val="00ED592A"/>
    <w:rsid w:val="00ED5AC7"/>
    <w:rsid w:val="00ED5B48"/>
    <w:rsid w:val="00ED6201"/>
    <w:rsid w:val="00ED65C5"/>
    <w:rsid w:val="00ED76A8"/>
    <w:rsid w:val="00ED7A99"/>
    <w:rsid w:val="00ED7E0C"/>
    <w:rsid w:val="00ED7ECC"/>
    <w:rsid w:val="00ED7ED8"/>
    <w:rsid w:val="00ED7F26"/>
    <w:rsid w:val="00EE0280"/>
    <w:rsid w:val="00EE02B8"/>
    <w:rsid w:val="00EE0C46"/>
    <w:rsid w:val="00EE136A"/>
    <w:rsid w:val="00EE1686"/>
    <w:rsid w:val="00EE1771"/>
    <w:rsid w:val="00EE17FD"/>
    <w:rsid w:val="00EE2B24"/>
    <w:rsid w:val="00EE2E81"/>
    <w:rsid w:val="00EE3623"/>
    <w:rsid w:val="00EE437D"/>
    <w:rsid w:val="00EE46D5"/>
    <w:rsid w:val="00EE618E"/>
    <w:rsid w:val="00EE683B"/>
    <w:rsid w:val="00EE685D"/>
    <w:rsid w:val="00EE6F62"/>
    <w:rsid w:val="00EE6FA2"/>
    <w:rsid w:val="00EE7104"/>
    <w:rsid w:val="00EE744D"/>
    <w:rsid w:val="00EE77A1"/>
    <w:rsid w:val="00EE7842"/>
    <w:rsid w:val="00EE7985"/>
    <w:rsid w:val="00EE7B68"/>
    <w:rsid w:val="00EE7E81"/>
    <w:rsid w:val="00EF0473"/>
    <w:rsid w:val="00EF0512"/>
    <w:rsid w:val="00EF05EA"/>
    <w:rsid w:val="00EF1134"/>
    <w:rsid w:val="00EF1C8E"/>
    <w:rsid w:val="00EF2160"/>
    <w:rsid w:val="00EF2572"/>
    <w:rsid w:val="00EF333B"/>
    <w:rsid w:val="00EF33B6"/>
    <w:rsid w:val="00EF377A"/>
    <w:rsid w:val="00EF442A"/>
    <w:rsid w:val="00EF448D"/>
    <w:rsid w:val="00EF4F12"/>
    <w:rsid w:val="00EF4F7C"/>
    <w:rsid w:val="00EF5167"/>
    <w:rsid w:val="00EF5772"/>
    <w:rsid w:val="00EF57DD"/>
    <w:rsid w:val="00EF678E"/>
    <w:rsid w:val="00EF7728"/>
    <w:rsid w:val="00EF7796"/>
    <w:rsid w:val="00EF7EAB"/>
    <w:rsid w:val="00EF7FE7"/>
    <w:rsid w:val="00F00296"/>
    <w:rsid w:val="00F00976"/>
    <w:rsid w:val="00F00B02"/>
    <w:rsid w:val="00F00D33"/>
    <w:rsid w:val="00F00E70"/>
    <w:rsid w:val="00F00F74"/>
    <w:rsid w:val="00F010F9"/>
    <w:rsid w:val="00F012D9"/>
    <w:rsid w:val="00F0138E"/>
    <w:rsid w:val="00F01405"/>
    <w:rsid w:val="00F01932"/>
    <w:rsid w:val="00F01E91"/>
    <w:rsid w:val="00F01ED4"/>
    <w:rsid w:val="00F021E2"/>
    <w:rsid w:val="00F0221F"/>
    <w:rsid w:val="00F02541"/>
    <w:rsid w:val="00F02DB0"/>
    <w:rsid w:val="00F02EEC"/>
    <w:rsid w:val="00F03139"/>
    <w:rsid w:val="00F0395A"/>
    <w:rsid w:val="00F039D9"/>
    <w:rsid w:val="00F03C47"/>
    <w:rsid w:val="00F03F21"/>
    <w:rsid w:val="00F050D1"/>
    <w:rsid w:val="00F0544B"/>
    <w:rsid w:val="00F057B2"/>
    <w:rsid w:val="00F05A33"/>
    <w:rsid w:val="00F05E41"/>
    <w:rsid w:val="00F060B3"/>
    <w:rsid w:val="00F0628A"/>
    <w:rsid w:val="00F0637D"/>
    <w:rsid w:val="00F07200"/>
    <w:rsid w:val="00F0743F"/>
    <w:rsid w:val="00F07AE5"/>
    <w:rsid w:val="00F07B2F"/>
    <w:rsid w:val="00F10071"/>
    <w:rsid w:val="00F10726"/>
    <w:rsid w:val="00F11088"/>
    <w:rsid w:val="00F114FF"/>
    <w:rsid w:val="00F11589"/>
    <w:rsid w:val="00F117CA"/>
    <w:rsid w:val="00F11A04"/>
    <w:rsid w:val="00F11A25"/>
    <w:rsid w:val="00F11BA5"/>
    <w:rsid w:val="00F12458"/>
    <w:rsid w:val="00F126E3"/>
    <w:rsid w:val="00F13241"/>
    <w:rsid w:val="00F132B0"/>
    <w:rsid w:val="00F134A5"/>
    <w:rsid w:val="00F13680"/>
    <w:rsid w:val="00F13780"/>
    <w:rsid w:val="00F13CB4"/>
    <w:rsid w:val="00F13EA7"/>
    <w:rsid w:val="00F13FD3"/>
    <w:rsid w:val="00F141D5"/>
    <w:rsid w:val="00F146DC"/>
    <w:rsid w:val="00F14BAB"/>
    <w:rsid w:val="00F151CF"/>
    <w:rsid w:val="00F15782"/>
    <w:rsid w:val="00F15C61"/>
    <w:rsid w:val="00F15D12"/>
    <w:rsid w:val="00F16A10"/>
    <w:rsid w:val="00F16D75"/>
    <w:rsid w:val="00F16E2F"/>
    <w:rsid w:val="00F16F44"/>
    <w:rsid w:val="00F17445"/>
    <w:rsid w:val="00F17722"/>
    <w:rsid w:val="00F179AA"/>
    <w:rsid w:val="00F20057"/>
    <w:rsid w:val="00F20191"/>
    <w:rsid w:val="00F206AF"/>
    <w:rsid w:val="00F21484"/>
    <w:rsid w:val="00F21877"/>
    <w:rsid w:val="00F21C33"/>
    <w:rsid w:val="00F21C54"/>
    <w:rsid w:val="00F22289"/>
    <w:rsid w:val="00F223CB"/>
    <w:rsid w:val="00F225E2"/>
    <w:rsid w:val="00F2297B"/>
    <w:rsid w:val="00F22AA4"/>
    <w:rsid w:val="00F22B70"/>
    <w:rsid w:val="00F22BF3"/>
    <w:rsid w:val="00F23341"/>
    <w:rsid w:val="00F23AE4"/>
    <w:rsid w:val="00F243AC"/>
    <w:rsid w:val="00F243BB"/>
    <w:rsid w:val="00F24767"/>
    <w:rsid w:val="00F24DDD"/>
    <w:rsid w:val="00F250AE"/>
    <w:rsid w:val="00F25214"/>
    <w:rsid w:val="00F253DC"/>
    <w:rsid w:val="00F257CA"/>
    <w:rsid w:val="00F261C4"/>
    <w:rsid w:val="00F264EA"/>
    <w:rsid w:val="00F26846"/>
    <w:rsid w:val="00F275C1"/>
    <w:rsid w:val="00F27A18"/>
    <w:rsid w:val="00F27B27"/>
    <w:rsid w:val="00F27B6B"/>
    <w:rsid w:val="00F27BA4"/>
    <w:rsid w:val="00F27BB2"/>
    <w:rsid w:val="00F27CF2"/>
    <w:rsid w:val="00F30030"/>
    <w:rsid w:val="00F3017F"/>
    <w:rsid w:val="00F3125F"/>
    <w:rsid w:val="00F32458"/>
    <w:rsid w:val="00F32743"/>
    <w:rsid w:val="00F33021"/>
    <w:rsid w:val="00F334C2"/>
    <w:rsid w:val="00F336A0"/>
    <w:rsid w:val="00F336D2"/>
    <w:rsid w:val="00F33DE2"/>
    <w:rsid w:val="00F3447F"/>
    <w:rsid w:val="00F347F9"/>
    <w:rsid w:val="00F34ECD"/>
    <w:rsid w:val="00F354F5"/>
    <w:rsid w:val="00F355B6"/>
    <w:rsid w:val="00F3565B"/>
    <w:rsid w:val="00F35977"/>
    <w:rsid w:val="00F36446"/>
    <w:rsid w:val="00F3656F"/>
    <w:rsid w:val="00F365C2"/>
    <w:rsid w:val="00F365E1"/>
    <w:rsid w:val="00F365F9"/>
    <w:rsid w:val="00F36AB1"/>
    <w:rsid w:val="00F36AFD"/>
    <w:rsid w:val="00F37073"/>
    <w:rsid w:val="00F37241"/>
    <w:rsid w:val="00F37329"/>
    <w:rsid w:val="00F37A1A"/>
    <w:rsid w:val="00F40597"/>
    <w:rsid w:val="00F40898"/>
    <w:rsid w:val="00F40930"/>
    <w:rsid w:val="00F40F92"/>
    <w:rsid w:val="00F41175"/>
    <w:rsid w:val="00F414C3"/>
    <w:rsid w:val="00F4192A"/>
    <w:rsid w:val="00F41A5B"/>
    <w:rsid w:val="00F41CCC"/>
    <w:rsid w:val="00F41F4A"/>
    <w:rsid w:val="00F42265"/>
    <w:rsid w:val="00F427EB"/>
    <w:rsid w:val="00F431AD"/>
    <w:rsid w:val="00F43412"/>
    <w:rsid w:val="00F43502"/>
    <w:rsid w:val="00F4360E"/>
    <w:rsid w:val="00F4387A"/>
    <w:rsid w:val="00F43C6F"/>
    <w:rsid w:val="00F43EAC"/>
    <w:rsid w:val="00F4480C"/>
    <w:rsid w:val="00F4492E"/>
    <w:rsid w:val="00F44E27"/>
    <w:rsid w:val="00F450FA"/>
    <w:rsid w:val="00F452CB"/>
    <w:rsid w:val="00F45541"/>
    <w:rsid w:val="00F4560B"/>
    <w:rsid w:val="00F456EE"/>
    <w:rsid w:val="00F45910"/>
    <w:rsid w:val="00F45C78"/>
    <w:rsid w:val="00F45D26"/>
    <w:rsid w:val="00F464F8"/>
    <w:rsid w:val="00F46511"/>
    <w:rsid w:val="00F46997"/>
    <w:rsid w:val="00F47142"/>
    <w:rsid w:val="00F47399"/>
    <w:rsid w:val="00F47781"/>
    <w:rsid w:val="00F500D6"/>
    <w:rsid w:val="00F5013A"/>
    <w:rsid w:val="00F509FB"/>
    <w:rsid w:val="00F50C7C"/>
    <w:rsid w:val="00F51134"/>
    <w:rsid w:val="00F5117B"/>
    <w:rsid w:val="00F51287"/>
    <w:rsid w:val="00F5167A"/>
    <w:rsid w:val="00F516D3"/>
    <w:rsid w:val="00F51904"/>
    <w:rsid w:val="00F51995"/>
    <w:rsid w:val="00F51C62"/>
    <w:rsid w:val="00F51E59"/>
    <w:rsid w:val="00F52050"/>
    <w:rsid w:val="00F52167"/>
    <w:rsid w:val="00F522C4"/>
    <w:rsid w:val="00F526B5"/>
    <w:rsid w:val="00F52882"/>
    <w:rsid w:val="00F52C69"/>
    <w:rsid w:val="00F52DF8"/>
    <w:rsid w:val="00F53221"/>
    <w:rsid w:val="00F53329"/>
    <w:rsid w:val="00F533BD"/>
    <w:rsid w:val="00F53A03"/>
    <w:rsid w:val="00F542BD"/>
    <w:rsid w:val="00F54F61"/>
    <w:rsid w:val="00F551DE"/>
    <w:rsid w:val="00F553C9"/>
    <w:rsid w:val="00F55DFA"/>
    <w:rsid w:val="00F5648F"/>
    <w:rsid w:val="00F564CE"/>
    <w:rsid w:val="00F56572"/>
    <w:rsid w:val="00F57022"/>
    <w:rsid w:val="00F570B2"/>
    <w:rsid w:val="00F5734A"/>
    <w:rsid w:val="00F573CC"/>
    <w:rsid w:val="00F57BE8"/>
    <w:rsid w:val="00F57CAC"/>
    <w:rsid w:val="00F602F4"/>
    <w:rsid w:val="00F60A35"/>
    <w:rsid w:val="00F60A8F"/>
    <w:rsid w:val="00F60C73"/>
    <w:rsid w:val="00F60DE4"/>
    <w:rsid w:val="00F60F3A"/>
    <w:rsid w:val="00F61066"/>
    <w:rsid w:val="00F6109A"/>
    <w:rsid w:val="00F614A7"/>
    <w:rsid w:val="00F615DA"/>
    <w:rsid w:val="00F6173D"/>
    <w:rsid w:val="00F61943"/>
    <w:rsid w:val="00F61B88"/>
    <w:rsid w:val="00F62E6D"/>
    <w:rsid w:val="00F62F9F"/>
    <w:rsid w:val="00F63CB9"/>
    <w:rsid w:val="00F64007"/>
    <w:rsid w:val="00F64050"/>
    <w:rsid w:val="00F64288"/>
    <w:rsid w:val="00F64CBF"/>
    <w:rsid w:val="00F64F89"/>
    <w:rsid w:val="00F657BF"/>
    <w:rsid w:val="00F6584F"/>
    <w:rsid w:val="00F66B03"/>
    <w:rsid w:val="00F66BC9"/>
    <w:rsid w:val="00F67639"/>
    <w:rsid w:val="00F67F20"/>
    <w:rsid w:val="00F704A5"/>
    <w:rsid w:val="00F716B5"/>
    <w:rsid w:val="00F71FDD"/>
    <w:rsid w:val="00F72068"/>
    <w:rsid w:val="00F7261C"/>
    <w:rsid w:val="00F7265E"/>
    <w:rsid w:val="00F728DD"/>
    <w:rsid w:val="00F72B1F"/>
    <w:rsid w:val="00F72BA6"/>
    <w:rsid w:val="00F72C9F"/>
    <w:rsid w:val="00F733EF"/>
    <w:rsid w:val="00F7346F"/>
    <w:rsid w:val="00F73514"/>
    <w:rsid w:val="00F735B1"/>
    <w:rsid w:val="00F73611"/>
    <w:rsid w:val="00F73C6C"/>
    <w:rsid w:val="00F74218"/>
    <w:rsid w:val="00F74567"/>
    <w:rsid w:val="00F746E5"/>
    <w:rsid w:val="00F74935"/>
    <w:rsid w:val="00F7520D"/>
    <w:rsid w:val="00F754AA"/>
    <w:rsid w:val="00F7587C"/>
    <w:rsid w:val="00F75C4B"/>
    <w:rsid w:val="00F75DEF"/>
    <w:rsid w:val="00F760B6"/>
    <w:rsid w:val="00F768E2"/>
    <w:rsid w:val="00F76C57"/>
    <w:rsid w:val="00F76DAB"/>
    <w:rsid w:val="00F7758F"/>
    <w:rsid w:val="00F778E0"/>
    <w:rsid w:val="00F77920"/>
    <w:rsid w:val="00F77A81"/>
    <w:rsid w:val="00F77CC1"/>
    <w:rsid w:val="00F77D52"/>
    <w:rsid w:val="00F80810"/>
    <w:rsid w:val="00F80B94"/>
    <w:rsid w:val="00F81361"/>
    <w:rsid w:val="00F814AC"/>
    <w:rsid w:val="00F816E3"/>
    <w:rsid w:val="00F816E6"/>
    <w:rsid w:val="00F817FB"/>
    <w:rsid w:val="00F81F13"/>
    <w:rsid w:val="00F827FF"/>
    <w:rsid w:val="00F82EA7"/>
    <w:rsid w:val="00F835EA"/>
    <w:rsid w:val="00F83D39"/>
    <w:rsid w:val="00F846BE"/>
    <w:rsid w:val="00F84DED"/>
    <w:rsid w:val="00F84E56"/>
    <w:rsid w:val="00F84F56"/>
    <w:rsid w:val="00F84FBA"/>
    <w:rsid w:val="00F859E8"/>
    <w:rsid w:val="00F85B25"/>
    <w:rsid w:val="00F85DBF"/>
    <w:rsid w:val="00F8618A"/>
    <w:rsid w:val="00F861AC"/>
    <w:rsid w:val="00F868B5"/>
    <w:rsid w:val="00F873D1"/>
    <w:rsid w:val="00F87627"/>
    <w:rsid w:val="00F87CA4"/>
    <w:rsid w:val="00F87D4A"/>
    <w:rsid w:val="00F87E11"/>
    <w:rsid w:val="00F87FC1"/>
    <w:rsid w:val="00F90270"/>
    <w:rsid w:val="00F90463"/>
    <w:rsid w:val="00F9093F"/>
    <w:rsid w:val="00F909B8"/>
    <w:rsid w:val="00F90C99"/>
    <w:rsid w:val="00F90F9D"/>
    <w:rsid w:val="00F917D4"/>
    <w:rsid w:val="00F92665"/>
    <w:rsid w:val="00F927C7"/>
    <w:rsid w:val="00F92B9F"/>
    <w:rsid w:val="00F9326B"/>
    <w:rsid w:val="00F93310"/>
    <w:rsid w:val="00F935BC"/>
    <w:rsid w:val="00F9432B"/>
    <w:rsid w:val="00F944A5"/>
    <w:rsid w:val="00F94574"/>
    <w:rsid w:val="00F949D1"/>
    <w:rsid w:val="00F94AAE"/>
    <w:rsid w:val="00F94F99"/>
    <w:rsid w:val="00F95288"/>
    <w:rsid w:val="00F95554"/>
    <w:rsid w:val="00F9617A"/>
    <w:rsid w:val="00F9648B"/>
    <w:rsid w:val="00F968C3"/>
    <w:rsid w:val="00F96FC5"/>
    <w:rsid w:val="00F976FB"/>
    <w:rsid w:val="00F97852"/>
    <w:rsid w:val="00FA00EC"/>
    <w:rsid w:val="00FA0E00"/>
    <w:rsid w:val="00FA1BF8"/>
    <w:rsid w:val="00FA1EE8"/>
    <w:rsid w:val="00FA2356"/>
    <w:rsid w:val="00FA2D75"/>
    <w:rsid w:val="00FA2F9B"/>
    <w:rsid w:val="00FA311A"/>
    <w:rsid w:val="00FA39AC"/>
    <w:rsid w:val="00FA3DCB"/>
    <w:rsid w:val="00FA4A3C"/>
    <w:rsid w:val="00FA4AB2"/>
    <w:rsid w:val="00FA4C6E"/>
    <w:rsid w:val="00FA52E7"/>
    <w:rsid w:val="00FA55F4"/>
    <w:rsid w:val="00FA5B9D"/>
    <w:rsid w:val="00FA6392"/>
    <w:rsid w:val="00FA658A"/>
    <w:rsid w:val="00FA67FD"/>
    <w:rsid w:val="00FA6835"/>
    <w:rsid w:val="00FA7A19"/>
    <w:rsid w:val="00FB0C17"/>
    <w:rsid w:val="00FB15F9"/>
    <w:rsid w:val="00FB16D4"/>
    <w:rsid w:val="00FB1858"/>
    <w:rsid w:val="00FB1BA7"/>
    <w:rsid w:val="00FB1F8A"/>
    <w:rsid w:val="00FB1FA8"/>
    <w:rsid w:val="00FB2529"/>
    <w:rsid w:val="00FB2BC5"/>
    <w:rsid w:val="00FB30EE"/>
    <w:rsid w:val="00FB3105"/>
    <w:rsid w:val="00FB3D23"/>
    <w:rsid w:val="00FB3D76"/>
    <w:rsid w:val="00FB424E"/>
    <w:rsid w:val="00FB4783"/>
    <w:rsid w:val="00FB47C2"/>
    <w:rsid w:val="00FB4A10"/>
    <w:rsid w:val="00FB4B12"/>
    <w:rsid w:val="00FB4DFB"/>
    <w:rsid w:val="00FB500C"/>
    <w:rsid w:val="00FB59D2"/>
    <w:rsid w:val="00FB604D"/>
    <w:rsid w:val="00FB696C"/>
    <w:rsid w:val="00FB7077"/>
    <w:rsid w:val="00FB7E19"/>
    <w:rsid w:val="00FC00A4"/>
    <w:rsid w:val="00FC0D77"/>
    <w:rsid w:val="00FC174A"/>
    <w:rsid w:val="00FC20DB"/>
    <w:rsid w:val="00FC2515"/>
    <w:rsid w:val="00FC274E"/>
    <w:rsid w:val="00FC2AFB"/>
    <w:rsid w:val="00FC2C96"/>
    <w:rsid w:val="00FC2D94"/>
    <w:rsid w:val="00FC31AA"/>
    <w:rsid w:val="00FC35ED"/>
    <w:rsid w:val="00FC397A"/>
    <w:rsid w:val="00FC3D2D"/>
    <w:rsid w:val="00FC3E3A"/>
    <w:rsid w:val="00FC3FE4"/>
    <w:rsid w:val="00FC4778"/>
    <w:rsid w:val="00FC4C90"/>
    <w:rsid w:val="00FC5504"/>
    <w:rsid w:val="00FC561C"/>
    <w:rsid w:val="00FC59BD"/>
    <w:rsid w:val="00FC6B65"/>
    <w:rsid w:val="00FC6F09"/>
    <w:rsid w:val="00FC7474"/>
    <w:rsid w:val="00FC751B"/>
    <w:rsid w:val="00FC78AE"/>
    <w:rsid w:val="00FC7925"/>
    <w:rsid w:val="00FC7FB2"/>
    <w:rsid w:val="00FD040E"/>
    <w:rsid w:val="00FD0548"/>
    <w:rsid w:val="00FD0549"/>
    <w:rsid w:val="00FD055E"/>
    <w:rsid w:val="00FD0859"/>
    <w:rsid w:val="00FD0C57"/>
    <w:rsid w:val="00FD0E35"/>
    <w:rsid w:val="00FD0EF1"/>
    <w:rsid w:val="00FD0FFC"/>
    <w:rsid w:val="00FD107E"/>
    <w:rsid w:val="00FD1238"/>
    <w:rsid w:val="00FD171B"/>
    <w:rsid w:val="00FD20D1"/>
    <w:rsid w:val="00FD32D4"/>
    <w:rsid w:val="00FD3355"/>
    <w:rsid w:val="00FD4DB9"/>
    <w:rsid w:val="00FD569B"/>
    <w:rsid w:val="00FD581F"/>
    <w:rsid w:val="00FD5A45"/>
    <w:rsid w:val="00FD5C79"/>
    <w:rsid w:val="00FD6016"/>
    <w:rsid w:val="00FD61F0"/>
    <w:rsid w:val="00FD6202"/>
    <w:rsid w:val="00FD65D2"/>
    <w:rsid w:val="00FD6E43"/>
    <w:rsid w:val="00FD70B6"/>
    <w:rsid w:val="00FD77DC"/>
    <w:rsid w:val="00FD7B32"/>
    <w:rsid w:val="00FE0179"/>
    <w:rsid w:val="00FE1522"/>
    <w:rsid w:val="00FE3250"/>
    <w:rsid w:val="00FE3CCE"/>
    <w:rsid w:val="00FE3CF7"/>
    <w:rsid w:val="00FE3F92"/>
    <w:rsid w:val="00FE4189"/>
    <w:rsid w:val="00FE459D"/>
    <w:rsid w:val="00FE517F"/>
    <w:rsid w:val="00FE558B"/>
    <w:rsid w:val="00FE5F2D"/>
    <w:rsid w:val="00FE6EB0"/>
    <w:rsid w:val="00FE6EF7"/>
    <w:rsid w:val="00FE734A"/>
    <w:rsid w:val="00FE7901"/>
    <w:rsid w:val="00FE7DE5"/>
    <w:rsid w:val="00FE7EF8"/>
    <w:rsid w:val="00FF0D30"/>
    <w:rsid w:val="00FF137C"/>
    <w:rsid w:val="00FF18B9"/>
    <w:rsid w:val="00FF1C77"/>
    <w:rsid w:val="00FF1D07"/>
    <w:rsid w:val="00FF2021"/>
    <w:rsid w:val="00FF20CB"/>
    <w:rsid w:val="00FF2507"/>
    <w:rsid w:val="00FF2BEB"/>
    <w:rsid w:val="00FF3191"/>
    <w:rsid w:val="00FF33BE"/>
    <w:rsid w:val="00FF36B5"/>
    <w:rsid w:val="00FF409A"/>
    <w:rsid w:val="00FF40D9"/>
    <w:rsid w:val="00FF454D"/>
    <w:rsid w:val="00FF5063"/>
    <w:rsid w:val="00FF55D9"/>
    <w:rsid w:val="00FF5A1C"/>
    <w:rsid w:val="00FF60F0"/>
    <w:rsid w:val="00FF6262"/>
    <w:rsid w:val="00FF6544"/>
    <w:rsid w:val="00FF66CE"/>
    <w:rsid w:val="00FF6CD2"/>
    <w:rsid w:val="00FF6FE8"/>
    <w:rsid w:val="00FF72F9"/>
    <w:rsid w:val="00FF7A05"/>
    <w:rsid w:val="00FF7BD9"/>
    <w:rsid w:val="00FF7CE4"/>
    <w:rsid w:val="0100390C"/>
    <w:rsid w:val="01066A48"/>
    <w:rsid w:val="010A29DC"/>
    <w:rsid w:val="011A24F4"/>
    <w:rsid w:val="01200D28"/>
    <w:rsid w:val="01234069"/>
    <w:rsid w:val="0123584C"/>
    <w:rsid w:val="012370DF"/>
    <w:rsid w:val="012872C5"/>
    <w:rsid w:val="012B7E3E"/>
    <w:rsid w:val="01322ED7"/>
    <w:rsid w:val="01366DA8"/>
    <w:rsid w:val="013C690E"/>
    <w:rsid w:val="014416F0"/>
    <w:rsid w:val="014852B3"/>
    <w:rsid w:val="01487061"/>
    <w:rsid w:val="014B08FF"/>
    <w:rsid w:val="014D0B1B"/>
    <w:rsid w:val="01521C8D"/>
    <w:rsid w:val="01527FF8"/>
    <w:rsid w:val="015679D0"/>
    <w:rsid w:val="01605B10"/>
    <w:rsid w:val="01635C49"/>
    <w:rsid w:val="01655729"/>
    <w:rsid w:val="017165B7"/>
    <w:rsid w:val="01722330"/>
    <w:rsid w:val="01761E20"/>
    <w:rsid w:val="0176597C"/>
    <w:rsid w:val="017677DE"/>
    <w:rsid w:val="017B7E50"/>
    <w:rsid w:val="017E63B3"/>
    <w:rsid w:val="017E6F26"/>
    <w:rsid w:val="01822573"/>
    <w:rsid w:val="018E48F5"/>
    <w:rsid w:val="01924994"/>
    <w:rsid w:val="01967485"/>
    <w:rsid w:val="019A3062"/>
    <w:rsid w:val="019B1886"/>
    <w:rsid w:val="01A00C4B"/>
    <w:rsid w:val="01AA1AC9"/>
    <w:rsid w:val="01AB0271"/>
    <w:rsid w:val="01AF2D5E"/>
    <w:rsid w:val="01AF70E0"/>
    <w:rsid w:val="01B12E58"/>
    <w:rsid w:val="01B446F6"/>
    <w:rsid w:val="01B6046E"/>
    <w:rsid w:val="01C0753F"/>
    <w:rsid w:val="01C13BB4"/>
    <w:rsid w:val="01C44D46"/>
    <w:rsid w:val="01CA3F1A"/>
    <w:rsid w:val="01CE3A0A"/>
    <w:rsid w:val="01D35577"/>
    <w:rsid w:val="01D56040"/>
    <w:rsid w:val="01D813B7"/>
    <w:rsid w:val="01D860B6"/>
    <w:rsid w:val="01DE1C5C"/>
    <w:rsid w:val="01E0373D"/>
    <w:rsid w:val="01E05934"/>
    <w:rsid w:val="01E46E86"/>
    <w:rsid w:val="01E7687A"/>
    <w:rsid w:val="01E925F2"/>
    <w:rsid w:val="01EC0334"/>
    <w:rsid w:val="01EE2958"/>
    <w:rsid w:val="01EF3980"/>
    <w:rsid w:val="01EF572E"/>
    <w:rsid w:val="01F01BD2"/>
    <w:rsid w:val="01F200F8"/>
    <w:rsid w:val="01F471FD"/>
    <w:rsid w:val="020411DA"/>
    <w:rsid w:val="02070CCA"/>
    <w:rsid w:val="020901DE"/>
    <w:rsid w:val="02092C94"/>
    <w:rsid w:val="020C4532"/>
    <w:rsid w:val="020E3E06"/>
    <w:rsid w:val="02186A33"/>
    <w:rsid w:val="021F2703"/>
    <w:rsid w:val="021F4265"/>
    <w:rsid w:val="022655F4"/>
    <w:rsid w:val="02274EC8"/>
    <w:rsid w:val="023969E4"/>
    <w:rsid w:val="023F66B6"/>
    <w:rsid w:val="02447828"/>
    <w:rsid w:val="02467A44"/>
    <w:rsid w:val="024C2B81"/>
    <w:rsid w:val="025008C3"/>
    <w:rsid w:val="02510197"/>
    <w:rsid w:val="02532161"/>
    <w:rsid w:val="025832D3"/>
    <w:rsid w:val="025E31BF"/>
    <w:rsid w:val="025E6FD5"/>
    <w:rsid w:val="026229BE"/>
    <w:rsid w:val="02672F4B"/>
    <w:rsid w:val="026954E1"/>
    <w:rsid w:val="026E0D49"/>
    <w:rsid w:val="026F6060"/>
    <w:rsid w:val="02746D61"/>
    <w:rsid w:val="02775E4F"/>
    <w:rsid w:val="027E647B"/>
    <w:rsid w:val="02847096"/>
    <w:rsid w:val="02866EA3"/>
    <w:rsid w:val="02892562"/>
    <w:rsid w:val="028D5673"/>
    <w:rsid w:val="02954528"/>
    <w:rsid w:val="02963DFC"/>
    <w:rsid w:val="02976001"/>
    <w:rsid w:val="02987720"/>
    <w:rsid w:val="029A38EC"/>
    <w:rsid w:val="029C4276"/>
    <w:rsid w:val="029E2E64"/>
    <w:rsid w:val="02A14C7A"/>
    <w:rsid w:val="02A209F3"/>
    <w:rsid w:val="02A47927"/>
    <w:rsid w:val="02A5313A"/>
    <w:rsid w:val="02B5333C"/>
    <w:rsid w:val="02B53FB4"/>
    <w:rsid w:val="02B70580"/>
    <w:rsid w:val="02B77CBD"/>
    <w:rsid w:val="02BD75DA"/>
    <w:rsid w:val="02C1531D"/>
    <w:rsid w:val="02C866AB"/>
    <w:rsid w:val="02C941D1"/>
    <w:rsid w:val="02CB55B9"/>
    <w:rsid w:val="02D057CC"/>
    <w:rsid w:val="02DA018C"/>
    <w:rsid w:val="02E5725D"/>
    <w:rsid w:val="02F1679D"/>
    <w:rsid w:val="02F4124E"/>
    <w:rsid w:val="02F56D74"/>
    <w:rsid w:val="02FC0103"/>
    <w:rsid w:val="03087393"/>
    <w:rsid w:val="03101E00"/>
    <w:rsid w:val="031144BE"/>
    <w:rsid w:val="031418F0"/>
    <w:rsid w:val="03195159"/>
    <w:rsid w:val="031F2043"/>
    <w:rsid w:val="03232102"/>
    <w:rsid w:val="03237D85"/>
    <w:rsid w:val="0324119F"/>
    <w:rsid w:val="03252D50"/>
    <w:rsid w:val="032618C9"/>
    <w:rsid w:val="0328539C"/>
    <w:rsid w:val="032928CD"/>
    <w:rsid w:val="032B1215"/>
    <w:rsid w:val="034321D6"/>
    <w:rsid w:val="034F484F"/>
    <w:rsid w:val="03632FF4"/>
    <w:rsid w:val="036A1510"/>
    <w:rsid w:val="036D7252"/>
    <w:rsid w:val="037759DB"/>
    <w:rsid w:val="0378032E"/>
    <w:rsid w:val="037B196F"/>
    <w:rsid w:val="03800D34"/>
    <w:rsid w:val="038509C9"/>
    <w:rsid w:val="03863B8D"/>
    <w:rsid w:val="038712C9"/>
    <w:rsid w:val="03885E3A"/>
    <w:rsid w:val="038F7232"/>
    <w:rsid w:val="03942A31"/>
    <w:rsid w:val="03967D56"/>
    <w:rsid w:val="039D18E6"/>
    <w:rsid w:val="03A00C07"/>
    <w:rsid w:val="03A237AA"/>
    <w:rsid w:val="03AC38D7"/>
    <w:rsid w:val="03AE265E"/>
    <w:rsid w:val="03B03D9B"/>
    <w:rsid w:val="03B24C65"/>
    <w:rsid w:val="03B836D4"/>
    <w:rsid w:val="03B86720"/>
    <w:rsid w:val="03BD3D36"/>
    <w:rsid w:val="03BD699E"/>
    <w:rsid w:val="03C230FA"/>
    <w:rsid w:val="03D66BA6"/>
    <w:rsid w:val="03D825C1"/>
    <w:rsid w:val="03D90444"/>
    <w:rsid w:val="03D95D89"/>
    <w:rsid w:val="03E16A1D"/>
    <w:rsid w:val="03E35569"/>
    <w:rsid w:val="03E7251F"/>
    <w:rsid w:val="03EB55B8"/>
    <w:rsid w:val="03EC63C9"/>
    <w:rsid w:val="03F02791"/>
    <w:rsid w:val="03F24E78"/>
    <w:rsid w:val="03F359AA"/>
    <w:rsid w:val="03F6755F"/>
    <w:rsid w:val="03F725D0"/>
    <w:rsid w:val="03FD2CD7"/>
    <w:rsid w:val="03FD4132"/>
    <w:rsid w:val="03FE7EAB"/>
    <w:rsid w:val="03FF434E"/>
    <w:rsid w:val="04030D72"/>
    <w:rsid w:val="040354C1"/>
    <w:rsid w:val="0405508A"/>
    <w:rsid w:val="04073A28"/>
    <w:rsid w:val="040D00EE"/>
    <w:rsid w:val="040E6340"/>
    <w:rsid w:val="040F216A"/>
    <w:rsid w:val="04133216"/>
    <w:rsid w:val="041651F4"/>
    <w:rsid w:val="041A2F36"/>
    <w:rsid w:val="04216DD6"/>
    <w:rsid w:val="04236159"/>
    <w:rsid w:val="04293179"/>
    <w:rsid w:val="042D0E7E"/>
    <w:rsid w:val="042E0790"/>
    <w:rsid w:val="04320C9C"/>
    <w:rsid w:val="043C2C22"/>
    <w:rsid w:val="04402271"/>
    <w:rsid w:val="04457DEF"/>
    <w:rsid w:val="044611D6"/>
    <w:rsid w:val="04471852"/>
    <w:rsid w:val="0449282A"/>
    <w:rsid w:val="044C0C92"/>
    <w:rsid w:val="044C330C"/>
    <w:rsid w:val="04572CFF"/>
    <w:rsid w:val="04583A5F"/>
    <w:rsid w:val="045C354F"/>
    <w:rsid w:val="045D72C7"/>
    <w:rsid w:val="045F4802"/>
    <w:rsid w:val="046232FA"/>
    <w:rsid w:val="04642403"/>
    <w:rsid w:val="04702B56"/>
    <w:rsid w:val="04806B11"/>
    <w:rsid w:val="04842AA6"/>
    <w:rsid w:val="0485089C"/>
    <w:rsid w:val="04877EA0"/>
    <w:rsid w:val="04902B92"/>
    <w:rsid w:val="04977481"/>
    <w:rsid w:val="049D76C3"/>
    <w:rsid w:val="04A43147"/>
    <w:rsid w:val="04A515BA"/>
    <w:rsid w:val="04BC08B4"/>
    <w:rsid w:val="04BD1B14"/>
    <w:rsid w:val="04BF3ADE"/>
    <w:rsid w:val="04C630A7"/>
    <w:rsid w:val="04C77367"/>
    <w:rsid w:val="04CD56ED"/>
    <w:rsid w:val="04CE66EF"/>
    <w:rsid w:val="04D10807"/>
    <w:rsid w:val="04E13311"/>
    <w:rsid w:val="04E30BC8"/>
    <w:rsid w:val="04E608C6"/>
    <w:rsid w:val="04EB1A1A"/>
    <w:rsid w:val="04F31198"/>
    <w:rsid w:val="04FF3EDA"/>
    <w:rsid w:val="05056200"/>
    <w:rsid w:val="05056D9E"/>
    <w:rsid w:val="0506170D"/>
    <w:rsid w:val="050B0AD1"/>
    <w:rsid w:val="050D4849"/>
    <w:rsid w:val="050E411D"/>
    <w:rsid w:val="05107E95"/>
    <w:rsid w:val="05124F19"/>
    <w:rsid w:val="051C34DF"/>
    <w:rsid w:val="051E0804"/>
    <w:rsid w:val="05232EBD"/>
    <w:rsid w:val="05234E03"/>
    <w:rsid w:val="052F1FA8"/>
    <w:rsid w:val="0530292D"/>
    <w:rsid w:val="053067DA"/>
    <w:rsid w:val="05393890"/>
    <w:rsid w:val="053A13B6"/>
    <w:rsid w:val="053E0EA6"/>
    <w:rsid w:val="054162A1"/>
    <w:rsid w:val="05450A86"/>
    <w:rsid w:val="054C717A"/>
    <w:rsid w:val="054E09BE"/>
    <w:rsid w:val="05517DBF"/>
    <w:rsid w:val="055555E6"/>
    <w:rsid w:val="05595C82"/>
    <w:rsid w:val="055A36D1"/>
    <w:rsid w:val="055E32F7"/>
    <w:rsid w:val="055E50A5"/>
    <w:rsid w:val="0560706F"/>
    <w:rsid w:val="05685F23"/>
    <w:rsid w:val="05711B5E"/>
    <w:rsid w:val="057E74F5"/>
    <w:rsid w:val="05810D93"/>
    <w:rsid w:val="0582113E"/>
    <w:rsid w:val="0585028E"/>
    <w:rsid w:val="058A1323"/>
    <w:rsid w:val="058A5E9A"/>
    <w:rsid w:val="058B5995"/>
    <w:rsid w:val="058F1702"/>
    <w:rsid w:val="05965FE5"/>
    <w:rsid w:val="05972365"/>
    <w:rsid w:val="05976809"/>
    <w:rsid w:val="059960DD"/>
    <w:rsid w:val="05A2224D"/>
    <w:rsid w:val="05A32BC9"/>
    <w:rsid w:val="05A607FA"/>
    <w:rsid w:val="05AF3BC6"/>
    <w:rsid w:val="05B57D4E"/>
    <w:rsid w:val="05B64EE1"/>
    <w:rsid w:val="05B747B5"/>
    <w:rsid w:val="05B85D8D"/>
    <w:rsid w:val="05B93485"/>
    <w:rsid w:val="05C313AC"/>
    <w:rsid w:val="05C721BF"/>
    <w:rsid w:val="05C84C14"/>
    <w:rsid w:val="05CE1E79"/>
    <w:rsid w:val="05D8062A"/>
    <w:rsid w:val="05DD246D"/>
    <w:rsid w:val="05DF092A"/>
    <w:rsid w:val="05EA2DDC"/>
    <w:rsid w:val="05F31C91"/>
    <w:rsid w:val="05F36821"/>
    <w:rsid w:val="05FB2C7B"/>
    <w:rsid w:val="06021ED4"/>
    <w:rsid w:val="06043E9E"/>
    <w:rsid w:val="060929C5"/>
    <w:rsid w:val="060D2627"/>
    <w:rsid w:val="06110369"/>
    <w:rsid w:val="06150816"/>
    <w:rsid w:val="061B0948"/>
    <w:rsid w:val="061E5687"/>
    <w:rsid w:val="062475CD"/>
    <w:rsid w:val="062A31D9"/>
    <w:rsid w:val="062E5585"/>
    <w:rsid w:val="0636392C"/>
    <w:rsid w:val="06393339"/>
    <w:rsid w:val="063A78C0"/>
    <w:rsid w:val="063B3638"/>
    <w:rsid w:val="063B53E6"/>
    <w:rsid w:val="063D115E"/>
    <w:rsid w:val="06426774"/>
    <w:rsid w:val="06446A09"/>
    <w:rsid w:val="06451DC1"/>
    <w:rsid w:val="06473D8B"/>
    <w:rsid w:val="064C13A1"/>
    <w:rsid w:val="064D4061"/>
    <w:rsid w:val="06533545"/>
    <w:rsid w:val="06541517"/>
    <w:rsid w:val="06643B73"/>
    <w:rsid w:val="066D1AB1"/>
    <w:rsid w:val="066F6E3E"/>
    <w:rsid w:val="06710329"/>
    <w:rsid w:val="06710E08"/>
    <w:rsid w:val="067423C0"/>
    <w:rsid w:val="06782196"/>
    <w:rsid w:val="067D155B"/>
    <w:rsid w:val="067D6448"/>
    <w:rsid w:val="068671C0"/>
    <w:rsid w:val="0687687D"/>
    <w:rsid w:val="06982838"/>
    <w:rsid w:val="069A3EBB"/>
    <w:rsid w:val="069F4106"/>
    <w:rsid w:val="06A967F3"/>
    <w:rsid w:val="06AE1590"/>
    <w:rsid w:val="06AE6F3C"/>
    <w:rsid w:val="06B17456"/>
    <w:rsid w:val="06C57CBA"/>
    <w:rsid w:val="06CF7A92"/>
    <w:rsid w:val="06D12292"/>
    <w:rsid w:val="06D12DDA"/>
    <w:rsid w:val="06E23AB3"/>
    <w:rsid w:val="06E415DA"/>
    <w:rsid w:val="06E65352"/>
    <w:rsid w:val="06EA1FB5"/>
    <w:rsid w:val="06F33FA6"/>
    <w:rsid w:val="06F347DF"/>
    <w:rsid w:val="06F34EB6"/>
    <w:rsid w:val="06FC1C28"/>
    <w:rsid w:val="06FF4A78"/>
    <w:rsid w:val="070103DE"/>
    <w:rsid w:val="07047ECE"/>
    <w:rsid w:val="0708176C"/>
    <w:rsid w:val="07127F81"/>
    <w:rsid w:val="07131EBF"/>
    <w:rsid w:val="07133C6D"/>
    <w:rsid w:val="0713441B"/>
    <w:rsid w:val="07164A72"/>
    <w:rsid w:val="071E1F77"/>
    <w:rsid w:val="071E541D"/>
    <w:rsid w:val="071E6A38"/>
    <w:rsid w:val="072145DC"/>
    <w:rsid w:val="07256835"/>
    <w:rsid w:val="072916E2"/>
    <w:rsid w:val="072A2F74"/>
    <w:rsid w:val="073678AF"/>
    <w:rsid w:val="07373DFF"/>
    <w:rsid w:val="0737795B"/>
    <w:rsid w:val="073855E3"/>
    <w:rsid w:val="073A38EF"/>
    <w:rsid w:val="073C1416"/>
    <w:rsid w:val="07403FB1"/>
    <w:rsid w:val="0749768F"/>
    <w:rsid w:val="074B3407"/>
    <w:rsid w:val="074E2EF7"/>
    <w:rsid w:val="074F06E8"/>
    <w:rsid w:val="07537F7A"/>
    <w:rsid w:val="0757624F"/>
    <w:rsid w:val="07585B24"/>
    <w:rsid w:val="075E313A"/>
    <w:rsid w:val="076009AD"/>
    <w:rsid w:val="076769AD"/>
    <w:rsid w:val="07700FEE"/>
    <w:rsid w:val="07723089"/>
    <w:rsid w:val="07762B7A"/>
    <w:rsid w:val="078057A6"/>
    <w:rsid w:val="07832BA1"/>
    <w:rsid w:val="07840187"/>
    <w:rsid w:val="078B7CA7"/>
    <w:rsid w:val="07950B26"/>
    <w:rsid w:val="07990616"/>
    <w:rsid w:val="07A33243"/>
    <w:rsid w:val="07B33EB6"/>
    <w:rsid w:val="07B521D5"/>
    <w:rsid w:val="07B8224C"/>
    <w:rsid w:val="07BA553B"/>
    <w:rsid w:val="07BE58E7"/>
    <w:rsid w:val="07C36014"/>
    <w:rsid w:val="07CF228A"/>
    <w:rsid w:val="07D03DA8"/>
    <w:rsid w:val="07D21D7A"/>
    <w:rsid w:val="07D24A1A"/>
    <w:rsid w:val="07DA1693"/>
    <w:rsid w:val="07DE071F"/>
    <w:rsid w:val="07E04497"/>
    <w:rsid w:val="07E5385B"/>
    <w:rsid w:val="07E6459E"/>
    <w:rsid w:val="07EA3F67"/>
    <w:rsid w:val="07EC2E3C"/>
    <w:rsid w:val="08021565"/>
    <w:rsid w:val="08031F33"/>
    <w:rsid w:val="0806270F"/>
    <w:rsid w:val="08070F21"/>
    <w:rsid w:val="081242F4"/>
    <w:rsid w:val="08144141"/>
    <w:rsid w:val="08145EEF"/>
    <w:rsid w:val="08186641"/>
    <w:rsid w:val="08220261"/>
    <w:rsid w:val="0828199A"/>
    <w:rsid w:val="08283748"/>
    <w:rsid w:val="082A0B37"/>
    <w:rsid w:val="0830275A"/>
    <w:rsid w:val="083A4857"/>
    <w:rsid w:val="08403DF8"/>
    <w:rsid w:val="08406CE4"/>
    <w:rsid w:val="08465BC2"/>
    <w:rsid w:val="084F5179"/>
    <w:rsid w:val="085567CB"/>
    <w:rsid w:val="085C4357"/>
    <w:rsid w:val="085F5CC0"/>
    <w:rsid w:val="086230FE"/>
    <w:rsid w:val="086C1887"/>
    <w:rsid w:val="086C7AD9"/>
    <w:rsid w:val="08712E62"/>
    <w:rsid w:val="08743B4B"/>
    <w:rsid w:val="0874513E"/>
    <w:rsid w:val="087B41C0"/>
    <w:rsid w:val="087D3A94"/>
    <w:rsid w:val="0882445B"/>
    <w:rsid w:val="08843074"/>
    <w:rsid w:val="08851B67"/>
    <w:rsid w:val="08874912"/>
    <w:rsid w:val="0889068B"/>
    <w:rsid w:val="088A6164"/>
    <w:rsid w:val="088E0328"/>
    <w:rsid w:val="08940DDD"/>
    <w:rsid w:val="0894557D"/>
    <w:rsid w:val="08962BB4"/>
    <w:rsid w:val="08964B56"/>
    <w:rsid w:val="089A4646"/>
    <w:rsid w:val="089B6610"/>
    <w:rsid w:val="08A066DC"/>
    <w:rsid w:val="08A74FB5"/>
    <w:rsid w:val="08A85716"/>
    <w:rsid w:val="08B5322E"/>
    <w:rsid w:val="08BB45BC"/>
    <w:rsid w:val="08BD0334"/>
    <w:rsid w:val="08C24FD6"/>
    <w:rsid w:val="08C47915"/>
    <w:rsid w:val="08C57ED3"/>
    <w:rsid w:val="08C90A87"/>
    <w:rsid w:val="08CA47FF"/>
    <w:rsid w:val="08CF1E16"/>
    <w:rsid w:val="08D53E45"/>
    <w:rsid w:val="08D65C03"/>
    <w:rsid w:val="08E14650"/>
    <w:rsid w:val="08E27D9B"/>
    <w:rsid w:val="08E73603"/>
    <w:rsid w:val="08EA746D"/>
    <w:rsid w:val="08EB30F3"/>
    <w:rsid w:val="08F01EFE"/>
    <w:rsid w:val="08F35843"/>
    <w:rsid w:val="08F8264A"/>
    <w:rsid w:val="08FA1588"/>
    <w:rsid w:val="09023F99"/>
    <w:rsid w:val="090C4E18"/>
    <w:rsid w:val="090D2269"/>
    <w:rsid w:val="090F5510"/>
    <w:rsid w:val="090F66F1"/>
    <w:rsid w:val="091066B6"/>
    <w:rsid w:val="0912089F"/>
    <w:rsid w:val="09151F1E"/>
    <w:rsid w:val="09175198"/>
    <w:rsid w:val="091A4149"/>
    <w:rsid w:val="091A7535"/>
    <w:rsid w:val="091D7025"/>
    <w:rsid w:val="091F2D9D"/>
    <w:rsid w:val="0921760B"/>
    <w:rsid w:val="092959CA"/>
    <w:rsid w:val="092E2FE0"/>
    <w:rsid w:val="0932487E"/>
    <w:rsid w:val="0935611C"/>
    <w:rsid w:val="09371E95"/>
    <w:rsid w:val="093822B1"/>
    <w:rsid w:val="09384959"/>
    <w:rsid w:val="093E76C7"/>
    <w:rsid w:val="094139FD"/>
    <w:rsid w:val="094840A2"/>
    <w:rsid w:val="094C0719"/>
    <w:rsid w:val="094D790A"/>
    <w:rsid w:val="094E7E56"/>
    <w:rsid w:val="09502F56"/>
    <w:rsid w:val="09510A7C"/>
    <w:rsid w:val="09521F84"/>
    <w:rsid w:val="095943AE"/>
    <w:rsid w:val="095C7FAA"/>
    <w:rsid w:val="095E0711"/>
    <w:rsid w:val="0966277A"/>
    <w:rsid w:val="09665B06"/>
    <w:rsid w:val="096C33A1"/>
    <w:rsid w:val="096F5AD2"/>
    <w:rsid w:val="09776735"/>
    <w:rsid w:val="097A6225"/>
    <w:rsid w:val="09815214"/>
    <w:rsid w:val="098A5141"/>
    <w:rsid w:val="098A5267"/>
    <w:rsid w:val="098E3A7F"/>
    <w:rsid w:val="098F1CD1"/>
    <w:rsid w:val="0990423B"/>
    <w:rsid w:val="0990783C"/>
    <w:rsid w:val="09912E13"/>
    <w:rsid w:val="099E0166"/>
    <w:rsid w:val="099F02F6"/>
    <w:rsid w:val="09A41669"/>
    <w:rsid w:val="09A70CF2"/>
    <w:rsid w:val="09AA5DA4"/>
    <w:rsid w:val="09AB20DD"/>
    <w:rsid w:val="09B554AF"/>
    <w:rsid w:val="09B641A8"/>
    <w:rsid w:val="09BB40DD"/>
    <w:rsid w:val="09C5548B"/>
    <w:rsid w:val="09D745BA"/>
    <w:rsid w:val="09D9302B"/>
    <w:rsid w:val="09DE0562"/>
    <w:rsid w:val="09E77C46"/>
    <w:rsid w:val="09EC7123"/>
    <w:rsid w:val="09F14739"/>
    <w:rsid w:val="09F204B1"/>
    <w:rsid w:val="09F4422A"/>
    <w:rsid w:val="09F91840"/>
    <w:rsid w:val="09FB7366"/>
    <w:rsid w:val="0A053D41"/>
    <w:rsid w:val="0A174B0F"/>
    <w:rsid w:val="0A1D31AD"/>
    <w:rsid w:val="0A20501F"/>
    <w:rsid w:val="0A2175C7"/>
    <w:rsid w:val="0A2368BD"/>
    <w:rsid w:val="0A2A7A1A"/>
    <w:rsid w:val="0A2E27E5"/>
    <w:rsid w:val="0A2E773B"/>
    <w:rsid w:val="0A312D88"/>
    <w:rsid w:val="0A314B36"/>
    <w:rsid w:val="0A335408"/>
    <w:rsid w:val="0A375EC4"/>
    <w:rsid w:val="0A3A317C"/>
    <w:rsid w:val="0A405ADE"/>
    <w:rsid w:val="0A41577B"/>
    <w:rsid w:val="0A4212FE"/>
    <w:rsid w:val="0A4505E1"/>
    <w:rsid w:val="0A4A239B"/>
    <w:rsid w:val="0A4B01E4"/>
    <w:rsid w:val="0A4D5DFC"/>
    <w:rsid w:val="0A4F2E9A"/>
    <w:rsid w:val="0A590531"/>
    <w:rsid w:val="0A5D2A12"/>
    <w:rsid w:val="0A666C97"/>
    <w:rsid w:val="0A6B77C1"/>
    <w:rsid w:val="0A6F1491"/>
    <w:rsid w:val="0A8455AD"/>
    <w:rsid w:val="0A892D67"/>
    <w:rsid w:val="0A8C628A"/>
    <w:rsid w:val="0A92134D"/>
    <w:rsid w:val="0A954542"/>
    <w:rsid w:val="0A982E07"/>
    <w:rsid w:val="0A9D041D"/>
    <w:rsid w:val="0A9F5D59"/>
    <w:rsid w:val="0AA01CBB"/>
    <w:rsid w:val="0AAA2B3A"/>
    <w:rsid w:val="0AB1211B"/>
    <w:rsid w:val="0AB344FD"/>
    <w:rsid w:val="0AB67731"/>
    <w:rsid w:val="0ABF0394"/>
    <w:rsid w:val="0AC21C32"/>
    <w:rsid w:val="0AD007F3"/>
    <w:rsid w:val="0AD33E3F"/>
    <w:rsid w:val="0ADA341F"/>
    <w:rsid w:val="0ADB0F46"/>
    <w:rsid w:val="0ADC6E54"/>
    <w:rsid w:val="0AE147AE"/>
    <w:rsid w:val="0AE55920"/>
    <w:rsid w:val="0AE70B80"/>
    <w:rsid w:val="0AED7863"/>
    <w:rsid w:val="0AF4148C"/>
    <w:rsid w:val="0AF52007"/>
    <w:rsid w:val="0AF61E5A"/>
    <w:rsid w:val="0AF8697B"/>
    <w:rsid w:val="0AFF267C"/>
    <w:rsid w:val="0B1017C3"/>
    <w:rsid w:val="0B11176E"/>
    <w:rsid w:val="0B140BA6"/>
    <w:rsid w:val="0B1571B6"/>
    <w:rsid w:val="0B17653B"/>
    <w:rsid w:val="0B2226D0"/>
    <w:rsid w:val="0B266665"/>
    <w:rsid w:val="0B300860"/>
    <w:rsid w:val="0B316DB7"/>
    <w:rsid w:val="0B330D82"/>
    <w:rsid w:val="0B3514F3"/>
    <w:rsid w:val="0B375B18"/>
    <w:rsid w:val="0B3A106F"/>
    <w:rsid w:val="0B3C431D"/>
    <w:rsid w:val="0B3E63F4"/>
    <w:rsid w:val="0B3E79F2"/>
    <w:rsid w:val="0B4765DB"/>
    <w:rsid w:val="0B4F7789"/>
    <w:rsid w:val="0B5036E2"/>
    <w:rsid w:val="0B564E3D"/>
    <w:rsid w:val="0B5E04B4"/>
    <w:rsid w:val="0B6060F2"/>
    <w:rsid w:val="0B62022D"/>
    <w:rsid w:val="0B621270"/>
    <w:rsid w:val="0B6B6C80"/>
    <w:rsid w:val="0B6D08B6"/>
    <w:rsid w:val="0B6D4294"/>
    <w:rsid w:val="0B745622"/>
    <w:rsid w:val="0B7F3FC7"/>
    <w:rsid w:val="0B7F7B23"/>
    <w:rsid w:val="0B815649"/>
    <w:rsid w:val="0B8769D7"/>
    <w:rsid w:val="0B8A0294"/>
    <w:rsid w:val="0B8C21F5"/>
    <w:rsid w:val="0B8D2240"/>
    <w:rsid w:val="0B960018"/>
    <w:rsid w:val="0B98565A"/>
    <w:rsid w:val="0B995089"/>
    <w:rsid w:val="0B9C6927"/>
    <w:rsid w:val="0B9E269F"/>
    <w:rsid w:val="0B9E444D"/>
    <w:rsid w:val="0BA020A3"/>
    <w:rsid w:val="0BA37586"/>
    <w:rsid w:val="0BAA311F"/>
    <w:rsid w:val="0BAB6B6A"/>
    <w:rsid w:val="0BAF6137"/>
    <w:rsid w:val="0BB0067A"/>
    <w:rsid w:val="0BB2614A"/>
    <w:rsid w:val="0BB53FB4"/>
    <w:rsid w:val="0BB579E9"/>
    <w:rsid w:val="0BB7550F"/>
    <w:rsid w:val="0BB806BF"/>
    <w:rsid w:val="0BBA59F6"/>
    <w:rsid w:val="0BBD4CE0"/>
    <w:rsid w:val="0BC036BF"/>
    <w:rsid w:val="0BC27723"/>
    <w:rsid w:val="0BC919C4"/>
    <w:rsid w:val="0BCA342B"/>
    <w:rsid w:val="0BCB7D33"/>
    <w:rsid w:val="0BCD3D94"/>
    <w:rsid w:val="0BD460C1"/>
    <w:rsid w:val="0BD75FB7"/>
    <w:rsid w:val="0BDD4549"/>
    <w:rsid w:val="0BDE14C7"/>
    <w:rsid w:val="0BDF5D8F"/>
    <w:rsid w:val="0BE20DB9"/>
    <w:rsid w:val="0BE51391"/>
    <w:rsid w:val="0BE67BA2"/>
    <w:rsid w:val="0BEB28CE"/>
    <w:rsid w:val="0BEB340A"/>
    <w:rsid w:val="0BF07A36"/>
    <w:rsid w:val="0BF50E21"/>
    <w:rsid w:val="0C006C23"/>
    <w:rsid w:val="0C0149DC"/>
    <w:rsid w:val="0C09009F"/>
    <w:rsid w:val="0C0D15D3"/>
    <w:rsid w:val="0C0F534B"/>
    <w:rsid w:val="0C112E71"/>
    <w:rsid w:val="0C1464BD"/>
    <w:rsid w:val="0C157B7E"/>
    <w:rsid w:val="0C18633A"/>
    <w:rsid w:val="0C1B3CF0"/>
    <w:rsid w:val="0C2B1A59"/>
    <w:rsid w:val="0C2C0B73"/>
    <w:rsid w:val="0C2D57D1"/>
    <w:rsid w:val="0C320371"/>
    <w:rsid w:val="0C34090D"/>
    <w:rsid w:val="0C340BA8"/>
    <w:rsid w:val="0C360B29"/>
    <w:rsid w:val="0C3D1B8E"/>
    <w:rsid w:val="0C41302A"/>
    <w:rsid w:val="0C517711"/>
    <w:rsid w:val="0C53407E"/>
    <w:rsid w:val="0C55046C"/>
    <w:rsid w:val="0C5660C6"/>
    <w:rsid w:val="0C5C1C12"/>
    <w:rsid w:val="0C5D60B6"/>
    <w:rsid w:val="0C654F6B"/>
    <w:rsid w:val="0C684A5B"/>
    <w:rsid w:val="0C796C68"/>
    <w:rsid w:val="0C7E602C"/>
    <w:rsid w:val="0C837B73"/>
    <w:rsid w:val="0C864F0F"/>
    <w:rsid w:val="0C8940C8"/>
    <w:rsid w:val="0C8D6E71"/>
    <w:rsid w:val="0C9508EC"/>
    <w:rsid w:val="0C9D2667"/>
    <w:rsid w:val="0CA35A93"/>
    <w:rsid w:val="0CA75583"/>
    <w:rsid w:val="0CAC00F9"/>
    <w:rsid w:val="0CB63A18"/>
    <w:rsid w:val="0CBF150B"/>
    <w:rsid w:val="0CC954FA"/>
    <w:rsid w:val="0CCC4FEA"/>
    <w:rsid w:val="0CCE0D62"/>
    <w:rsid w:val="0CD234B9"/>
    <w:rsid w:val="0CD8746C"/>
    <w:rsid w:val="0CDC615A"/>
    <w:rsid w:val="0CDD0FA5"/>
    <w:rsid w:val="0CE0549B"/>
    <w:rsid w:val="0CE51B65"/>
    <w:rsid w:val="0CEC743A"/>
    <w:rsid w:val="0CEF0CD8"/>
    <w:rsid w:val="0CF12CA2"/>
    <w:rsid w:val="0CF307C8"/>
    <w:rsid w:val="0CF34200"/>
    <w:rsid w:val="0CF54BA1"/>
    <w:rsid w:val="0CFD1647"/>
    <w:rsid w:val="0CFD6347"/>
    <w:rsid w:val="0CFF66CC"/>
    <w:rsid w:val="0D004C93"/>
    <w:rsid w:val="0D074F8E"/>
    <w:rsid w:val="0D075586"/>
    <w:rsid w:val="0D0E73B0"/>
    <w:rsid w:val="0D10175C"/>
    <w:rsid w:val="0D116EA1"/>
    <w:rsid w:val="0D1424ED"/>
    <w:rsid w:val="0D1A3FA7"/>
    <w:rsid w:val="0D215336"/>
    <w:rsid w:val="0D246BD4"/>
    <w:rsid w:val="0D29243C"/>
    <w:rsid w:val="0D2C7836"/>
    <w:rsid w:val="0D2E35AF"/>
    <w:rsid w:val="0D3112F1"/>
    <w:rsid w:val="0D352B8F"/>
    <w:rsid w:val="0D3C216F"/>
    <w:rsid w:val="0D3C2707"/>
    <w:rsid w:val="0D3C666E"/>
    <w:rsid w:val="0D3F4664"/>
    <w:rsid w:val="0D3F57BC"/>
    <w:rsid w:val="0D411534"/>
    <w:rsid w:val="0D4373BF"/>
    <w:rsid w:val="0D464D9C"/>
    <w:rsid w:val="0D47054D"/>
    <w:rsid w:val="0D4903E8"/>
    <w:rsid w:val="0D4A4AC2"/>
    <w:rsid w:val="0D4C612B"/>
    <w:rsid w:val="0D501777"/>
    <w:rsid w:val="0D5374B9"/>
    <w:rsid w:val="0D5C5417"/>
    <w:rsid w:val="0D5D1E8C"/>
    <w:rsid w:val="0D660F9A"/>
    <w:rsid w:val="0D682F64"/>
    <w:rsid w:val="0D735465"/>
    <w:rsid w:val="0D7F205C"/>
    <w:rsid w:val="0D837D9E"/>
    <w:rsid w:val="0D8633EB"/>
    <w:rsid w:val="0D8B6185"/>
    <w:rsid w:val="0D973D9E"/>
    <w:rsid w:val="0D9909A4"/>
    <w:rsid w:val="0D9A0C44"/>
    <w:rsid w:val="0D9D3E48"/>
    <w:rsid w:val="0D9E05DC"/>
    <w:rsid w:val="0D9F26FE"/>
    <w:rsid w:val="0DA27AF9"/>
    <w:rsid w:val="0DA40F8D"/>
    <w:rsid w:val="0DA43520"/>
    <w:rsid w:val="0DA47D15"/>
    <w:rsid w:val="0DA67DDF"/>
    <w:rsid w:val="0DAC4BAD"/>
    <w:rsid w:val="0DB300F1"/>
    <w:rsid w:val="0DB735A4"/>
    <w:rsid w:val="0DBD4D94"/>
    <w:rsid w:val="0DBE2B84"/>
    <w:rsid w:val="0DBF68FD"/>
    <w:rsid w:val="0DCE08EE"/>
    <w:rsid w:val="0DD26D65"/>
    <w:rsid w:val="0DD51C7C"/>
    <w:rsid w:val="0DD561E4"/>
    <w:rsid w:val="0DDB70DA"/>
    <w:rsid w:val="0DDF0D4D"/>
    <w:rsid w:val="0DDF6F9F"/>
    <w:rsid w:val="0DF02CF5"/>
    <w:rsid w:val="0DF06AB6"/>
    <w:rsid w:val="0DF447F8"/>
    <w:rsid w:val="0DFB1375"/>
    <w:rsid w:val="0DFB3293"/>
    <w:rsid w:val="0DFE11D3"/>
    <w:rsid w:val="0E034A3B"/>
    <w:rsid w:val="0E055DB2"/>
    <w:rsid w:val="0E097B78"/>
    <w:rsid w:val="0E1529C0"/>
    <w:rsid w:val="0E1734EC"/>
    <w:rsid w:val="0E1A3B33"/>
    <w:rsid w:val="0E1C5AFD"/>
    <w:rsid w:val="0E1D6ADE"/>
    <w:rsid w:val="0E2055ED"/>
    <w:rsid w:val="0E272BAB"/>
    <w:rsid w:val="0E2D3866"/>
    <w:rsid w:val="0E2E7806"/>
    <w:rsid w:val="0E330F87"/>
    <w:rsid w:val="0E33230D"/>
    <w:rsid w:val="0E356BBF"/>
    <w:rsid w:val="0E36649F"/>
    <w:rsid w:val="0E383DA2"/>
    <w:rsid w:val="0E3E5A73"/>
    <w:rsid w:val="0E3E79DA"/>
    <w:rsid w:val="0E42733E"/>
    <w:rsid w:val="0E44273A"/>
    <w:rsid w:val="0E46489E"/>
    <w:rsid w:val="0E5232CD"/>
    <w:rsid w:val="0E56296F"/>
    <w:rsid w:val="0E567261"/>
    <w:rsid w:val="0E5E1C72"/>
    <w:rsid w:val="0E6454B7"/>
    <w:rsid w:val="0E6A6AD6"/>
    <w:rsid w:val="0E7605CA"/>
    <w:rsid w:val="0E76345F"/>
    <w:rsid w:val="0E7B6CC7"/>
    <w:rsid w:val="0E8B47E0"/>
    <w:rsid w:val="0E8D2557"/>
    <w:rsid w:val="0E922F72"/>
    <w:rsid w:val="0E9E4764"/>
    <w:rsid w:val="0EA0672E"/>
    <w:rsid w:val="0EAD49A7"/>
    <w:rsid w:val="0EB60EDD"/>
    <w:rsid w:val="0EB75826"/>
    <w:rsid w:val="0EB93651"/>
    <w:rsid w:val="0EC248F6"/>
    <w:rsid w:val="0EC347E2"/>
    <w:rsid w:val="0EC45C2B"/>
    <w:rsid w:val="0EC51CF1"/>
    <w:rsid w:val="0EC87A33"/>
    <w:rsid w:val="0ECA4C67"/>
    <w:rsid w:val="0ECB4C48"/>
    <w:rsid w:val="0ECF491D"/>
    <w:rsid w:val="0ED2440E"/>
    <w:rsid w:val="0ED308B1"/>
    <w:rsid w:val="0ED4462A"/>
    <w:rsid w:val="0ED92450"/>
    <w:rsid w:val="0ED9579C"/>
    <w:rsid w:val="0EDE2DB2"/>
    <w:rsid w:val="0EE02FCE"/>
    <w:rsid w:val="0EE77EB9"/>
    <w:rsid w:val="0EEA34E3"/>
    <w:rsid w:val="0EF600FC"/>
    <w:rsid w:val="0EFA4090"/>
    <w:rsid w:val="0F001FF3"/>
    <w:rsid w:val="0F024CF3"/>
    <w:rsid w:val="0F031129"/>
    <w:rsid w:val="0F034D1C"/>
    <w:rsid w:val="0F0C3DC3"/>
    <w:rsid w:val="0F0D5446"/>
    <w:rsid w:val="0F1113DA"/>
    <w:rsid w:val="0F152C78"/>
    <w:rsid w:val="0F1669F0"/>
    <w:rsid w:val="0F175C63"/>
    <w:rsid w:val="0F193C81"/>
    <w:rsid w:val="0F1F50AF"/>
    <w:rsid w:val="0F2807D5"/>
    <w:rsid w:val="0F29004C"/>
    <w:rsid w:val="0F2F360E"/>
    <w:rsid w:val="0F344D93"/>
    <w:rsid w:val="0F382D9E"/>
    <w:rsid w:val="0F3C3954"/>
    <w:rsid w:val="0F3E3C48"/>
    <w:rsid w:val="0F4374E9"/>
    <w:rsid w:val="0F4B669A"/>
    <w:rsid w:val="0F4C0664"/>
    <w:rsid w:val="0F4E55AD"/>
    <w:rsid w:val="0F5117D6"/>
    <w:rsid w:val="0F55715B"/>
    <w:rsid w:val="0F566ED4"/>
    <w:rsid w:val="0F6239E3"/>
    <w:rsid w:val="0F657D11"/>
    <w:rsid w:val="0F6A157D"/>
    <w:rsid w:val="0F711E78"/>
    <w:rsid w:val="0F7B6853"/>
    <w:rsid w:val="0F7F4595"/>
    <w:rsid w:val="0F8320AA"/>
    <w:rsid w:val="0F837278"/>
    <w:rsid w:val="0F851480"/>
    <w:rsid w:val="0F9E7EA2"/>
    <w:rsid w:val="0FA97864"/>
    <w:rsid w:val="0FAA37F5"/>
    <w:rsid w:val="0FAF74C9"/>
    <w:rsid w:val="0FB35FED"/>
    <w:rsid w:val="0FB73D2F"/>
    <w:rsid w:val="0FB81855"/>
    <w:rsid w:val="0FBD0C1A"/>
    <w:rsid w:val="0FC33169"/>
    <w:rsid w:val="0FC859EB"/>
    <w:rsid w:val="0FCB0E33"/>
    <w:rsid w:val="0FCE72CB"/>
    <w:rsid w:val="0FD61CDB"/>
    <w:rsid w:val="0FDD12BC"/>
    <w:rsid w:val="0FDF6DE2"/>
    <w:rsid w:val="0FE35A61"/>
    <w:rsid w:val="0FE465FF"/>
    <w:rsid w:val="0FF02D9D"/>
    <w:rsid w:val="0FF22FB9"/>
    <w:rsid w:val="0FF4755A"/>
    <w:rsid w:val="0FF860F6"/>
    <w:rsid w:val="0FFC1742"/>
    <w:rsid w:val="0FFC7994"/>
    <w:rsid w:val="0FFE195E"/>
    <w:rsid w:val="0FFF56D6"/>
    <w:rsid w:val="10017C90"/>
    <w:rsid w:val="10044A9B"/>
    <w:rsid w:val="101051ED"/>
    <w:rsid w:val="10134641"/>
    <w:rsid w:val="101738D4"/>
    <w:rsid w:val="1020246F"/>
    <w:rsid w:val="1021564D"/>
    <w:rsid w:val="10220CC7"/>
    <w:rsid w:val="10262C63"/>
    <w:rsid w:val="102B22B3"/>
    <w:rsid w:val="102B64CB"/>
    <w:rsid w:val="1032785A"/>
    <w:rsid w:val="10390BE8"/>
    <w:rsid w:val="10437371"/>
    <w:rsid w:val="1045133B"/>
    <w:rsid w:val="10455972"/>
    <w:rsid w:val="104B767E"/>
    <w:rsid w:val="104E43FB"/>
    <w:rsid w:val="10515328"/>
    <w:rsid w:val="10564B8E"/>
    <w:rsid w:val="105A290D"/>
    <w:rsid w:val="105A46BB"/>
    <w:rsid w:val="105C6685"/>
    <w:rsid w:val="105F69F8"/>
    <w:rsid w:val="106108D8"/>
    <w:rsid w:val="106E7684"/>
    <w:rsid w:val="10710382"/>
    <w:rsid w:val="10716125"/>
    <w:rsid w:val="10723815"/>
    <w:rsid w:val="107240FA"/>
    <w:rsid w:val="10741C20"/>
    <w:rsid w:val="10750A53"/>
    <w:rsid w:val="10757746"/>
    <w:rsid w:val="10775C30"/>
    <w:rsid w:val="10795489"/>
    <w:rsid w:val="10805C51"/>
    <w:rsid w:val="10863702"/>
    <w:rsid w:val="10923E54"/>
    <w:rsid w:val="10973AD9"/>
    <w:rsid w:val="109B3D8A"/>
    <w:rsid w:val="109B4C39"/>
    <w:rsid w:val="109C0705"/>
    <w:rsid w:val="109E4EEF"/>
    <w:rsid w:val="10A27C14"/>
    <w:rsid w:val="10A36062"/>
    <w:rsid w:val="10AA0636"/>
    <w:rsid w:val="10AA6A2C"/>
    <w:rsid w:val="10AB55AC"/>
    <w:rsid w:val="10B244F7"/>
    <w:rsid w:val="10B5256D"/>
    <w:rsid w:val="10B95885"/>
    <w:rsid w:val="10BD2856"/>
    <w:rsid w:val="10CA01C0"/>
    <w:rsid w:val="10D027DA"/>
    <w:rsid w:val="10D06952"/>
    <w:rsid w:val="10DB57FB"/>
    <w:rsid w:val="10DD77C5"/>
    <w:rsid w:val="10E250B3"/>
    <w:rsid w:val="10E80FB0"/>
    <w:rsid w:val="10F0334D"/>
    <w:rsid w:val="10F13271"/>
    <w:rsid w:val="10F44B0F"/>
    <w:rsid w:val="10F66AD9"/>
    <w:rsid w:val="10F813D6"/>
    <w:rsid w:val="10FB40F0"/>
    <w:rsid w:val="10FB5DA0"/>
    <w:rsid w:val="10FD2C87"/>
    <w:rsid w:val="11032FA4"/>
    <w:rsid w:val="11050ACA"/>
    <w:rsid w:val="110977BC"/>
    <w:rsid w:val="11101D9D"/>
    <w:rsid w:val="11124F95"/>
    <w:rsid w:val="11127128"/>
    <w:rsid w:val="111B1AA9"/>
    <w:rsid w:val="111E48D6"/>
    <w:rsid w:val="112C24FB"/>
    <w:rsid w:val="11370089"/>
    <w:rsid w:val="11380EA0"/>
    <w:rsid w:val="113B0990"/>
    <w:rsid w:val="113B273E"/>
    <w:rsid w:val="11441C25"/>
    <w:rsid w:val="11494E5B"/>
    <w:rsid w:val="11550731"/>
    <w:rsid w:val="115D0906"/>
    <w:rsid w:val="116B092B"/>
    <w:rsid w:val="116C5620"/>
    <w:rsid w:val="116D20C1"/>
    <w:rsid w:val="11730B36"/>
    <w:rsid w:val="11755C50"/>
    <w:rsid w:val="1178173A"/>
    <w:rsid w:val="11785740"/>
    <w:rsid w:val="117F09B1"/>
    <w:rsid w:val="1182211B"/>
    <w:rsid w:val="11845E93"/>
    <w:rsid w:val="11875983"/>
    <w:rsid w:val="11881B9E"/>
    <w:rsid w:val="118934A9"/>
    <w:rsid w:val="11911E2E"/>
    <w:rsid w:val="119165F3"/>
    <w:rsid w:val="119836EC"/>
    <w:rsid w:val="119A3908"/>
    <w:rsid w:val="11A007F3"/>
    <w:rsid w:val="11A36E95"/>
    <w:rsid w:val="11A94654"/>
    <w:rsid w:val="11B31D4E"/>
    <w:rsid w:val="11B5429E"/>
    <w:rsid w:val="11B73B12"/>
    <w:rsid w:val="11B76BAA"/>
    <w:rsid w:val="11BE53F0"/>
    <w:rsid w:val="11C52008"/>
    <w:rsid w:val="11D0732A"/>
    <w:rsid w:val="11D81D3B"/>
    <w:rsid w:val="11D87223"/>
    <w:rsid w:val="11D87F8D"/>
    <w:rsid w:val="11DB27C0"/>
    <w:rsid w:val="11DD55A3"/>
    <w:rsid w:val="11DF131B"/>
    <w:rsid w:val="11E140E0"/>
    <w:rsid w:val="11E37F81"/>
    <w:rsid w:val="11E46932"/>
    <w:rsid w:val="11EC1E9B"/>
    <w:rsid w:val="11EE6C77"/>
    <w:rsid w:val="11FE3E97"/>
    <w:rsid w:val="11FF0A82"/>
    <w:rsid w:val="12010F98"/>
    <w:rsid w:val="12042B30"/>
    <w:rsid w:val="1207125C"/>
    <w:rsid w:val="120E7E53"/>
    <w:rsid w:val="12137217"/>
    <w:rsid w:val="12152F8F"/>
    <w:rsid w:val="121F2ECD"/>
    <w:rsid w:val="12215E3D"/>
    <w:rsid w:val="12217B86"/>
    <w:rsid w:val="122A6EEF"/>
    <w:rsid w:val="122D43E0"/>
    <w:rsid w:val="12372F05"/>
    <w:rsid w:val="123C353F"/>
    <w:rsid w:val="1242149A"/>
    <w:rsid w:val="12435D4E"/>
    <w:rsid w:val="1246139A"/>
    <w:rsid w:val="12481006"/>
    <w:rsid w:val="124B4C03"/>
    <w:rsid w:val="12525F91"/>
    <w:rsid w:val="125440F2"/>
    <w:rsid w:val="12552BA2"/>
    <w:rsid w:val="12573BE5"/>
    <w:rsid w:val="12582E7C"/>
    <w:rsid w:val="125E33BD"/>
    <w:rsid w:val="126006AE"/>
    <w:rsid w:val="12673465"/>
    <w:rsid w:val="126927BE"/>
    <w:rsid w:val="12747CB6"/>
    <w:rsid w:val="127B54E8"/>
    <w:rsid w:val="127C1510"/>
    <w:rsid w:val="128D3C2B"/>
    <w:rsid w:val="128E689D"/>
    <w:rsid w:val="128F7080"/>
    <w:rsid w:val="12976F0D"/>
    <w:rsid w:val="12997EFB"/>
    <w:rsid w:val="129C545E"/>
    <w:rsid w:val="129E2F84"/>
    <w:rsid w:val="12A252ED"/>
    <w:rsid w:val="12A33B9C"/>
    <w:rsid w:val="12A72B1B"/>
    <w:rsid w:val="12AB491E"/>
    <w:rsid w:val="12AD1419"/>
    <w:rsid w:val="12B10F0A"/>
    <w:rsid w:val="12B46304"/>
    <w:rsid w:val="12B72298"/>
    <w:rsid w:val="12BA4BDF"/>
    <w:rsid w:val="12BA4D3A"/>
    <w:rsid w:val="12BD5D56"/>
    <w:rsid w:val="12C02EFB"/>
    <w:rsid w:val="12C573FF"/>
    <w:rsid w:val="12D544AD"/>
    <w:rsid w:val="12D61506"/>
    <w:rsid w:val="12D70A68"/>
    <w:rsid w:val="12E17D73"/>
    <w:rsid w:val="12E36BE9"/>
    <w:rsid w:val="12E9313F"/>
    <w:rsid w:val="12F31522"/>
    <w:rsid w:val="12FB30F0"/>
    <w:rsid w:val="12FF4114"/>
    <w:rsid w:val="13051255"/>
    <w:rsid w:val="130A686C"/>
    <w:rsid w:val="130D3E50"/>
    <w:rsid w:val="130E25B5"/>
    <w:rsid w:val="130F5C30"/>
    <w:rsid w:val="13141499"/>
    <w:rsid w:val="13143247"/>
    <w:rsid w:val="13165E4B"/>
    <w:rsid w:val="13184F75"/>
    <w:rsid w:val="13211169"/>
    <w:rsid w:val="132318D4"/>
    <w:rsid w:val="132C07B9"/>
    <w:rsid w:val="133B3709"/>
    <w:rsid w:val="133B4C77"/>
    <w:rsid w:val="133E25B0"/>
    <w:rsid w:val="13407938"/>
    <w:rsid w:val="13491142"/>
    <w:rsid w:val="13497394"/>
    <w:rsid w:val="134A0B53"/>
    <w:rsid w:val="134A6C68"/>
    <w:rsid w:val="134C0C32"/>
    <w:rsid w:val="13541A69"/>
    <w:rsid w:val="13544E7C"/>
    <w:rsid w:val="13561AB1"/>
    <w:rsid w:val="13622204"/>
    <w:rsid w:val="13623676"/>
    <w:rsid w:val="1367088A"/>
    <w:rsid w:val="136915B2"/>
    <w:rsid w:val="136E0BA9"/>
    <w:rsid w:val="13763F01"/>
    <w:rsid w:val="13765F00"/>
    <w:rsid w:val="138875B3"/>
    <w:rsid w:val="138E2FF9"/>
    <w:rsid w:val="138F3C22"/>
    <w:rsid w:val="13952A53"/>
    <w:rsid w:val="13957865"/>
    <w:rsid w:val="13961EAE"/>
    <w:rsid w:val="139C2756"/>
    <w:rsid w:val="13A22600"/>
    <w:rsid w:val="13BF31B2"/>
    <w:rsid w:val="13CA1B57"/>
    <w:rsid w:val="13CB5FFB"/>
    <w:rsid w:val="13D22C6B"/>
    <w:rsid w:val="13D529D6"/>
    <w:rsid w:val="13D93620"/>
    <w:rsid w:val="13DF1AA7"/>
    <w:rsid w:val="13E110E2"/>
    <w:rsid w:val="13E1587A"/>
    <w:rsid w:val="13E45F3D"/>
    <w:rsid w:val="13E500A7"/>
    <w:rsid w:val="13E62E35"/>
    <w:rsid w:val="13E64BE3"/>
    <w:rsid w:val="13EC2BEC"/>
    <w:rsid w:val="13F12FB1"/>
    <w:rsid w:val="13F266E9"/>
    <w:rsid w:val="13F470C5"/>
    <w:rsid w:val="13F64F28"/>
    <w:rsid w:val="13F76DF0"/>
    <w:rsid w:val="141710B9"/>
    <w:rsid w:val="1419089C"/>
    <w:rsid w:val="14213FC1"/>
    <w:rsid w:val="142474B9"/>
    <w:rsid w:val="14292D22"/>
    <w:rsid w:val="142E658A"/>
    <w:rsid w:val="14302302"/>
    <w:rsid w:val="14303E50"/>
    <w:rsid w:val="14307B9A"/>
    <w:rsid w:val="14377928"/>
    <w:rsid w:val="143D4EE1"/>
    <w:rsid w:val="143F6714"/>
    <w:rsid w:val="1449256E"/>
    <w:rsid w:val="144E4536"/>
    <w:rsid w:val="144E5BAF"/>
    <w:rsid w:val="144F7839"/>
    <w:rsid w:val="145002AE"/>
    <w:rsid w:val="14567CBD"/>
    <w:rsid w:val="145A2EDB"/>
    <w:rsid w:val="145C06AD"/>
    <w:rsid w:val="145C30F7"/>
    <w:rsid w:val="145F39B5"/>
    <w:rsid w:val="146124BC"/>
    <w:rsid w:val="14623E56"/>
    <w:rsid w:val="14627216"/>
    <w:rsid w:val="146A5814"/>
    <w:rsid w:val="146C0211"/>
    <w:rsid w:val="14713259"/>
    <w:rsid w:val="14733F9D"/>
    <w:rsid w:val="14742B43"/>
    <w:rsid w:val="14744C8B"/>
    <w:rsid w:val="14752E08"/>
    <w:rsid w:val="14756D64"/>
    <w:rsid w:val="147A357D"/>
    <w:rsid w:val="147B5659"/>
    <w:rsid w:val="147D6BCA"/>
    <w:rsid w:val="148054FA"/>
    <w:rsid w:val="14885C9A"/>
    <w:rsid w:val="148B46C1"/>
    <w:rsid w:val="148B578A"/>
    <w:rsid w:val="148D1503"/>
    <w:rsid w:val="14911FA3"/>
    <w:rsid w:val="149208C7"/>
    <w:rsid w:val="1497412F"/>
    <w:rsid w:val="14975EDD"/>
    <w:rsid w:val="149C7998"/>
    <w:rsid w:val="14A423A8"/>
    <w:rsid w:val="14B04C65"/>
    <w:rsid w:val="14B3630E"/>
    <w:rsid w:val="14B36679"/>
    <w:rsid w:val="14BE790E"/>
    <w:rsid w:val="14BF70C2"/>
    <w:rsid w:val="14C10E56"/>
    <w:rsid w:val="14C8078D"/>
    <w:rsid w:val="14D013EF"/>
    <w:rsid w:val="14D1667B"/>
    <w:rsid w:val="14D233B9"/>
    <w:rsid w:val="14D459CC"/>
    <w:rsid w:val="14D62EA9"/>
    <w:rsid w:val="14DC5FE6"/>
    <w:rsid w:val="14DE2AC5"/>
    <w:rsid w:val="14DE58BA"/>
    <w:rsid w:val="14E97066"/>
    <w:rsid w:val="14EC7A90"/>
    <w:rsid w:val="14F615A9"/>
    <w:rsid w:val="14F652AD"/>
    <w:rsid w:val="14F663C5"/>
    <w:rsid w:val="14F74BCE"/>
    <w:rsid w:val="14FB2DCA"/>
    <w:rsid w:val="14FB46BE"/>
    <w:rsid w:val="14FC0436"/>
    <w:rsid w:val="14FD6964"/>
    <w:rsid w:val="15080B89"/>
    <w:rsid w:val="15086A2A"/>
    <w:rsid w:val="15086CC2"/>
    <w:rsid w:val="15107A42"/>
    <w:rsid w:val="15155054"/>
    <w:rsid w:val="152359C3"/>
    <w:rsid w:val="1525798D"/>
    <w:rsid w:val="152A6D51"/>
    <w:rsid w:val="152D6842"/>
    <w:rsid w:val="153533D0"/>
    <w:rsid w:val="15393438"/>
    <w:rsid w:val="153C0833"/>
    <w:rsid w:val="153E1E76"/>
    <w:rsid w:val="153F4796"/>
    <w:rsid w:val="15455939"/>
    <w:rsid w:val="154871D8"/>
    <w:rsid w:val="155023CF"/>
    <w:rsid w:val="15511CF9"/>
    <w:rsid w:val="15545B7C"/>
    <w:rsid w:val="155B6EC7"/>
    <w:rsid w:val="156404B5"/>
    <w:rsid w:val="156E6FD1"/>
    <w:rsid w:val="15712BD2"/>
    <w:rsid w:val="15724254"/>
    <w:rsid w:val="157A0E04"/>
    <w:rsid w:val="158226E9"/>
    <w:rsid w:val="158E5532"/>
    <w:rsid w:val="15934820"/>
    <w:rsid w:val="159545D3"/>
    <w:rsid w:val="15966195"/>
    <w:rsid w:val="159F6FC5"/>
    <w:rsid w:val="15A35CFD"/>
    <w:rsid w:val="15AE7982"/>
    <w:rsid w:val="15BA596A"/>
    <w:rsid w:val="15C27804"/>
    <w:rsid w:val="15C50828"/>
    <w:rsid w:val="15C522F6"/>
    <w:rsid w:val="15C9656A"/>
    <w:rsid w:val="15CB2C15"/>
    <w:rsid w:val="15CE3B81"/>
    <w:rsid w:val="15D13ECB"/>
    <w:rsid w:val="15D408D2"/>
    <w:rsid w:val="15D57E51"/>
    <w:rsid w:val="15D849FF"/>
    <w:rsid w:val="15DD2016"/>
    <w:rsid w:val="15E4717D"/>
    <w:rsid w:val="15E909BB"/>
    <w:rsid w:val="15E92EE8"/>
    <w:rsid w:val="15F04FF3"/>
    <w:rsid w:val="15F31839"/>
    <w:rsid w:val="15F51D03"/>
    <w:rsid w:val="15F86E50"/>
    <w:rsid w:val="15FA5B71"/>
    <w:rsid w:val="16021D1A"/>
    <w:rsid w:val="1604482A"/>
    <w:rsid w:val="160C6457"/>
    <w:rsid w:val="161A0F81"/>
    <w:rsid w:val="161B669A"/>
    <w:rsid w:val="161C0D90"/>
    <w:rsid w:val="162E5E8B"/>
    <w:rsid w:val="16354957"/>
    <w:rsid w:val="163B1BD0"/>
    <w:rsid w:val="164058E2"/>
    <w:rsid w:val="16414353"/>
    <w:rsid w:val="1642631D"/>
    <w:rsid w:val="16433A3E"/>
    <w:rsid w:val="164976AB"/>
    <w:rsid w:val="164C2CF7"/>
    <w:rsid w:val="16553525"/>
    <w:rsid w:val="16585E87"/>
    <w:rsid w:val="165D32C4"/>
    <w:rsid w:val="16610551"/>
    <w:rsid w:val="16714074"/>
    <w:rsid w:val="1674297A"/>
    <w:rsid w:val="16781D3E"/>
    <w:rsid w:val="167F78A1"/>
    <w:rsid w:val="16820F10"/>
    <w:rsid w:val="16822ED3"/>
    <w:rsid w:val="16831A50"/>
    <w:rsid w:val="168A1A86"/>
    <w:rsid w:val="168B7CC4"/>
    <w:rsid w:val="168D7598"/>
    <w:rsid w:val="168E3310"/>
    <w:rsid w:val="16900E36"/>
    <w:rsid w:val="169213E1"/>
    <w:rsid w:val="16931028"/>
    <w:rsid w:val="169C4F0C"/>
    <w:rsid w:val="16A612CD"/>
    <w:rsid w:val="16AA22BF"/>
    <w:rsid w:val="16AE11D0"/>
    <w:rsid w:val="16B94831"/>
    <w:rsid w:val="16C3676A"/>
    <w:rsid w:val="16CA6BE3"/>
    <w:rsid w:val="16CE4F2C"/>
    <w:rsid w:val="16D03928"/>
    <w:rsid w:val="16D04B95"/>
    <w:rsid w:val="16DC65C6"/>
    <w:rsid w:val="16E01DBD"/>
    <w:rsid w:val="16EA25B7"/>
    <w:rsid w:val="16EA49EA"/>
    <w:rsid w:val="16EB0762"/>
    <w:rsid w:val="16F1577C"/>
    <w:rsid w:val="16F947A3"/>
    <w:rsid w:val="16FE7F38"/>
    <w:rsid w:val="1703785A"/>
    <w:rsid w:val="1706633F"/>
    <w:rsid w:val="170B2BB3"/>
    <w:rsid w:val="170D692B"/>
    <w:rsid w:val="170E47DD"/>
    <w:rsid w:val="170F26A3"/>
    <w:rsid w:val="170F4A25"/>
    <w:rsid w:val="171321BA"/>
    <w:rsid w:val="17192340"/>
    <w:rsid w:val="171E421F"/>
    <w:rsid w:val="17242B7D"/>
    <w:rsid w:val="172577D0"/>
    <w:rsid w:val="17315BB6"/>
    <w:rsid w:val="173D29C4"/>
    <w:rsid w:val="17451C21"/>
    <w:rsid w:val="17495F75"/>
    <w:rsid w:val="174A6742"/>
    <w:rsid w:val="174B5D9B"/>
    <w:rsid w:val="174B6870"/>
    <w:rsid w:val="17683B61"/>
    <w:rsid w:val="176C3651"/>
    <w:rsid w:val="176E561B"/>
    <w:rsid w:val="1771514A"/>
    <w:rsid w:val="17757E00"/>
    <w:rsid w:val="177A1DCF"/>
    <w:rsid w:val="177A3361"/>
    <w:rsid w:val="177B5642"/>
    <w:rsid w:val="177B7D38"/>
    <w:rsid w:val="177D6416"/>
    <w:rsid w:val="177E3384"/>
    <w:rsid w:val="1780534F"/>
    <w:rsid w:val="17811758"/>
    <w:rsid w:val="178642C9"/>
    <w:rsid w:val="178C0F21"/>
    <w:rsid w:val="178D35C8"/>
    <w:rsid w:val="178D5376"/>
    <w:rsid w:val="178F7340"/>
    <w:rsid w:val="17946D71"/>
    <w:rsid w:val="179F7C4F"/>
    <w:rsid w:val="17A54DB5"/>
    <w:rsid w:val="17A74C5B"/>
    <w:rsid w:val="17AF1F69"/>
    <w:rsid w:val="17B86896"/>
    <w:rsid w:val="17B9616B"/>
    <w:rsid w:val="17BD20FF"/>
    <w:rsid w:val="17C121EB"/>
    <w:rsid w:val="17C32AE8"/>
    <w:rsid w:val="17D2722C"/>
    <w:rsid w:val="17D3551C"/>
    <w:rsid w:val="17DA4A5F"/>
    <w:rsid w:val="17DB4CF7"/>
    <w:rsid w:val="17E05DED"/>
    <w:rsid w:val="17E44EC0"/>
    <w:rsid w:val="17E625C2"/>
    <w:rsid w:val="17ED041F"/>
    <w:rsid w:val="17F32CA0"/>
    <w:rsid w:val="17F33D23"/>
    <w:rsid w:val="17F453F5"/>
    <w:rsid w:val="17F673BF"/>
    <w:rsid w:val="17F76951"/>
    <w:rsid w:val="17F8587D"/>
    <w:rsid w:val="17F86DDF"/>
    <w:rsid w:val="17FE4CD2"/>
    <w:rsid w:val="18001FEB"/>
    <w:rsid w:val="18131D1F"/>
    <w:rsid w:val="18153CE9"/>
    <w:rsid w:val="181A12FF"/>
    <w:rsid w:val="18291542"/>
    <w:rsid w:val="182B589C"/>
    <w:rsid w:val="182E68B5"/>
    <w:rsid w:val="183028D1"/>
    <w:rsid w:val="183A204C"/>
    <w:rsid w:val="183B78A4"/>
    <w:rsid w:val="183E3DA8"/>
    <w:rsid w:val="183F2B14"/>
    <w:rsid w:val="183F48C2"/>
    <w:rsid w:val="18486082"/>
    <w:rsid w:val="18597894"/>
    <w:rsid w:val="185A16FC"/>
    <w:rsid w:val="185A227F"/>
    <w:rsid w:val="185D2F9A"/>
    <w:rsid w:val="186407CC"/>
    <w:rsid w:val="186759B8"/>
    <w:rsid w:val="18685DF9"/>
    <w:rsid w:val="186F3324"/>
    <w:rsid w:val="186F4F0D"/>
    <w:rsid w:val="18702CCD"/>
    <w:rsid w:val="18717C2F"/>
    <w:rsid w:val="18721BFE"/>
    <w:rsid w:val="187364E4"/>
    <w:rsid w:val="18775DB9"/>
    <w:rsid w:val="187C3D68"/>
    <w:rsid w:val="18846779"/>
    <w:rsid w:val="1886001A"/>
    <w:rsid w:val="18876269"/>
    <w:rsid w:val="188B7B07"/>
    <w:rsid w:val="188F6EFF"/>
    <w:rsid w:val="18980476"/>
    <w:rsid w:val="189E3CDE"/>
    <w:rsid w:val="189F1FC6"/>
    <w:rsid w:val="18A254E0"/>
    <w:rsid w:val="18A31D92"/>
    <w:rsid w:val="18A4359D"/>
    <w:rsid w:val="18AF5EEB"/>
    <w:rsid w:val="18B52418"/>
    <w:rsid w:val="18BA4890"/>
    <w:rsid w:val="18BE3D2E"/>
    <w:rsid w:val="18C13529"/>
    <w:rsid w:val="18C416E8"/>
    <w:rsid w:val="18C43019"/>
    <w:rsid w:val="18C63235"/>
    <w:rsid w:val="18CD6371"/>
    <w:rsid w:val="18D314AE"/>
    <w:rsid w:val="18D47700"/>
    <w:rsid w:val="18D92F68"/>
    <w:rsid w:val="18DF5A23"/>
    <w:rsid w:val="18DF6EA4"/>
    <w:rsid w:val="18E11E1D"/>
    <w:rsid w:val="18E13BCB"/>
    <w:rsid w:val="18E37F41"/>
    <w:rsid w:val="18E633C4"/>
    <w:rsid w:val="18EA1AFD"/>
    <w:rsid w:val="18F345A2"/>
    <w:rsid w:val="18F666B0"/>
    <w:rsid w:val="18FC6C57"/>
    <w:rsid w:val="1901426D"/>
    <w:rsid w:val="1901601B"/>
    <w:rsid w:val="190478B9"/>
    <w:rsid w:val="19063631"/>
    <w:rsid w:val="190A3122"/>
    <w:rsid w:val="191222D0"/>
    <w:rsid w:val="1912263B"/>
    <w:rsid w:val="19267830"/>
    <w:rsid w:val="192F5CC0"/>
    <w:rsid w:val="1931628C"/>
    <w:rsid w:val="19353F17"/>
    <w:rsid w:val="193D4FFE"/>
    <w:rsid w:val="193E726F"/>
    <w:rsid w:val="193F1ACB"/>
    <w:rsid w:val="19435421"/>
    <w:rsid w:val="19467ED2"/>
    <w:rsid w:val="194B373A"/>
    <w:rsid w:val="195425EF"/>
    <w:rsid w:val="195720DF"/>
    <w:rsid w:val="19573E8D"/>
    <w:rsid w:val="19597C05"/>
    <w:rsid w:val="195B397D"/>
    <w:rsid w:val="19654E72"/>
    <w:rsid w:val="196A24F0"/>
    <w:rsid w:val="196A2E61"/>
    <w:rsid w:val="196D40E0"/>
    <w:rsid w:val="196E5916"/>
    <w:rsid w:val="19771B7E"/>
    <w:rsid w:val="197E1182"/>
    <w:rsid w:val="198A4263"/>
    <w:rsid w:val="198B3B37"/>
    <w:rsid w:val="198C7FDB"/>
    <w:rsid w:val="1994787E"/>
    <w:rsid w:val="1997072D"/>
    <w:rsid w:val="19A2257B"/>
    <w:rsid w:val="19B117EF"/>
    <w:rsid w:val="19B80DD0"/>
    <w:rsid w:val="19B85808"/>
    <w:rsid w:val="19BE0A0D"/>
    <w:rsid w:val="19C71013"/>
    <w:rsid w:val="19DC2082"/>
    <w:rsid w:val="19E5593D"/>
    <w:rsid w:val="19E9433D"/>
    <w:rsid w:val="19F2719F"/>
    <w:rsid w:val="19F33FC3"/>
    <w:rsid w:val="19F5133B"/>
    <w:rsid w:val="19FD1B44"/>
    <w:rsid w:val="1A003428"/>
    <w:rsid w:val="1A035F4D"/>
    <w:rsid w:val="1A04497A"/>
    <w:rsid w:val="1A065F2D"/>
    <w:rsid w:val="1A0D279E"/>
    <w:rsid w:val="1A105F4A"/>
    <w:rsid w:val="1A1324AA"/>
    <w:rsid w:val="1A1B1083"/>
    <w:rsid w:val="1A1B310D"/>
    <w:rsid w:val="1A1C6362"/>
    <w:rsid w:val="1A1F2BFD"/>
    <w:rsid w:val="1A237B72"/>
    <w:rsid w:val="1A271AB1"/>
    <w:rsid w:val="1A2975D8"/>
    <w:rsid w:val="1A2B0314"/>
    <w:rsid w:val="1A2C2AF9"/>
    <w:rsid w:val="1A2F0966"/>
    <w:rsid w:val="1A2F6BB8"/>
    <w:rsid w:val="1A31736B"/>
    <w:rsid w:val="1A32281E"/>
    <w:rsid w:val="1A3B37AF"/>
    <w:rsid w:val="1A3B555D"/>
    <w:rsid w:val="1A4B082A"/>
    <w:rsid w:val="1A5D3AA3"/>
    <w:rsid w:val="1A616E2C"/>
    <w:rsid w:val="1A6525DA"/>
    <w:rsid w:val="1A7840BB"/>
    <w:rsid w:val="1A7A42D7"/>
    <w:rsid w:val="1A7C7171"/>
    <w:rsid w:val="1A7D3DC7"/>
    <w:rsid w:val="1A873050"/>
    <w:rsid w:val="1A8A3DEE"/>
    <w:rsid w:val="1A935399"/>
    <w:rsid w:val="1A9F789A"/>
    <w:rsid w:val="1AA7675D"/>
    <w:rsid w:val="1AA90718"/>
    <w:rsid w:val="1AAA1BC3"/>
    <w:rsid w:val="1AB23A71"/>
    <w:rsid w:val="1AB263AA"/>
    <w:rsid w:val="1AB84DFF"/>
    <w:rsid w:val="1AB85684"/>
    <w:rsid w:val="1ABB087D"/>
    <w:rsid w:val="1ABF4BCD"/>
    <w:rsid w:val="1AC75042"/>
    <w:rsid w:val="1ACC29BB"/>
    <w:rsid w:val="1ACE017F"/>
    <w:rsid w:val="1ACE63D1"/>
    <w:rsid w:val="1AD27C6F"/>
    <w:rsid w:val="1AD36971"/>
    <w:rsid w:val="1AD75285"/>
    <w:rsid w:val="1AE300CE"/>
    <w:rsid w:val="1AE3458F"/>
    <w:rsid w:val="1AE431D8"/>
    <w:rsid w:val="1AEB734B"/>
    <w:rsid w:val="1AEC6857"/>
    <w:rsid w:val="1AF45F58"/>
    <w:rsid w:val="1AF705EA"/>
    <w:rsid w:val="1AFC2F3E"/>
    <w:rsid w:val="1AFD11C6"/>
    <w:rsid w:val="1AFE6CB6"/>
    <w:rsid w:val="1B0F349B"/>
    <w:rsid w:val="1B132036"/>
    <w:rsid w:val="1B1E43B2"/>
    <w:rsid w:val="1B2B02C2"/>
    <w:rsid w:val="1B2C3630"/>
    <w:rsid w:val="1B3061E5"/>
    <w:rsid w:val="1B3264C4"/>
    <w:rsid w:val="1B326960"/>
    <w:rsid w:val="1B334486"/>
    <w:rsid w:val="1B3B6643"/>
    <w:rsid w:val="1B403C15"/>
    <w:rsid w:val="1B4A4141"/>
    <w:rsid w:val="1B4C2CD1"/>
    <w:rsid w:val="1B4D7C5F"/>
    <w:rsid w:val="1B4F12C0"/>
    <w:rsid w:val="1B5468D6"/>
    <w:rsid w:val="1B5508A0"/>
    <w:rsid w:val="1B59213E"/>
    <w:rsid w:val="1B5A095E"/>
    <w:rsid w:val="1B5A5081"/>
    <w:rsid w:val="1B5E44EF"/>
    <w:rsid w:val="1B5E70A9"/>
    <w:rsid w:val="1B634D6B"/>
    <w:rsid w:val="1B6523C9"/>
    <w:rsid w:val="1B65531B"/>
    <w:rsid w:val="1B662B71"/>
    <w:rsid w:val="1B6C3693"/>
    <w:rsid w:val="1B6D68BA"/>
    <w:rsid w:val="1B721452"/>
    <w:rsid w:val="1B7E1BA5"/>
    <w:rsid w:val="1B803B6F"/>
    <w:rsid w:val="1B8076CB"/>
    <w:rsid w:val="1B8759FD"/>
    <w:rsid w:val="1B925650"/>
    <w:rsid w:val="1B9273FE"/>
    <w:rsid w:val="1B9B4505"/>
    <w:rsid w:val="1BA03749"/>
    <w:rsid w:val="1BA302BB"/>
    <w:rsid w:val="1BA3160C"/>
    <w:rsid w:val="1BA6520F"/>
    <w:rsid w:val="1BA94B12"/>
    <w:rsid w:val="1BAA299A"/>
    <w:rsid w:val="1BB90E2F"/>
    <w:rsid w:val="1BBC26CD"/>
    <w:rsid w:val="1BC561B7"/>
    <w:rsid w:val="1BC81C35"/>
    <w:rsid w:val="1BC9751D"/>
    <w:rsid w:val="1BCA2520"/>
    <w:rsid w:val="1BCD7C8C"/>
    <w:rsid w:val="1BD712B5"/>
    <w:rsid w:val="1BD83868"/>
    <w:rsid w:val="1BDA4853"/>
    <w:rsid w:val="1BDB2B53"/>
    <w:rsid w:val="1BDE0896"/>
    <w:rsid w:val="1BE063BC"/>
    <w:rsid w:val="1BE51C24"/>
    <w:rsid w:val="1BE87DC6"/>
    <w:rsid w:val="1BED0AD9"/>
    <w:rsid w:val="1BF400B9"/>
    <w:rsid w:val="1BF7103C"/>
    <w:rsid w:val="1C024584"/>
    <w:rsid w:val="1C0506E0"/>
    <w:rsid w:val="1C077DEC"/>
    <w:rsid w:val="1C0B401D"/>
    <w:rsid w:val="1C0C5403"/>
    <w:rsid w:val="1C105AC1"/>
    <w:rsid w:val="1C145AD5"/>
    <w:rsid w:val="1C156D4C"/>
    <w:rsid w:val="1C3756AE"/>
    <w:rsid w:val="1C3B1844"/>
    <w:rsid w:val="1C3B30F7"/>
    <w:rsid w:val="1C3B7A96"/>
    <w:rsid w:val="1C3C5054"/>
    <w:rsid w:val="1C3C7E4D"/>
    <w:rsid w:val="1C3D736A"/>
    <w:rsid w:val="1C3E3B74"/>
    <w:rsid w:val="1C41314D"/>
    <w:rsid w:val="1C47468D"/>
    <w:rsid w:val="1C485D0F"/>
    <w:rsid w:val="1C4906B0"/>
    <w:rsid w:val="1C4921B3"/>
    <w:rsid w:val="1C4A7CD9"/>
    <w:rsid w:val="1C4F17F1"/>
    <w:rsid w:val="1C556DAA"/>
    <w:rsid w:val="1C6A1CAD"/>
    <w:rsid w:val="1C6F14EE"/>
    <w:rsid w:val="1C715266"/>
    <w:rsid w:val="1C7B4DFC"/>
    <w:rsid w:val="1C7B7E93"/>
    <w:rsid w:val="1C7F378D"/>
    <w:rsid w:val="1C7F4184"/>
    <w:rsid w:val="1C867623"/>
    <w:rsid w:val="1C89778E"/>
    <w:rsid w:val="1C8A2B20"/>
    <w:rsid w:val="1C915908"/>
    <w:rsid w:val="1C96390F"/>
    <w:rsid w:val="1C9D42AD"/>
    <w:rsid w:val="1C9E0704"/>
    <w:rsid w:val="1C9F0891"/>
    <w:rsid w:val="1CA77CA4"/>
    <w:rsid w:val="1CAB56CB"/>
    <w:rsid w:val="1CB4189C"/>
    <w:rsid w:val="1CB860BE"/>
    <w:rsid w:val="1CBD494F"/>
    <w:rsid w:val="1CBF2475"/>
    <w:rsid w:val="1CC07ED6"/>
    <w:rsid w:val="1CC4598C"/>
    <w:rsid w:val="1CC57360"/>
    <w:rsid w:val="1CC61A56"/>
    <w:rsid w:val="1CCB0D82"/>
    <w:rsid w:val="1CCE4466"/>
    <w:rsid w:val="1CD02768"/>
    <w:rsid w:val="1CD13EE0"/>
    <w:rsid w:val="1CDA105D"/>
    <w:rsid w:val="1CDD28FB"/>
    <w:rsid w:val="1CE75528"/>
    <w:rsid w:val="1CEB5A62"/>
    <w:rsid w:val="1CEC0D90"/>
    <w:rsid w:val="1CEE68B6"/>
    <w:rsid w:val="1CFD2714"/>
    <w:rsid w:val="1CFD4D4B"/>
    <w:rsid w:val="1D0936F0"/>
    <w:rsid w:val="1D0D1432"/>
    <w:rsid w:val="1D1259D5"/>
    <w:rsid w:val="1D146655"/>
    <w:rsid w:val="1D153533"/>
    <w:rsid w:val="1D16439E"/>
    <w:rsid w:val="1D17405F"/>
    <w:rsid w:val="1D185917"/>
    <w:rsid w:val="1D1B5A75"/>
    <w:rsid w:val="1D2422D8"/>
    <w:rsid w:val="1D2642A2"/>
    <w:rsid w:val="1D266050"/>
    <w:rsid w:val="1D28626C"/>
    <w:rsid w:val="1D2E61D3"/>
    <w:rsid w:val="1D33076D"/>
    <w:rsid w:val="1D340923"/>
    <w:rsid w:val="1D401372"/>
    <w:rsid w:val="1D4043CB"/>
    <w:rsid w:val="1D470009"/>
    <w:rsid w:val="1D4B3699"/>
    <w:rsid w:val="1D5030CD"/>
    <w:rsid w:val="1D544687"/>
    <w:rsid w:val="1D55737A"/>
    <w:rsid w:val="1D562F59"/>
    <w:rsid w:val="1D5711A1"/>
    <w:rsid w:val="1D5F1562"/>
    <w:rsid w:val="1D61352C"/>
    <w:rsid w:val="1D6238FF"/>
    <w:rsid w:val="1D660B43"/>
    <w:rsid w:val="1D683148"/>
    <w:rsid w:val="1D69029B"/>
    <w:rsid w:val="1D69418F"/>
    <w:rsid w:val="1D73335B"/>
    <w:rsid w:val="1D747A33"/>
    <w:rsid w:val="1D7F39B2"/>
    <w:rsid w:val="1D800073"/>
    <w:rsid w:val="1DA41C5A"/>
    <w:rsid w:val="1DA55279"/>
    <w:rsid w:val="1DA769B6"/>
    <w:rsid w:val="1DA8303F"/>
    <w:rsid w:val="1DA96932"/>
    <w:rsid w:val="1DAF24EA"/>
    <w:rsid w:val="1DB21FDA"/>
    <w:rsid w:val="1DB63878"/>
    <w:rsid w:val="1DB754FF"/>
    <w:rsid w:val="1DC53ABB"/>
    <w:rsid w:val="1DC64373"/>
    <w:rsid w:val="1DCF66E8"/>
    <w:rsid w:val="1DD51824"/>
    <w:rsid w:val="1DD957B9"/>
    <w:rsid w:val="1DDA7E2C"/>
    <w:rsid w:val="1DDC7057"/>
    <w:rsid w:val="1DE1743A"/>
    <w:rsid w:val="1DE303E5"/>
    <w:rsid w:val="1DE55F0B"/>
    <w:rsid w:val="1DE57CB9"/>
    <w:rsid w:val="1DEA1774"/>
    <w:rsid w:val="1DED6B6E"/>
    <w:rsid w:val="1DEF0DFE"/>
    <w:rsid w:val="1DF61EC7"/>
    <w:rsid w:val="1DFB452B"/>
    <w:rsid w:val="1E0423C5"/>
    <w:rsid w:val="1E0A6367"/>
    <w:rsid w:val="1E0B5246"/>
    <w:rsid w:val="1E124B5C"/>
    <w:rsid w:val="1E14059F"/>
    <w:rsid w:val="1E1B192D"/>
    <w:rsid w:val="1E1B36DB"/>
    <w:rsid w:val="1E1D17EE"/>
    <w:rsid w:val="1E1E7733"/>
    <w:rsid w:val="1E206F43"/>
    <w:rsid w:val="1E2D340E"/>
    <w:rsid w:val="1E2E44E7"/>
    <w:rsid w:val="1E301175"/>
    <w:rsid w:val="1E320A25"/>
    <w:rsid w:val="1E33001D"/>
    <w:rsid w:val="1E430BB2"/>
    <w:rsid w:val="1E455B65"/>
    <w:rsid w:val="1E48649A"/>
    <w:rsid w:val="1E4A5D6E"/>
    <w:rsid w:val="1E4B0F80"/>
    <w:rsid w:val="1E4F5985"/>
    <w:rsid w:val="1E5A048F"/>
    <w:rsid w:val="1E5B7F7C"/>
    <w:rsid w:val="1E5D6D5E"/>
    <w:rsid w:val="1E65704C"/>
    <w:rsid w:val="1E682B71"/>
    <w:rsid w:val="1E733517"/>
    <w:rsid w:val="1E796654"/>
    <w:rsid w:val="1E7B23CC"/>
    <w:rsid w:val="1E85107D"/>
    <w:rsid w:val="1E8A0861"/>
    <w:rsid w:val="1E90231B"/>
    <w:rsid w:val="1E926F12"/>
    <w:rsid w:val="1E946EB8"/>
    <w:rsid w:val="1E957931"/>
    <w:rsid w:val="1E996489"/>
    <w:rsid w:val="1E9A5DA3"/>
    <w:rsid w:val="1EA02135"/>
    <w:rsid w:val="1EA2792C"/>
    <w:rsid w:val="1EA57449"/>
    <w:rsid w:val="1EB34D89"/>
    <w:rsid w:val="1EBA2EF4"/>
    <w:rsid w:val="1EBB3C09"/>
    <w:rsid w:val="1EBD0C36"/>
    <w:rsid w:val="1EC02A83"/>
    <w:rsid w:val="1ED01AE8"/>
    <w:rsid w:val="1ED06545"/>
    <w:rsid w:val="1ED3045A"/>
    <w:rsid w:val="1ED32208"/>
    <w:rsid w:val="1ED85A70"/>
    <w:rsid w:val="1EDD2F7B"/>
    <w:rsid w:val="1EE73F05"/>
    <w:rsid w:val="1EEA622B"/>
    <w:rsid w:val="1EEC146E"/>
    <w:rsid w:val="1EF26B32"/>
    <w:rsid w:val="1EF34658"/>
    <w:rsid w:val="1EF36406"/>
    <w:rsid w:val="1EF80128"/>
    <w:rsid w:val="1EFF2FFD"/>
    <w:rsid w:val="1F0C1276"/>
    <w:rsid w:val="1F0E5964"/>
    <w:rsid w:val="1F112955"/>
    <w:rsid w:val="1F130856"/>
    <w:rsid w:val="1F132604"/>
    <w:rsid w:val="1F134CFA"/>
    <w:rsid w:val="1F1B2C7B"/>
    <w:rsid w:val="1F1E30AE"/>
    <w:rsid w:val="1F1F369F"/>
    <w:rsid w:val="1F206DEB"/>
    <w:rsid w:val="1F2962CC"/>
    <w:rsid w:val="1F2A3348"/>
    <w:rsid w:val="1F2C1918"/>
    <w:rsid w:val="1F3360E0"/>
    <w:rsid w:val="1F3678CE"/>
    <w:rsid w:val="1F443106"/>
    <w:rsid w:val="1F444EB4"/>
    <w:rsid w:val="1F487C3F"/>
    <w:rsid w:val="1F4B1DA5"/>
    <w:rsid w:val="1F4E7AE0"/>
    <w:rsid w:val="1F501AAA"/>
    <w:rsid w:val="1F502B79"/>
    <w:rsid w:val="1F526B25"/>
    <w:rsid w:val="1F5359BE"/>
    <w:rsid w:val="1F572E39"/>
    <w:rsid w:val="1F5835FA"/>
    <w:rsid w:val="1F590D48"/>
    <w:rsid w:val="1F654E00"/>
    <w:rsid w:val="1F6D440A"/>
    <w:rsid w:val="1F6E1F30"/>
    <w:rsid w:val="1F700CB2"/>
    <w:rsid w:val="1F75506D"/>
    <w:rsid w:val="1F770DE5"/>
    <w:rsid w:val="1F7A1770"/>
    <w:rsid w:val="1F7C1719"/>
    <w:rsid w:val="1F7D07B7"/>
    <w:rsid w:val="1F856DAB"/>
    <w:rsid w:val="1F8E612F"/>
    <w:rsid w:val="1F9C4CF0"/>
    <w:rsid w:val="1F9D6372"/>
    <w:rsid w:val="1FA2402F"/>
    <w:rsid w:val="1FA37D0D"/>
    <w:rsid w:val="1FA44662"/>
    <w:rsid w:val="1FA53BA4"/>
    <w:rsid w:val="1FAE057F"/>
    <w:rsid w:val="1FB75686"/>
    <w:rsid w:val="1FB86029"/>
    <w:rsid w:val="1FBA5176"/>
    <w:rsid w:val="1FC20A57"/>
    <w:rsid w:val="1FC20A8C"/>
    <w:rsid w:val="1FC319E3"/>
    <w:rsid w:val="1FC57DA2"/>
    <w:rsid w:val="1FC83070"/>
    <w:rsid w:val="1FD44489"/>
    <w:rsid w:val="1FD46AEE"/>
    <w:rsid w:val="1FDD4A1F"/>
    <w:rsid w:val="1FE55012"/>
    <w:rsid w:val="1FEA7809"/>
    <w:rsid w:val="1FEC297E"/>
    <w:rsid w:val="1FEE0A7F"/>
    <w:rsid w:val="1FF22B62"/>
    <w:rsid w:val="1FF468DA"/>
    <w:rsid w:val="1FFC753C"/>
    <w:rsid w:val="1FFE50E3"/>
    <w:rsid w:val="1FFF3961"/>
    <w:rsid w:val="20001123"/>
    <w:rsid w:val="200A1C59"/>
    <w:rsid w:val="20140D2A"/>
    <w:rsid w:val="20191E9C"/>
    <w:rsid w:val="201A79C2"/>
    <w:rsid w:val="201C2ED4"/>
    <w:rsid w:val="201F0E5A"/>
    <w:rsid w:val="201F1CFC"/>
    <w:rsid w:val="202773F9"/>
    <w:rsid w:val="202C4ABA"/>
    <w:rsid w:val="202D5DC8"/>
    <w:rsid w:val="203171E6"/>
    <w:rsid w:val="20337402"/>
    <w:rsid w:val="203474F7"/>
    <w:rsid w:val="20387CF2"/>
    <w:rsid w:val="203E7B55"/>
    <w:rsid w:val="20421585"/>
    <w:rsid w:val="2046278C"/>
    <w:rsid w:val="20592BE1"/>
    <w:rsid w:val="205E01F7"/>
    <w:rsid w:val="205E1FA5"/>
    <w:rsid w:val="2060114C"/>
    <w:rsid w:val="2060790C"/>
    <w:rsid w:val="20621A95"/>
    <w:rsid w:val="20637207"/>
    <w:rsid w:val="206615FE"/>
    <w:rsid w:val="20670E5A"/>
    <w:rsid w:val="206749B4"/>
    <w:rsid w:val="20683E15"/>
    <w:rsid w:val="206D21E8"/>
    <w:rsid w:val="206F5F60"/>
    <w:rsid w:val="20757D89"/>
    <w:rsid w:val="207812B9"/>
    <w:rsid w:val="207B66B3"/>
    <w:rsid w:val="2083345B"/>
    <w:rsid w:val="208863EE"/>
    <w:rsid w:val="208C5913"/>
    <w:rsid w:val="2090637B"/>
    <w:rsid w:val="209C6EA1"/>
    <w:rsid w:val="20A774A8"/>
    <w:rsid w:val="20A91472"/>
    <w:rsid w:val="20AC2BFD"/>
    <w:rsid w:val="20AD2AAA"/>
    <w:rsid w:val="20AF0BE2"/>
    <w:rsid w:val="20B44650"/>
    <w:rsid w:val="20B6593D"/>
    <w:rsid w:val="20B76408"/>
    <w:rsid w:val="20BB1E21"/>
    <w:rsid w:val="20C444FE"/>
    <w:rsid w:val="20C95363"/>
    <w:rsid w:val="20C95670"/>
    <w:rsid w:val="20CD2A98"/>
    <w:rsid w:val="20D15644"/>
    <w:rsid w:val="20D504B9"/>
    <w:rsid w:val="20DB741A"/>
    <w:rsid w:val="20E410EC"/>
    <w:rsid w:val="20E4139D"/>
    <w:rsid w:val="20E6410B"/>
    <w:rsid w:val="20E64474"/>
    <w:rsid w:val="20F621DE"/>
    <w:rsid w:val="20F85D62"/>
    <w:rsid w:val="20F87D04"/>
    <w:rsid w:val="210B3EDB"/>
    <w:rsid w:val="210D2C11"/>
    <w:rsid w:val="21192959"/>
    <w:rsid w:val="211A0BFC"/>
    <w:rsid w:val="21224D81"/>
    <w:rsid w:val="21224FEE"/>
    <w:rsid w:val="2129610F"/>
    <w:rsid w:val="212C3E51"/>
    <w:rsid w:val="212D20A3"/>
    <w:rsid w:val="21365E00"/>
    <w:rsid w:val="213845A4"/>
    <w:rsid w:val="213A42B7"/>
    <w:rsid w:val="213B1715"/>
    <w:rsid w:val="213D1BBA"/>
    <w:rsid w:val="21423675"/>
    <w:rsid w:val="21425423"/>
    <w:rsid w:val="21466C89"/>
    <w:rsid w:val="214967B1"/>
    <w:rsid w:val="21501E7F"/>
    <w:rsid w:val="21527B7A"/>
    <w:rsid w:val="21577120"/>
    <w:rsid w:val="21586079"/>
    <w:rsid w:val="2159776B"/>
    <w:rsid w:val="21617F9F"/>
    <w:rsid w:val="216E6218"/>
    <w:rsid w:val="21771570"/>
    <w:rsid w:val="217750CC"/>
    <w:rsid w:val="217A696B"/>
    <w:rsid w:val="21863C06"/>
    <w:rsid w:val="219865D1"/>
    <w:rsid w:val="219E4D4F"/>
    <w:rsid w:val="21A34113"/>
    <w:rsid w:val="21A97250"/>
    <w:rsid w:val="21AB5206"/>
    <w:rsid w:val="21B10818"/>
    <w:rsid w:val="21B57A7C"/>
    <w:rsid w:val="21BC5B6A"/>
    <w:rsid w:val="21BC6F83"/>
    <w:rsid w:val="21BE719F"/>
    <w:rsid w:val="21BF0961"/>
    <w:rsid w:val="21C03B6C"/>
    <w:rsid w:val="21C10A3D"/>
    <w:rsid w:val="21C117C8"/>
    <w:rsid w:val="21C32C2D"/>
    <w:rsid w:val="21C86500"/>
    <w:rsid w:val="21CC0404"/>
    <w:rsid w:val="21D27278"/>
    <w:rsid w:val="21DB0BF3"/>
    <w:rsid w:val="21DD3243"/>
    <w:rsid w:val="21DE15EF"/>
    <w:rsid w:val="21DE7835"/>
    <w:rsid w:val="21E16521"/>
    <w:rsid w:val="21E5472C"/>
    <w:rsid w:val="21EA09A9"/>
    <w:rsid w:val="21EA1D42"/>
    <w:rsid w:val="21EB5ABA"/>
    <w:rsid w:val="21F94BEC"/>
    <w:rsid w:val="21FE57EE"/>
    <w:rsid w:val="21FF3314"/>
    <w:rsid w:val="2201405F"/>
    <w:rsid w:val="22022EA1"/>
    <w:rsid w:val="22054089"/>
    <w:rsid w:val="220B3A67"/>
    <w:rsid w:val="220B7F0B"/>
    <w:rsid w:val="220C01B5"/>
    <w:rsid w:val="22196184"/>
    <w:rsid w:val="221B2F87"/>
    <w:rsid w:val="221C3EC6"/>
    <w:rsid w:val="221E7C3E"/>
    <w:rsid w:val="222075E8"/>
    <w:rsid w:val="2221328A"/>
    <w:rsid w:val="22235F69"/>
    <w:rsid w:val="22237C6E"/>
    <w:rsid w:val="22275D7A"/>
    <w:rsid w:val="222C5B8B"/>
    <w:rsid w:val="222E1BA3"/>
    <w:rsid w:val="222E30EB"/>
    <w:rsid w:val="223245CE"/>
    <w:rsid w:val="22347461"/>
    <w:rsid w:val="223C0251"/>
    <w:rsid w:val="224017D1"/>
    <w:rsid w:val="22407BB4"/>
    <w:rsid w:val="224156DA"/>
    <w:rsid w:val="224357B9"/>
    <w:rsid w:val="22467474"/>
    <w:rsid w:val="22497BDD"/>
    <w:rsid w:val="22554145"/>
    <w:rsid w:val="22561186"/>
    <w:rsid w:val="225D6265"/>
    <w:rsid w:val="2265586D"/>
    <w:rsid w:val="22697339"/>
    <w:rsid w:val="227710FC"/>
    <w:rsid w:val="227F528A"/>
    <w:rsid w:val="228C128A"/>
    <w:rsid w:val="229323DA"/>
    <w:rsid w:val="229C3D38"/>
    <w:rsid w:val="229E7F41"/>
    <w:rsid w:val="22A00653"/>
    <w:rsid w:val="22A81DC2"/>
    <w:rsid w:val="22A9658B"/>
    <w:rsid w:val="22AD4B1E"/>
    <w:rsid w:val="22BA5139"/>
    <w:rsid w:val="22BF35B5"/>
    <w:rsid w:val="22C02AA3"/>
    <w:rsid w:val="22C24A6D"/>
    <w:rsid w:val="22C2681B"/>
    <w:rsid w:val="22C504CA"/>
    <w:rsid w:val="22C87CCC"/>
    <w:rsid w:val="22CE11F8"/>
    <w:rsid w:val="22D30A28"/>
    <w:rsid w:val="22D8603F"/>
    <w:rsid w:val="22E30E6F"/>
    <w:rsid w:val="22E44DFB"/>
    <w:rsid w:val="22E82A66"/>
    <w:rsid w:val="22F05754"/>
    <w:rsid w:val="22F10EAE"/>
    <w:rsid w:val="22F50CC7"/>
    <w:rsid w:val="22FB1D2D"/>
    <w:rsid w:val="22FF181D"/>
    <w:rsid w:val="23007343"/>
    <w:rsid w:val="23056708"/>
    <w:rsid w:val="230A068C"/>
    <w:rsid w:val="230B46A1"/>
    <w:rsid w:val="230F7587"/>
    <w:rsid w:val="23106021"/>
    <w:rsid w:val="23134BEE"/>
    <w:rsid w:val="231A3CFC"/>
    <w:rsid w:val="231D1CA3"/>
    <w:rsid w:val="231E77CA"/>
    <w:rsid w:val="2323152C"/>
    <w:rsid w:val="23273161"/>
    <w:rsid w:val="23294AEC"/>
    <w:rsid w:val="233314C7"/>
    <w:rsid w:val="233B037C"/>
    <w:rsid w:val="234057AC"/>
    <w:rsid w:val="234611FA"/>
    <w:rsid w:val="23464509"/>
    <w:rsid w:val="234B4A63"/>
    <w:rsid w:val="234E6301"/>
    <w:rsid w:val="235356C5"/>
    <w:rsid w:val="235D02F2"/>
    <w:rsid w:val="235D6544"/>
    <w:rsid w:val="235F60F6"/>
    <w:rsid w:val="2366364A"/>
    <w:rsid w:val="236941EC"/>
    <w:rsid w:val="23733FB9"/>
    <w:rsid w:val="23737B15"/>
    <w:rsid w:val="2374611D"/>
    <w:rsid w:val="23757D31"/>
    <w:rsid w:val="237815D0"/>
    <w:rsid w:val="23790E1A"/>
    <w:rsid w:val="237C48EC"/>
    <w:rsid w:val="237D0BB0"/>
    <w:rsid w:val="237F0DE4"/>
    <w:rsid w:val="238166D6"/>
    <w:rsid w:val="23865A9B"/>
    <w:rsid w:val="2389558B"/>
    <w:rsid w:val="238A3C26"/>
    <w:rsid w:val="238B1303"/>
    <w:rsid w:val="23931F66"/>
    <w:rsid w:val="23954366"/>
    <w:rsid w:val="23961D95"/>
    <w:rsid w:val="239B0E1A"/>
    <w:rsid w:val="239E2206"/>
    <w:rsid w:val="23A002E8"/>
    <w:rsid w:val="23A01B41"/>
    <w:rsid w:val="23A03458"/>
    <w:rsid w:val="23A07159"/>
    <w:rsid w:val="23A128D5"/>
    <w:rsid w:val="23A2788A"/>
    <w:rsid w:val="23A45F21"/>
    <w:rsid w:val="23A46FD4"/>
    <w:rsid w:val="23A6613D"/>
    <w:rsid w:val="23A777BF"/>
    <w:rsid w:val="23A83C63"/>
    <w:rsid w:val="23B75C54"/>
    <w:rsid w:val="23BD6FE3"/>
    <w:rsid w:val="23BF2D5B"/>
    <w:rsid w:val="23BF50E6"/>
    <w:rsid w:val="23C46BCA"/>
    <w:rsid w:val="23CA393A"/>
    <w:rsid w:val="23CB775D"/>
    <w:rsid w:val="23CC1B0D"/>
    <w:rsid w:val="23D26F32"/>
    <w:rsid w:val="23D35B56"/>
    <w:rsid w:val="23D5257E"/>
    <w:rsid w:val="23D762F6"/>
    <w:rsid w:val="23D9206E"/>
    <w:rsid w:val="23E9602A"/>
    <w:rsid w:val="23EA026F"/>
    <w:rsid w:val="23ED1676"/>
    <w:rsid w:val="23F511B0"/>
    <w:rsid w:val="23F95D05"/>
    <w:rsid w:val="23F97868"/>
    <w:rsid w:val="23FE3883"/>
    <w:rsid w:val="24015121"/>
    <w:rsid w:val="2403533D"/>
    <w:rsid w:val="2409674D"/>
    <w:rsid w:val="24165E61"/>
    <w:rsid w:val="24174945"/>
    <w:rsid w:val="241C1F5B"/>
    <w:rsid w:val="242342E3"/>
    <w:rsid w:val="242343C0"/>
    <w:rsid w:val="24247062"/>
    <w:rsid w:val="2426102C"/>
    <w:rsid w:val="242B219E"/>
    <w:rsid w:val="24303C58"/>
    <w:rsid w:val="24350A36"/>
    <w:rsid w:val="2435126F"/>
    <w:rsid w:val="243A6885"/>
    <w:rsid w:val="243F5C4A"/>
    <w:rsid w:val="244020ED"/>
    <w:rsid w:val="244C538F"/>
    <w:rsid w:val="245575FF"/>
    <w:rsid w:val="2457471E"/>
    <w:rsid w:val="24596D0B"/>
    <w:rsid w:val="245E07C6"/>
    <w:rsid w:val="246D6C5B"/>
    <w:rsid w:val="247022A7"/>
    <w:rsid w:val="247D6D03"/>
    <w:rsid w:val="24835957"/>
    <w:rsid w:val="24906A06"/>
    <w:rsid w:val="24967F5F"/>
    <w:rsid w:val="24980425"/>
    <w:rsid w:val="24992D39"/>
    <w:rsid w:val="249D12EE"/>
    <w:rsid w:val="24A24B56"/>
    <w:rsid w:val="24A3267C"/>
    <w:rsid w:val="24A563F4"/>
    <w:rsid w:val="24A715BF"/>
    <w:rsid w:val="24A84AD4"/>
    <w:rsid w:val="24B16B47"/>
    <w:rsid w:val="24B228BF"/>
    <w:rsid w:val="24B240B3"/>
    <w:rsid w:val="24B46637"/>
    <w:rsid w:val="24B91EA0"/>
    <w:rsid w:val="24C745BD"/>
    <w:rsid w:val="24CC22FB"/>
    <w:rsid w:val="24CC3981"/>
    <w:rsid w:val="24CD76F9"/>
    <w:rsid w:val="24D252AE"/>
    <w:rsid w:val="24D40A88"/>
    <w:rsid w:val="24D82326"/>
    <w:rsid w:val="24DC0CD0"/>
    <w:rsid w:val="24E24F53"/>
    <w:rsid w:val="24ED04ED"/>
    <w:rsid w:val="24F12100"/>
    <w:rsid w:val="24F37251"/>
    <w:rsid w:val="24F82AF5"/>
    <w:rsid w:val="24FB6014"/>
    <w:rsid w:val="24FE5668"/>
    <w:rsid w:val="2500187D"/>
    <w:rsid w:val="2501161D"/>
    <w:rsid w:val="25021151"/>
    <w:rsid w:val="25034EC9"/>
    <w:rsid w:val="250F6D3B"/>
    <w:rsid w:val="25143F64"/>
    <w:rsid w:val="25146FE6"/>
    <w:rsid w:val="251E1659"/>
    <w:rsid w:val="25227A45"/>
    <w:rsid w:val="252A7D7C"/>
    <w:rsid w:val="252C4420"/>
    <w:rsid w:val="25315EDA"/>
    <w:rsid w:val="253432D4"/>
    <w:rsid w:val="253D4889"/>
    <w:rsid w:val="25401CC2"/>
    <w:rsid w:val="254327E6"/>
    <w:rsid w:val="2547125A"/>
    <w:rsid w:val="25473008"/>
    <w:rsid w:val="254E4396"/>
    <w:rsid w:val="255045B2"/>
    <w:rsid w:val="2551032A"/>
    <w:rsid w:val="25545A31"/>
    <w:rsid w:val="255816B9"/>
    <w:rsid w:val="25611299"/>
    <w:rsid w:val="25661DC7"/>
    <w:rsid w:val="256718FC"/>
    <w:rsid w:val="256C5373"/>
    <w:rsid w:val="25714FBF"/>
    <w:rsid w:val="25745350"/>
    <w:rsid w:val="25756AC1"/>
    <w:rsid w:val="257858B7"/>
    <w:rsid w:val="257C26A0"/>
    <w:rsid w:val="257C7710"/>
    <w:rsid w:val="257F09F3"/>
    <w:rsid w:val="2580651A"/>
    <w:rsid w:val="25861D82"/>
    <w:rsid w:val="2586473A"/>
    <w:rsid w:val="25910727"/>
    <w:rsid w:val="25943EAE"/>
    <w:rsid w:val="259A75DB"/>
    <w:rsid w:val="259E012A"/>
    <w:rsid w:val="25A16BBC"/>
    <w:rsid w:val="25A62424"/>
    <w:rsid w:val="25AE1727"/>
    <w:rsid w:val="25AE6A39"/>
    <w:rsid w:val="25AF331D"/>
    <w:rsid w:val="25B4289D"/>
    <w:rsid w:val="25B508B9"/>
    <w:rsid w:val="25BE3B70"/>
    <w:rsid w:val="25C44658"/>
    <w:rsid w:val="25C63EC8"/>
    <w:rsid w:val="25C82446"/>
    <w:rsid w:val="25CD79B1"/>
    <w:rsid w:val="25CE5834"/>
    <w:rsid w:val="25D02FFD"/>
    <w:rsid w:val="25D11850"/>
    <w:rsid w:val="25D56B1E"/>
    <w:rsid w:val="25E847EB"/>
    <w:rsid w:val="25EB7E37"/>
    <w:rsid w:val="25EC189C"/>
    <w:rsid w:val="25F552F5"/>
    <w:rsid w:val="26061115"/>
    <w:rsid w:val="260E1D77"/>
    <w:rsid w:val="26153106"/>
    <w:rsid w:val="2616153F"/>
    <w:rsid w:val="261A4BC0"/>
    <w:rsid w:val="261D1FBA"/>
    <w:rsid w:val="261F5D33"/>
    <w:rsid w:val="26325A66"/>
    <w:rsid w:val="26347A30"/>
    <w:rsid w:val="263527CB"/>
    <w:rsid w:val="263537A8"/>
    <w:rsid w:val="263A4437"/>
    <w:rsid w:val="264137C8"/>
    <w:rsid w:val="264D0AF2"/>
    <w:rsid w:val="264F6D71"/>
    <w:rsid w:val="265754CC"/>
    <w:rsid w:val="265A6D6B"/>
    <w:rsid w:val="26647BE9"/>
    <w:rsid w:val="26690A04"/>
    <w:rsid w:val="266B541C"/>
    <w:rsid w:val="266C349F"/>
    <w:rsid w:val="26800451"/>
    <w:rsid w:val="26802C75"/>
    <w:rsid w:val="26812549"/>
    <w:rsid w:val="268159F5"/>
    <w:rsid w:val="268400DE"/>
    <w:rsid w:val="26867B60"/>
    <w:rsid w:val="268813BB"/>
    <w:rsid w:val="268F4C66"/>
    <w:rsid w:val="26914158"/>
    <w:rsid w:val="26914E82"/>
    <w:rsid w:val="26924756"/>
    <w:rsid w:val="26946721"/>
    <w:rsid w:val="269A360B"/>
    <w:rsid w:val="269E134D"/>
    <w:rsid w:val="26A06E73"/>
    <w:rsid w:val="26A5092E"/>
    <w:rsid w:val="26AD25D3"/>
    <w:rsid w:val="26BB5E43"/>
    <w:rsid w:val="26BC05C1"/>
    <w:rsid w:val="26C453F7"/>
    <w:rsid w:val="26C8593A"/>
    <w:rsid w:val="26CA3EF0"/>
    <w:rsid w:val="26CA78D4"/>
    <w:rsid w:val="26CD1F3C"/>
    <w:rsid w:val="26D046A2"/>
    <w:rsid w:val="26DF6A52"/>
    <w:rsid w:val="26E060BA"/>
    <w:rsid w:val="26E551E7"/>
    <w:rsid w:val="26E57ABA"/>
    <w:rsid w:val="26E72CF4"/>
    <w:rsid w:val="26E825C8"/>
    <w:rsid w:val="26F03ABB"/>
    <w:rsid w:val="26F4468E"/>
    <w:rsid w:val="26FA353F"/>
    <w:rsid w:val="26FA5E56"/>
    <w:rsid w:val="26FB4FD9"/>
    <w:rsid w:val="2700211E"/>
    <w:rsid w:val="27002EA6"/>
    <w:rsid w:val="27053614"/>
    <w:rsid w:val="27054714"/>
    <w:rsid w:val="27075144"/>
    <w:rsid w:val="270D202F"/>
    <w:rsid w:val="2712321F"/>
    <w:rsid w:val="271635D9"/>
    <w:rsid w:val="271C2272"/>
    <w:rsid w:val="272D3E2A"/>
    <w:rsid w:val="27365D95"/>
    <w:rsid w:val="273854E4"/>
    <w:rsid w:val="273B3040"/>
    <w:rsid w:val="274041B2"/>
    <w:rsid w:val="27545C2A"/>
    <w:rsid w:val="27556925"/>
    <w:rsid w:val="275859A0"/>
    <w:rsid w:val="275D4EC3"/>
    <w:rsid w:val="275F0ADD"/>
    <w:rsid w:val="27604855"/>
    <w:rsid w:val="27664277"/>
    <w:rsid w:val="276738C3"/>
    <w:rsid w:val="276F4A98"/>
    <w:rsid w:val="27716A62"/>
    <w:rsid w:val="277255B9"/>
    <w:rsid w:val="27756435"/>
    <w:rsid w:val="27764078"/>
    <w:rsid w:val="27765E26"/>
    <w:rsid w:val="278E4F1E"/>
    <w:rsid w:val="278F2573"/>
    <w:rsid w:val="27933B14"/>
    <w:rsid w:val="27934C2A"/>
    <w:rsid w:val="279938C3"/>
    <w:rsid w:val="279D0FCC"/>
    <w:rsid w:val="27A04C51"/>
    <w:rsid w:val="27A6495D"/>
    <w:rsid w:val="27A952B9"/>
    <w:rsid w:val="27AC0F35"/>
    <w:rsid w:val="27AC1848"/>
    <w:rsid w:val="27AD0FD9"/>
    <w:rsid w:val="27AF30E6"/>
    <w:rsid w:val="27BA76BA"/>
    <w:rsid w:val="27BB1A8B"/>
    <w:rsid w:val="27BC3B07"/>
    <w:rsid w:val="27D00F92"/>
    <w:rsid w:val="27D112AE"/>
    <w:rsid w:val="27D33279"/>
    <w:rsid w:val="27D43A83"/>
    <w:rsid w:val="27D668C5"/>
    <w:rsid w:val="27DA00E8"/>
    <w:rsid w:val="27E012B3"/>
    <w:rsid w:val="27E24A7C"/>
    <w:rsid w:val="27E35F2B"/>
    <w:rsid w:val="27E67338"/>
    <w:rsid w:val="27EC58B9"/>
    <w:rsid w:val="27F56005"/>
    <w:rsid w:val="27FE6547"/>
    <w:rsid w:val="2802590C"/>
    <w:rsid w:val="28034902"/>
    <w:rsid w:val="280727DE"/>
    <w:rsid w:val="280B47C0"/>
    <w:rsid w:val="28215D92"/>
    <w:rsid w:val="28237FD3"/>
    <w:rsid w:val="282576A5"/>
    <w:rsid w:val="282B65C8"/>
    <w:rsid w:val="28330F7E"/>
    <w:rsid w:val="28353194"/>
    <w:rsid w:val="28373807"/>
    <w:rsid w:val="2838132E"/>
    <w:rsid w:val="283A50A6"/>
    <w:rsid w:val="283B7B44"/>
    <w:rsid w:val="283E2079"/>
    <w:rsid w:val="283F539B"/>
    <w:rsid w:val="28417C27"/>
    <w:rsid w:val="284E54B5"/>
    <w:rsid w:val="285048C9"/>
    <w:rsid w:val="2851569D"/>
    <w:rsid w:val="28670056"/>
    <w:rsid w:val="286C3BC6"/>
    <w:rsid w:val="28795BCE"/>
    <w:rsid w:val="287C746C"/>
    <w:rsid w:val="287E0A6F"/>
    <w:rsid w:val="288325A9"/>
    <w:rsid w:val="288527C5"/>
    <w:rsid w:val="28885E11"/>
    <w:rsid w:val="28943FB7"/>
    <w:rsid w:val="28977FF3"/>
    <w:rsid w:val="28A6273B"/>
    <w:rsid w:val="28AA222B"/>
    <w:rsid w:val="28AC6EC6"/>
    <w:rsid w:val="28AF52BB"/>
    <w:rsid w:val="28AF7842"/>
    <w:rsid w:val="28B135BA"/>
    <w:rsid w:val="28B36B23"/>
    <w:rsid w:val="28B40BDB"/>
    <w:rsid w:val="28C130D1"/>
    <w:rsid w:val="28D177B8"/>
    <w:rsid w:val="28D472A8"/>
    <w:rsid w:val="28D64DCE"/>
    <w:rsid w:val="28DB0637"/>
    <w:rsid w:val="28E35478"/>
    <w:rsid w:val="28E441EA"/>
    <w:rsid w:val="28E952BE"/>
    <w:rsid w:val="28ED2A41"/>
    <w:rsid w:val="28EF68E2"/>
    <w:rsid w:val="28F359EE"/>
    <w:rsid w:val="28F434A6"/>
    <w:rsid w:val="28F60FCD"/>
    <w:rsid w:val="28F65471"/>
    <w:rsid w:val="28FB4835"/>
    <w:rsid w:val="29001E4B"/>
    <w:rsid w:val="29083849"/>
    <w:rsid w:val="290C4C94"/>
    <w:rsid w:val="290C6A42"/>
    <w:rsid w:val="290D4568"/>
    <w:rsid w:val="29154F0A"/>
    <w:rsid w:val="291713AF"/>
    <w:rsid w:val="292F0982"/>
    <w:rsid w:val="29323796"/>
    <w:rsid w:val="29337FB9"/>
    <w:rsid w:val="2935507D"/>
    <w:rsid w:val="293B3D7D"/>
    <w:rsid w:val="293B7327"/>
    <w:rsid w:val="29422464"/>
    <w:rsid w:val="29437F8A"/>
    <w:rsid w:val="294A7A45"/>
    <w:rsid w:val="294C1B9A"/>
    <w:rsid w:val="294D1FF0"/>
    <w:rsid w:val="29506C0A"/>
    <w:rsid w:val="29521447"/>
    <w:rsid w:val="2953145F"/>
    <w:rsid w:val="295D104C"/>
    <w:rsid w:val="295D10C9"/>
    <w:rsid w:val="296323DA"/>
    <w:rsid w:val="29653929"/>
    <w:rsid w:val="296B349B"/>
    <w:rsid w:val="29723D84"/>
    <w:rsid w:val="29747C9B"/>
    <w:rsid w:val="297927B6"/>
    <w:rsid w:val="297A7E50"/>
    <w:rsid w:val="297B3BC8"/>
    <w:rsid w:val="297E0DAB"/>
    <w:rsid w:val="29842A7C"/>
    <w:rsid w:val="298C36DF"/>
    <w:rsid w:val="298E0E4D"/>
    <w:rsid w:val="29982084"/>
    <w:rsid w:val="29982F58"/>
    <w:rsid w:val="29986528"/>
    <w:rsid w:val="299959C8"/>
    <w:rsid w:val="299D17C8"/>
    <w:rsid w:val="29A4380E"/>
    <w:rsid w:val="29A547A1"/>
    <w:rsid w:val="29A7676B"/>
    <w:rsid w:val="29A9603F"/>
    <w:rsid w:val="29AC0433"/>
    <w:rsid w:val="29AC3B4D"/>
    <w:rsid w:val="29AC4C50"/>
    <w:rsid w:val="29AD5CA4"/>
    <w:rsid w:val="29B33362"/>
    <w:rsid w:val="29B85488"/>
    <w:rsid w:val="29B910E9"/>
    <w:rsid w:val="29B94917"/>
    <w:rsid w:val="29BA649E"/>
    <w:rsid w:val="29BB3FC4"/>
    <w:rsid w:val="29BD4E21"/>
    <w:rsid w:val="29C4165C"/>
    <w:rsid w:val="29C51798"/>
    <w:rsid w:val="29C9048F"/>
    <w:rsid w:val="29D15596"/>
    <w:rsid w:val="29D532D8"/>
    <w:rsid w:val="29D644B4"/>
    <w:rsid w:val="29DB01C2"/>
    <w:rsid w:val="29DE589B"/>
    <w:rsid w:val="29E22822"/>
    <w:rsid w:val="29E91916"/>
    <w:rsid w:val="29EC6874"/>
    <w:rsid w:val="29EE6148"/>
    <w:rsid w:val="29EF5E4F"/>
    <w:rsid w:val="29F624D4"/>
    <w:rsid w:val="29FB2613"/>
    <w:rsid w:val="2A057D9F"/>
    <w:rsid w:val="2A0F1521"/>
    <w:rsid w:val="2A104310"/>
    <w:rsid w:val="2A154580"/>
    <w:rsid w:val="2A175BB1"/>
    <w:rsid w:val="2A1A6F3D"/>
    <w:rsid w:val="2A1A7C10"/>
    <w:rsid w:val="2A1D1D28"/>
    <w:rsid w:val="2A2B646C"/>
    <w:rsid w:val="2A3049B2"/>
    <w:rsid w:val="2A383867"/>
    <w:rsid w:val="2A3B0766"/>
    <w:rsid w:val="2A403DF7"/>
    <w:rsid w:val="2A4144C9"/>
    <w:rsid w:val="2A4346E5"/>
    <w:rsid w:val="2A4C4DF3"/>
    <w:rsid w:val="2A6254EB"/>
    <w:rsid w:val="2A651734"/>
    <w:rsid w:val="2A6B1546"/>
    <w:rsid w:val="2A7228D5"/>
    <w:rsid w:val="2A77438F"/>
    <w:rsid w:val="2A7A7B94"/>
    <w:rsid w:val="2A7C19A5"/>
    <w:rsid w:val="2A7C5494"/>
    <w:rsid w:val="2A842608"/>
    <w:rsid w:val="2A8645D2"/>
    <w:rsid w:val="2A866380"/>
    <w:rsid w:val="2A8C55B9"/>
    <w:rsid w:val="2A900FAD"/>
    <w:rsid w:val="2A9071FF"/>
    <w:rsid w:val="2A954347"/>
    <w:rsid w:val="2A9D36CA"/>
    <w:rsid w:val="2AAA7910"/>
    <w:rsid w:val="2AAB5DE7"/>
    <w:rsid w:val="2AAD6003"/>
    <w:rsid w:val="2AB01024"/>
    <w:rsid w:val="2AB0164F"/>
    <w:rsid w:val="2AB54EB7"/>
    <w:rsid w:val="2ABC1DA2"/>
    <w:rsid w:val="2AC12C56"/>
    <w:rsid w:val="2AC903B8"/>
    <w:rsid w:val="2ACE1AD5"/>
    <w:rsid w:val="2AD03A9F"/>
    <w:rsid w:val="2AD62011"/>
    <w:rsid w:val="2AD74E2E"/>
    <w:rsid w:val="2ADB491E"/>
    <w:rsid w:val="2ADE5822"/>
    <w:rsid w:val="2AE449EF"/>
    <w:rsid w:val="2AE61515"/>
    <w:rsid w:val="2AE80DE9"/>
    <w:rsid w:val="2AF063EA"/>
    <w:rsid w:val="2AF07C38"/>
    <w:rsid w:val="2AF7727E"/>
    <w:rsid w:val="2AF969E5"/>
    <w:rsid w:val="2AFB4FC0"/>
    <w:rsid w:val="2B022702"/>
    <w:rsid w:val="2B057BED"/>
    <w:rsid w:val="2B0D4CF3"/>
    <w:rsid w:val="2B117FBD"/>
    <w:rsid w:val="2B12230A"/>
    <w:rsid w:val="2B1B2F6C"/>
    <w:rsid w:val="2B1F5B82"/>
    <w:rsid w:val="2B2222B4"/>
    <w:rsid w:val="2B22254D"/>
    <w:rsid w:val="2B230073"/>
    <w:rsid w:val="2B243D25"/>
    <w:rsid w:val="2B317013"/>
    <w:rsid w:val="2B404781"/>
    <w:rsid w:val="2B406E77"/>
    <w:rsid w:val="2B406F3B"/>
    <w:rsid w:val="2B45623B"/>
    <w:rsid w:val="2B465B0F"/>
    <w:rsid w:val="2B500602"/>
    <w:rsid w:val="2B536BAA"/>
    <w:rsid w:val="2B546E8B"/>
    <w:rsid w:val="2B5841C1"/>
    <w:rsid w:val="2B5D17D7"/>
    <w:rsid w:val="2B5E54DD"/>
    <w:rsid w:val="2B5E72FD"/>
    <w:rsid w:val="2B667F60"/>
    <w:rsid w:val="2B692AFB"/>
    <w:rsid w:val="2B6B06FC"/>
    <w:rsid w:val="2B6E5792"/>
    <w:rsid w:val="2B6F150A"/>
    <w:rsid w:val="2B7100AF"/>
    <w:rsid w:val="2B715282"/>
    <w:rsid w:val="2B7669E8"/>
    <w:rsid w:val="2B782E43"/>
    <w:rsid w:val="2B812A64"/>
    <w:rsid w:val="2B8A00F2"/>
    <w:rsid w:val="2B8A6344"/>
    <w:rsid w:val="2B8E7BE2"/>
    <w:rsid w:val="2B942AB9"/>
    <w:rsid w:val="2B9B22FF"/>
    <w:rsid w:val="2B9D1BD3"/>
    <w:rsid w:val="2B9D7E25"/>
    <w:rsid w:val="2BA80578"/>
    <w:rsid w:val="2BB0224F"/>
    <w:rsid w:val="2BB53814"/>
    <w:rsid w:val="2BB62C95"/>
    <w:rsid w:val="2BBB64FD"/>
    <w:rsid w:val="2BBD475C"/>
    <w:rsid w:val="2BC30558"/>
    <w:rsid w:val="2BC628A0"/>
    <w:rsid w:val="2BC96E6C"/>
    <w:rsid w:val="2BCF1FA9"/>
    <w:rsid w:val="2BD026C0"/>
    <w:rsid w:val="2BD50571"/>
    <w:rsid w:val="2BD61589"/>
    <w:rsid w:val="2BDA26D1"/>
    <w:rsid w:val="2BDB26FC"/>
    <w:rsid w:val="2BDF21EC"/>
    <w:rsid w:val="2BE24455"/>
    <w:rsid w:val="2BE33E3D"/>
    <w:rsid w:val="2BE5357A"/>
    <w:rsid w:val="2BED035B"/>
    <w:rsid w:val="2BEE242F"/>
    <w:rsid w:val="2BF81500"/>
    <w:rsid w:val="2C041C52"/>
    <w:rsid w:val="2C0C0B07"/>
    <w:rsid w:val="2C1D4AC2"/>
    <w:rsid w:val="2C24674A"/>
    <w:rsid w:val="2C271DE5"/>
    <w:rsid w:val="2C385DA0"/>
    <w:rsid w:val="2C3D1051"/>
    <w:rsid w:val="2C4C35F9"/>
    <w:rsid w:val="2C5532FC"/>
    <w:rsid w:val="2C5A5D16"/>
    <w:rsid w:val="2C5B1670"/>
    <w:rsid w:val="2C611306"/>
    <w:rsid w:val="2C697D08"/>
    <w:rsid w:val="2C6B1CD2"/>
    <w:rsid w:val="2C701096"/>
    <w:rsid w:val="2C7768C8"/>
    <w:rsid w:val="2C7843EE"/>
    <w:rsid w:val="2C7A3CC3"/>
    <w:rsid w:val="2C7A714B"/>
    <w:rsid w:val="2C81606C"/>
    <w:rsid w:val="2C840FE5"/>
    <w:rsid w:val="2C842D93"/>
    <w:rsid w:val="2C8F5E2C"/>
    <w:rsid w:val="2C91102F"/>
    <w:rsid w:val="2C9373C6"/>
    <w:rsid w:val="2C9A7267"/>
    <w:rsid w:val="2C9E3E47"/>
    <w:rsid w:val="2CA451E4"/>
    <w:rsid w:val="2CA70830"/>
    <w:rsid w:val="2CAD4D09"/>
    <w:rsid w:val="2CAD7B68"/>
    <w:rsid w:val="2CB0732E"/>
    <w:rsid w:val="2CC67E51"/>
    <w:rsid w:val="2CC8314B"/>
    <w:rsid w:val="2CD44726"/>
    <w:rsid w:val="2CE101B5"/>
    <w:rsid w:val="2CE101E6"/>
    <w:rsid w:val="2CE37ABA"/>
    <w:rsid w:val="2CE545FA"/>
    <w:rsid w:val="2CE80347"/>
    <w:rsid w:val="2CED26E7"/>
    <w:rsid w:val="2CF27CFD"/>
    <w:rsid w:val="2CF55A3F"/>
    <w:rsid w:val="2CF91A3F"/>
    <w:rsid w:val="2D084723"/>
    <w:rsid w:val="2D0A14EA"/>
    <w:rsid w:val="2D11433C"/>
    <w:rsid w:val="2D1759B5"/>
    <w:rsid w:val="2D1B54A6"/>
    <w:rsid w:val="2D1C4D7A"/>
    <w:rsid w:val="2D1F486A"/>
    <w:rsid w:val="2D2105E2"/>
    <w:rsid w:val="2D26209C"/>
    <w:rsid w:val="2D263E4A"/>
    <w:rsid w:val="2D275BA3"/>
    <w:rsid w:val="2D290A99"/>
    <w:rsid w:val="2D2B1556"/>
    <w:rsid w:val="2D2D342B"/>
    <w:rsid w:val="2D2E5A54"/>
    <w:rsid w:val="2D2F4155"/>
    <w:rsid w:val="2D3227EF"/>
    <w:rsid w:val="2D3C541C"/>
    <w:rsid w:val="2D3C71CA"/>
    <w:rsid w:val="2D3D4A7E"/>
    <w:rsid w:val="2D412230"/>
    <w:rsid w:val="2D4B38B1"/>
    <w:rsid w:val="2D4B51F3"/>
    <w:rsid w:val="2D4F6EFD"/>
    <w:rsid w:val="2D510EC7"/>
    <w:rsid w:val="2D517119"/>
    <w:rsid w:val="2D572256"/>
    <w:rsid w:val="2D5A6D4E"/>
    <w:rsid w:val="2D5B3AF4"/>
    <w:rsid w:val="2D5C5ABE"/>
    <w:rsid w:val="2D5E6954"/>
    <w:rsid w:val="2D616C31"/>
    <w:rsid w:val="2D665D7B"/>
    <w:rsid w:val="2D6669F1"/>
    <w:rsid w:val="2D6C14C5"/>
    <w:rsid w:val="2D702154"/>
    <w:rsid w:val="2D7B5F44"/>
    <w:rsid w:val="2D835592"/>
    <w:rsid w:val="2D882649"/>
    <w:rsid w:val="2D8B168E"/>
    <w:rsid w:val="2D917516"/>
    <w:rsid w:val="2D917923"/>
    <w:rsid w:val="2D947006"/>
    <w:rsid w:val="2D960FD0"/>
    <w:rsid w:val="2DA42713"/>
    <w:rsid w:val="2DAD5B30"/>
    <w:rsid w:val="2DAE631A"/>
    <w:rsid w:val="2DB17BB8"/>
    <w:rsid w:val="2DB6793F"/>
    <w:rsid w:val="2DBA2F11"/>
    <w:rsid w:val="2DBD655D"/>
    <w:rsid w:val="2DC45B3D"/>
    <w:rsid w:val="2DC75CF6"/>
    <w:rsid w:val="2DCB7356"/>
    <w:rsid w:val="2DCD2E76"/>
    <w:rsid w:val="2DD83785"/>
    <w:rsid w:val="2DE0224B"/>
    <w:rsid w:val="2DE735DA"/>
    <w:rsid w:val="2DED54D0"/>
    <w:rsid w:val="2DF126AA"/>
    <w:rsid w:val="2DFA155F"/>
    <w:rsid w:val="2DFF6B75"/>
    <w:rsid w:val="2E00469C"/>
    <w:rsid w:val="2E057F04"/>
    <w:rsid w:val="2E077682"/>
    <w:rsid w:val="2E0777D8"/>
    <w:rsid w:val="2E163EBF"/>
    <w:rsid w:val="2E183793"/>
    <w:rsid w:val="2E19750B"/>
    <w:rsid w:val="2E1A7AB6"/>
    <w:rsid w:val="2E222864"/>
    <w:rsid w:val="2E24038A"/>
    <w:rsid w:val="2E2959A0"/>
    <w:rsid w:val="2E2A34C6"/>
    <w:rsid w:val="2E2B4900"/>
    <w:rsid w:val="2E3424AE"/>
    <w:rsid w:val="2E374675"/>
    <w:rsid w:val="2E3D769E"/>
    <w:rsid w:val="2E402CEA"/>
    <w:rsid w:val="2E46248D"/>
    <w:rsid w:val="2E4C0111"/>
    <w:rsid w:val="2E4E18AB"/>
    <w:rsid w:val="2E516871"/>
    <w:rsid w:val="2E5A3DAC"/>
    <w:rsid w:val="2E5F2430"/>
    <w:rsid w:val="2E61338C"/>
    <w:rsid w:val="2E6811A4"/>
    <w:rsid w:val="2E6B139C"/>
    <w:rsid w:val="2E734E6D"/>
    <w:rsid w:val="2E770D48"/>
    <w:rsid w:val="2E785B7F"/>
    <w:rsid w:val="2E7B5A25"/>
    <w:rsid w:val="2E7B7ED2"/>
    <w:rsid w:val="2E7F0BD1"/>
    <w:rsid w:val="2E89566F"/>
    <w:rsid w:val="2E905A1F"/>
    <w:rsid w:val="2E92692A"/>
    <w:rsid w:val="2E980200"/>
    <w:rsid w:val="2E9F2106"/>
    <w:rsid w:val="2EA96AE1"/>
    <w:rsid w:val="2EAA67C5"/>
    <w:rsid w:val="2EAE163D"/>
    <w:rsid w:val="2EB4146B"/>
    <w:rsid w:val="2EB41A36"/>
    <w:rsid w:val="2EB60132"/>
    <w:rsid w:val="2EBA3D06"/>
    <w:rsid w:val="2EBC4A66"/>
    <w:rsid w:val="2EBF6305"/>
    <w:rsid w:val="2EC15BD9"/>
    <w:rsid w:val="2EC35C05"/>
    <w:rsid w:val="2ECE02F6"/>
    <w:rsid w:val="2ED31DB0"/>
    <w:rsid w:val="2ED3590C"/>
    <w:rsid w:val="2EDB1BAF"/>
    <w:rsid w:val="2EDE1246"/>
    <w:rsid w:val="2EE558B6"/>
    <w:rsid w:val="2EE6563F"/>
    <w:rsid w:val="2EE87609"/>
    <w:rsid w:val="2EEB534C"/>
    <w:rsid w:val="2EF53AD4"/>
    <w:rsid w:val="2F011A5C"/>
    <w:rsid w:val="2F037674"/>
    <w:rsid w:val="2F0409BC"/>
    <w:rsid w:val="2F0A1DA3"/>
    <w:rsid w:val="2F0E5507"/>
    <w:rsid w:val="2F130783"/>
    <w:rsid w:val="2F171C9D"/>
    <w:rsid w:val="2F1C30A3"/>
    <w:rsid w:val="2F1C72B3"/>
    <w:rsid w:val="2F1E127D"/>
    <w:rsid w:val="2F2002E3"/>
    <w:rsid w:val="2F2148C9"/>
    <w:rsid w:val="2F257E5B"/>
    <w:rsid w:val="2F264E44"/>
    <w:rsid w:val="2F2B5748"/>
    <w:rsid w:val="2F2F5238"/>
    <w:rsid w:val="2F3135D9"/>
    <w:rsid w:val="2F3C1703"/>
    <w:rsid w:val="2F407445"/>
    <w:rsid w:val="2F430CE4"/>
    <w:rsid w:val="2F44050F"/>
    <w:rsid w:val="2F4607D4"/>
    <w:rsid w:val="2F47201D"/>
    <w:rsid w:val="2F4B7B98"/>
    <w:rsid w:val="2F507184"/>
    <w:rsid w:val="2F546A4D"/>
    <w:rsid w:val="2F5C4F2B"/>
    <w:rsid w:val="2F5F53F2"/>
    <w:rsid w:val="2F603644"/>
    <w:rsid w:val="2F61116A"/>
    <w:rsid w:val="2F653BA9"/>
    <w:rsid w:val="2F665C5F"/>
    <w:rsid w:val="2F694868"/>
    <w:rsid w:val="2F6C5055"/>
    <w:rsid w:val="2F6C7BC8"/>
    <w:rsid w:val="2F6D7B0F"/>
    <w:rsid w:val="2F6F3887"/>
    <w:rsid w:val="2F77098D"/>
    <w:rsid w:val="2F803CE6"/>
    <w:rsid w:val="2F807842"/>
    <w:rsid w:val="2F8512FC"/>
    <w:rsid w:val="2F8C4586"/>
    <w:rsid w:val="2F8E1F35"/>
    <w:rsid w:val="2F907296"/>
    <w:rsid w:val="2F972DDE"/>
    <w:rsid w:val="2F9822A3"/>
    <w:rsid w:val="2F990904"/>
    <w:rsid w:val="2F9B67AD"/>
    <w:rsid w:val="2F9C03F4"/>
    <w:rsid w:val="2FA31782"/>
    <w:rsid w:val="2FA86D99"/>
    <w:rsid w:val="2FA902FC"/>
    <w:rsid w:val="2FAC1E3E"/>
    <w:rsid w:val="2FB52523"/>
    <w:rsid w:val="2FB618ED"/>
    <w:rsid w:val="2FB61DE0"/>
    <w:rsid w:val="2FB83480"/>
    <w:rsid w:val="2FBB2F70"/>
    <w:rsid w:val="2FBE7AFB"/>
    <w:rsid w:val="2FC064A7"/>
    <w:rsid w:val="2FC8743B"/>
    <w:rsid w:val="2FCD4A51"/>
    <w:rsid w:val="2FCE2CA3"/>
    <w:rsid w:val="2FDA61B5"/>
    <w:rsid w:val="2FDE0A0C"/>
    <w:rsid w:val="2FDF6FE0"/>
    <w:rsid w:val="2FE204FD"/>
    <w:rsid w:val="2FE31AD2"/>
    <w:rsid w:val="2FE85726"/>
    <w:rsid w:val="2FE87BA1"/>
    <w:rsid w:val="2FEE76C7"/>
    <w:rsid w:val="2FF96CC5"/>
    <w:rsid w:val="3002294D"/>
    <w:rsid w:val="300761B5"/>
    <w:rsid w:val="30085C5B"/>
    <w:rsid w:val="30110DE2"/>
    <w:rsid w:val="30204B81"/>
    <w:rsid w:val="30224D9D"/>
    <w:rsid w:val="302C348D"/>
    <w:rsid w:val="302D6BAC"/>
    <w:rsid w:val="303167EA"/>
    <w:rsid w:val="30365D6E"/>
    <w:rsid w:val="303D2C3D"/>
    <w:rsid w:val="30450784"/>
    <w:rsid w:val="30450A8C"/>
    <w:rsid w:val="3046209A"/>
    <w:rsid w:val="304A5411"/>
    <w:rsid w:val="304C2101"/>
    <w:rsid w:val="304D13E0"/>
    <w:rsid w:val="305B3E0B"/>
    <w:rsid w:val="305C369C"/>
    <w:rsid w:val="305C6582"/>
    <w:rsid w:val="30640F12"/>
    <w:rsid w:val="30647164"/>
    <w:rsid w:val="30661DD0"/>
    <w:rsid w:val="306C426A"/>
    <w:rsid w:val="306E1551"/>
    <w:rsid w:val="307C0CB7"/>
    <w:rsid w:val="30800BAF"/>
    <w:rsid w:val="30817D16"/>
    <w:rsid w:val="3086387A"/>
    <w:rsid w:val="30887A78"/>
    <w:rsid w:val="30896BCA"/>
    <w:rsid w:val="308A649E"/>
    <w:rsid w:val="308B0B94"/>
    <w:rsid w:val="308E41E1"/>
    <w:rsid w:val="30976399"/>
    <w:rsid w:val="30986E0D"/>
    <w:rsid w:val="309F019C"/>
    <w:rsid w:val="30A13F14"/>
    <w:rsid w:val="30A27C8C"/>
    <w:rsid w:val="30A46142"/>
    <w:rsid w:val="30A734F4"/>
    <w:rsid w:val="30A9133E"/>
    <w:rsid w:val="30AE4883"/>
    <w:rsid w:val="30B316EE"/>
    <w:rsid w:val="30BD44B4"/>
    <w:rsid w:val="30CB2D3F"/>
    <w:rsid w:val="30CD1A42"/>
    <w:rsid w:val="30DA11D4"/>
    <w:rsid w:val="30DB6CFA"/>
    <w:rsid w:val="30EE2A56"/>
    <w:rsid w:val="30EF4A63"/>
    <w:rsid w:val="30F06C49"/>
    <w:rsid w:val="30F46739"/>
    <w:rsid w:val="310515D6"/>
    <w:rsid w:val="311553CB"/>
    <w:rsid w:val="31163769"/>
    <w:rsid w:val="31172428"/>
    <w:rsid w:val="311B49FF"/>
    <w:rsid w:val="31214900"/>
    <w:rsid w:val="31223F6C"/>
    <w:rsid w:val="31280191"/>
    <w:rsid w:val="312856F9"/>
    <w:rsid w:val="312E32CE"/>
    <w:rsid w:val="313528AE"/>
    <w:rsid w:val="313A1C72"/>
    <w:rsid w:val="3140197F"/>
    <w:rsid w:val="31411253"/>
    <w:rsid w:val="314678FF"/>
    <w:rsid w:val="31481129"/>
    <w:rsid w:val="314D5E4A"/>
    <w:rsid w:val="315216B2"/>
    <w:rsid w:val="31533EC8"/>
    <w:rsid w:val="3155147F"/>
    <w:rsid w:val="3163741B"/>
    <w:rsid w:val="316513E5"/>
    <w:rsid w:val="31673DD6"/>
    <w:rsid w:val="316D029A"/>
    <w:rsid w:val="3171715C"/>
    <w:rsid w:val="31741E1B"/>
    <w:rsid w:val="317433D6"/>
    <w:rsid w:val="317C672F"/>
    <w:rsid w:val="317F0E37"/>
    <w:rsid w:val="3188020F"/>
    <w:rsid w:val="31880C30"/>
    <w:rsid w:val="318D4498"/>
    <w:rsid w:val="31905D36"/>
    <w:rsid w:val="319607EF"/>
    <w:rsid w:val="319F3C0F"/>
    <w:rsid w:val="31A83080"/>
    <w:rsid w:val="31AB03AE"/>
    <w:rsid w:val="31AC1DEB"/>
    <w:rsid w:val="31AD4B3A"/>
    <w:rsid w:val="31B02099"/>
    <w:rsid w:val="31B152B7"/>
    <w:rsid w:val="31B25CAD"/>
    <w:rsid w:val="31B93417"/>
    <w:rsid w:val="31BB1552"/>
    <w:rsid w:val="31BB2DB3"/>
    <w:rsid w:val="31BB7257"/>
    <w:rsid w:val="31BC4D7D"/>
    <w:rsid w:val="31BE79F2"/>
    <w:rsid w:val="31C75B74"/>
    <w:rsid w:val="31CD2AE7"/>
    <w:rsid w:val="31D43E75"/>
    <w:rsid w:val="31D45D6B"/>
    <w:rsid w:val="31D5760D"/>
    <w:rsid w:val="31D86E5C"/>
    <w:rsid w:val="31E22A36"/>
    <w:rsid w:val="31E27284"/>
    <w:rsid w:val="31E52343"/>
    <w:rsid w:val="31EF0CAF"/>
    <w:rsid w:val="31EF2764"/>
    <w:rsid w:val="31F75DB5"/>
    <w:rsid w:val="31FB58A6"/>
    <w:rsid w:val="3201186B"/>
    <w:rsid w:val="321102CB"/>
    <w:rsid w:val="3223620A"/>
    <w:rsid w:val="32282B65"/>
    <w:rsid w:val="322A1CE7"/>
    <w:rsid w:val="322E1BE1"/>
    <w:rsid w:val="322F37A1"/>
    <w:rsid w:val="323808A8"/>
    <w:rsid w:val="323A4202"/>
    <w:rsid w:val="324A3ED3"/>
    <w:rsid w:val="324E632C"/>
    <w:rsid w:val="324F326A"/>
    <w:rsid w:val="32521FE7"/>
    <w:rsid w:val="3259126C"/>
    <w:rsid w:val="326276D3"/>
    <w:rsid w:val="3264169D"/>
    <w:rsid w:val="32655415"/>
    <w:rsid w:val="3276317E"/>
    <w:rsid w:val="327D275F"/>
    <w:rsid w:val="32821B23"/>
    <w:rsid w:val="32832AEC"/>
    <w:rsid w:val="32861AB2"/>
    <w:rsid w:val="329F0E39"/>
    <w:rsid w:val="329F4483"/>
    <w:rsid w:val="32A01FA9"/>
    <w:rsid w:val="32B67A1F"/>
    <w:rsid w:val="32B705FF"/>
    <w:rsid w:val="32B72DD0"/>
    <w:rsid w:val="32BB6DE3"/>
    <w:rsid w:val="32BE3742"/>
    <w:rsid w:val="32BE51C6"/>
    <w:rsid w:val="32BF4263"/>
    <w:rsid w:val="32BF4E5A"/>
    <w:rsid w:val="32C216D7"/>
    <w:rsid w:val="32C831C6"/>
    <w:rsid w:val="32C91500"/>
    <w:rsid w:val="32CA4CF4"/>
    <w:rsid w:val="32D974CB"/>
    <w:rsid w:val="32DA585E"/>
    <w:rsid w:val="32DE7A2F"/>
    <w:rsid w:val="32DF0D23"/>
    <w:rsid w:val="32E20F0D"/>
    <w:rsid w:val="32E30949"/>
    <w:rsid w:val="32E427DE"/>
    <w:rsid w:val="32EB3324"/>
    <w:rsid w:val="32EB591A"/>
    <w:rsid w:val="32F10FE0"/>
    <w:rsid w:val="32F26A71"/>
    <w:rsid w:val="32F43038"/>
    <w:rsid w:val="32F7552F"/>
    <w:rsid w:val="32F95CB7"/>
    <w:rsid w:val="33092244"/>
    <w:rsid w:val="330A3DB0"/>
    <w:rsid w:val="330A6264"/>
    <w:rsid w:val="331050D2"/>
    <w:rsid w:val="331137DA"/>
    <w:rsid w:val="331C1F78"/>
    <w:rsid w:val="331C5AD4"/>
    <w:rsid w:val="33254D78"/>
    <w:rsid w:val="33260700"/>
    <w:rsid w:val="332D7CE1"/>
    <w:rsid w:val="33305A23"/>
    <w:rsid w:val="33332E1D"/>
    <w:rsid w:val="33380434"/>
    <w:rsid w:val="33484716"/>
    <w:rsid w:val="33484B1B"/>
    <w:rsid w:val="33492641"/>
    <w:rsid w:val="335039CF"/>
    <w:rsid w:val="3350645E"/>
    <w:rsid w:val="335C6818"/>
    <w:rsid w:val="335E433E"/>
    <w:rsid w:val="335F5D8A"/>
    <w:rsid w:val="336A0240"/>
    <w:rsid w:val="336B24A4"/>
    <w:rsid w:val="33727EAE"/>
    <w:rsid w:val="33776630"/>
    <w:rsid w:val="33790079"/>
    <w:rsid w:val="337A253B"/>
    <w:rsid w:val="337C2EF9"/>
    <w:rsid w:val="33824AB9"/>
    <w:rsid w:val="33842533"/>
    <w:rsid w:val="33857B1D"/>
    <w:rsid w:val="33896EE1"/>
    <w:rsid w:val="33923FE8"/>
    <w:rsid w:val="33977850"/>
    <w:rsid w:val="339C62D3"/>
    <w:rsid w:val="339E5CE7"/>
    <w:rsid w:val="33A44E48"/>
    <w:rsid w:val="33A8380B"/>
    <w:rsid w:val="33A87367"/>
    <w:rsid w:val="33AD0E22"/>
    <w:rsid w:val="33B141A9"/>
    <w:rsid w:val="33B24B2D"/>
    <w:rsid w:val="33C323F3"/>
    <w:rsid w:val="33C63C25"/>
    <w:rsid w:val="33C85C5B"/>
    <w:rsid w:val="33CF6FEA"/>
    <w:rsid w:val="33D068BE"/>
    <w:rsid w:val="33D53ED4"/>
    <w:rsid w:val="33DC5263"/>
    <w:rsid w:val="33DF6530"/>
    <w:rsid w:val="33E75ED9"/>
    <w:rsid w:val="33ED56C2"/>
    <w:rsid w:val="33F151B2"/>
    <w:rsid w:val="33F425AD"/>
    <w:rsid w:val="33F72506"/>
    <w:rsid w:val="33FA40FA"/>
    <w:rsid w:val="33FB393B"/>
    <w:rsid w:val="33FB7DDF"/>
    <w:rsid w:val="33FC76B3"/>
    <w:rsid w:val="340431F5"/>
    <w:rsid w:val="340439BA"/>
    <w:rsid w:val="34057C38"/>
    <w:rsid w:val="3406440D"/>
    <w:rsid w:val="340734E8"/>
    <w:rsid w:val="340A0022"/>
    <w:rsid w:val="340B5413"/>
    <w:rsid w:val="34110C1F"/>
    <w:rsid w:val="34180991"/>
    <w:rsid w:val="341D5FA7"/>
    <w:rsid w:val="34232E92"/>
    <w:rsid w:val="34237336"/>
    <w:rsid w:val="342525E0"/>
    <w:rsid w:val="342D5ABF"/>
    <w:rsid w:val="342E1F62"/>
    <w:rsid w:val="34313801"/>
    <w:rsid w:val="343707B5"/>
    <w:rsid w:val="343F3CA4"/>
    <w:rsid w:val="34400F81"/>
    <w:rsid w:val="34433534"/>
    <w:rsid w:val="344352E2"/>
    <w:rsid w:val="344D5F4C"/>
    <w:rsid w:val="344D62A8"/>
    <w:rsid w:val="345134E8"/>
    <w:rsid w:val="34557CA7"/>
    <w:rsid w:val="34566510"/>
    <w:rsid w:val="345968B4"/>
    <w:rsid w:val="345B4703"/>
    <w:rsid w:val="346040E6"/>
    <w:rsid w:val="34750B27"/>
    <w:rsid w:val="34796F56"/>
    <w:rsid w:val="347D2504"/>
    <w:rsid w:val="347E456C"/>
    <w:rsid w:val="347F2552"/>
    <w:rsid w:val="348222AE"/>
    <w:rsid w:val="348879B3"/>
    <w:rsid w:val="348C0A37"/>
    <w:rsid w:val="348C5F98"/>
    <w:rsid w:val="348F6779"/>
    <w:rsid w:val="34945B3E"/>
    <w:rsid w:val="349F0EB6"/>
    <w:rsid w:val="34A044E2"/>
    <w:rsid w:val="34A2025B"/>
    <w:rsid w:val="34AD7EA2"/>
    <w:rsid w:val="34AF2198"/>
    <w:rsid w:val="34B54432"/>
    <w:rsid w:val="34B561E0"/>
    <w:rsid w:val="34B63D06"/>
    <w:rsid w:val="34BB4D9A"/>
    <w:rsid w:val="34BC3CC4"/>
    <w:rsid w:val="34BD33AA"/>
    <w:rsid w:val="34C92607"/>
    <w:rsid w:val="34C957E7"/>
    <w:rsid w:val="34CF1B35"/>
    <w:rsid w:val="34D32B0A"/>
    <w:rsid w:val="34D821B1"/>
    <w:rsid w:val="34DE1E93"/>
    <w:rsid w:val="34DF14AF"/>
    <w:rsid w:val="34DF7649"/>
    <w:rsid w:val="34E6283D"/>
    <w:rsid w:val="34EB1C02"/>
    <w:rsid w:val="34EC3BCC"/>
    <w:rsid w:val="34EF1396"/>
    <w:rsid w:val="34EF2594"/>
    <w:rsid w:val="34F22868"/>
    <w:rsid w:val="34F57401"/>
    <w:rsid w:val="34F678C3"/>
    <w:rsid w:val="34FA1E45"/>
    <w:rsid w:val="34FF56AD"/>
    <w:rsid w:val="350512F4"/>
    <w:rsid w:val="350F1FBE"/>
    <w:rsid w:val="3515164C"/>
    <w:rsid w:val="351B1C5A"/>
    <w:rsid w:val="351C6FE4"/>
    <w:rsid w:val="351D3D85"/>
    <w:rsid w:val="3522139B"/>
    <w:rsid w:val="35223149"/>
    <w:rsid w:val="35284C04"/>
    <w:rsid w:val="352E2FCE"/>
    <w:rsid w:val="35303AB8"/>
    <w:rsid w:val="35373099"/>
    <w:rsid w:val="35391794"/>
    <w:rsid w:val="353E7880"/>
    <w:rsid w:val="35415CC5"/>
    <w:rsid w:val="354D7E4F"/>
    <w:rsid w:val="35505F08"/>
    <w:rsid w:val="355157DD"/>
    <w:rsid w:val="3555351F"/>
    <w:rsid w:val="3558300F"/>
    <w:rsid w:val="3558448F"/>
    <w:rsid w:val="355A541B"/>
    <w:rsid w:val="355D23D3"/>
    <w:rsid w:val="355D4F0C"/>
    <w:rsid w:val="356279EA"/>
    <w:rsid w:val="356426B4"/>
    <w:rsid w:val="356674DA"/>
    <w:rsid w:val="3569225E"/>
    <w:rsid w:val="35696FCA"/>
    <w:rsid w:val="356A304A"/>
    <w:rsid w:val="356E45E1"/>
    <w:rsid w:val="35775243"/>
    <w:rsid w:val="3579545F"/>
    <w:rsid w:val="357A4D33"/>
    <w:rsid w:val="357E7296"/>
    <w:rsid w:val="35811AA1"/>
    <w:rsid w:val="35847960"/>
    <w:rsid w:val="35944047"/>
    <w:rsid w:val="359C73A0"/>
    <w:rsid w:val="359D0A22"/>
    <w:rsid w:val="35A02B5B"/>
    <w:rsid w:val="35A02D1F"/>
    <w:rsid w:val="35AF503E"/>
    <w:rsid w:val="35B95EF7"/>
    <w:rsid w:val="35BC70FA"/>
    <w:rsid w:val="35C075D6"/>
    <w:rsid w:val="35C12962"/>
    <w:rsid w:val="35C366DA"/>
    <w:rsid w:val="35CA5CBB"/>
    <w:rsid w:val="35CD1307"/>
    <w:rsid w:val="35CD57AB"/>
    <w:rsid w:val="35D54660"/>
    <w:rsid w:val="35D97CAC"/>
    <w:rsid w:val="35DB380A"/>
    <w:rsid w:val="35DE3514"/>
    <w:rsid w:val="35DF6856"/>
    <w:rsid w:val="35E11256"/>
    <w:rsid w:val="35E13004"/>
    <w:rsid w:val="35E61B94"/>
    <w:rsid w:val="35EA1EB9"/>
    <w:rsid w:val="35EE3A97"/>
    <w:rsid w:val="35F24C5C"/>
    <w:rsid w:val="35F5260C"/>
    <w:rsid w:val="35F60F41"/>
    <w:rsid w:val="35F86203"/>
    <w:rsid w:val="35FC0F9C"/>
    <w:rsid w:val="35FE3505"/>
    <w:rsid w:val="36017203"/>
    <w:rsid w:val="3603644A"/>
    <w:rsid w:val="36065D0D"/>
    <w:rsid w:val="360D1B6A"/>
    <w:rsid w:val="36105698"/>
    <w:rsid w:val="3611372A"/>
    <w:rsid w:val="36114676"/>
    <w:rsid w:val="36127662"/>
    <w:rsid w:val="3619279E"/>
    <w:rsid w:val="361F07A0"/>
    <w:rsid w:val="36211D1F"/>
    <w:rsid w:val="36251143"/>
    <w:rsid w:val="3627310D"/>
    <w:rsid w:val="36274ED6"/>
    <w:rsid w:val="36287986"/>
    <w:rsid w:val="362C0E64"/>
    <w:rsid w:val="363F1E28"/>
    <w:rsid w:val="36462E68"/>
    <w:rsid w:val="364A0BAA"/>
    <w:rsid w:val="364C66D0"/>
    <w:rsid w:val="364D7B49"/>
    <w:rsid w:val="365555C4"/>
    <w:rsid w:val="366003CD"/>
    <w:rsid w:val="36613D32"/>
    <w:rsid w:val="36626C92"/>
    <w:rsid w:val="3665745A"/>
    <w:rsid w:val="36674C84"/>
    <w:rsid w:val="36674E48"/>
    <w:rsid w:val="3669143D"/>
    <w:rsid w:val="366B3B67"/>
    <w:rsid w:val="3674665B"/>
    <w:rsid w:val="36812DC4"/>
    <w:rsid w:val="368C042F"/>
    <w:rsid w:val="368D3997"/>
    <w:rsid w:val="369D1A4B"/>
    <w:rsid w:val="36A24542"/>
    <w:rsid w:val="36A54B31"/>
    <w:rsid w:val="36AA2D8F"/>
    <w:rsid w:val="36B6623F"/>
    <w:rsid w:val="36B808A5"/>
    <w:rsid w:val="36BA5521"/>
    <w:rsid w:val="36BA58B8"/>
    <w:rsid w:val="36BD448A"/>
    <w:rsid w:val="36C546D4"/>
    <w:rsid w:val="36CC15BF"/>
    <w:rsid w:val="36CE273B"/>
    <w:rsid w:val="36D6243D"/>
    <w:rsid w:val="36D809DA"/>
    <w:rsid w:val="36D82651"/>
    <w:rsid w:val="36DB3EF8"/>
    <w:rsid w:val="36DD557A"/>
    <w:rsid w:val="36DE585A"/>
    <w:rsid w:val="36DF7544"/>
    <w:rsid w:val="36E27034"/>
    <w:rsid w:val="36E57358"/>
    <w:rsid w:val="36E80ECA"/>
    <w:rsid w:val="36EB22DB"/>
    <w:rsid w:val="36EC3A0F"/>
    <w:rsid w:val="36F15068"/>
    <w:rsid w:val="36F55F5E"/>
    <w:rsid w:val="36F6488E"/>
    <w:rsid w:val="37042FA5"/>
    <w:rsid w:val="37060F75"/>
    <w:rsid w:val="37114C9C"/>
    <w:rsid w:val="37126A76"/>
    <w:rsid w:val="3720190B"/>
    <w:rsid w:val="37226CD7"/>
    <w:rsid w:val="372413FB"/>
    <w:rsid w:val="37294C63"/>
    <w:rsid w:val="37346941"/>
    <w:rsid w:val="37377380"/>
    <w:rsid w:val="373B4CBF"/>
    <w:rsid w:val="373F6235"/>
    <w:rsid w:val="375515B4"/>
    <w:rsid w:val="3757357E"/>
    <w:rsid w:val="37660D5D"/>
    <w:rsid w:val="376932B2"/>
    <w:rsid w:val="376D0FF4"/>
    <w:rsid w:val="376D2DA2"/>
    <w:rsid w:val="376E6B1A"/>
    <w:rsid w:val="3772660A"/>
    <w:rsid w:val="37773C20"/>
    <w:rsid w:val="3777484E"/>
    <w:rsid w:val="37781747"/>
    <w:rsid w:val="37863E63"/>
    <w:rsid w:val="37865B28"/>
    <w:rsid w:val="37873738"/>
    <w:rsid w:val="378B7890"/>
    <w:rsid w:val="378D51F2"/>
    <w:rsid w:val="378E0F6A"/>
    <w:rsid w:val="37932CF8"/>
    <w:rsid w:val="37964A33"/>
    <w:rsid w:val="37972D5A"/>
    <w:rsid w:val="379F0CA8"/>
    <w:rsid w:val="379F2B4A"/>
    <w:rsid w:val="37A12A4B"/>
    <w:rsid w:val="37A20571"/>
    <w:rsid w:val="37A42E6D"/>
    <w:rsid w:val="37A50E9C"/>
    <w:rsid w:val="37A91A33"/>
    <w:rsid w:val="37B56462"/>
    <w:rsid w:val="37B747BB"/>
    <w:rsid w:val="37B81B43"/>
    <w:rsid w:val="37BD44A8"/>
    <w:rsid w:val="37C761AD"/>
    <w:rsid w:val="37CA6B2B"/>
    <w:rsid w:val="37CB6AAC"/>
    <w:rsid w:val="37D03331"/>
    <w:rsid w:val="37D20543"/>
    <w:rsid w:val="37DA7D0B"/>
    <w:rsid w:val="37DE5A4E"/>
    <w:rsid w:val="37DF2BE6"/>
    <w:rsid w:val="37DF54D9"/>
    <w:rsid w:val="37E62B54"/>
    <w:rsid w:val="37E80A06"/>
    <w:rsid w:val="37EB2F9D"/>
    <w:rsid w:val="37EC4707"/>
    <w:rsid w:val="37EE37B7"/>
    <w:rsid w:val="37EF3BC4"/>
    <w:rsid w:val="37F52D97"/>
    <w:rsid w:val="37F54B45"/>
    <w:rsid w:val="37FC2378"/>
    <w:rsid w:val="38117447"/>
    <w:rsid w:val="381301E6"/>
    <w:rsid w:val="38187B2F"/>
    <w:rsid w:val="38190834"/>
    <w:rsid w:val="381C6576"/>
    <w:rsid w:val="381F1BC2"/>
    <w:rsid w:val="38256139"/>
    <w:rsid w:val="382674B9"/>
    <w:rsid w:val="38312021"/>
    <w:rsid w:val="38342E9A"/>
    <w:rsid w:val="38372745"/>
    <w:rsid w:val="383A69FC"/>
    <w:rsid w:val="383B2EA0"/>
    <w:rsid w:val="383B4C4E"/>
    <w:rsid w:val="383C4522"/>
    <w:rsid w:val="38402264"/>
    <w:rsid w:val="384358F7"/>
    <w:rsid w:val="38482EC7"/>
    <w:rsid w:val="384F11E3"/>
    <w:rsid w:val="38563836"/>
    <w:rsid w:val="385B52F0"/>
    <w:rsid w:val="38604CB4"/>
    <w:rsid w:val="38653A79"/>
    <w:rsid w:val="386A5533"/>
    <w:rsid w:val="386D0B7F"/>
    <w:rsid w:val="386D6DD1"/>
    <w:rsid w:val="387A6545"/>
    <w:rsid w:val="387D65FD"/>
    <w:rsid w:val="389710F3"/>
    <w:rsid w:val="389736C7"/>
    <w:rsid w:val="38984C65"/>
    <w:rsid w:val="38993C8D"/>
    <w:rsid w:val="38996991"/>
    <w:rsid w:val="38A478AE"/>
    <w:rsid w:val="38AF2F46"/>
    <w:rsid w:val="38B05757"/>
    <w:rsid w:val="38B77E9B"/>
    <w:rsid w:val="38BC0B94"/>
    <w:rsid w:val="38C2096A"/>
    <w:rsid w:val="38D86699"/>
    <w:rsid w:val="38D96215"/>
    <w:rsid w:val="38D97FC3"/>
    <w:rsid w:val="38DC1314"/>
    <w:rsid w:val="38E352F8"/>
    <w:rsid w:val="38E74B9E"/>
    <w:rsid w:val="38ED3A6E"/>
    <w:rsid w:val="38F27A29"/>
    <w:rsid w:val="39033292"/>
    <w:rsid w:val="39070FD4"/>
    <w:rsid w:val="3909370E"/>
    <w:rsid w:val="390C0398"/>
    <w:rsid w:val="39144F66"/>
    <w:rsid w:val="391D0123"/>
    <w:rsid w:val="39273424"/>
    <w:rsid w:val="392A27AB"/>
    <w:rsid w:val="392A2FD6"/>
    <w:rsid w:val="392B375B"/>
    <w:rsid w:val="392C1E5E"/>
    <w:rsid w:val="393873DF"/>
    <w:rsid w:val="393940F7"/>
    <w:rsid w:val="393A114C"/>
    <w:rsid w:val="393D67A4"/>
    <w:rsid w:val="394238BD"/>
    <w:rsid w:val="39470F0D"/>
    <w:rsid w:val="3948467A"/>
    <w:rsid w:val="394A59F5"/>
    <w:rsid w:val="394A7E2C"/>
    <w:rsid w:val="394D7CC7"/>
    <w:rsid w:val="39537D75"/>
    <w:rsid w:val="395446BF"/>
    <w:rsid w:val="39556034"/>
    <w:rsid w:val="39557F91"/>
    <w:rsid w:val="39565AB7"/>
    <w:rsid w:val="395A7356"/>
    <w:rsid w:val="395D0BF4"/>
    <w:rsid w:val="395D6E46"/>
    <w:rsid w:val="395F3BF8"/>
    <w:rsid w:val="39691347"/>
    <w:rsid w:val="396D6ECE"/>
    <w:rsid w:val="39700927"/>
    <w:rsid w:val="3973672E"/>
    <w:rsid w:val="39777F08"/>
    <w:rsid w:val="397B107A"/>
    <w:rsid w:val="39833969"/>
    <w:rsid w:val="39853C92"/>
    <w:rsid w:val="398B750F"/>
    <w:rsid w:val="39983E27"/>
    <w:rsid w:val="399E104E"/>
    <w:rsid w:val="399E309B"/>
    <w:rsid w:val="39AD58C4"/>
    <w:rsid w:val="39AE2E6C"/>
    <w:rsid w:val="39B20393"/>
    <w:rsid w:val="39B76556"/>
    <w:rsid w:val="39BC24D5"/>
    <w:rsid w:val="39D45D6B"/>
    <w:rsid w:val="39D52E80"/>
    <w:rsid w:val="39D773D5"/>
    <w:rsid w:val="39DE7F87"/>
    <w:rsid w:val="39E353D5"/>
    <w:rsid w:val="39E430C3"/>
    <w:rsid w:val="39E62997"/>
    <w:rsid w:val="39E920EA"/>
    <w:rsid w:val="3A03179B"/>
    <w:rsid w:val="3A0C37C2"/>
    <w:rsid w:val="3A0F6392"/>
    <w:rsid w:val="3A14701E"/>
    <w:rsid w:val="3A1C0AAF"/>
    <w:rsid w:val="3A212C7F"/>
    <w:rsid w:val="3A212E34"/>
    <w:rsid w:val="3A231E3E"/>
    <w:rsid w:val="3A2603B0"/>
    <w:rsid w:val="3A2D4A6A"/>
    <w:rsid w:val="3A2D5EBD"/>
    <w:rsid w:val="3A2F07E2"/>
    <w:rsid w:val="3A332A11"/>
    <w:rsid w:val="3A383AE9"/>
    <w:rsid w:val="3A3A6667"/>
    <w:rsid w:val="3A3C334E"/>
    <w:rsid w:val="3A402F80"/>
    <w:rsid w:val="3A405A09"/>
    <w:rsid w:val="3A445910"/>
    <w:rsid w:val="3A494C37"/>
    <w:rsid w:val="3A507ABD"/>
    <w:rsid w:val="3A54010E"/>
    <w:rsid w:val="3A647D60"/>
    <w:rsid w:val="3A655FB2"/>
    <w:rsid w:val="3A65618E"/>
    <w:rsid w:val="3A6A35C8"/>
    <w:rsid w:val="3A6A62B8"/>
    <w:rsid w:val="3A6D130B"/>
    <w:rsid w:val="3A6D4884"/>
    <w:rsid w:val="3A6F435C"/>
    <w:rsid w:val="3A766411"/>
    <w:rsid w:val="3A791A5E"/>
    <w:rsid w:val="3A7D23E5"/>
    <w:rsid w:val="3A7E454D"/>
    <w:rsid w:val="3A804FA7"/>
    <w:rsid w:val="3A810BC6"/>
    <w:rsid w:val="3A854A54"/>
    <w:rsid w:val="3A8723CC"/>
    <w:rsid w:val="3A881CA1"/>
    <w:rsid w:val="3A8C79E3"/>
    <w:rsid w:val="3A8F302F"/>
    <w:rsid w:val="3A8F74D3"/>
    <w:rsid w:val="3A920D71"/>
    <w:rsid w:val="3A96260F"/>
    <w:rsid w:val="3A97469E"/>
    <w:rsid w:val="3A98366A"/>
    <w:rsid w:val="3A9B4CC3"/>
    <w:rsid w:val="3AA34D2C"/>
    <w:rsid w:val="3AA40077"/>
    <w:rsid w:val="3AA60379"/>
    <w:rsid w:val="3AA7481D"/>
    <w:rsid w:val="3AA75770"/>
    <w:rsid w:val="3AA77E8B"/>
    <w:rsid w:val="3AA82701"/>
    <w:rsid w:val="3AB407D9"/>
    <w:rsid w:val="3AB75B43"/>
    <w:rsid w:val="3AB807D8"/>
    <w:rsid w:val="3ABA0B8A"/>
    <w:rsid w:val="3AC0768C"/>
    <w:rsid w:val="3AC16F61"/>
    <w:rsid w:val="3AC30B19"/>
    <w:rsid w:val="3AC32A70"/>
    <w:rsid w:val="3AC86541"/>
    <w:rsid w:val="3ACD37CE"/>
    <w:rsid w:val="3ACF167E"/>
    <w:rsid w:val="3AD566CB"/>
    <w:rsid w:val="3ADB0022"/>
    <w:rsid w:val="3ADE3FB6"/>
    <w:rsid w:val="3AEA295B"/>
    <w:rsid w:val="3AEA4709"/>
    <w:rsid w:val="3AF143FE"/>
    <w:rsid w:val="3AF61300"/>
    <w:rsid w:val="3AF85220"/>
    <w:rsid w:val="3AFA638A"/>
    <w:rsid w:val="3AFB2473"/>
    <w:rsid w:val="3AFE2B41"/>
    <w:rsid w:val="3B07350D"/>
    <w:rsid w:val="3B084B8F"/>
    <w:rsid w:val="3B0D0E23"/>
    <w:rsid w:val="3B0D1DC8"/>
    <w:rsid w:val="3B171DD0"/>
    <w:rsid w:val="3B1D063B"/>
    <w:rsid w:val="3B1D4650"/>
    <w:rsid w:val="3B1D688D"/>
    <w:rsid w:val="3B293484"/>
    <w:rsid w:val="3B2C6AD0"/>
    <w:rsid w:val="3B3B6D13"/>
    <w:rsid w:val="3B3C089F"/>
    <w:rsid w:val="3B40257B"/>
    <w:rsid w:val="3B44206B"/>
    <w:rsid w:val="3B471B5C"/>
    <w:rsid w:val="3B4A3312"/>
    <w:rsid w:val="3B4F5D6F"/>
    <w:rsid w:val="3B514788"/>
    <w:rsid w:val="3B530501"/>
    <w:rsid w:val="3B564918"/>
    <w:rsid w:val="3B581673"/>
    <w:rsid w:val="3B5F2ACF"/>
    <w:rsid w:val="3B651FE2"/>
    <w:rsid w:val="3B672905"/>
    <w:rsid w:val="3B697D24"/>
    <w:rsid w:val="3B730DDD"/>
    <w:rsid w:val="3B740371"/>
    <w:rsid w:val="3B781D15"/>
    <w:rsid w:val="3B783A92"/>
    <w:rsid w:val="3B8B1A48"/>
    <w:rsid w:val="3B8E3934"/>
    <w:rsid w:val="3B9308FD"/>
    <w:rsid w:val="3B936B4F"/>
    <w:rsid w:val="3B9A7EDD"/>
    <w:rsid w:val="3BA430FD"/>
    <w:rsid w:val="3BA53A92"/>
    <w:rsid w:val="3BA82A38"/>
    <w:rsid w:val="3BAD3FAA"/>
    <w:rsid w:val="3BB16FD5"/>
    <w:rsid w:val="3BB4130A"/>
    <w:rsid w:val="3BD31641"/>
    <w:rsid w:val="3BD42E4E"/>
    <w:rsid w:val="3BD57167"/>
    <w:rsid w:val="3BD609C6"/>
    <w:rsid w:val="3BD80A06"/>
    <w:rsid w:val="3BD8670C"/>
    <w:rsid w:val="3BE2271B"/>
    <w:rsid w:val="3BE36E76"/>
    <w:rsid w:val="3BED44B1"/>
    <w:rsid w:val="3BF07939"/>
    <w:rsid w:val="3BF43C71"/>
    <w:rsid w:val="3BF515B8"/>
    <w:rsid w:val="3BF621E9"/>
    <w:rsid w:val="3BF82E56"/>
    <w:rsid w:val="3BF910A8"/>
    <w:rsid w:val="3C027045"/>
    <w:rsid w:val="3C0812EB"/>
    <w:rsid w:val="3C0B2B89"/>
    <w:rsid w:val="3C0F436B"/>
    <w:rsid w:val="3C131A3E"/>
    <w:rsid w:val="3C16395B"/>
    <w:rsid w:val="3C1E0B0E"/>
    <w:rsid w:val="3C2957C9"/>
    <w:rsid w:val="3C2A63A2"/>
    <w:rsid w:val="3C2F1041"/>
    <w:rsid w:val="3C340332"/>
    <w:rsid w:val="3C371BD0"/>
    <w:rsid w:val="3C3735C6"/>
    <w:rsid w:val="3C3C2D43"/>
    <w:rsid w:val="3C3E127F"/>
    <w:rsid w:val="3C44609B"/>
    <w:rsid w:val="3C4C631A"/>
    <w:rsid w:val="3C552056"/>
    <w:rsid w:val="3C5A766D"/>
    <w:rsid w:val="3C65673D"/>
    <w:rsid w:val="3C667DC0"/>
    <w:rsid w:val="3C683B38"/>
    <w:rsid w:val="3C6978B0"/>
    <w:rsid w:val="3C6A3D54"/>
    <w:rsid w:val="3C6A5B02"/>
    <w:rsid w:val="3C6B6D50"/>
    <w:rsid w:val="3C7249B6"/>
    <w:rsid w:val="3C726CFE"/>
    <w:rsid w:val="3C812E4B"/>
    <w:rsid w:val="3C836BC3"/>
    <w:rsid w:val="3C860462"/>
    <w:rsid w:val="3C8D7A42"/>
    <w:rsid w:val="3C90308E"/>
    <w:rsid w:val="3C911A6F"/>
    <w:rsid w:val="3C956C9A"/>
    <w:rsid w:val="3C991F43"/>
    <w:rsid w:val="3C9945F1"/>
    <w:rsid w:val="3C9963E7"/>
    <w:rsid w:val="3C9D38EC"/>
    <w:rsid w:val="3CA56B3A"/>
    <w:rsid w:val="3CA76B12"/>
    <w:rsid w:val="3CAA23A2"/>
    <w:rsid w:val="3CAC00D3"/>
    <w:rsid w:val="3CAF79B9"/>
    <w:rsid w:val="3CB04B3A"/>
    <w:rsid w:val="3CB10E7B"/>
    <w:rsid w:val="3CB40325"/>
    <w:rsid w:val="3CB43221"/>
    <w:rsid w:val="3CBD0327"/>
    <w:rsid w:val="3CBD36B1"/>
    <w:rsid w:val="3CC62061"/>
    <w:rsid w:val="3CC76334"/>
    <w:rsid w:val="3CC80A7A"/>
    <w:rsid w:val="3CCB5EA8"/>
    <w:rsid w:val="3CCD1F95"/>
    <w:rsid w:val="3CCE4BAB"/>
    <w:rsid w:val="3CD4741F"/>
    <w:rsid w:val="3CD93FE9"/>
    <w:rsid w:val="3CDA396C"/>
    <w:rsid w:val="3CE01E7C"/>
    <w:rsid w:val="3CE83CEC"/>
    <w:rsid w:val="3CEA279F"/>
    <w:rsid w:val="3CEC29BB"/>
    <w:rsid w:val="3CEF6007"/>
    <w:rsid w:val="3CF11D7F"/>
    <w:rsid w:val="3CF278A5"/>
    <w:rsid w:val="3CF55831"/>
    <w:rsid w:val="3CF63839"/>
    <w:rsid w:val="3D030D01"/>
    <w:rsid w:val="3D095579"/>
    <w:rsid w:val="3D0F78F4"/>
    <w:rsid w:val="3D126ACD"/>
    <w:rsid w:val="3D141F11"/>
    <w:rsid w:val="3D145A6E"/>
    <w:rsid w:val="3D1E4B3E"/>
    <w:rsid w:val="3D1F3ECC"/>
    <w:rsid w:val="3D211F38"/>
    <w:rsid w:val="3D2263DC"/>
    <w:rsid w:val="3D256A71"/>
    <w:rsid w:val="3D28361F"/>
    <w:rsid w:val="3D2A34E3"/>
    <w:rsid w:val="3D2A636C"/>
    <w:rsid w:val="3D2E0622"/>
    <w:rsid w:val="3D34380A"/>
    <w:rsid w:val="3D344362"/>
    <w:rsid w:val="3D365C0B"/>
    <w:rsid w:val="3D391D32"/>
    <w:rsid w:val="3D395ECE"/>
    <w:rsid w:val="3D4475AE"/>
    <w:rsid w:val="3D45031D"/>
    <w:rsid w:val="3D47016A"/>
    <w:rsid w:val="3D491BBB"/>
    <w:rsid w:val="3D4A6B6C"/>
    <w:rsid w:val="3D5456C8"/>
    <w:rsid w:val="3D580CE6"/>
    <w:rsid w:val="3D5C080F"/>
    <w:rsid w:val="3D5E4F3B"/>
    <w:rsid w:val="3D623C46"/>
    <w:rsid w:val="3D6562C9"/>
    <w:rsid w:val="3D6666D6"/>
    <w:rsid w:val="3D687B67"/>
    <w:rsid w:val="3D694EBD"/>
    <w:rsid w:val="3D6C1E29"/>
    <w:rsid w:val="3D6F37E0"/>
    <w:rsid w:val="3D793B23"/>
    <w:rsid w:val="3D7C0D5A"/>
    <w:rsid w:val="3D7D3613"/>
    <w:rsid w:val="3D7D45D4"/>
    <w:rsid w:val="3D815B39"/>
    <w:rsid w:val="3D854156"/>
    <w:rsid w:val="3D8B21D4"/>
    <w:rsid w:val="3D8F3346"/>
    <w:rsid w:val="3D9077EA"/>
    <w:rsid w:val="3D993087"/>
    <w:rsid w:val="3D9D3CB5"/>
    <w:rsid w:val="3DA037A5"/>
    <w:rsid w:val="3DA24BB0"/>
    <w:rsid w:val="3DAC214A"/>
    <w:rsid w:val="3DAF5796"/>
    <w:rsid w:val="3DB11602"/>
    <w:rsid w:val="3DB31F10"/>
    <w:rsid w:val="3DBA4867"/>
    <w:rsid w:val="3DBA6615"/>
    <w:rsid w:val="3DBC74CD"/>
    <w:rsid w:val="3DBD6105"/>
    <w:rsid w:val="3DBD74D6"/>
    <w:rsid w:val="3DBE1B2B"/>
    <w:rsid w:val="3DC05072"/>
    <w:rsid w:val="3DC54FBA"/>
    <w:rsid w:val="3DC92CFC"/>
    <w:rsid w:val="3DCC00F6"/>
    <w:rsid w:val="3DCE0312"/>
    <w:rsid w:val="3DD11BB1"/>
    <w:rsid w:val="3DD1570D"/>
    <w:rsid w:val="3DD40F99"/>
    <w:rsid w:val="3DD7387F"/>
    <w:rsid w:val="3DD84CED"/>
    <w:rsid w:val="3DDA0436"/>
    <w:rsid w:val="3DDA2813"/>
    <w:rsid w:val="3DDC134C"/>
    <w:rsid w:val="3DDC5841"/>
    <w:rsid w:val="3DDD758B"/>
    <w:rsid w:val="3DE322F3"/>
    <w:rsid w:val="3DE431A5"/>
    <w:rsid w:val="3DFD6502"/>
    <w:rsid w:val="3E0163FF"/>
    <w:rsid w:val="3E0755D2"/>
    <w:rsid w:val="3E0827E1"/>
    <w:rsid w:val="3E0A691A"/>
    <w:rsid w:val="3E0E6961"/>
    <w:rsid w:val="3E173A67"/>
    <w:rsid w:val="3E193D2C"/>
    <w:rsid w:val="3E1A3F4D"/>
    <w:rsid w:val="3E1A48A3"/>
    <w:rsid w:val="3E1A5199"/>
    <w:rsid w:val="3E283E58"/>
    <w:rsid w:val="3E2B306F"/>
    <w:rsid w:val="3E2B7513"/>
    <w:rsid w:val="3E304B29"/>
    <w:rsid w:val="3E3349E1"/>
    <w:rsid w:val="3E396C81"/>
    <w:rsid w:val="3E3E4857"/>
    <w:rsid w:val="3E4203B8"/>
    <w:rsid w:val="3E4745F6"/>
    <w:rsid w:val="3E4B1963"/>
    <w:rsid w:val="3E522CF1"/>
    <w:rsid w:val="3E530817"/>
    <w:rsid w:val="3E5A7DF8"/>
    <w:rsid w:val="3E636CAD"/>
    <w:rsid w:val="3E645E2F"/>
    <w:rsid w:val="3E66679D"/>
    <w:rsid w:val="3E6A6DA2"/>
    <w:rsid w:val="3E6B5B61"/>
    <w:rsid w:val="3E6E73FF"/>
    <w:rsid w:val="3E733E05"/>
    <w:rsid w:val="3E74588E"/>
    <w:rsid w:val="3E7F160D"/>
    <w:rsid w:val="3E810CFF"/>
    <w:rsid w:val="3E833CA2"/>
    <w:rsid w:val="3E8D5AD7"/>
    <w:rsid w:val="3E8F6A08"/>
    <w:rsid w:val="3E90579B"/>
    <w:rsid w:val="3E907376"/>
    <w:rsid w:val="3E925E26"/>
    <w:rsid w:val="3E94330A"/>
    <w:rsid w:val="3E9716EF"/>
    <w:rsid w:val="3E9B4698"/>
    <w:rsid w:val="3E9E5F37"/>
    <w:rsid w:val="3E9F35FB"/>
    <w:rsid w:val="3EA00C1E"/>
    <w:rsid w:val="3EA23DD7"/>
    <w:rsid w:val="3EA6303D"/>
    <w:rsid w:val="3EAA6689"/>
    <w:rsid w:val="3EAE35B1"/>
    <w:rsid w:val="3EB2553E"/>
    <w:rsid w:val="3EB56DDC"/>
    <w:rsid w:val="3EBC6496"/>
    <w:rsid w:val="3EC05B5F"/>
    <w:rsid w:val="3EC07DD2"/>
    <w:rsid w:val="3ECE2070"/>
    <w:rsid w:val="3ED17423"/>
    <w:rsid w:val="3ED6747E"/>
    <w:rsid w:val="3ED81055"/>
    <w:rsid w:val="3EEA2BD5"/>
    <w:rsid w:val="3EEC383C"/>
    <w:rsid w:val="3EF26282"/>
    <w:rsid w:val="3EF47905"/>
    <w:rsid w:val="3EF773F5"/>
    <w:rsid w:val="3EFA44B1"/>
    <w:rsid w:val="3EFA5515"/>
    <w:rsid w:val="3EFA7D2B"/>
    <w:rsid w:val="3EFB00AF"/>
    <w:rsid w:val="3EFE4C27"/>
    <w:rsid w:val="3F035D9A"/>
    <w:rsid w:val="3F0538C0"/>
    <w:rsid w:val="3F0D000C"/>
    <w:rsid w:val="3F0D6C18"/>
    <w:rsid w:val="3F136AFC"/>
    <w:rsid w:val="3F177A97"/>
    <w:rsid w:val="3F1955BD"/>
    <w:rsid w:val="3F1B1335"/>
    <w:rsid w:val="3F1C6E5B"/>
    <w:rsid w:val="3F23643C"/>
    <w:rsid w:val="3F2A73B9"/>
    <w:rsid w:val="3F2C1C26"/>
    <w:rsid w:val="3F39027C"/>
    <w:rsid w:val="3F464454"/>
    <w:rsid w:val="3F487C50"/>
    <w:rsid w:val="3F4D34B9"/>
    <w:rsid w:val="3F514D57"/>
    <w:rsid w:val="3F52287D"/>
    <w:rsid w:val="3F587EF7"/>
    <w:rsid w:val="3F5C54AA"/>
    <w:rsid w:val="3F5E56C6"/>
    <w:rsid w:val="3F631D44"/>
    <w:rsid w:val="3F7040BA"/>
    <w:rsid w:val="3F755459"/>
    <w:rsid w:val="3F76387F"/>
    <w:rsid w:val="3F7B0390"/>
    <w:rsid w:val="3F7B1E1D"/>
    <w:rsid w:val="3F7E650B"/>
    <w:rsid w:val="3F852C53"/>
    <w:rsid w:val="3F8769CB"/>
    <w:rsid w:val="3F8A64BB"/>
    <w:rsid w:val="3F9915EA"/>
    <w:rsid w:val="3F9C7841"/>
    <w:rsid w:val="3F9E5120"/>
    <w:rsid w:val="3FAA4467"/>
    <w:rsid w:val="3FAE03FB"/>
    <w:rsid w:val="3FBA6DA0"/>
    <w:rsid w:val="3FC512A1"/>
    <w:rsid w:val="3FC76DC7"/>
    <w:rsid w:val="3FC87B53"/>
    <w:rsid w:val="3FCA52FB"/>
    <w:rsid w:val="3FD15E98"/>
    <w:rsid w:val="3FD5436B"/>
    <w:rsid w:val="3FD57736"/>
    <w:rsid w:val="3FD634AE"/>
    <w:rsid w:val="3FDC6DD5"/>
    <w:rsid w:val="3FDF2363"/>
    <w:rsid w:val="3FF73B50"/>
    <w:rsid w:val="3FF86700"/>
    <w:rsid w:val="3FFA719D"/>
    <w:rsid w:val="3FFA7F71"/>
    <w:rsid w:val="3FFD02C3"/>
    <w:rsid w:val="3FFF2A05"/>
    <w:rsid w:val="400521D7"/>
    <w:rsid w:val="400E243A"/>
    <w:rsid w:val="4010076E"/>
    <w:rsid w:val="40153057"/>
    <w:rsid w:val="401D732F"/>
    <w:rsid w:val="401E472A"/>
    <w:rsid w:val="402266F3"/>
    <w:rsid w:val="402661E4"/>
    <w:rsid w:val="40275AB8"/>
    <w:rsid w:val="402B30A5"/>
    <w:rsid w:val="402E6092"/>
    <w:rsid w:val="40330901"/>
    <w:rsid w:val="40356427"/>
    <w:rsid w:val="40375DFD"/>
    <w:rsid w:val="4038621B"/>
    <w:rsid w:val="404043A0"/>
    <w:rsid w:val="40413115"/>
    <w:rsid w:val="404228F2"/>
    <w:rsid w:val="404546A9"/>
    <w:rsid w:val="404623E2"/>
    <w:rsid w:val="404C0031"/>
    <w:rsid w:val="404D383F"/>
    <w:rsid w:val="404D5E04"/>
    <w:rsid w:val="405014B2"/>
    <w:rsid w:val="405609E0"/>
    <w:rsid w:val="40582115"/>
    <w:rsid w:val="40582BCA"/>
    <w:rsid w:val="405C7E57"/>
    <w:rsid w:val="40637705"/>
    <w:rsid w:val="40687058"/>
    <w:rsid w:val="406E439B"/>
    <w:rsid w:val="407056B1"/>
    <w:rsid w:val="40712EDE"/>
    <w:rsid w:val="4071391F"/>
    <w:rsid w:val="407179C3"/>
    <w:rsid w:val="40781025"/>
    <w:rsid w:val="40794DA0"/>
    <w:rsid w:val="40814835"/>
    <w:rsid w:val="408465EB"/>
    <w:rsid w:val="408847A8"/>
    <w:rsid w:val="408B4299"/>
    <w:rsid w:val="4090365D"/>
    <w:rsid w:val="40911137"/>
    <w:rsid w:val="409230AB"/>
    <w:rsid w:val="409444EC"/>
    <w:rsid w:val="40956EC5"/>
    <w:rsid w:val="409749EB"/>
    <w:rsid w:val="40980764"/>
    <w:rsid w:val="409D5D7A"/>
    <w:rsid w:val="409F7D44"/>
    <w:rsid w:val="40A610D2"/>
    <w:rsid w:val="40A86BF9"/>
    <w:rsid w:val="40AF442B"/>
    <w:rsid w:val="40B437EF"/>
    <w:rsid w:val="40B557B9"/>
    <w:rsid w:val="40B62373"/>
    <w:rsid w:val="40B7629A"/>
    <w:rsid w:val="40BD03D8"/>
    <w:rsid w:val="40C27D36"/>
    <w:rsid w:val="40D41DE6"/>
    <w:rsid w:val="40D5220D"/>
    <w:rsid w:val="40D7331C"/>
    <w:rsid w:val="40E3544B"/>
    <w:rsid w:val="40E816EB"/>
    <w:rsid w:val="40EE65D6"/>
    <w:rsid w:val="40EE7647"/>
    <w:rsid w:val="40F0234E"/>
    <w:rsid w:val="40F05F95"/>
    <w:rsid w:val="40F2256A"/>
    <w:rsid w:val="40FC0CF2"/>
    <w:rsid w:val="40FE41DF"/>
    <w:rsid w:val="41140732"/>
    <w:rsid w:val="41171FD0"/>
    <w:rsid w:val="411B1BB9"/>
    <w:rsid w:val="411B386E"/>
    <w:rsid w:val="411E5105"/>
    <w:rsid w:val="412071E1"/>
    <w:rsid w:val="41210524"/>
    <w:rsid w:val="41225C43"/>
    <w:rsid w:val="41232723"/>
    <w:rsid w:val="412344D1"/>
    <w:rsid w:val="41270465"/>
    <w:rsid w:val="41306BEE"/>
    <w:rsid w:val="413466DE"/>
    <w:rsid w:val="41391282"/>
    <w:rsid w:val="4142704D"/>
    <w:rsid w:val="4146274D"/>
    <w:rsid w:val="414E0FDF"/>
    <w:rsid w:val="414E2E20"/>
    <w:rsid w:val="415D5C35"/>
    <w:rsid w:val="41625D0B"/>
    <w:rsid w:val="41681225"/>
    <w:rsid w:val="416D399E"/>
    <w:rsid w:val="417D2532"/>
    <w:rsid w:val="41857EAB"/>
    <w:rsid w:val="41896F27"/>
    <w:rsid w:val="418B5357"/>
    <w:rsid w:val="418C02C8"/>
    <w:rsid w:val="41944A1C"/>
    <w:rsid w:val="419A3E69"/>
    <w:rsid w:val="419B050B"/>
    <w:rsid w:val="41A05B22"/>
    <w:rsid w:val="41A41AB6"/>
    <w:rsid w:val="41AD337D"/>
    <w:rsid w:val="41B079AE"/>
    <w:rsid w:val="41B4690A"/>
    <w:rsid w:val="41B80A98"/>
    <w:rsid w:val="41B82E6B"/>
    <w:rsid w:val="41B85625"/>
    <w:rsid w:val="41BA0790"/>
    <w:rsid w:val="41BF3A31"/>
    <w:rsid w:val="41C15C2F"/>
    <w:rsid w:val="41C27FBF"/>
    <w:rsid w:val="41C37A62"/>
    <w:rsid w:val="41C7542D"/>
    <w:rsid w:val="41D01C4B"/>
    <w:rsid w:val="41D028AB"/>
    <w:rsid w:val="41DB1250"/>
    <w:rsid w:val="41DC3ACA"/>
    <w:rsid w:val="41DC5B0C"/>
    <w:rsid w:val="41E00614"/>
    <w:rsid w:val="41E10CC2"/>
    <w:rsid w:val="41E16F5A"/>
    <w:rsid w:val="41E2613A"/>
    <w:rsid w:val="41E30982"/>
    <w:rsid w:val="41E41EB2"/>
    <w:rsid w:val="41E51A4C"/>
    <w:rsid w:val="41E915B7"/>
    <w:rsid w:val="41EA0D2B"/>
    <w:rsid w:val="41F3665D"/>
    <w:rsid w:val="41F8770C"/>
    <w:rsid w:val="41FD2F74"/>
    <w:rsid w:val="420155EB"/>
    <w:rsid w:val="420F4A55"/>
    <w:rsid w:val="4214206C"/>
    <w:rsid w:val="421E4C28"/>
    <w:rsid w:val="42220C2D"/>
    <w:rsid w:val="42293AD3"/>
    <w:rsid w:val="423746D8"/>
    <w:rsid w:val="423876A9"/>
    <w:rsid w:val="423D4951"/>
    <w:rsid w:val="42446DF5"/>
    <w:rsid w:val="425132C0"/>
    <w:rsid w:val="425228BE"/>
    <w:rsid w:val="425A2175"/>
    <w:rsid w:val="425D1C65"/>
    <w:rsid w:val="425F3425"/>
    <w:rsid w:val="42617A9D"/>
    <w:rsid w:val="42641245"/>
    <w:rsid w:val="42644DA1"/>
    <w:rsid w:val="42690610"/>
    <w:rsid w:val="426E4935"/>
    <w:rsid w:val="42703746"/>
    <w:rsid w:val="42711572"/>
    <w:rsid w:val="42734FE4"/>
    <w:rsid w:val="42750D5C"/>
    <w:rsid w:val="4279063A"/>
    <w:rsid w:val="427F1BDB"/>
    <w:rsid w:val="427F7E2D"/>
    <w:rsid w:val="42833887"/>
    <w:rsid w:val="42856CED"/>
    <w:rsid w:val="429338D8"/>
    <w:rsid w:val="42976F25"/>
    <w:rsid w:val="429C621F"/>
    <w:rsid w:val="42A32DBE"/>
    <w:rsid w:val="42A45AE6"/>
    <w:rsid w:val="42A930FC"/>
    <w:rsid w:val="42B04C62"/>
    <w:rsid w:val="42B2563A"/>
    <w:rsid w:val="42B75819"/>
    <w:rsid w:val="42B9333F"/>
    <w:rsid w:val="42CB3316"/>
    <w:rsid w:val="42D37B16"/>
    <w:rsid w:val="42DB2AC0"/>
    <w:rsid w:val="42DE0263"/>
    <w:rsid w:val="42DF08CC"/>
    <w:rsid w:val="42EA799C"/>
    <w:rsid w:val="42F652E3"/>
    <w:rsid w:val="42F97BDF"/>
    <w:rsid w:val="42FD6CD5"/>
    <w:rsid w:val="42FF1539"/>
    <w:rsid w:val="4301531A"/>
    <w:rsid w:val="4306667C"/>
    <w:rsid w:val="43077F4B"/>
    <w:rsid w:val="43082409"/>
    <w:rsid w:val="43087A30"/>
    <w:rsid w:val="430A622B"/>
    <w:rsid w:val="430B6BDF"/>
    <w:rsid w:val="43106CD7"/>
    <w:rsid w:val="43140575"/>
    <w:rsid w:val="4315129C"/>
    <w:rsid w:val="431F0A91"/>
    <w:rsid w:val="432106F9"/>
    <w:rsid w:val="432266F3"/>
    <w:rsid w:val="4323397D"/>
    <w:rsid w:val="432F3861"/>
    <w:rsid w:val="43304B34"/>
    <w:rsid w:val="43340C18"/>
    <w:rsid w:val="433429C6"/>
    <w:rsid w:val="43344798"/>
    <w:rsid w:val="43346E69"/>
    <w:rsid w:val="433D6D2B"/>
    <w:rsid w:val="43411D6F"/>
    <w:rsid w:val="43465A4C"/>
    <w:rsid w:val="43482915"/>
    <w:rsid w:val="434C41B3"/>
    <w:rsid w:val="43544E16"/>
    <w:rsid w:val="4359242C"/>
    <w:rsid w:val="43617533"/>
    <w:rsid w:val="43650DD1"/>
    <w:rsid w:val="437234EE"/>
    <w:rsid w:val="43725E62"/>
    <w:rsid w:val="437F1E98"/>
    <w:rsid w:val="43841508"/>
    <w:rsid w:val="43866F99"/>
    <w:rsid w:val="438C45B0"/>
    <w:rsid w:val="439820B6"/>
    <w:rsid w:val="439E0787"/>
    <w:rsid w:val="439F6C27"/>
    <w:rsid w:val="43A03120"/>
    <w:rsid w:val="43A044FF"/>
    <w:rsid w:val="43A35D9D"/>
    <w:rsid w:val="43B34232"/>
    <w:rsid w:val="43B6162D"/>
    <w:rsid w:val="43B9736F"/>
    <w:rsid w:val="43BB6D79"/>
    <w:rsid w:val="43BF51C4"/>
    <w:rsid w:val="43C26223"/>
    <w:rsid w:val="43C33D49"/>
    <w:rsid w:val="43C430D3"/>
    <w:rsid w:val="43C7383A"/>
    <w:rsid w:val="43C755E8"/>
    <w:rsid w:val="43CA50D8"/>
    <w:rsid w:val="43CB542E"/>
    <w:rsid w:val="43CF5479"/>
    <w:rsid w:val="43D1290A"/>
    <w:rsid w:val="43D67F21"/>
    <w:rsid w:val="43DB1093"/>
    <w:rsid w:val="43DC3263"/>
    <w:rsid w:val="43DC4293"/>
    <w:rsid w:val="43DF200D"/>
    <w:rsid w:val="43DF5027"/>
    <w:rsid w:val="43E36448"/>
    <w:rsid w:val="43E66E24"/>
    <w:rsid w:val="43E8042D"/>
    <w:rsid w:val="43F87E97"/>
    <w:rsid w:val="44024872"/>
    <w:rsid w:val="4407632C"/>
    <w:rsid w:val="440E12B2"/>
    <w:rsid w:val="44100662"/>
    <w:rsid w:val="441647C1"/>
    <w:rsid w:val="441E3767"/>
    <w:rsid w:val="44282AEB"/>
    <w:rsid w:val="4439400C"/>
    <w:rsid w:val="44394B9A"/>
    <w:rsid w:val="443A65EB"/>
    <w:rsid w:val="44446C38"/>
    <w:rsid w:val="444A287E"/>
    <w:rsid w:val="444D2A0A"/>
    <w:rsid w:val="44540580"/>
    <w:rsid w:val="44564BBE"/>
    <w:rsid w:val="44567908"/>
    <w:rsid w:val="44575FF6"/>
    <w:rsid w:val="445B0426"/>
    <w:rsid w:val="446058AE"/>
    <w:rsid w:val="446612A5"/>
    <w:rsid w:val="446C53C6"/>
    <w:rsid w:val="447137A5"/>
    <w:rsid w:val="447514E8"/>
    <w:rsid w:val="44796BFB"/>
    <w:rsid w:val="447B4624"/>
    <w:rsid w:val="447D039C"/>
    <w:rsid w:val="4484797D"/>
    <w:rsid w:val="449000D0"/>
    <w:rsid w:val="44913E48"/>
    <w:rsid w:val="4497145E"/>
    <w:rsid w:val="44A040E0"/>
    <w:rsid w:val="44A14C7E"/>
    <w:rsid w:val="44A973E3"/>
    <w:rsid w:val="44B244EA"/>
    <w:rsid w:val="44B42BFF"/>
    <w:rsid w:val="44B542BF"/>
    <w:rsid w:val="44C164DB"/>
    <w:rsid w:val="44C3328D"/>
    <w:rsid w:val="44C45FCB"/>
    <w:rsid w:val="44C91833"/>
    <w:rsid w:val="44C9538F"/>
    <w:rsid w:val="44CC5421"/>
    <w:rsid w:val="44CF7D7F"/>
    <w:rsid w:val="44D0671E"/>
    <w:rsid w:val="44D4611E"/>
    <w:rsid w:val="44D75CFE"/>
    <w:rsid w:val="44D8747E"/>
    <w:rsid w:val="44DD564F"/>
    <w:rsid w:val="44DE22C0"/>
    <w:rsid w:val="44E126D9"/>
    <w:rsid w:val="44E55D05"/>
    <w:rsid w:val="44E643AF"/>
    <w:rsid w:val="44EA30F8"/>
    <w:rsid w:val="44ED5522"/>
    <w:rsid w:val="44EE3048"/>
    <w:rsid w:val="44EF1455"/>
    <w:rsid w:val="44F3240C"/>
    <w:rsid w:val="44F468B0"/>
    <w:rsid w:val="44F62E0C"/>
    <w:rsid w:val="44F74DDC"/>
    <w:rsid w:val="44FC5765"/>
    <w:rsid w:val="44FE4D7E"/>
    <w:rsid w:val="4504103E"/>
    <w:rsid w:val="45074936"/>
    <w:rsid w:val="45080F98"/>
    <w:rsid w:val="450F36EA"/>
    <w:rsid w:val="45102FBE"/>
    <w:rsid w:val="45163068"/>
    <w:rsid w:val="451E0C58"/>
    <w:rsid w:val="451E1B7F"/>
    <w:rsid w:val="45237196"/>
    <w:rsid w:val="45265326"/>
    <w:rsid w:val="452751D7"/>
    <w:rsid w:val="452A3791"/>
    <w:rsid w:val="452E45E0"/>
    <w:rsid w:val="45345732"/>
    <w:rsid w:val="45392515"/>
    <w:rsid w:val="453C2005"/>
    <w:rsid w:val="453C36B5"/>
    <w:rsid w:val="4542101B"/>
    <w:rsid w:val="45435142"/>
    <w:rsid w:val="454513E5"/>
    <w:rsid w:val="45462E84"/>
    <w:rsid w:val="455434EC"/>
    <w:rsid w:val="45590CBD"/>
    <w:rsid w:val="45594965"/>
    <w:rsid w:val="455A12FD"/>
    <w:rsid w:val="45617CBE"/>
    <w:rsid w:val="456C4066"/>
    <w:rsid w:val="45701CAF"/>
    <w:rsid w:val="457242F0"/>
    <w:rsid w:val="457B2AC3"/>
    <w:rsid w:val="4580177B"/>
    <w:rsid w:val="45815C6A"/>
    <w:rsid w:val="4582210E"/>
    <w:rsid w:val="45827BA5"/>
    <w:rsid w:val="458319E2"/>
    <w:rsid w:val="45847C7F"/>
    <w:rsid w:val="45872E31"/>
    <w:rsid w:val="458D35C1"/>
    <w:rsid w:val="45971E73"/>
    <w:rsid w:val="459A765A"/>
    <w:rsid w:val="45A86F7F"/>
    <w:rsid w:val="45AA14DB"/>
    <w:rsid w:val="45AA2D32"/>
    <w:rsid w:val="45AB2CE7"/>
    <w:rsid w:val="45B222C8"/>
    <w:rsid w:val="45B93656"/>
    <w:rsid w:val="45C7721F"/>
    <w:rsid w:val="45CA13BF"/>
    <w:rsid w:val="45CA7611"/>
    <w:rsid w:val="45CF4C28"/>
    <w:rsid w:val="45DB35CC"/>
    <w:rsid w:val="45DD3BC0"/>
    <w:rsid w:val="45DE30BD"/>
    <w:rsid w:val="45E32481"/>
    <w:rsid w:val="45E5269D"/>
    <w:rsid w:val="45E85CE9"/>
    <w:rsid w:val="45EE1552"/>
    <w:rsid w:val="45EF52CA"/>
    <w:rsid w:val="45F41845"/>
    <w:rsid w:val="45FC3543"/>
    <w:rsid w:val="460F14C8"/>
    <w:rsid w:val="46110EB4"/>
    <w:rsid w:val="46113492"/>
    <w:rsid w:val="461455DB"/>
    <w:rsid w:val="46146ADE"/>
    <w:rsid w:val="46192D48"/>
    <w:rsid w:val="461D5993"/>
    <w:rsid w:val="46205483"/>
    <w:rsid w:val="4626344A"/>
    <w:rsid w:val="462E7BA0"/>
    <w:rsid w:val="4641708B"/>
    <w:rsid w:val="46476EB4"/>
    <w:rsid w:val="46481257"/>
    <w:rsid w:val="464C1B5B"/>
    <w:rsid w:val="464E1FF0"/>
    <w:rsid w:val="464F3EF8"/>
    <w:rsid w:val="465554E9"/>
    <w:rsid w:val="46592743"/>
    <w:rsid w:val="465D508C"/>
    <w:rsid w:val="465F3B4D"/>
    <w:rsid w:val="46710467"/>
    <w:rsid w:val="4671328F"/>
    <w:rsid w:val="46715CDF"/>
    <w:rsid w:val="46717A8D"/>
    <w:rsid w:val="46780A66"/>
    <w:rsid w:val="467B1E3B"/>
    <w:rsid w:val="467F03FC"/>
    <w:rsid w:val="468633F9"/>
    <w:rsid w:val="46897EEA"/>
    <w:rsid w:val="46916381"/>
    <w:rsid w:val="46930915"/>
    <w:rsid w:val="4698770F"/>
    <w:rsid w:val="469B2D5C"/>
    <w:rsid w:val="469B4A2B"/>
    <w:rsid w:val="46A21315"/>
    <w:rsid w:val="46A763C0"/>
    <w:rsid w:val="46AA073A"/>
    <w:rsid w:val="46AC31BB"/>
    <w:rsid w:val="46B129DB"/>
    <w:rsid w:val="46B60CB8"/>
    <w:rsid w:val="46B76CCB"/>
    <w:rsid w:val="46BD0494"/>
    <w:rsid w:val="46BF4C9C"/>
    <w:rsid w:val="46C81412"/>
    <w:rsid w:val="46CE1383"/>
    <w:rsid w:val="46DD3374"/>
    <w:rsid w:val="46DF0E9A"/>
    <w:rsid w:val="46E666CD"/>
    <w:rsid w:val="46E92F92"/>
    <w:rsid w:val="470152B5"/>
    <w:rsid w:val="4704519C"/>
    <w:rsid w:val="47060B1D"/>
    <w:rsid w:val="47094169"/>
    <w:rsid w:val="4709790B"/>
    <w:rsid w:val="470F4311"/>
    <w:rsid w:val="47121270"/>
    <w:rsid w:val="47161613"/>
    <w:rsid w:val="471A1ED2"/>
    <w:rsid w:val="471A6376"/>
    <w:rsid w:val="471C5C4A"/>
    <w:rsid w:val="471D14BA"/>
    <w:rsid w:val="471F573B"/>
    <w:rsid w:val="47207E67"/>
    <w:rsid w:val="47216B23"/>
    <w:rsid w:val="472468C3"/>
    <w:rsid w:val="47255440"/>
    <w:rsid w:val="472745EF"/>
    <w:rsid w:val="472965B9"/>
    <w:rsid w:val="473200E6"/>
    <w:rsid w:val="47376F28"/>
    <w:rsid w:val="4738732D"/>
    <w:rsid w:val="47392981"/>
    <w:rsid w:val="473E02B7"/>
    <w:rsid w:val="474451A1"/>
    <w:rsid w:val="47451645"/>
    <w:rsid w:val="47472604"/>
    <w:rsid w:val="474A6C5C"/>
    <w:rsid w:val="4753521B"/>
    <w:rsid w:val="475C24EB"/>
    <w:rsid w:val="475D7EB0"/>
    <w:rsid w:val="47607B2B"/>
    <w:rsid w:val="47653A95"/>
    <w:rsid w:val="47794E4B"/>
    <w:rsid w:val="477A3310"/>
    <w:rsid w:val="477B5067"/>
    <w:rsid w:val="477F442B"/>
    <w:rsid w:val="478B1022"/>
    <w:rsid w:val="478D6B48"/>
    <w:rsid w:val="47925F0D"/>
    <w:rsid w:val="47971775"/>
    <w:rsid w:val="47975C19"/>
    <w:rsid w:val="479954ED"/>
    <w:rsid w:val="4799729B"/>
    <w:rsid w:val="479F3C61"/>
    <w:rsid w:val="47A143A2"/>
    <w:rsid w:val="47A345BE"/>
    <w:rsid w:val="47A563E7"/>
    <w:rsid w:val="47A752DC"/>
    <w:rsid w:val="47AA030A"/>
    <w:rsid w:val="47AA76FA"/>
    <w:rsid w:val="47AB1FDE"/>
    <w:rsid w:val="47B05F6F"/>
    <w:rsid w:val="47B440D5"/>
    <w:rsid w:val="47C40755"/>
    <w:rsid w:val="47CA16E7"/>
    <w:rsid w:val="47CB141F"/>
    <w:rsid w:val="47D93B3C"/>
    <w:rsid w:val="47D97FDF"/>
    <w:rsid w:val="47DF1BCB"/>
    <w:rsid w:val="47E04ECA"/>
    <w:rsid w:val="47E10C42"/>
    <w:rsid w:val="47E50732"/>
    <w:rsid w:val="47E52A12"/>
    <w:rsid w:val="47EA5D49"/>
    <w:rsid w:val="47F006DC"/>
    <w:rsid w:val="47F730AB"/>
    <w:rsid w:val="48040D3F"/>
    <w:rsid w:val="48091BC0"/>
    <w:rsid w:val="480B0368"/>
    <w:rsid w:val="480F26B1"/>
    <w:rsid w:val="48107A44"/>
    <w:rsid w:val="48111F30"/>
    <w:rsid w:val="4812529F"/>
    <w:rsid w:val="48132D3F"/>
    <w:rsid w:val="48142DC6"/>
    <w:rsid w:val="48154F8B"/>
    <w:rsid w:val="481C26D0"/>
    <w:rsid w:val="481D7ECC"/>
    <w:rsid w:val="4823125B"/>
    <w:rsid w:val="48236BF5"/>
    <w:rsid w:val="482D415F"/>
    <w:rsid w:val="48376AB4"/>
    <w:rsid w:val="48380768"/>
    <w:rsid w:val="48435459"/>
    <w:rsid w:val="484C692D"/>
    <w:rsid w:val="485338EE"/>
    <w:rsid w:val="485543C7"/>
    <w:rsid w:val="485766C6"/>
    <w:rsid w:val="48584B2D"/>
    <w:rsid w:val="485A284D"/>
    <w:rsid w:val="485D29BF"/>
    <w:rsid w:val="485F01F4"/>
    <w:rsid w:val="48631DE6"/>
    <w:rsid w:val="48684EBF"/>
    <w:rsid w:val="487109C8"/>
    <w:rsid w:val="48724537"/>
    <w:rsid w:val="487B1866"/>
    <w:rsid w:val="487C2C65"/>
    <w:rsid w:val="488169A9"/>
    <w:rsid w:val="48847F4B"/>
    <w:rsid w:val="48873598"/>
    <w:rsid w:val="488841DB"/>
    <w:rsid w:val="488C5052"/>
    <w:rsid w:val="4890006E"/>
    <w:rsid w:val="48961A2D"/>
    <w:rsid w:val="489857A5"/>
    <w:rsid w:val="489E7916"/>
    <w:rsid w:val="48A405ED"/>
    <w:rsid w:val="48A44149"/>
    <w:rsid w:val="48A57EC2"/>
    <w:rsid w:val="48A95C04"/>
    <w:rsid w:val="48AB372A"/>
    <w:rsid w:val="48AC6612"/>
    <w:rsid w:val="48AF5785"/>
    <w:rsid w:val="48B65994"/>
    <w:rsid w:val="48BB76E5"/>
    <w:rsid w:val="48BE39BE"/>
    <w:rsid w:val="48BE792B"/>
    <w:rsid w:val="48C77E38"/>
    <w:rsid w:val="48D62050"/>
    <w:rsid w:val="48DD6B99"/>
    <w:rsid w:val="48DD7917"/>
    <w:rsid w:val="48E00EFA"/>
    <w:rsid w:val="48E0180D"/>
    <w:rsid w:val="48E04AC4"/>
    <w:rsid w:val="48E16144"/>
    <w:rsid w:val="48E66A12"/>
    <w:rsid w:val="48E704DA"/>
    <w:rsid w:val="48E7672C"/>
    <w:rsid w:val="48EC789E"/>
    <w:rsid w:val="48F03833"/>
    <w:rsid w:val="48F14A3E"/>
    <w:rsid w:val="48F21359"/>
    <w:rsid w:val="48F33870"/>
    <w:rsid w:val="48F52BF7"/>
    <w:rsid w:val="48FC0332"/>
    <w:rsid w:val="48FF3281"/>
    <w:rsid w:val="490208A9"/>
    <w:rsid w:val="49044BE8"/>
    <w:rsid w:val="490848D8"/>
    <w:rsid w:val="490948F4"/>
    <w:rsid w:val="490E1F0B"/>
    <w:rsid w:val="490E2F55"/>
    <w:rsid w:val="4910358D"/>
    <w:rsid w:val="491102ED"/>
    <w:rsid w:val="4912455E"/>
    <w:rsid w:val="49172B6D"/>
    <w:rsid w:val="4919662F"/>
    <w:rsid w:val="49262DB0"/>
    <w:rsid w:val="49264C34"/>
    <w:rsid w:val="49342C50"/>
    <w:rsid w:val="49380D36"/>
    <w:rsid w:val="493C57C4"/>
    <w:rsid w:val="493F3E72"/>
    <w:rsid w:val="49443F56"/>
    <w:rsid w:val="49470F79"/>
    <w:rsid w:val="494D2A33"/>
    <w:rsid w:val="494E2307"/>
    <w:rsid w:val="4951284A"/>
    <w:rsid w:val="4961203A"/>
    <w:rsid w:val="496651F0"/>
    <w:rsid w:val="496A4B69"/>
    <w:rsid w:val="496E4757"/>
    <w:rsid w:val="49724248"/>
    <w:rsid w:val="497A30FC"/>
    <w:rsid w:val="49836455"/>
    <w:rsid w:val="49845D29"/>
    <w:rsid w:val="49883FF9"/>
    <w:rsid w:val="49920446"/>
    <w:rsid w:val="49997A26"/>
    <w:rsid w:val="499D4F95"/>
    <w:rsid w:val="499E472C"/>
    <w:rsid w:val="49A62143"/>
    <w:rsid w:val="49A95790"/>
    <w:rsid w:val="49AB775A"/>
    <w:rsid w:val="49B605D8"/>
    <w:rsid w:val="49B900C8"/>
    <w:rsid w:val="49BA510F"/>
    <w:rsid w:val="49BE123B"/>
    <w:rsid w:val="49CC7DFC"/>
    <w:rsid w:val="49D00F6E"/>
    <w:rsid w:val="49D15412"/>
    <w:rsid w:val="49D92519"/>
    <w:rsid w:val="49D96075"/>
    <w:rsid w:val="49D96821"/>
    <w:rsid w:val="49DB4B03"/>
    <w:rsid w:val="49DE5E98"/>
    <w:rsid w:val="49E014BA"/>
    <w:rsid w:val="49E62540"/>
    <w:rsid w:val="49E707F1"/>
    <w:rsid w:val="49E862B8"/>
    <w:rsid w:val="49ED33E0"/>
    <w:rsid w:val="49EF7646"/>
    <w:rsid w:val="49F01583"/>
    <w:rsid w:val="49F10669"/>
    <w:rsid w:val="49F36EFC"/>
    <w:rsid w:val="49F64E79"/>
    <w:rsid w:val="49F904C5"/>
    <w:rsid w:val="49FC25C6"/>
    <w:rsid w:val="49FE0000"/>
    <w:rsid w:val="4A011472"/>
    <w:rsid w:val="4A103246"/>
    <w:rsid w:val="4A123335"/>
    <w:rsid w:val="4A1946C3"/>
    <w:rsid w:val="4A1D0657"/>
    <w:rsid w:val="4A1E7F2C"/>
    <w:rsid w:val="4A273284"/>
    <w:rsid w:val="4A275032"/>
    <w:rsid w:val="4A2F3150"/>
    <w:rsid w:val="4A3115EB"/>
    <w:rsid w:val="4A344D4C"/>
    <w:rsid w:val="4A3459A1"/>
    <w:rsid w:val="4A361719"/>
    <w:rsid w:val="4A3D2335"/>
    <w:rsid w:val="4A471230"/>
    <w:rsid w:val="4A49144C"/>
    <w:rsid w:val="4A4B0B5C"/>
    <w:rsid w:val="4A4C2CEB"/>
    <w:rsid w:val="4A4D0811"/>
    <w:rsid w:val="4A5B2F2E"/>
    <w:rsid w:val="4A5E657A"/>
    <w:rsid w:val="4A6C0C97"/>
    <w:rsid w:val="4A6C73F2"/>
    <w:rsid w:val="4A6F0952"/>
    <w:rsid w:val="4A6F554D"/>
    <w:rsid w:val="4A7004BE"/>
    <w:rsid w:val="4A704B0B"/>
    <w:rsid w:val="4A7144FF"/>
    <w:rsid w:val="4A747123"/>
    <w:rsid w:val="4A7C5799"/>
    <w:rsid w:val="4A7F59C8"/>
    <w:rsid w:val="4A7F685E"/>
    <w:rsid w:val="4A9804CE"/>
    <w:rsid w:val="4A9B332A"/>
    <w:rsid w:val="4A9B5A20"/>
    <w:rsid w:val="4A9B77CE"/>
    <w:rsid w:val="4AA1324A"/>
    <w:rsid w:val="4AAA5C63"/>
    <w:rsid w:val="4AAD5AA1"/>
    <w:rsid w:val="4AB07EAF"/>
    <w:rsid w:val="4AB368C6"/>
    <w:rsid w:val="4AB56AE2"/>
    <w:rsid w:val="4AC05487"/>
    <w:rsid w:val="4ACC12A9"/>
    <w:rsid w:val="4AD625B4"/>
    <w:rsid w:val="4ADB5E1D"/>
    <w:rsid w:val="4AE334B4"/>
    <w:rsid w:val="4AEA6060"/>
    <w:rsid w:val="4AEF3676"/>
    <w:rsid w:val="4AF34F14"/>
    <w:rsid w:val="4AFA2747"/>
    <w:rsid w:val="4B047121"/>
    <w:rsid w:val="4B0610EB"/>
    <w:rsid w:val="4B0623C7"/>
    <w:rsid w:val="4B0C247A"/>
    <w:rsid w:val="4B0D06CC"/>
    <w:rsid w:val="4B0E4448"/>
    <w:rsid w:val="4B115A3A"/>
    <w:rsid w:val="4B137364"/>
    <w:rsid w:val="4B154506"/>
    <w:rsid w:val="4B161D72"/>
    <w:rsid w:val="4B19711F"/>
    <w:rsid w:val="4B1B110F"/>
    <w:rsid w:val="4B231E48"/>
    <w:rsid w:val="4B246E03"/>
    <w:rsid w:val="4B2E23F0"/>
    <w:rsid w:val="4B3612A5"/>
    <w:rsid w:val="4B38326F"/>
    <w:rsid w:val="4B3A0D95"/>
    <w:rsid w:val="4B3C4B0D"/>
    <w:rsid w:val="4B3D70A8"/>
    <w:rsid w:val="4B413ED2"/>
    <w:rsid w:val="4B4425C2"/>
    <w:rsid w:val="4B486877"/>
    <w:rsid w:val="4B4A77F9"/>
    <w:rsid w:val="4B5421D9"/>
    <w:rsid w:val="4B54635A"/>
    <w:rsid w:val="4B554289"/>
    <w:rsid w:val="4B55797D"/>
    <w:rsid w:val="4B582D53"/>
    <w:rsid w:val="4B5F563C"/>
    <w:rsid w:val="4B603612"/>
    <w:rsid w:val="4B674293"/>
    <w:rsid w:val="4B685902"/>
    <w:rsid w:val="4B6B2355"/>
    <w:rsid w:val="4B6B3A86"/>
    <w:rsid w:val="4B6E6B21"/>
    <w:rsid w:val="4B72052F"/>
    <w:rsid w:val="4B751C56"/>
    <w:rsid w:val="4B771FE9"/>
    <w:rsid w:val="4B797B0F"/>
    <w:rsid w:val="4B7C2F16"/>
    <w:rsid w:val="4B7C7600"/>
    <w:rsid w:val="4B807F11"/>
    <w:rsid w:val="4B8420D6"/>
    <w:rsid w:val="4B8464B4"/>
    <w:rsid w:val="4B865D88"/>
    <w:rsid w:val="4B871B00"/>
    <w:rsid w:val="4B897627"/>
    <w:rsid w:val="4B8C01AA"/>
    <w:rsid w:val="4B9304A5"/>
    <w:rsid w:val="4B9336BF"/>
    <w:rsid w:val="4B9C1A50"/>
    <w:rsid w:val="4B9F32EE"/>
    <w:rsid w:val="4BA042B0"/>
    <w:rsid w:val="4BA45DBB"/>
    <w:rsid w:val="4BAD5A0B"/>
    <w:rsid w:val="4BAD77B9"/>
    <w:rsid w:val="4BAF7ED3"/>
    <w:rsid w:val="4BB14659"/>
    <w:rsid w:val="4BB2364E"/>
    <w:rsid w:val="4BB46BCB"/>
    <w:rsid w:val="4BB52B12"/>
    <w:rsid w:val="4BB60B61"/>
    <w:rsid w:val="4BBF74EC"/>
    <w:rsid w:val="4BC15012"/>
    <w:rsid w:val="4BC62629"/>
    <w:rsid w:val="4BC66ACD"/>
    <w:rsid w:val="4BC82845"/>
    <w:rsid w:val="4BD50ABE"/>
    <w:rsid w:val="4BDA4522"/>
    <w:rsid w:val="4BDB2578"/>
    <w:rsid w:val="4BDE5BC4"/>
    <w:rsid w:val="4BE34F89"/>
    <w:rsid w:val="4BE60F1D"/>
    <w:rsid w:val="4BEB6533"/>
    <w:rsid w:val="4BFC3701"/>
    <w:rsid w:val="4C053A27"/>
    <w:rsid w:val="4C0C30DD"/>
    <w:rsid w:val="4C150FD8"/>
    <w:rsid w:val="4C15710C"/>
    <w:rsid w:val="4C194E4E"/>
    <w:rsid w:val="4C1E3668"/>
    <w:rsid w:val="4C204FF8"/>
    <w:rsid w:val="4C253EEA"/>
    <w:rsid w:val="4C26756B"/>
    <w:rsid w:val="4C2757BD"/>
    <w:rsid w:val="4C29057C"/>
    <w:rsid w:val="4C2B5124"/>
    <w:rsid w:val="4C2B6930"/>
    <w:rsid w:val="4C2D26A8"/>
    <w:rsid w:val="4C303F46"/>
    <w:rsid w:val="4C3E2B07"/>
    <w:rsid w:val="4C516396"/>
    <w:rsid w:val="4C5250F4"/>
    <w:rsid w:val="4C5D11DF"/>
    <w:rsid w:val="4C602A7D"/>
    <w:rsid w:val="4C646614"/>
    <w:rsid w:val="4C675BBA"/>
    <w:rsid w:val="4C6F2CC0"/>
    <w:rsid w:val="4C714C8A"/>
    <w:rsid w:val="4C73622A"/>
    <w:rsid w:val="4C74633E"/>
    <w:rsid w:val="4C7818BA"/>
    <w:rsid w:val="4C7D4A6A"/>
    <w:rsid w:val="4C7E0295"/>
    <w:rsid w:val="4C833C8D"/>
    <w:rsid w:val="4C87000A"/>
    <w:rsid w:val="4C8C0A39"/>
    <w:rsid w:val="4C934C01"/>
    <w:rsid w:val="4C942727"/>
    <w:rsid w:val="4C943E01"/>
    <w:rsid w:val="4C983043"/>
    <w:rsid w:val="4C9E7102"/>
    <w:rsid w:val="4CA77574"/>
    <w:rsid w:val="4CA95A1B"/>
    <w:rsid w:val="4CB30DFF"/>
    <w:rsid w:val="4CBC202A"/>
    <w:rsid w:val="4CBC5F47"/>
    <w:rsid w:val="4CCC1EC1"/>
    <w:rsid w:val="4CD3324F"/>
    <w:rsid w:val="4CD64AED"/>
    <w:rsid w:val="4CE07CE4"/>
    <w:rsid w:val="4CE27F91"/>
    <w:rsid w:val="4CE44AF1"/>
    <w:rsid w:val="4CE70AA9"/>
    <w:rsid w:val="4CE76CFB"/>
    <w:rsid w:val="4CE92A73"/>
    <w:rsid w:val="4CEA2E80"/>
    <w:rsid w:val="4CEF16C3"/>
    <w:rsid w:val="4CF11471"/>
    <w:rsid w:val="4CF80F08"/>
    <w:rsid w:val="4CF82CB6"/>
    <w:rsid w:val="4CF907DC"/>
    <w:rsid w:val="4D005B8D"/>
    <w:rsid w:val="4D0072CE"/>
    <w:rsid w:val="4D0619FF"/>
    <w:rsid w:val="4D07114B"/>
    <w:rsid w:val="4D0C050F"/>
    <w:rsid w:val="4D0C451B"/>
    <w:rsid w:val="4D0E24D9"/>
    <w:rsid w:val="4D0F328E"/>
    <w:rsid w:val="4D1C06B6"/>
    <w:rsid w:val="4D232438"/>
    <w:rsid w:val="4D243AAB"/>
    <w:rsid w:val="4D265A75"/>
    <w:rsid w:val="4D295773"/>
    <w:rsid w:val="4D2C6AE6"/>
    <w:rsid w:val="4D355CB8"/>
    <w:rsid w:val="4D381304"/>
    <w:rsid w:val="4D397B3D"/>
    <w:rsid w:val="4D3B0DF4"/>
    <w:rsid w:val="4D3C6814"/>
    <w:rsid w:val="4D3E3BA7"/>
    <w:rsid w:val="4D3F6B37"/>
    <w:rsid w:val="4D491763"/>
    <w:rsid w:val="4D4B7289"/>
    <w:rsid w:val="4D4E457B"/>
    <w:rsid w:val="4D5117AD"/>
    <w:rsid w:val="4D5123C6"/>
    <w:rsid w:val="4D5C3245"/>
    <w:rsid w:val="4D602609"/>
    <w:rsid w:val="4D607C93"/>
    <w:rsid w:val="4D6A0363"/>
    <w:rsid w:val="4D771816"/>
    <w:rsid w:val="4D780890"/>
    <w:rsid w:val="4D826A23"/>
    <w:rsid w:val="4D8409ED"/>
    <w:rsid w:val="4D84279B"/>
    <w:rsid w:val="4D8A31E1"/>
    <w:rsid w:val="4D8B22D3"/>
    <w:rsid w:val="4D956757"/>
    <w:rsid w:val="4D9804B1"/>
    <w:rsid w:val="4D986247"/>
    <w:rsid w:val="4D9D560B"/>
    <w:rsid w:val="4DA004E5"/>
    <w:rsid w:val="4DA333DD"/>
    <w:rsid w:val="4DA35BE5"/>
    <w:rsid w:val="4DA70238"/>
    <w:rsid w:val="4DA929B3"/>
    <w:rsid w:val="4DAA00F0"/>
    <w:rsid w:val="4DAA2B1F"/>
    <w:rsid w:val="4DAA338D"/>
    <w:rsid w:val="4DB07591"/>
    <w:rsid w:val="4DB47B62"/>
    <w:rsid w:val="4DBB5E5D"/>
    <w:rsid w:val="4DBF1A26"/>
    <w:rsid w:val="4DBF7699"/>
    <w:rsid w:val="4DC31516"/>
    <w:rsid w:val="4DCA2B2F"/>
    <w:rsid w:val="4DCB2B3C"/>
    <w:rsid w:val="4DCB4AEF"/>
    <w:rsid w:val="4DCD4A82"/>
    <w:rsid w:val="4DCD5EF0"/>
    <w:rsid w:val="4DD00E1F"/>
    <w:rsid w:val="4DD03C33"/>
    <w:rsid w:val="4DD21759"/>
    <w:rsid w:val="4DD93673"/>
    <w:rsid w:val="4DDF5C24"/>
    <w:rsid w:val="4DE1374A"/>
    <w:rsid w:val="4DE4148C"/>
    <w:rsid w:val="4DF53699"/>
    <w:rsid w:val="4DF711BF"/>
    <w:rsid w:val="4DF71DC0"/>
    <w:rsid w:val="4DF96CE5"/>
    <w:rsid w:val="4E000140"/>
    <w:rsid w:val="4E023D7D"/>
    <w:rsid w:val="4E061402"/>
    <w:rsid w:val="4E141D71"/>
    <w:rsid w:val="4E190010"/>
    <w:rsid w:val="4E21623C"/>
    <w:rsid w:val="4E235B10"/>
    <w:rsid w:val="4E265601"/>
    <w:rsid w:val="4E281379"/>
    <w:rsid w:val="4E2E612D"/>
    <w:rsid w:val="4E2F28AB"/>
    <w:rsid w:val="4E30022D"/>
    <w:rsid w:val="4E3917D8"/>
    <w:rsid w:val="4E402B66"/>
    <w:rsid w:val="4E434405"/>
    <w:rsid w:val="4E453CD9"/>
    <w:rsid w:val="4E4C5474"/>
    <w:rsid w:val="4E4E5429"/>
    <w:rsid w:val="4E4E7781"/>
    <w:rsid w:val="4E52289A"/>
    <w:rsid w:val="4E5401B4"/>
    <w:rsid w:val="4E5B174E"/>
    <w:rsid w:val="4E644446"/>
    <w:rsid w:val="4E6C6816"/>
    <w:rsid w:val="4E7C3473"/>
    <w:rsid w:val="4E8C7B5A"/>
    <w:rsid w:val="4E9428EA"/>
    <w:rsid w:val="4E947559"/>
    <w:rsid w:val="4E966483"/>
    <w:rsid w:val="4E9904C8"/>
    <w:rsid w:val="4EA30A98"/>
    <w:rsid w:val="4EA574BA"/>
    <w:rsid w:val="4EAA7FE0"/>
    <w:rsid w:val="4EB51578"/>
    <w:rsid w:val="4EBB442D"/>
    <w:rsid w:val="4EBB4CDD"/>
    <w:rsid w:val="4EC33C27"/>
    <w:rsid w:val="4EC5306C"/>
    <w:rsid w:val="4EC7492C"/>
    <w:rsid w:val="4EC95CE1"/>
    <w:rsid w:val="4ED33302"/>
    <w:rsid w:val="4ED4431A"/>
    <w:rsid w:val="4ED6787C"/>
    <w:rsid w:val="4ED80FF1"/>
    <w:rsid w:val="4EDB63EB"/>
    <w:rsid w:val="4EE259CC"/>
    <w:rsid w:val="4EE51018"/>
    <w:rsid w:val="4EEC05F8"/>
    <w:rsid w:val="4EEE3858"/>
    <w:rsid w:val="4EEF633A"/>
    <w:rsid w:val="4EF15C0F"/>
    <w:rsid w:val="4EF36FD9"/>
    <w:rsid w:val="4EF61477"/>
    <w:rsid w:val="4EFB083B"/>
    <w:rsid w:val="4F063322"/>
    <w:rsid w:val="4F0973FC"/>
    <w:rsid w:val="4F0B3174"/>
    <w:rsid w:val="4F160DB9"/>
    <w:rsid w:val="4F176330"/>
    <w:rsid w:val="4F1C70B9"/>
    <w:rsid w:val="4F1D6A04"/>
    <w:rsid w:val="4F1E5158"/>
    <w:rsid w:val="4F2064F4"/>
    <w:rsid w:val="4F24453B"/>
    <w:rsid w:val="4F2C0E01"/>
    <w:rsid w:val="4F2E6991"/>
    <w:rsid w:val="4F302BDB"/>
    <w:rsid w:val="4F3A75B6"/>
    <w:rsid w:val="4F416B96"/>
    <w:rsid w:val="4F4246BC"/>
    <w:rsid w:val="4F5009DF"/>
    <w:rsid w:val="4F502802"/>
    <w:rsid w:val="4F506DD9"/>
    <w:rsid w:val="4F5278CB"/>
    <w:rsid w:val="4F560168"/>
    <w:rsid w:val="4F585C8E"/>
    <w:rsid w:val="4F5F526E"/>
    <w:rsid w:val="4F6633B9"/>
    <w:rsid w:val="4F6D68EA"/>
    <w:rsid w:val="4F6F0016"/>
    <w:rsid w:val="4F7103C4"/>
    <w:rsid w:val="4F77146C"/>
    <w:rsid w:val="4F7753EB"/>
    <w:rsid w:val="4F7A20A8"/>
    <w:rsid w:val="4F8A3D9F"/>
    <w:rsid w:val="4F8D0A99"/>
    <w:rsid w:val="4F8D77AB"/>
    <w:rsid w:val="4F9162F3"/>
    <w:rsid w:val="4F9842DC"/>
    <w:rsid w:val="4FB47A77"/>
    <w:rsid w:val="4FBF0D84"/>
    <w:rsid w:val="4FBF5D0D"/>
    <w:rsid w:val="4FC12668"/>
    <w:rsid w:val="4FC3330E"/>
    <w:rsid w:val="4FC357FD"/>
    <w:rsid w:val="4FC652ED"/>
    <w:rsid w:val="4FC7696F"/>
    <w:rsid w:val="4FCE41A2"/>
    <w:rsid w:val="4FCF5A16"/>
    <w:rsid w:val="4FD33566"/>
    <w:rsid w:val="4FD340D8"/>
    <w:rsid w:val="4FD45B8A"/>
    <w:rsid w:val="4FDB5BBC"/>
    <w:rsid w:val="4FDD43E5"/>
    <w:rsid w:val="4FE237A9"/>
    <w:rsid w:val="4FE31BAC"/>
    <w:rsid w:val="4FE60E6B"/>
    <w:rsid w:val="4FF43C08"/>
    <w:rsid w:val="4FF754A7"/>
    <w:rsid w:val="4FFD3C69"/>
    <w:rsid w:val="4FFE6835"/>
    <w:rsid w:val="50016325"/>
    <w:rsid w:val="50067498"/>
    <w:rsid w:val="5007369F"/>
    <w:rsid w:val="500876B4"/>
    <w:rsid w:val="500D17A2"/>
    <w:rsid w:val="50130402"/>
    <w:rsid w:val="50130EE3"/>
    <w:rsid w:val="5017010E"/>
    <w:rsid w:val="501716A5"/>
    <w:rsid w:val="501778F7"/>
    <w:rsid w:val="501E6ED7"/>
    <w:rsid w:val="5023004A"/>
    <w:rsid w:val="50277668"/>
    <w:rsid w:val="50293481"/>
    <w:rsid w:val="502E57FB"/>
    <w:rsid w:val="50304850"/>
    <w:rsid w:val="50332613"/>
    <w:rsid w:val="50385C53"/>
    <w:rsid w:val="503C110B"/>
    <w:rsid w:val="503F29AA"/>
    <w:rsid w:val="504B134F"/>
    <w:rsid w:val="50523ED2"/>
    <w:rsid w:val="50557736"/>
    <w:rsid w:val="50566671"/>
    <w:rsid w:val="50575F45"/>
    <w:rsid w:val="50577CF3"/>
    <w:rsid w:val="505934ED"/>
    <w:rsid w:val="505C355C"/>
    <w:rsid w:val="50610B72"/>
    <w:rsid w:val="50666188"/>
    <w:rsid w:val="5068001B"/>
    <w:rsid w:val="50697A27"/>
    <w:rsid w:val="506B2AEC"/>
    <w:rsid w:val="506D7517"/>
    <w:rsid w:val="50770396"/>
    <w:rsid w:val="507A1C34"/>
    <w:rsid w:val="507B10BF"/>
    <w:rsid w:val="50854860"/>
    <w:rsid w:val="5086682B"/>
    <w:rsid w:val="50887115"/>
    <w:rsid w:val="508E1D74"/>
    <w:rsid w:val="5095081C"/>
    <w:rsid w:val="5095481F"/>
    <w:rsid w:val="50960D84"/>
    <w:rsid w:val="50A54F03"/>
    <w:rsid w:val="50A763BF"/>
    <w:rsid w:val="50A867A1"/>
    <w:rsid w:val="50A96B6A"/>
    <w:rsid w:val="50AB003F"/>
    <w:rsid w:val="50B05655"/>
    <w:rsid w:val="50B1385B"/>
    <w:rsid w:val="50B45146"/>
    <w:rsid w:val="50BB522B"/>
    <w:rsid w:val="50CC248F"/>
    <w:rsid w:val="50CD1257"/>
    <w:rsid w:val="50DB0924"/>
    <w:rsid w:val="50E6304C"/>
    <w:rsid w:val="50E772C9"/>
    <w:rsid w:val="50F33EC0"/>
    <w:rsid w:val="50F934A0"/>
    <w:rsid w:val="50FE4613"/>
    <w:rsid w:val="5100038B"/>
    <w:rsid w:val="51052F88"/>
    <w:rsid w:val="51083577"/>
    <w:rsid w:val="510A120A"/>
    <w:rsid w:val="511D0F3D"/>
    <w:rsid w:val="511F69F4"/>
    <w:rsid w:val="51220301"/>
    <w:rsid w:val="51254295"/>
    <w:rsid w:val="51256476"/>
    <w:rsid w:val="51271DBC"/>
    <w:rsid w:val="512A18AC"/>
    <w:rsid w:val="512F6EC2"/>
    <w:rsid w:val="513037D3"/>
    <w:rsid w:val="51385D77"/>
    <w:rsid w:val="514960E8"/>
    <w:rsid w:val="51497574"/>
    <w:rsid w:val="514C1822"/>
    <w:rsid w:val="514D1BDE"/>
    <w:rsid w:val="51510BE7"/>
    <w:rsid w:val="51517E7B"/>
    <w:rsid w:val="5153495F"/>
    <w:rsid w:val="51586419"/>
    <w:rsid w:val="515F7B5F"/>
    <w:rsid w:val="51630581"/>
    <w:rsid w:val="516528E4"/>
    <w:rsid w:val="516960E3"/>
    <w:rsid w:val="516A2920"/>
    <w:rsid w:val="516B5D29"/>
    <w:rsid w:val="516D0E26"/>
    <w:rsid w:val="51786173"/>
    <w:rsid w:val="517A13EC"/>
    <w:rsid w:val="517B639D"/>
    <w:rsid w:val="517E35DD"/>
    <w:rsid w:val="518014CC"/>
    <w:rsid w:val="51826FF2"/>
    <w:rsid w:val="51840FBC"/>
    <w:rsid w:val="518B2BD5"/>
    <w:rsid w:val="518E5997"/>
    <w:rsid w:val="519761E5"/>
    <w:rsid w:val="51A52CE0"/>
    <w:rsid w:val="51A86035"/>
    <w:rsid w:val="51AB3376"/>
    <w:rsid w:val="51B20BCF"/>
    <w:rsid w:val="51B34E7A"/>
    <w:rsid w:val="51B80AAB"/>
    <w:rsid w:val="51BA49DE"/>
    <w:rsid w:val="51BE2D00"/>
    <w:rsid w:val="51BF1FF4"/>
    <w:rsid w:val="51C1721E"/>
    <w:rsid w:val="51C27D36"/>
    <w:rsid w:val="51C370F3"/>
    <w:rsid w:val="51C46174"/>
    <w:rsid w:val="51D3784E"/>
    <w:rsid w:val="51D441E2"/>
    <w:rsid w:val="51DF0793"/>
    <w:rsid w:val="51E95339"/>
    <w:rsid w:val="51EE4687"/>
    <w:rsid w:val="51F7178E"/>
    <w:rsid w:val="51F77770"/>
    <w:rsid w:val="52020133"/>
    <w:rsid w:val="52027454"/>
    <w:rsid w:val="520420FD"/>
    <w:rsid w:val="5208399B"/>
    <w:rsid w:val="520914C1"/>
    <w:rsid w:val="520C480A"/>
    <w:rsid w:val="520D7203"/>
    <w:rsid w:val="521961E1"/>
    <w:rsid w:val="521A547C"/>
    <w:rsid w:val="52236C52"/>
    <w:rsid w:val="522E2D5E"/>
    <w:rsid w:val="52317773"/>
    <w:rsid w:val="52377FF3"/>
    <w:rsid w:val="523A1AA0"/>
    <w:rsid w:val="5247379E"/>
    <w:rsid w:val="524D5852"/>
    <w:rsid w:val="5253098E"/>
    <w:rsid w:val="5257079E"/>
    <w:rsid w:val="526458CE"/>
    <w:rsid w:val="52650DED"/>
    <w:rsid w:val="52677B27"/>
    <w:rsid w:val="5268443A"/>
    <w:rsid w:val="526D37FE"/>
    <w:rsid w:val="526D4D95"/>
    <w:rsid w:val="526D7CA2"/>
    <w:rsid w:val="52701540"/>
    <w:rsid w:val="52701D2A"/>
    <w:rsid w:val="52705E6E"/>
    <w:rsid w:val="527F15FF"/>
    <w:rsid w:val="528256EC"/>
    <w:rsid w:val="52847F59"/>
    <w:rsid w:val="528741F1"/>
    <w:rsid w:val="528A0854"/>
    <w:rsid w:val="5294522F"/>
    <w:rsid w:val="52950FA7"/>
    <w:rsid w:val="529A036B"/>
    <w:rsid w:val="529D3FB0"/>
    <w:rsid w:val="52A32B02"/>
    <w:rsid w:val="52A43051"/>
    <w:rsid w:val="52AB07CA"/>
    <w:rsid w:val="52AD31DF"/>
    <w:rsid w:val="52AD4542"/>
    <w:rsid w:val="52B61649"/>
    <w:rsid w:val="52BA27BB"/>
    <w:rsid w:val="52BC460F"/>
    <w:rsid w:val="52BC4786"/>
    <w:rsid w:val="52C40D0A"/>
    <w:rsid w:val="52CF44B9"/>
    <w:rsid w:val="52D702C1"/>
    <w:rsid w:val="52E46546"/>
    <w:rsid w:val="52E71802"/>
    <w:rsid w:val="52EA4E4F"/>
    <w:rsid w:val="52ED2B91"/>
    <w:rsid w:val="52F45CCD"/>
    <w:rsid w:val="53083527"/>
    <w:rsid w:val="530A54F1"/>
    <w:rsid w:val="530C4920"/>
    <w:rsid w:val="530E3233"/>
    <w:rsid w:val="5316253B"/>
    <w:rsid w:val="53195427"/>
    <w:rsid w:val="531E71EE"/>
    <w:rsid w:val="53230361"/>
    <w:rsid w:val="532319B6"/>
    <w:rsid w:val="532F31A9"/>
    <w:rsid w:val="533050E8"/>
    <w:rsid w:val="533079E9"/>
    <w:rsid w:val="53360094"/>
    <w:rsid w:val="53364538"/>
    <w:rsid w:val="53370970"/>
    <w:rsid w:val="53396D21"/>
    <w:rsid w:val="533C1422"/>
    <w:rsid w:val="53495686"/>
    <w:rsid w:val="534B0183"/>
    <w:rsid w:val="534B600C"/>
    <w:rsid w:val="53591FD4"/>
    <w:rsid w:val="535B7AFB"/>
    <w:rsid w:val="536E1B84"/>
    <w:rsid w:val="536F746F"/>
    <w:rsid w:val="53740BBC"/>
    <w:rsid w:val="537F2F16"/>
    <w:rsid w:val="53887A72"/>
    <w:rsid w:val="538A75ED"/>
    <w:rsid w:val="538E1C7E"/>
    <w:rsid w:val="538F59F6"/>
    <w:rsid w:val="53987EBC"/>
    <w:rsid w:val="539914A9"/>
    <w:rsid w:val="539B083F"/>
    <w:rsid w:val="539B1631"/>
    <w:rsid w:val="539F3E8B"/>
    <w:rsid w:val="53A019B1"/>
    <w:rsid w:val="53A45945"/>
    <w:rsid w:val="53A5018C"/>
    <w:rsid w:val="53A54A39"/>
    <w:rsid w:val="53AE0779"/>
    <w:rsid w:val="53B316E5"/>
    <w:rsid w:val="53B35B89"/>
    <w:rsid w:val="53B57137"/>
    <w:rsid w:val="53BC0861"/>
    <w:rsid w:val="53BD42D4"/>
    <w:rsid w:val="53C1227F"/>
    <w:rsid w:val="53C43780"/>
    <w:rsid w:val="53C5766A"/>
    <w:rsid w:val="53C720A0"/>
    <w:rsid w:val="53C733E2"/>
    <w:rsid w:val="53CC6C4A"/>
    <w:rsid w:val="53CE651E"/>
    <w:rsid w:val="53D14261"/>
    <w:rsid w:val="53D33B35"/>
    <w:rsid w:val="53D77AC9"/>
    <w:rsid w:val="53DF24DA"/>
    <w:rsid w:val="53E61ABA"/>
    <w:rsid w:val="53E915AA"/>
    <w:rsid w:val="53EC1861"/>
    <w:rsid w:val="53F13832"/>
    <w:rsid w:val="53F90EE6"/>
    <w:rsid w:val="53FD1C59"/>
    <w:rsid w:val="5406215C"/>
    <w:rsid w:val="54077C82"/>
    <w:rsid w:val="54077E93"/>
    <w:rsid w:val="540C1FC1"/>
    <w:rsid w:val="540C50BD"/>
    <w:rsid w:val="54151D8F"/>
    <w:rsid w:val="5419749F"/>
    <w:rsid w:val="541A1764"/>
    <w:rsid w:val="541F6D7A"/>
    <w:rsid w:val="54295E4B"/>
    <w:rsid w:val="542B1BC3"/>
    <w:rsid w:val="542C1497"/>
    <w:rsid w:val="54331D94"/>
    <w:rsid w:val="54352A41"/>
    <w:rsid w:val="543755E9"/>
    <w:rsid w:val="543F2E4F"/>
    <w:rsid w:val="54400000"/>
    <w:rsid w:val="5441014C"/>
    <w:rsid w:val="54413194"/>
    <w:rsid w:val="54470F13"/>
    <w:rsid w:val="54493486"/>
    <w:rsid w:val="544B268E"/>
    <w:rsid w:val="544D38E7"/>
    <w:rsid w:val="544E5790"/>
    <w:rsid w:val="54571DEF"/>
    <w:rsid w:val="545762FE"/>
    <w:rsid w:val="54576514"/>
    <w:rsid w:val="545C1D7C"/>
    <w:rsid w:val="54613A3B"/>
    <w:rsid w:val="54622E43"/>
    <w:rsid w:val="54624EB9"/>
    <w:rsid w:val="54684BC5"/>
    <w:rsid w:val="54686973"/>
    <w:rsid w:val="546B5460"/>
    <w:rsid w:val="546D0833"/>
    <w:rsid w:val="54705828"/>
    <w:rsid w:val="54707B44"/>
    <w:rsid w:val="547277F2"/>
    <w:rsid w:val="547A0454"/>
    <w:rsid w:val="547C6054"/>
    <w:rsid w:val="5483555B"/>
    <w:rsid w:val="548E14C3"/>
    <w:rsid w:val="548F2152"/>
    <w:rsid w:val="54967A7E"/>
    <w:rsid w:val="549C486F"/>
    <w:rsid w:val="54A07B2F"/>
    <w:rsid w:val="54B55930"/>
    <w:rsid w:val="54B6421E"/>
    <w:rsid w:val="54B758CB"/>
    <w:rsid w:val="54B90F7D"/>
    <w:rsid w:val="54BA4CF5"/>
    <w:rsid w:val="54C016F5"/>
    <w:rsid w:val="54C16083"/>
    <w:rsid w:val="54C33EAE"/>
    <w:rsid w:val="54C47921"/>
    <w:rsid w:val="54CA318A"/>
    <w:rsid w:val="54CC0A96"/>
    <w:rsid w:val="54E00670"/>
    <w:rsid w:val="54E56216"/>
    <w:rsid w:val="54EA51DC"/>
    <w:rsid w:val="54FC355F"/>
    <w:rsid w:val="54FF433E"/>
    <w:rsid w:val="550334E7"/>
    <w:rsid w:val="550A09C8"/>
    <w:rsid w:val="5510282A"/>
    <w:rsid w:val="5517045D"/>
    <w:rsid w:val="55172147"/>
    <w:rsid w:val="55211058"/>
    <w:rsid w:val="552705DC"/>
    <w:rsid w:val="552C5ED8"/>
    <w:rsid w:val="552E31B7"/>
    <w:rsid w:val="55384597"/>
    <w:rsid w:val="553E5926"/>
    <w:rsid w:val="554051FA"/>
    <w:rsid w:val="55434CEA"/>
    <w:rsid w:val="55545149"/>
    <w:rsid w:val="55562C6F"/>
    <w:rsid w:val="555D2250"/>
    <w:rsid w:val="55611AFF"/>
    <w:rsid w:val="556A671B"/>
    <w:rsid w:val="556F274C"/>
    <w:rsid w:val="55761F09"/>
    <w:rsid w:val="55775A5D"/>
    <w:rsid w:val="557B3584"/>
    <w:rsid w:val="55807CEC"/>
    <w:rsid w:val="55992B5C"/>
    <w:rsid w:val="559B68D4"/>
    <w:rsid w:val="559F4616"/>
    <w:rsid w:val="55B31E70"/>
    <w:rsid w:val="55B55BE8"/>
    <w:rsid w:val="55C01AA6"/>
    <w:rsid w:val="55C4407D"/>
    <w:rsid w:val="55CF55C7"/>
    <w:rsid w:val="55D87B28"/>
    <w:rsid w:val="55E22755"/>
    <w:rsid w:val="55E277E7"/>
    <w:rsid w:val="55EE10FA"/>
    <w:rsid w:val="55F3226C"/>
    <w:rsid w:val="55F7216A"/>
    <w:rsid w:val="55F861CA"/>
    <w:rsid w:val="55FD758F"/>
    <w:rsid w:val="56051FA0"/>
    <w:rsid w:val="56072E57"/>
    <w:rsid w:val="560C332E"/>
    <w:rsid w:val="56114DE8"/>
    <w:rsid w:val="561A47F1"/>
    <w:rsid w:val="561C5C67"/>
    <w:rsid w:val="562614A3"/>
    <w:rsid w:val="562616C9"/>
    <w:rsid w:val="562B5E8C"/>
    <w:rsid w:val="5634294E"/>
    <w:rsid w:val="56350AD7"/>
    <w:rsid w:val="56352885"/>
    <w:rsid w:val="56355533"/>
    <w:rsid w:val="563665FD"/>
    <w:rsid w:val="56375053"/>
    <w:rsid w:val="564156CE"/>
    <w:rsid w:val="56460F02"/>
    <w:rsid w:val="565657B9"/>
    <w:rsid w:val="56582A17"/>
    <w:rsid w:val="565A731E"/>
    <w:rsid w:val="565D3B8A"/>
    <w:rsid w:val="56625644"/>
    <w:rsid w:val="56627F58"/>
    <w:rsid w:val="566528A0"/>
    <w:rsid w:val="56665CB5"/>
    <w:rsid w:val="566C0FF0"/>
    <w:rsid w:val="566C201F"/>
    <w:rsid w:val="567551C0"/>
    <w:rsid w:val="56777341"/>
    <w:rsid w:val="567E247E"/>
    <w:rsid w:val="5680141A"/>
    <w:rsid w:val="568455BA"/>
    <w:rsid w:val="56847368"/>
    <w:rsid w:val="56866145"/>
    <w:rsid w:val="56890E23"/>
    <w:rsid w:val="569357FD"/>
    <w:rsid w:val="56972004"/>
    <w:rsid w:val="569E48CE"/>
    <w:rsid w:val="56A812A9"/>
    <w:rsid w:val="56A8574D"/>
    <w:rsid w:val="56AE5057"/>
    <w:rsid w:val="56B40571"/>
    <w:rsid w:val="56B51C18"/>
    <w:rsid w:val="56B52F3D"/>
    <w:rsid w:val="56B61C32"/>
    <w:rsid w:val="56B77B44"/>
    <w:rsid w:val="56C70BD6"/>
    <w:rsid w:val="56C72959"/>
    <w:rsid w:val="56CB4F97"/>
    <w:rsid w:val="56DC53F6"/>
    <w:rsid w:val="56EB567D"/>
    <w:rsid w:val="56EF3780"/>
    <w:rsid w:val="56F02C50"/>
    <w:rsid w:val="56F3629C"/>
    <w:rsid w:val="56F4254E"/>
    <w:rsid w:val="56F902FF"/>
    <w:rsid w:val="56FC33A3"/>
    <w:rsid w:val="57032983"/>
    <w:rsid w:val="5709481B"/>
    <w:rsid w:val="570B18ED"/>
    <w:rsid w:val="570B7A8A"/>
    <w:rsid w:val="571031C6"/>
    <w:rsid w:val="57154248"/>
    <w:rsid w:val="5717642E"/>
    <w:rsid w:val="571B31C5"/>
    <w:rsid w:val="572172AD"/>
    <w:rsid w:val="57272B15"/>
    <w:rsid w:val="572752A3"/>
    <w:rsid w:val="57284E5F"/>
    <w:rsid w:val="572A09D8"/>
    <w:rsid w:val="574014E1"/>
    <w:rsid w:val="57482A8C"/>
    <w:rsid w:val="57566CF9"/>
    <w:rsid w:val="575D24A0"/>
    <w:rsid w:val="575F19EF"/>
    <w:rsid w:val="57721347"/>
    <w:rsid w:val="577218B7"/>
    <w:rsid w:val="57743881"/>
    <w:rsid w:val="57763155"/>
    <w:rsid w:val="57770C7B"/>
    <w:rsid w:val="57792C45"/>
    <w:rsid w:val="577C44E3"/>
    <w:rsid w:val="577E08ED"/>
    <w:rsid w:val="578A3721"/>
    <w:rsid w:val="57926836"/>
    <w:rsid w:val="57A04676"/>
    <w:rsid w:val="57A75A04"/>
    <w:rsid w:val="57A9177C"/>
    <w:rsid w:val="57AC301B"/>
    <w:rsid w:val="57AC3AAB"/>
    <w:rsid w:val="57AD6E57"/>
    <w:rsid w:val="57AE07FF"/>
    <w:rsid w:val="57AF30ED"/>
    <w:rsid w:val="57B618E5"/>
    <w:rsid w:val="57C00874"/>
    <w:rsid w:val="57C12A2F"/>
    <w:rsid w:val="57C75F1F"/>
    <w:rsid w:val="57C92690"/>
    <w:rsid w:val="57CA6EF3"/>
    <w:rsid w:val="57CD1B81"/>
    <w:rsid w:val="57D319E1"/>
    <w:rsid w:val="57D32355"/>
    <w:rsid w:val="57D460CD"/>
    <w:rsid w:val="57E02CC4"/>
    <w:rsid w:val="57E91B79"/>
    <w:rsid w:val="57EE227B"/>
    <w:rsid w:val="57EF1159"/>
    <w:rsid w:val="57F0501C"/>
    <w:rsid w:val="57F329F7"/>
    <w:rsid w:val="57F4051E"/>
    <w:rsid w:val="57F5658A"/>
    <w:rsid w:val="58030846"/>
    <w:rsid w:val="58070251"/>
    <w:rsid w:val="580764A3"/>
    <w:rsid w:val="581125D0"/>
    <w:rsid w:val="5813309A"/>
    <w:rsid w:val="58134E48"/>
    <w:rsid w:val="581542B9"/>
    <w:rsid w:val="581B1F4E"/>
    <w:rsid w:val="58207565"/>
    <w:rsid w:val="5822166D"/>
    <w:rsid w:val="582263E2"/>
    <w:rsid w:val="58261191"/>
    <w:rsid w:val="582C6931"/>
    <w:rsid w:val="582F1556"/>
    <w:rsid w:val="58306118"/>
    <w:rsid w:val="58333B00"/>
    <w:rsid w:val="58374AE4"/>
    <w:rsid w:val="583A6878"/>
    <w:rsid w:val="583C439E"/>
    <w:rsid w:val="583D0117"/>
    <w:rsid w:val="583F3E8F"/>
    <w:rsid w:val="58403763"/>
    <w:rsid w:val="58443253"/>
    <w:rsid w:val="584957B8"/>
    <w:rsid w:val="584E5E80"/>
    <w:rsid w:val="585039A6"/>
    <w:rsid w:val="585C67EF"/>
    <w:rsid w:val="585D3A23"/>
    <w:rsid w:val="585D60C3"/>
    <w:rsid w:val="58613E05"/>
    <w:rsid w:val="58737694"/>
    <w:rsid w:val="58810003"/>
    <w:rsid w:val="58845D45"/>
    <w:rsid w:val="5886561A"/>
    <w:rsid w:val="588C3EFB"/>
    <w:rsid w:val="588D4BFA"/>
    <w:rsid w:val="58940161"/>
    <w:rsid w:val="58951D01"/>
    <w:rsid w:val="589917F1"/>
    <w:rsid w:val="589A3BD0"/>
    <w:rsid w:val="589A7317"/>
    <w:rsid w:val="589F0489"/>
    <w:rsid w:val="58A14202"/>
    <w:rsid w:val="58B32E3A"/>
    <w:rsid w:val="58B607FF"/>
    <w:rsid w:val="58B959EF"/>
    <w:rsid w:val="58BA3515"/>
    <w:rsid w:val="58BA59CD"/>
    <w:rsid w:val="58BC728D"/>
    <w:rsid w:val="58BE3005"/>
    <w:rsid w:val="58C148A4"/>
    <w:rsid w:val="58C3686E"/>
    <w:rsid w:val="58D07FAA"/>
    <w:rsid w:val="58D520FD"/>
    <w:rsid w:val="58DC7930"/>
    <w:rsid w:val="58E16DA5"/>
    <w:rsid w:val="58E30CBE"/>
    <w:rsid w:val="58E331D0"/>
    <w:rsid w:val="58E4036E"/>
    <w:rsid w:val="58E413D0"/>
    <w:rsid w:val="58E4541F"/>
    <w:rsid w:val="58E67648"/>
    <w:rsid w:val="58E83448"/>
    <w:rsid w:val="58EC6CE0"/>
    <w:rsid w:val="58ED4523"/>
    <w:rsid w:val="58ED5699"/>
    <w:rsid w:val="58F17AA6"/>
    <w:rsid w:val="58F44C79"/>
    <w:rsid w:val="58F95C47"/>
    <w:rsid w:val="58F97AA8"/>
    <w:rsid w:val="58FC3B2E"/>
    <w:rsid w:val="59046067"/>
    <w:rsid w:val="59140E77"/>
    <w:rsid w:val="59244AC5"/>
    <w:rsid w:val="592A16CF"/>
    <w:rsid w:val="593C217C"/>
    <w:rsid w:val="59402EA8"/>
    <w:rsid w:val="59413C36"/>
    <w:rsid w:val="5947124D"/>
    <w:rsid w:val="594D276F"/>
    <w:rsid w:val="59573775"/>
    <w:rsid w:val="59592D2E"/>
    <w:rsid w:val="595B6AA6"/>
    <w:rsid w:val="59606BD8"/>
    <w:rsid w:val="59657925"/>
    <w:rsid w:val="596A0A97"/>
    <w:rsid w:val="596A4F3B"/>
    <w:rsid w:val="59706436"/>
    <w:rsid w:val="597436C4"/>
    <w:rsid w:val="597C07CB"/>
    <w:rsid w:val="597D4C6F"/>
    <w:rsid w:val="597E09E7"/>
    <w:rsid w:val="597F3EB2"/>
    <w:rsid w:val="59815DE1"/>
    <w:rsid w:val="598853C1"/>
    <w:rsid w:val="598A1326"/>
    <w:rsid w:val="598A2854"/>
    <w:rsid w:val="598B67C8"/>
    <w:rsid w:val="59926B38"/>
    <w:rsid w:val="59946F6C"/>
    <w:rsid w:val="59951986"/>
    <w:rsid w:val="59955B5A"/>
    <w:rsid w:val="59A64212"/>
    <w:rsid w:val="59A83C72"/>
    <w:rsid w:val="59AD46C0"/>
    <w:rsid w:val="59B44408"/>
    <w:rsid w:val="59C42A07"/>
    <w:rsid w:val="59C97EB4"/>
    <w:rsid w:val="59CC1752"/>
    <w:rsid w:val="59D10B16"/>
    <w:rsid w:val="59D16D68"/>
    <w:rsid w:val="59D6612D"/>
    <w:rsid w:val="59DD395F"/>
    <w:rsid w:val="59EA7E2A"/>
    <w:rsid w:val="59F01C15"/>
    <w:rsid w:val="59F34F31"/>
    <w:rsid w:val="59F91E1B"/>
    <w:rsid w:val="59FB2037"/>
    <w:rsid w:val="59FD190B"/>
    <w:rsid w:val="5A096502"/>
    <w:rsid w:val="5A132EDD"/>
    <w:rsid w:val="5A1448CA"/>
    <w:rsid w:val="5A1613D6"/>
    <w:rsid w:val="5A164737"/>
    <w:rsid w:val="5A186745"/>
    <w:rsid w:val="5A1B4488"/>
    <w:rsid w:val="5A1D0200"/>
    <w:rsid w:val="5A1D1FAE"/>
    <w:rsid w:val="5A24333C"/>
    <w:rsid w:val="5A336FA5"/>
    <w:rsid w:val="5A3A1C71"/>
    <w:rsid w:val="5A3B0686"/>
    <w:rsid w:val="5A3F0176"/>
    <w:rsid w:val="5A416EFA"/>
    <w:rsid w:val="5A4A2677"/>
    <w:rsid w:val="5A5654C0"/>
    <w:rsid w:val="5A5857B3"/>
    <w:rsid w:val="5A6279C1"/>
    <w:rsid w:val="5A6776CD"/>
    <w:rsid w:val="5A700229"/>
    <w:rsid w:val="5A74177B"/>
    <w:rsid w:val="5A7608BE"/>
    <w:rsid w:val="5A7871E4"/>
    <w:rsid w:val="5A820063"/>
    <w:rsid w:val="5A8953FD"/>
    <w:rsid w:val="5A8E07B6"/>
    <w:rsid w:val="5A90452E"/>
    <w:rsid w:val="5A92474A"/>
    <w:rsid w:val="5A9F6E67"/>
    <w:rsid w:val="5AA4622B"/>
    <w:rsid w:val="5AAE1450"/>
    <w:rsid w:val="5AB02E22"/>
    <w:rsid w:val="5AB17380"/>
    <w:rsid w:val="5AB26B9A"/>
    <w:rsid w:val="5AB611C3"/>
    <w:rsid w:val="5ABA5A4E"/>
    <w:rsid w:val="5AC32B55"/>
    <w:rsid w:val="5AC42429"/>
    <w:rsid w:val="5AC474BB"/>
    <w:rsid w:val="5AC91D7C"/>
    <w:rsid w:val="5ACD33FA"/>
    <w:rsid w:val="5AD05272"/>
    <w:rsid w:val="5ADF7263"/>
    <w:rsid w:val="5AE44879"/>
    <w:rsid w:val="5AE64A95"/>
    <w:rsid w:val="5AE66844"/>
    <w:rsid w:val="5AEE7B72"/>
    <w:rsid w:val="5AEF4DB2"/>
    <w:rsid w:val="5AF01470"/>
    <w:rsid w:val="5AF078D1"/>
    <w:rsid w:val="5AFF4810"/>
    <w:rsid w:val="5B01542B"/>
    <w:rsid w:val="5B015517"/>
    <w:rsid w:val="5B015F04"/>
    <w:rsid w:val="5B022F52"/>
    <w:rsid w:val="5B0B62AA"/>
    <w:rsid w:val="5B155C32"/>
    <w:rsid w:val="5B164B1A"/>
    <w:rsid w:val="5B1C5C19"/>
    <w:rsid w:val="5B1F3B03"/>
    <w:rsid w:val="5B2335F4"/>
    <w:rsid w:val="5B2353A2"/>
    <w:rsid w:val="5B2568B5"/>
    <w:rsid w:val="5B256C20"/>
    <w:rsid w:val="5B280C0A"/>
    <w:rsid w:val="5B2E56C1"/>
    <w:rsid w:val="5B382A6F"/>
    <w:rsid w:val="5B385DB9"/>
    <w:rsid w:val="5B3B24FF"/>
    <w:rsid w:val="5B42032E"/>
    <w:rsid w:val="5B48305A"/>
    <w:rsid w:val="5B4F43E9"/>
    <w:rsid w:val="5B58620F"/>
    <w:rsid w:val="5B6E225A"/>
    <w:rsid w:val="5B7377AF"/>
    <w:rsid w:val="5B7A679D"/>
    <w:rsid w:val="5B7E4CCE"/>
    <w:rsid w:val="5B815974"/>
    <w:rsid w:val="5B8B6EA9"/>
    <w:rsid w:val="5B8D3163"/>
    <w:rsid w:val="5B955B74"/>
    <w:rsid w:val="5B957E4A"/>
    <w:rsid w:val="5B963366"/>
    <w:rsid w:val="5B9B5880"/>
    <w:rsid w:val="5B9C6858"/>
    <w:rsid w:val="5BA16532"/>
    <w:rsid w:val="5BA26C0E"/>
    <w:rsid w:val="5BA64C88"/>
    <w:rsid w:val="5BA77007"/>
    <w:rsid w:val="5BAE2B14"/>
    <w:rsid w:val="5BAF6C35"/>
    <w:rsid w:val="5BB9401C"/>
    <w:rsid w:val="5BBC25EB"/>
    <w:rsid w:val="5BBF7740"/>
    <w:rsid w:val="5BC06214"/>
    <w:rsid w:val="5BC1475F"/>
    <w:rsid w:val="5BCA7F5D"/>
    <w:rsid w:val="5BD448EE"/>
    <w:rsid w:val="5BD515C7"/>
    <w:rsid w:val="5BD7618C"/>
    <w:rsid w:val="5BED1FE8"/>
    <w:rsid w:val="5BED775E"/>
    <w:rsid w:val="5BEF076A"/>
    <w:rsid w:val="5BF154A0"/>
    <w:rsid w:val="5BF1724E"/>
    <w:rsid w:val="5BF22FC6"/>
    <w:rsid w:val="5C0213EC"/>
    <w:rsid w:val="5C0351D3"/>
    <w:rsid w:val="5C123AEB"/>
    <w:rsid w:val="5C221983"/>
    <w:rsid w:val="5C2770F5"/>
    <w:rsid w:val="5C285D27"/>
    <w:rsid w:val="5C2A09B2"/>
    <w:rsid w:val="5C2A0EF0"/>
    <w:rsid w:val="5C2B5F72"/>
    <w:rsid w:val="5C2F3027"/>
    <w:rsid w:val="5C3414B8"/>
    <w:rsid w:val="5C37035E"/>
    <w:rsid w:val="5C3A263A"/>
    <w:rsid w:val="5C3B671B"/>
    <w:rsid w:val="5C440F79"/>
    <w:rsid w:val="5C447CC6"/>
    <w:rsid w:val="5C476215"/>
    <w:rsid w:val="5C52370C"/>
    <w:rsid w:val="5C5B0B6B"/>
    <w:rsid w:val="5C5B500F"/>
    <w:rsid w:val="5C5C2FCC"/>
    <w:rsid w:val="5C5F52A8"/>
    <w:rsid w:val="5C602626"/>
    <w:rsid w:val="5C696A57"/>
    <w:rsid w:val="5C69772C"/>
    <w:rsid w:val="5C6C4B26"/>
    <w:rsid w:val="5C6C6C4D"/>
    <w:rsid w:val="5C754D1C"/>
    <w:rsid w:val="5C760391"/>
    <w:rsid w:val="5C816EBC"/>
    <w:rsid w:val="5C851D76"/>
    <w:rsid w:val="5C877BB2"/>
    <w:rsid w:val="5C9127DF"/>
    <w:rsid w:val="5C961BA3"/>
    <w:rsid w:val="5CA00C74"/>
    <w:rsid w:val="5CA8379A"/>
    <w:rsid w:val="5CAE112D"/>
    <w:rsid w:val="5CB86E88"/>
    <w:rsid w:val="5CBA7F88"/>
    <w:rsid w:val="5CBF5160"/>
    <w:rsid w:val="5CC04E72"/>
    <w:rsid w:val="5CC130C4"/>
    <w:rsid w:val="5CC54D65"/>
    <w:rsid w:val="5CCB3F43"/>
    <w:rsid w:val="5CCE6528"/>
    <w:rsid w:val="5CD13658"/>
    <w:rsid w:val="5CD1707F"/>
    <w:rsid w:val="5CDC1CAC"/>
    <w:rsid w:val="5CDC5C04"/>
    <w:rsid w:val="5CDD77D2"/>
    <w:rsid w:val="5CE84AF5"/>
    <w:rsid w:val="5CE84E2B"/>
    <w:rsid w:val="5CE86398"/>
    <w:rsid w:val="5CEB0141"/>
    <w:rsid w:val="5CEB1EEF"/>
    <w:rsid w:val="5CF3349A"/>
    <w:rsid w:val="5CF60894"/>
    <w:rsid w:val="5CF74D38"/>
    <w:rsid w:val="5CFF599B"/>
    <w:rsid w:val="5D047455"/>
    <w:rsid w:val="5D077FE3"/>
    <w:rsid w:val="5D0D20F6"/>
    <w:rsid w:val="5D0E228A"/>
    <w:rsid w:val="5D0E5BDE"/>
    <w:rsid w:val="5D0E71A2"/>
    <w:rsid w:val="5D105DFA"/>
    <w:rsid w:val="5D1551BE"/>
    <w:rsid w:val="5D155667"/>
    <w:rsid w:val="5D184CAE"/>
    <w:rsid w:val="5D1A0A26"/>
    <w:rsid w:val="5D1E0517"/>
    <w:rsid w:val="5D1F428F"/>
    <w:rsid w:val="5D2B6288"/>
    <w:rsid w:val="5D367A4A"/>
    <w:rsid w:val="5D395350"/>
    <w:rsid w:val="5D415FB3"/>
    <w:rsid w:val="5D417E67"/>
    <w:rsid w:val="5D426FB9"/>
    <w:rsid w:val="5D443BB8"/>
    <w:rsid w:val="5D443CF5"/>
    <w:rsid w:val="5D450961"/>
    <w:rsid w:val="5D485594"/>
    <w:rsid w:val="5D4D4958"/>
    <w:rsid w:val="5D534865"/>
    <w:rsid w:val="5D535CE6"/>
    <w:rsid w:val="5D55380D"/>
    <w:rsid w:val="5D577585"/>
    <w:rsid w:val="5D706898"/>
    <w:rsid w:val="5D744F60"/>
    <w:rsid w:val="5D787085"/>
    <w:rsid w:val="5D7A3273"/>
    <w:rsid w:val="5D7C6FEB"/>
    <w:rsid w:val="5D8B36D2"/>
    <w:rsid w:val="5D8B72B4"/>
    <w:rsid w:val="5D924A61"/>
    <w:rsid w:val="5DA12EF6"/>
    <w:rsid w:val="5DA56542"/>
    <w:rsid w:val="5DA64281"/>
    <w:rsid w:val="5DAA7FFC"/>
    <w:rsid w:val="5DB449D7"/>
    <w:rsid w:val="5DB82930"/>
    <w:rsid w:val="5DC015CE"/>
    <w:rsid w:val="5DC11FE8"/>
    <w:rsid w:val="5DCB3ACF"/>
    <w:rsid w:val="5DCF5EBA"/>
    <w:rsid w:val="5DCF7A59"/>
    <w:rsid w:val="5DD706C5"/>
    <w:rsid w:val="5DD7237A"/>
    <w:rsid w:val="5DD83C04"/>
    <w:rsid w:val="5DDA393E"/>
    <w:rsid w:val="5DE84681"/>
    <w:rsid w:val="5DEC0CDE"/>
    <w:rsid w:val="5DEC23C3"/>
    <w:rsid w:val="5DEE4D3F"/>
    <w:rsid w:val="5DF47223"/>
    <w:rsid w:val="5DF63241"/>
    <w:rsid w:val="5E002E2D"/>
    <w:rsid w:val="5E0A598D"/>
    <w:rsid w:val="5E0B036F"/>
    <w:rsid w:val="5E1436C8"/>
    <w:rsid w:val="5E1835BF"/>
    <w:rsid w:val="5E1B3922"/>
    <w:rsid w:val="5E2A31A9"/>
    <w:rsid w:val="5E2D6FA2"/>
    <w:rsid w:val="5E2F405E"/>
    <w:rsid w:val="5E345B18"/>
    <w:rsid w:val="5E3530CD"/>
    <w:rsid w:val="5E385608"/>
    <w:rsid w:val="5E3D2C1E"/>
    <w:rsid w:val="5E435D5B"/>
    <w:rsid w:val="5E4C4C10"/>
    <w:rsid w:val="5E522449"/>
    <w:rsid w:val="5E5401E3"/>
    <w:rsid w:val="5E55625A"/>
    <w:rsid w:val="5E5B27F7"/>
    <w:rsid w:val="5E602BDB"/>
    <w:rsid w:val="5E62099B"/>
    <w:rsid w:val="5E625A07"/>
    <w:rsid w:val="5E627981"/>
    <w:rsid w:val="5E686551"/>
    <w:rsid w:val="5E6957C1"/>
    <w:rsid w:val="5E7B3747"/>
    <w:rsid w:val="5E7B6FC8"/>
    <w:rsid w:val="5E7E508A"/>
    <w:rsid w:val="5E7F3237"/>
    <w:rsid w:val="5E8343A9"/>
    <w:rsid w:val="5E8425FB"/>
    <w:rsid w:val="5E852584"/>
    <w:rsid w:val="5E86080C"/>
    <w:rsid w:val="5E861249"/>
    <w:rsid w:val="5E9023B0"/>
    <w:rsid w:val="5E940365"/>
    <w:rsid w:val="5E9F0EAB"/>
    <w:rsid w:val="5EA274B7"/>
    <w:rsid w:val="5EA70098"/>
    <w:rsid w:val="5EA7453C"/>
    <w:rsid w:val="5EA83D62"/>
    <w:rsid w:val="5EB570EF"/>
    <w:rsid w:val="5EB822A5"/>
    <w:rsid w:val="5EB94689"/>
    <w:rsid w:val="5EB96BBE"/>
    <w:rsid w:val="5EBB3B43"/>
    <w:rsid w:val="5EBB7FE7"/>
    <w:rsid w:val="5ECE039A"/>
    <w:rsid w:val="5ED54C05"/>
    <w:rsid w:val="5ED86AF4"/>
    <w:rsid w:val="5EDA046D"/>
    <w:rsid w:val="5EDA094D"/>
    <w:rsid w:val="5EDB5F93"/>
    <w:rsid w:val="5EE237C6"/>
    <w:rsid w:val="5EEC3933"/>
    <w:rsid w:val="5EEE3F19"/>
    <w:rsid w:val="5EEE5CC7"/>
    <w:rsid w:val="5EF835E3"/>
    <w:rsid w:val="5EFA6CBC"/>
    <w:rsid w:val="5F024F5E"/>
    <w:rsid w:val="5F033FFC"/>
    <w:rsid w:val="5F0B0627"/>
    <w:rsid w:val="5F126946"/>
    <w:rsid w:val="5F131BD1"/>
    <w:rsid w:val="5F182D44"/>
    <w:rsid w:val="5F1F2324"/>
    <w:rsid w:val="5F230066"/>
    <w:rsid w:val="5F2E07B9"/>
    <w:rsid w:val="5F33413D"/>
    <w:rsid w:val="5F337B7D"/>
    <w:rsid w:val="5F361B59"/>
    <w:rsid w:val="5F3C2ED6"/>
    <w:rsid w:val="5F465B03"/>
    <w:rsid w:val="5F4B6602"/>
    <w:rsid w:val="5F514A0C"/>
    <w:rsid w:val="5F52718C"/>
    <w:rsid w:val="5F547AA7"/>
    <w:rsid w:val="5F5B5AE4"/>
    <w:rsid w:val="5F5F0972"/>
    <w:rsid w:val="5F630463"/>
    <w:rsid w:val="5F6441DB"/>
    <w:rsid w:val="5F667F53"/>
    <w:rsid w:val="5F6845F0"/>
    <w:rsid w:val="5F70492E"/>
    <w:rsid w:val="5F750A5A"/>
    <w:rsid w:val="5F7673D1"/>
    <w:rsid w:val="5F7A0282"/>
    <w:rsid w:val="5F7A39FE"/>
    <w:rsid w:val="5F814D8D"/>
    <w:rsid w:val="5F8328B3"/>
    <w:rsid w:val="5F8723BE"/>
    <w:rsid w:val="5F893C41"/>
    <w:rsid w:val="5F8B79B9"/>
    <w:rsid w:val="5F9E7DA2"/>
    <w:rsid w:val="5FA10F8B"/>
    <w:rsid w:val="5FA32F55"/>
    <w:rsid w:val="5FA62A45"/>
    <w:rsid w:val="5FA665A1"/>
    <w:rsid w:val="5FA82319"/>
    <w:rsid w:val="5FAB3BB8"/>
    <w:rsid w:val="5FAD16DE"/>
    <w:rsid w:val="5FAD5B82"/>
    <w:rsid w:val="5FB82DF5"/>
    <w:rsid w:val="5FC133DB"/>
    <w:rsid w:val="5FC35719"/>
    <w:rsid w:val="5FC627A0"/>
    <w:rsid w:val="5FD17AC2"/>
    <w:rsid w:val="5FD749AD"/>
    <w:rsid w:val="5FE1582B"/>
    <w:rsid w:val="5FE4471A"/>
    <w:rsid w:val="5FE532A2"/>
    <w:rsid w:val="5FEA0B84"/>
    <w:rsid w:val="5FEE3E15"/>
    <w:rsid w:val="5FF437B1"/>
    <w:rsid w:val="5FF71F48"/>
    <w:rsid w:val="5FFE2086"/>
    <w:rsid w:val="5FFF5CB2"/>
    <w:rsid w:val="60004801"/>
    <w:rsid w:val="60017C7C"/>
    <w:rsid w:val="60021AD9"/>
    <w:rsid w:val="60082DB8"/>
    <w:rsid w:val="600E79CD"/>
    <w:rsid w:val="60107EBF"/>
    <w:rsid w:val="60136C47"/>
    <w:rsid w:val="60252F1B"/>
    <w:rsid w:val="60255718"/>
    <w:rsid w:val="60270DE3"/>
    <w:rsid w:val="602A2D2E"/>
    <w:rsid w:val="602F356E"/>
    <w:rsid w:val="602F4709"/>
    <w:rsid w:val="60335356"/>
    <w:rsid w:val="60340051"/>
    <w:rsid w:val="60432042"/>
    <w:rsid w:val="604364E6"/>
    <w:rsid w:val="60472CAE"/>
    <w:rsid w:val="604858AA"/>
    <w:rsid w:val="604D05CC"/>
    <w:rsid w:val="605424A1"/>
    <w:rsid w:val="60555655"/>
    <w:rsid w:val="6057024D"/>
    <w:rsid w:val="605919E9"/>
    <w:rsid w:val="605B1EAB"/>
    <w:rsid w:val="605C4EB2"/>
    <w:rsid w:val="605E6E7C"/>
    <w:rsid w:val="606131E6"/>
    <w:rsid w:val="60636240"/>
    <w:rsid w:val="60637AA4"/>
    <w:rsid w:val="6065020A"/>
    <w:rsid w:val="606E1F64"/>
    <w:rsid w:val="60712937"/>
    <w:rsid w:val="60717E7D"/>
    <w:rsid w:val="60770C85"/>
    <w:rsid w:val="607B251F"/>
    <w:rsid w:val="607E751E"/>
    <w:rsid w:val="608E59B3"/>
    <w:rsid w:val="60922E63"/>
    <w:rsid w:val="60940AF0"/>
    <w:rsid w:val="60997EB4"/>
    <w:rsid w:val="609D5BF6"/>
    <w:rsid w:val="609D684D"/>
    <w:rsid w:val="609E1A33"/>
    <w:rsid w:val="609E371C"/>
    <w:rsid w:val="60A14128"/>
    <w:rsid w:val="60A704C8"/>
    <w:rsid w:val="60B46A9C"/>
    <w:rsid w:val="60B8658C"/>
    <w:rsid w:val="60BD0047"/>
    <w:rsid w:val="60BE791B"/>
    <w:rsid w:val="60C414B0"/>
    <w:rsid w:val="60C5442D"/>
    <w:rsid w:val="60CA62C0"/>
    <w:rsid w:val="60CB0913"/>
    <w:rsid w:val="60D07D7A"/>
    <w:rsid w:val="60D33FA2"/>
    <w:rsid w:val="60D766F9"/>
    <w:rsid w:val="60D76857"/>
    <w:rsid w:val="60E318BB"/>
    <w:rsid w:val="60E34DBC"/>
    <w:rsid w:val="60E70C20"/>
    <w:rsid w:val="60EA1640"/>
    <w:rsid w:val="60EE42A7"/>
    <w:rsid w:val="60FE2972"/>
    <w:rsid w:val="610B36BC"/>
    <w:rsid w:val="610C68D8"/>
    <w:rsid w:val="61120392"/>
    <w:rsid w:val="61125B18"/>
    <w:rsid w:val="611403C5"/>
    <w:rsid w:val="61207A18"/>
    <w:rsid w:val="61245C38"/>
    <w:rsid w:val="6125317D"/>
    <w:rsid w:val="612551C8"/>
    <w:rsid w:val="612B443D"/>
    <w:rsid w:val="61377DF9"/>
    <w:rsid w:val="61433C21"/>
    <w:rsid w:val="61442516"/>
    <w:rsid w:val="6145071A"/>
    <w:rsid w:val="61646F94"/>
    <w:rsid w:val="6166574B"/>
    <w:rsid w:val="616E7593"/>
    <w:rsid w:val="616F4464"/>
    <w:rsid w:val="617015EB"/>
    <w:rsid w:val="61706950"/>
    <w:rsid w:val="617526CF"/>
    <w:rsid w:val="617821BF"/>
    <w:rsid w:val="61783A9E"/>
    <w:rsid w:val="618636A6"/>
    <w:rsid w:val="618943CD"/>
    <w:rsid w:val="618A42B3"/>
    <w:rsid w:val="618D5C6B"/>
    <w:rsid w:val="619314C1"/>
    <w:rsid w:val="619336A2"/>
    <w:rsid w:val="61A34E7C"/>
    <w:rsid w:val="61A60ADB"/>
    <w:rsid w:val="61A92915"/>
    <w:rsid w:val="61A94127"/>
    <w:rsid w:val="61AC29D7"/>
    <w:rsid w:val="61AE798F"/>
    <w:rsid w:val="61B256D1"/>
    <w:rsid w:val="61B2747F"/>
    <w:rsid w:val="61B34FA6"/>
    <w:rsid w:val="61B96A60"/>
    <w:rsid w:val="61BA27D8"/>
    <w:rsid w:val="61C564E0"/>
    <w:rsid w:val="61CB6793"/>
    <w:rsid w:val="61CC3E4D"/>
    <w:rsid w:val="61CE5D71"/>
    <w:rsid w:val="61D05B58"/>
    <w:rsid w:val="61D70C94"/>
    <w:rsid w:val="61D91338"/>
    <w:rsid w:val="61DF5D52"/>
    <w:rsid w:val="61E11B13"/>
    <w:rsid w:val="61E15E8E"/>
    <w:rsid w:val="61E24208"/>
    <w:rsid w:val="61F061FA"/>
    <w:rsid w:val="61F07F1A"/>
    <w:rsid w:val="61F65545"/>
    <w:rsid w:val="61F71336"/>
    <w:rsid w:val="61FF01EB"/>
    <w:rsid w:val="62001846"/>
    <w:rsid w:val="62013F63"/>
    <w:rsid w:val="62053A53"/>
    <w:rsid w:val="62090567"/>
    <w:rsid w:val="621243C2"/>
    <w:rsid w:val="62165C60"/>
    <w:rsid w:val="621E7876"/>
    <w:rsid w:val="62265778"/>
    <w:rsid w:val="622D2FAA"/>
    <w:rsid w:val="622D6B06"/>
    <w:rsid w:val="6232236E"/>
    <w:rsid w:val="62326812"/>
    <w:rsid w:val="623600B0"/>
    <w:rsid w:val="62367D31"/>
    <w:rsid w:val="623E0D13"/>
    <w:rsid w:val="62477588"/>
    <w:rsid w:val="62483940"/>
    <w:rsid w:val="62487DE4"/>
    <w:rsid w:val="6254011E"/>
    <w:rsid w:val="625422E5"/>
    <w:rsid w:val="625B3673"/>
    <w:rsid w:val="62637548"/>
    <w:rsid w:val="626E78EE"/>
    <w:rsid w:val="626F5370"/>
    <w:rsid w:val="62711AB7"/>
    <w:rsid w:val="62854B94"/>
    <w:rsid w:val="628A3F58"/>
    <w:rsid w:val="62913539"/>
    <w:rsid w:val="6293483B"/>
    <w:rsid w:val="62975D9E"/>
    <w:rsid w:val="62976675"/>
    <w:rsid w:val="629848C7"/>
    <w:rsid w:val="6299419B"/>
    <w:rsid w:val="62A0552A"/>
    <w:rsid w:val="62A41858"/>
    <w:rsid w:val="62A42602"/>
    <w:rsid w:val="62A72D5C"/>
    <w:rsid w:val="62AC2121"/>
    <w:rsid w:val="62AC3ECF"/>
    <w:rsid w:val="62AE5E99"/>
    <w:rsid w:val="62B162CC"/>
    <w:rsid w:val="62B62F9F"/>
    <w:rsid w:val="62B80AC5"/>
    <w:rsid w:val="62C06D65"/>
    <w:rsid w:val="62C17904"/>
    <w:rsid w:val="62C54F90"/>
    <w:rsid w:val="62CA67CA"/>
    <w:rsid w:val="62CC27C3"/>
    <w:rsid w:val="62D177DF"/>
    <w:rsid w:val="62D54796"/>
    <w:rsid w:val="62D84CC4"/>
    <w:rsid w:val="62DD6F23"/>
    <w:rsid w:val="62E42611"/>
    <w:rsid w:val="62EE2739"/>
    <w:rsid w:val="62F242E9"/>
    <w:rsid w:val="62F35FA1"/>
    <w:rsid w:val="62F853AB"/>
    <w:rsid w:val="62F87114"/>
    <w:rsid w:val="62FD297C"/>
    <w:rsid w:val="63097573"/>
    <w:rsid w:val="630B281A"/>
    <w:rsid w:val="630F445E"/>
    <w:rsid w:val="63134F69"/>
    <w:rsid w:val="63147CC6"/>
    <w:rsid w:val="631D74F4"/>
    <w:rsid w:val="63216475"/>
    <w:rsid w:val="632366D8"/>
    <w:rsid w:val="632443AD"/>
    <w:rsid w:val="63256E80"/>
    <w:rsid w:val="632919C3"/>
    <w:rsid w:val="632B23AD"/>
    <w:rsid w:val="632F0B0D"/>
    <w:rsid w:val="63304B00"/>
    <w:rsid w:val="633640E0"/>
    <w:rsid w:val="63374405"/>
    <w:rsid w:val="633839B4"/>
    <w:rsid w:val="63400ABB"/>
    <w:rsid w:val="63424833"/>
    <w:rsid w:val="634270BD"/>
    <w:rsid w:val="634347F2"/>
    <w:rsid w:val="63463737"/>
    <w:rsid w:val="634B4DCA"/>
    <w:rsid w:val="63516AC1"/>
    <w:rsid w:val="63534C92"/>
    <w:rsid w:val="6356208C"/>
    <w:rsid w:val="635822A8"/>
    <w:rsid w:val="635A3730"/>
    <w:rsid w:val="63620A31"/>
    <w:rsid w:val="63627882"/>
    <w:rsid w:val="636341BB"/>
    <w:rsid w:val="636838B8"/>
    <w:rsid w:val="636C18B0"/>
    <w:rsid w:val="6377272F"/>
    <w:rsid w:val="637A221F"/>
    <w:rsid w:val="637A3FCD"/>
    <w:rsid w:val="637E4A58"/>
    <w:rsid w:val="638210D3"/>
    <w:rsid w:val="638766EA"/>
    <w:rsid w:val="638773F8"/>
    <w:rsid w:val="6388493C"/>
    <w:rsid w:val="63894210"/>
    <w:rsid w:val="638C11F2"/>
    <w:rsid w:val="638E799F"/>
    <w:rsid w:val="638E7A78"/>
    <w:rsid w:val="639130C5"/>
    <w:rsid w:val="6393312C"/>
    <w:rsid w:val="63A1155A"/>
    <w:rsid w:val="63A40C12"/>
    <w:rsid w:val="63A63014"/>
    <w:rsid w:val="63A66B70"/>
    <w:rsid w:val="63A92582"/>
    <w:rsid w:val="63A948B2"/>
    <w:rsid w:val="63AC7EFE"/>
    <w:rsid w:val="63AD1FEB"/>
    <w:rsid w:val="63B03E93"/>
    <w:rsid w:val="63B35731"/>
    <w:rsid w:val="63BA086D"/>
    <w:rsid w:val="63BF7C32"/>
    <w:rsid w:val="63C811DC"/>
    <w:rsid w:val="63CB3AB3"/>
    <w:rsid w:val="63CB4828"/>
    <w:rsid w:val="63D21EB4"/>
    <w:rsid w:val="63DE255A"/>
    <w:rsid w:val="63E1404C"/>
    <w:rsid w:val="63E853DA"/>
    <w:rsid w:val="63E9766D"/>
    <w:rsid w:val="63EB4ECB"/>
    <w:rsid w:val="63F0428F"/>
    <w:rsid w:val="63F37152"/>
    <w:rsid w:val="63F7561D"/>
    <w:rsid w:val="64047D3A"/>
    <w:rsid w:val="640B10C9"/>
    <w:rsid w:val="640B1AE9"/>
    <w:rsid w:val="640B731B"/>
    <w:rsid w:val="640D3093"/>
    <w:rsid w:val="640D6BEF"/>
    <w:rsid w:val="6414138E"/>
    <w:rsid w:val="641C5084"/>
    <w:rsid w:val="642240C2"/>
    <w:rsid w:val="642D103F"/>
    <w:rsid w:val="643C74D4"/>
    <w:rsid w:val="643C7A06"/>
    <w:rsid w:val="64416899"/>
    <w:rsid w:val="64462101"/>
    <w:rsid w:val="6449047E"/>
    <w:rsid w:val="64537D84"/>
    <w:rsid w:val="645667E8"/>
    <w:rsid w:val="6458033D"/>
    <w:rsid w:val="64591E34"/>
    <w:rsid w:val="64596343"/>
    <w:rsid w:val="645A6478"/>
    <w:rsid w:val="645B2050"/>
    <w:rsid w:val="645E569D"/>
    <w:rsid w:val="64602371"/>
    <w:rsid w:val="64602ECB"/>
    <w:rsid w:val="64630F05"/>
    <w:rsid w:val="646A4041"/>
    <w:rsid w:val="646D3B32"/>
    <w:rsid w:val="64717A00"/>
    <w:rsid w:val="64722EF6"/>
    <w:rsid w:val="647924D6"/>
    <w:rsid w:val="64833B8F"/>
    <w:rsid w:val="64877934"/>
    <w:rsid w:val="648F5856"/>
    <w:rsid w:val="64917820"/>
    <w:rsid w:val="64963088"/>
    <w:rsid w:val="649D4417"/>
    <w:rsid w:val="64A05CB5"/>
    <w:rsid w:val="64A37553"/>
    <w:rsid w:val="64A64F1F"/>
    <w:rsid w:val="64BC21B5"/>
    <w:rsid w:val="64BE4972"/>
    <w:rsid w:val="64C03C61"/>
    <w:rsid w:val="64C179D9"/>
    <w:rsid w:val="64C5571C"/>
    <w:rsid w:val="64C64FF0"/>
    <w:rsid w:val="64C80D68"/>
    <w:rsid w:val="64CC0858"/>
    <w:rsid w:val="64CC26CC"/>
    <w:rsid w:val="64D12312"/>
    <w:rsid w:val="64D66DB2"/>
    <w:rsid w:val="64DA4701"/>
    <w:rsid w:val="64DB4EA9"/>
    <w:rsid w:val="64DE67DD"/>
    <w:rsid w:val="64E035DA"/>
    <w:rsid w:val="64E2007C"/>
    <w:rsid w:val="64F057AD"/>
    <w:rsid w:val="64F13BAE"/>
    <w:rsid w:val="64F21FC4"/>
    <w:rsid w:val="64F32289"/>
    <w:rsid w:val="64FD75E9"/>
    <w:rsid w:val="650224CC"/>
    <w:rsid w:val="65057D7F"/>
    <w:rsid w:val="65064B5C"/>
    <w:rsid w:val="650F358A"/>
    <w:rsid w:val="650F6997"/>
    <w:rsid w:val="651346D9"/>
    <w:rsid w:val="65181364"/>
    <w:rsid w:val="651A2F99"/>
    <w:rsid w:val="65247C56"/>
    <w:rsid w:val="652A496C"/>
    <w:rsid w:val="652C12F7"/>
    <w:rsid w:val="65301792"/>
    <w:rsid w:val="65306A01"/>
    <w:rsid w:val="65322DFD"/>
    <w:rsid w:val="65363F24"/>
    <w:rsid w:val="65365A6B"/>
    <w:rsid w:val="653D72C6"/>
    <w:rsid w:val="653E102A"/>
    <w:rsid w:val="654428A3"/>
    <w:rsid w:val="65474383"/>
    <w:rsid w:val="65497BF4"/>
    <w:rsid w:val="65533877"/>
    <w:rsid w:val="65534AD5"/>
    <w:rsid w:val="655C300A"/>
    <w:rsid w:val="655F791E"/>
    <w:rsid w:val="65640A91"/>
    <w:rsid w:val="65647DB9"/>
    <w:rsid w:val="656B62C3"/>
    <w:rsid w:val="656F7435"/>
    <w:rsid w:val="65717652"/>
    <w:rsid w:val="657333CA"/>
    <w:rsid w:val="65764C68"/>
    <w:rsid w:val="657809E0"/>
    <w:rsid w:val="657F0712"/>
    <w:rsid w:val="65846298"/>
    <w:rsid w:val="658612D7"/>
    <w:rsid w:val="65861A1B"/>
    <w:rsid w:val="65874EDE"/>
    <w:rsid w:val="65876E75"/>
    <w:rsid w:val="658E1FB1"/>
    <w:rsid w:val="658E3D60"/>
    <w:rsid w:val="65921AA2"/>
    <w:rsid w:val="65953340"/>
    <w:rsid w:val="659743AA"/>
    <w:rsid w:val="65982872"/>
    <w:rsid w:val="65B006F3"/>
    <w:rsid w:val="65B11495"/>
    <w:rsid w:val="65B37C6A"/>
    <w:rsid w:val="65B71508"/>
    <w:rsid w:val="65BD4645"/>
    <w:rsid w:val="65BF660F"/>
    <w:rsid w:val="65C14135"/>
    <w:rsid w:val="65C21C5B"/>
    <w:rsid w:val="65C23A09"/>
    <w:rsid w:val="65CB4FB4"/>
    <w:rsid w:val="65CE0600"/>
    <w:rsid w:val="65D2213C"/>
    <w:rsid w:val="65D5568E"/>
    <w:rsid w:val="65D61A11"/>
    <w:rsid w:val="65DC0F6F"/>
    <w:rsid w:val="65DD1E20"/>
    <w:rsid w:val="65DD5807"/>
    <w:rsid w:val="65E120E1"/>
    <w:rsid w:val="65E54A75"/>
    <w:rsid w:val="65EA2EBA"/>
    <w:rsid w:val="65F362B8"/>
    <w:rsid w:val="65F52031"/>
    <w:rsid w:val="65F55B8D"/>
    <w:rsid w:val="65F56E82"/>
    <w:rsid w:val="65F938CF"/>
    <w:rsid w:val="65FA2720"/>
    <w:rsid w:val="65FD0B74"/>
    <w:rsid w:val="6603474E"/>
    <w:rsid w:val="6603586C"/>
    <w:rsid w:val="6603588E"/>
    <w:rsid w:val="66065FEC"/>
    <w:rsid w:val="660B3602"/>
    <w:rsid w:val="660D2ED6"/>
    <w:rsid w:val="6618187B"/>
    <w:rsid w:val="661E0FAE"/>
    <w:rsid w:val="66293A88"/>
    <w:rsid w:val="663969E9"/>
    <w:rsid w:val="66456B14"/>
    <w:rsid w:val="665A306C"/>
    <w:rsid w:val="665B6338"/>
    <w:rsid w:val="665C7888"/>
    <w:rsid w:val="666526AC"/>
    <w:rsid w:val="66664EDE"/>
    <w:rsid w:val="666A00D4"/>
    <w:rsid w:val="667629E0"/>
    <w:rsid w:val="667B0788"/>
    <w:rsid w:val="667F7698"/>
    <w:rsid w:val="66886A01"/>
    <w:rsid w:val="66887883"/>
    <w:rsid w:val="668A62E0"/>
    <w:rsid w:val="668C29E2"/>
    <w:rsid w:val="668D2269"/>
    <w:rsid w:val="6690176D"/>
    <w:rsid w:val="66901FF9"/>
    <w:rsid w:val="66966EB9"/>
    <w:rsid w:val="669B6734"/>
    <w:rsid w:val="669D1BD8"/>
    <w:rsid w:val="66A01F9C"/>
    <w:rsid w:val="66A3792A"/>
    <w:rsid w:val="66BB0CBA"/>
    <w:rsid w:val="66BB2E65"/>
    <w:rsid w:val="66BB4702"/>
    <w:rsid w:val="66C83C7E"/>
    <w:rsid w:val="66C97765"/>
    <w:rsid w:val="66CD08B8"/>
    <w:rsid w:val="66CE7446"/>
    <w:rsid w:val="66D92191"/>
    <w:rsid w:val="66DC0F42"/>
    <w:rsid w:val="66DC1EC4"/>
    <w:rsid w:val="66E71979"/>
    <w:rsid w:val="66EA1469"/>
    <w:rsid w:val="66FD119D"/>
    <w:rsid w:val="66FE72E9"/>
    <w:rsid w:val="6703077D"/>
    <w:rsid w:val="6703217D"/>
    <w:rsid w:val="670538BB"/>
    <w:rsid w:val="670C096A"/>
    <w:rsid w:val="67136123"/>
    <w:rsid w:val="671D742B"/>
    <w:rsid w:val="67220C03"/>
    <w:rsid w:val="67277FC8"/>
    <w:rsid w:val="67280181"/>
    <w:rsid w:val="672E28B2"/>
    <w:rsid w:val="673426E5"/>
    <w:rsid w:val="67386679"/>
    <w:rsid w:val="67395F4D"/>
    <w:rsid w:val="67397CFB"/>
    <w:rsid w:val="673E5311"/>
    <w:rsid w:val="673E54E3"/>
    <w:rsid w:val="67415D44"/>
    <w:rsid w:val="674175FB"/>
    <w:rsid w:val="674270EF"/>
    <w:rsid w:val="674C5C80"/>
    <w:rsid w:val="675039C2"/>
    <w:rsid w:val="6751526C"/>
    <w:rsid w:val="6753700F"/>
    <w:rsid w:val="67584625"/>
    <w:rsid w:val="675B235B"/>
    <w:rsid w:val="675D1C3B"/>
    <w:rsid w:val="675E7988"/>
    <w:rsid w:val="676236F6"/>
    <w:rsid w:val="67626648"/>
    <w:rsid w:val="67653E7F"/>
    <w:rsid w:val="67695728"/>
    <w:rsid w:val="677376B1"/>
    <w:rsid w:val="677D5E3A"/>
    <w:rsid w:val="67832EDD"/>
    <w:rsid w:val="67851845"/>
    <w:rsid w:val="67872927"/>
    <w:rsid w:val="678A03B6"/>
    <w:rsid w:val="678B2BCF"/>
    <w:rsid w:val="678C356A"/>
    <w:rsid w:val="679338AF"/>
    <w:rsid w:val="6796514D"/>
    <w:rsid w:val="679715F1"/>
    <w:rsid w:val="67AB0BF9"/>
    <w:rsid w:val="67AC69E8"/>
    <w:rsid w:val="67B00EF8"/>
    <w:rsid w:val="67B13D35"/>
    <w:rsid w:val="67B22471"/>
    <w:rsid w:val="67B81568"/>
    <w:rsid w:val="67BA708E"/>
    <w:rsid w:val="67BD6B7E"/>
    <w:rsid w:val="67C021CA"/>
    <w:rsid w:val="67C40077"/>
    <w:rsid w:val="67D53EC8"/>
    <w:rsid w:val="67D7444F"/>
    <w:rsid w:val="67D85766"/>
    <w:rsid w:val="67DA39F7"/>
    <w:rsid w:val="67DB0DB2"/>
    <w:rsid w:val="67E4235D"/>
    <w:rsid w:val="67F02AB0"/>
    <w:rsid w:val="67F85E08"/>
    <w:rsid w:val="67FB6007"/>
    <w:rsid w:val="67FC6E5A"/>
    <w:rsid w:val="67FD6F7B"/>
    <w:rsid w:val="67FF7197"/>
    <w:rsid w:val="68014CBD"/>
    <w:rsid w:val="68060525"/>
    <w:rsid w:val="680A69C3"/>
    <w:rsid w:val="680C6FF4"/>
    <w:rsid w:val="680E669A"/>
    <w:rsid w:val="68175212"/>
    <w:rsid w:val="6821710D"/>
    <w:rsid w:val="682A3342"/>
    <w:rsid w:val="682B1D3A"/>
    <w:rsid w:val="682E182A"/>
    <w:rsid w:val="68307350"/>
    <w:rsid w:val="68395D68"/>
    <w:rsid w:val="683A3D2B"/>
    <w:rsid w:val="683C5CF5"/>
    <w:rsid w:val="684352D5"/>
    <w:rsid w:val="68464288"/>
    <w:rsid w:val="684B2305"/>
    <w:rsid w:val="684D3A5E"/>
    <w:rsid w:val="685119D5"/>
    <w:rsid w:val="686139AD"/>
    <w:rsid w:val="68634A40"/>
    <w:rsid w:val="686D2352"/>
    <w:rsid w:val="686F60CA"/>
    <w:rsid w:val="686F7842"/>
    <w:rsid w:val="68716FB6"/>
    <w:rsid w:val="687234C5"/>
    <w:rsid w:val="68751207"/>
    <w:rsid w:val="687A4598"/>
    <w:rsid w:val="68803F14"/>
    <w:rsid w:val="688057C1"/>
    <w:rsid w:val="68814F5D"/>
    <w:rsid w:val="6882588A"/>
    <w:rsid w:val="68862870"/>
    <w:rsid w:val="68890C27"/>
    <w:rsid w:val="688D47A2"/>
    <w:rsid w:val="688D6550"/>
    <w:rsid w:val="68913450"/>
    <w:rsid w:val="689504C1"/>
    <w:rsid w:val="689B4ABB"/>
    <w:rsid w:val="689C0228"/>
    <w:rsid w:val="68A5389A"/>
    <w:rsid w:val="68AF64C7"/>
    <w:rsid w:val="68B0223F"/>
    <w:rsid w:val="68B35FA7"/>
    <w:rsid w:val="68B510FF"/>
    <w:rsid w:val="68B65AA7"/>
    <w:rsid w:val="68B97345"/>
    <w:rsid w:val="68BB19A5"/>
    <w:rsid w:val="68BB3114"/>
    <w:rsid w:val="68C36416"/>
    <w:rsid w:val="68C71976"/>
    <w:rsid w:val="68C74A62"/>
    <w:rsid w:val="68CA0F13"/>
    <w:rsid w:val="68CE63F4"/>
    <w:rsid w:val="68D609B0"/>
    <w:rsid w:val="68D60C07"/>
    <w:rsid w:val="68DD5B96"/>
    <w:rsid w:val="68E1064A"/>
    <w:rsid w:val="68E234DF"/>
    <w:rsid w:val="68E841FB"/>
    <w:rsid w:val="68ED488B"/>
    <w:rsid w:val="68F51A7E"/>
    <w:rsid w:val="68FB7F1B"/>
    <w:rsid w:val="69006D22"/>
    <w:rsid w:val="690D1B6F"/>
    <w:rsid w:val="69112681"/>
    <w:rsid w:val="69121A0D"/>
    <w:rsid w:val="69147948"/>
    <w:rsid w:val="69164798"/>
    <w:rsid w:val="691B3B5C"/>
    <w:rsid w:val="691B590A"/>
    <w:rsid w:val="69236EB5"/>
    <w:rsid w:val="692463AC"/>
    <w:rsid w:val="69280027"/>
    <w:rsid w:val="692A3D9F"/>
    <w:rsid w:val="69355085"/>
    <w:rsid w:val="69371C47"/>
    <w:rsid w:val="693764BC"/>
    <w:rsid w:val="693B7D5A"/>
    <w:rsid w:val="693E784B"/>
    <w:rsid w:val="69484F05"/>
    <w:rsid w:val="694918D9"/>
    <w:rsid w:val="694D5CE0"/>
    <w:rsid w:val="69527E32"/>
    <w:rsid w:val="69535BCA"/>
    <w:rsid w:val="695A0B28"/>
    <w:rsid w:val="695A260F"/>
    <w:rsid w:val="6964165D"/>
    <w:rsid w:val="69692B1A"/>
    <w:rsid w:val="696B417E"/>
    <w:rsid w:val="696C43B8"/>
    <w:rsid w:val="696F3EA8"/>
    <w:rsid w:val="697119CE"/>
    <w:rsid w:val="697B45FB"/>
    <w:rsid w:val="697D0373"/>
    <w:rsid w:val="697E21DA"/>
    <w:rsid w:val="69821E2D"/>
    <w:rsid w:val="69852CC0"/>
    <w:rsid w:val="69872FA0"/>
    <w:rsid w:val="698931BC"/>
    <w:rsid w:val="698C05B6"/>
    <w:rsid w:val="698C6C23"/>
    <w:rsid w:val="699772AB"/>
    <w:rsid w:val="69977968"/>
    <w:rsid w:val="69981715"/>
    <w:rsid w:val="69A521C6"/>
    <w:rsid w:val="69A74239"/>
    <w:rsid w:val="69B813AB"/>
    <w:rsid w:val="69BD2E65"/>
    <w:rsid w:val="69C354F4"/>
    <w:rsid w:val="69C500A1"/>
    <w:rsid w:val="69C53AC8"/>
    <w:rsid w:val="69D533D8"/>
    <w:rsid w:val="69D94C19"/>
    <w:rsid w:val="69DB153D"/>
    <w:rsid w:val="69DB32EB"/>
    <w:rsid w:val="69E5416A"/>
    <w:rsid w:val="69E77EE2"/>
    <w:rsid w:val="69EB79D2"/>
    <w:rsid w:val="69F525FF"/>
    <w:rsid w:val="69F551BC"/>
    <w:rsid w:val="69F85C4B"/>
    <w:rsid w:val="69FE3478"/>
    <w:rsid w:val="6A026ACA"/>
    <w:rsid w:val="6A07714C"/>
    <w:rsid w:val="6A0942FC"/>
    <w:rsid w:val="6A0E36C1"/>
    <w:rsid w:val="6A114F5F"/>
    <w:rsid w:val="6A1460F7"/>
    <w:rsid w:val="6A154A4F"/>
    <w:rsid w:val="6A184540"/>
    <w:rsid w:val="6A197BB4"/>
    <w:rsid w:val="6A1B7B8C"/>
    <w:rsid w:val="6A1D1B56"/>
    <w:rsid w:val="6A211646"/>
    <w:rsid w:val="6A220F1A"/>
    <w:rsid w:val="6A246A40"/>
    <w:rsid w:val="6A260A0B"/>
    <w:rsid w:val="6A2922A9"/>
    <w:rsid w:val="6A2A4A08"/>
    <w:rsid w:val="6A2B6021"/>
    <w:rsid w:val="6A2D7FEB"/>
    <w:rsid w:val="6A310F89"/>
    <w:rsid w:val="6A31115D"/>
    <w:rsid w:val="6A32602D"/>
    <w:rsid w:val="6A3273AF"/>
    <w:rsid w:val="6A3A6264"/>
    <w:rsid w:val="6A461A84"/>
    <w:rsid w:val="6A49294B"/>
    <w:rsid w:val="6A4964A7"/>
    <w:rsid w:val="6A5A565C"/>
    <w:rsid w:val="6A5E63F6"/>
    <w:rsid w:val="6A5F216E"/>
    <w:rsid w:val="6A611A43"/>
    <w:rsid w:val="6A617C95"/>
    <w:rsid w:val="6A654A12"/>
    <w:rsid w:val="6A6E5F0E"/>
    <w:rsid w:val="6A752115"/>
    <w:rsid w:val="6A793230"/>
    <w:rsid w:val="6A7A6FA8"/>
    <w:rsid w:val="6A8804CD"/>
    <w:rsid w:val="6A9242F2"/>
    <w:rsid w:val="6A970EB5"/>
    <w:rsid w:val="6A974EF2"/>
    <w:rsid w:val="6A9808F8"/>
    <w:rsid w:val="6A9B3D11"/>
    <w:rsid w:val="6A9C7977"/>
    <w:rsid w:val="6A9D16A1"/>
    <w:rsid w:val="6AA67D9D"/>
    <w:rsid w:val="6AA707F4"/>
    <w:rsid w:val="6AAD2EDA"/>
    <w:rsid w:val="6ABB1B93"/>
    <w:rsid w:val="6AC00E5F"/>
    <w:rsid w:val="6AC63828"/>
    <w:rsid w:val="6AC65D4A"/>
    <w:rsid w:val="6AC90B84"/>
    <w:rsid w:val="6ACD67F6"/>
    <w:rsid w:val="6ACF2E50"/>
    <w:rsid w:val="6ACF4DB3"/>
    <w:rsid w:val="6AD1232D"/>
    <w:rsid w:val="6AE556EB"/>
    <w:rsid w:val="6AE83F12"/>
    <w:rsid w:val="6AEF52A0"/>
    <w:rsid w:val="6AF2504C"/>
    <w:rsid w:val="6B0822C0"/>
    <w:rsid w:val="6B0A20DA"/>
    <w:rsid w:val="6B1D67D6"/>
    <w:rsid w:val="6B200140"/>
    <w:rsid w:val="6B200811"/>
    <w:rsid w:val="6B216B59"/>
    <w:rsid w:val="6B217424"/>
    <w:rsid w:val="6B272FFA"/>
    <w:rsid w:val="6B2A277C"/>
    <w:rsid w:val="6B2B487C"/>
    <w:rsid w:val="6B2D2B4B"/>
    <w:rsid w:val="6B375916"/>
    <w:rsid w:val="6B3B04E6"/>
    <w:rsid w:val="6B4078AA"/>
    <w:rsid w:val="6B41731D"/>
    <w:rsid w:val="6B4750DC"/>
    <w:rsid w:val="6B4C4AB2"/>
    <w:rsid w:val="6B517D09"/>
    <w:rsid w:val="6B52582F"/>
    <w:rsid w:val="6B543355"/>
    <w:rsid w:val="6B563D6D"/>
    <w:rsid w:val="6B56531F"/>
    <w:rsid w:val="6B566EFB"/>
    <w:rsid w:val="6B596BBE"/>
    <w:rsid w:val="6B5C045C"/>
    <w:rsid w:val="6B686E01"/>
    <w:rsid w:val="6B6A0DCB"/>
    <w:rsid w:val="6B741C4A"/>
    <w:rsid w:val="6B7B2FD8"/>
    <w:rsid w:val="6B80414A"/>
    <w:rsid w:val="6B824366"/>
    <w:rsid w:val="6B9145AA"/>
    <w:rsid w:val="6B9374CD"/>
    <w:rsid w:val="6B9D187D"/>
    <w:rsid w:val="6B9D4CFC"/>
    <w:rsid w:val="6BAA566B"/>
    <w:rsid w:val="6BAD2A66"/>
    <w:rsid w:val="6BAD5220"/>
    <w:rsid w:val="6BB12556"/>
    <w:rsid w:val="6BB7433B"/>
    <w:rsid w:val="6BBA58AE"/>
    <w:rsid w:val="6BBD09A3"/>
    <w:rsid w:val="6BC229B5"/>
    <w:rsid w:val="6BC85EB3"/>
    <w:rsid w:val="6BCB670E"/>
    <w:rsid w:val="6BCC55E2"/>
    <w:rsid w:val="6BD3071E"/>
    <w:rsid w:val="6BD61FBC"/>
    <w:rsid w:val="6BD821D8"/>
    <w:rsid w:val="6BD82A45"/>
    <w:rsid w:val="6BE06B4D"/>
    <w:rsid w:val="6BE566A3"/>
    <w:rsid w:val="6BEF307E"/>
    <w:rsid w:val="6BF56A9C"/>
    <w:rsid w:val="6BF56FBD"/>
    <w:rsid w:val="6BFA5D1C"/>
    <w:rsid w:val="6C060AF4"/>
    <w:rsid w:val="6C0D744E"/>
    <w:rsid w:val="6C0E5BFA"/>
    <w:rsid w:val="6C117498"/>
    <w:rsid w:val="6C133210"/>
    <w:rsid w:val="6C1C0317"/>
    <w:rsid w:val="6C233FFE"/>
    <w:rsid w:val="6C240F7A"/>
    <w:rsid w:val="6C2473E2"/>
    <w:rsid w:val="6C2B2308"/>
    <w:rsid w:val="6C2C6080"/>
    <w:rsid w:val="6C36182B"/>
    <w:rsid w:val="6C370310"/>
    <w:rsid w:val="6C3C4515"/>
    <w:rsid w:val="6C3F1900"/>
    <w:rsid w:val="6C3F7B62"/>
    <w:rsid w:val="6C44786E"/>
    <w:rsid w:val="6C450EF0"/>
    <w:rsid w:val="6C485075"/>
    <w:rsid w:val="6C4F7452"/>
    <w:rsid w:val="6C53360D"/>
    <w:rsid w:val="6C5C6966"/>
    <w:rsid w:val="6C5D70F0"/>
    <w:rsid w:val="6C613F7C"/>
    <w:rsid w:val="6C735C95"/>
    <w:rsid w:val="6C7C0099"/>
    <w:rsid w:val="6C7C0AA2"/>
    <w:rsid w:val="6C7F08A6"/>
    <w:rsid w:val="6C806473"/>
    <w:rsid w:val="6C88775B"/>
    <w:rsid w:val="6C8E1A8E"/>
    <w:rsid w:val="6C924135"/>
    <w:rsid w:val="6C924CB9"/>
    <w:rsid w:val="6C953C26"/>
    <w:rsid w:val="6C967015"/>
    <w:rsid w:val="6C9A748E"/>
    <w:rsid w:val="6C9B395E"/>
    <w:rsid w:val="6C9D32F9"/>
    <w:rsid w:val="6CA31164"/>
    <w:rsid w:val="6CA56D32"/>
    <w:rsid w:val="6CA621E6"/>
    <w:rsid w:val="6CA97B0D"/>
    <w:rsid w:val="6CAB3449"/>
    <w:rsid w:val="6CAF118B"/>
    <w:rsid w:val="6CB06B79"/>
    <w:rsid w:val="6CB14960"/>
    <w:rsid w:val="6CBE13CE"/>
    <w:rsid w:val="6CC43A7B"/>
    <w:rsid w:val="6CC938CF"/>
    <w:rsid w:val="6CCE2502"/>
    <w:rsid w:val="6CD01102"/>
    <w:rsid w:val="6CD036FB"/>
    <w:rsid w:val="6CD04C5E"/>
    <w:rsid w:val="6CD14697"/>
    <w:rsid w:val="6CD52274"/>
    <w:rsid w:val="6CD72490"/>
    <w:rsid w:val="6CDB75EB"/>
    <w:rsid w:val="6CE150BD"/>
    <w:rsid w:val="6CE222B5"/>
    <w:rsid w:val="6CE30E35"/>
    <w:rsid w:val="6CE82FD6"/>
    <w:rsid w:val="6CEB733C"/>
    <w:rsid w:val="6CF070AE"/>
    <w:rsid w:val="6CF25111"/>
    <w:rsid w:val="6CF6347E"/>
    <w:rsid w:val="6CFC757E"/>
    <w:rsid w:val="6D054BDE"/>
    <w:rsid w:val="6D0E5786"/>
    <w:rsid w:val="6D107750"/>
    <w:rsid w:val="6D1622F5"/>
    <w:rsid w:val="6D194492"/>
    <w:rsid w:val="6D2F2A49"/>
    <w:rsid w:val="6D3E4E45"/>
    <w:rsid w:val="6D4441F0"/>
    <w:rsid w:val="6D4B2536"/>
    <w:rsid w:val="6D4B7F3F"/>
    <w:rsid w:val="6D4D62AE"/>
    <w:rsid w:val="6D4E6203"/>
    <w:rsid w:val="6D561607"/>
    <w:rsid w:val="6D5835D1"/>
    <w:rsid w:val="6D5B09CB"/>
    <w:rsid w:val="6D6D3354"/>
    <w:rsid w:val="6D702A25"/>
    <w:rsid w:val="6D714C37"/>
    <w:rsid w:val="6D793547"/>
    <w:rsid w:val="6D8433DC"/>
    <w:rsid w:val="6D8A12B0"/>
    <w:rsid w:val="6D97577B"/>
    <w:rsid w:val="6D9F2342"/>
    <w:rsid w:val="6DAE316B"/>
    <w:rsid w:val="6DAF51BB"/>
    <w:rsid w:val="6DB11460"/>
    <w:rsid w:val="6DB12CE1"/>
    <w:rsid w:val="6DB8406F"/>
    <w:rsid w:val="6DB84FFE"/>
    <w:rsid w:val="6DCA3DA3"/>
    <w:rsid w:val="6DCC3677"/>
    <w:rsid w:val="6DCC5A70"/>
    <w:rsid w:val="6DD53D40"/>
    <w:rsid w:val="6DD644F6"/>
    <w:rsid w:val="6DDE6DF8"/>
    <w:rsid w:val="6DE011C9"/>
    <w:rsid w:val="6DE06535"/>
    <w:rsid w:val="6DE210EC"/>
    <w:rsid w:val="6DE4511F"/>
    <w:rsid w:val="6DE54E8C"/>
    <w:rsid w:val="6DE704B1"/>
    <w:rsid w:val="6DF66946"/>
    <w:rsid w:val="6DF7076F"/>
    <w:rsid w:val="6E027099"/>
    <w:rsid w:val="6E12593B"/>
    <w:rsid w:val="6E146DCC"/>
    <w:rsid w:val="6E150673"/>
    <w:rsid w:val="6E1B45FE"/>
    <w:rsid w:val="6E227207"/>
    <w:rsid w:val="6E245261"/>
    <w:rsid w:val="6E2A5389"/>
    <w:rsid w:val="6E2B4F2C"/>
    <w:rsid w:val="6E2C680B"/>
    <w:rsid w:val="6E3556C0"/>
    <w:rsid w:val="6E367FAB"/>
    <w:rsid w:val="6E376F09"/>
    <w:rsid w:val="6E405E13"/>
    <w:rsid w:val="6E427DDD"/>
    <w:rsid w:val="6E44601A"/>
    <w:rsid w:val="6E4753F3"/>
    <w:rsid w:val="6E4E6782"/>
    <w:rsid w:val="6E517C93"/>
    <w:rsid w:val="6E526272"/>
    <w:rsid w:val="6E531FEA"/>
    <w:rsid w:val="6E533D98"/>
    <w:rsid w:val="6E5518BE"/>
    <w:rsid w:val="6E57633D"/>
    <w:rsid w:val="6E5B49FB"/>
    <w:rsid w:val="6E5E2223"/>
    <w:rsid w:val="6E623FDB"/>
    <w:rsid w:val="6E65414F"/>
    <w:rsid w:val="6E6935BC"/>
    <w:rsid w:val="6E736112"/>
    <w:rsid w:val="6E755FBA"/>
    <w:rsid w:val="6E77085E"/>
    <w:rsid w:val="6E7A1325"/>
    <w:rsid w:val="6E867CCA"/>
    <w:rsid w:val="6E957F0D"/>
    <w:rsid w:val="6E9A19C7"/>
    <w:rsid w:val="6E9F0D8B"/>
    <w:rsid w:val="6EA14B04"/>
    <w:rsid w:val="6EA939B8"/>
    <w:rsid w:val="6EB011EB"/>
    <w:rsid w:val="6EB74EAF"/>
    <w:rsid w:val="6EB8009F"/>
    <w:rsid w:val="6EBF3966"/>
    <w:rsid w:val="6EC10D02"/>
    <w:rsid w:val="6EC30F1E"/>
    <w:rsid w:val="6EC46A44"/>
    <w:rsid w:val="6EC6456A"/>
    <w:rsid w:val="6ECA5608"/>
    <w:rsid w:val="6ED20ADF"/>
    <w:rsid w:val="6ED70525"/>
    <w:rsid w:val="6ED76777"/>
    <w:rsid w:val="6ED924EF"/>
    <w:rsid w:val="6EDC3D8E"/>
    <w:rsid w:val="6EE42C42"/>
    <w:rsid w:val="6EEA46FD"/>
    <w:rsid w:val="6EEA5523"/>
    <w:rsid w:val="6EEE3AC1"/>
    <w:rsid w:val="6EF4643C"/>
    <w:rsid w:val="6EFA4214"/>
    <w:rsid w:val="6EFD04AE"/>
    <w:rsid w:val="6EFF7A7C"/>
    <w:rsid w:val="6F011A46"/>
    <w:rsid w:val="6F0230C8"/>
    <w:rsid w:val="6F1019F0"/>
    <w:rsid w:val="6F124F04"/>
    <w:rsid w:val="6F152DFC"/>
    <w:rsid w:val="6F1654F2"/>
    <w:rsid w:val="6F1A5974"/>
    <w:rsid w:val="6F1C062E"/>
    <w:rsid w:val="6F1E43A6"/>
    <w:rsid w:val="6F2231C7"/>
    <w:rsid w:val="6F250095"/>
    <w:rsid w:val="6F2617FA"/>
    <w:rsid w:val="6F280D81"/>
    <w:rsid w:val="6F285225"/>
    <w:rsid w:val="6F2D45E9"/>
    <w:rsid w:val="6F2F65B3"/>
    <w:rsid w:val="6F306A3D"/>
    <w:rsid w:val="6F331EBE"/>
    <w:rsid w:val="6F353482"/>
    <w:rsid w:val="6F35349E"/>
    <w:rsid w:val="6F35524C"/>
    <w:rsid w:val="6F377216"/>
    <w:rsid w:val="6F394D3C"/>
    <w:rsid w:val="6F3B6306"/>
    <w:rsid w:val="6F442E4C"/>
    <w:rsid w:val="6F4F630E"/>
    <w:rsid w:val="6F51652A"/>
    <w:rsid w:val="6F524050"/>
    <w:rsid w:val="6F536BAA"/>
    <w:rsid w:val="6F547DC8"/>
    <w:rsid w:val="6F5926CE"/>
    <w:rsid w:val="6F6873CF"/>
    <w:rsid w:val="6F701E0B"/>
    <w:rsid w:val="6F71097A"/>
    <w:rsid w:val="6F71476E"/>
    <w:rsid w:val="6F76166B"/>
    <w:rsid w:val="6F7A6338"/>
    <w:rsid w:val="6F7E3097"/>
    <w:rsid w:val="6F800F2B"/>
    <w:rsid w:val="6F814935"/>
    <w:rsid w:val="6F83245B"/>
    <w:rsid w:val="6F8B1310"/>
    <w:rsid w:val="6F8D32DA"/>
    <w:rsid w:val="6F906926"/>
    <w:rsid w:val="6F926B42"/>
    <w:rsid w:val="6F927F20"/>
    <w:rsid w:val="6F97113A"/>
    <w:rsid w:val="6FA0356E"/>
    <w:rsid w:val="6FA814CE"/>
    <w:rsid w:val="6FA83C70"/>
    <w:rsid w:val="6FAB550E"/>
    <w:rsid w:val="6FBC771B"/>
    <w:rsid w:val="6FCB207F"/>
    <w:rsid w:val="6FD2684F"/>
    <w:rsid w:val="6FD827A7"/>
    <w:rsid w:val="6FE9394F"/>
    <w:rsid w:val="6FEA24DA"/>
    <w:rsid w:val="6FEA67BD"/>
    <w:rsid w:val="6FEE2621"/>
    <w:rsid w:val="6FF13869"/>
    <w:rsid w:val="6FF27D90"/>
    <w:rsid w:val="6FF702F2"/>
    <w:rsid w:val="6FF80D6B"/>
    <w:rsid w:val="6FFC5B72"/>
    <w:rsid w:val="6FFD16FA"/>
    <w:rsid w:val="70074E3A"/>
    <w:rsid w:val="700C06A3"/>
    <w:rsid w:val="700D6033"/>
    <w:rsid w:val="700D7DBB"/>
    <w:rsid w:val="700F29D3"/>
    <w:rsid w:val="701C6F91"/>
    <w:rsid w:val="701D1CA0"/>
    <w:rsid w:val="701D7F1F"/>
    <w:rsid w:val="70231548"/>
    <w:rsid w:val="70271038"/>
    <w:rsid w:val="702C664F"/>
    <w:rsid w:val="702E686B"/>
    <w:rsid w:val="70311EB7"/>
    <w:rsid w:val="703C2D95"/>
    <w:rsid w:val="704100AD"/>
    <w:rsid w:val="70427B87"/>
    <w:rsid w:val="704B11CB"/>
    <w:rsid w:val="704C0A9F"/>
    <w:rsid w:val="704C6CF1"/>
    <w:rsid w:val="704E0CBB"/>
    <w:rsid w:val="70512827"/>
    <w:rsid w:val="70531E2E"/>
    <w:rsid w:val="705A140E"/>
    <w:rsid w:val="706349B0"/>
    <w:rsid w:val="70657DB3"/>
    <w:rsid w:val="706A1AA4"/>
    <w:rsid w:val="70811470"/>
    <w:rsid w:val="70812315"/>
    <w:rsid w:val="70814BED"/>
    <w:rsid w:val="708446DD"/>
    <w:rsid w:val="70867C60"/>
    <w:rsid w:val="708B7819"/>
    <w:rsid w:val="708D0303"/>
    <w:rsid w:val="70907FD6"/>
    <w:rsid w:val="709A3F00"/>
    <w:rsid w:val="709C1A26"/>
    <w:rsid w:val="709F1517"/>
    <w:rsid w:val="709F45E1"/>
    <w:rsid w:val="70A01F58"/>
    <w:rsid w:val="70A24B63"/>
    <w:rsid w:val="70AB3A18"/>
    <w:rsid w:val="70B31492"/>
    <w:rsid w:val="70BD6007"/>
    <w:rsid w:val="70C66AA3"/>
    <w:rsid w:val="70C745CA"/>
    <w:rsid w:val="70CC53D1"/>
    <w:rsid w:val="70CE3BAA"/>
    <w:rsid w:val="70D07922"/>
    <w:rsid w:val="70DC1913"/>
    <w:rsid w:val="70DF7997"/>
    <w:rsid w:val="70E1568B"/>
    <w:rsid w:val="70E17439"/>
    <w:rsid w:val="70E21A21"/>
    <w:rsid w:val="70E24BEF"/>
    <w:rsid w:val="70E60EF4"/>
    <w:rsid w:val="70E76F7C"/>
    <w:rsid w:val="70E974F5"/>
    <w:rsid w:val="70EA0566"/>
    <w:rsid w:val="70EB650A"/>
    <w:rsid w:val="70EC5DDE"/>
    <w:rsid w:val="70F353BF"/>
    <w:rsid w:val="70F3775C"/>
    <w:rsid w:val="70F829D5"/>
    <w:rsid w:val="70F84783"/>
    <w:rsid w:val="70FC3CB3"/>
    <w:rsid w:val="70FE448F"/>
    <w:rsid w:val="71010203"/>
    <w:rsid w:val="71085C15"/>
    <w:rsid w:val="71096990"/>
    <w:rsid w:val="710C6CB1"/>
    <w:rsid w:val="71127F1A"/>
    <w:rsid w:val="711517D9"/>
    <w:rsid w:val="711B729D"/>
    <w:rsid w:val="71220EF5"/>
    <w:rsid w:val="712832BA"/>
    <w:rsid w:val="71306613"/>
    <w:rsid w:val="71353C29"/>
    <w:rsid w:val="7137174F"/>
    <w:rsid w:val="71391DF9"/>
    <w:rsid w:val="713D663A"/>
    <w:rsid w:val="71500A63"/>
    <w:rsid w:val="715220E5"/>
    <w:rsid w:val="71566079"/>
    <w:rsid w:val="715A71EC"/>
    <w:rsid w:val="716167CC"/>
    <w:rsid w:val="71622982"/>
    <w:rsid w:val="71630796"/>
    <w:rsid w:val="71642A7B"/>
    <w:rsid w:val="716A5681"/>
    <w:rsid w:val="71793B16"/>
    <w:rsid w:val="717E06BC"/>
    <w:rsid w:val="717E4D76"/>
    <w:rsid w:val="71804EA4"/>
    <w:rsid w:val="71830612"/>
    <w:rsid w:val="71867FE1"/>
    <w:rsid w:val="71870241"/>
    <w:rsid w:val="718C51FB"/>
    <w:rsid w:val="718D136F"/>
    <w:rsid w:val="719170B1"/>
    <w:rsid w:val="71954552"/>
    <w:rsid w:val="719767C3"/>
    <w:rsid w:val="719E532A"/>
    <w:rsid w:val="719F4172"/>
    <w:rsid w:val="71A16BC9"/>
    <w:rsid w:val="71A33B87"/>
    <w:rsid w:val="71A843FB"/>
    <w:rsid w:val="71AE5BBE"/>
    <w:rsid w:val="71B20DD6"/>
    <w:rsid w:val="71B267B2"/>
    <w:rsid w:val="71B30ACA"/>
    <w:rsid w:val="71B91C6A"/>
    <w:rsid w:val="71BE59CD"/>
    <w:rsid w:val="71CA7D6E"/>
    <w:rsid w:val="71CD3748"/>
    <w:rsid w:val="71CF3736"/>
    <w:rsid w:val="71D3720A"/>
    <w:rsid w:val="71D42DD7"/>
    <w:rsid w:val="71DB657E"/>
    <w:rsid w:val="71E00465"/>
    <w:rsid w:val="71E10787"/>
    <w:rsid w:val="71E42E63"/>
    <w:rsid w:val="71E97AF7"/>
    <w:rsid w:val="71EF202A"/>
    <w:rsid w:val="71F31B1A"/>
    <w:rsid w:val="71F433D6"/>
    <w:rsid w:val="71F65122"/>
    <w:rsid w:val="71F716FC"/>
    <w:rsid w:val="71FB6B15"/>
    <w:rsid w:val="72037883"/>
    <w:rsid w:val="720646AC"/>
    <w:rsid w:val="720F6228"/>
    <w:rsid w:val="72114FBC"/>
    <w:rsid w:val="72135723"/>
    <w:rsid w:val="72183F06"/>
    <w:rsid w:val="721C23F7"/>
    <w:rsid w:val="7223529A"/>
    <w:rsid w:val="7225028B"/>
    <w:rsid w:val="722948F5"/>
    <w:rsid w:val="722A12B4"/>
    <w:rsid w:val="722B2FE5"/>
    <w:rsid w:val="722D66AE"/>
    <w:rsid w:val="7231619E"/>
    <w:rsid w:val="72335600"/>
    <w:rsid w:val="72361A07"/>
    <w:rsid w:val="723839D1"/>
    <w:rsid w:val="7238577F"/>
    <w:rsid w:val="72395053"/>
    <w:rsid w:val="724242FA"/>
    <w:rsid w:val="72425585"/>
    <w:rsid w:val="724336EA"/>
    <w:rsid w:val="724404EA"/>
    <w:rsid w:val="724A19B1"/>
    <w:rsid w:val="724A54B2"/>
    <w:rsid w:val="72536115"/>
    <w:rsid w:val="72563E57"/>
    <w:rsid w:val="725A3947"/>
    <w:rsid w:val="7260609B"/>
    <w:rsid w:val="726A16B0"/>
    <w:rsid w:val="726F4F19"/>
    <w:rsid w:val="727147ED"/>
    <w:rsid w:val="727228E9"/>
    <w:rsid w:val="72730565"/>
    <w:rsid w:val="72785B7B"/>
    <w:rsid w:val="727E69BE"/>
    <w:rsid w:val="72804CD0"/>
    <w:rsid w:val="728210E7"/>
    <w:rsid w:val="72827E74"/>
    <w:rsid w:val="728C48D0"/>
    <w:rsid w:val="728D40C9"/>
    <w:rsid w:val="72943CCD"/>
    <w:rsid w:val="729A3D44"/>
    <w:rsid w:val="72B76AB6"/>
    <w:rsid w:val="72B92290"/>
    <w:rsid w:val="72BA2638"/>
    <w:rsid w:val="72C13B3C"/>
    <w:rsid w:val="72C34E9A"/>
    <w:rsid w:val="72C7572D"/>
    <w:rsid w:val="72D03C09"/>
    <w:rsid w:val="72D134DE"/>
    <w:rsid w:val="72DB39D6"/>
    <w:rsid w:val="72DB435C"/>
    <w:rsid w:val="72DD2263"/>
    <w:rsid w:val="72DF3E4C"/>
    <w:rsid w:val="72E77940"/>
    <w:rsid w:val="72F773E8"/>
    <w:rsid w:val="72FD55E1"/>
    <w:rsid w:val="73077C72"/>
    <w:rsid w:val="73092C77"/>
    <w:rsid w:val="730B2E93"/>
    <w:rsid w:val="730B35BF"/>
    <w:rsid w:val="730E2034"/>
    <w:rsid w:val="730F195D"/>
    <w:rsid w:val="730F1B13"/>
    <w:rsid w:val="731318BA"/>
    <w:rsid w:val="731E5DE9"/>
    <w:rsid w:val="731F1E2E"/>
    <w:rsid w:val="73217FC1"/>
    <w:rsid w:val="73243F55"/>
    <w:rsid w:val="732478B7"/>
    <w:rsid w:val="73247AB1"/>
    <w:rsid w:val="73262EFD"/>
    <w:rsid w:val="732857F3"/>
    <w:rsid w:val="73357F10"/>
    <w:rsid w:val="733946D7"/>
    <w:rsid w:val="73397A01"/>
    <w:rsid w:val="733C69A4"/>
    <w:rsid w:val="733C6D88"/>
    <w:rsid w:val="733E650D"/>
    <w:rsid w:val="733E6DC5"/>
    <w:rsid w:val="7342275B"/>
    <w:rsid w:val="734931FB"/>
    <w:rsid w:val="734B3186"/>
    <w:rsid w:val="734D50D9"/>
    <w:rsid w:val="734F6817"/>
    <w:rsid w:val="7351451B"/>
    <w:rsid w:val="73556D76"/>
    <w:rsid w:val="735F2305"/>
    <w:rsid w:val="736A5E0C"/>
    <w:rsid w:val="7371736D"/>
    <w:rsid w:val="73720088"/>
    <w:rsid w:val="737E5413"/>
    <w:rsid w:val="737F2F3A"/>
    <w:rsid w:val="73816CB2"/>
    <w:rsid w:val="738549F4"/>
    <w:rsid w:val="7386251A"/>
    <w:rsid w:val="738D1AFA"/>
    <w:rsid w:val="739C3AEB"/>
    <w:rsid w:val="73A00786"/>
    <w:rsid w:val="73A1041B"/>
    <w:rsid w:val="73AA26AC"/>
    <w:rsid w:val="73AA4C9E"/>
    <w:rsid w:val="73B115BF"/>
    <w:rsid w:val="73B54BAD"/>
    <w:rsid w:val="73B928EF"/>
    <w:rsid w:val="73B95AAB"/>
    <w:rsid w:val="73BE7F06"/>
    <w:rsid w:val="73C179F6"/>
    <w:rsid w:val="73C60B68"/>
    <w:rsid w:val="73C8159D"/>
    <w:rsid w:val="73C87B98"/>
    <w:rsid w:val="73CA68AB"/>
    <w:rsid w:val="73CD639B"/>
    <w:rsid w:val="73CF47A1"/>
    <w:rsid w:val="73D2750D"/>
    <w:rsid w:val="73D31DB8"/>
    <w:rsid w:val="73D72923"/>
    <w:rsid w:val="73DE1F89"/>
    <w:rsid w:val="73E21E46"/>
    <w:rsid w:val="73E43BD8"/>
    <w:rsid w:val="73E53C68"/>
    <w:rsid w:val="73EF4760"/>
    <w:rsid w:val="73F651BB"/>
    <w:rsid w:val="73F81D9D"/>
    <w:rsid w:val="73FB0208"/>
    <w:rsid w:val="73FC0A2E"/>
    <w:rsid w:val="74017DF2"/>
    <w:rsid w:val="74081181"/>
    <w:rsid w:val="74085625"/>
    <w:rsid w:val="740C48BD"/>
    <w:rsid w:val="74143A77"/>
    <w:rsid w:val="74143FCA"/>
    <w:rsid w:val="74161AF0"/>
    <w:rsid w:val="7417005A"/>
    <w:rsid w:val="741A491C"/>
    <w:rsid w:val="741D6F29"/>
    <w:rsid w:val="7422055D"/>
    <w:rsid w:val="74241BC2"/>
    <w:rsid w:val="742963BF"/>
    <w:rsid w:val="742A1968"/>
    <w:rsid w:val="742C11FC"/>
    <w:rsid w:val="74363F40"/>
    <w:rsid w:val="7443040B"/>
    <w:rsid w:val="74471CA9"/>
    <w:rsid w:val="7447614D"/>
    <w:rsid w:val="74476CF1"/>
    <w:rsid w:val="745148D6"/>
    <w:rsid w:val="74551836"/>
    <w:rsid w:val="74561EEC"/>
    <w:rsid w:val="74566390"/>
    <w:rsid w:val="745B3901"/>
    <w:rsid w:val="745C7DF6"/>
    <w:rsid w:val="74612610"/>
    <w:rsid w:val="7462249D"/>
    <w:rsid w:val="74626AE3"/>
    <w:rsid w:val="746565D3"/>
    <w:rsid w:val="74695ADA"/>
    <w:rsid w:val="746C1710"/>
    <w:rsid w:val="746D7D34"/>
    <w:rsid w:val="747049DF"/>
    <w:rsid w:val="7472484C"/>
    <w:rsid w:val="747957E7"/>
    <w:rsid w:val="747E5633"/>
    <w:rsid w:val="748756D3"/>
    <w:rsid w:val="74890514"/>
    <w:rsid w:val="749173C8"/>
    <w:rsid w:val="74962C31"/>
    <w:rsid w:val="749913BC"/>
    <w:rsid w:val="74A67741"/>
    <w:rsid w:val="74B47C1A"/>
    <w:rsid w:val="74BD640F"/>
    <w:rsid w:val="74C47C0A"/>
    <w:rsid w:val="74C711F7"/>
    <w:rsid w:val="74C72DEA"/>
    <w:rsid w:val="74CD402D"/>
    <w:rsid w:val="74CF0811"/>
    <w:rsid w:val="74D4447B"/>
    <w:rsid w:val="74D66DDE"/>
    <w:rsid w:val="74D90FEF"/>
    <w:rsid w:val="74D95F4E"/>
    <w:rsid w:val="74DF05F2"/>
    <w:rsid w:val="74DF33F1"/>
    <w:rsid w:val="74DF6386"/>
    <w:rsid w:val="74E96DD5"/>
    <w:rsid w:val="74EC2851"/>
    <w:rsid w:val="74EE0308"/>
    <w:rsid w:val="74EE3D08"/>
    <w:rsid w:val="74F15FFD"/>
    <w:rsid w:val="74F4582D"/>
    <w:rsid w:val="74FC2155"/>
    <w:rsid w:val="74FD06B6"/>
    <w:rsid w:val="74FE7ABF"/>
    <w:rsid w:val="75070B12"/>
    <w:rsid w:val="7513602F"/>
    <w:rsid w:val="751A5610"/>
    <w:rsid w:val="751F2C26"/>
    <w:rsid w:val="7521074C"/>
    <w:rsid w:val="75265D63"/>
    <w:rsid w:val="75267B11"/>
    <w:rsid w:val="752718BC"/>
    <w:rsid w:val="752C70F1"/>
    <w:rsid w:val="752D7368"/>
    <w:rsid w:val="75371EAC"/>
    <w:rsid w:val="753D44CF"/>
    <w:rsid w:val="753E7141"/>
    <w:rsid w:val="753F177D"/>
    <w:rsid w:val="7544443B"/>
    <w:rsid w:val="7546499C"/>
    <w:rsid w:val="754C32EF"/>
    <w:rsid w:val="75502DDF"/>
    <w:rsid w:val="7555324A"/>
    <w:rsid w:val="75610111"/>
    <w:rsid w:val="756643B1"/>
    <w:rsid w:val="756D573F"/>
    <w:rsid w:val="757271DD"/>
    <w:rsid w:val="75745001"/>
    <w:rsid w:val="7577036C"/>
    <w:rsid w:val="757A1C0A"/>
    <w:rsid w:val="757C6529"/>
    <w:rsid w:val="757D0B89"/>
    <w:rsid w:val="757D16FB"/>
    <w:rsid w:val="75812F99"/>
    <w:rsid w:val="758270C5"/>
    <w:rsid w:val="75871D25"/>
    <w:rsid w:val="75874327"/>
    <w:rsid w:val="758910EC"/>
    <w:rsid w:val="758A543A"/>
    <w:rsid w:val="758E7BD3"/>
    <w:rsid w:val="75947170"/>
    <w:rsid w:val="75952EE8"/>
    <w:rsid w:val="75956A44"/>
    <w:rsid w:val="75B72E5F"/>
    <w:rsid w:val="75C537CD"/>
    <w:rsid w:val="75CE1DA3"/>
    <w:rsid w:val="75D4756D"/>
    <w:rsid w:val="75D67789"/>
    <w:rsid w:val="75DF1C5D"/>
    <w:rsid w:val="75E8126A"/>
    <w:rsid w:val="75EB2C19"/>
    <w:rsid w:val="75EB3595"/>
    <w:rsid w:val="75ED062E"/>
    <w:rsid w:val="75EF29C0"/>
    <w:rsid w:val="75EF43A6"/>
    <w:rsid w:val="75FA5C7B"/>
    <w:rsid w:val="75FC6AC3"/>
    <w:rsid w:val="75FE283B"/>
    <w:rsid w:val="76045978"/>
    <w:rsid w:val="7608190C"/>
    <w:rsid w:val="760E38A2"/>
    <w:rsid w:val="76124539"/>
    <w:rsid w:val="761553F4"/>
    <w:rsid w:val="761E38A0"/>
    <w:rsid w:val="762436BA"/>
    <w:rsid w:val="762C55FB"/>
    <w:rsid w:val="762E06CB"/>
    <w:rsid w:val="762E6ADF"/>
    <w:rsid w:val="76375D4D"/>
    <w:rsid w:val="76392605"/>
    <w:rsid w:val="763A3FE7"/>
    <w:rsid w:val="76404C02"/>
    <w:rsid w:val="76432C97"/>
    <w:rsid w:val="7645046A"/>
    <w:rsid w:val="7645790F"/>
    <w:rsid w:val="7646258A"/>
    <w:rsid w:val="7648697C"/>
    <w:rsid w:val="764D731F"/>
    <w:rsid w:val="765165A0"/>
    <w:rsid w:val="76544B51"/>
    <w:rsid w:val="765C54A6"/>
    <w:rsid w:val="76641664"/>
    <w:rsid w:val="766823AB"/>
    <w:rsid w:val="766D176F"/>
    <w:rsid w:val="76782CEE"/>
    <w:rsid w:val="767A0521"/>
    <w:rsid w:val="76821AD4"/>
    <w:rsid w:val="76832D41"/>
    <w:rsid w:val="76875B4E"/>
    <w:rsid w:val="7691545E"/>
    <w:rsid w:val="76925496"/>
    <w:rsid w:val="7699708E"/>
    <w:rsid w:val="769C1025"/>
    <w:rsid w:val="76A01B45"/>
    <w:rsid w:val="76A52BBD"/>
    <w:rsid w:val="76B13D52"/>
    <w:rsid w:val="76B37ACA"/>
    <w:rsid w:val="76B4114C"/>
    <w:rsid w:val="76BD4DDD"/>
    <w:rsid w:val="76C07AF1"/>
    <w:rsid w:val="76C778EB"/>
    <w:rsid w:val="76CA4D38"/>
    <w:rsid w:val="76CD24DB"/>
    <w:rsid w:val="76CF057A"/>
    <w:rsid w:val="76D853AD"/>
    <w:rsid w:val="76E00193"/>
    <w:rsid w:val="76E71522"/>
    <w:rsid w:val="76E9529A"/>
    <w:rsid w:val="76EC75C5"/>
    <w:rsid w:val="76F0487A"/>
    <w:rsid w:val="76F36118"/>
    <w:rsid w:val="76F5018F"/>
    <w:rsid w:val="76F81981"/>
    <w:rsid w:val="770420D4"/>
    <w:rsid w:val="77043E82"/>
    <w:rsid w:val="7705257C"/>
    <w:rsid w:val="77065E4C"/>
    <w:rsid w:val="770E4D00"/>
    <w:rsid w:val="77242691"/>
    <w:rsid w:val="77266D5B"/>
    <w:rsid w:val="77275DC2"/>
    <w:rsid w:val="773109EF"/>
    <w:rsid w:val="7731796B"/>
    <w:rsid w:val="77325D05"/>
    <w:rsid w:val="77327299"/>
    <w:rsid w:val="77373AD8"/>
    <w:rsid w:val="77390C06"/>
    <w:rsid w:val="773A78A3"/>
    <w:rsid w:val="773B71ED"/>
    <w:rsid w:val="77446974"/>
    <w:rsid w:val="77454A08"/>
    <w:rsid w:val="77485900"/>
    <w:rsid w:val="77486965"/>
    <w:rsid w:val="77493F8A"/>
    <w:rsid w:val="774E3661"/>
    <w:rsid w:val="775374BF"/>
    <w:rsid w:val="776112D4"/>
    <w:rsid w:val="77660698"/>
    <w:rsid w:val="776A18E4"/>
    <w:rsid w:val="776B5CAF"/>
    <w:rsid w:val="77737259"/>
    <w:rsid w:val="77770AF7"/>
    <w:rsid w:val="777803CC"/>
    <w:rsid w:val="777C7EBC"/>
    <w:rsid w:val="77804564"/>
    <w:rsid w:val="77815892"/>
    <w:rsid w:val="778B00FF"/>
    <w:rsid w:val="778B55F6"/>
    <w:rsid w:val="779905B2"/>
    <w:rsid w:val="77AD53BA"/>
    <w:rsid w:val="77AD62C7"/>
    <w:rsid w:val="77AF64E3"/>
    <w:rsid w:val="77B54E04"/>
    <w:rsid w:val="77BE04D4"/>
    <w:rsid w:val="77BF5344"/>
    <w:rsid w:val="77C44FF6"/>
    <w:rsid w:val="77C713B8"/>
    <w:rsid w:val="77C83101"/>
    <w:rsid w:val="77CE623E"/>
    <w:rsid w:val="77CE70EE"/>
    <w:rsid w:val="77D01FB6"/>
    <w:rsid w:val="77D221D2"/>
    <w:rsid w:val="77D2308F"/>
    <w:rsid w:val="77D31AA6"/>
    <w:rsid w:val="77D87048"/>
    <w:rsid w:val="77DB6D31"/>
    <w:rsid w:val="77DD2CB6"/>
    <w:rsid w:val="77DF044B"/>
    <w:rsid w:val="77E4630B"/>
    <w:rsid w:val="77E77321"/>
    <w:rsid w:val="77E9489D"/>
    <w:rsid w:val="77F21374"/>
    <w:rsid w:val="77F4039A"/>
    <w:rsid w:val="77F71C38"/>
    <w:rsid w:val="77F75794"/>
    <w:rsid w:val="77F90F84"/>
    <w:rsid w:val="77FC0FFD"/>
    <w:rsid w:val="78003EBC"/>
    <w:rsid w:val="7803238B"/>
    <w:rsid w:val="78063C29"/>
    <w:rsid w:val="781623AD"/>
    <w:rsid w:val="781834EF"/>
    <w:rsid w:val="78197713"/>
    <w:rsid w:val="782462DA"/>
    <w:rsid w:val="783A38D3"/>
    <w:rsid w:val="783D222D"/>
    <w:rsid w:val="784A2B59"/>
    <w:rsid w:val="784E31B2"/>
    <w:rsid w:val="78526BD1"/>
    <w:rsid w:val="78566E8E"/>
    <w:rsid w:val="78591FAB"/>
    <w:rsid w:val="785F6803"/>
    <w:rsid w:val="786170B2"/>
    <w:rsid w:val="78661F8A"/>
    <w:rsid w:val="78686C9C"/>
    <w:rsid w:val="786B1CDE"/>
    <w:rsid w:val="786F4218"/>
    <w:rsid w:val="78822047"/>
    <w:rsid w:val="7883171E"/>
    <w:rsid w:val="78831E7F"/>
    <w:rsid w:val="78847E31"/>
    <w:rsid w:val="78874D6A"/>
    <w:rsid w:val="788A2AAC"/>
    <w:rsid w:val="788A3FC0"/>
    <w:rsid w:val="788B412F"/>
    <w:rsid w:val="788F3C1F"/>
    <w:rsid w:val="789631FF"/>
    <w:rsid w:val="78981D74"/>
    <w:rsid w:val="78994A9D"/>
    <w:rsid w:val="789D458E"/>
    <w:rsid w:val="78A21BA4"/>
    <w:rsid w:val="78A33759"/>
    <w:rsid w:val="78A51694"/>
    <w:rsid w:val="78AA71E0"/>
    <w:rsid w:val="78AB0354"/>
    <w:rsid w:val="78B02139"/>
    <w:rsid w:val="78B11DE7"/>
    <w:rsid w:val="78B611AB"/>
    <w:rsid w:val="78B673FD"/>
    <w:rsid w:val="78B83176"/>
    <w:rsid w:val="78C23FF4"/>
    <w:rsid w:val="78C31B1A"/>
    <w:rsid w:val="78C37D6C"/>
    <w:rsid w:val="78C733B9"/>
    <w:rsid w:val="78C935D5"/>
    <w:rsid w:val="78CE2726"/>
    <w:rsid w:val="78D14237"/>
    <w:rsid w:val="78D87374"/>
    <w:rsid w:val="78D930EC"/>
    <w:rsid w:val="78E5524C"/>
    <w:rsid w:val="78EA70A7"/>
    <w:rsid w:val="78EB6FA2"/>
    <w:rsid w:val="78EF46BD"/>
    <w:rsid w:val="78FB3062"/>
    <w:rsid w:val="78FD0611"/>
    <w:rsid w:val="79030169"/>
    <w:rsid w:val="79050385"/>
    <w:rsid w:val="79102FB2"/>
    <w:rsid w:val="79206F6D"/>
    <w:rsid w:val="792213E1"/>
    <w:rsid w:val="79223FA2"/>
    <w:rsid w:val="792275BE"/>
    <w:rsid w:val="79257C48"/>
    <w:rsid w:val="79294073"/>
    <w:rsid w:val="79336CA0"/>
    <w:rsid w:val="79400629"/>
    <w:rsid w:val="79412E2C"/>
    <w:rsid w:val="79442C5B"/>
    <w:rsid w:val="794B1A4D"/>
    <w:rsid w:val="794B66B4"/>
    <w:rsid w:val="79524843"/>
    <w:rsid w:val="79534C4C"/>
    <w:rsid w:val="7955517B"/>
    <w:rsid w:val="795A247F"/>
    <w:rsid w:val="795F1A07"/>
    <w:rsid w:val="79602447"/>
    <w:rsid w:val="79694470"/>
    <w:rsid w:val="796D3031"/>
    <w:rsid w:val="796E7CD8"/>
    <w:rsid w:val="79757D28"/>
    <w:rsid w:val="797A667D"/>
    <w:rsid w:val="797C23F5"/>
    <w:rsid w:val="797D0232"/>
    <w:rsid w:val="79817E0C"/>
    <w:rsid w:val="79823784"/>
    <w:rsid w:val="798B066E"/>
    <w:rsid w:val="79921C19"/>
    <w:rsid w:val="799534B7"/>
    <w:rsid w:val="799A287B"/>
    <w:rsid w:val="799B435A"/>
    <w:rsid w:val="799F16DB"/>
    <w:rsid w:val="79A01A7E"/>
    <w:rsid w:val="79A61220"/>
    <w:rsid w:val="79A8143C"/>
    <w:rsid w:val="79B44856"/>
    <w:rsid w:val="79B7167F"/>
    <w:rsid w:val="79B87240"/>
    <w:rsid w:val="79B94464"/>
    <w:rsid w:val="79BB0D3E"/>
    <w:rsid w:val="79BC7178"/>
    <w:rsid w:val="79C67B14"/>
    <w:rsid w:val="79D23D37"/>
    <w:rsid w:val="79D247C8"/>
    <w:rsid w:val="79D253CF"/>
    <w:rsid w:val="79D83DD5"/>
    <w:rsid w:val="79DB1359"/>
    <w:rsid w:val="79DD09BA"/>
    <w:rsid w:val="79DF4732"/>
    <w:rsid w:val="79EF62EF"/>
    <w:rsid w:val="79F273C5"/>
    <w:rsid w:val="79FC1788"/>
    <w:rsid w:val="79FF6B82"/>
    <w:rsid w:val="7A050383"/>
    <w:rsid w:val="7A0F3269"/>
    <w:rsid w:val="7A13684A"/>
    <w:rsid w:val="7A1A0476"/>
    <w:rsid w:val="7A266805"/>
    <w:rsid w:val="7A37631C"/>
    <w:rsid w:val="7A3F5835"/>
    <w:rsid w:val="7A4078C7"/>
    <w:rsid w:val="7A416871"/>
    <w:rsid w:val="7A435965"/>
    <w:rsid w:val="7A440A39"/>
    <w:rsid w:val="7A454EDD"/>
    <w:rsid w:val="7A4D1FE3"/>
    <w:rsid w:val="7A4E42C3"/>
    <w:rsid w:val="7A4F18B8"/>
    <w:rsid w:val="7A541A6F"/>
    <w:rsid w:val="7A545120"/>
    <w:rsid w:val="7A571170"/>
    <w:rsid w:val="7A5A025C"/>
    <w:rsid w:val="7A5D724B"/>
    <w:rsid w:val="7A5D7C02"/>
    <w:rsid w:val="7A5E5F9F"/>
    <w:rsid w:val="7A635363"/>
    <w:rsid w:val="7A652E89"/>
    <w:rsid w:val="7A660CFF"/>
    <w:rsid w:val="7A670835"/>
    <w:rsid w:val="7A6F2104"/>
    <w:rsid w:val="7A7606C9"/>
    <w:rsid w:val="7A7F5642"/>
    <w:rsid w:val="7A952E0C"/>
    <w:rsid w:val="7A9579C2"/>
    <w:rsid w:val="7A97325F"/>
    <w:rsid w:val="7A9B0737"/>
    <w:rsid w:val="7A9B68AB"/>
    <w:rsid w:val="7AA23FA5"/>
    <w:rsid w:val="7AA41266"/>
    <w:rsid w:val="7AA66F42"/>
    <w:rsid w:val="7AA8721A"/>
    <w:rsid w:val="7AA95E50"/>
    <w:rsid w:val="7AAC738F"/>
    <w:rsid w:val="7AB041E9"/>
    <w:rsid w:val="7AB12572"/>
    <w:rsid w:val="7AB1432C"/>
    <w:rsid w:val="7AB23BF5"/>
    <w:rsid w:val="7ABB5EAE"/>
    <w:rsid w:val="7ABE2599"/>
    <w:rsid w:val="7ABE6A3D"/>
    <w:rsid w:val="7AC46E76"/>
    <w:rsid w:val="7AC95077"/>
    <w:rsid w:val="7AD41DBD"/>
    <w:rsid w:val="7AD85D51"/>
    <w:rsid w:val="7AE2769C"/>
    <w:rsid w:val="7AE55D78"/>
    <w:rsid w:val="7AE75F94"/>
    <w:rsid w:val="7AEA5A84"/>
    <w:rsid w:val="7AF34939"/>
    <w:rsid w:val="7AFB37ED"/>
    <w:rsid w:val="7AFE4A85"/>
    <w:rsid w:val="7AFE6E3A"/>
    <w:rsid w:val="7AFF3122"/>
    <w:rsid w:val="7B005D53"/>
    <w:rsid w:val="7B095F0A"/>
    <w:rsid w:val="7B0C1557"/>
    <w:rsid w:val="7B1228E5"/>
    <w:rsid w:val="7B164183"/>
    <w:rsid w:val="7B18439F"/>
    <w:rsid w:val="7B18614D"/>
    <w:rsid w:val="7B1D7C08"/>
    <w:rsid w:val="7B2A5E81"/>
    <w:rsid w:val="7B2C7E4B"/>
    <w:rsid w:val="7B300F5E"/>
    <w:rsid w:val="7B3A4316"/>
    <w:rsid w:val="7B3F7B7E"/>
    <w:rsid w:val="7B405972"/>
    <w:rsid w:val="7B436CFB"/>
    <w:rsid w:val="7B47340A"/>
    <w:rsid w:val="7B477284"/>
    <w:rsid w:val="7B4C6D88"/>
    <w:rsid w:val="7B4E7DC1"/>
    <w:rsid w:val="7B58479C"/>
    <w:rsid w:val="7B5D0004"/>
    <w:rsid w:val="7B5D1DB2"/>
    <w:rsid w:val="7B607AF4"/>
    <w:rsid w:val="7B642F35"/>
    <w:rsid w:val="7B68086A"/>
    <w:rsid w:val="7B6B54D2"/>
    <w:rsid w:val="7B737828"/>
    <w:rsid w:val="7B784E3E"/>
    <w:rsid w:val="7B7A0BB6"/>
    <w:rsid w:val="7B824533"/>
    <w:rsid w:val="7B890DF9"/>
    <w:rsid w:val="7B8C0FD9"/>
    <w:rsid w:val="7B900EAA"/>
    <w:rsid w:val="7BA75723"/>
    <w:rsid w:val="7BAB5214"/>
    <w:rsid w:val="7BB55F9A"/>
    <w:rsid w:val="7BBB53F1"/>
    <w:rsid w:val="7BBF2A6D"/>
    <w:rsid w:val="7BCC0CE6"/>
    <w:rsid w:val="7BCD512A"/>
    <w:rsid w:val="7BD115E9"/>
    <w:rsid w:val="7BD30CB9"/>
    <w:rsid w:val="7BD5143B"/>
    <w:rsid w:val="7BD5390A"/>
    <w:rsid w:val="7BD5403F"/>
    <w:rsid w:val="7BD858DD"/>
    <w:rsid w:val="7BE61DA8"/>
    <w:rsid w:val="7BEE62DE"/>
    <w:rsid w:val="7BF0370A"/>
    <w:rsid w:val="7BF44B00"/>
    <w:rsid w:val="7BFE17E7"/>
    <w:rsid w:val="7BFF7665"/>
    <w:rsid w:val="7C013085"/>
    <w:rsid w:val="7C0522B0"/>
    <w:rsid w:val="7C0861C2"/>
    <w:rsid w:val="7C09018C"/>
    <w:rsid w:val="7C0910C0"/>
    <w:rsid w:val="7C09379A"/>
    <w:rsid w:val="7C0C4D1D"/>
    <w:rsid w:val="7C0E4DEA"/>
    <w:rsid w:val="7C110C5B"/>
    <w:rsid w:val="7C121B15"/>
    <w:rsid w:val="7C1437A9"/>
    <w:rsid w:val="7C172B36"/>
    <w:rsid w:val="7C271606"/>
    <w:rsid w:val="7C27396F"/>
    <w:rsid w:val="7C291ADF"/>
    <w:rsid w:val="7C345209"/>
    <w:rsid w:val="7C374CF9"/>
    <w:rsid w:val="7C3A66AB"/>
    <w:rsid w:val="7C42265A"/>
    <w:rsid w:val="7C442F72"/>
    <w:rsid w:val="7C557640"/>
    <w:rsid w:val="7C584387"/>
    <w:rsid w:val="7C5A1E80"/>
    <w:rsid w:val="7C5A2D6D"/>
    <w:rsid w:val="7C5E5DE2"/>
    <w:rsid w:val="7C5F1B82"/>
    <w:rsid w:val="7C6026CD"/>
    <w:rsid w:val="7C613B24"/>
    <w:rsid w:val="7C694787"/>
    <w:rsid w:val="7C6A15B3"/>
    <w:rsid w:val="7C6E0D2B"/>
    <w:rsid w:val="7C703D67"/>
    <w:rsid w:val="7C8523E8"/>
    <w:rsid w:val="7C883967"/>
    <w:rsid w:val="7C8B1ECB"/>
    <w:rsid w:val="7C8D66C7"/>
    <w:rsid w:val="7C907F65"/>
    <w:rsid w:val="7C920BB3"/>
    <w:rsid w:val="7C975798"/>
    <w:rsid w:val="7C9D03E1"/>
    <w:rsid w:val="7CA0289E"/>
    <w:rsid w:val="7CA67789"/>
    <w:rsid w:val="7CA83501"/>
    <w:rsid w:val="7CB225D2"/>
    <w:rsid w:val="7CB40242"/>
    <w:rsid w:val="7CB41EA6"/>
    <w:rsid w:val="7CB579CC"/>
    <w:rsid w:val="7CB974BC"/>
    <w:rsid w:val="7CBC6FAC"/>
    <w:rsid w:val="7CBE2D25"/>
    <w:rsid w:val="7CBE4C6D"/>
    <w:rsid w:val="7CC0265F"/>
    <w:rsid w:val="7CC15937"/>
    <w:rsid w:val="7CC80845"/>
    <w:rsid w:val="7CCD4D16"/>
    <w:rsid w:val="7CCF0A8E"/>
    <w:rsid w:val="7CD24A22"/>
    <w:rsid w:val="7CD42548"/>
    <w:rsid w:val="7CD6006E"/>
    <w:rsid w:val="7CD75B94"/>
    <w:rsid w:val="7CD96806"/>
    <w:rsid w:val="7CE10508"/>
    <w:rsid w:val="7CE109E8"/>
    <w:rsid w:val="7CE3371D"/>
    <w:rsid w:val="7CE54755"/>
    <w:rsid w:val="7CE87DA1"/>
    <w:rsid w:val="7CEA3B1A"/>
    <w:rsid w:val="7CEB0C7B"/>
    <w:rsid w:val="7CF7272E"/>
    <w:rsid w:val="7CF84488"/>
    <w:rsid w:val="7CFE1373"/>
    <w:rsid w:val="7D025F9F"/>
    <w:rsid w:val="7D153343"/>
    <w:rsid w:val="7D1868D9"/>
    <w:rsid w:val="7D31799A"/>
    <w:rsid w:val="7D341239"/>
    <w:rsid w:val="7D344D95"/>
    <w:rsid w:val="7D380E83"/>
    <w:rsid w:val="7D3E3E65"/>
    <w:rsid w:val="7D4551F4"/>
    <w:rsid w:val="7D4732BC"/>
    <w:rsid w:val="7D4A2A43"/>
    <w:rsid w:val="7D4E22FA"/>
    <w:rsid w:val="7D513B99"/>
    <w:rsid w:val="7D55776E"/>
    <w:rsid w:val="7D5C509C"/>
    <w:rsid w:val="7D5F62B6"/>
    <w:rsid w:val="7D6733BC"/>
    <w:rsid w:val="7D676F18"/>
    <w:rsid w:val="7D6A4C5A"/>
    <w:rsid w:val="7D6B2EAC"/>
    <w:rsid w:val="7D6C2789"/>
    <w:rsid w:val="7D6D017E"/>
    <w:rsid w:val="7D6E361E"/>
    <w:rsid w:val="7D70194C"/>
    <w:rsid w:val="7D772A7A"/>
    <w:rsid w:val="7D890155"/>
    <w:rsid w:val="7D8F07CD"/>
    <w:rsid w:val="7D906F42"/>
    <w:rsid w:val="7D947E0D"/>
    <w:rsid w:val="7D9A72EE"/>
    <w:rsid w:val="7D9D6DDE"/>
    <w:rsid w:val="7D9F4904"/>
    <w:rsid w:val="7DA01972"/>
    <w:rsid w:val="7DA343D2"/>
    <w:rsid w:val="7DA41F1A"/>
    <w:rsid w:val="7DA63EE4"/>
    <w:rsid w:val="7DA737B9"/>
    <w:rsid w:val="7DAF370D"/>
    <w:rsid w:val="7DB51DDB"/>
    <w:rsid w:val="7DC85B97"/>
    <w:rsid w:val="7DC91981"/>
    <w:rsid w:val="7DCD40C6"/>
    <w:rsid w:val="7DCE76CA"/>
    <w:rsid w:val="7DD66A4A"/>
    <w:rsid w:val="7DE20C95"/>
    <w:rsid w:val="7DE62533"/>
    <w:rsid w:val="7DE844FD"/>
    <w:rsid w:val="7DEB5D9B"/>
    <w:rsid w:val="7DED5F44"/>
    <w:rsid w:val="7DEE72BB"/>
    <w:rsid w:val="7DF06F0E"/>
    <w:rsid w:val="7DF24F98"/>
    <w:rsid w:val="7DF32EA2"/>
    <w:rsid w:val="7DF369FE"/>
    <w:rsid w:val="7DF736CB"/>
    <w:rsid w:val="7DFC1D56"/>
    <w:rsid w:val="7DFD5ACF"/>
    <w:rsid w:val="7E0155BF"/>
    <w:rsid w:val="7E036F5E"/>
    <w:rsid w:val="7E05211B"/>
    <w:rsid w:val="7E064437"/>
    <w:rsid w:val="7E087814"/>
    <w:rsid w:val="7E121751"/>
    <w:rsid w:val="7E123328"/>
    <w:rsid w:val="7E13238A"/>
    <w:rsid w:val="7E162A33"/>
    <w:rsid w:val="7E1A21DD"/>
    <w:rsid w:val="7E235535"/>
    <w:rsid w:val="7E235E07"/>
    <w:rsid w:val="7E271586"/>
    <w:rsid w:val="7E292420"/>
    <w:rsid w:val="7E2C7CF9"/>
    <w:rsid w:val="7E3205E4"/>
    <w:rsid w:val="7E3239CA"/>
    <w:rsid w:val="7E374B3D"/>
    <w:rsid w:val="7E494870"/>
    <w:rsid w:val="7E4C03C0"/>
    <w:rsid w:val="7E4F4EC8"/>
    <w:rsid w:val="7E505BFE"/>
    <w:rsid w:val="7E520B21"/>
    <w:rsid w:val="7E5703C8"/>
    <w:rsid w:val="7E5912A5"/>
    <w:rsid w:val="7E5971A9"/>
    <w:rsid w:val="7E5A6A7D"/>
    <w:rsid w:val="7E5C05A5"/>
    <w:rsid w:val="7E5D031B"/>
    <w:rsid w:val="7E5D3580"/>
    <w:rsid w:val="7E6752B5"/>
    <w:rsid w:val="7E6A3C0F"/>
    <w:rsid w:val="7E70004F"/>
    <w:rsid w:val="7E7038F5"/>
    <w:rsid w:val="7E722019"/>
    <w:rsid w:val="7E7713DD"/>
    <w:rsid w:val="7E795155"/>
    <w:rsid w:val="7E7F4735"/>
    <w:rsid w:val="7E885398"/>
    <w:rsid w:val="7E955D07"/>
    <w:rsid w:val="7E975B86"/>
    <w:rsid w:val="7EAB1087"/>
    <w:rsid w:val="7EAB3264"/>
    <w:rsid w:val="7EB01F33"/>
    <w:rsid w:val="7EB42631"/>
    <w:rsid w:val="7EB443DF"/>
    <w:rsid w:val="7EB51F05"/>
    <w:rsid w:val="7EB63698"/>
    <w:rsid w:val="7EB72EE7"/>
    <w:rsid w:val="7EBA751C"/>
    <w:rsid w:val="7EC47257"/>
    <w:rsid w:val="7EC9566B"/>
    <w:rsid w:val="7ED46B66"/>
    <w:rsid w:val="7ED76320"/>
    <w:rsid w:val="7EDF5174"/>
    <w:rsid w:val="7EE50A3C"/>
    <w:rsid w:val="7EE66563"/>
    <w:rsid w:val="7EE747B5"/>
    <w:rsid w:val="7EEA1BAF"/>
    <w:rsid w:val="7EEA6053"/>
    <w:rsid w:val="7EEC5114"/>
    <w:rsid w:val="7EF20AA2"/>
    <w:rsid w:val="7F007624"/>
    <w:rsid w:val="7F032C71"/>
    <w:rsid w:val="7F052E8D"/>
    <w:rsid w:val="7F0709B3"/>
    <w:rsid w:val="7F08472B"/>
    <w:rsid w:val="7F085E90"/>
    <w:rsid w:val="7F0C37F3"/>
    <w:rsid w:val="7F0F5B58"/>
    <w:rsid w:val="7F10538E"/>
    <w:rsid w:val="7F141322"/>
    <w:rsid w:val="7F150158"/>
    <w:rsid w:val="7F1654DD"/>
    <w:rsid w:val="7F196066"/>
    <w:rsid w:val="7F196938"/>
    <w:rsid w:val="7F1C3A35"/>
    <w:rsid w:val="7F1E7D25"/>
    <w:rsid w:val="7F2430A7"/>
    <w:rsid w:val="7F2522D2"/>
    <w:rsid w:val="7F2A6A9E"/>
    <w:rsid w:val="7F2D7CEE"/>
    <w:rsid w:val="7F3379FA"/>
    <w:rsid w:val="7F3426D4"/>
    <w:rsid w:val="7F3D3E3C"/>
    <w:rsid w:val="7F406673"/>
    <w:rsid w:val="7F41103C"/>
    <w:rsid w:val="7F4219EB"/>
    <w:rsid w:val="7F480FCB"/>
    <w:rsid w:val="7F4E65E2"/>
    <w:rsid w:val="7F5160D2"/>
    <w:rsid w:val="7F5434CC"/>
    <w:rsid w:val="7F5F14F8"/>
    <w:rsid w:val="7F69039C"/>
    <w:rsid w:val="7F6C2F0C"/>
    <w:rsid w:val="7F73381E"/>
    <w:rsid w:val="7F76502A"/>
    <w:rsid w:val="7F786E24"/>
    <w:rsid w:val="7F7D6EC7"/>
    <w:rsid w:val="7F8042C1"/>
    <w:rsid w:val="7F814DD6"/>
    <w:rsid w:val="7F867444"/>
    <w:rsid w:val="7F89586C"/>
    <w:rsid w:val="7F923FF5"/>
    <w:rsid w:val="7F932247"/>
    <w:rsid w:val="7F963AE5"/>
    <w:rsid w:val="7F9B734D"/>
    <w:rsid w:val="7F9E2CEB"/>
    <w:rsid w:val="7FA7152B"/>
    <w:rsid w:val="7FA72D71"/>
    <w:rsid w:val="7FA73F44"/>
    <w:rsid w:val="7FA97CBC"/>
    <w:rsid w:val="7FAC155A"/>
    <w:rsid w:val="7FB34697"/>
    <w:rsid w:val="7FB547BD"/>
    <w:rsid w:val="7FB57B3D"/>
    <w:rsid w:val="7FB63D8B"/>
    <w:rsid w:val="7FBB6EFF"/>
    <w:rsid w:val="7FBD72C3"/>
    <w:rsid w:val="7FC248DA"/>
    <w:rsid w:val="7FC62843"/>
    <w:rsid w:val="7FC94EA5"/>
    <w:rsid w:val="7FD57715"/>
    <w:rsid w:val="7FD840FD"/>
    <w:rsid w:val="7FDB599C"/>
    <w:rsid w:val="7FDC2637"/>
    <w:rsid w:val="7FDD3AC7"/>
    <w:rsid w:val="7FDD5BB8"/>
    <w:rsid w:val="7FDE6C66"/>
    <w:rsid w:val="7FDF272D"/>
    <w:rsid w:val="7FE17456"/>
    <w:rsid w:val="7FE2648A"/>
    <w:rsid w:val="7FE44850"/>
    <w:rsid w:val="7FF828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仿宋" w:hAnsi="仿宋" w:eastAsia="仿宋" w:cs="仿宋"/>
      <w:kern w:val="2"/>
      <w:sz w:val="28"/>
      <w:szCs w:val="28"/>
      <w:lang w:val="en-US" w:eastAsia="zh-CN" w:bidi="ar-SA"/>
    </w:rPr>
  </w:style>
  <w:style w:type="paragraph" w:styleId="2">
    <w:name w:val="heading 1"/>
    <w:basedOn w:val="1"/>
    <w:next w:val="1"/>
    <w:link w:val="60"/>
    <w:qFormat/>
    <w:uiPriority w:val="0"/>
    <w:pPr>
      <w:keepNext/>
      <w:keepLines/>
      <w:snapToGrid w:val="0"/>
      <w:spacing w:line="560" w:lineRule="exact"/>
      <w:ind w:firstLine="200" w:firstLineChars="200"/>
      <w:outlineLvl w:val="0"/>
    </w:pPr>
    <w:rPr>
      <w:b/>
      <w:kern w:val="44"/>
    </w:rPr>
  </w:style>
  <w:style w:type="paragraph" w:styleId="3">
    <w:name w:val="heading 2"/>
    <w:basedOn w:val="1"/>
    <w:next w:val="1"/>
    <w:link w:val="61"/>
    <w:qFormat/>
    <w:uiPriority w:val="0"/>
    <w:pPr>
      <w:keepNext/>
      <w:keepLines/>
      <w:snapToGrid w:val="0"/>
      <w:spacing w:line="560" w:lineRule="exact"/>
      <w:ind w:firstLine="200" w:firstLineChars="200"/>
      <w:outlineLvl w:val="1"/>
    </w:pPr>
    <w:rPr>
      <w:rFonts w:ascii="Arial" w:hAnsi="Arial"/>
      <w:b/>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qFormat/>
    <w:uiPriority w:val="0"/>
    <w:pPr>
      <w:ind w:left="420" w:leftChars="200"/>
    </w:pPr>
  </w:style>
  <w:style w:type="paragraph" w:styleId="5">
    <w:name w:val="Normal Indent"/>
    <w:basedOn w:val="1"/>
    <w:qFormat/>
    <w:uiPriority w:val="0"/>
    <w:pPr>
      <w:ind w:firstLine="420" w:firstLineChars="200"/>
    </w:pPr>
    <w:rPr>
      <w:sz w:val="32"/>
    </w:rPr>
  </w:style>
  <w:style w:type="paragraph" w:styleId="6">
    <w:name w:val="Document Map"/>
    <w:basedOn w:val="1"/>
    <w:link w:val="37"/>
    <w:unhideWhenUsed/>
    <w:qFormat/>
    <w:uiPriority w:val="99"/>
    <w:rPr>
      <w:rFonts w:ascii="宋体"/>
      <w:sz w:val="18"/>
      <w:szCs w:val="18"/>
    </w:rPr>
  </w:style>
  <w:style w:type="paragraph" w:styleId="7">
    <w:name w:val="annotation text"/>
    <w:basedOn w:val="1"/>
    <w:link w:val="56"/>
    <w:unhideWhenUsed/>
    <w:qFormat/>
    <w:uiPriority w:val="0"/>
    <w:pPr>
      <w:jc w:val="left"/>
    </w:pPr>
  </w:style>
  <w:style w:type="paragraph" w:styleId="8">
    <w:name w:val="Body Text"/>
    <w:basedOn w:val="1"/>
    <w:next w:val="1"/>
    <w:link w:val="38"/>
    <w:qFormat/>
    <w:uiPriority w:val="0"/>
    <w:pPr>
      <w:snapToGrid w:val="0"/>
      <w:spacing w:line="560" w:lineRule="exact"/>
      <w:ind w:firstLine="883" w:firstLineChars="200"/>
    </w:pPr>
    <w:rPr>
      <w:rFonts w:ascii="仿宋_GB2312" w:hAnsi="仿宋_GB2312"/>
    </w:rPr>
  </w:style>
  <w:style w:type="paragraph" w:styleId="9">
    <w:name w:val="Body Text Indent"/>
    <w:basedOn w:val="1"/>
    <w:next w:val="5"/>
    <w:qFormat/>
    <w:uiPriority w:val="0"/>
    <w:pPr>
      <w:ind w:firstLine="645"/>
    </w:pPr>
    <w:rPr>
      <w:rFonts w:eastAsia="仿宋_GB2312"/>
      <w:sz w:val="32"/>
    </w:rPr>
  </w:style>
  <w:style w:type="paragraph" w:styleId="10">
    <w:name w:val="Block Text"/>
    <w:basedOn w:val="1"/>
    <w:qFormat/>
    <w:uiPriority w:val="0"/>
    <w:pPr>
      <w:widowControl w:val="0"/>
      <w:spacing w:after="120"/>
      <w:ind w:left="1440" w:leftChars="700" w:right="1440" w:rightChars="700"/>
    </w:pPr>
    <w:rPr>
      <w:rFonts w:ascii="Calibri" w:hAnsi="Calibri" w:eastAsia="宋体" w:cs="Times New Roman"/>
      <w:sz w:val="21"/>
      <w:szCs w:val="24"/>
    </w:rPr>
  </w:style>
  <w:style w:type="paragraph" w:styleId="11">
    <w:name w:val="toc 3"/>
    <w:basedOn w:val="1"/>
    <w:next w:val="1"/>
    <w:semiHidden/>
    <w:unhideWhenUsed/>
    <w:qFormat/>
    <w:uiPriority w:val="39"/>
    <w:pPr>
      <w:ind w:left="840" w:leftChars="400"/>
    </w:pPr>
  </w:style>
  <w:style w:type="paragraph" w:styleId="12">
    <w:name w:val="Date"/>
    <w:basedOn w:val="1"/>
    <w:next w:val="1"/>
    <w:link w:val="62"/>
    <w:qFormat/>
    <w:uiPriority w:val="0"/>
    <w:pPr>
      <w:ind w:left="100" w:leftChars="2500"/>
    </w:pPr>
  </w:style>
  <w:style w:type="paragraph" w:styleId="13">
    <w:name w:val="Balloon Text"/>
    <w:basedOn w:val="1"/>
    <w:link w:val="35"/>
    <w:unhideWhenUsed/>
    <w:qFormat/>
    <w:uiPriority w:val="99"/>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after="100" w:line="276" w:lineRule="auto"/>
      <w:jc w:val="left"/>
    </w:pPr>
    <w:rPr>
      <w:kern w:val="0"/>
      <w:sz w:val="22"/>
    </w:rPr>
  </w:style>
  <w:style w:type="paragraph" w:styleId="17">
    <w:name w:val="Subtitle"/>
    <w:basedOn w:val="1"/>
    <w:next w:val="1"/>
    <w:link w:val="73"/>
    <w:qFormat/>
    <w:uiPriority w:val="11"/>
    <w:pPr>
      <w:adjustRightInd w:val="0"/>
      <w:snapToGrid w:val="0"/>
      <w:spacing w:line="560" w:lineRule="exact"/>
      <w:jc w:val="left"/>
      <w:outlineLvl w:val="1"/>
    </w:pPr>
    <w:rPr>
      <w:rFonts w:asciiTheme="minorHAnsi" w:hAnsiTheme="minorHAnsi" w:cstheme="minorBidi"/>
      <w:bCs/>
      <w:kern w:val="28"/>
      <w:sz w:val="24"/>
      <w:szCs w:val="32"/>
    </w:rPr>
  </w:style>
  <w:style w:type="paragraph" w:styleId="18">
    <w:name w:val="footnote text"/>
    <w:basedOn w:val="1"/>
    <w:qFormat/>
    <w:uiPriority w:val="0"/>
    <w:pPr>
      <w:snapToGrid w:val="0"/>
      <w:jc w:val="left"/>
    </w:pPr>
    <w:rPr>
      <w:sz w:val="18"/>
    </w:rPr>
  </w:style>
  <w:style w:type="paragraph" w:styleId="19">
    <w:name w:val="toc 2"/>
    <w:basedOn w:val="1"/>
    <w:next w:val="1"/>
    <w:qFormat/>
    <w:uiPriority w:val="39"/>
    <w:pPr>
      <w:spacing w:after="100" w:line="276" w:lineRule="auto"/>
      <w:ind w:left="220"/>
      <w:jc w:val="left"/>
    </w:pPr>
    <w:rPr>
      <w:kern w:val="0"/>
      <w:sz w:val="22"/>
    </w:rPr>
  </w:style>
  <w:style w:type="paragraph" w:styleId="20">
    <w:name w:val="Normal (Web)"/>
    <w:basedOn w:val="1"/>
    <w:qFormat/>
    <w:uiPriority w:val="0"/>
    <w:pPr>
      <w:widowControl w:val="0"/>
    </w:pPr>
    <w:rPr>
      <w:rFonts w:ascii="Calibri" w:hAnsi="Calibri" w:eastAsia="宋体" w:cs="Times New Roman"/>
      <w:sz w:val="24"/>
      <w:szCs w:val="24"/>
    </w:rPr>
  </w:style>
  <w:style w:type="paragraph" w:styleId="21">
    <w:name w:val="Title"/>
    <w:basedOn w:val="1"/>
    <w:next w:val="1"/>
    <w:qFormat/>
    <w:uiPriority w:val="0"/>
    <w:pPr>
      <w:spacing w:before="240" w:after="60"/>
      <w:jc w:val="center"/>
      <w:outlineLvl w:val="0"/>
    </w:pPr>
    <w:rPr>
      <w:rFonts w:ascii="Arial" w:hAnsi="Arial"/>
      <w:b/>
      <w:sz w:val="32"/>
    </w:rPr>
  </w:style>
  <w:style w:type="paragraph" w:styleId="22">
    <w:name w:val="annotation subject"/>
    <w:basedOn w:val="7"/>
    <w:next w:val="7"/>
    <w:link w:val="57"/>
    <w:semiHidden/>
    <w:unhideWhenUsed/>
    <w:qFormat/>
    <w:uiPriority w:val="99"/>
    <w:rPr>
      <w:b/>
      <w:bCs/>
    </w:rPr>
  </w:style>
  <w:style w:type="paragraph" w:styleId="23">
    <w:name w:val="Body Text First Indent 2"/>
    <w:basedOn w:val="9"/>
    <w:qFormat/>
    <w:uiPriority w:val="0"/>
    <w:pPr>
      <w:ind w:firstLine="420" w:firstLineChars="200"/>
    </w:pPr>
    <w:rPr>
      <w:rFonts w:ascii="Calibri" w:hAnsi="Calibri" w:eastAsia="宋体" w:cs="Times New Roman"/>
    </w:rPr>
  </w:style>
  <w:style w:type="table" w:styleId="25">
    <w:name w:val="Table Grid"/>
    <w:basedOn w:val="24"/>
    <w:qFormat/>
    <w:uiPriority w:val="0"/>
    <w:rPr>
      <w:rFonts w:ascii="Calibri" w:hAnsi="Calibri"/>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page number"/>
    <w:basedOn w:val="26"/>
    <w:qFormat/>
    <w:uiPriority w:val="0"/>
  </w:style>
  <w:style w:type="character" w:styleId="28">
    <w:name w:val="Emphasis"/>
    <w:basedOn w:val="26"/>
    <w:qFormat/>
    <w:uiPriority w:val="20"/>
    <w:rPr>
      <w:rFonts w:ascii="微软雅黑" w:hAnsi="微软雅黑" w:eastAsia="微软雅黑" w:cs="微软雅黑"/>
      <w:sz w:val="24"/>
      <w:szCs w:val="24"/>
      <w:vertAlign w:val="baseline"/>
    </w:rPr>
  </w:style>
  <w:style w:type="character" w:styleId="29">
    <w:name w:val="Hyperlink"/>
    <w:basedOn w:val="26"/>
    <w:unhideWhenUsed/>
    <w:qFormat/>
    <w:uiPriority w:val="99"/>
    <w:rPr>
      <w:color w:val="000000"/>
      <w:u w:val="none"/>
    </w:rPr>
  </w:style>
  <w:style w:type="character" w:styleId="30">
    <w:name w:val="annotation reference"/>
    <w:basedOn w:val="26"/>
    <w:semiHidden/>
    <w:unhideWhenUsed/>
    <w:qFormat/>
    <w:uiPriority w:val="99"/>
    <w:rPr>
      <w:sz w:val="21"/>
      <w:szCs w:val="21"/>
    </w:rPr>
  </w:style>
  <w:style w:type="character" w:styleId="31">
    <w:name w:val="footnote reference"/>
    <w:basedOn w:val="26"/>
    <w:qFormat/>
    <w:uiPriority w:val="0"/>
    <w:rPr>
      <w:vertAlign w:val="superscript"/>
    </w:rPr>
  </w:style>
  <w:style w:type="paragraph" w:customStyle="1" w:styleId="32">
    <w:name w:val="Char"/>
    <w:basedOn w:val="1"/>
    <w:qFormat/>
    <w:uiPriority w:val="0"/>
  </w:style>
  <w:style w:type="character" w:customStyle="1" w:styleId="33">
    <w:name w:val="页脚 Char"/>
    <w:basedOn w:val="26"/>
    <w:link w:val="14"/>
    <w:qFormat/>
    <w:uiPriority w:val="99"/>
    <w:rPr>
      <w:kern w:val="2"/>
      <w:sz w:val="18"/>
      <w:szCs w:val="18"/>
    </w:rPr>
  </w:style>
  <w:style w:type="paragraph" w:customStyle="1" w:styleId="34">
    <w:name w:val="列表段落1"/>
    <w:basedOn w:val="1"/>
    <w:qFormat/>
    <w:uiPriority w:val="34"/>
    <w:pPr>
      <w:ind w:firstLine="420" w:firstLineChars="200"/>
    </w:pPr>
  </w:style>
  <w:style w:type="character" w:customStyle="1" w:styleId="35">
    <w:name w:val="批注框文本 Char"/>
    <w:basedOn w:val="26"/>
    <w:link w:val="13"/>
    <w:qFormat/>
    <w:uiPriority w:val="99"/>
    <w:rPr>
      <w:kern w:val="2"/>
      <w:sz w:val="18"/>
      <w:szCs w:val="18"/>
    </w:rPr>
  </w:style>
  <w:style w:type="character" w:customStyle="1" w:styleId="36">
    <w:name w:val="占位符文本1"/>
    <w:basedOn w:val="26"/>
    <w:semiHidden/>
    <w:qFormat/>
    <w:uiPriority w:val="99"/>
    <w:rPr>
      <w:color w:val="808080"/>
    </w:rPr>
  </w:style>
  <w:style w:type="character" w:customStyle="1" w:styleId="37">
    <w:name w:val="文档结构图 Char"/>
    <w:basedOn w:val="26"/>
    <w:link w:val="6"/>
    <w:qFormat/>
    <w:uiPriority w:val="99"/>
    <w:rPr>
      <w:rFonts w:ascii="宋体"/>
      <w:kern w:val="2"/>
      <w:sz w:val="18"/>
      <w:szCs w:val="18"/>
    </w:rPr>
  </w:style>
  <w:style w:type="character" w:customStyle="1" w:styleId="38">
    <w:name w:val="正文文本 Char"/>
    <w:basedOn w:val="26"/>
    <w:link w:val="8"/>
    <w:qFormat/>
    <w:uiPriority w:val="0"/>
    <w:rPr>
      <w:rFonts w:ascii="仿宋_GB2312" w:hAnsi="仿宋_GB2312" w:eastAsia="仿宋"/>
      <w:kern w:val="2"/>
      <w:sz w:val="28"/>
      <w:szCs w:val="24"/>
    </w:rPr>
  </w:style>
  <w:style w:type="character" w:customStyle="1" w:styleId="39">
    <w:name w:val="页眉 Char"/>
    <w:basedOn w:val="26"/>
    <w:link w:val="15"/>
    <w:qFormat/>
    <w:uiPriority w:val="0"/>
    <w:rPr>
      <w:kern w:val="2"/>
      <w:sz w:val="18"/>
      <w:szCs w:val="18"/>
    </w:rPr>
  </w:style>
  <w:style w:type="paragraph" w:customStyle="1" w:styleId="40">
    <w:name w:val="p0"/>
    <w:basedOn w:val="1"/>
    <w:qFormat/>
    <w:uiPriority w:val="0"/>
    <w:pPr>
      <w:snapToGrid w:val="0"/>
      <w:spacing w:before="120" w:line="360" w:lineRule="auto"/>
      <w:ind w:firstLine="425"/>
      <w:jc w:val="left"/>
    </w:pPr>
    <w:rPr>
      <w:rFonts w:ascii="宋体" w:hAnsi="宋体" w:cs="宋体"/>
      <w:kern w:val="0"/>
      <w:sz w:val="24"/>
    </w:rPr>
  </w:style>
  <w:style w:type="paragraph" w:customStyle="1" w:styleId="41">
    <w:name w:val="WPSOffice手动目录 1"/>
    <w:qFormat/>
    <w:uiPriority w:val="0"/>
    <w:pPr>
      <w:jc w:val="both"/>
    </w:pPr>
    <w:rPr>
      <w:rFonts w:ascii="Times New Roman" w:hAnsi="Times New Roman" w:eastAsia="宋体" w:cs="Times New Roman"/>
      <w:kern w:val="2"/>
      <w:lang w:val="en-US" w:eastAsia="zh-CN" w:bidi="ar-SA"/>
    </w:rPr>
  </w:style>
  <w:style w:type="paragraph" w:customStyle="1" w:styleId="42">
    <w:name w:val="WPSOffice手动目录 2"/>
    <w:qFormat/>
    <w:uiPriority w:val="0"/>
    <w:pPr>
      <w:ind w:left="200" w:leftChars="200"/>
      <w:jc w:val="both"/>
    </w:pPr>
    <w:rPr>
      <w:rFonts w:ascii="Times New Roman" w:hAnsi="Times New Roman" w:eastAsia="宋体" w:cs="Times New Roman"/>
      <w:kern w:val="2"/>
      <w:lang w:val="en-US" w:eastAsia="zh-CN" w:bidi="ar-SA"/>
    </w:rPr>
  </w:style>
  <w:style w:type="character" w:customStyle="1" w:styleId="43">
    <w:name w:val="font41"/>
    <w:basedOn w:val="26"/>
    <w:qFormat/>
    <w:uiPriority w:val="0"/>
    <w:rPr>
      <w:rFonts w:hint="eastAsia" w:ascii="仿宋" w:hAnsi="仿宋" w:eastAsia="仿宋" w:cs="仿宋"/>
      <w:color w:val="000000"/>
      <w:sz w:val="18"/>
      <w:szCs w:val="18"/>
      <w:u w:val="none"/>
    </w:rPr>
  </w:style>
  <w:style w:type="character" w:customStyle="1" w:styleId="44">
    <w:name w:val="font81"/>
    <w:basedOn w:val="26"/>
    <w:qFormat/>
    <w:uiPriority w:val="0"/>
    <w:rPr>
      <w:rFonts w:hint="eastAsia" w:ascii="仿宋" w:hAnsi="仿宋" w:eastAsia="仿宋" w:cs="仿宋"/>
      <w:color w:val="000000"/>
      <w:sz w:val="20"/>
      <w:szCs w:val="20"/>
      <w:u w:val="none"/>
    </w:rPr>
  </w:style>
  <w:style w:type="character" w:customStyle="1" w:styleId="45">
    <w:name w:val="font71"/>
    <w:basedOn w:val="26"/>
    <w:qFormat/>
    <w:uiPriority w:val="0"/>
    <w:rPr>
      <w:rFonts w:hint="eastAsia" w:ascii="仿宋" w:hAnsi="仿宋" w:eastAsia="仿宋" w:cs="仿宋"/>
      <w:color w:val="000000"/>
      <w:sz w:val="20"/>
      <w:szCs w:val="20"/>
      <w:u w:val="none"/>
    </w:rPr>
  </w:style>
  <w:style w:type="character" w:customStyle="1" w:styleId="46">
    <w:name w:val="font91"/>
    <w:basedOn w:val="26"/>
    <w:qFormat/>
    <w:uiPriority w:val="0"/>
    <w:rPr>
      <w:rFonts w:hint="eastAsia" w:ascii="仿宋" w:hAnsi="仿宋" w:eastAsia="仿宋" w:cs="仿宋"/>
      <w:color w:val="000000"/>
      <w:sz w:val="18"/>
      <w:szCs w:val="18"/>
      <w:u w:val="none"/>
    </w:rPr>
  </w:style>
  <w:style w:type="character" w:customStyle="1" w:styleId="47">
    <w:name w:val="font01"/>
    <w:basedOn w:val="26"/>
    <w:qFormat/>
    <w:uiPriority w:val="0"/>
    <w:rPr>
      <w:rFonts w:hint="eastAsia" w:ascii="仿宋" w:hAnsi="仿宋" w:eastAsia="仿宋" w:cs="仿宋"/>
      <w:color w:val="000000"/>
      <w:sz w:val="18"/>
      <w:szCs w:val="18"/>
      <w:u w:val="none"/>
    </w:rPr>
  </w:style>
  <w:style w:type="character" w:customStyle="1" w:styleId="48">
    <w:name w:val="font61"/>
    <w:basedOn w:val="26"/>
    <w:qFormat/>
    <w:uiPriority w:val="0"/>
    <w:rPr>
      <w:rFonts w:hint="eastAsia" w:ascii="仿宋" w:hAnsi="仿宋" w:eastAsia="仿宋" w:cs="仿宋"/>
      <w:color w:val="000000"/>
      <w:sz w:val="20"/>
      <w:szCs w:val="20"/>
      <w:u w:val="none"/>
    </w:rPr>
  </w:style>
  <w:style w:type="character" w:customStyle="1" w:styleId="49">
    <w:name w:val="font112"/>
    <w:basedOn w:val="26"/>
    <w:qFormat/>
    <w:uiPriority w:val="0"/>
    <w:rPr>
      <w:rFonts w:hint="eastAsia" w:ascii="仿宋" w:hAnsi="仿宋" w:eastAsia="仿宋" w:cs="仿宋"/>
      <w:color w:val="000000"/>
      <w:sz w:val="18"/>
      <w:szCs w:val="18"/>
      <w:u w:val="none"/>
    </w:rPr>
  </w:style>
  <w:style w:type="character" w:customStyle="1" w:styleId="50">
    <w:name w:val="font12"/>
    <w:basedOn w:val="26"/>
    <w:qFormat/>
    <w:uiPriority w:val="0"/>
    <w:rPr>
      <w:rFonts w:hint="eastAsia" w:ascii="仿宋" w:hAnsi="仿宋" w:eastAsia="仿宋" w:cs="仿宋"/>
      <w:color w:val="000000"/>
      <w:sz w:val="20"/>
      <w:szCs w:val="20"/>
      <w:u w:val="none"/>
    </w:rPr>
  </w:style>
  <w:style w:type="character" w:customStyle="1" w:styleId="51">
    <w:name w:val="font31"/>
    <w:basedOn w:val="26"/>
    <w:qFormat/>
    <w:uiPriority w:val="0"/>
    <w:rPr>
      <w:rFonts w:hint="eastAsia" w:ascii="仿宋" w:hAnsi="仿宋" w:eastAsia="仿宋" w:cs="仿宋"/>
      <w:color w:val="000000"/>
      <w:sz w:val="20"/>
      <w:szCs w:val="20"/>
      <w:u w:val="none"/>
    </w:rPr>
  </w:style>
  <w:style w:type="character" w:customStyle="1" w:styleId="52">
    <w:name w:val="font122"/>
    <w:basedOn w:val="26"/>
    <w:qFormat/>
    <w:uiPriority w:val="0"/>
    <w:rPr>
      <w:rFonts w:hint="eastAsia" w:ascii="仿宋" w:hAnsi="仿宋" w:eastAsia="仿宋" w:cs="仿宋"/>
      <w:color w:val="000000"/>
      <w:sz w:val="18"/>
      <w:szCs w:val="18"/>
      <w:u w:val="none"/>
    </w:rPr>
  </w:style>
  <w:style w:type="character" w:customStyle="1" w:styleId="53">
    <w:name w:val="font13"/>
    <w:basedOn w:val="26"/>
    <w:qFormat/>
    <w:uiPriority w:val="0"/>
    <w:rPr>
      <w:rFonts w:hint="eastAsia" w:ascii="仿宋" w:hAnsi="仿宋" w:eastAsia="仿宋" w:cs="仿宋"/>
      <w:color w:val="000000"/>
      <w:sz w:val="20"/>
      <w:szCs w:val="20"/>
      <w:u w:val="none"/>
    </w:rPr>
  </w:style>
  <w:style w:type="character" w:customStyle="1" w:styleId="54">
    <w:name w:val="font121"/>
    <w:basedOn w:val="26"/>
    <w:qFormat/>
    <w:uiPriority w:val="0"/>
    <w:rPr>
      <w:rFonts w:hint="eastAsia" w:ascii="仿宋" w:hAnsi="仿宋" w:eastAsia="仿宋" w:cs="仿宋"/>
      <w:color w:val="000000"/>
      <w:sz w:val="18"/>
      <w:szCs w:val="18"/>
      <w:u w:val="none"/>
    </w:rPr>
  </w:style>
  <w:style w:type="character" w:customStyle="1" w:styleId="55">
    <w:name w:val="font21"/>
    <w:basedOn w:val="26"/>
    <w:qFormat/>
    <w:uiPriority w:val="0"/>
    <w:rPr>
      <w:rFonts w:hint="eastAsia" w:ascii="仿宋" w:hAnsi="仿宋" w:eastAsia="仿宋" w:cs="仿宋"/>
      <w:color w:val="000000"/>
      <w:sz w:val="20"/>
      <w:szCs w:val="20"/>
      <w:u w:val="none"/>
    </w:rPr>
  </w:style>
  <w:style w:type="character" w:customStyle="1" w:styleId="56">
    <w:name w:val="批注文字 Char"/>
    <w:basedOn w:val="26"/>
    <w:link w:val="7"/>
    <w:qFormat/>
    <w:uiPriority w:val="0"/>
    <w:rPr>
      <w:rFonts w:ascii="Times New Roman" w:hAnsi="Times New Roman" w:eastAsia="宋体" w:cs="Times New Roman"/>
      <w:kern w:val="2"/>
      <w:sz w:val="21"/>
      <w:szCs w:val="24"/>
    </w:rPr>
  </w:style>
  <w:style w:type="character" w:customStyle="1" w:styleId="57">
    <w:name w:val="批注主题 Char"/>
    <w:basedOn w:val="56"/>
    <w:link w:val="22"/>
    <w:semiHidden/>
    <w:qFormat/>
    <w:uiPriority w:val="99"/>
    <w:rPr>
      <w:rFonts w:ascii="Times New Roman" w:hAnsi="Times New Roman" w:eastAsia="宋体" w:cs="Times New Roman"/>
      <w:b/>
      <w:bCs/>
      <w:kern w:val="2"/>
      <w:sz w:val="21"/>
      <w:szCs w:val="24"/>
    </w:rPr>
  </w:style>
  <w:style w:type="table" w:customStyle="1" w:styleId="58">
    <w:name w:val="网格型1"/>
    <w:basedOn w:val="24"/>
    <w:qFormat/>
    <w:uiPriority w:val="0"/>
    <w:rPr>
      <w:rFonts w:ascii="Calibri" w:hAnsi="Calibri"/>
      <w:bCs/>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9">
    <w:name w:val="WPSOffice手动目录 3"/>
    <w:qFormat/>
    <w:uiPriority w:val="0"/>
    <w:pPr>
      <w:ind w:left="400" w:leftChars="400"/>
    </w:pPr>
    <w:rPr>
      <w:rFonts w:ascii="仿宋" w:hAnsi="仿宋" w:eastAsia="仿宋" w:cs="仿宋"/>
      <w:lang w:val="en-US" w:eastAsia="zh-CN" w:bidi="ar-SA"/>
    </w:rPr>
  </w:style>
  <w:style w:type="character" w:customStyle="1" w:styleId="60">
    <w:name w:val="标题 1 Char"/>
    <w:basedOn w:val="26"/>
    <w:link w:val="2"/>
    <w:qFormat/>
    <w:uiPriority w:val="0"/>
    <w:rPr>
      <w:rFonts w:ascii="仿宋" w:hAnsi="仿宋" w:eastAsia="仿宋" w:cs="仿宋"/>
      <w:b/>
      <w:kern w:val="44"/>
      <w:sz w:val="28"/>
      <w:szCs w:val="28"/>
    </w:rPr>
  </w:style>
  <w:style w:type="character" w:customStyle="1" w:styleId="61">
    <w:name w:val="标题 2 Char"/>
    <w:basedOn w:val="26"/>
    <w:link w:val="3"/>
    <w:qFormat/>
    <w:uiPriority w:val="0"/>
    <w:rPr>
      <w:rFonts w:ascii="Arial" w:hAnsi="Arial" w:eastAsia="仿宋" w:cs="仿宋"/>
      <w:b/>
      <w:kern w:val="2"/>
      <w:sz w:val="28"/>
      <w:szCs w:val="28"/>
    </w:rPr>
  </w:style>
  <w:style w:type="character" w:customStyle="1" w:styleId="62">
    <w:name w:val="日期 Char"/>
    <w:basedOn w:val="26"/>
    <w:link w:val="12"/>
    <w:qFormat/>
    <w:uiPriority w:val="0"/>
    <w:rPr>
      <w:kern w:val="2"/>
      <w:sz w:val="28"/>
      <w:szCs w:val="28"/>
    </w:rPr>
  </w:style>
  <w:style w:type="character" w:customStyle="1" w:styleId="63">
    <w:name w:val="批注主题 字符1"/>
    <w:basedOn w:val="56"/>
    <w:semiHidden/>
    <w:qFormat/>
    <w:uiPriority w:val="99"/>
    <w:rPr>
      <w:rFonts w:ascii="Times New Roman" w:hAnsi="Times New Roman" w:eastAsia="宋体" w:cs="Times New Roman"/>
      <w:b/>
      <w:kern w:val="2"/>
      <w:sz w:val="21"/>
      <w:szCs w:val="24"/>
    </w:rPr>
  </w:style>
  <w:style w:type="paragraph" w:customStyle="1" w:styleId="64">
    <w:name w:val="列出段落1"/>
    <w:basedOn w:val="1"/>
    <w:qFormat/>
    <w:uiPriority w:val="34"/>
    <w:pPr>
      <w:widowControl w:val="0"/>
      <w:ind w:firstLine="420" w:firstLineChars="200"/>
    </w:pPr>
    <w:rPr>
      <w:rFonts w:ascii="Times New Roman" w:hAnsi="Times New Roman" w:eastAsia="宋体" w:cs="Times New Roman"/>
      <w:sz w:val="21"/>
      <w:szCs w:val="24"/>
    </w:rPr>
  </w:style>
  <w:style w:type="character" w:customStyle="1" w:styleId="65">
    <w:name w:val="hover19"/>
    <w:basedOn w:val="26"/>
    <w:qFormat/>
    <w:uiPriority w:val="0"/>
    <w:rPr>
      <w:color w:val="FF6600"/>
    </w:rPr>
  </w:style>
  <w:style w:type="paragraph" w:customStyle="1" w:styleId="66">
    <w:name w:val="闻政-正文段落文字"/>
    <w:basedOn w:val="1"/>
    <w:qFormat/>
    <w:uiPriority w:val="0"/>
    <w:pPr>
      <w:widowControl w:val="0"/>
      <w:spacing w:line="500" w:lineRule="exact"/>
      <w:ind w:firstLine="200" w:firstLineChars="200"/>
    </w:pPr>
    <w:rPr>
      <w:rFonts w:ascii="Times New Roman" w:hAnsi="Times New Roman" w:eastAsia="仿宋_GB2312" w:cs="Times New Roman"/>
      <w:kern w:val="0"/>
    </w:rPr>
  </w:style>
  <w:style w:type="paragraph" w:customStyle="1" w:styleId="67">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 w:type="character" w:customStyle="1" w:styleId="68">
    <w:name w:val="未处理的提及1"/>
    <w:basedOn w:val="26"/>
    <w:semiHidden/>
    <w:unhideWhenUsed/>
    <w:qFormat/>
    <w:uiPriority w:val="99"/>
    <w:rPr>
      <w:color w:val="605E5C"/>
      <w:shd w:val="clear" w:color="auto" w:fill="E1DFDD"/>
    </w:rPr>
  </w:style>
  <w:style w:type="character" w:customStyle="1" w:styleId="69">
    <w:name w:val="未处理的提及2"/>
    <w:basedOn w:val="26"/>
    <w:semiHidden/>
    <w:unhideWhenUsed/>
    <w:qFormat/>
    <w:uiPriority w:val="99"/>
    <w:rPr>
      <w:color w:val="605E5C"/>
      <w:shd w:val="clear" w:color="auto" w:fill="E1DFDD"/>
    </w:rPr>
  </w:style>
  <w:style w:type="character" w:customStyle="1" w:styleId="70">
    <w:name w:val="未处理的提及3"/>
    <w:basedOn w:val="26"/>
    <w:semiHidden/>
    <w:unhideWhenUsed/>
    <w:qFormat/>
    <w:uiPriority w:val="99"/>
    <w:rPr>
      <w:color w:val="605E5C"/>
      <w:shd w:val="clear" w:color="auto" w:fill="E1DFDD"/>
    </w:rPr>
  </w:style>
  <w:style w:type="character" w:customStyle="1" w:styleId="71">
    <w:name w:val="font11"/>
    <w:basedOn w:val="26"/>
    <w:qFormat/>
    <w:uiPriority w:val="0"/>
    <w:rPr>
      <w:rFonts w:hint="eastAsia" w:ascii="仿宋" w:hAnsi="仿宋" w:eastAsia="仿宋"/>
      <w:b/>
      <w:bCs/>
      <w:color w:val="000000"/>
      <w:sz w:val="21"/>
      <w:szCs w:val="21"/>
      <w:u w:val="none"/>
    </w:rPr>
  </w:style>
  <w:style w:type="character" w:customStyle="1" w:styleId="72">
    <w:name w:val="font51"/>
    <w:basedOn w:val="26"/>
    <w:qFormat/>
    <w:uiPriority w:val="0"/>
    <w:rPr>
      <w:rFonts w:hint="eastAsia" w:ascii="仿宋" w:hAnsi="仿宋" w:eastAsia="仿宋" w:cs="仿宋"/>
      <w:color w:val="000000"/>
      <w:sz w:val="20"/>
      <w:szCs w:val="20"/>
      <w:u w:val="none"/>
    </w:rPr>
  </w:style>
  <w:style w:type="character" w:customStyle="1" w:styleId="73">
    <w:name w:val="副标题 Char"/>
    <w:basedOn w:val="26"/>
    <w:link w:val="17"/>
    <w:qFormat/>
    <w:uiPriority w:val="11"/>
    <w:rPr>
      <w:rFonts w:eastAsia="仿宋" w:asciiTheme="minorHAnsi" w:hAnsiTheme="minorHAnsi" w:cstheme="minorBidi"/>
      <w:bCs/>
      <w:kern w:val="28"/>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3.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1.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098"/>
    <customShpInfo spid="_x0000_s4097"/>
    <customShpInfo spid="_x0000_s4100"/>
    <customShpInfo spid="_x0000_s4099"/>
    <customShpInfo spid="_x0000_s4102"/>
    <customShpInfo spid="_x0000_s4101"/>
    <customShpInfo spid="_x0000_s4103"/>
    <customShpInfo spid="_x0000_s4104"/>
    <customShpInfo spid="_x0000_s4105"/>
    <customShpInfo spid="_x0000_s4107"/>
    <customShpInfo spid="_x0000_s410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ED957F-4A04-4D33-8E25-09C5F451C2A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6821</Words>
  <Characters>7600</Characters>
  <Lines>433</Lines>
  <Paragraphs>122</Paragraphs>
  <TotalTime>4</TotalTime>
  <ScaleCrop>false</ScaleCrop>
  <LinksUpToDate>false</LinksUpToDate>
  <CharactersWithSpaces>7857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2014-11-24T00:28:00Z</dcterms:created>
  <dc:creator>xue</dc:creator>
  <cp:lastModifiedBy>往事如风</cp:lastModifiedBy>
  <cp:lastPrinted>2020-11-09T02:46:00Z</cp:lastPrinted>
  <dcterms:modified xsi:type="dcterms:W3CDTF">2025-01-17T09:17:06Z</dcterms:modified>
  <dc:title>山西省2010-2012年电力需求侧管理项目</dc:title>
  <cp:revision>9077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0EC2D95B6CB24F6C930BE550BD561F21_13</vt:lpwstr>
  </property>
  <property fmtid="{D5CDD505-2E9C-101B-9397-08002B2CF9AE}" pid="4" name="KSOTemplateDocerSaveRecord">
    <vt:lpwstr>eyJoZGlkIjoiZjQwMjQ3ZjQ5Yjg1NGU2ZjAwZjhkMGYyNTg4YmM5ZGEiLCJ1c2VySWQiOiI5NTIxOTE5NTIifQ==</vt:lpwstr>
  </property>
</Properties>
</file>