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body>
    <w:p w14:paraId="1A64BA08">
      <w:pPr>
        <w:spacing w:beforeLines="100"/>
        <w:jc w:val="both"/>
        <w:rPr>
          <w:rFonts w:ascii="Times New Roman" w:hAnsi="Times New Roman" w:eastAsia="方正小标宋简体" w:cs="Times New Roman"/>
          <w:sz w:val="44"/>
          <w:szCs w:val="44"/>
        </w:rPr>
      </w:pPr>
    </w:p>
    <w:p w14:paraId="2483784F">
      <w:pPr>
        <w:spacing w:line="800" w:lineRule="exact"/>
        <w:jc w:val="center"/>
        <w:rPr>
          <w:rFonts w:ascii="Times New Roman" w:hAnsi="Times New Roman" w:eastAsia="方正小标宋简体" w:cs="Times New Roman"/>
          <w:spacing w:val="0"/>
          <w:w w:val="95"/>
          <w:sz w:val="44"/>
          <w:szCs w:val="44"/>
        </w:rPr>
      </w:pPr>
      <w:r>
        <w:rPr>
          <w:rFonts w:ascii="Times New Roman" w:hAnsi="Times New Roman" w:eastAsia="方正小标宋简体" w:cs="Times New Roman"/>
          <w:spacing w:val="0"/>
          <w:w w:val="95"/>
          <w:sz w:val="44"/>
          <w:szCs w:val="44"/>
        </w:rPr>
        <w:t>永济市国民经济和社会发展</w:t>
      </w:r>
    </w:p>
    <w:p w14:paraId="70FFBE17">
      <w:pPr>
        <w:spacing w:line="800" w:lineRule="exact"/>
        <w:jc w:val="center"/>
        <w:rPr>
          <w:rFonts w:ascii="Times New Roman" w:hAnsi="Times New Roman" w:eastAsia="方正小标宋简体" w:cs="Times New Roman"/>
          <w:spacing w:val="0"/>
          <w:w w:val="95"/>
          <w:sz w:val="44"/>
          <w:szCs w:val="44"/>
        </w:rPr>
      </w:pPr>
      <w:r>
        <w:rPr>
          <w:rFonts w:ascii="Times New Roman" w:hAnsi="Times New Roman" w:eastAsia="方正小标宋简体" w:cs="Times New Roman"/>
          <w:spacing w:val="0"/>
          <w:w w:val="95"/>
          <w:sz w:val="44"/>
          <w:szCs w:val="44"/>
        </w:rPr>
        <w:t>第十四个五年规划和二〇三五年远景目标纲要</w:t>
      </w:r>
    </w:p>
    <w:p w14:paraId="27E90527">
      <w:pPr>
        <w:pStyle w:val="17"/>
        <w:jc w:val="both"/>
        <w:rPr>
          <w:rFonts w:ascii="Times New Roman" w:hAnsi="Times New Roman"/>
        </w:rPr>
      </w:pPr>
    </w:p>
    <w:p w14:paraId="7CF52FA8">
      <w:pPr>
        <w:pStyle w:val="17"/>
        <w:jc w:val="both"/>
        <w:rPr>
          <w:rFonts w:ascii="Times New Roman" w:hAnsi="Times New Roman"/>
        </w:rPr>
      </w:pPr>
    </w:p>
    <w:p w14:paraId="484D5F11">
      <w:pPr>
        <w:pStyle w:val="17"/>
        <w:jc w:val="both"/>
        <w:rPr>
          <w:rFonts w:ascii="Times New Roman" w:hAnsi="Times New Roman"/>
        </w:rPr>
      </w:pPr>
    </w:p>
    <w:p w14:paraId="022D3AED">
      <w:pPr>
        <w:pStyle w:val="17"/>
        <w:jc w:val="both"/>
        <w:rPr>
          <w:rFonts w:ascii="Times New Roman" w:hAnsi="Times New Roman"/>
        </w:rPr>
      </w:pPr>
    </w:p>
    <w:p w14:paraId="7F583D7A">
      <w:pPr>
        <w:pStyle w:val="17"/>
        <w:jc w:val="both"/>
        <w:rPr>
          <w:rFonts w:ascii="Times New Roman" w:hAnsi="Times New Roman"/>
        </w:rPr>
      </w:pPr>
    </w:p>
    <w:p w14:paraId="71CE5606">
      <w:pPr>
        <w:pStyle w:val="17"/>
        <w:jc w:val="both"/>
        <w:rPr>
          <w:rFonts w:ascii="Times New Roman" w:hAnsi="Times New Roman"/>
        </w:rPr>
      </w:pPr>
    </w:p>
    <w:p w14:paraId="57D9C715">
      <w:pPr>
        <w:pStyle w:val="17"/>
        <w:jc w:val="both"/>
        <w:rPr>
          <w:rFonts w:ascii="Times New Roman" w:hAnsi="Times New Roman"/>
        </w:rPr>
      </w:pPr>
    </w:p>
    <w:p w14:paraId="4CEE7FD9">
      <w:pPr>
        <w:pStyle w:val="17"/>
        <w:jc w:val="both"/>
        <w:rPr>
          <w:rFonts w:ascii="Times New Roman" w:hAnsi="Times New Roman"/>
        </w:rPr>
      </w:pPr>
    </w:p>
    <w:p w14:paraId="50595E8A">
      <w:pPr>
        <w:pStyle w:val="17"/>
        <w:jc w:val="both"/>
        <w:rPr>
          <w:rFonts w:ascii="Times New Roman" w:hAnsi="Times New Roman"/>
        </w:rPr>
      </w:pPr>
    </w:p>
    <w:p w14:paraId="0D886F1F">
      <w:pPr>
        <w:pStyle w:val="17"/>
        <w:jc w:val="both"/>
        <w:rPr>
          <w:rFonts w:ascii="Times New Roman" w:hAnsi="Times New Roman"/>
        </w:rPr>
      </w:pPr>
    </w:p>
    <w:p w14:paraId="44498ED0">
      <w:pPr>
        <w:pStyle w:val="17"/>
        <w:jc w:val="both"/>
        <w:rPr>
          <w:rFonts w:ascii="Times New Roman" w:hAnsi="Times New Roman"/>
        </w:rPr>
      </w:pPr>
    </w:p>
    <w:p w14:paraId="3D62EC26">
      <w:pPr>
        <w:pStyle w:val="17"/>
        <w:jc w:val="both"/>
        <w:rPr>
          <w:rFonts w:ascii="Times New Roman" w:hAnsi="Times New Roman"/>
        </w:rPr>
      </w:pPr>
    </w:p>
    <w:p w14:paraId="760A74A0">
      <w:pPr>
        <w:pStyle w:val="17"/>
        <w:jc w:val="both"/>
        <w:rPr>
          <w:rFonts w:ascii="Times New Roman" w:hAnsi="Times New Roman"/>
        </w:rPr>
      </w:pPr>
    </w:p>
    <w:p w14:paraId="081F8FA0">
      <w:pPr>
        <w:pStyle w:val="17"/>
        <w:jc w:val="both"/>
        <w:rPr>
          <w:rFonts w:ascii="Times New Roman" w:hAnsi="Times New Roman"/>
        </w:rPr>
      </w:pPr>
    </w:p>
    <w:p w14:paraId="3E82BB92">
      <w:pPr>
        <w:pStyle w:val="17"/>
        <w:jc w:val="both"/>
        <w:rPr>
          <w:rFonts w:ascii="Times New Roman" w:hAnsi="Times New Roman"/>
        </w:rPr>
      </w:pPr>
    </w:p>
    <w:p w14:paraId="275FB81D">
      <w:pPr>
        <w:pStyle w:val="17"/>
        <w:jc w:val="both"/>
        <w:rPr>
          <w:rFonts w:ascii="Times New Roman" w:hAnsi="Times New Roman"/>
        </w:rPr>
      </w:pPr>
    </w:p>
    <w:p w14:paraId="7CD722F9">
      <w:pPr>
        <w:pStyle w:val="17"/>
        <w:jc w:val="both"/>
        <w:rPr>
          <w:rFonts w:ascii="Times New Roman" w:hAnsi="Times New Roman"/>
        </w:rPr>
      </w:pPr>
    </w:p>
    <w:p w14:paraId="7E7A77DA">
      <w:pPr>
        <w:pStyle w:val="17"/>
        <w:jc w:val="both"/>
        <w:rPr>
          <w:rFonts w:ascii="Times New Roman" w:hAnsi="Times New Roman"/>
        </w:rPr>
      </w:pPr>
    </w:p>
    <w:p w14:paraId="29FBFB12">
      <w:pPr>
        <w:pStyle w:val="17"/>
        <w:jc w:val="both"/>
        <w:rPr>
          <w:rFonts w:ascii="Times New Roman" w:hAnsi="Times New Roman"/>
        </w:rPr>
      </w:pPr>
    </w:p>
    <w:p w14:paraId="51B10240">
      <w:pPr>
        <w:pStyle w:val="17"/>
        <w:jc w:val="both"/>
        <w:rPr>
          <w:rFonts w:ascii="Times New Roman" w:hAnsi="Times New Roman"/>
        </w:rPr>
      </w:pPr>
    </w:p>
    <w:p w14:paraId="3DF05D9F">
      <w:pPr>
        <w:pStyle w:val="8"/>
        <w:ind w:left="0" w:leftChars="0" w:firstLine="0" w:firstLineChars="0"/>
        <w:jc w:val="both"/>
      </w:pPr>
    </w:p>
    <w:p w14:paraId="0A296D25">
      <w:pPr>
        <w:pStyle w:val="9"/>
      </w:pPr>
    </w:p>
    <w:p w14:paraId="3C8B5C56">
      <w:pPr>
        <w:pStyle w:val="8"/>
        <w:jc w:val="both"/>
        <w:rPr>
          <w:rFonts w:ascii="Times New Roman" w:hAnsi="Times New Roman" w:cs="Times New Roman"/>
        </w:rPr>
      </w:pPr>
    </w:p>
    <w:p w14:paraId="262DEEC4">
      <w:pPr>
        <w:pStyle w:val="17"/>
        <w:ind w:firstLine="0"/>
        <w:jc w:val="center"/>
        <w:rPr>
          <w:rFonts w:hint="eastAsia" w:ascii="黑体" w:hAnsi="黑体" w:eastAsia="黑体" w:cs="黑体"/>
          <w:sz w:val="32"/>
          <w:szCs w:val="32"/>
        </w:rPr>
      </w:pPr>
      <w:r>
        <w:rPr>
          <w:rFonts w:hint="eastAsia" w:ascii="黑体" w:hAnsi="黑体" w:eastAsia="黑体" w:cs="黑体"/>
          <w:sz w:val="32"/>
          <w:szCs w:val="32"/>
        </w:rPr>
        <w:t>2021年4月</w:t>
      </w:r>
    </w:p>
    <w:p w14:paraId="1722A34D">
      <w:pPr>
        <w:pStyle w:val="17"/>
        <w:ind w:firstLine="0"/>
        <w:jc w:val="center"/>
        <w:rPr>
          <w:rFonts w:ascii="Times New Roman" w:hAnsi="Times New Roman" w:eastAsia="楷体_GB2312"/>
          <w:sz w:val="36"/>
          <w:szCs w:val="36"/>
        </w:rPr>
        <w:sectPr>
          <w:pgSz w:w="11906" w:h="16838"/>
          <w:pgMar w:top="1984" w:right="1803" w:bottom="1814" w:left="1474" w:header="851" w:footer="992" w:gutter="0"/>
          <w:pgNumType w:start="1"/>
          <w:cols w:space="0" w:num="1"/>
          <w:rtlGutter w:val="0"/>
          <w:docGrid w:type="lines" w:linePitch="318" w:charSpace="0"/>
        </w:sectPr>
      </w:pPr>
    </w:p>
    <w:p w14:paraId="701D0E8A">
      <w:pPr>
        <w:jc w:val="both"/>
        <w:rPr>
          <w:rFonts w:hint="default" w:ascii="Times New Roman" w:hAnsi="Times New Roman" w:eastAsia="方正小标宋简体" w:cs="Times New Roman"/>
          <w:sz w:val="36"/>
          <w:szCs w:val="36"/>
        </w:rPr>
      </w:pPr>
      <w:bookmarkStart w:id="0" w:name="_Toc14247"/>
      <w:bookmarkStart w:id="1" w:name="_Toc10112"/>
    </w:p>
    <w:p w14:paraId="6ECBB8B5">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目    录</w:t>
      </w:r>
    </w:p>
    <w:p w14:paraId="372E23FE">
      <w:pPr>
        <w:pStyle w:val="17"/>
        <w:jc w:val="both"/>
        <w:rPr>
          <w:rFonts w:hint="default" w:ascii="Times New Roman" w:hAnsi="Times New Roman" w:cs="Times New Roman"/>
        </w:rPr>
      </w:pPr>
    </w:p>
    <w:p w14:paraId="52133E32">
      <w:pPr>
        <w:pStyle w:val="13"/>
        <w:jc w:val="both"/>
        <w:rPr>
          <w:rFonts w:hint="default" w:ascii="Times New Roman" w:hAnsi="Times New Roman" w:eastAsia="宋体" w:cs="Times New Roman"/>
          <w:kern w:val="2"/>
          <w:lang w:bidi="ar-SA"/>
        </w:rPr>
      </w:pPr>
      <w:r>
        <w:rPr>
          <w:rFonts w:hint="default" w:ascii="Times New Roman" w:hAnsi="Times New Roman" w:cs="Times New Roman"/>
        </w:rPr>
        <w:fldChar w:fldCharType="begin"/>
      </w:r>
      <w:r>
        <w:rPr>
          <w:rFonts w:hint="default" w:ascii="Times New Roman" w:hAnsi="Times New Roman" w:cs="Times New Roman"/>
        </w:rPr>
        <w:instrText xml:space="preserve">TOC \o "1-2" \h \u </w:instrText>
      </w:r>
      <w:r>
        <w:rPr>
          <w:rFonts w:hint="default" w:ascii="Times New Roman" w:hAnsi="Times New Roman" w:cs="Times New Roman"/>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"_Toc68253223" </w:instrText>
      </w:r>
      <w:r>
        <w:rPr>
          <w:rFonts w:hint="default" w:ascii="Times New Roman" w:hAnsi="Times New Roman" w:cs="Times New Roman"/>
        </w:rPr>
        <w:fldChar w:fldCharType="separate"/>
      </w:r>
      <w:r>
        <w:rPr>
          <w:rStyle w:val="22"/>
          <w:rFonts w:hint="default" w:ascii="Times New Roman" w:hAnsi="Times New Roman" w:cs="Times New Roman"/>
          <w:spacing w:val="-6"/>
        </w:rPr>
        <w:t>第一章  扛起历史使命，奋力蹚出一条高质量转型发展新路</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_Toc68253223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14:paraId="1DF78DF9">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"_Toc68253224" </w:instrText>
      </w:r>
      <w:r>
        <w:rPr>
          <w:rFonts w:hint="default" w:ascii="Times New Roman" w:hAnsi="Times New Roman" w:cs="Times New Roman"/>
        </w:rPr>
        <w:fldChar w:fldCharType="separate"/>
      </w:r>
      <w:r>
        <w:rPr>
          <w:rStyle w:val="22"/>
          <w:rFonts w:hint="default" w:ascii="Times New Roman" w:hAnsi="Times New Roman" w:eastAsia="楷体_GB2312" w:cs="Times New Roman"/>
          <w:sz w:val="30"/>
          <w:szCs w:val="30"/>
        </w:rPr>
        <w:t>第一节  发展回顾</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_Toc68253224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2</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14:paraId="6498C5BF">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"_Toc68253225"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第二节  发展环境</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_Toc68253225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8</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14:paraId="24874E17">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"_Toc68253226"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第三节  指导思想</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_Toc68253226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11</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14:paraId="68621D75">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"_Toc68253227"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第四节  战略定位</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_Toc68253227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12</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14:paraId="68BB44E0">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"_Toc68253228"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第五节  发展目标</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_Toc68253228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15</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14:paraId="4F54B90C">
      <w:pPr>
        <w:pStyle w:val="13"/>
        <w:jc w:val="both"/>
        <w:rPr>
          <w:rFonts w:hint="default" w:ascii="Times New Roman" w:hAnsi="Times New Roman" w:eastAsia="宋体" w:cs="Times New Roman"/>
          <w:kern w:val="2"/>
          <w:lang w:bidi="ar-SA"/>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"_Toc68253229" </w:instrText>
      </w:r>
      <w:r>
        <w:rPr>
          <w:rFonts w:hint="default" w:ascii="Times New Roman" w:hAnsi="Times New Roman" w:cs="Times New Roman"/>
        </w:rPr>
        <w:fldChar w:fldCharType="separate"/>
      </w:r>
      <w:r>
        <w:rPr>
          <w:rStyle w:val="22"/>
          <w:rFonts w:hint="default" w:ascii="Times New Roman" w:hAnsi="Times New Roman" w:cs="Times New Roman"/>
        </w:rPr>
        <w:t>第二章  持续扩大投资消费，锻造高质量转型发展新引擎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_Toc68253229 \h </w:instrText>
      </w:r>
      <w:r>
        <w:rPr>
          <w:rFonts w:hint="default" w:ascii="Times New Roman" w:hAnsi="Times New Roman" w:cs="Times New Roman"/>
        </w:rPr>
        <w:fldChar w:fldCharType="separate"/>
      </w:r>
      <w:r>
        <w:rPr>
          <w:rFonts w:hint="default" w:ascii="Times New Roman" w:hAnsi="Times New Roman" w:cs="Times New Roman"/>
        </w:rPr>
        <w:t>22</w:t>
      </w:r>
      <w:r>
        <w:rPr>
          <w:rFonts w:hint="default" w:ascii="Times New Roman" w:hAnsi="Times New Roman" w:cs="Times New Roman"/>
        </w:rPr>
        <w:fldChar w:fldCharType="end"/>
      </w:r>
      <w:r>
        <w:rPr>
          <w:rFonts w:hint="default" w:ascii="Times New Roman" w:hAnsi="Times New Roman" w:cs="Times New Roman"/>
        </w:rPr>
        <w:fldChar w:fldCharType="end"/>
      </w:r>
    </w:p>
    <w:p w14:paraId="279E04CE">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"_Toc68253230" </w:instrText>
      </w:r>
      <w:r>
        <w:rPr>
          <w:rFonts w:hint="default" w:ascii="Times New Roman" w:hAnsi="Times New Roman" w:cs="Times New Roman"/>
        </w:rPr>
        <w:fldChar w:fldCharType="separate"/>
      </w:r>
      <w:r>
        <w:rPr>
          <w:rStyle w:val="22"/>
          <w:rFonts w:hint="default" w:ascii="Times New Roman" w:hAnsi="Times New Roman" w:eastAsia="楷体_GB2312" w:cs="Times New Roman"/>
          <w:sz w:val="30"/>
          <w:szCs w:val="30"/>
        </w:rPr>
        <w:t>第一节  全力推进招商引资</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_Toc68253230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22</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14:paraId="7C236767">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"_Toc68253231" </w:instrText>
      </w:r>
      <w:r>
        <w:rPr>
          <w:rFonts w:hint="default" w:ascii="Times New Roman" w:hAnsi="Times New Roman" w:cs="Times New Roman"/>
        </w:rPr>
        <w:fldChar w:fldCharType="separate"/>
      </w:r>
      <w:r>
        <w:rPr>
          <w:rStyle w:val="22"/>
          <w:rFonts w:hint="default" w:ascii="Times New Roman" w:hAnsi="Times New Roman" w:eastAsia="楷体_GB2312" w:cs="Times New Roman"/>
          <w:sz w:val="30"/>
          <w:szCs w:val="30"/>
        </w:rPr>
        <w:t>第二节  深度拓展投资空间</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_Toc68253231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23</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14:paraId="5FD931A1">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"_Toc68253232"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第三节  建设区域消费中心</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_Toc68253232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25</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14:paraId="0F303C06">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"_Toc68253233"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第四节  持续优化营商环境</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_Toc68253233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27</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14:paraId="00CA1A85">
      <w:pPr>
        <w:pStyle w:val="13"/>
        <w:jc w:val="both"/>
        <w:rPr>
          <w:rFonts w:hint="default" w:ascii="Times New Roman" w:hAnsi="Times New Roman" w:eastAsia="宋体" w:cs="Times New Roman"/>
          <w:kern w:val="2"/>
          <w:lang w:bidi="ar-SA"/>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"_Toc68253234" </w:instrText>
      </w:r>
      <w:r>
        <w:rPr>
          <w:rFonts w:hint="default" w:ascii="Times New Roman" w:hAnsi="Times New Roman" w:cs="Times New Roman"/>
        </w:rPr>
        <w:fldChar w:fldCharType="separate"/>
      </w:r>
      <w:r>
        <w:rPr>
          <w:rStyle w:val="22"/>
          <w:rFonts w:hint="default" w:ascii="Times New Roman" w:hAnsi="Times New Roman" w:cs="Times New Roman"/>
        </w:rPr>
        <w:t>第三章  深入实施工业强市战略，全面构建现代产业体系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_Toc68253234 \h </w:instrText>
      </w:r>
      <w:r>
        <w:rPr>
          <w:rFonts w:hint="default" w:ascii="Times New Roman" w:hAnsi="Times New Roman" w:cs="Times New Roman"/>
        </w:rPr>
        <w:fldChar w:fldCharType="separate"/>
      </w:r>
      <w:r>
        <w:rPr>
          <w:rFonts w:hint="default" w:ascii="Times New Roman" w:hAnsi="Times New Roman" w:cs="Times New Roman"/>
        </w:rPr>
        <w:t>30</w:t>
      </w:r>
      <w:r>
        <w:rPr>
          <w:rFonts w:hint="default" w:ascii="Times New Roman" w:hAnsi="Times New Roman" w:cs="Times New Roman"/>
        </w:rPr>
        <w:fldChar w:fldCharType="end"/>
      </w:r>
      <w:r>
        <w:rPr>
          <w:rFonts w:hint="default" w:ascii="Times New Roman" w:hAnsi="Times New Roman" w:cs="Times New Roman"/>
        </w:rPr>
        <w:fldChar w:fldCharType="end"/>
      </w:r>
    </w:p>
    <w:p w14:paraId="596DDDAF">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"_Toc68253235"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第一节  构建“六强五新”产业格局</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_Toc68253235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30</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14:paraId="59A2D0A2">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"_Toc68253236"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第二节  打造一批百亿级产业集群</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_Toc68253236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33</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14:paraId="26B62BFC">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"_Toc68253237"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第三节  加快发展现代服务业</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_Toc68253237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38</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14:paraId="1DF5C823">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"_Toc68253238"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第四节  建设运城数字经济先行区</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_Toc68253238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40</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14:paraId="6EAEC751">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"_Toc68253239"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第五节  大力支持开发区发展</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_Toc68253239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41</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14:paraId="4E7B41D6">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"_Toc68253240"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第六节  壮大企业主体群落</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_Toc68253240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43</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14:paraId="738CF8AC">
      <w:pPr>
        <w:pStyle w:val="13"/>
        <w:jc w:val="both"/>
        <w:rPr>
          <w:rFonts w:hint="default" w:ascii="Times New Roman" w:hAnsi="Times New Roman" w:eastAsia="宋体" w:cs="Times New Roman"/>
          <w:kern w:val="2"/>
          <w:lang w:bidi="ar-SA"/>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"_Toc68253241" </w:instrText>
      </w:r>
      <w:r>
        <w:rPr>
          <w:rFonts w:hint="default" w:ascii="Times New Roman" w:hAnsi="Times New Roman" w:cs="Times New Roman"/>
        </w:rPr>
        <w:fldChar w:fldCharType="separate"/>
      </w:r>
      <w:r>
        <w:rPr>
          <w:rStyle w:val="22"/>
          <w:rFonts w:hint="default" w:ascii="Times New Roman" w:hAnsi="Times New Roman" w:cs="Times New Roman"/>
        </w:rPr>
        <w:t>第四章  深入实施乡村振兴战略，建设国家现代农业示范区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_Toc68253241 \h </w:instrText>
      </w:r>
      <w:r>
        <w:rPr>
          <w:rFonts w:hint="default" w:ascii="Times New Roman" w:hAnsi="Times New Roman" w:cs="Times New Roman"/>
        </w:rPr>
        <w:fldChar w:fldCharType="separate"/>
      </w:r>
      <w:r>
        <w:rPr>
          <w:rFonts w:hint="default" w:ascii="Times New Roman" w:hAnsi="Times New Roman" w:cs="Times New Roman"/>
        </w:rPr>
        <w:t>46</w:t>
      </w:r>
      <w:r>
        <w:rPr>
          <w:rFonts w:hint="default" w:ascii="Times New Roman" w:hAnsi="Times New Roman" w:cs="Times New Roman"/>
        </w:rPr>
        <w:fldChar w:fldCharType="end"/>
      </w:r>
      <w:r>
        <w:rPr>
          <w:rFonts w:hint="default" w:ascii="Times New Roman" w:hAnsi="Times New Roman" w:cs="Times New Roman"/>
        </w:rPr>
        <w:fldChar w:fldCharType="end"/>
      </w:r>
    </w:p>
    <w:p w14:paraId="68A244CE">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"_Toc68253242"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第一节  做大做强八大农业优势基地</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_Toc68253242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46</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14:paraId="7837EAFC">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"_Toc68253243"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第二节  打造四大特色精深加工集群</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_Toc68253243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49</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14:paraId="312A7CFB">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"_Toc68253244"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第三节  提升农业发展质量和效益</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_Toc68253244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51</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14:paraId="3D14EBCE">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"_Toc68253245"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第四节  深入实施乡村建设行动</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_Toc68253245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55</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14:paraId="75357386">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"_Toc68253246"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第五节  全面深化农业农村改革</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_Toc68253246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57</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14:paraId="354998EF">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"_Toc68253247"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第六节  持续巩固脱贫攻坚成果</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_Toc68253247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60</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14:paraId="28636713">
      <w:pPr>
        <w:pStyle w:val="13"/>
        <w:jc w:val="both"/>
        <w:rPr>
          <w:rFonts w:hint="default" w:ascii="Times New Roman" w:hAnsi="Times New Roman" w:eastAsia="宋体" w:cs="Times New Roman"/>
          <w:kern w:val="2"/>
          <w:lang w:bidi="ar-SA"/>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"_Toc68253248" </w:instrText>
      </w:r>
      <w:r>
        <w:rPr>
          <w:rFonts w:hint="default" w:ascii="Times New Roman" w:hAnsi="Times New Roman" w:cs="Times New Roman"/>
        </w:rPr>
        <w:fldChar w:fldCharType="separate"/>
      </w:r>
      <w:r>
        <w:rPr>
          <w:rStyle w:val="22"/>
          <w:rFonts w:hint="default" w:ascii="Times New Roman" w:hAnsi="Times New Roman" w:cs="Times New Roman"/>
        </w:rPr>
        <w:t>第五章  放大旅游资源优势，加快建设国家级旅游度假区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_Toc68253248 \h </w:instrText>
      </w:r>
      <w:r>
        <w:rPr>
          <w:rFonts w:hint="default" w:ascii="Times New Roman" w:hAnsi="Times New Roman" w:cs="Times New Roman"/>
        </w:rPr>
        <w:fldChar w:fldCharType="separate"/>
      </w:r>
      <w:r>
        <w:rPr>
          <w:rFonts w:hint="default" w:ascii="Times New Roman" w:hAnsi="Times New Roman" w:cs="Times New Roman"/>
        </w:rPr>
        <w:t>62</w:t>
      </w:r>
      <w:r>
        <w:rPr>
          <w:rFonts w:hint="default" w:ascii="Times New Roman" w:hAnsi="Times New Roman" w:cs="Times New Roman"/>
        </w:rPr>
        <w:fldChar w:fldCharType="end"/>
      </w:r>
      <w:r>
        <w:rPr>
          <w:rFonts w:hint="default" w:ascii="Times New Roman" w:hAnsi="Times New Roman" w:cs="Times New Roman"/>
        </w:rPr>
        <w:fldChar w:fldCharType="end"/>
      </w:r>
    </w:p>
    <w:p w14:paraId="688911A4">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"_Toc68253249"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第一节  优化旅游发展格局</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_Toc68253249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62</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14:paraId="2D3679ED">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"_Toc68253250"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第二节  完善旅游要素链条</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_Toc68253250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66</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14:paraId="2CC3F87D">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"_Toc68253251"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第三节  推进文化旅游深度融合</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_Toc68253251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68</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14:paraId="55B8DF1D">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"_Toc68253252"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第四节  建设市域公共文化高地</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_Toc68253252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71</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14:paraId="283FD6BF">
      <w:pPr>
        <w:pStyle w:val="14"/>
        <w:tabs>
          <w:tab w:val="right" w:leader="dot" w:pos="8296"/>
        </w:tabs>
        <w:ind w:left="0" w:leftChars="0"/>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"_Toc68253253" </w:instrText>
      </w:r>
      <w:r>
        <w:rPr>
          <w:rFonts w:hint="default" w:ascii="Times New Roman" w:hAnsi="Times New Roman" w:cs="Times New Roman"/>
        </w:rPr>
        <w:fldChar w:fldCharType="separate"/>
      </w:r>
      <w:r>
        <w:rPr>
          <w:rStyle w:val="22"/>
          <w:rFonts w:hint="default" w:ascii="Times New Roman" w:hAnsi="Times New Roman" w:eastAsia="黑体" w:cs="Times New Roman"/>
          <w:spacing w:val="-6"/>
          <w:sz w:val="30"/>
          <w:szCs w:val="30"/>
        </w:rPr>
        <w:t>第六章  大力提升城市品质，建设中国北方美丽宜居山水城市</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_Toc68253253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73</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14:paraId="51281B66">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"_Toc68253254"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第一节  构建新型城镇化发展格局</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_Toc68253254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73</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14:paraId="0BAA9B7B">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"_Toc68253255"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第二节  全面推进城市更新</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_Toc68253255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76</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14:paraId="3959A470">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"_Toc68253256"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第三节  推进城市治理现代化</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_Toc68253256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78</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14:paraId="4BA4A54A">
      <w:pPr>
        <w:pStyle w:val="13"/>
        <w:jc w:val="both"/>
        <w:rPr>
          <w:rFonts w:hint="default" w:ascii="Times New Roman" w:hAnsi="Times New Roman" w:eastAsia="宋体" w:cs="Times New Roman"/>
          <w:kern w:val="2"/>
          <w:lang w:bidi="ar-SA"/>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"_Toc68253257" </w:instrText>
      </w:r>
      <w:r>
        <w:rPr>
          <w:rFonts w:hint="default" w:ascii="Times New Roman" w:hAnsi="Times New Roman" w:cs="Times New Roman"/>
        </w:rPr>
        <w:fldChar w:fldCharType="separate"/>
      </w:r>
      <w:r>
        <w:rPr>
          <w:rStyle w:val="22"/>
          <w:rFonts w:hint="default" w:ascii="Times New Roman" w:hAnsi="Times New Roman" w:cs="Times New Roman"/>
        </w:rPr>
        <w:t>第七章  厚植绿色发展底蕴，创建国家生态文明建设示范区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_Toc68253257 \h </w:instrText>
      </w:r>
      <w:r>
        <w:rPr>
          <w:rFonts w:hint="default" w:ascii="Times New Roman" w:hAnsi="Times New Roman" w:cs="Times New Roman"/>
        </w:rPr>
        <w:fldChar w:fldCharType="separate"/>
      </w:r>
      <w:r>
        <w:rPr>
          <w:rFonts w:hint="default" w:ascii="Times New Roman" w:hAnsi="Times New Roman" w:cs="Times New Roman"/>
        </w:rPr>
        <w:t>81</w:t>
      </w:r>
      <w:r>
        <w:rPr>
          <w:rFonts w:hint="default" w:ascii="Times New Roman" w:hAnsi="Times New Roman" w:cs="Times New Roman"/>
        </w:rPr>
        <w:fldChar w:fldCharType="end"/>
      </w:r>
      <w:r>
        <w:rPr>
          <w:rFonts w:hint="default" w:ascii="Times New Roman" w:hAnsi="Times New Roman" w:cs="Times New Roman"/>
        </w:rPr>
        <w:fldChar w:fldCharType="end"/>
      </w:r>
    </w:p>
    <w:p w14:paraId="7534C962">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"_Toc68253258"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第一节  加强黄河流域生态保护</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_Toc68253258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81</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14:paraId="27F2D6B2">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"_Toc68253259"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第二节  加强伍姓湖修复治理</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_Toc68253259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84</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14:paraId="34B9B86E">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"_Toc68253260"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第三节  深入推进污染防治</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_Toc68253260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86</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14:paraId="39F18632">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"_Toc68253261"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第四节  加快形成绿色发展和生活方式</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_Toc68253261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88</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14:paraId="488BF787">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"_Toc68253262"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第五节  健全生态文明制度体系</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_Toc68253262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89</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14:paraId="40CFA767">
      <w:pPr>
        <w:pStyle w:val="13"/>
        <w:jc w:val="both"/>
        <w:rPr>
          <w:rFonts w:hint="default" w:ascii="Times New Roman" w:hAnsi="Times New Roman" w:eastAsia="宋体" w:cs="Times New Roman"/>
          <w:kern w:val="2"/>
          <w:lang w:bidi="ar-SA"/>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"_Toc68253263" </w:instrText>
      </w:r>
      <w:r>
        <w:rPr>
          <w:rFonts w:hint="default" w:ascii="Times New Roman" w:hAnsi="Times New Roman" w:cs="Times New Roman"/>
        </w:rPr>
        <w:fldChar w:fldCharType="separate"/>
      </w:r>
      <w:r>
        <w:rPr>
          <w:rStyle w:val="22"/>
          <w:rFonts w:hint="default" w:ascii="Times New Roman" w:hAnsi="Times New Roman" w:cs="Times New Roman"/>
        </w:rPr>
        <w:t>第八章  全面深化改革创新，增强发展内生动力和活力</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_Toc68253263 \h </w:instrText>
      </w:r>
      <w:r>
        <w:rPr>
          <w:rFonts w:hint="default" w:ascii="Times New Roman" w:hAnsi="Times New Roman" w:cs="Times New Roman"/>
        </w:rPr>
        <w:fldChar w:fldCharType="separate"/>
      </w:r>
      <w:r>
        <w:rPr>
          <w:rFonts w:hint="default" w:ascii="Times New Roman" w:hAnsi="Times New Roman" w:cs="Times New Roman"/>
        </w:rPr>
        <w:t>91</w:t>
      </w:r>
      <w:r>
        <w:rPr>
          <w:rFonts w:hint="default" w:ascii="Times New Roman" w:hAnsi="Times New Roman" w:cs="Times New Roman"/>
        </w:rPr>
        <w:fldChar w:fldCharType="end"/>
      </w:r>
      <w:r>
        <w:rPr>
          <w:rFonts w:hint="default" w:ascii="Times New Roman" w:hAnsi="Times New Roman" w:cs="Times New Roman"/>
        </w:rPr>
        <w:fldChar w:fldCharType="end"/>
      </w:r>
    </w:p>
    <w:p w14:paraId="6B6B68B3">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"_Toc68253264"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第一节  深化重点领域改革</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_Toc68253264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91</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14:paraId="308910A8">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"_Toc68253265"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第二节  构建高水平开放格局</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_Toc68253265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92</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14:paraId="7DCBA1C5">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"_Toc68253266"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第三节  打好“六新”攻坚战</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_Toc68253266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95</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14:paraId="4D8DDD75">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"_Toc68253267"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第四节  实施科技创新工程</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_Toc68253267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98</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14:paraId="05B6F98E">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"_Toc68253268"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第五节  全面落实“运才兴运”</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_Toc68253268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101</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14:paraId="22262FFB">
      <w:pPr>
        <w:pStyle w:val="13"/>
        <w:jc w:val="both"/>
        <w:rPr>
          <w:rFonts w:hint="default" w:ascii="Times New Roman" w:hAnsi="Times New Roman" w:eastAsia="宋体" w:cs="Times New Roman"/>
          <w:kern w:val="2"/>
          <w:lang w:bidi="ar-SA"/>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"_Toc68253269" </w:instrText>
      </w:r>
      <w:r>
        <w:rPr>
          <w:rFonts w:hint="default" w:ascii="Times New Roman" w:hAnsi="Times New Roman" w:cs="Times New Roman"/>
        </w:rPr>
        <w:fldChar w:fldCharType="separate"/>
      </w:r>
      <w:r>
        <w:rPr>
          <w:rStyle w:val="22"/>
          <w:rFonts w:hint="default" w:ascii="Times New Roman" w:hAnsi="Times New Roman" w:cs="Times New Roman"/>
          <w:spacing w:val="-11"/>
        </w:rPr>
        <w:t>第九章  持续增进民生福祉，创造富裕幸福文明健康高品质生活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_Toc68253269 \h </w:instrText>
      </w:r>
      <w:r>
        <w:rPr>
          <w:rFonts w:hint="default" w:ascii="Times New Roman" w:hAnsi="Times New Roman" w:cs="Times New Roman"/>
        </w:rPr>
        <w:fldChar w:fldCharType="separate"/>
      </w:r>
      <w:r>
        <w:rPr>
          <w:rFonts w:hint="default" w:ascii="Times New Roman" w:hAnsi="Times New Roman" w:cs="Times New Roman"/>
        </w:rPr>
        <w:t>103</w:t>
      </w:r>
      <w:r>
        <w:rPr>
          <w:rFonts w:hint="default" w:ascii="Times New Roman" w:hAnsi="Times New Roman" w:cs="Times New Roman"/>
        </w:rPr>
        <w:fldChar w:fldCharType="end"/>
      </w:r>
      <w:r>
        <w:rPr>
          <w:rFonts w:hint="default" w:ascii="Times New Roman" w:hAnsi="Times New Roman" w:cs="Times New Roman"/>
        </w:rPr>
        <w:fldChar w:fldCharType="end"/>
      </w:r>
    </w:p>
    <w:p w14:paraId="783284AD">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"_Toc68253270"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第一节  实施技能富民工程</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_Toc68253270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103</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14:paraId="2D2D449D">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"_Toc68253271"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第二节  促进高质量充分就业</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_Toc68253271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104</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14:paraId="73A88D1C">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"_Toc68253272"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第三节  办好人民满意的教育</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_Toc68253272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105</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14:paraId="6ADCD9DB">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"_Toc68253273"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第四节  提升医疗服务水平</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_Toc68253273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105</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14:paraId="726C3530">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"_Toc68253274"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第五节  健全社会保障体系</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_Toc68253274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110</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14:paraId="602324F4">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"_Toc68253275"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第六节  加强社会综合治理</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_Toc68253275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113</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14:paraId="5D5B11C7">
      <w:pPr>
        <w:pStyle w:val="13"/>
        <w:jc w:val="both"/>
        <w:rPr>
          <w:rFonts w:hint="default" w:ascii="Times New Roman" w:hAnsi="Times New Roman" w:eastAsia="宋体" w:cs="Times New Roman"/>
          <w:kern w:val="2"/>
          <w:lang w:bidi="ar-SA"/>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"_Toc68253276" </w:instrText>
      </w:r>
      <w:r>
        <w:rPr>
          <w:rFonts w:hint="default" w:ascii="Times New Roman" w:hAnsi="Times New Roman" w:cs="Times New Roman"/>
        </w:rPr>
        <w:fldChar w:fldCharType="separate"/>
      </w:r>
      <w:r>
        <w:rPr>
          <w:rStyle w:val="22"/>
          <w:rFonts w:hint="default" w:ascii="Times New Roman" w:hAnsi="Times New Roman" w:cs="Times New Roman"/>
        </w:rPr>
        <w:t>第十章  全面加强党的建设，筑牢高质量转型发展根本保证</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_Toc68253276 \h </w:instrText>
      </w:r>
      <w:r>
        <w:rPr>
          <w:rFonts w:hint="default" w:ascii="Times New Roman" w:hAnsi="Times New Roman" w:cs="Times New Roman"/>
        </w:rPr>
        <w:fldChar w:fldCharType="separate"/>
      </w:r>
      <w:r>
        <w:rPr>
          <w:rFonts w:hint="default" w:ascii="Times New Roman" w:hAnsi="Times New Roman" w:cs="Times New Roman"/>
        </w:rPr>
        <w:t>119</w:t>
      </w:r>
      <w:r>
        <w:rPr>
          <w:rFonts w:hint="default" w:ascii="Times New Roman" w:hAnsi="Times New Roman" w:cs="Times New Roman"/>
        </w:rPr>
        <w:fldChar w:fldCharType="end"/>
      </w:r>
      <w:r>
        <w:rPr>
          <w:rFonts w:hint="default" w:ascii="Times New Roman" w:hAnsi="Times New Roman" w:cs="Times New Roman"/>
        </w:rPr>
        <w:fldChar w:fldCharType="end"/>
      </w:r>
    </w:p>
    <w:p w14:paraId="30CAC3F0">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"_Toc68253277"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第一节  加强党的政治建设</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_Toc68253277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119</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14:paraId="25B77DEE">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"_Toc68253278"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第二节  加强基层组织建设</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_Toc68253278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120</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14:paraId="3D11D4CA">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"_Toc68253279"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第三节  加强干部队伍建设</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_Toc68253279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120</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14:paraId="3230346A">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"_Toc68253280"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第四节  加强党风廉政建设</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_Toc68253280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121</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14:paraId="370640C9">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"_Toc68253281"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第五节  加强民主政治建设</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_Toc68253281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121</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14:paraId="56E1691F">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"_Toc68253282"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第六节  健全规划实施机制</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_Toc68253282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122</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14:paraId="04D13593">
      <w:pPr>
        <w:jc w:val="both"/>
        <w:rPr>
          <w:rFonts w:ascii="Times New Roman" w:hAnsi="Times New Roman" w:cs="Times New Roman"/>
          <w:sz w:val="30"/>
          <w:szCs w:val="30"/>
        </w:rPr>
      </w:pPr>
      <w:r>
        <w:rPr>
          <w:rFonts w:hint="default" w:ascii="Times New Roman" w:hAnsi="Times New Roman" w:cs="Times New Roman"/>
          <w:sz w:val="30"/>
          <w:szCs w:val="30"/>
        </w:rPr>
        <w:fldChar w:fldCharType="end"/>
      </w:r>
    </w:p>
    <w:p w14:paraId="1CAD5ECE">
      <w:pPr>
        <w:spacing w:beforeLines="200"/>
        <w:jc w:val="both"/>
        <w:rPr>
          <w:rFonts w:ascii="Times New Roman" w:hAnsi="Times New Roman" w:eastAsia="方正小标宋简体" w:cs="Times New Roman"/>
          <w:sz w:val="36"/>
          <w:szCs w:val="36"/>
        </w:rPr>
        <w:sectPr>
          <w:footerReference r:id="rId3" w:type="default"/>
          <w:pgSz w:w="11906" w:h="16838"/>
          <w:pgMar w:top="1440" w:right="1800" w:bottom="1440" w:left="1800" w:header="851" w:footer="992" w:gutter="0"/>
          <w:pgNumType w:start="1"/>
          <w:cols w:space="720" w:num="1"/>
          <w:docGrid w:type="lines" w:linePitch="312" w:charSpace="0"/>
        </w:sectPr>
      </w:pPr>
      <w:bookmarkStart w:id="2" w:name="_Toc14372"/>
    </w:p>
    <w:p w14:paraId="69DF6EAD">
      <w:pPr>
        <w:widowControl w:val="0"/>
        <w:wordWrap/>
        <w:adjustRightInd/>
        <w:snapToGrid/>
        <w:spacing w:before="313" w:beforeLines="100" w:line="240" w:lineRule="auto"/>
        <w:ind w:left="0" w:leftChars="0" w:right="0" w:firstLine="0" w:firstLineChars="0"/>
        <w:jc w:val="center"/>
        <w:textAlignment w:val="auto"/>
        <w:outlineLvl w:val="9"/>
        <w:rPr>
          <w:rFonts w:ascii="Times New Roman" w:hAnsi="Times New Roman" w:eastAsia="方正小标宋简体" w:cs="Times New Roman"/>
          <w:sz w:val="40"/>
          <w:szCs w:val="40"/>
        </w:rPr>
      </w:pPr>
      <w:r>
        <w:rPr>
          <w:rFonts w:ascii="Times New Roman" w:hAnsi="Times New Roman" w:eastAsia="方正小标宋简体" w:cs="Times New Roman"/>
          <w:sz w:val="40"/>
          <w:szCs w:val="40"/>
        </w:rPr>
        <w:t>永济市国民经济和社会发展</w:t>
      </w:r>
    </w:p>
    <w:p w14:paraId="1DE8EC86">
      <w:pPr>
        <w:widowControl w:val="0"/>
        <w:wordWrap/>
        <w:adjustRightInd/>
        <w:snapToGrid/>
        <w:spacing w:line="240" w:lineRule="auto"/>
        <w:ind w:left="0" w:leftChars="0" w:right="0" w:firstLine="0" w:firstLineChars="0"/>
        <w:jc w:val="center"/>
        <w:textAlignment w:val="auto"/>
        <w:outlineLvl w:val="9"/>
        <w:rPr>
          <w:rFonts w:ascii="Times New Roman" w:hAnsi="Times New Roman" w:eastAsia="方正小标宋简体" w:cs="Times New Roman"/>
          <w:sz w:val="40"/>
          <w:szCs w:val="40"/>
        </w:rPr>
      </w:pPr>
      <w:r>
        <w:rPr>
          <w:rFonts w:ascii="Times New Roman" w:hAnsi="Times New Roman" w:eastAsia="方正小标宋简体" w:cs="Times New Roman"/>
          <w:sz w:val="40"/>
          <w:szCs w:val="40"/>
        </w:rPr>
        <w:t>第十四个五年规划和二〇三五年远景目标纲要</w:t>
      </w:r>
      <w:bookmarkEnd w:id="0"/>
      <w:bookmarkEnd w:id="1"/>
      <w:bookmarkEnd w:id="2"/>
    </w:p>
    <w:p w14:paraId="46B9319B">
      <w:pPr>
        <w:pStyle w:val="15"/>
        <w:widowControl w:val="0"/>
        <w:adjustRightInd w:val="0"/>
        <w:snapToGrid w:val="0"/>
        <w:spacing w:beforeLines="50" w:beforeAutospacing="0" w:afterLines="100" w:afterAutospacing="0"/>
        <w:jc w:val="center"/>
        <w:rPr>
          <w:rFonts w:ascii="Times New Roman" w:hAnsi="Times New Roman" w:eastAsia="楷体_GB2312" w:cs="Times New Roman"/>
          <w:sz w:val="36"/>
          <w:szCs w:val="36"/>
          <w:lang w:bidi="en-US"/>
        </w:rPr>
      </w:pPr>
    </w:p>
    <w:p w14:paraId="1B8EE4FC">
      <w:pPr>
        <w:ind w:firstLine="640" w:firstLineChars="200"/>
        <w:jc w:val="both"/>
        <w:rPr>
          <w:rFonts w:ascii="Times New Roman" w:hAnsi="Times New Roman" w:eastAsia="仿宋_GB2312" w:cs="Times New Roman"/>
          <w:color w:val="000000"/>
          <w:kern w:val="0"/>
          <w:sz w:val="32"/>
          <w:szCs w:val="32"/>
          <w:lang w:bidi="en-US"/>
        </w:rPr>
      </w:pPr>
      <w:r>
        <w:rPr>
          <w:rFonts w:ascii="Times New Roman" w:hAnsi="Times New Roman" w:eastAsia="仿宋_GB2312" w:cs="Times New Roman"/>
          <w:color w:val="000000"/>
          <w:kern w:val="0"/>
          <w:sz w:val="32"/>
          <w:szCs w:val="32"/>
          <w:lang w:bidi="en-US"/>
        </w:rPr>
        <w:t>永济市国民经济和社会发展第十四个五年规划和二O三五年远景目标纲要，根据《中共永济市委关于制定国民经济和社会发展第十四个五年规划和二O三五年远景目标的建议》编制，</w:t>
      </w:r>
      <w:r>
        <w:rPr>
          <w:rFonts w:hint="eastAsia" w:ascii="Times New Roman" w:hAnsi="Times New Roman" w:eastAsia="仿宋_GB2312" w:cs="Times New Roman"/>
          <w:kern w:val="0"/>
          <w:sz w:val="32"/>
          <w:szCs w:val="32"/>
          <w:lang w:bidi="en-US"/>
        </w:rPr>
        <w:t>全面贯彻中共永济市第七次代表大会精神，</w:t>
      </w:r>
      <w:r>
        <w:rPr>
          <w:rFonts w:ascii="Times New Roman" w:hAnsi="Times New Roman" w:eastAsia="仿宋_GB2312" w:cs="Times New Roman"/>
          <w:color w:val="000000"/>
          <w:kern w:val="0"/>
          <w:sz w:val="32"/>
          <w:szCs w:val="32"/>
          <w:lang w:bidi="en-US"/>
        </w:rPr>
        <w:t>主要明确了未来五年全市经济社会发展的战略目标、主要任务和重大举措，展望2035年远景目标，是党委领导经济社会发展、政府履行职责的重要依据，是全市人民共同的行动指南，是引导市场主体行为的重要参考。</w:t>
      </w:r>
    </w:p>
    <w:p w14:paraId="43625B2C">
      <w:pPr>
        <w:spacing w:beforeLines="50" w:afterLines="50"/>
        <w:jc w:val="center"/>
        <w:outlineLvl w:val="0"/>
        <w:rPr>
          <w:rFonts w:ascii="Times New Roman" w:hAnsi="Times New Roman" w:eastAsia="黑体" w:cs="Times New Roman"/>
          <w:spacing w:val="-6"/>
          <w:sz w:val="32"/>
          <w:szCs w:val="32"/>
        </w:rPr>
      </w:pPr>
      <w:bookmarkStart w:id="3" w:name="_Toc68253223"/>
      <w:bookmarkStart w:id="4" w:name="_Toc438146401"/>
      <w:bookmarkStart w:id="5" w:name="_Toc8557"/>
      <w:bookmarkStart w:id="6" w:name="_Toc4931"/>
      <w:bookmarkStart w:id="7" w:name="_Toc57711626"/>
      <w:bookmarkStart w:id="8" w:name="_Toc67564120"/>
      <w:r>
        <w:rPr>
          <w:rFonts w:hint="eastAsia" w:ascii="Times New Roman" w:hAnsi="Times New Roman" w:eastAsia="黑体" w:cs="Times New Roman"/>
          <w:spacing w:val="-6"/>
          <w:sz w:val="32"/>
          <w:szCs w:val="32"/>
        </w:rPr>
        <w:t>第一章  扛起历史使命，奋力蹚出一条高质量转型发展新路</w:t>
      </w:r>
      <w:bookmarkEnd w:id="3"/>
      <w:bookmarkEnd w:id="4"/>
      <w:bookmarkEnd w:id="5"/>
      <w:bookmarkEnd w:id="6"/>
      <w:bookmarkEnd w:id="7"/>
      <w:bookmarkEnd w:id="8"/>
    </w:p>
    <w:p w14:paraId="5D7DD31A">
      <w:pPr>
        <w:ind w:firstLine="640" w:firstLineChars="200"/>
        <w:jc w:val="both"/>
        <w:rPr>
          <w:rFonts w:ascii="Times New Roman" w:hAnsi="Times New Roman" w:eastAsia="仿宋_GB2312" w:cs="Times New Roman"/>
          <w:sz w:val="32"/>
          <w:szCs w:val="32"/>
        </w:rPr>
      </w:pPr>
      <w:bookmarkStart w:id="9" w:name="_Toc438146402"/>
      <w:bookmarkStart w:id="10" w:name="_Toc433803663"/>
      <w:bookmarkStart w:id="11" w:name="_Toc434217679"/>
      <w:bookmarkStart w:id="12" w:name="_Toc435194751"/>
      <w:r>
        <w:rPr>
          <w:rFonts w:ascii="Times New Roman" w:hAnsi="Times New Roman" w:eastAsia="仿宋_GB2312" w:cs="Times New Roman"/>
          <w:color w:val="000000"/>
          <w:kern w:val="0"/>
          <w:sz w:val="32"/>
          <w:szCs w:val="32"/>
          <w:lang w:bidi="en-US"/>
        </w:rPr>
        <w:t>“十四五”时期是我市全面推动习近平总书记视察山西重要讲话重要指示、全面落实省委“四为四高两同步”总体思路和要求在永济落地生根、结出硕果，乘势而上开启全面建设社会主义现代化</w:t>
      </w:r>
      <w:r>
        <w:rPr>
          <w:rFonts w:hint="eastAsia" w:ascii="Times New Roman" w:hAnsi="Times New Roman" w:eastAsia="仿宋_GB2312" w:cs="Times New Roman"/>
          <w:color w:val="000000"/>
          <w:kern w:val="0"/>
          <w:sz w:val="32"/>
          <w:szCs w:val="32"/>
          <w:lang w:eastAsia="zh-CN" w:bidi="en-US"/>
        </w:rPr>
        <w:t>国家</w:t>
      </w:r>
      <w:r>
        <w:rPr>
          <w:rFonts w:ascii="Times New Roman" w:hAnsi="Times New Roman" w:eastAsia="仿宋_GB2312" w:cs="Times New Roman"/>
          <w:color w:val="000000"/>
          <w:kern w:val="0"/>
          <w:sz w:val="32"/>
          <w:szCs w:val="32"/>
          <w:lang w:bidi="en-US"/>
        </w:rPr>
        <w:t>新征程、率先蹚出一条转型发展新路的第一个五年。必须牢记领袖嘱托，抢抓国家资源型经济转型综合配套改革试验区、能源革命综合改革试点、中部地区崛起、黄河流域生态保护和高质量发展、黄河“金三角”协同发展等重大战略和机遇，努力在危机中育新机、于变局中开新局，恒久用力、久久为功，坚定不移将转型综改进行到底，在全面建设社会主义现代化</w:t>
      </w:r>
      <w:r>
        <w:rPr>
          <w:rFonts w:hint="eastAsia" w:ascii="Times New Roman" w:hAnsi="Times New Roman" w:eastAsia="仿宋_GB2312" w:cs="Times New Roman"/>
          <w:color w:val="000000"/>
          <w:kern w:val="0"/>
          <w:sz w:val="32"/>
          <w:szCs w:val="32"/>
          <w:lang w:eastAsia="zh-CN" w:bidi="en-US"/>
        </w:rPr>
        <w:t>国家</w:t>
      </w:r>
      <w:r>
        <w:rPr>
          <w:rFonts w:ascii="Times New Roman" w:hAnsi="Times New Roman" w:eastAsia="仿宋_GB2312" w:cs="Times New Roman"/>
          <w:color w:val="000000"/>
          <w:kern w:val="0"/>
          <w:sz w:val="32"/>
          <w:szCs w:val="32"/>
          <w:lang w:bidi="en-US"/>
        </w:rPr>
        <w:t>新征程中，奋力实现转型出雏型的重要阶段性战略目标，完成好转型发展蹚新路的历史使命。</w:t>
      </w:r>
    </w:p>
    <w:p w14:paraId="54909EC5">
      <w:pPr>
        <w:spacing w:beforeLines="50" w:afterLines="50"/>
        <w:jc w:val="center"/>
        <w:outlineLvl w:val="1"/>
        <w:rPr>
          <w:rFonts w:ascii="Times New Roman" w:hAnsi="Times New Roman" w:eastAsia="楷体_GB2312" w:cs="Times New Roman"/>
          <w:sz w:val="32"/>
          <w:szCs w:val="32"/>
        </w:rPr>
      </w:pPr>
      <w:bookmarkStart w:id="13" w:name="_Toc57711627"/>
      <w:bookmarkStart w:id="14" w:name="_Toc20499"/>
      <w:bookmarkStart w:id="15" w:name="_Toc68253224"/>
      <w:bookmarkStart w:id="16" w:name="_Toc67564121"/>
      <w:bookmarkStart w:id="17" w:name="_Toc21165"/>
      <w:r>
        <w:rPr>
          <w:rFonts w:ascii="Times New Roman" w:hAnsi="Times New Roman" w:eastAsia="楷体_GB2312" w:cs="Times New Roman"/>
          <w:sz w:val="32"/>
          <w:szCs w:val="32"/>
        </w:rPr>
        <w:t xml:space="preserve">第一节  </w:t>
      </w:r>
      <w:bookmarkEnd w:id="9"/>
      <w:bookmarkEnd w:id="10"/>
      <w:bookmarkEnd w:id="11"/>
      <w:bookmarkEnd w:id="12"/>
      <w:bookmarkEnd w:id="13"/>
      <w:r>
        <w:rPr>
          <w:rFonts w:ascii="Times New Roman" w:hAnsi="Times New Roman" w:eastAsia="楷体_GB2312" w:cs="Times New Roman"/>
          <w:sz w:val="32"/>
          <w:szCs w:val="32"/>
        </w:rPr>
        <w:t>发展回顾</w:t>
      </w:r>
      <w:bookmarkEnd w:id="14"/>
      <w:bookmarkEnd w:id="15"/>
      <w:bookmarkEnd w:id="16"/>
      <w:bookmarkEnd w:id="17"/>
    </w:p>
    <w:p w14:paraId="02DBCAF6">
      <w:pPr>
        <w:ind w:firstLine="640" w:firstLineChars="200"/>
        <w:jc w:val="both"/>
        <w:rPr>
          <w:rFonts w:ascii="Times New Roman" w:hAnsi="Times New Roman" w:eastAsia="仿宋_GB2312" w:cs="Times New Roman"/>
          <w:color w:val="000000"/>
          <w:kern w:val="0"/>
          <w:sz w:val="32"/>
          <w:szCs w:val="32"/>
          <w:lang w:bidi="en-US"/>
        </w:rPr>
      </w:pPr>
      <w:r>
        <w:rPr>
          <w:rFonts w:ascii="Times New Roman" w:hAnsi="Times New Roman" w:eastAsia="仿宋_GB2312" w:cs="Times New Roman"/>
          <w:color w:val="000000"/>
          <w:kern w:val="0"/>
          <w:sz w:val="32"/>
          <w:szCs w:val="32"/>
          <w:lang w:bidi="en-US"/>
        </w:rPr>
        <w:t>“十三五”时期，</w:t>
      </w:r>
      <w:r>
        <w:rPr>
          <w:rFonts w:hint="eastAsia" w:ascii="仿宋_GB2312" w:hAnsi="仿宋_GB2312" w:eastAsia="仿宋_GB2312"/>
          <w:sz w:val="32"/>
          <w:szCs w:val="32"/>
        </w:rPr>
        <w:t>面对复杂多变的国际形势、艰巨繁重的改革发展任务，特别是新冠肺炎疫情的严重冲击，市委坚持以习近平新时代中国特色社会主义思想为指导，</w:t>
      </w:r>
      <w:r>
        <w:rPr>
          <w:rFonts w:ascii="Times New Roman" w:hAnsi="Times New Roman" w:eastAsia="仿宋_GB2312" w:cs="Times New Roman"/>
          <w:color w:val="000000"/>
          <w:kern w:val="0"/>
          <w:sz w:val="32"/>
          <w:szCs w:val="32"/>
          <w:lang w:bidi="en-US"/>
        </w:rPr>
        <w:t>坚持新发展理念，坚持稳中求进工作总基调，落实高质量发展要求，紧紧围绕全面建成小康社会战略布局，</w:t>
      </w:r>
      <w:r>
        <w:rPr>
          <w:rFonts w:hint="eastAsia" w:ascii="仿宋_GB2312" w:hAnsi="仿宋_GB2312" w:eastAsia="仿宋_GB2312"/>
          <w:sz w:val="32"/>
          <w:szCs w:val="32"/>
        </w:rPr>
        <w:t>团结带领全市广大党员干部群众，大力实施五大战略，全面抓好经济社会发展各项工作，全市改革发展稳定和党的建设等各项工作取得一系列新进展新成效，先后荣获国家级荣誉14项、省级荣誉11项，</w:t>
      </w:r>
      <w:r>
        <w:rPr>
          <w:rFonts w:ascii="Times New Roman" w:hAnsi="Times New Roman" w:eastAsia="仿宋_GB2312" w:cs="Times New Roman"/>
          <w:color w:val="000000"/>
          <w:kern w:val="0"/>
          <w:sz w:val="32"/>
          <w:szCs w:val="32"/>
          <w:lang w:bidi="en-US"/>
        </w:rPr>
        <w:t>经济社会发展的基础持续夯实。</w:t>
      </w:r>
    </w:p>
    <w:p w14:paraId="5447F849">
      <w:pPr>
        <w:ind w:firstLine="643" w:firstLineChars="200"/>
        <w:jc w:val="both"/>
        <w:rPr>
          <w:rFonts w:ascii="Times New Roman" w:hAnsi="Times New Roman" w:eastAsia="仿宋_GB2312" w:cs="Times New Roman"/>
          <w:color w:val="000000"/>
          <w:kern w:val="0"/>
          <w:sz w:val="32"/>
          <w:szCs w:val="32"/>
          <w:lang w:bidi="en-US"/>
        </w:rPr>
      </w:pPr>
      <w:r>
        <w:rPr>
          <w:rFonts w:hint="eastAsia" w:ascii="仿宋" w:hAnsi="仿宋" w:eastAsia="仿宋" w:cs="仿宋"/>
          <w:b/>
          <w:bCs/>
          <w:sz w:val="32"/>
          <w:szCs w:val="32"/>
        </w:rPr>
        <w:t>经济发展动能加速转换。</w:t>
      </w:r>
      <w:r>
        <w:rPr>
          <w:rFonts w:hint="eastAsia" w:ascii="Times New Roman" w:hAnsi="Times New Roman" w:eastAsia="仿宋_GB2312" w:cs="Times New Roman"/>
          <w:color w:val="000000"/>
          <w:kern w:val="0"/>
          <w:sz w:val="32"/>
          <w:szCs w:val="32"/>
          <w:lang w:bidi="en-US"/>
        </w:rPr>
        <w:t>以构建“3+2”产业体系为抓手，打出招商引资体制机制改革、领导干部入企帮扶、成立招商引资工作专班等一系列“组合拳”，电机大功率模块生产线顺利回迁，粟海集团实现破产重整，千军铝业智能提升改造、凯通印染智能制造等一批重点项目建成投产，蓝科途锂电池隔膜、光府科技光学镀膜、穿越光电OLED发光材料等一批战略性新兴产业项目落户永济，支撑高质量转型发展的新动能正在加快形成。</w:t>
      </w:r>
    </w:p>
    <w:p w14:paraId="27D616EB">
      <w:pPr>
        <w:ind w:firstLine="643" w:firstLineChars="200"/>
        <w:jc w:val="both"/>
        <w:rPr>
          <w:rFonts w:ascii="Times New Roman" w:hAnsi="Times New Roman" w:eastAsia="仿宋_GB2312" w:cs="Times New Roman"/>
          <w:color w:val="000000"/>
          <w:kern w:val="0"/>
          <w:sz w:val="32"/>
          <w:szCs w:val="32"/>
          <w:lang w:bidi="en-US"/>
        </w:rPr>
      </w:pPr>
      <w:r>
        <w:rPr>
          <w:rFonts w:hint="eastAsia" w:ascii="仿宋" w:hAnsi="仿宋" w:eastAsia="仿宋" w:cs="仿宋"/>
          <w:b/>
          <w:bCs/>
          <w:sz w:val="32"/>
          <w:szCs w:val="32"/>
        </w:rPr>
        <w:t>现代农业发展成效显著。</w:t>
      </w:r>
      <w:r>
        <w:rPr>
          <w:rFonts w:ascii="Times New Roman" w:hAnsi="Times New Roman" w:eastAsia="仿宋_GB2312" w:cs="Times New Roman"/>
          <w:color w:val="000000"/>
          <w:sz w:val="32"/>
          <w:szCs w:val="32"/>
        </w:rPr>
        <w:t>在确保粮食安全的基础上，</w:t>
      </w:r>
      <w:r>
        <w:rPr>
          <w:rFonts w:hint="eastAsia" w:ascii="Times New Roman" w:hAnsi="Times New Roman" w:eastAsia="仿宋_GB2312" w:cs="Times New Roman"/>
          <w:color w:val="000000"/>
          <w:sz w:val="32"/>
          <w:szCs w:val="32"/>
        </w:rPr>
        <w:t>围绕农业“3355”发展思路，大力实施“特”“优”战略，积极推动农业供给侧结构性改革，农业现代化步伐不断加快。“十三五”末，全市建成农业示范园区60个，</w:t>
      </w:r>
      <w:r>
        <w:rPr>
          <w:rFonts w:ascii="Times New Roman" w:hAnsi="Times New Roman" w:eastAsia="仿宋_GB2312" w:cs="Times New Roman"/>
          <w:color w:val="000000"/>
          <w:sz w:val="32"/>
          <w:szCs w:val="32"/>
        </w:rPr>
        <w:t>干鲜果面积达到41万亩，各类农民专业合作社达到1277家，全市195个村集体收入全部达到5万元以上</w:t>
      </w:r>
      <w:r>
        <w:rPr>
          <w:rFonts w:hint="eastAsia" w:ascii="Times New Roman" w:hAnsi="Times New Roman" w:eastAsia="仿宋_GB2312" w:cs="Times New Roman"/>
          <w:color w:val="000000"/>
          <w:sz w:val="32"/>
          <w:szCs w:val="32"/>
        </w:rPr>
        <w:t>，建成北方最大的克伦生葡萄基地，渔业产量占全省三分之一，“三品一标”认证数量达49个，打造了“开张冬枣”“卿头葡萄”“蒲雪面粉”等知名品牌，先后被评为“国家渔业健康养殖示范县”“省级农产品质量安全县”，并成功入围首批全国农村一二三产业融合发展先导区、第三批国家农产品质量安全县（市）创建名单。</w:t>
      </w:r>
    </w:p>
    <w:p w14:paraId="440D0879">
      <w:pPr>
        <w:ind w:firstLine="643" w:firstLineChars="200"/>
        <w:jc w:val="both"/>
        <w:rPr>
          <w:rFonts w:ascii="Times New Roman" w:hAnsi="Times New Roman" w:eastAsia="仿宋_GB2312" w:cs="Times New Roman"/>
          <w:color w:val="000000"/>
          <w:kern w:val="0"/>
          <w:sz w:val="32"/>
          <w:szCs w:val="32"/>
          <w:lang w:bidi="en-US"/>
        </w:rPr>
      </w:pPr>
      <w:r>
        <w:rPr>
          <w:rFonts w:hint="eastAsia" w:ascii="仿宋" w:hAnsi="仿宋" w:eastAsia="仿宋" w:cs="仿宋"/>
          <w:b/>
          <w:bCs/>
          <w:sz w:val="32"/>
          <w:szCs w:val="32"/>
        </w:rPr>
        <w:t>文化旅游融合全域提升。</w:t>
      </w:r>
      <w:r>
        <w:rPr>
          <w:rFonts w:hint="eastAsia" w:ascii="Times New Roman" w:hAnsi="Times New Roman" w:eastAsia="仿宋_GB2312" w:cs="Times New Roman"/>
          <w:color w:val="000000"/>
          <w:kern w:val="0"/>
          <w:sz w:val="32"/>
          <w:szCs w:val="32"/>
          <w:lang w:bidi="en-US"/>
        </w:rPr>
        <w:t>坚持以创建国家全域旅游示范区为抓手，积极深化国有景区体制改革，组建了鹳雀楼旅游集团；实施了神潭大峡谷三期、尧王台景区等重点工程，启动了婚礼目的地、面食文化产业园等重点项目，国家全域旅游示范区一举创建成功。扎实做好文物保护工作，新增国保单位7处。举办承办了中国农民丰收节、二青会火炬传递、2020环太原国际公路自行车赛、五老峰登山节等一系列重大活动；参加了《魅力中国城》节目竞演，荣获“全国十佳魅力城市”；联合央视录制了《中国影像方志·永济篇》《国宝档案》等节目，永济被确定为《诗意中国》永久举办地。</w:t>
      </w:r>
      <w:r>
        <w:rPr>
          <w:rFonts w:ascii="Times New Roman" w:hAnsi="Times New Roman" w:eastAsia="仿宋_GB2312" w:cs="Times New Roman"/>
          <w:color w:val="000000"/>
          <w:kern w:val="0"/>
          <w:sz w:val="32"/>
          <w:szCs w:val="32"/>
          <w:lang w:bidi="en-US"/>
        </w:rPr>
        <w:t>组建了面食集团，对外餐饮业组团发展，累计销售收入200余亿元。</w:t>
      </w:r>
    </w:p>
    <w:p w14:paraId="2FBD064D">
      <w:pPr>
        <w:ind w:firstLine="630" w:firstLineChars="196"/>
        <w:jc w:val="both"/>
        <w:rPr>
          <w:rFonts w:ascii="Times New Roman" w:hAnsi="Times New Roman" w:eastAsia="仿宋_GB2312" w:cs="Times New Roman"/>
          <w:sz w:val="32"/>
          <w:szCs w:val="32"/>
        </w:rPr>
      </w:pPr>
      <w:r>
        <w:rPr>
          <w:rFonts w:hint="eastAsia" w:ascii="仿宋" w:hAnsi="仿宋" w:eastAsia="仿宋" w:cs="仿宋"/>
          <w:b/>
          <w:bCs/>
          <w:sz w:val="32"/>
          <w:szCs w:val="32"/>
        </w:rPr>
        <w:t>城乡统筹发展成就显著。</w:t>
      </w:r>
      <w:r>
        <w:rPr>
          <w:rFonts w:hint="eastAsia" w:ascii="Times New Roman" w:hAnsi="Times New Roman" w:eastAsia="仿宋_GB2312" w:cs="Times New Roman"/>
          <w:color w:val="000000"/>
          <w:sz w:val="32"/>
          <w:szCs w:val="32"/>
        </w:rPr>
        <w:t>立足建设运城副中心城市目标定位，编制了《国土空间规划》，围绕“142”城市功能布局，</w:t>
      </w:r>
      <w:r>
        <w:rPr>
          <w:rFonts w:ascii="Times New Roman" w:hAnsi="Times New Roman" w:eastAsia="仿宋_GB2312" w:cs="Times New Roman"/>
          <w:color w:val="000000"/>
          <w:sz w:val="32"/>
          <w:szCs w:val="32"/>
        </w:rPr>
        <w:t>实施“五城同创”，一批城建重点工程相继建成，</w:t>
      </w:r>
      <w:r>
        <w:rPr>
          <w:rFonts w:hint="eastAsia" w:ascii="Times New Roman" w:hAnsi="Times New Roman" w:eastAsia="仿宋_GB2312" w:cs="Times New Roman"/>
          <w:color w:val="000000"/>
          <w:sz w:val="32"/>
          <w:szCs w:val="32"/>
        </w:rPr>
        <w:t>实施了大西高铁引道、舜都大道改造、伍姓湖巡护路、沿黄旅游公路、体育中心等重点项目，城市功能日趋完善。先后被评为“国家园林城市”“全国无障碍示范城市”“省级文明城市”，荣获“全国文明城市”提名，连续22年被评为省级卫生城市。围绕“三带三型”美丽乡村发展布局，高标准打造了沿黄产业融合高质量发展等四大循环圈，建成省级美丽乡村7个</w:t>
      </w:r>
      <w:r>
        <w:rPr>
          <w:rFonts w:ascii="Times New Roman" w:hAnsi="Times New Roman" w:eastAsia="仿宋_GB2312" w:cs="Times New Roman"/>
          <w:color w:val="000000"/>
          <w:sz w:val="32"/>
          <w:szCs w:val="32"/>
        </w:rPr>
        <w:t>、运城市级美丽乡村36个，</w:t>
      </w:r>
      <w:r>
        <w:rPr>
          <w:rFonts w:hint="eastAsia" w:ascii="Times New Roman" w:hAnsi="Times New Roman" w:eastAsia="仿宋_GB2312" w:cs="Times New Roman"/>
          <w:color w:val="000000"/>
          <w:sz w:val="32"/>
          <w:szCs w:val="32"/>
        </w:rPr>
        <w:t>被评为“全国村庄清洁行动先进县市”</w:t>
      </w:r>
      <w:r>
        <w:rPr>
          <w:rFonts w:ascii="Times New Roman" w:hAnsi="Times New Roman" w:eastAsia="仿宋_GB2312" w:cs="Times New Roman"/>
          <w:color w:val="000000"/>
          <w:sz w:val="32"/>
          <w:szCs w:val="32"/>
        </w:rPr>
        <w:t>，广大群众的获得感不断增强。</w:t>
      </w:r>
    </w:p>
    <w:p w14:paraId="78CF7E18">
      <w:pPr>
        <w:ind w:firstLine="630" w:firstLineChars="196"/>
        <w:jc w:val="both"/>
        <w:rPr>
          <w:rFonts w:ascii="Times New Roman" w:hAnsi="Times New Roman" w:eastAsia="仿宋_GB2312" w:cs="Times New Roman"/>
          <w:sz w:val="32"/>
          <w:szCs w:val="32"/>
        </w:rPr>
      </w:pPr>
      <w:r>
        <w:rPr>
          <w:rFonts w:hint="eastAsia" w:ascii="仿宋" w:hAnsi="仿宋" w:eastAsia="仿宋" w:cs="仿宋"/>
          <w:b/>
          <w:bCs/>
          <w:sz w:val="32"/>
          <w:szCs w:val="32"/>
        </w:rPr>
        <w:t>生态环境持续稳定好转。</w:t>
      </w:r>
      <w:r>
        <w:rPr>
          <w:rFonts w:ascii="Times New Roman" w:hAnsi="Times New Roman" w:eastAsia="仿宋_GB2312" w:cs="Times New Roman"/>
          <w:sz w:val="32"/>
          <w:szCs w:val="32"/>
        </w:rPr>
        <w:t>坚决贯彻“绿水青山就是金山银山”的发展理念，</w:t>
      </w:r>
      <w:r>
        <w:rPr>
          <w:rFonts w:hint="eastAsia" w:ascii="Times New Roman" w:hAnsi="Times New Roman" w:eastAsia="仿宋_GB2312" w:cs="Times New Roman"/>
          <w:sz w:val="32"/>
          <w:szCs w:val="32"/>
        </w:rPr>
        <w:t>坚决打赢三大污染防治攻坚战，圆满完成“煤改气”“煤改电”任务，</w:t>
      </w:r>
      <w:r>
        <w:rPr>
          <w:rFonts w:ascii="Times New Roman" w:hAnsi="Times New Roman" w:eastAsia="仿宋_GB2312" w:cs="Times New Roman"/>
          <w:sz w:val="32"/>
          <w:szCs w:val="32"/>
        </w:rPr>
        <w:t>二级以上天气达到264天，</w:t>
      </w:r>
      <w:r>
        <w:rPr>
          <w:rFonts w:hint="eastAsia" w:ascii="Times New Roman" w:hAnsi="Times New Roman" w:eastAsia="仿宋_GB2312" w:cs="Times New Roman"/>
          <w:sz w:val="32"/>
          <w:szCs w:val="32"/>
        </w:rPr>
        <w:t>涑水河入黄口、伍姓湖入湖口水生态修复工程全面完工，</w:t>
      </w:r>
      <w:r>
        <w:rPr>
          <w:rFonts w:ascii="Times New Roman" w:hAnsi="Times New Roman" w:eastAsia="仿宋_GB2312" w:cs="Times New Roman"/>
          <w:sz w:val="32"/>
          <w:szCs w:val="32"/>
        </w:rPr>
        <w:t>多年不见的白天鹅等珍稀鸟类来此栖息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积极开展国家森林城市创建，新增绿化面积22.9万平方米，</w:t>
      </w:r>
      <w:r>
        <w:rPr>
          <w:rFonts w:hint="eastAsia" w:ascii="Times New Roman" w:hAnsi="Times New Roman" w:eastAsia="仿宋_GB2312" w:cs="Times New Roman"/>
          <w:sz w:val="32"/>
          <w:szCs w:val="32"/>
        </w:rPr>
        <w:t>森林覆盖率达29.8%，</w:t>
      </w:r>
      <w:r>
        <w:rPr>
          <w:rFonts w:ascii="Times New Roman" w:hAnsi="Times New Roman" w:eastAsia="仿宋_GB2312" w:cs="Times New Roman"/>
          <w:sz w:val="32"/>
          <w:szCs w:val="32"/>
        </w:rPr>
        <w:t>绿化覆盖面积1085万平方米，绿化覆盖率达到42%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初步实现了生态美、环境美</w:t>
      </w:r>
      <w:r>
        <w:rPr>
          <w:rFonts w:hint="eastAsia" w:ascii="Times New Roman" w:hAnsi="Times New Roman" w:eastAsia="仿宋_GB2312" w:cs="Times New Roman"/>
          <w:sz w:val="32"/>
          <w:szCs w:val="32"/>
        </w:rPr>
        <w:t>，绿水青山成为永济最靓丽的名片。</w:t>
      </w:r>
    </w:p>
    <w:p w14:paraId="47F26979">
      <w:pPr>
        <w:ind w:firstLine="630" w:firstLineChars="196"/>
        <w:jc w:val="both"/>
        <w:rPr>
          <w:rFonts w:ascii="Times New Roman" w:hAnsi="Times New Roman" w:eastAsia="仿宋_GB2312" w:cs="Times New Roman"/>
          <w:sz w:val="32"/>
          <w:szCs w:val="32"/>
        </w:rPr>
      </w:pPr>
      <w:r>
        <w:rPr>
          <w:rFonts w:hint="eastAsia" w:ascii="仿宋" w:hAnsi="仿宋" w:eastAsia="仿宋" w:cs="仿宋"/>
          <w:b/>
          <w:bCs/>
          <w:sz w:val="32"/>
          <w:szCs w:val="32"/>
        </w:rPr>
        <w:t>改革创新活力明显增强。</w:t>
      </w:r>
      <w:r>
        <w:rPr>
          <w:rFonts w:hint="eastAsia" w:ascii="Times New Roman" w:hAnsi="Times New Roman" w:eastAsia="仿宋_GB2312" w:cs="Times New Roman"/>
          <w:sz w:val="32"/>
          <w:szCs w:val="32"/>
        </w:rPr>
        <w:t>坚持“改革为要”，实施重点改革事项236项，其中32项走在全省乃至全国前列。</w:t>
      </w:r>
      <w:r>
        <w:rPr>
          <w:rFonts w:ascii="Times New Roman" w:hAnsi="Times New Roman" w:eastAsia="仿宋_GB2312" w:cs="Times New Roman"/>
          <w:sz w:val="32"/>
          <w:szCs w:val="32"/>
        </w:rPr>
        <w:t>深化开发区“三化三制”改革，探索开展管运分离，搭建了永济市大数据招商平台。深化“放管服效”改革，项目审批时间为运城市最短。积极推进“标准地”改革，在运城市率先出让了第一块“标准地”。深化农村集体产权制度改革，完成1881个集体经济组织登记赋码和发证。</w:t>
      </w:r>
      <w:r>
        <w:rPr>
          <w:rFonts w:hint="eastAsia" w:ascii="仿宋_GB2312" w:hAnsi="仿宋_GB2312" w:eastAsia="仿宋_GB2312" w:cs="仿宋_GB2312"/>
          <w:sz w:val="32"/>
          <w:szCs w:val="32"/>
        </w:rPr>
        <w:t>创新城市基层党建做法入选全国先进典型案例，市图书馆、文化馆被列为国家级、省级文化和旅游公共服务机构功能融合试点，全链条矛盾调解经验做法在全省推广，深化改革工作稳居运城第一方阵。</w:t>
      </w:r>
    </w:p>
    <w:p w14:paraId="1B21F26D">
      <w:pPr>
        <w:ind w:firstLine="643" w:firstLineChars="200"/>
        <w:jc w:val="both"/>
        <w:rPr>
          <w:rFonts w:ascii="Times New Roman" w:hAnsi="Times New Roman" w:eastAsia="仿宋_GB2312" w:cs="Times New Roman"/>
          <w:sz w:val="32"/>
          <w:szCs w:val="32"/>
        </w:rPr>
      </w:pPr>
      <w:r>
        <w:rPr>
          <w:rFonts w:hint="eastAsia" w:ascii="仿宋" w:hAnsi="仿宋" w:eastAsia="仿宋" w:cs="仿宋"/>
          <w:b/>
          <w:bCs/>
          <w:sz w:val="32"/>
          <w:szCs w:val="32"/>
        </w:rPr>
        <w:t>民生社会事业全面进步。</w:t>
      </w:r>
      <w:r>
        <w:rPr>
          <w:rFonts w:hint="eastAsia" w:ascii="Times New Roman" w:hAnsi="Times New Roman" w:eastAsia="仿宋_GB2312" w:cs="Times New Roman"/>
          <w:sz w:val="32"/>
          <w:szCs w:val="32"/>
        </w:rPr>
        <w:t>坚持以人民为中心的发展理念，累计投入99.86亿元用于民生建设，占财政总支出83.65%；城镇居民和农村居民人均可支配收入比“十二五”末分别增长33.4%、45.5%。坚持精准扶贫，强化精准帮扶，所有建档立卡贫困户全部脱贫，2020年全市脱贫人口人均收入达到5500元以上。城镇登记失业率控制在4.5%以内。教育教学条件不断改善，教育信息化实现新突破，实验小学被确定为“全国中小学校长、骨干教师网络空间专项培训基地”。新建市中医医院投入运行，城北街道社区卫生服务中心被评为全国百强社区卫生服务中心。城乡居民养老保险参保率达95%以上，基本医疗保险参保率达99%。</w:t>
      </w:r>
      <w:r>
        <w:rPr>
          <w:rFonts w:ascii="Times New Roman" w:hAnsi="Times New Roman" w:eastAsia="仿宋_GB2312" w:cs="Times New Roman"/>
          <w:sz w:val="32"/>
          <w:szCs w:val="32"/>
        </w:rPr>
        <w:t>文化惠民工程扎实开展，举办舜都讲坛、幸福儿童读书会、送戏下乡等活动460余场。完成市新时代文明实践中心和融媒体中心一体化建设，市图书馆、文化馆被列为国家级、省级文化和旅游公共服务机构功能融合试点。统筹推进疫情防控和经济社会发展取得显著成效。</w:t>
      </w:r>
    </w:p>
    <w:p w14:paraId="755E92E4">
      <w:pPr>
        <w:spacing w:afterLines="50"/>
        <w:ind w:firstLine="643" w:firstLineChars="200"/>
        <w:jc w:val="both"/>
        <w:rPr>
          <w:rFonts w:ascii="Times New Roman" w:hAnsi="Times New Roman" w:eastAsia="仿宋_GB2312" w:cs="Times New Roman"/>
          <w:sz w:val="32"/>
          <w:szCs w:val="32"/>
        </w:rPr>
      </w:pPr>
      <w:r>
        <w:rPr>
          <w:rFonts w:hint="eastAsia" w:ascii="仿宋" w:hAnsi="仿宋" w:eastAsia="仿宋" w:cs="仿宋"/>
          <w:b/>
          <w:bCs/>
          <w:sz w:val="32"/>
          <w:szCs w:val="32"/>
        </w:rPr>
        <w:t>社会治理水平不断提升。</w:t>
      </w:r>
      <w:r>
        <w:rPr>
          <w:rFonts w:ascii="Times New Roman" w:hAnsi="Times New Roman" w:eastAsia="仿宋_GB2312" w:cs="Times New Roman"/>
          <w:sz w:val="32"/>
          <w:szCs w:val="32"/>
        </w:rPr>
        <w:t>平安永济、法治永济建设取得明显成效，</w:t>
      </w:r>
      <w:r>
        <w:rPr>
          <w:rFonts w:hint="eastAsia" w:ascii="Times New Roman" w:hAnsi="Times New Roman" w:eastAsia="仿宋_GB2312" w:cs="Times New Roman"/>
          <w:sz w:val="32"/>
          <w:szCs w:val="32"/>
        </w:rPr>
        <w:t>连续多年被评为“省级平安县”，荣获“全国平安建设先进县市”。</w:t>
      </w:r>
      <w:r>
        <w:rPr>
          <w:rFonts w:ascii="Times New Roman" w:hAnsi="Times New Roman" w:eastAsia="仿宋_GB2312" w:cs="Times New Roman"/>
          <w:sz w:val="32"/>
          <w:szCs w:val="32"/>
        </w:rPr>
        <w:t>深入开展“三零”单位创建，按照“六导、六治、六动、六清”总体思路，打造了20个示范点，为全市“三零”单位创建提供了示范样板。建成总面积2860平米的社会治理综合服务中心，让群众“只跑一地、只进一门、只访一次”，实现“案结事了情绪稳”目标。深入开展扫黑除恶专项斗争，社会大局和谐稳定。“雪亮工程”二期深入推进，逐步实现综治视联网全覆盖。以632个综治网格为基础，实现了“多网合一、一网统筹”。全面从严治党一以贯之，反腐败斗争取得压倒性胜利并不断巩固发展，政治生态持续向好，实现了管党治党和转型发展“两手硬”。</w:t>
      </w:r>
    </w:p>
    <w:tbl>
      <w:tblPr>
        <w:tblStyle w:val="18"/>
        <w:tblW w:w="9080"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
      <w:tblGrid>
        <w:gridCol w:w="4899"/>
        <w:gridCol w:w="884"/>
        <w:gridCol w:w="917"/>
        <w:gridCol w:w="1395"/>
        <w:gridCol w:w="985"/>
      </w:tblGrid>
      <w:tr w14:paraId="59DC130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00" w:hRule="atLeast"/>
          <w:jc w:val="center"/>
        </w:trPr>
        <w:tc>
          <w:tcPr>
            <w:tcW w:w="9080" w:type="dxa"/>
            <w:gridSpan w:val="5"/>
            <w:tcBorders>
              <w:tl2br w:val="nil"/>
              <w:tr2bl w:val="nil"/>
            </w:tcBorders>
            <w:tcMar>
              <w:top w:w="15" w:type="dxa"/>
              <w:left w:w="15" w:type="dxa"/>
              <w:right w:w="15" w:type="dxa"/>
            </w:tcMar>
            <w:vAlign w:val="center"/>
          </w:tcPr>
          <w:p w14:paraId="5D78A2EC">
            <w:pPr>
              <w:jc w:val="center"/>
              <w:rPr>
                <w:rFonts w:ascii="Times New Roman" w:hAnsi="Times New Roman" w:cs="Times New Roman"/>
                <w:sz w:val="28"/>
                <w:szCs w:val="28"/>
              </w:rPr>
            </w:pPr>
            <w:r>
              <w:rPr>
                <w:rFonts w:ascii="Times New Roman" w:hAnsi="Times New Roman" w:eastAsia="黑体" w:cs="Times New Roman"/>
                <w:sz w:val="28"/>
                <w:szCs w:val="28"/>
              </w:rPr>
              <w:t>表1：永济市“十三五”规划主要指标实现情况</w:t>
            </w:r>
          </w:p>
        </w:tc>
      </w:tr>
      <w:tr w14:paraId="19127AD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29" w:hRule="atLeast"/>
          <w:jc w:val="center"/>
        </w:trPr>
        <w:tc>
          <w:tcPr>
            <w:tcW w:w="4899" w:type="dxa"/>
            <w:vMerge w:val="restart"/>
            <w:tcBorders>
              <w:tl2br w:val="nil"/>
              <w:tr2bl w:val="nil"/>
            </w:tcBorders>
            <w:tcMar>
              <w:top w:w="15" w:type="dxa"/>
              <w:left w:w="15" w:type="dxa"/>
              <w:right w:w="15" w:type="dxa"/>
            </w:tcMar>
            <w:vAlign w:val="center"/>
          </w:tcPr>
          <w:p w14:paraId="44569FBF">
            <w:pPr>
              <w:jc w:val="center"/>
              <w:textAlignment w:val="center"/>
              <w:rPr>
                <w:rFonts w:ascii="Times New Roman" w:hAnsi="Times New Roman" w:cs="Times New Roman"/>
                <w:sz w:val="22"/>
              </w:rPr>
            </w:pPr>
            <w:r>
              <w:rPr>
                <w:rFonts w:ascii="Times New Roman" w:hAnsi="Times New Roman" w:cs="Times New Roman"/>
                <w:sz w:val="22"/>
              </w:rPr>
              <w:t>指标名称</w:t>
            </w:r>
          </w:p>
        </w:tc>
        <w:tc>
          <w:tcPr>
            <w:tcW w:w="884" w:type="dxa"/>
            <w:vMerge w:val="restart"/>
            <w:tcBorders>
              <w:tl2br w:val="nil"/>
              <w:tr2bl w:val="nil"/>
            </w:tcBorders>
            <w:tcMar>
              <w:top w:w="15" w:type="dxa"/>
              <w:left w:w="15" w:type="dxa"/>
              <w:right w:w="15" w:type="dxa"/>
            </w:tcMar>
            <w:vAlign w:val="center"/>
          </w:tcPr>
          <w:p w14:paraId="73757AC8">
            <w:pPr>
              <w:jc w:val="center"/>
              <w:textAlignment w:val="center"/>
              <w:rPr>
                <w:rFonts w:ascii="Times New Roman" w:hAnsi="Times New Roman" w:cs="Times New Roman"/>
                <w:sz w:val="22"/>
              </w:rPr>
            </w:pPr>
            <w:r>
              <w:rPr>
                <w:rFonts w:ascii="Times New Roman" w:hAnsi="Times New Roman" w:cs="Times New Roman"/>
                <w:sz w:val="22"/>
              </w:rPr>
              <w:t>2015年</w:t>
            </w:r>
          </w:p>
        </w:tc>
        <w:tc>
          <w:tcPr>
            <w:tcW w:w="2312" w:type="dxa"/>
            <w:gridSpan w:val="2"/>
            <w:tcBorders>
              <w:tl2br w:val="nil"/>
              <w:tr2bl w:val="nil"/>
            </w:tcBorders>
            <w:tcMar>
              <w:top w:w="15" w:type="dxa"/>
              <w:left w:w="15" w:type="dxa"/>
              <w:right w:w="15" w:type="dxa"/>
            </w:tcMar>
            <w:vAlign w:val="center"/>
          </w:tcPr>
          <w:p w14:paraId="5CF929EE">
            <w:pPr>
              <w:jc w:val="center"/>
              <w:textAlignment w:val="center"/>
              <w:rPr>
                <w:rFonts w:ascii="Times New Roman" w:hAnsi="Times New Roman" w:cs="Times New Roman"/>
                <w:sz w:val="22"/>
              </w:rPr>
            </w:pPr>
            <w:r>
              <w:rPr>
                <w:rFonts w:ascii="Times New Roman" w:hAnsi="Times New Roman" w:cs="Times New Roman"/>
                <w:sz w:val="22"/>
              </w:rPr>
              <w:t>2020年</w:t>
            </w:r>
          </w:p>
        </w:tc>
        <w:tc>
          <w:tcPr>
            <w:tcW w:w="985" w:type="dxa"/>
            <w:vMerge w:val="restart"/>
            <w:tcBorders>
              <w:tl2br w:val="nil"/>
              <w:tr2bl w:val="nil"/>
            </w:tcBorders>
            <w:tcMar>
              <w:top w:w="15" w:type="dxa"/>
              <w:left w:w="15" w:type="dxa"/>
              <w:right w:w="15" w:type="dxa"/>
            </w:tcMar>
            <w:vAlign w:val="center"/>
          </w:tcPr>
          <w:p w14:paraId="1F208577">
            <w:pPr>
              <w:jc w:val="center"/>
              <w:textAlignment w:val="center"/>
              <w:rPr>
                <w:rFonts w:ascii="Times New Roman" w:hAnsi="Times New Roman" w:cs="Times New Roman"/>
                <w:sz w:val="22"/>
              </w:rPr>
            </w:pPr>
            <w:r>
              <w:rPr>
                <w:rFonts w:ascii="Times New Roman" w:hAnsi="Times New Roman" w:cs="Times New Roman"/>
                <w:sz w:val="22"/>
              </w:rPr>
              <w:t>属性</w:t>
            </w:r>
          </w:p>
        </w:tc>
      </w:tr>
      <w:tr w14:paraId="3AF8A5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29" w:hRule="atLeast"/>
          <w:jc w:val="center"/>
        </w:trPr>
        <w:tc>
          <w:tcPr>
            <w:tcW w:w="4899" w:type="dxa"/>
            <w:vMerge w:val="continue"/>
            <w:tcBorders>
              <w:tl2br w:val="nil"/>
              <w:tr2bl w:val="nil"/>
            </w:tcBorders>
            <w:tcMar>
              <w:top w:w="15" w:type="dxa"/>
              <w:left w:w="15" w:type="dxa"/>
              <w:right w:w="15" w:type="dxa"/>
            </w:tcMar>
            <w:vAlign w:val="center"/>
          </w:tcPr>
          <w:p w14:paraId="1698972C">
            <w:pPr>
              <w:jc w:val="both"/>
              <w:rPr>
                <w:rFonts w:ascii="Times New Roman" w:hAnsi="Times New Roman" w:cs="Times New Roman"/>
                <w:sz w:val="22"/>
              </w:rPr>
            </w:pPr>
          </w:p>
        </w:tc>
        <w:tc>
          <w:tcPr>
            <w:tcW w:w="884" w:type="dxa"/>
            <w:vMerge w:val="continue"/>
            <w:tcBorders>
              <w:tl2br w:val="nil"/>
              <w:tr2bl w:val="nil"/>
            </w:tcBorders>
            <w:tcMar>
              <w:top w:w="15" w:type="dxa"/>
              <w:left w:w="15" w:type="dxa"/>
              <w:right w:w="15" w:type="dxa"/>
            </w:tcMar>
            <w:vAlign w:val="center"/>
          </w:tcPr>
          <w:p w14:paraId="1A0A5CF6">
            <w:pPr>
              <w:jc w:val="both"/>
              <w:rPr>
                <w:rFonts w:ascii="Times New Roman" w:hAnsi="Times New Roman" w:cs="Times New Roman"/>
                <w:sz w:val="22"/>
              </w:rPr>
            </w:pPr>
          </w:p>
        </w:tc>
        <w:tc>
          <w:tcPr>
            <w:tcW w:w="917" w:type="dxa"/>
            <w:tcBorders>
              <w:tl2br w:val="nil"/>
              <w:tr2bl w:val="nil"/>
            </w:tcBorders>
            <w:tcMar>
              <w:top w:w="15" w:type="dxa"/>
              <w:left w:w="15" w:type="dxa"/>
              <w:right w:w="15" w:type="dxa"/>
            </w:tcMar>
            <w:vAlign w:val="center"/>
          </w:tcPr>
          <w:p w14:paraId="052C9928">
            <w:pPr>
              <w:jc w:val="center"/>
              <w:textAlignment w:val="center"/>
              <w:rPr>
                <w:rFonts w:ascii="Times New Roman" w:hAnsi="Times New Roman" w:cs="Times New Roman"/>
                <w:sz w:val="22"/>
              </w:rPr>
            </w:pPr>
            <w:r>
              <w:rPr>
                <w:rFonts w:ascii="Times New Roman" w:hAnsi="Times New Roman" w:cs="Times New Roman"/>
                <w:sz w:val="22"/>
              </w:rPr>
              <w:t>完成</w:t>
            </w:r>
          </w:p>
        </w:tc>
        <w:tc>
          <w:tcPr>
            <w:tcW w:w="1395" w:type="dxa"/>
            <w:tcBorders>
              <w:tl2br w:val="nil"/>
              <w:tr2bl w:val="nil"/>
            </w:tcBorders>
            <w:tcMar>
              <w:top w:w="15" w:type="dxa"/>
              <w:left w:w="15" w:type="dxa"/>
              <w:right w:w="15" w:type="dxa"/>
            </w:tcMar>
            <w:vAlign w:val="center"/>
          </w:tcPr>
          <w:p w14:paraId="0FA35BBB">
            <w:pPr>
              <w:jc w:val="center"/>
              <w:textAlignment w:val="center"/>
              <w:rPr>
                <w:rFonts w:ascii="Times New Roman" w:hAnsi="Times New Roman" w:cs="Times New Roman"/>
                <w:sz w:val="22"/>
              </w:rPr>
            </w:pPr>
            <w:r>
              <w:rPr>
                <w:rFonts w:ascii="Times New Roman" w:hAnsi="Times New Roman" w:cs="Times New Roman"/>
                <w:sz w:val="22"/>
              </w:rPr>
              <w:t>年均增长(%)</w:t>
            </w:r>
          </w:p>
        </w:tc>
        <w:tc>
          <w:tcPr>
            <w:tcW w:w="985" w:type="dxa"/>
            <w:vMerge w:val="continue"/>
            <w:tcBorders>
              <w:tl2br w:val="nil"/>
              <w:tr2bl w:val="nil"/>
            </w:tcBorders>
            <w:tcMar>
              <w:top w:w="15" w:type="dxa"/>
              <w:left w:w="15" w:type="dxa"/>
              <w:right w:w="15" w:type="dxa"/>
            </w:tcMar>
            <w:vAlign w:val="center"/>
          </w:tcPr>
          <w:p w14:paraId="0EEED962">
            <w:pPr>
              <w:jc w:val="both"/>
              <w:rPr>
                <w:rFonts w:ascii="Times New Roman" w:hAnsi="Times New Roman" w:cs="Times New Roman"/>
                <w:sz w:val="22"/>
              </w:rPr>
            </w:pPr>
          </w:p>
        </w:tc>
      </w:tr>
      <w:tr w14:paraId="50EFF1D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29" w:hRule="atLeast"/>
          <w:jc w:val="center"/>
        </w:trPr>
        <w:tc>
          <w:tcPr>
            <w:tcW w:w="9080" w:type="dxa"/>
            <w:gridSpan w:val="5"/>
            <w:tcBorders>
              <w:tl2br w:val="nil"/>
              <w:tr2bl w:val="nil"/>
            </w:tcBorders>
            <w:tcMar>
              <w:top w:w="15" w:type="dxa"/>
              <w:left w:w="15" w:type="dxa"/>
              <w:right w:w="15" w:type="dxa"/>
            </w:tcMar>
            <w:vAlign w:val="center"/>
          </w:tcPr>
          <w:p w14:paraId="4C39FB31">
            <w:pPr>
              <w:jc w:val="both"/>
              <w:textAlignment w:val="center"/>
              <w:rPr>
                <w:rFonts w:ascii="Times New Roman" w:hAnsi="Times New Roman" w:cs="Times New Roman"/>
                <w:sz w:val="18"/>
                <w:szCs w:val="18"/>
              </w:rPr>
            </w:pPr>
            <w:r>
              <w:rPr>
                <w:rFonts w:ascii="Times New Roman" w:hAnsi="Times New Roman" w:cs="Times New Roman"/>
                <w:sz w:val="18"/>
                <w:szCs w:val="18"/>
              </w:rPr>
              <w:t>一、经济发展（6项）</w:t>
            </w:r>
          </w:p>
        </w:tc>
      </w:tr>
      <w:tr w14:paraId="0E23946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29" w:hRule="atLeast"/>
          <w:jc w:val="center"/>
        </w:trPr>
        <w:tc>
          <w:tcPr>
            <w:tcW w:w="4899" w:type="dxa"/>
            <w:tcBorders>
              <w:tl2br w:val="nil"/>
              <w:tr2bl w:val="nil"/>
            </w:tcBorders>
            <w:tcMar>
              <w:top w:w="15" w:type="dxa"/>
              <w:left w:w="15" w:type="dxa"/>
              <w:right w:w="15" w:type="dxa"/>
            </w:tcMar>
            <w:vAlign w:val="center"/>
          </w:tcPr>
          <w:p w14:paraId="067AD7CC">
            <w:pPr>
              <w:jc w:val="both"/>
              <w:textAlignment w:val="center"/>
              <w:rPr>
                <w:rFonts w:ascii="Times New Roman" w:hAnsi="Times New Roman" w:cs="Times New Roman"/>
                <w:sz w:val="18"/>
                <w:szCs w:val="18"/>
              </w:rPr>
            </w:pPr>
            <w:r>
              <w:rPr>
                <w:rFonts w:ascii="Times New Roman" w:hAnsi="Times New Roman" w:cs="Times New Roman"/>
                <w:sz w:val="18"/>
                <w:szCs w:val="18"/>
              </w:rPr>
              <w:t>1.国内生产总值（GDP）（亿元）</w:t>
            </w:r>
          </w:p>
        </w:tc>
        <w:tc>
          <w:tcPr>
            <w:tcW w:w="884" w:type="dxa"/>
            <w:tcBorders>
              <w:tl2br w:val="nil"/>
              <w:tr2bl w:val="nil"/>
            </w:tcBorders>
            <w:tcMar>
              <w:top w:w="15" w:type="dxa"/>
              <w:left w:w="15" w:type="dxa"/>
              <w:right w:w="15" w:type="dxa"/>
            </w:tcMar>
            <w:vAlign w:val="bottom"/>
          </w:tcPr>
          <w:p w14:paraId="2D357A87">
            <w:pPr>
              <w:jc w:val="right"/>
              <w:textAlignment w:val="center"/>
              <w:rPr>
                <w:rFonts w:ascii="Times New Roman" w:hAnsi="Times New Roman" w:cs="Times New Roman"/>
                <w:sz w:val="18"/>
                <w:szCs w:val="18"/>
              </w:rPr>
            </w:pPr>
            <w:r>
              <w:rPr>
                <w:rFonts w:ascii="Times New Roman" w:hAnsi="Times New Roman" w:cs="Times New Roman"/>
                <w:sz w:val="18"/>
                <w:szCs w:val="18"/>
              </w:rPr>
              <w:t>133.11</w:t>
            </w:r>
          </w:p>
        </w:tc>
        <w:tc>
          <w:tcPr>
            <w:tcW w:w="917" w:type="dxa"/>
            <w:tcBorders>
              <w:tl2br w:val="nil"/>
              <w:tr2bl w:val="nil"/>
            </w:tcBorders>
            <w:tcMar>
              <w:top w:w="15" w:type="dxa"/>
              <w:left w:w="15" w:type="dxa"/>
              <w:right w:w="15" w:type="dxa"/>
            </w:tcMar>
            <w:vAlign w:val="center"/>
          </w:tcPr>
          <w:p w14:paraId="136C252C">
            <w:pPr>
              <w:jc w:val="right"/>
              <w:rPr>
                <w:rFonts w:ascii="Times New Roman" w:hAnsi="Times New Roman" w:cs="Times New Roman"/>
                <w:sz w:val="18"/>
                <w:szCs w:val="18"/>
              </w:rPr>
            </w:pPr>
            <w:r>
              <w:rPr>
                <w:rFonts w:ascii="Times New Roman" w:hAnsi="Times New Roman" w:cs="Times New Roman"/>
                <w:sz w:val="18"/>
                <w:szCs w:val="18"/>
              </w:rPr>
              <w:t>128.3</w:t>
            </w:r>
          </w:p>
        </w:tc>
        <w:tc>
          <w:tcPr>
            <w:tcW w:w="1395" w:type="dxa"/>
            <w:tcBorders>
              <w:tl2br w:val="nil"/>
              <w:tr2bl w:val="nil"/>
            </w:tcBorders>
            <w:tcMar>
              <w:top w:w="15" w:type="dxa"/>
              <w:left w:w="15" w:type="dxa"/>
              <w:right w:w="15" w:type="dxa"/>
            </w:tcMar>
            <w:vAlign w:val="center"/>
          </w:tcPr>
          <w:p w14:paraId="22B26B47">
            <w:pPr>
              <w:jc w:val="right"/>
              <w:rPr>
                <w:rFonts w:ascii="Times New Roman" w:hAnsi="Times New Roman" w:cs="Times New Roman"/>
                <w:sz w:val="18"/>
                <w:szCs w:val="18"/>
              </w:rPr>
            </w:pPr>
            <w:r>
              <w:rPr>
                <w:rFonts w:ascii="Times New Roman" w:hAnsi="Times New Roman" w:cs="Times New Roman"/>
                <w:sz w:val="18"/>
                <w:szCs w:val="18"/>
              </w:rPr>
              <w:t>1.1</w:t>
            </w:r>
          </w:p>
        </w:tc>
        <w:tc>
          <w:tcPr>
            <w:tcW w:w="985" w:type="dxa"/>
            <w:tcBorders>
              <w:tl2br w:val="nil"/>
              <w:tr2bl w:val="nil"/>
            </w:tcBorders>
            <w:tcMar>
              <w:top w:w="15" w:type="dxa"/>
              <w:left w:w="15" w:type="dxa"/>
              <w:right w:w="15" w:type="dxa"/>
            </w:tcMar>
            <w:vAlign w:val="center"/>
          </w:tcPr>
          <w:p w14:paraId="708B1925">
            <w:pPr>
              <w:jc w:val="center"/>
              <w:textAlignment w:val="center"/>
              <w:rPr>
                <w:rFonts w:ascii="Times New Roman" w:hAnsi="Times New Roman" w:cs="Times New Roman"/>
                <w:sz w:val="18"/>
                <w:szCs w:val="18"/>
              </w:rPr>
            </w:pPr>
            <w:r>
              <w:rPr>
                <w:rFonts w:ascii="Times New Roman" w:hAnsi="Times New Roman" w:cs="Times New Roman"/>
                <w:sz w:val="18"/>
                <w:szCs w:val="18"/>
              </w:rPr>
              <w:t>预期性</w:t>
            </w:r>
          </w:p>
        </w:tc>
      </w:tr>
      <w:tr w14:paraId="567D8C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29" w:hRule="atLeast"/>
          <w:jc w:val="center"/>
        </w:trPr>
        <w:tc>
          <w:tcPr>
            <w:tcW w:w="9080" w:type="dxa"/>
            <w:gridSpan w:val="5"/>
            <w:tcBorders>
              <w:tl2br w:val="nil"/>
              <w:tr2bl w:val="nil"/>
            </w:tcBorders>
            <w:tcMar>
              <w:top w:w="15" w:type="dxa"/>
              <w:left w:w="15" w:type="dxa"/>
              <w:right w:w="15" w:type="dxa"/>
            </w:tcMar>
            <w:vAlign w:val="center"/>
          </w:tcPr>
          <w:p w14:paraId="1B97C44B">
            <w:pPr>
              <w:jc w:val="left"/>
              <w:textAlignment w:val="center"/>
              <w:rPr>
                <w:rFonts w:ascii="Times New Roman" w:hAnsi="Times New Roman" w:cs="Times New Roman"/>
                <w:sz w:val="18"/>
                <w:szCs w:val="18"/>
              </w:rPr>
            </w:pPr>
            <w:r>
              <w:rPr>
                <w:rFonts w:ascii="Times New Roman" w:hAnsi="Times New Roman" w:cs="Times New Roman"/>
                <w:sz w:val="18"/>
                <w:szCs w:val="18"/>
              </w:rPr>
              <w:t>2.城镇化率（%）</w:t>
            </w:r>
          </w:p>
        </w:tc>
      </w:tr>
      <w:tr w14:paraId="4580151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29" w:hRule="atLeast"/>
          <w:jc w:val="center"/>
        </w:trPr>
        <w:tc>
          <w:tcPr>
            <w:tcW w:w="4899" w:type="dxa"/>
            <w:tcBorders>
              <w:tl2br w:val="nil"/>
              <w:tr2bl w:val="nil"/>
            </w:tcBorders>
            <w:tcMar>
              <w:top w:w="15" w:type="dxa"/>
              <w:left w:w="15" w:type="dxa"/>
              <w:right w:w="15" w:type="dxa"/>
            </w:tcMar>
            <w:vAlign w:val="center"/>
          </w:tcPr>
          <w:p w14:paraId="4351D987">
            <w:pPr>
              <w:ind w:firstLine="180" w:firstLineChars="100"/>
              <w:jc w:val="both"/>
              <w:textAlignment w:val="center"/>
              <w:rPr>
                <w:rFonts w:ascii="Times New Roman" w:hAnsi="Times New Roman" w:cs="Times New Roman"/>
                <w:sz w:val="18"/>
                <w:szCs w:val="18"/>
              </w:rPr>
            </w:pPr>
            <w:r>
              <w:rPr>
                <w:rFonts w:ascii="Times New Roman" w:hAnsi="Times New Roman" w:cs="Times New Roman"/>
                <w:sz w:val="18"/>
                <w:szCs w:val="18"/>
              </w:rPr>
              <w:t>常住人口城镇化率（%）</w:t>
            </w:r>
          </w:p>
        </w:tc>
        <w:tc>
          <w:tcPr>
            <w:tcW w:w="884" w:type="dxa"/>
            <w:tcBorders>
              <w:tl2br w:val="nil"/>
              <w:tr2bl w:val="nil"/>
            </w:tcBorders>
            <w:tcMar>
              <w:top w:w="15" w:type="dxa"/>
              <w:left w:w="15" w:type="dxa"/>
              <w:right w:w="15" w:type="dxa"/>
            </w:tcMar>
            <w:vAlign w:val="center"/>
          </w:tcPr>
          <w:p w14:paraId="4ACC6F40">
            <w:pPr>
              <w:jc w:val="right"/>
              <w:textAlignment w:val="center"/>
              <w:rPr>
                <w:rFonts w:ascii="Times New Roman" w:hAnsi="Times New Roman" w:cs="Times New Roman"/>
                <w:sz w:val="18"/>
                <w:szCs w:val="18"/>
              </w:rPr>
            </w:pPr>
            <w:r>
              <w:rPr>
                <w:rFonts w:ascii="Times New Roman" w:hAnsi="Times New Roman" w:cs="Times New Roman"/>
                <w:sz w:val="18"/>
                <w:szCs w:val="18"/>
              </w:rPr>
              <w:t>48.9</w:t>
            </w:r>
          </w:p>
        </w:tc>
        <w:tc>
          <w:tcPr>
            <w:tcW w:w="917" w:type="dxa"/>
            <w:tcBorders>
              <w:tl2br w:val="nil"/>
              <w:tr2bl w:val="nil"/>
            </w:tcBorders>
            <w:tcMar>
              <w:top w:w="15" w:type="dxa"/>
              <w:left w:w="15" w:type="dxa"/>
              <w:right w:w="15" w:type="dxa"/>
            </w:tcMar>
            <w:vAlign w:val="center"/>
          </w:tcPr>
          <w:p w14:paraId="09089BF6">
            <w:pPr>
              <w:jc w:val="right"/>
              <w:rPr>
                <w:rFonts w:ascii="Times New Roman" w:hAnsi="Times New Roman" w:cs="Times New Roman"/>
                <w:sz w:val="18"/>
                <w:szCs w:val="18"/>
              </w:rPr>
            </w:pPr>
            <w:r>
              <w:rPr>
                <w:rFonts w:hint="eastAsia" w:ascii="Times New Roman" w:hAnsi="Times New Roman" w:cs="Times New Roman"/>
                <w:sz w:val="18"/>
                <w:szCs w:val="18"/>
              </w:rPr>
              <w:t>52</w:t>
            </w:r>
          </w:p>
        </w:tc>
        <w:tc>
          <w:tcPr>
            <w:tcW w:w="1395" w:type="dxa"/>
            <w:tcBorders>
              <w:tl2br w:val="nil"/>
              <w:tr2bl w:val="nil"/>
            </w:tcBorders>
            <w:tcMar>
              <w:top w:w="15" w:type="dxa"/>
              <w:left w:w="15" w:type="dxa"/>
              <w:right w:w="15" w:type="dxa"/>
            </w:tcMar>
            <w:vAlign w:val="center"/>
          </w:tcPr>
          <w:p w14:paraId="3DD31A48">
            <w:pPr>
              <w:jc w:val="both"/>
              <w:rPr>
                <w:rFonts w:ascii="Times New Roman" w:hAnsi="Times New Roman" w:cs="Times New Roman"/>
                <w:sz w:val="18"/>
                <w:szCs w:val="18"/>
              </w:rPr>
            </w:pPr>
          </w:p>
        </w:tc>
        <w:tc>
          <w:tcPr>
            <w:tcW w:w="985" w:type="dxa"/>
            <w:tcBorders>
              <w:tl2br w:val="nil"/>
              <w:tr2bl w:val="nil"/>
            </w:tcBorders>
            <w:tcMar>
              <w:top w:w="15" w:type="dxa"/>
              <w:left w:w="15" w:type="dxa"/>
              <w:right w:w="15" w:type="dxa"/>
            </w:tcMar>
            <w:vAlign w:val="center"/>
          </w:tcPr>
          <w:p w14:paraId="58175C04">
            <w:pPr>
              <w:jc w:val="center"/>
              <w:textAlignment w:val="center"/>
              <w:rPr>
                <w:rFonts w:ascii="Times New Roman" w:hAnsi="Times New Roman" w:cs="Times New Roman"/>
                <w:sz w:val="18"/>
                <w:szCs w:val="18"/>
              </w:rPr>
            </w:pPr>
            <w:r>
              <w:rPr>
                <w:rFonts w:ascii="Times New Roman" w:hAnsi="Times New Roman" w:cs="Times New Roman"/>
                <w:sz w:val="18"/>
                <w:szCs w:val="18"/>
              </w:rPr>
              <w:t>预期性</w:t>
            </w:r>
          </w:p>
        </w:tc>
      </w:tr>
      <w:tr w14:paraId="174109B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45" w:hRule="atLeast"/>
          <w:jc w:val="center"/>
        </w:trPr>
        <w:tc>
          <w:tcPr>
            <w:tcW w:w="4899" w:type="dxa"/>
            <w:tcBorders>
              <w:tl2br w:val="nil"/>
              <w:tr2bl w:val="nil"/>
            </w:tcBorders>
            <w:tcMar>
              <w:top w:w="15" w:type="dxa"/>
              <w:left w:w="15" w:type="dxa"/>
              <w:right w:w="15" w:type="dxa"/>
            </w:tcMar>
            <w:vAlign w:val="center"/>
          </w:tcPr>
          <w:p w14:paraId="2245D02C">
            <w:pPr>
              <w:ind w:firstLine="180" w:firstLineChars="100"/>
              <w:jc w:val="both"/>
              <w:textAlignment w:val="center"/>
              <w:rPr>
                <w:rFonts w:ascii="Times New Roman" w:hAnsi="Times New Roman" w:cs="Times New Roman"/>
                <w:sz w:val="18"/>
                <w:szCs w:val="18"/>
              </w:rPr>
            </w:pPr>
            <w:r>
              <w:rPr>
                <w:rFonts w:ascii="Times New Roman" w:hAnsi="Times New Roman" w:cs="Times New Roman"/>
                <w:sz w:val="18"/>
                <w:szCs w:val="18"/>
              </w:rPr>
              <w:t>户籍人口城镇化率（%）</w:t>
            </w:r>
          </w:p>
        </w:tc>
        <w:tc>
          <w:tcPr>
            <w:tcW w:w="884" w:type="dxa"/>
            <w:tcBorders>
              <w:tl2br w:val="nil"/>
              <w:tr2bl w:val="nil"/>
            </w:tcBorders>
            <w:tcMar>
              <w:top w:w="15" w:type="dxa"/>
              <w:left w:w="15" w:type="dxa"/>
              <w:right w:w="15" w:type="dxa"/>
            </w:tcMar>
            <w:vAlign w:val="center"/>
          </w:tcPr>
          <w:p w14:paraId="22AB78E7">
            <w:pPr>
              <w:jc w:val="right"/>
              <w:textAlignment w:val="center"/>
              <w:rPr>
                <w:rFonts w:ascii="Times New Roman" w:hAnsi="Times New Roman" w:cs="Times New Roman"/>
                <w:sz w:val="18"/>
                <w:szCs w:val="18"/>
              </w:rPr>
            </w:pPr>
            <w:r>
              <w:rPr>
                <w:rFonts w:ascii="Times New Roman" w:hAnsi="Times New Roman" w:cs="Times New Roman"/>
                <w:sz w:val="18"/>
                <w:szCs w:val="18"/>
              </w:rPr>
              <w:t>32.0</w:t>
            </w:r>
          </w:p>
        </w:tc>
        <w:tc>
          <w:tcPr>
            <w:tcW w:w="917" w:type="dxa"/>
            <w:tcBorders>
              <w:tl2br w:val="nil"/>
              <w:tr2bl w:val="nil"/>
            </w:tcBorders>
            <w:tcMar>
              <w:top w:w="15" w:type="dxa"/>
              <w:left w:w="15" w:type="dxa"/>
              <w:right w:w="15" w:type="dxa"/>
            </w:tcMar>
            <w:vAlign w:val="center"/>
          </w:tcPr>
          <w:p w14:paraId="3A3C44AD">
            <w:pPr>
              <w:jc w:val="right"/>
              <w:rPr>
                <w:rFonts w:ascii="Times New Roman" w:hAnsi="Times New Roman" w:cs="Times New Roman"/>
                <w:sz w:val="18"/>
                <w:szCs w:val="18"/>
              </w:rPr>
            </w:pPr>
          </w:p>
        </w:tc>
        <w:tc>
          <w:tcPr>
            <w:tcW w:w="1395" w:type="dxa"/>
            <w:tcBorders>
              <w:tl2br w:val="nil"/>
              <w:tr2bl w:val="nil"/>
            </w:tcBorders>
            <w:tcMar>
              <w:top w:w="15" w:type="dxa"/>
              <w:left w:w="15" w:type="dxa"/>
              <w:right w:w="15" w:type="dxa"/>
            </w:tcMar>
            <w:vAlign w:val="center"/>
          </w:tcPr>
          <w:p w14:paraId="3FB12F7F">
            <w:pPr>
              <w:jc w:val="both"/>
              <w:rPr>
                <w:rFonts w:ascii="Times New Roman" w:hAnsi="Times New Roman" w:cs="Times New Roman"/>
                <w:sz w:val="18"/>
                <w:szCs w:val="18"/>
              </w:rPr>
            </w:pPr>
          </w:p>
        </w:tc>
        <w:tc>
          <w:tcPr>
            <w:tcW w:w="985" w:type="dxa"/>
            <w:tcBorders>
              <w:tl2br w:val="nil"/>
              <w:tr2bl w:val="nil"/>
            </w:tcBorders>
            <w:tcMar>
              <w:top w:w="15" w:type="dxa"/>
              <w:left w:w="15" w:type="dxa"/>
              <w:right w:w="15" w:type="dxa"/>
            </w:tcMar>
            <w:vAlign w:val="center"/>
          </w:tcPr>
          <w:p w14:paraId="317418D5">
            <w:pPr>
              <w:jc w:val="center"/>
              <w:textAlignment w:val="center"/>
              <w:rPr>
                <w:rFonts w:ascii="Times New Roman" w:hAnsi="Times New Roman" w:cs="Times New Roman"/>
                <w:sz w:val="18"/>
                <w:szCs w:val="18"/>
              </w:rPr>
            </w:pPr>
            <w:r>
              <w:rPr>
                <w:rFonts w:ascii="Times New Roman" w:hAnsi="Times New Roman" w:cs="Times New Roman"/>
                <w:sz w:val="18"/>
                <w:szCs w:val="18"/>
              </w:rPr>
              <w:t>预期性</w:t>
            </w:r>
          </w:p>
        </w:tc>
      </w:tr>
      <w:tr w14:paraId="69E36D0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37" w:hRule="atLeast"/>
          <w:jc w:val="center"/>
        </w:trPr>
        <w:tc>
          <w:tcPr>
            <w:tcW w:w="4899" w:type="dxa"/>
            <w:tcBorders>
              <w:tl2br w:val="nil"/>
              <w:tr2bl w:val="nil"/>
            </w:tcBorders>
            <w:tcMar>
              <w:top w:w="15" w:type="dxa"/>
              <w:left w:w="15" w:type="dxa"/>
              <w:right w:w="15" w:type="dxa"/>
            </w:tcMar>
            <w:vAlign w:val="bottom"/>
          </w:tcPr>
          <w:p w14:paraId="5E569BA3">
            <w:pPr>
              <w:jc w:val="both"/>
              <w:textAlignment w:val="center"/>
              <w:rPr>
                <w:rFonts w:ascii="Times New Roman" w:hAnsi="Times New Roman" w:cs="Times New Roman"/>
                <w:sz w:val="18"/>
                <w:szCs w:val="18"/>
              </w:rPr>
            </w:pPr>
            <w:r>
              <w:rPr>
                <w:rFonts w:ascii="Times New Roman" w:hAnsi="Times New Roman" w:cs="Times New Roman"/>
                <w:sz w:val="18"/>
                <w:szCs w:val="18"/>
              </w:rPr>
              <w:t>3.财政总收入（亿元）</w:t>
            </w:r>
          </w:p>
        </w:tc>
        <w:tc>
          <w:tcPr>
            <w:tcW w:w="884" w:type="dxa"/>
            <w:tcBorders>
              <w:tl2br w:val="nil"/>
              <w:tr2bl w:val="nil"/>
            </w:tcBorders>
            <w:tcMar>
              <w:top w:w="15" w:type="dxa"/>
              <w:left w:w="15" w:type="dxa"/>
              <w:right w:w="15" w:type="dxa"/>
            </w:tcMar>
            <w:vAlign w:val="center"/>
          </w:tcPr>
          <w:p w14:paraId="49F2AD70">
            <w:pPr>
              <w:jc w:val="right"/>
              <w:textAlignment w:val="center"/>
              <w:rPr>
                <w:rFonts w:ascii="Times New Roman" w:hAnsi="Times New Roman" w:cs="Times New Roman"/>
                <w:sz w:val="18"/>
                <w:szCs w:val="18"/>
              </w:rPr>
            </w:pPr>
            <w:r>
              <w:rPr>
                <w:rFonts w:ascii="Times New Roman" w:hAnsi="Times New Roman" w:cs="Times New Roman"/>
                <w:sz w:val="18"/>
                <w:szCs w:val="18"/>
              </w:rPr>
              <w:t>10.0068</w:t>
            </w:r>
          </w:p>
        </w:tc>
        <w:tc>
          <w:tcPr>
            <w:tcW w:w="917" w:type="dxa"/>
            <w:tcBorders>
              <w:tl2br w:val="nil"/>
              <w:tr2bl w:val="nil"/>
            </w:tcBorders>
            <w:tcMar>
              <w:top w:w="15" w:type="dxa"/>
              <w:left w:w="15" w:type="dxa"/>
              <w:right w:w="15" w:type="dxa"/>
            </w:tcMar>
            <w:vAlign w:val="center"/>
          </w:tcPr>
          <w:p w14:paraId="625CE549">
            <w:pPr>
              <w:jc w:val="right"/>
              <w:rPr>
                <w:rFonts w:ascii="Times New Roman" w:hAnsi="Times New Roman" w:cs="Times New Roman"/>
                <w:sz w:val="18"/>
                <w:szCs w:val="18"/>
              </w:rPr>
            </w:pPr>
            <w:r>
              <w:rPr>
                <w:rFonts w:ascii="Times New Roman" w:hAnsi="Times New Roman" w:cs="Times New Roman"/>
                <w:sz w:val="18"/>
                <w:szCs w:val="18"/>
              </w:rPr>
              <w:t>8.1857</w:t>
            </w:r>
          </w:p>
        </w:tc>
        <w:tc>
          <w:tcPr>
            <w:tcW w:w="1395" w:type="dxa"/>
            <w:tcBorders>
              <w:tl2br w:val="nil"/>
              <w:tr2bl w:val="nil"/>
            </w:tcBorders>
            <w:tcMar>
              <w:top w:w="15" w:type="dxa"/>
              <w:left w:w="15" w:type="dxa"/>
              <w:right w:w="15" w:type="dxa"/>
            </w:tcMar>
            <w:vAlign w:val="center"/>
          </w:tcPr>
          <w:p w14:paraId="6A3C9A22">
            <w:pPr>
              <w:jc w:val="right"/>
              <w:rPr>
                <w:rFonts w:ascii="Times New Roman" w:hAnsi="Times New Roman" w:cs="Times New Roman"/>
                <w:sz w:val="18"/>
                <w:szCs w:val="18"/>
              </w:rPr>
            </w:pPr>
            <w:r>
              <w:rPr>
                <w:rFonts w:ascii="Times New Roman" w:hAnsi="Times New Roman" w:cs="Times New Roman"/>
                <w:sz w:val="18"/>
                <w:szCs w:val="18"/>
              </w:rPr>
              <w:t>2.9</w:t>
            </w:r>
          </w:p>
        </w:tc>
        <w:tc>
          <w:tcPr>
            <w:tcW w:w="985" w:type="dxa"/>
            <w:tcBorders>
              <w:tl2br w:val="nil"/>
              <w:tr2bl w:val="nil"/>
            </w:tcBorders>
            <w:tcMar>
              <w:top w:w="15" w:type="dxa"/>
              <w:left w:w="15" w:type="dxa"/>
              <w:right w:w="15" w:type="dxa"/>
            </w:tcMar>
            <w:vAlign w:val="center"/>
          </w:tcPr>
          <w:p w14:paraId="2A8130B6">
            <w:pPr>
              <w:jc w:val="center"/>
              <w:textAlignment w:val="center"/>
              <w:rPr>
                <w:rFonts w:ascii="Times New Roman" w:hAnsi="Times New Roman" w:cs="Times New Roman"/>
                <w:sz w:val="18"/>
                <w:szCs w:val="18"/>
              </w:rPr>
            </w:pPr>
            <w:r>
              <w:rPr>
                <w:rFonts w:ascii="Times New Roman" w:hAnsi="Times New Roman" w:cs="Times New Roman"/>
                <w:sz w:val="18"/>
                <w:szCs w:val="18"/>
              </w:rPr>
              <w:t>预期性</w:t>
            </w:r>
          </w:p>
        </w:tc>
      </w:tr>
      <w:tr w14:paraId="1BB0F78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29" w:hRule="atLeast"/>
          <w:jc w:val="center"/>
        </w:trPr>
        <w:tc>
          <w:tcPr>
            <w:tcW w:w="4899" w:type="dxa"/>
            <w:tcBorders>
              <w:tl2br w:val="nil"/>
              <w:tr2bl w:val="nil"/>
            </w:tcBorders>
            <w:tcMar>
              <w:top w:w="15" w:type="dxa"/>
              <w:left w:w="15" w:type="dxa"/>
              <w:right w:w="15" w:type="dxa"/>
            </w:tcMar>
            <w:vAlign w:val="bottom"/>
          </w:tcPr>
          <w:p w14:paraId="66DED8C8">
            <w:pPr>
              <w:jc w:val="both"/>
              <w:textAlignment w:val="center"/>
              <w:rPr>
                <w:rFonts w:ascii="Times New Roman" w:hAnsi="Times New Roman" w:cs="Times New Roman"/>
                <w:sz w:val="18"/>
                <w:szCs w:val="18"/>
              </w:rPr>
            </w:pPr>
            <w:r>
              <w:rPr>
                <w:rFonts w:ascii="Times New Roman" w:hAnsi="Times New Roman" w:cs="Times New Roman"/>
                <w:sz w:val="18"/>
                <w:szCs w:val="18"/>
              </w:rPr>
              <w:t>4.一般公共预算收入（亿元）</w:t>
            </w:r>
          </w:p>
        </w:tc>
        <w:tc>
          <w:tcPr>
            <w:tcW w:w="884" w:type="dxa"/>
            <w:tcBorders>
              <w:tl2br w:val="nil"/>
              <w:tr2bl w:val="nil"/>
            </w:tcBorders>
            <w:tcMar>
              <w:top w:w="15" w:type="dxa"/>
              <w:left w:w="15" w:type="dxa"/>
              <w:right w:w="15" w:type="dxa"/>
            </w:tcMar>
            <w:vAlign w:val="center"/>
          </w:tcPr>
          <w:p w14:paraId="627562C7">
            <w:pPr>
              <w:ind w:firstLine="180" w:firstLineChars="100"/>
              <w:jc w:val="right"/>
              <w:textAlignment w:val="center"/>
              <w:rPr>
                <w:rFonts w:ascii="Times New Roman" w:hAnsi="Times New Roman" w:cs="Times New Roman"/>
                <w:sz w:val="18"/>
                <w:szCs w:val="18"/>
              </w:rPr>
            </w:pPr>
            <w:r>
              <w:rPr>
                <w:rFonts w:ascii="Times New Roman" w:hAnsi="Times New Roman" w:cs="Times New Roman"/>
                <w:sz w:val="18"/>
                <w:szCs w:val="18"/>
              </w:rPr>
              <w:t>4.06</w:t>
            </w:r>
          </w:p>
        </w:tc>
        <w:tc>
          <w:tcPr>
            <w:tcW w:w="917" w:type="dxa"/>
            <w:tcBorders>
              <w:tl2br w:val="nil"/>
              <w:tr2bl w:val="nil"/>
            </w:tcBorders>
            <w:tcMar>
              <w:top w:w="15" w:type="dxa"/>
              <w:left w:w="15" w:type="dxa"/>
              <w:right w:w="15" w:type="dxa"/>
            </w:tcMar>
            <w:vAlign w:val="center"/>
          </w:tcPr>
          <w:p w14:paraId="1C924BAE">
            <w:pPr>
              <w:jc w:val="right"/>
              <w:rPr>
                <w:rFonts w:ascii="Times New Roman" w:hAnsi="Times New Roman" w:cs="Times New Roman"/>
                <w:sz w:val="18"/>
                <w:szCs w:val="18"/>
              </w:rPr>
            </w:pPr>
            <w:r>
              <w:rPr>
                <w:rFonts w:ascii="Times New Roman" w:hAnsi="Times New Roman" w:cs="Times New Roman"/>
                <w:sz w:val="18"/>
                <w:szCs w:val="18"/>
              </w:rPr>
              <w:t>5.0152</w:t>
            </w:r>
          </w:p>
        </w:tc>
        <w:tc>
          <w:tcPr>
            <w:tcW w:w="1395" w:type="dxa"/>
            <w:tcBorders>
              <w:tl2br w:val="nil"/>
              <w:tr2bl w:val="nil"/>
            </w:tcBorders>
            <w:tcMar>
              <w:top w:w="15" w:type="dxa"/>
              <w:left w:w="15" w:type="dxa"/>
              <w:right w:w="15" w:type="dxa"/>
            </w:tcMar>
            <w:vAlign w:val="center"/>
          </w:tcPr>
          <w:p w14:paraId="690AA5CD">
            <w:pPr>
              <w:jc w:val="right"/>
              <w:rPr>
                <w:rFonts w:ascii="Times New Roman" w:hAnsi="Times New Roman" w:cs="Times New Roman"/>
                <w:sz w:val="18"/>
                <w:szCs w:val="18"/>
              </w:rPr>
            </w:pPr>
            <w:r>
              <w:rPr>
                <w:rFonts w:ascii="Times New Roman" w:hAnsi="Times New Roman" w:cs="Times New Roman"/>
                <w:sz w:val="18"/>
                <w:szCs w:val="18"/>
              </w:rPr>
              <w:t>3.4</w:t>
            </w:r>
          </w:p>
        </w:tc>
        <w:tc>
          <w:tcPr>
            <w:tcW w:w="985" w:type="dxa"/>
            <w:tcBorders>
              <w:tl2br w:val="nil"/>
              <w:tr2bl w:val="nil"/>
            </w:tcBorders>
            <w:tcMar>
              <w:top w:w="15" w:type="dxa"/>
              <w:left w:w="15" w:type="dxa"/>
              <w:right w:w="15" w:type="dxa"/>
            </w:tcMar>
            <w:vAlign w:val="center"/>
          </w:tcPr>
          <w:p w14:paraId="10E0AA8E">
            <w:pPr>
              <w:jc w:val="center"/>
              <w:textAlignment w:val="center"/>
              <w:rPr>
                <w:rFonts w:ascii="Times New Roman" w:hAnsi="Times New Roman" w:cs="Times New Roman"/>
                <w:sz w:val="18"/>
                <w:szCs w:val="18"/>
              </w:rPr>
            </w:pPr>
            <w:r>
              <w:rPr>
                <w:rFonts w:ascii="Times New Roman" w:hAnsi="Times New Roman" w:cs="Times New Roman"/>
                <w:sz w:val="18"/>
                <w:szCs w:val="18"/>
              </w:rPr>
              <w:t>预期性</w:t>
            </w:r>
          </w:p>
        </w:tc>
      </w:tr>
      <w:tr w14:paraId="0AAE2E3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29" w:hRule="atLeast"/>
          <w:jc w:val="center"/>
        </w:trPr>
        <w:tc>
          <w:tcPr>
            <w:tcW w:w="4899" w:type="dxa"/>
            <w:tcBorders>
              <w:tl2br w:val="nil"/>
              <w:tr2bl w:val="nil"/>
            </w:tcBorders>
            <w:tcMar>
              <w:top w:w="15" w:type="dxa"/>
              <w:left w:w="15" w:type="dxa"/>
              <w:right w:w="15" w:type="dxa"/>
            </w:tcMar>
            <w:vAlign w:val="bottom"/>
          </w:tcPr>
          <w:p w14:paraId="2EA0AF97">
            <w:pPr>
              <w:jc w:val="both"/>
              <w:rPr>
                <w:rFonts w:ascii="Times New Roman" w:hAnsi="Times New Roman" w:cs="Times New Roman"/>
                <w:sz w:val="18"/>
                <w:szCs w:val="18"/>
              </w:rPr>
            </w:pPr>
            <w:r>
              <w:rPr>
                <w:rFonts w:ascii="Times New Roman" w:hAnsi="Times New Roman" w:cs="Times New Roman"/>
                <w:sz w:val="18"/>
                <w:szCs w:val="18"/>
              </w:rPr>
              <w:t>5.服务业增加值比重（%）</w:t>
            </w:r>
          </w:p>
        </w:tc>
        <w:tc>
          <w:tcPr>
            <w:tcW w:w="884" w:type="dxa"/>
            <w:tcBorders>
              <w:tl2br w:val="nil"/>
              <w:tr2bl w:val="nil"/>
            </w:tcBorders>
            <w:tcMar>
              <w:top w:w="15" w:type="dxa"/>
              <w:left w:w="15" w:type="dxa"/>
              <w:right w:w="15" w:type="dxa"/>
            </w:tcMar>
            <w:vAlign w:val="bottom"/>
          </w:tcPr>
          <w:p w14:paraId="42B2D278">
            <w:pPr>
              <w:jc w:val="right"/>
              <w:rPr>
                <w:rFonts w:ascii="Times New Roman" w:hAnsi="Times New Roman" w:cs="Times New Roman"/>
                <w:sz w:val="18"/>
                <w:szCs w:val="18"/>
              </w:rPr>
            </w:pPr>
            <w:r>
              <w:rPr>
                <w:rFonts w:ascii="Times New Roman" w:hAnsi="Times New Roman" w:cs="Times New Roman"/>
                <w:sz w:val="18"/>
                <w:szCs w:val="18"/>
              </w:rPr>
              <w:t>33</w:t>
            </w:r>
          </w:p>
        </w:tc>
        <w:tc>
          <w:tcPr>
            <w:tcW w:w="917" w:type="dxa"/>
            <w:tcBorders>
              <w:tl2br w:val="nil"/>
              <w:tr2bl w:val="nil"/>
            </w:tcBorders>
            <w:tcMar>
              <w:top w:w="15" w:type="dxa"/>
              <w:left w:w="15" w:type="dxa"/>
              <w:right w:w="15" w:type="dxa"/>
            </w:tcMar>
            <w:vAlign w:val="center"/>
          </w:tcPr>
          <w:p w14:paraId="36311264">
            <w:pPr>
              <w:jc w:val="right"/>
              <w:rPr>
                <w:rFonts w:ascii="Times New Roman" w:hAnsi="Times New Roman" w:cs="Times New Roman"/>
                <w:sz w:val="18"/>
                <w:szCs w:val="18"/>
              </w:rPr>
            </w:pPr>
            <w:r>
              <w:rPr>
                <w:rFonts w:ascii="Times New Roman" w:hAnsi="Times New Roman" w:cs="Times New Roman"/>
                <w:sz w:val="18"/>
                <w:szCs w:val="18"/>
              </w:rPr>
              <w:t>49.8</w:t>
            </w:r>
          </w:p>
        </w:tc>
        <w:tc>
          <w:tcPr>
            <w:tcW w:w="1395" w:type="dxa"/>
            <w:tcBorders>
              <w:tl2br w:val="nil"/>
              <w:tr2bl w:val="nil"/>
            </w:tcBorders>
            <w:tcMar>
              <w:top w:w="15" w:type="dxa"/>
              <w:left w:w="15" w:type="dxa"/>
              <w:right w:w="15" w:type="dxa"/>
            </w:tcMar>
            <w:vAlign w:val="center"/>
          </w:tcPr>
          <w:p w14:paraId="5310CDC1">
            <w:pPr>
              <w:jc w:val="right"/>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center"/>
          </w:tcPr>
          <w:p w14:paraId="5B122190">
            <w:pPr>
              <w:jc w:val="center"/>
              <w:textAlignment w:val="center"/>
              <w:rPr>
                <w:rFonts w:ascii="Times New Roman" w:hAnsi="Times New Roman" w:cs="Times New Roman"/>
                <w:sz w:val="18"/>
                <w:szCs w:val="18"/>
              </w:rPr>
            </w:pPr>
            <w:r>
              <w:rPr>
                <w:rFonts w:ascii="Times New Roman" w:hAnsi="Times New Roman" w:cs="Times New Roman"/>
                <w:sz w:val="18"/>
                <w:szCs w:val="18"/>
              </w:rPr>
              <w:t>预期性</w:t>
            </w:r>
          </w:p>
        </w:tc>
      </w:tr>
      <w:tr w14:paraId="7B0B99E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29" w:hRule="atLeast"/>
          <w:jc w:val="center"/>
        </w:trPr>
        <w:tc>
          <w:tcPr>
            <w:tcW w:w="4899" w:type="dxa"/>
            <w:tcBorders>
              <w:tl2br w:val="nil"/>
              <w:tr2bl w:val="nil"/>
            </w:tcBorders>
            <w:tcMar>
              <w:top w:w="15" w:type="dxa"/>
              <w:left w:w="15" w:type="dxa"/>
              <w:right w:w="15" w:type="dxa"/>
            </w:tcMar>
            <w:vAlign w:val="center"/>
          </w:tcPr>
          <w:p w14:paraId="57F925F4">
            <w:pPr>
              <w:jc w:val="both"/>
              <w:rPr>
                <w:rFonts w:ascii="Times New Roman" w:hAnsi="Times New Roman" w:cs="Times New Roman"/>
                <w:sz w:val="18"/>
                <w:szCs w:val="18"/>
              </w:rPr>
            </w:pPr>
            <w:r>
              <w:rPr>
                <w:rFonts w:ascii="Times New Roman" w:hAnsi="Times New Roman" w:cs="Times New Roman"/>
                <w:sz w:val="18"/>
                <w:szCs w:val="18"/>
              </w:rPr>
              <w:t>6.外贸进出口总额（万美元）</w:t>
            </w:r>
          </w:p>
        </w:tc>
        <w:tc>
          <w:tcPr>
            <w:tcW w:w="884" w:type="dxa"/>
            <w:tcBorders>
              <w:tl2br w:val="nil"/>
              <w:tr2bl w:val="nil"/>
            </w:tcBorders>
            <w:tcMar>
              <w:top w:w="15" w:type="dxa"/>
              <w:left w:w="15" w:type="dxa"/>
              <w:right w:w="15" w:type="dxa"/>
            </w:tcMar>
            <w:vAlign w:val="bottom"/>
          </w:tcPr>
          <w:p w14:paraId="47E54BD9">
            <w:pPr>
              <w:jc w:val="right"/>
              <w:textAlignment w:val="center"/>
              <w:rPr>
                <w:rFonts w:ascii="Times New Roman" w:hAnsi="Times New Roman" w:cs="Times New Roman"/>
                <w:sz w:val="18"/>
                <w:szCs w:val="18"/>
              </w:rPr>
            </w:pPr>
            <w:r>
              <w:rPr>
                <w:rFonts w:ascii="Times New Roman" w:hAnsi="Times New Roman" w:cs="Times New Roman"/>
                <w:sz w:val="18"/>
                <w:szCs w:val="18"/>
              </w:rPr>
              <w:t>5904</w:t>
            </w:r>
          </w:p>
        </w:tc>
        <w:tc>
          <w:tcPr>
            <w:tcW w:w="917" w:type="dxa"/>
            <w:tcBorders>
              <w:tl2br w:val="nil"/>
              <w:tr2bl w:val="nil"/>
            </w:tcBorders>
            <w:tcMar>
              <w:top w:w="15" w:type="dxa"/>
              <w:left w:w="15" w:type="dxa"/>
              <w:right w:w="15" w:type="dxa"/>
            </w:tcMar>
            <w:vAlign w:val="center"/>
          </w:tcPr>
          <w:p w14:paraId="4A1394DB">
            <w:pPr>
              <w:jc w:val="right"/>
              <w:rPr>
                <w:rFonts w:ascii="Times New Roman" w:hAnsi="Times New Roman" w:cs="Times New Roman"/>
                <w:sz w:val="18"/>
                <w:szCs w:val="18"/>
              </w:rPr>
            </w:pPr>
          </w:p>
        </w:tc>
        <w:tc>
          <w:tcPr>
            <w:tcW w:w="1395" w:type="dxa"/>
            <w:tcBorders>
              <w:tl2br w:val="nil"/>
              <w:tr2bl w:val="nil"/>
            </w:tcBorders>
            <w:tcMar>
              <w:top w:w="15" w:type="dxa"/>
              <w:left w:w="15" w:type="dxa"/>
              <w:right w:w="15" w:type="dxa"/>
            </w:tcMar>
            <w:vAlign w:val="center"/>
          </w:tcPr>
          <w:p w14:paraId="0DD22226">
            <w:pPr>
              <w:jc w:val="right"/>
              <w:rPr>
                <w:rFonts w:ascii="Times New Roman" w:hAnsi="Times New Roman" w:cs="Times New Roman"/>
                <w:sz w:val="18"/>
                <w:szCs w:val="18"/>
              </w:rPr>
            </w:pPr>
            <w:r>
              <w:rPr>
                <w:rFonts w:ascii="Times New Roman" w:hAnsi="Times New Roman" w:cs="Times New Roman"/>
                <w:sz w:val="18"/>
                <w:szCs w:val="18"/>
              </w:rPr>
              <w:t>21.86</w:t>
            </w:r>
          </w:p>
        </w:tc>
        <w:tc>
          <w:tcPr>
            <w:tcW w:w="985" w:type="dxa"/>
            <w:tcBorders>
              <w:tl2br w:val="nil"/>
              <w:tr2bl w:val="nil"/>
            </w:tcBorders>
            <w:tcMar>
              <w:top w:w="15" w:type="dxa"/>
              <w:left w:w="15" w:type="dxa"/>
              <w:right w:w="15" w:type="dxa"/>
            </w:tcMar>
            <w:vAlign w:val="center"/>
          </w:tcPr>
          <w:p w14:paraId="7E0B5249">
            <w:pPr>
              <w:jc w:val="center"/>
              <w:textAlignment w:val="center"/>
              <w:rPr>
                <w:rFonts w:ascii="Times New Roman" w:hAnsi="Times New Roman" w:cs="Times New Roman"/>
                <w:sz w:val="18"/>
                <w:szCs w:val="18"/>
              </w:rPr>
            </w:pPr>
            <w:r>
              <w:rPr>
                <w:rFonts w:ascii="Times New Roman" w:hAnsi="Times New Roman" w:cs="Times New Roman"/>
                <w:sz w:val="18"/>
                <w:szCs w:val="18"/>
              </w:rPr>
              <w:t>预期性</w:t>
            </w:r>
          </w:p>
        </w:tc>
      </w:tr>
      <w:tr w14:paraId="29CF539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29" w:hRule="atLeast"/>
          <w:jc w:val="center"/>
        </w:trPr>
        <w:tc>
          <w:tcPr>
            <w:tcW w:w="9080" w:type="dxa"/>
            <w:gridSpan w:val="5"/>
            <w:tcBorders>
              <w:tl2br w:val="nil"/>
              <w:tr2bl w:val="nil"/>
            </w:tcBorders>
            <w:tcMar>
              <w:top w:w="15" w:type="dxa"/>
              <w:left w:w="15" w:type="dxa"/>
              <w:right w:w="15" w:type="dxa"/>
            </w:tcMar>
            <w:vAlign w:val="center"/>
          </w:tcPr>
          <w:p w14:paraId="39AC635A">
            <w:pPr>
              <w:jc w:val="left"/>
              <w:textAlignment w:val="center"/>
              <w:rPr>
                <w:rFonts w:ascii="Times New Roman" w:hAnsi="Times New Roman" w:cs="Times New Roman"/>
                <w:sz w:val="18"/>
                <w:szCs w:val="18"/>
              </w:rPr>
            </w:pPr>
            <w:r>
              <w:rPr>
                <w:rFonts w:ascii="Times New Roman" w:hAnsi="Times New Roman" w:cs="Times New Roman"/>
                <w:sz w:val="18"/>
                <w:szCs w:val="18"/>
              </w:rPr>
              <w:t>二、创新驱动（4项）</w:t>
            </w:r>
          </w:p>
        </w:tc>
      </w:tr>
      <w:tr w14:paraId="7EDB065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29" w:hRule="atLeast"/>
          <w:jc w:val="center"/>
        </w:trPr>
        <w:tc>
          <w:tcPr>
            <w:tcW w:w="4899" w:type="dxa"/>
            <w:tcBorders>
              <w:tl2br w:val="nil"/>
              <w:tr2bl w:val="nil"/>
            </w:tcBorders>
            <w:tcMar>
              <w:top w:w="15" w:type="dxa"/>
              <w:left w:w="15" w:type="dxa"/>
              <w:right w:w="15" w:type="dxa"/>
            </w:tcMar>
            <w:vAlign w:val="center"/>
          </w:tcPr>
          <w:p w14:paraId="4BDA3575">
            <w:pPr>
              <w:jc w:val="both"/>
              <w:textAlignment w:val="center"/>
              <w:rPr>
                <w:rFonts w:ascii="Times New Roman" w:hAnsi="Times New Roman" w:cs="Times New Roman"/>
                <w:sz w:val="18"/>
                <w:szCs w:val="18"/>
              </w:rPr>
            </w:pPr>
            <w:r>
              <w:rPr>
                <w:rFonts w:ascii="Times New Roman" w:hAnsi="Times New Roman" w:cs="Times New Roman"/>
                <w:sz w:val="18"/>
                <w:szCs w:val="18"/>
              </w:rPr>
              <w:t>7.研究与试验发展（R&amp;D)经费投入强度（%）</w:t>
            </w:r>
          </w:p>
        </w:tc>
        <w:tc>
          <w:tcPr>
            <w:tcW w:w="884" w:type="dxa"/>
            <w:tcBorders>
              <w:tl2br w:val="nil"/>
              <w:tr2bl w:val="nil"/>
            </w:tcBorders>
            <w:tcMar>
              <w:top w:w="15" w:type="dxa"/>
              <w:left w:w="15" w:type="dxa"/>
              <w:right w:w="15" w:type="dxa"/>
            </w:tcMar>
            <w:vAlign w:val="center"/>
          </w:tcPr>
          <w:p w14:paraId="69D9EFE2">
            <w:pPr>
              <w:jc w:val="right"/>
              <w:textAlignment w:val="center"/>
              <w:rPr>
                <w:rFonts w:ascii="Times New Roman" w:hAnsi="Times New Roman" w:cs="Times New Roman"/>
                <w:sz w:val="18"/>
                <w:szCs w:val="18"/>
              </w:rPr>
            </w:pPr>
            <w:r>
              <w:rPr>
                <w:rFonts w:ascii="Times New Roman" w:hAnsi="Times New Roman" w:cs="Times New Roman"/>
                <w:sz w:val="18"/>
                <w:szCs w:val="18"/>
              </w:rPr>
              <w:t>1</w:t>
            </w:r>
          </w:p>
        </w:tc>
        <w:tc>
          <w:tcPr>
            <w:tcW w:w="917" w:type="dxa"/>
            <w:tcBorders>
              <w:tl2br w:val="nil"/>
              <w:tr2bl w:val="nil"/>
            </w:tcBorders>
            <w:tcMar>
              <w:top w:w="15" w:type="dxa"/>
              <w:left w:w="15" w:type="dxa"/>
              <w:right w:w="15" w:type="dxa"/>
            </w:tcMar>
            <w:vAlign w:val="center"/>
          </w:tcPr>
          <w:p w14:paraId="51DE2EA6">
            <w:pPr>
              <w:jc w:val="right"/>
              <w:rPr>
                <w:rFonts w:ascii="Times New Roman" w:hAnsi="Times New Roman" w:cs="Times New Roman"/>
                <w:sz w:val="18"/>
                <w:szCs w:val="18"/>
              </w:rPr>
            </w:pPr>
            <w:r>
              <w:rPr>
                <w:rFonts w:ascii="Times New Roman" w:hAnsi="Times New Roman" w:cs="Times New Roman"/>
                <w:sz w:val="18"/>
                <w:szCs w:val="18"/>
              </w:rPr>
              <w:t>1.4</w:t>
            </w:r>
          </w:p>
        </w:tc>
        <w:tc>
          <w:tcPr>
            <w:tcW w:w="1395" w:type="dxa"/>
            <w:tcBorders>
              <w:tl2br w:val="nil"/>
              <w:tr2bl w:val="nil"/>
            </w:tcBorders>
            <w:tcMar>
              <w:top w:w="15" w:type="dxa"/>
              <w:left w:w="15" w:type="dxa"/>
              <w:right w:w="15" w:type="dxa"/>
            </w:tcMar>
            <w:vAlign w:val="center"/>
          </w:tcPr>
          <w:p w14:paraId="26363C15">
            <w:pPr>
              <w:jc w:val="both"/>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center"/>
          </w:tcPr>
          <w:p w14:paraId="10C5279B">
            <w:pPr>
              <w:jc w:val="center"/>
              <w:textAlignment w:val="center"/>
              <w:rPr>
                <w:rFonts w:ascii="Times New Roman" w:hAnsi="Times New Roman" w:cs="Times New Roman"/>
                <w:sz w:val="18"/>
                <w:szCs w:val="18"/>
              </w:rPr>
            </w:pPr>
            <w:r>
              <w:rPr>
                <w:rFonts w:ascii="Times New Roman" w:hAnsi="Times New Roman" w:cs="Times New Roman"/>
                <w:sz w:val="18"/>
                <w:szCs w:val="18"/>
              </w:rPr>
              <w:t>预期性</w:t>
            </w:r>
          </w:p>
        </w:tc>
      </w:tr>
      <w:tr w14:paraId="70523FC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29" w:hRule="atLeast"/>
          <w:jc w:val="center"/>
        </w:trPr>
        <w:tc>
          <w:tcPr>
            <w:tcW w:w="4899" w:type="dxa"/>
            <w:tcBorders>
              <w:tl2br w:val="nil"/>
              <w:tr2bl w:val="nil"/>
            </w:tcBorders>
            <w:tcMar>
              <w:top w:w="15" w:type="dxa"/>
              <w:left w:w="15" w:type="dxa"/>
              <w:right w:w="15" w:type="dxa"/>
            </w:tcMar>
            <w:vAlign w:val="center"/>
          </w:tcPr>
          <w:p w14:paraId="2CB5D779">
            <w:pPr>
              <w:jc w:val="both"/>
              <w:textAlignment w:val="center"/>
              <w:rPr>
                <w:rFonts w:ascii="Times New Roman" w:hAnsi="Times New Roman" w:cs="Times New Roman"/>
                <w:sz w:val="18"/>
                <w:szCs w:val="18"/>
              </w:rPr>
            </w:pPr>
            <w:r>
              <w:rPr>
                <w:rFonts w:ascii="Times New Roman" w:hAnsi="Times New Roman" w:cs="Times New Roman"/>
                <w:sz w:val="18"/>
                <w:szCs w:val="18"/>
              </w:rPr>
              <w:t>8.每万人口发明专利拥有量（件）</w:t>
            </w:r>
          </w:p>
        </w:tc>
        <w:tc>
          <w:tcPr>
            <w:tcW w:w="884" w:type="dxa"/>
            <w:tcBorders>
              <w:tl2br w:val="nil"/>
              <w:tr2bl w:val="nil"/>
            </w:tcBorders>
            <w:tcMar>
              <w:top w:w="15" w:type="dxa"/>
              <w:left w:w="15" w:type="dxa"/>
              <w:right w:w="15" w:type="dxa"/>
            </w:tcMar>
            <w:vAlign w:val="bottom"/>
          </w:tcPr>
          <w:p w14:paraId="11EDE391">
            <w:pPr>
              <w:jc w:val="right"/>
              <w:textAlignment w:val="center"/>
              <w:rPr>
                <w:rFonts w:ascii="Times New Roman" w:hAnsi="Times New Roman" w:cs="Times New Roman"/>
                <w:sz w:val="18"/>
                <w:szCs w:val="18"/>
              </w:rPr>
            </w:pPr>
            <w:r>
              <w:rPr>
                <w:rFonts w:ascii="Times New Roman" w:hAnsi="Times New Roman" w:cs="Times New Roman"/>
                <w:sz w:val="18"/>
                <w:szCs w:val="18"/>
              </w:rPr>
              <w:t>2.2</w:t>
            </w:r>
          </w:p>
        </w:tc>
        <w:tc>
          <w:tcPr>
            <w:tcW w:w="917" w:type="dxa"/>
            <w:tcBorders>
              <w:tl2br w:val="nil"/>
              <w:tr2bl w:val="nil"/>
            </w:tcBorders>
            <w:tcMar>
              <w:top w:w="15" w:type="dxa"/>
              <w:left w:w="15" w:type="dxa"/>
              <w:right w:w="15" w:type="dxa"/>
            </w:tcMar>
            <w:vAlign w:val="center"/>
          </w:tcPr>
          <w:p w14:paraId="269189B5">
            <w:pPr>
              <w:jc w:val="right"/>
              <w:rPr>
                <w:rFonts w:ascii="Times New Roman" w:hAnsi="Times New Roman" w:cs="Times New Roman"/>
                <w:sz w:val="18"/>
                <w:szCs w:val="18"/>
              </w:rPr>
            </w:pPr>
          </w:p>
        </w:tc>
        <w:tc>
          <w:tcPr>
            <w:tcW w:w="1395" w:type="dxa"/>
            <w:tcBorders>
              <w:tl2br w:val="nil"/>
              <w:tr2bl w:val="nil"/>
            </w:tcBorders>
            <w:tcMar>
              <w:top w:w="15" w:type="dxa"/>
              <w:left w:w="15" w:type="dxa"/>
              <w:right w:w="15" w:type="dxa"/>
            </w:tcMar>
            <w:vAlign w:val="center"/>
          </w:tcPr>
          <w:p w14:paraId="56F3705A">
            <w:pPr>
              <w:jc w:val="both"/>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center"/>
          </w:tcPr>
          <w:p w14:paraId="15D2E89F">
            <w:pPr>
              <w:jc w:val="center"/>
              <w:textAlignment w:val="center"/>
              <w:rPr>
                <w:rFonts w:ascii="Times New Roman" w:hAnsi="Times New Roman" w:cs="Times New Roman"/>
                <w:sz w:val="18"/>
                <w:szCs w:val="18"/>
              </w:rPr>
            </w:pPr>
            <w:r>
              <w:rPr>
                <w:rFonts w:ascii="Times New Roman" w:hAnsi="Times New Roman" w:cs="Times New Roman"/>
                <w:sz w:val="18"/>
                <w:szCs w:val="18"/>
              </w:rPr>
              <w:t>预期性</w:t>
            </w:r>
          </w:p>
        </w:tc>
      </w:tr>
      <w:tr w14:paraId="5AD3787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29" w:hRule="atLeast"/>
          <w:jc w:val="center"/>
        </w:trPr>
        <w:tc>
          <w:tcPr>
            <w:tcW w:w="4899" w:type="dxa"/>
            <w:tcBorders>
              <w:tl2br w:val="nil"/>
              <w:tr2bl w:val="nil"/>
            </w:tcBorders>
            <w:tcMar>
              <w:top w:w="15" w:type="dxa"/>
              <w:left w:w="15" w:type="dxa"/>
              <w:right w:w="15" w:type="dxa"/>
            </w:tcMar>
            <w:vAlign w:val="center"/>
          </w:tcPr>
          <w:p w14:paraId="388EB35B">
            <w:pPr>
              <w:jc w:val="both"/>
              <w:textAlignment w:val="center"/>
              <w:rPr>
                <w:rFonts w:ascii="Times New Roman" w:hAnsi="Times New Roman" w:cs="Times New Roman"/>
                <w:sz w:val="18"/>
                <w:szCs w:val="18"/>
              </w:rPr>
            </w:pPr>
            <w:r>
              <w:rPr>
                <w:rFonts w:ascii="Times New Roman" w:hAnsi="Times New Roman" w:cs="Times New Roman"/>
                <w:sz w:val="18"/>
                <w:szCs w:val="18"/>
              </w:rPr>
              <w:t>9.固定宽带接入用户普及率（%）</w:t>
            </w:r>
          </w:p>
        </w:tc>
        <w:tc>
          <w:tcPr>
            <w:tcW w:w="884" w:type="dxa"/>
            <w:tcBorders>
              <w:tl2br w:val="nil"/>
              <w:tr2bl w:val="nil"/>
            </w:tcBorders>
            <w:tcMar>
              <w:top w:w="15" w:type="dxa"/>
              <w:left w:w="15" w:type="dxa"/>
              <w:right w:w="15" w:type="dxa"/>
            </w:tcMar>
            <w:vAlign w:val="center"/>
          </w:tcPr>
          <w:p w14:paraId="3464C042">
            <w:pPr>
              <w:jc w:val="right"/>
              <w:textAlignment w:val="center"/>
              <w:rPr>
                <w:rFonts w:ascii="Times New Roman" w:hAnsi="Times New Roman" w:cs="Times New Roman"/>
                <w:sz w:val="18"/>
                <w:szCs w:val="18"/>
              </w:rPr>
            </w:pPr>
            <w:r>
              <w:rPr>
                <w:rFonts w:ascii="Times New Roman" w:hAnsi="Times New Roman" w:cs="Times New Roman"/>
                <w:sz w:val="18"/>
                <w:szCs w:val="18"/>
              </w:rPr>
              <w:t>-</w:t>
            </w:r>
          </w:p>
        </w:tc>
        <w:tc>
          <w:tcPr>
            <w:tcW w:w="917" w:type="dxa"/>
            <w:tcBorders>
              <w:tl2br w:val="nil"/>
              <w:tr2bl w:val="nil"/>
            </w:tcBorders>
            <w:tcMar>
              <w:top w:w="15" w:type="dxa"/>
              <w:left w:w="15" w:type="dxa"/>
              <w:right w:w="15" w:type="dxa"/>
            </w:tcMar>
            <w:vAlign w:val="center"/>
          </w:tcPr>
          <w:p w14:paraId="3BBD560C">
            <w:pPr>
              <w:jc w:val="right"/>
              <w:rPr>
                <w:rFonts w:ascii="Times New Roman" w:hAnsi="Times New Roman" w:cs="Times New Roman"/>
                <w:sz w:val="18"/>
                <w:szCs w:val="18"/>
              </w:rPr>
            </w:pPr>
            <w:r>
              <w:rPr>
                <w:rFonts w:ascii="Times New Roman" w:hAnsi="Times New Roman" w:cs="Times New Roman"/>
                <w:sz w:val="18"/>
                <w:szCs w:val="18"/>
              </w:rPr>
              <w:t>97</w:t>
            </w:r>
          </w:p>
        </w:tc>
        <w:tc>
          <w:tcPr>
            <w:tcW w:w="1395" w:type="dxa"/>
            <w:tcBorders>
              <w:tl2br w:val="nil"/>
              <w:tr2bl w:val="nil"/>
            </w:tcBorders>
            <w:tcMar>
              <w:top w:w="15" w:type="dxa"/>
              <w:left w:w="15" w:type="dxa"/>
              <w:right w:w="15" w:type="dxa"/>
            </w:tcMar>
            <w:vAlign w:val="center"/>
          </w:tcPr>
          <w:p w14:paraId="36910A72">
            <w:pPr>
              <w:jc w:val="both"/>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center"/>
          </w:tcPr>
          <w:p w14:paraId="0329539B">
            <w:pPr>
              <w:jc w:val="center"/>
              <w:textAlignment w:val="center"/>
              <w:rPr>
                <w:rFonts w:ascii="Times New Roman" w:hAnsi="Times New Roman" w:cs="Times New Roman"/>
                <w:sz w:val="18"/>
                <w:szCs w:val="18"/>
              </w:rPr>
            </w:pPr>
            <w:r>
              <w:rPr>
                <w:rFonts w:ascii="Times New Roman" w:hAnsi="Times New Roman" w:cs="Times New Roman"/>
                <w:sz w:val="18"/>
                <w:szCs w:val="18"/>
              </w:rPr>
              <w:t>预期性</w:t>
            </w:r>
          </w:p>
        </w:tc>
      </w:tr>
      <w:tr w14:paraId="5CAF5D4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29" w:hRule="atLeast"/>
          <w:jc w:val="center"/>
        </w:trPr>
        <w:tc>
          <w:tcPr>
            <w:tcW w:w="4899" w:type="dxa"/>
            <w:tcBorders>
              <w:tl2br w:val="nil"/>
              <w:tr2bl w:val="nil"/>
            </w:tcBorders>
            <w:tcMar>
              <w:top w:w="15" w:type="dxa"/>
              <w:left w:w="15" w:type="dxa"/>
              <w:right w:w="15" w:type="dxa"/>
            </w:tcMar>
            <w:vAlign w:val="center"/>
          </w:tcPr>
          <w:p w14:paraId="712C0990">
            <w:pPr>
              <w:jc w:val="both"/>
              <w:textAlignment w:val="center"/>
              <w:rPr>
                <w:rFonts w:ascii="Times New Roman" w:hAnsi="Times New Roman" w:cs="Times New Roman"/>
                <w:sz w:val="18"/>
                <w:szCs w:val="18"/>
              </w:rPr>
            </w:pPr>
            <w:r>
              <w:rPr>
                <w:rFonts w:ascii="Times New Roman" w:hAnsi="Times New Roman" w:cs="Times New Roman"/>
                <w:sz w:val="18"/>
                <w:szCs w:val="18"/>
              </w:rPr>
              <w:t>10.移动互联网用户普及率（%）</w:t>
            </w:r>
          </w:p>
        </w:tc>
        <w:tc>
          <w:tcPr>
            <w:tcW w:w="884" w:type="dxa"/>
            <w:tcBorders>
              <w:tl2br w:val="nil"/>
              <w:tr2bl w:val="nil"/>
            </w:tcBorders>
            <w:tcMar>
              <w:top w:w="15" w:type="dxa"/>
              <w:left w:w="15" w:type="dxa"/>
              <w:right w:w="15" w:type="dxa"/>
            </w:tcMar>
            <w:vAlign w:val="center"/>
          </w:tcPr>
          <w:p w14:paraId="4BDC58EB">
            <w:pPr>
              <w:jc w:val="right"/>
              <w:textAlignment w:val="center"/>
              <w:rPr>
                <w:rFonts w:ascii="Times New Roman" w:hAnsi="Times New Roman" w:cs="Times New Roman"/>
                <w:sz w:val="18"/>
                <w:szCs w:val="18"/>
              </w:rPr>
            </w:pPr>
            <w:r>
              <w:rPr>
                <w:rFonts w:ascii="Times New Roman" w:hAnsi="Times New Roman" w:cs="Times New Roman"/>
                <w:sz w:val="18"/>
                <w:szCs w:val="18"/>
              </w:rPr>
              <w:t>-</w:t>
            </w:r>
          </w:p>
        </w:tc>
        <w:tc>
          <w:tcPr>
            <w:tcW w:w="917" w:type="dxa"/>
            <w:tcBorders>
              <w:tl2br w:val="nil"/>
              <w:tr2bl w:val="nil"/>
            </w:tcBorders>
            <w:tcMar>
              <w:top w:w="15" w:type="dxa"/>
              <w:left w:w="15" w:type="dxa"/>
              <w:right w:w="15" w:type="dxa"/>
            </w:tcMar>
            <w:vAlign w:val="center"/>
          </w:tcPr>
          <w:p w14:paraId="2FECF942">
            <w:pPr>
              <w:jc w:val="right"/>
              <w:rPr>
                <w:rFonts w:ascii="Times New Roman" w:hAnsi="Times New Roman" w:cs="Times New Roman"/>
                <w:sz w:val="18"/>
                <w:szCs w:val="18"/>
              </w:rPr>
            </w:pPr>
            <w:r>
              <w:rPr>
                <w:rFonts w:ascii="Times New Roman" w:hAnsi="Times New Roman" w:cs="Times New Roman"/>
                <w:sz w:val="18"/>
                <w:szCs w:val="18"/>
              </w:rPr>
              <w:t>99</w:t>
            </w:r>
          </w:p>
        </w:tc>
        <w:tc>
          <w:tcPr>
            <w:tcW w:w="1395" w:type="dxa"/>
            <w:tcBorders>
              <w:tl2br w:val="nil"/>
              <w:tr2bl w:val="nil"/>
            </w:tcBorders>
            <w:tcMar>
              <w:top w:w="15" w:type="dxa"/>
              <w:left w:w="15" w:type="dxa"/>
              <w:right w:w="15" w:type="dxa"/>
            </w:tcMar>
            <w:vAlign w:val="center"/>
          </w:tcPr>
          <w:p w14:paraId="08170B70">
            <w:pPr>
              <w:jc w:val="both"/>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center"/>
          </w:tcPr>
          <w:p w14:paraId="76248826">
            <w:pPr>
              <w:jc w:val="center"/>
              <w:textAlignment w:val="center"/>
              <w:rPr>
                <w:rFonts w:ascii="Times New Roman" w:hAnsi="Times New Roman" w:cs="Times New Roman"/>
                <w:sz w:val="18"/>
                <w:szCs w:val="18"/>
              </w:rPr>
            </w:pPr>
            <w:r>
              <w:rPr>
                <w:rFonts w:ascii="Times New Roman" w:hAnsi="Times New Roman" w:cs="Times New Roman"/>
                <w:sz w:val="18"/>
                <w:szCs w:val="18"/>
              </w:rPr>
              <w:t>预期性</w:t>
            </w:r>
          </w:p>
        </w:tc>
      </w:tr>
      <w:tr w14:paraId="7B19C5C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29" w:hRule="atLeast"/>
          <w:jc w:val="center"/>
        </w:trPr>
        <w:tc>
          <w:tcPr>
            <w:tcW w:w="9080" w:type="dxa"/>
            <w:gridSpan w:val="5"/>
            <w:tcBorders>
              <w:tl2br w:val="nil"/>
              <w:tr2bl w:val="nil"/>
            </w:tcBorders>
            <w:tcMar>
              <w:top w:w="15" w:type="dxa"/>
              <w:left w:w="15" w:type="dxa"/>
              <w:right w:w="15" w:type="dxa"/>
            </w:tcMar>
            <w:vAlign w:val="center"/>
          </w:tcPr>
          <w:p w14:paraId="4B7A7C21">
            <w:pPr>
              <w:jc w:val="left"/>
              <w:textAlignment w:val="center"/>
              <w:rPr>
                <w:rFonts w:ascii="Times New Roman" w:hAnsi="Times New Roman" w:cs="Times New Roman"/>
                <w:sz w:val="18"/>
                <w:szCs w:val="18"/>
              </w:rPr>
            </w:pPr>
            <w:r>
              <w:rPr>
                <w:rFonts w:ascii="Times New Roman" w:hAnsi="Times New Roman" w:cs="Times New Roman"/>
                <w:sz w:val="18"/>
                <w:szCs w:val="18"/>
              </w:rPr>
              <w:t>三、城乡发展（5项）</w:t>
            </w:r>
          </w:p>
        </w:tc>
      </w:tr>
      <w:tr w14:paraId="7A2038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29" w:hRule="atLeast"/>
          <w:jc w:val="center"/>
        </w:trPr>
        <w:tc>
          <w:tcPr>
            <w:tcW w:w="4899" w:type="dxa"/>
            <w:tcBorders>
              <w:tl2br w:val="nil"/>
              <w:tr2bl w:val="nil"/>
            </w:tcBorders>
            <w:tcMar>
              <w:top w:w="15" w:type="dxa"/>
              <w:left w:w="15" w:type="dxa"/>
              <w:right w:w="15" w:type="dxa"/>
            </w:tcMar>
            <w:vAlign w:val="center"/>
          </w:tcPr>
          <w:p w14:paraId="5C1A5BDC">
            <w:pPr>
              <w:jc w:val="both"/>
              <w:textAlignment w:val="center"/>
              <w:rPr>
                <w:rFonts w:ascii="Times New Roman" w:hAnsi="Times New Roman" w:cs="Times New Roman"/>
                <w:sz w:val="18"/>
                <w:szCs w:val="18"/>
              </w:rPr>
            </w:pPr>
            <w:r>
              <w:rPr>
                <w:rFonts w:ascii="Times New Roman" w:hAnsi="Times New Roman" w:cs="Times New Roman"/>
                <w:sz w:val="18"/>
                <w:szCs w:val="18"/>
              </w:rPr>
              <w:t>11.中心城区建设用地规模（平方公里）</w:t>
            </w:r>
          </w:p>
        </w:tc>
        <w:tc>
          <w:tcPr>
            <w:tcW w:w="884" w:type="dxa"/>
            <w:tcBorders>
              <w:tl2br w:val="nil"/>
              <w:tr2bl w:val="nil"/>
            </w:tcBorders>
            <w:tcMar>
              <w:top w:w="15" w:type="dxa"/>
              <w:left w:w="15" w:type="dxa"/>
              <w:right w:w="15" w:type="dxa"/>
            </w:tcMar>
            <w:vAlign w:val="center"/>
          </w:tcPr>
          <w:p w14:paraId="3F5EC98D">
            <w:pPr>
              <w:jc w:val="right"/>
              <w:textAlignment w:val="center"/>
              <w:rPr>
                <w:rFonts w:ascii="Times New Roman" w:hAnsi="Times New Roman" w:cs="Times New Roman"/>
                <w:sz w:val="18"/>
                <w:szCs w:val="18"/>
              </w:rPr>
            </w:pPr>
            <w:r>
              <w:rPr>
                <w:rFonts w:ascii="Times New Roman" w:hAnsi="Times New Roman" w:cs="Times New Roman"/>
                <w:sz w:val="18"/>
                <w:szCs w:val="18"/>
              </w:rPr>
              <w:t xml:space="preserve">23.04 </w:t>
            </w:r>
          </w:p>
        </w:tc>
        <w:tc>
          <w:tcPr>
            <w:tcW w:w="917" w:type="dxa"/>
            <w:tcBorders>
              <w:tl2br w:val="nil"/>
              <w:tr2bl w:val="nil"/>
            </w:tcBorders>
            <w:tcMar>
              <w:top w:w="15" w:type="dxa"/>
              <w:left w:w="15" w:type="dxa"/>
              <w:right w:w="15" w:type="dxa"/>
            </w:tcMar>
            <w:vAlign w:val="center"/>
          </w:tcPr>
          <w:p w14:paraId="310E20E8">
            <w:pPr>
              <w:jc w:val="right"/>
              <w:textAlignment w:val="center"/>
              <w:rPr>
                <w:rFonts w:ascii="Times New Roman" w:hAnsi="Times New Roman" w:cs="Times New Roman"/>
                <w:sz w:val="18"/>
                <w:szCs w:val="18"/>
              </w:rPr>
            </w:pPr>
            <w:r>
              <w:rPr>
                <w:rFonts w:ascii="Times New Roman" w:hAnsi="Times New Roman" w:cs="Times New Roman"/>
                <w:sz w:val="18"/>
                <w:szCs w:val="18"/>
              </w:rPr>
              <w:t>25.78</w:t>
            </w:r>
          </w:p>
        </w:tc>
        <w:tc>
          <w:tcPr>
            <w:tcW w:w="1395" w:type="dxa"/>
            <w:tcBorders>
              <w:tl2br w:val="nil"/>
              <w:tr2bl w:val="nil"/>
            </w:tcBorders>
            <w:tcMar>
              <w:top w:w="15" w:type="dxa"/>
              <w:left w:w="15" w:type="dxa"/>
              <w:right w:w="15" w:type="dxa"/>
            </w:tcMar>
            <w:vAlign w:val="center"/>
          </w:tcPr>
          <w:p w14:paraId="1CC96109">
            <w:pPr>
              <w:jc w:val="both"/>
              <w:textAlignment w:val="center"/>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center"/>
          </w:tcPr>
          <w:p w14:paraId="43D3AC96">
            <w:pPr>
              <w:jc w:val="center"/>
              <w:textAlignment w:val="center"/>
              <w:rPr>
                <w:rFonts w:ascii="Times New Roman" w:hAnsi="Times New Roman" w:cs="Times New Roman"/>
                <w:sz w:val="18"/>
                <w:szCs w:val="18"/>
              </w:rPr>
            </w:pPr>
            <w:r>
              <w:rPr>
                <w:rFonts w:ascii="Times New Roman" w:hAnsi="Times New Roman" w:cs="Times New Roman"/>
                <w:sz w:val="18"/>
                <w:szCs w:val="18"/>
              </w:rPr>
              <w:t>预期性</w:t>
            </w:r>
          </w:p>
        </w:tc>
      </w:tr>
      <w:tr w14:paraId="516F6A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2" w:hRule="atLeast"/>
          <w:jc w:val="center"/>
        </w:trPr>
        <w:tc>
          <w:tcPr>
            <w:tcW w:w="4899" w:type="dxa"/>
            <w:tcBorders>
              <w:tl2br w:val="nil"/>
              <w:tr2bl w:val="nil"/>
            </w:tcBorders>
            <w:tcMar>
              <w:top w:w="15" w:type="dxa"/>
              <w:left w:w="15" w:type="dxa"/>
              <w:right w:w="15" w:type="dxa"/>
            </w:tcMar>
            <w:vAlign w:val="center"/>
          </w:tcPr>
          <w:p w14:paraId="358320CD">
            <w:pPr>
              <w:jc w:val="both"/>
              <w:textAlignment w:val="center"/>
              <w:rPr>
                <w:rFonts w:ascii="Times New Roman" w:hAnsi="Times New Roman" w:cs="Times New Roman"/>
                <w:sz w:val="18"/>
                <w:szCs w:val="18"/>
              </w:rPr>
            </w:pPr>
            <w:r>
              <w:rPr>
                <w:rFonts w:ascii="Times New Roman" w:hAnsi="Times New Roman" w:cs="Times New Roman"/>
                <w:sz w:val="18"/>
                <w:szCs w:val="18"/>
              </w:rPr>
              <w:t>12.建成区常住人口（万人）</w:t>
            </w:r>
          </w:p>
        </w:tc>
        <w:tc>
          <w:tcPr>
            <w:tcW w:w="884" w:type="dxa"/>
            <w:tcBorders>
              <w:tl2br w:val="nil"/>
              <w:tr2bl w:val="nil"/>
            </w:tcBorders>
            <w:tcMar>
              <w:top w:w="15" w:type="dxa"/>
              <w:left w:w="15" w:type="dxa"/>
              <w:right w:w="15" w:type="dxa"/>
            </w:tcMar>
            <w:vAlign w:val="center"/>
          </w:tcPr>
          <w:p w14:paraId="7F9DDBAB">
            <w:pPr>
              <w:jc w:val="right"/>
              <w:textAlignment w:val="center"/>
              <w:rPr>
                <w:rFonts w:ascii="Times New Roman" w:hAnsi="Times New Roman" w:cs="Times New Roman"/>
                <w:sz w:val="18"/>
                <w:szCs w:val="18"/>
              </w:rPr>
            </w:pPr>
            <w:r>
              <w:rPr>
                <w:rFonts w:ascii="Times New Roman" w:hAnsi="Times New Roman" w:cs="Times New Roman"/>
                <w:sz w:val="18"/>
                <w:szCs w:val="18"/>
              </w:rPr>
              <w:t>16.9</w:t>
            </w:r>
          </w:p>
        </w:tc>
        <w:tc>
          <w:tcPr>
            <w:tcW w:w="917" w:type="dxa"/>
            <w:tcBorders>
              <w:tl2br w:val="nil"/>
              <w:tr2bl w:val="nil"/>
            </w:tcBorders>
            <w:tcMar>
              <w:top w:w="15" w:type="dxa"/>
              <w:left w:w="15" w:type="dxa"/>
              <w:right w:w="15" w:type="dxa"/>
            </w:tcMar>
            <w:vAlign w:val="center"/>
          </w:tcPr>
          <w:p w14:paraId="689D91D7">
            <w:pPr>
              <w:jc w:val="right"/>
              <w:textAlignment w:val="center"/>
              <w:rPr>
                <w:rFonts w:ascii="Times New Roman" w:hAnsi="Times New Roman" w:cs="Times New Roman"/>
                <w:sz w:val="18"/>
                <w:szCs w:val="18"/>
              </w:rPr>
            </w:pPr>
          </w:p>
        </w:tc>
        <w:tc>
          <w:tcPr>
            <w:tcW w:w="1395" w:type="dxa"/>
            <w:tcBorders>
              <w:tl2br w:val="nil"/>
              <w:tr2bl w:val="nil"/>
            </w:tcBorders>
            <w:tcMar>
              <w:top w:w="15" w:type="dxa"/>
              <w:left w:w="15" w:type="dxa"/>
              <w:right w:w="15" w:type="dxa"/>
            </w:tcMar>
            <w:vAlign w:val="center"/>
          </w:tcPr>
          <w:p w14:paraId="160DDAB8">
            <w:pPr>
              <w:jc w:val="both"/>
              <w:textAlignment w:val="center"/>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bottom"/>
          </w:tcPr>
          <w:p w14:paraId="1199D7F3">
            <w:pPr>
              <w:jc w:val="center"/>
              <w:textAlignment w:val="center"/>
              <w:rPr>
                <w:rFonts w:ascii="Times New Roman" w:hAnsi="Times New Roman" w:cs="Times New Roman"/>
                <w:sz w:val="18"/>
                <w:szCs w:val="18"/>
              </w:rPr>
            </w:pPr>
            <w:r>
              <w:rPr>
                <w:rFonts w:ascii="Times New Roman" w:hAnsi="Times New Roman" w:cs="Times New Roman"/>
                <w:sz w:val="18"/>
                <w:szCs w:val="18"/>
              </w:rPr>
              <w:t>预期性</w:t>
            </w:r>
          </w:p>
        </w:tc>
      </w:tr>
      <w:tr w14:paraId="2273E7F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2" w:hRule="atLeast"/>
          <w:jc w:val="center"/>
        </w:trPr>
        <w:tc>
          <w:tcPr>
            <w:tcW w:w="4899" w:type="dxa"/>
            <w:tcBorders>
              <w:tl2br w:val="nil"/>
              <w:tr2bl w:val="nil"/>
            </w:tcBorders>
            <w:tcMar>
              <w:top w:w="15" w:type="dxa"/>
              <w:left w:w="15" w:type="dxa"/>
              <w:right w:w="15" w:type="dxa"/>
            </w:tcMar>
            <w:vAlign w:val="center"/>
          </w:tcPr>
          <w:p w14:paraId="0D9F6DA4">
            <w:pPr>
              <w:jc w:val="both"/>
              <w:textAlignment w:val="center"/>
              <w:rPr>
                <w:rFonts w:ascii="Times New Roman" w:hAnsi="Times New Roman" w:cs="Times New Roman"/>
                <w:sz w:val="18"/>
                <w:szCs w:val="18"/>
              </w:rPr>
            </w:pPr>
            <w:r>
              <w:rPr>
                <w:rFonts w:ascii="Times New Roman" w:hAnsi="Times New Roman" w:cs="Times New Roman"/>
                <w:sz w:val="18"/>
                <w:szCs w:val="18"/>
              </w:rPr>
              <w:t>13.自来水普及率（%）</w:t>
            </w:r>
          </w:p>
        </w:tc>
        <w:tc>
          <w:tcPr>
            <w:tcW w:w="884" w:type="dxa"/>
            <w:tcBorders>
              <w:tl2br w:val="nil"/>
              <w:tr2bl w:val="nil"/>
            </w:tcBorders>
            <w:tcMar>
              <w:top w:w="15" w:type="dxa"/>
              <w:left w:w="15" w:type="dxa"/>
              <w:right w:w="15" w:type="dxa"/>
            </w:tcMar>
            <w:vAlign w:val="center"/>
          </w:tcPr>
          <w:p w14:paraId="5BBA01B8">
            <w:pPr>
              <w:jc w:val="right"/>
              <w:textAlignment w:val="center"/>
              <w:rPr>
                <w:rFonts w:ascii="Times New Roman" w:hAnsi="Times New Roman" w:cs="Times New Roman"/>
                <w:sz w:val="18"/>
                <w:szCs w:val="18"/>
              </w:rPr>
            </w:pPr>
            <w:r>
              <w:rPr>
                <w:rFonts w:ascii="Times New Roman" w:hAnsi="Times New Roman" w:cs="Times New Roman"/>
                <w:sz w:val="18"/>
                <w:szCs w:val="18"/>
              </w:rPr>
              <w:t>97.5</w:t>
            </w:r>
          </w:p>
        </w:tc>
        <w:tc>
          <w:tcPr>
            <w:tcW w:w="917" w:type="dxa"/>
            <w:tcBorders>
              <w:tl2br w:val="nil"/>
              <w:tr2bl w:val="nil"/>
            </w:tcBorders>
            <w:tcMar>
              <w:top w:w="15" w:type="dxa"/>
              <w:left w:w="15" w:type="dxa"/>
              <w:right w:w="15" w:type="dxa"/>
            </w:tcMar>
            <w:vAlign w:val="center"/>
          </w:tcPr>
          <w:p w14:paraId="0CD82B40">
            <w:pPr>
              <w:jc w:val="right"/>
              <w:textAlignment w:val="center"/>
              <w:rPr>
                <w:rFonts w:ascii="Times New Roman" w:hAnsi="Times New Roman" w:cs="Times New Roman"/>
                <w:sz w:val="18"/>
                <w:szCs w:val="18"/>
              </w:rPr>
            </w:pPr>
            <w:r>
              <w:rPr>
                <w:rFonts w:ascii="Times New Roman" w:hAnsi="Times New Roman" w:cs="Times New Roman"/>
                <w:sz w:val="18"/>
                <w:szCs w:val="18"/>
              </w:rPr>
              <w:t>98.3</w:t>
            </w:r>
          </w:p>
        </w:tc>
        <w:tc>
          <w:tcPr>
            <w:tcW w:w="1395" w:type="dxa"/>
            <w:tcBorders>
              <w:tl2br w:val="nil"/>
              <w:tr2bl w:val="nil"/>
            </w:tcBorders>
            <w:tcMar>
              <w:top w:w="15" w:type="dxa"/>
              <w:left w:w="15" w:type="dxa"/>
              <w:right w:w="15" w:type="dxa"/>
            </w:tcMar>
            <w:vAlign w:val="center"/>
          </w:tcPr>
          <w:p w14:paraId="6D04C8C6">
            <w:pPr>
              <w:jc w:val="both"/>
              <w:textAlignment w:val="center"/>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bottom"/>
          </w:tcPr>
          <w:p w14:paraId="5A8E5EE2">
            <w:pPr>
              <w:jc w:val="center"/>
              <w:textAlignment w:val="center"/>
              <w:rPr>
                <w:rFonts w:ascii="Times New Roman" w:hAnsi="Times New Roman" w:cs="Times New Roman"/>
                <w:sz w:val="18"/>
                <w:szCs w:val="18"/>
              </w:rPr>
            </w:pPr>
            <w:r>
              <w:rPr>
                <w:rFonts w:ascii="Times New Roman" w:hAnsi="Times New Roman" w:cs="Times New Roman"/>
                <w:sz w:val="18"/>
                <w:szCs w:val="18"/>
              </w:rPr>
              <w:t>预期性</w:t>
            </w:r>
          </w:p>
        </w:tc>
      </w:tr>
      <w:tr w14:paraId="1354C39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2" w:hRule="atLeast"/>
          <w:jc w:val="center"/>
        </w:trPr>
        <w:tc>
          <w:tcPr>
            <w:tcW w:w="4899" w:type="dxa"/>
            <w:tcBorders>
              <w:tl2br w:val="nil"/>
              <w:tr2bl w:val="nil"/>
            </w:tcBorders>
            <w:tcMar>
              <w:top w:w="15" w:type="dxa"/>
              <w:left w:w="15" w:type="dxa"/>
              <w:right w:w="15" w:type="dxa"/>
            </w:tcMar>
            <w:vAlign w:val="center"/>
          </w:tcPr>
          <w:p w14:paraId="4A3AF5DB">
            <w:pPr>
              <w:jc w:val="both"/>
              <w:textAlignment w:val="center"/>
              <w:rPr>
                <w:rFonts w:ascii="Times New Roman" w:hAnsi="Times New Roman" w:cs="Times New Roman"/>
                <w:sz w:val="18"/>
                <w:szCs w:val="18"/>
              </w:rPr>
            </w:pPr>
            <w:r>
              <w:rPr>
                <w:rFonts w:ascii="Times New Roman" w:hAnsi="Times New Roman" w:cs="Times New Roman"/>
                <w:sz w:val="18"/>
                <w:szCs w:val="18"/>
              </w:rPr>
              <w:t>14.燃气普及率（%）（城区）</w:t>
            </w:r>
          </w:p>
        </w:tc>
        <w:tc>
          <w:tcPr>
            <w:tcW w:w="884" w:type="dxa"/>
            <w:tcBorders>
              <w:tl2br w:val="nil"/>
              <w:tr2bl w:val="nil"/>
            </w:tcBorders>
            <w:tcMar>
              <w:top w:w="15" w:type="dxa"/>
              <w:left w:w="15" w:type="dxa"/>
              <w:right w:w="15" w:type="dxa"/>
            </w:tcMar>
            <w:vAlign w:val="center"/>
          </w:tcPr>
          <w:p w14:paraId="5317822E">
            <w:pPr>
              <w:jc w:val="right"/>
              <w:textAlignment w:val="center"/>
              <w:rPr>
                <w:rFonts w:ascii="Times New Roman" w:hAnsi="Times New Roman" w:cs="Times New Roman"/>
                <w:sz w:val="18"/>
                <w:szCs w:val="18"/>
              </w:rPr>
            </w:pPr>
            <w:r>
              <w:rPr>
                <w:rFonts w:ascii="Times New Roman" w:hAnsi="Times New Roman" w:cs="Times New Roman"/>
                <w:sz w:val="18"/>
                <w:szCs w:val="18"/>
              </w:rPr>
              <w:t>-</w:t>
            </w:r>
          </w:p>
        </w:tc>
        <w:tc>
          <w:tcPr>
            <w:tcW w:w="917" w:type="dxa"/>
            <w:tcBorders>
              <w:tl2br w:val="nil"/>
              <w:tr2bl w:val="nil"/>
            </w:tcBorders>
            <w:tcMar>
              <w:top w:w="15" w:type="dxa"/>
              <w:left w:w="15" w:type="dxa"/>
              <w:right w:w="15" w:type="dxa"/>
            </w:tcMar>
            <w:vAlign w:val="center"/>
          </w:tcPr>
          <w:p w14:paraId="75BACDCF">
            <w:pPr>
              <w:jc w:val="right"/>
              <w:textAlignment w:val="center"/>
              <w:rPr>
                <w:rFonts w:ascii="Times New Roman" w:hAnsi="Times New Roman" w:cs="Times New Roman"/>
                <w:sz w:val="18"/>
                <w:szCs w:val="18"/>
              </w:rPr>
            </w:pPr>
            <w:r>
              <w:rPr>
                <w:rFonts w:ascii="Times New Roman" w:hAnsi="Times New Roman" w:cs="Times New Roman"/>
                <w:sz w:val="18"/>
                <w:szCs w:val="18"/>
              </w:rPr>
              <w:t>98</w:t>
            </w:r>
          </w:p>
        </w:tc>
        <w:tc>
          <w:tcPr>
            <w:tcW w:w="1395" w:type="dxa"/>
            <w:tcBorders>
              <w:tl2br w:val="nil"/>
              <w:tr2bl w:val="nil"/>
            </w:tcBorders>
            <w:tcMar>
              <w:top w:w="15" w:type="dxa"/>
              <w:left w:w="15" w:type="dxa"/>
              <w:right w:w="15" w:type="dxa"/>
            </w:tcMar>
            <w:vAlign w:val="center"/>
          </w:tcPr>
          <w:p w14:paraId="2C704366">
            <w:pPr>
              <w:jc w:val="both"/>
              <w:textAlignment w:val="center"/>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bottom"/>
          </w:tcPr>
          <w:p w14:paraId="789BEF6B">
            <w:pPr>
              <w:jc w:val="center"/>
              <w:textAlignment w:val="center"/>
              <w:rPr>
                <w:rFonts w:ascii="Times New Roman" w:hAnsi="Times New Roman" w:cs="Times New Roman"/>
                <w:sz w:val="18"/>
                <w:szCs w:val="18"/>
              </w:rPr>
            </w:pPr>
            <w:r>
              <w:rPr>
                <w:rFonts w:ascii="Times New Roman" w:hAnsi="Times New Roman" w:cs="Times New Roman"/>
                <w:sz w:val="18"/>
                <w:szCs w:val="18"/>
              </w:rPr>
              <w:t>预期性</w:t>
            </w:r>
          </w:p>
        </w:tc>
      </w:tr>
      <w:tr w14:paraId="3EA222B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2" w:hRule="atLeast"/>
          <w:jc w:val="center"/>
        </w:trPr>
        <w:tc>
          <w:tcPr>
            <w:tcW w:w="4899" w:type="dxa"/>
            <w:tcBorders>
              <w:tl2br w:val="nil"/>
              <w:tr2bl w:val="nil"/>
            </w:tcBorders>
            <w:tcMar>
              <w:top w:w="15" w:type="dxa"/>
              <w:left w:w="15" w:type="dxa"/>
              <w:right w:w="15" w:type="dxa"/>
            </w:tcMar>
            <w:vAlign w:val="center"/>
          </w:tcPr>
          <w:p w14:paraId="23BC4571">
            <w:pPr>
              <w:jc w:val="both"/>
              <w:textAlignment w:val="center"/>
              <w:rPr>
                <w:rFonts w:ascii="Times New Roman" w:hAnsi="Times New Roman" w:cs="Times New Roman"/>
                <w:sz w:val="18"/>
                <w:szCs w:val="18"/>
              </w:rPr>
            </w:pPr>
            <w:r>
              <w:rPr>
                <w:rFonts w:ascii="Times New Roman" w:hAnsi="Times New Roman" w:cs="Times New Roman"/>
                <w:sz w:val="18"/>
                <w:szCs w:val="18"/>
              </w:rPr>
              <w:t>15.集中供热普及率（%）</w:t>
            </w:r>
          </w:p>
        </w:tc>
        <w:tc>
          <w:tcPr>
            <w:tcW w:w="884" w:type="dxa"/>
            <w:tcBorders>
              <w:tl2br w:val="nil"/>
              <w:tr2bl w:val="nil"/>
            </w:tcBorders>
            <w:tcMar>
              <w:top w:w="15" w:type="dxa"/>
              <w:left w:w="15" w:type="dxa"/>
              <w:right w:w="15" w:type="dxa"/>
            </w:tcMar>
            <w:vAlign w:val="center"/>
          </w:tcPr>
          <w:p w14:paraId="132EF671">
            <w:pPr>
              <w:jc w:val="right"/>
              <w:textAlignment w:val="center"/>
              <w:rPr>
                <w:rFonts w:ascii="Times New Roman" w:hAnsi="Times New Roman" w:cs="Times New Roman"/>
                <w:sz w:val="18"/>
                <w:szCs w:val="18"/>
              </w:rPr>
            </w:pPr>
            <w:r>
              <w:rPr>
                <w:rFonts w:ascii="Times New Roman" w:hAnsi="Times New Roman" w:cs="Times New Roman"/>
                <w:sz w:val="18"/>
                <w:szCs w:val="18"/>
              </w:rPr>
              <w:t>89.1</w:t>
            </w:r>
          </w:p>
        </w:tc>
        <w:tc>
          <w:tcPr>
            <w:tcW w:w="917" w:type="dxa"/>
            <w:tcBorders>
              <w:tl2br w:val="nil"/>
              <w:tr2bl w:val="nil"/>
            </w:tcBorders>
            <w:tcMar>
              <w:top w:w="15" w:type="dxa"/>
              <w:left w:w="15" w:type="dxa"/>
              <w:right w:w="15" w:type="dxa"/>
            </w:tcMar>
            <w:vAlign w:val="center"/>
          </w:tcPr>
          <w:p w14:paraId="664EB864">
            <w:pPr>
              <w:jc w:val="right"/>
              <w:textAlignment w:val="center"/>
              <w:rPr>
                <w:rFonts w:ascii="Times New Roman" w:hAnsi="Times New Roman" w:cs="Times New Roman"/>
                <w:sz w:val="18"/>
                <w:szCs w:val="18"/>
              </w:rPr>
            </w:pPr>
            <w:r>
              <w:rPr>
                <w:rFonts w:ascii="Times New Roman" w:hAnsi="Times New Roman" w:cs="Times New Roman"/>
                <w:sz w:val="18"/>
                <w:szCs w:val="18"/>
              </w:rPr>
              <w:t>90</w:t>
            </w:r>
          </w:p>
        </w:tc>
        <w:tc>
          <w:tcPr>
            <w:tcW w:w="1395" w:type="dxa"/>
            <w:tcBorders>
              <w:tl2br w:val="nil"/>
              <w:tr2bl w:val="nil"/>
            </w:tcBorders>
            <w:tcMar>
              <w:top w:w="15" w:type="dxa"/>
              <w:left w:w="15" w:type="dxa"/>
              <w:right w:w="15" w:type="dxa"/>
            </w:tcMar>
            <w:vAlign w:val="center"/>
          </w:tcPr>
          <w:p w14:paraId="12187EA2">
            <w:pPr>
              <w:jc w:val="both"/>
              <w:textAlignment w:val="center"/>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bottom"/>
          </w:tcPr>
          <w:p w14:paraId="2F3CAA5D">
            <w:pPr>
              <w:jc w:val="center"/>
              <w:textAlignment w:val="center"/>
              <w:rPr>
                <w:rFonts w:ascii="Times New Roman" w:hAnsi="Times New Roman" w:cs="Times New Roman"/>
                <w:sz w:val="18"/>
                <w:szCs w:val="18"/>
              </w:rPr>
            </w:pPr>
            <w:r>
              <w:rPr>
                <w:rFonts w:ascii="Times New Roman" w:hAnsi="Times New Roman" w:cs="Times New Roman"/>
                <w:sz w:val="18"/>
                <w:szCs w:val="18"/>
              </w:rPr>
              <w:t>预期性</w:t>
            </w:r>
          </w:p>
        </w:tc>
      </w:tr>
      <w:tr w14:paraId="396DAD6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2" w:hRule="atLeast"/>
          <w:jc w:val="center"/>
        </w:trPr>
        <w:tc>
          <w:tcPr>
            <w:tcW w:w="9080" w:type="dxa"/>
            <w:gridSpan w:val="5"/>
            <w:tcBorders>
              <w:tl2br w:val="nil"/>
              <w:tr2bl w:val="nil"/>
            </w:tcBorders>
            <w:tcMar>
              <w:top w:w="15" w:type="dxa"/>
              <w:left w:w="15" w:type="dxa"/>
              <w:right w:w="15" w:type="dxa"/>
            </w:tcMar>
            <w:vAlign w:val="center"/>
          </w:tcPr>
          <w:p w14:paraId="0062F5A7">
            <w:pPr>
              <w:jc w:val="left"/>
              <w:textAlignment w:val="center"/>
              <w:rPr>
                <w:rFonts w:ascii="Times New Roman" w:hAnsi="Times New Roman" w:cs="Times New Roman"/>
                <w:sz w:val="18"/>
                <w:szCs w:val="18"/>
              </w:rPr>
            </w:pPr>
            <w:r>
              <w:rPr>
                <w:rFonts w:ascii="Times New Roman" w:hAnsi="Times New Roman" w:cs="Times New Roman"/>
                <w:sz w:val="18"/>
                <w:szCs w:val="18"/>
              </w:rPr>
              <w:t>四、民生福祉（8项）</w:t>
            </w:r>
          </w:p>
        </w:tc>
      </w:tr>
      <w:tr w14:paraId="2C9909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2" w:hRule="atLeast"/>
          <w:jc w:val="center"/>
        </w:trPr>
        <w:tc>
          <w:tcPr>
            <w:tcW w:w="9080" w:type="dxa"/>
            <w:gridSpan w:val="5"/>
            <w:tcBorders>
              <w:tl2br w:val="nil"/>
              <w:tr2bl w:val="nil"/>
            </w:tcBorders>
            <w:tcMar>
              <w:top w:w="15" w:type="dxa"/>
              <w:left w:w="15" w:type="dxa"/>
              <w:right w:w="15" w:type="dxa"/>
            </w:tcMar>
            <w:vAlign w:val="center"/>
          </w:tcPr>
          <w:p w14:paraId="2069B5BE">
            <w:pPr>
              <w:jc w:val="left"/>
              <w:textAlignment w:val="center"/>
              <w:rPr>
                <w:rFonts w:ascii="Times New Roman" w:hAnsi="Times New Roman" w:cs="Times New Roman"/>
                <w:sz w:val="18"/>
                <w:szCs w:val="18"/>
              </w:rPr>
            </w:pPr>
            <w:r>
              <w:rPr>
                <w:rFonts w:ascii="Times New Roman" w:hAnsi="Times New Roman" w:cs="Times New Roman"/>
                <w:sz w:val="18"/>
                <w:szCs w:val="18"/>
              </w:rPr>
              <w:t>16.居民人均可支配收入（元）</w:t>
            </w:r>
          </w:p>
        </w:tc>
      </w:tr>
      <w:tr w14:paraId="23220FE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2" w:hRule="atLeast"/>
          <w:jc w:val="center"/>
        </w:trPr>
        <w:tc>
          <w:tcPr>
            <w:tcW w:w="4899" w:type="dxa"/>
            <w:tcBorders>
              <w:tl2br w:val="nil"/>
              <w:tr2bl w:val="nil"/>
            </w:tcBorders>
            <w:tcMar>
              <w:top w:w="15" w:type="dxa"/>
              <w:left w:w="15" w:type="dxa"/>
              <w:right w:w="15" w:type="dxa"/>
            </w:tcMar>
            <w:vAlign w:val="center"/>
          </w:tcPr>
          <w:p w14:paraId="49A69537">
            <w:pPr>
              <w:ind w:firstLine="180" w:firstLineChars="100"/>
              <w:jc w:val="both"/>
              <w:textAlignment w:val="center"/>
              <w:rPr>
                <w:rFonts w:ascii="Times New Roman" w:hAnsi="Times New Roman" w:cs="Times New Roman"/>
                <w:sz w:val="18"/>
                <w:szCs w:val="18"/>
              </w:rPr>
            </w:pPr>
            <w:r>
              <w:rPr>
                <w:rFonts w:ascii="Times New Roman" w:hAnsi="Times New Roman" w:cs="Times New Roman"/>
                <w:sz w:val="18"/>
                <w:szCs w:val="18"/>
              </w:rPr>
              <w:t>城镇常住人口人均可支配收入（元）</w:t>
            </w:r>
          </w:p>
        </w:tc>
        <w:tc>
          <w:tcPr>
            <w:tcW w:w="884" w:type="dxa"/>
            <w:tcBorders>
              <w:tl2br w:val="nil"/>
              <w:tr2bl w:val="nil"/>
            </w:tcBorders>
            <w:tcMar>
              <w:top w:w="15" w:type="dxa"/>
              <w:left w:w="15" w:type="dxa"/>
              <w:right w:w="15" w:type="dxa"/>
            </w:tcMar>
            <w:vAlign w:val="center"/>
          </w:tcPr>
          <w:p w14:paraId="4E79CFD4">
            <w:pPr>
              <w:jc w:val="right"/>
              <w:textAlignment w:val="center"/>
              <w:rPr>
                <w:rFonts w:ascii="Times New Roman" w:hAnsi="Times New Roman" w:cs="Times New Roman"/>
                <w:sz w:val="18"/>
                <w:szCs w:val="18"/>
              </w:rPr>
            </w:pPr>
            <w:r>
              <w:rPr>
                <w:rFonts w:ascii="Times New Roman" w:hAnsi="Times New Roman" w:cs="Times New Roman"/>
                <w:sz w:val="18"/>
                <w:szCs w:val="18"/>
              </w:rPr>
              <w:t>24921</w:t>
            </w:r>
          </w:p>
        </w:tc>
        <w:tc>
          <w:tcPr>
            <w:tcW w:w="917" w:type="dxa"/>
            <w:tcBorders>
              <w:tl2br w:val="nil"/>
              <w:tr2bl w:val="nil"/>
            </w:tcBorders>
            <w:tcMar>
              <w:top w:w="15" w:type="dxa"/>
              <w:left w:w="15" w:type="dxa"/>
              <w:right w:w="15" w:type="dxa"/>
            </w:tcMar>
            <w:vAlign w:val="center"/>
          </w:tcPr>
          <w:p w14:paraId="7E997139">
            <w:pPr>
              <w:jc w:val="right"/>
              <w:rPr>
                <w:rFonts w:ascii="Times New Roman" w:hAnsi="Times New Roman" w:cs="Times New Roman"/>
                <w:sz w:val="18"/>
                <w:szCs w:val="18"/>
              </w:rPr>
            </w:pPr>
            <w:r>
              <w:rPr>
                <w:rFonts w:ascii="Times New Roman" w:hAnsi="Times New Roman" w:cs="Times New Roman"/>
                <w:sz w:val="18"/>
                <w:szCs w:val="18"/>
              </w:rPr>
              <w:t>33251</w:t>
            </w:r>
          </w:p>
        </w:tc>
        <w:tc>
          <w:tcPr>
            <w:tcW w:w="1395" w:type="dxa"/>
            <w:tcBorders>
              <w:tl2br w:val="nil"/>
              <w:tr2bl w:val="nil"/>
            </w:tcBorders>
            <w:tcMar>
              <w:top w:w="15" w:type="dxa"/>
              <w:left w:w="15" w:type="dxa"/>
              <w:right w:w="15" w:type="dxa"/>
            </w:tcMar>
            <w:vAlign w:val="center"/>
          </w:tcPr>
          <w:p w14:paraId="11E81671">
            <w:pPr>
              <w:jc w:val="right"/>
              <w:rPr>
                <w:rFonts w:ascii="Times New Roman" w:hAnsi="Times New Roman" w:cs="Times New Roman"/>
                <w:sz w:val="18"/>
                <w:szCs w:val="18"/>
              </w:rPr>
            </w:pPr>
            <w:r>
              <w:rPr>
                <w:rFonts w:ascii="Times New Roman" w:hAnsi="Times New Roman" w:cs="Times New Roman"/>
                <w:sz w:val="18"/>
                <w:szCs w:val="18"/>
              </w:rPr>
              <w:t>4.5</w:t>
            </w:r>
          </w:p>
        </w:tc>
        <w:tc>
          <w:tcPr>
            <w:tcW w:w="985" w:type="dxa"/>
            <w:tcBorders>
              <w:tl2br w:val="nil"/>
              <w:tr2bl w:val="nil"/>
            </w:tcBorders>
            <w:tcMar>
              <w:top w:w="15" w:type="dxa"/>
              <w:left w:w="15" w:type="dxa"/>
              <w:right w:w="15" w:type="dxa"/>
            </w:tcMar>
            <w:vAlign w:val="center"/>
          </w:tcPr>
          <w:p w14:paraId="763C6AF5">
            <w:pPr>
              <w:jc w:val="center"/>
              <w:textAlignment w:val="center"/>
              <w:rPr>
                <w:rFonts w:ascii="Times New Roman" w:hAnsi="Times New Roman" w:cs="Times New Roman"/>
                <w:sz w:val="18"/>
                <w:szCs w:val="18"/>
              </w:rPr>
            </w:pPr>
            <w:r>
              <w:rPr>
                <w:rFonts w:ascii="Times New Roman" w:hAnsi="Times New Roman" w:cs="Times New Roman"/>
                <w:sz w:val="18"/>
                <w:szCs w:val="18"/>
              </w:rPr>
              <w:t>预期性</w:t>
            </w:r>
          </w:p>
        </w:tc>
      </w:tr>
      <w:tr w14:paraId="60FC3DE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2" w:hRule="atLeast"/>
          <w:jc w:val="center"/>
        </w:trPr>
        <w:tc>
          <w:tcPr>
            <w:tcW w:w="4899" w:type="dxa"/>
            <w:tcBorders>
              <w:tl2br w:val="nil"/>
              <w:tr2bl w:val="nil"/>
            </w:tcBorders>
            <w:tcMar>
              <w:top w:w="15" w:type="dxa"/>
              <w:left w:w="15" w:type="dxa"/>
              <w:right w:w="15" w:type="dxa"/>
            </w:tcMar>
            <w:vAlign w:val="center"/>
          </w:tcPr>
          <w:p w14:paraId="1740DD46">
            <w:pPr>
              <w:ind w:firstLine="180" w:firstLineChars="100"/>
              <w:jc w:val="both"/>
              <w:textAlignment w:val="center"/>
              <w:rPr>
                <w:rFonts w:ascii="Times New Roman" w:hAnsi="Times New Roman" w:cs="Times New Roman"/>
                <w:sz w:val="18"/>
                <w:szCs w:val="18"/>
              </w:rPr>
            </w:pPr>
            <w:r>
              <w:rPr>
                <w:rFonts w:ascii="Times New Roman" w:hAnsi="Times New Roman" w:cs="Times New Roman"/>
                <w:sz w:val="18"/>
                <w:szCs w:val="18"/>
              </w:rPr>
              <w:t>农村常住人口人均可支配收入（元）</w:t>
            </w:r>
          </w:p>
        </w:tc>
        <w:tc>
          <w:tcPr>
            <w:tcW w:w="884" w:type="dxa"/>
            <w:tcBorders>
              <w:tl2br w:val="nil"/>
              <w:tr2bl w:val="nil"/>
            </w:tcBorders>
            <w:tcMar>
              <w:top w:w="15" w:type="dxa"/>
              <w:left w:w="15" w:type="dxa"/>
              <w:right w:w="15" w:type="dxa"/>
            </w:tcMar>
            <w:vAlign w:val="center"/>
          </w:tcPr>
          <w:p w14:paraId="504073F2">
            <w:pPr>
              <w:jc w:val="right"/>
              <w:textAlignment w:val="center"/>
              <w:rPr>
                <w:rFonts w:ascii="Times New Roman" w:hAnsi="Times New Roman" w:cs="Times New Roman"/>
                <w:sz w:val="18"/>
                <w:szCs w:val="18"/>
              </w:rPr>
            </w:pPr>
            <w:r>
              <w:rPr>
                <w:rFonts w:ascii="Times New Roman" w:hAnsi="Times New Roman" w:cs="Times New Roman"/>
                <w:sz w:val="18"/>
                <w:szCs w:val="18"/>
              </w:rPr>
              <w:t>10879</w:t>
            </w:r>
          </w:p>
        </w:tc>
        <w:tc>
          <w:tcPr>
            <w:tcW w:w="917" w:type="dxa"/>
            <w:tcBorders>
              <w:tl2br w:val="nil"/>
              <w:tr2bl w:val="nil"/>
            </w:tcBorders>
            <w:tcMar>
              <w:top w:w="15" w:type="dxa"/>
              <w:left w:w="15" w:type="dxa"/>
              <w:right w:w="15" w:type="dxa"/>
            </w:tcMar>
            <w:vAlign w:val="center"/>
          </w:tcPr>
          <w:p w14:paraId="1324BCF6">
            <w:pPr>
              <w:jc w:val="right"/>
              <w:rPr>
                <w:rFonts w:ascii="Times New Roman" w:hAnsi="Times New Roman" w:cs="Times New Roman"/>
                <w:sz w:val="18"/>
                <w:szCs w:val="18"/>
              </w:rPr>
            </w:pPr>
            <w:r>
              <w:rPr>
                <w:rFonts w:ascii="Times New Roman" w:hAnsi="Times New Roman" w:cs="Times New Roman"/>
                <w:sz w:val="18"/>
                <w:szCs w:val="18"/>
              </w:rPr>
              <w:t>15833</w:t>
            </w:r>
          </w:p>
        </w:tc>
        <w:tc>
          <w:tcPr>
            <w:tcW w:w="1395" w:type="dxa"/>
            <w:tcBorders>
              <w:tl2br w:val="nil"/>
              <w:tr2bl w:val="nil"/>
            </w:tcBorders>
            <w:tcMar>
              <w:top w:w="15" w:type="dxa"/>
              <w:left w:w="15" w:type="dxa"/>
              <w:right w:w="15" w:type="dxa"/>
            </w:tcMar>
            <w:vAlign w:val="center"/>
          </w:tcPr>
          <w:p w14:paraId="5020DA75">
            <w:pPr>
              <w:jc w:val="right"/>
              <w:rPr>
                <w:rFonts w:ascii="Times New Roman" w:hAnsi="Times New Roman" w:cs="Times New Roman"/>
                <w:sz w:val="18"/>
                <w:szCs w:val="18"/>
              </w:rPr>
            </w:pPr>
            <w:r>
              <w:rPr>
                <w:rFonts w:ascii="Times New Roman" w:hAnsi="Times New Roman" w:cs="Times New Roman"/>
                <w:sz w:val="18"/>
                <w:szCs w:val="18"/>
              </w:rPr>
              <w:t>7.4</w:t>
            </w:r>
          </w:p>
        </w:tc>
        <w:tc>
          <w:tcPr>
            <w:tcW w:w="985" w:type="dxa"/>
            <w:tcBorders>
              <w:tl2br w:val="nil"/>
              <w:tr2bl w:val="nil"/>
            </w:tcBorders>
            <w:tcMar>
              <w:top w:w="15" w:type="dxa"/>
              <w:left w:w="15" w:type="dxa"/>
              <w:right w:w="15" w:type="dxa"/>
            </w:tcMar>
            <w:vAlign w:val="center"/>
          </w:tcPr>
          <w:p w14:paraId="7DD803CE">
            <w:pPr>
              <w:jc w:val="center"/>
              <w:textAlignment w:val="center"/>
              <w:rPr>
                <w:rFonts w:ascii="Times New Roman" w:hAnsi="Times New Roman" w:cs="Times New Roman"/>
                <w:sz w:val="18"/>
                <w:szCs w:val="18"/>
              </w:rPr>
            </w:pPr>
            <w:r>
              <w:rPr>
                <w:rFonts w:ascii="Times New Roman" w:hAnsi="Times New Roman" w:cs="Times New Roman"/>
                <w:sz w:val="18"/>
                <w:szCs w:val="18"/>
              </w:rPr>
              <w:t>预期性</w:t>
            </w:r>
          </w:p>
        </w:tc>
      </w:tr>
      <w:tr w14:paraId="47443FE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2" w:hRule="atLeast"/>
          <w:jc w:val="center"/>
        </w:trPr>
        <w:tc>
          <w:tcPr>
            <w:tcW w:w="9080" w:type="dxa"/>
            <w:gridSpan w:val="5"/>
            <w:tcBorders>
              <w:tl2br w:val="nil"/>
              <w:tr2bl w:val="nil"/>
            </w:tcBorders>
            <w:tcMar>
              <w:top w:w="15" w:type="dxa"/>
              <w:left w:w="15" w:type="dxa"/>
              <w:right w:w="15" w:type="dxa"/>
            </w:tcMar>
            <w:vAlign w:val="center"/>
          </w:tcPr>
          <w:p w14:paraId="02B4E6C4">
            <w:pPr>
              <w:jc w:val="right"/>
              <w:textAlignment w:val="center"/>
              <w:rPr>
                <w:rFonts w:ascii="Times New Roman" w:hAnsi="Times New Roman" w:cs="Times New Roman"/>
                <w:sz w:val="18"/>
                <w:szCs w:val="18"/>
              </w:rPr>
            </w:pPr>
            <w:r>
              <w:rPr>
                <w:rFonts w:ascii="Times New Roman" w:hAnsi="Times New Roman" w:cs="Times New Roman"/>
                <w:sz w:val="18"/>
                <w:szCs w:val="18"/>
              </w:rPr>
              <w:t>17.教育发展</w:t>
            </w:r>
          </w:p>
        </w:tc>
      </w:tr>
      <w:tr w14:paraId="0E31C46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2" w:hRule="atLeast"/>
          <w:jc w:val="center"/>
        </w:trPr>
        <w:tc>
          <w:tcPr>
            <w:tcW w:w="4899" w:type="dxa"/>
            <w:tcBorders>
              <w:tl2br w:val="nil"/>
              <w:tr2bl w:val="nil"/>
            </w:tcBorders>
            <w:tcMar>
              <w:top w:w="15" w:type="dxa"/>
              <w:left w:w="15" w:type="dxa"/>
              <w:right w:w="15" w:type="dxa"/>
            </w:tcMar>
            <w:vAlign w:val="center"/>
          </w:tcPr>
          <w:p w14:paraId="2F21A946">
            <w:pPr>
              <w:ind w:firstLine="180" w:firstLineChars="100"/>
              <w:jc w:val="both"/>
              <w:textAlignment w:val="center"/>
              <w:rPr>
                <w:rFonts w:ascii="Times New Roman" w:hAnsi="Times New Roman" w:cs="Times New Roman"/>
                <w:sz w:val="18"/>
                <w:szCs w:val="18"/>
              </w:rPr>
            </w:pPr>
            <w:r>
              <w:rPr>
                <w:rFonts w:ascii="Times New Roman" w:hAnsi="Times New Roman" w:cs="Times New Roman"/>
                <w:sz w:val="18"/>
                <w:szCs w:val="18"/>
              </w:rPr>
              <w:t>学前三年毛入园率(%)</w:t>
            </w:r>
          </w:p>
        </w:tc>
        <w:tc>
          <w:tcPr>
            <w:tcW w:w="884" w:type="dxa"/>
            <w:tcBorders>
              <w:tl2br w:val="nil"/>
              <w:tr2bl w:val="nil"/>
            </w:tcBorders>
            <w:tcMar>
              <w:top w:w="15" w:type="dxa"/>
              <w:left w:w="15" w:type="dxa"/>
              <w:right w:w="15" w:type="dxa"/>
            </w:tcMar>
            <w:vAlign w:val="center"/>
          </w:tcPr>
          <w:p w14:paraId="76A45CDE">
            <w:pPr>
              <w:jc w:val="right"/>
              <w:textAlignment w:val="center"/>
              <w:rPr>
                <w:rFonts w:ascii="Times New Roman" w:hAnsi="Times New Roman" w:cs="Times New Roman"/>
                <w:sz w:val="18"/>
                <w:szCs w:val="18"/>
              </w:rPr>
            </w:pPr>
            <w:r>
              <w:rPr>
                <w:rFonts w:ascii="Times New Roman" w:hAnsi="Times New Roman" w:cs="Times New Roman"/>
                <w:sz w:val="18"/>
                <w:szCs w:val="18"/>
              </w:rPr>
              <w:t>97</w:t>
            </w:r>
          </w:p>
        </w:tc>
        <w:tc>
          <w:tcPr>
            <w:tcW w:w="917" w:type="dxa"/>
            <w:tcBorders>
              <w:tl2br w:val="nil"/>
              <w:tr2bl w:val="nil"/>
            </w:tcBorders>
            <w:tcMar>
              <w:top w:w="15" w:type="dxa"/>
              <w:left w:w="15" w:type="dxa"/>
              <w:right w:w="15" w:type="dxa"/>
            </w:tcMar>
            <w:vAlign w:val="center"/>
          </w:tcPr>
          <w:p w14:paraId="128A596B">
            <w:pPr>
              <w:jc w:val="right"/>
              <w:rPr>
                <w:rFonts w:ascii="Times New Roman" w:hAnsi="Times New Roman" w:cs="Times New Roman"/>
                <w:sz w:val="18"/>
                <w:szCs w:val="18"/>
              </w:rPr>
            </w:pPr>
            <w:r>
              <w:rPr>
                <w:rFonts w:ascii="Times New Roman" w:hAnsi="Times New Roman" w:cs="Times New Roman"/>
                <w:sz w:val="18"/>
                <w:szCs w:val="18"/>
              </w:rPr>
              <w:t>99.7</w:t>
            </w:r>
          </w:p>
        </w:tc>
        <w:tc>
          <w:tcPr>
            <w:tcW w:w="1395" w:type="dxa"/>
            <w:tcBorders>
              <w:tl2br w:val="nil"/>
              <w:tr2bl w:val="nil"/>
            </w:tcBorders>
            <w:tcMar>
              <w:top w:w="15" w:type="dxa"/>
              <w:left w:w="15" w:type="dxa"/>
              <w:right w:w="15" w:type="dxa"/>
            </w:tcMar>
            <w:vAlign w:val="center"/>
          </w:tcPr>
          <w:p w14:paraId="6A0603EF">
            <w:pPr>
              <w:jc w:val="right"/>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center"/>
          </w:tcPr>
          <w:p w14:paraId="1B787ABF">
            <w:pPr>
              <w:jc w:val="center"/>
              <w:textAlignment w:val="center"/>
              <w:rPr>
                <w:rFonts w:ascii="Times New Roman" w:hAnsi="Times New Roman" w:cs="Times New Roman"/>
                <w:sz w:val="18"/>
                <w:szCs w:val="18"/>
              </w:rPr>
            </w:pPr>
            <w:r>
              <w:rPr>
                <w:rFonts w:ascii="Times New Roman" w:hAnsi="Times New Roman" w:cs="Times New Roman"/>
                <w:sz w:val="18"/>
                <w:szCs w:val="18"/>
              </w:rPr>
              <w:t>预期性</w:t>
            </w:r>
          </w:p>
        </w:tc>
      </w:tr>
      <w:tr w14:paraId="68FF95D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2" w:hRule="atLeast"/>
          <w:jc w:val="center"/>
        </w:trPr>
        <w:tc>
          <w:tcPr>
            <w:tcW w:w="4899" w:type="dxa"/>
            <w:tcBorders>
              <w:tl2br w:val="nil"/>
              <w:tr2bl w:val="nil"/>
            </w:tcBorders>
            <w:tcMar>
              <w:top w:w="15" w:type="dxa"/>
              <w:left w:w="15" w:type="dxa"/>
              <w:right w:w="15" w:type="dxa"/>
            </w:tcMar>
            <w:vAlign w:val="center"/>
          </w:tcPr>
          <w:p w14:paraId="31123235">
            <w:pPr>
              <w:ind w:firstLine="180" w:firstLineChars="100"/>
              <w:jc w:val="both"/>
              <w:textAlignment w:val="center"/>
              <w:rPr>
                <w:rFonts w:ascii="Times New Roman" w:hAnsi="Times New Roman" w:cs="Times New Roman"/>
                <w:sz w:val="18"/>
                <w:szCs w:val="18"/>
              </w:rPr>
            </w:pPr>
            <w:r>
              <w:rPr>
                <w:rFonts w:ascii="Times New Roman" w:hAnsi="Times New Roman" w:cs="Times New Roman"/>
                <w:sz w:val="18"/>
                <w:szCs w:val="18"/>
              </w:rPr>
              <w:t>高中阶段教育毛入学率（%）</w:t>
            </w:r>
          </w:p>
        </w:tc>
        <w:tc>
          <w:tcPr>
            <w:tcW w:w="884" w:type="dxa"/>
            <w:tcBorders>
              <w:tl2br w:val="nil"/>
              <w:tr2bl w:val="nil"/>
            </w:tcBorders>
            <w:tcMar>
              <w:top w:w="15" w:type="dxa"/>
              <w:left w:w="15" w:type="dxa"/>
              <w:right w:w="15" w:type="dxa"/>
            </w:tcMar>
            <w:vAlign w:val="center"/>
          </w:tcPr>
          <w:p w14:paraId="60D8D666">
            <w:pPr>
              <w:jc w:val="right"/>
              <w:textAlignment w:val="center"/>
              <w:rPr>
                <w:rFonts w:ascii="Times New Roman" w:hAnsi="Times New Roman" w:cs="Times New Roman"/>
                <w:sz w:val="18"/>
                <w:szCs w:val="18"/>
              </w:rPr>
            </w:pPr>
            <w:r>
              <w:rPr>
                <w:rFonts w:ascii="Times New Roman" w:hAnsi="Times New Roman" w:cs="Times New Roman"/>
                <w:sz w:val="18"/>
                <w:szCs w:val="18"/>
              </w:rPr>
              <w:t>97</w:t>
            </w:r>
          </w:p>
        </w:tc>
        <w:tc>
          <w:tcPr>
            <w:tcW w:w="917" w:type="dxa"/>
            <w:tcBorders>
              <w:tl2br w:val="nil"/>
              <w:tr2bl w:val="nil"/>
            </w:tcBorders>
            <w:tcMar>
              <w:top w:w="15" w:type="dxa"/>
              <w:left w:w="15" w:type="dxa"/>
              <w:right w:w="15" w:type="dxa"/>
            </w:tcMar>
            <w:vAlign w:val="center"/>
          </w:tcPr>
          <w:p w14:paraId="5A979327">
            <w:pPr>
              <w:jc w:val="right"/>
              <w:rPr>
                <w:rFonts w:ascii="Times New Roman" w:hAnsi="Times New Roman" w:cs="Times New Roman"/>
                <w:sz w:val="18"/>
                <w:szCs w:val="18"/>
              </w:rPr>
            </w:pPr>
            <w:r>
              <w:rPr>
                <w:rFonts w:ascii="Times New Roman" w:hAnsi="Times New Roman" w:cs="Times New Roman"/>
                <w:sz w:val="18"/>
                <w:szCs w:val="18"/>
              </w:rPr>
              <w:t>99</w:t>
            </w:r>
          </w:p>
        </w:tc>
        <w:tc>
          <w:tcPr>
            <w:tcW w:w="1395" w:type="dxa"/>
            <w:tcBorders>
              <w:tl2br w:val="nil"/>
              <w:tr2bl w:val="nil"/>
            </w:tcBorders>
            <w:tcMar>
              <w:top w:w="15" w:type="dxa"/>
              <w:left w:w="15" w:type="dxa"/>
              <w:right w:w="15" w:type="dxa"/>
            </w:tcMar>
            <w:vAlign w:val="center"/>
          </w:tcPr>
          <w:p w14:paraId="31E12699">
            <w:pPr>
              <w:jc w:val="right"/>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center"/>
          </w:tcPr>
          <w:p w14:paraId="65C6CD4F">
            <w:pPr>
              <w:jc w:val="center"/>
              <w:textAlignment w:val="center"/>
              <w:rPr>
                <w:rFonts w:ascii="Times New Roman" w:hAnsi="Times New Roman" w:cs="Times New Roman"/>
                <w:sz w:val="18"/>
                <w:szCs w:val="18"/>
              </w:rPr>
            </w:pPr>
            <w:r>
              <w:rPr>
                <w:rFonts w:ascii="Times New Roman" w:hAnsi="Times New Roman" w:cs="Times New Roman"/>
                <w:sz w:val="18"/>
                <w:szCs w:val="18"/>
              </w:rPr>
              <w:t>预期性</w:t>
            </w:r>
          </w:p>
        </w:tc>
      </w:tr>
      <w:tr w14:paraId="7E81B2B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2" w:hRule="atLeast"/>
          <w:jc w:val="center"/>
        </w:trPr>
        <w:tc>
          <w:tcPr>
            <w:tcW w:w="4899" w:type="dxa"/>
            <w:tcBorders>
              <w:tl2br w:val="nil"/>
              <w:tr2bl w:val="nil"/>
            </w:tcBorders>
            <w:tcMar>
              <w:top w:w="15" w:type="dxa"/>
              <w:left w:w="15" w:type="dxa"/>
              <w:right w:w="15" w:type="dxa"/>
            </w:tcMar>
            <w:vAlign w:val="center"/>
          </w:tcPr>
          <w:p w14:paraId="42B740D0">
            <w:pPr>
              <w:jc w:val="both"/>
              <w:rPr>
                <w:rFonts w:ascii="Times New Roman" w:hAnsi="Times New Roman" w:cs="Times New Roman"/>
                <w:sz w:val="18"/>
                <w:szCs w:val="18"/>
              </w:rPr>
            </w:pPr>
            <w:r>
              <w:rPr>
                <w:rFonts w:ascii="Times New Roman" w:hAnsi="Times New Roman" w:cs="Times New Roman"/>
                <w:sz w:val="18"/>
                <w:szCs w:val="18"/>
              </w:rPr>
              <w:t>18.城镇新增就业人数（万人）</w:t>
            </w:r>
          </w:p>
        </w:tc>
        <w:tc>
          <w:tcPr>
            <w:tcW w:w="884" w:type="dxa"/>
            <w:tcBorders>
              <w:tl2br w:val="nil"/>
              <w:tr2bl w:val="nil"/>
            </w:tcBorders>
            <w:tcMar>
              <w:top w:w="15" w:type="dxa"/>
              <w:left w:w="15" w:type="dxa"/>
              <w:right w:w="15" w:type="dxa"/>
            </w:tcMar>
            <w:vAlign w:val="top"/>
          </w:tcPr>
          <w:p w14:paraId="706B4F6A">
            <w:pPr>
              <w:jc w:val="right"/>
              <w:textAlignment w:val="center"/>
              <w:rPr>
                <w:rFonts w:ascii="Times New Roman" w:hAnsi="Times New Roman" w:cs="Times New Roman"/>
                <w:sz w:val="18"/>
                <w:szCs w:val="18"/>
              </w:rPr>
            </w:pPr>
            <w:r>
              <w:rPr>
                <w:rFonts w:ascii="Times New Roman" w:hAnsi="Times New Roman" w:cs="Times New Roman"/>
                <w:sz w:val="18"/>
                <w:szCs w:val="18"/>
              </w:rPr>
              <w:t>0.43</w:t>
            </w:r>
          </w:p>
        </w:tc>
        <w:tc>
          <w:tcPr>
            <w:tcW w:w="917" w:type="dxa"/>
            <w:tcBorders>
              <w:tl2br w:val="nil"/>
              <w:tr2bl w:val="nil"/>
            </w:tcBorders>
            <w:tcMar>
              <w:top w:w="15" w:type="dxa"/>
              <w:left w:w="15" w:type="dxa"/>
              <w:right w:w="15" w:type="dxa"/>
            </w:tcMar>
            <w:vAlign w:val="center"/>
          </w:tcPr>
          <w:p w14:paraId="074A694A">
            <w:pPr>
              <w:jc w:val="right"/>
              <w:rPr>
                <w:rFonts w:ascii="Times New Roman" w:hAnsi="Times New Roman" w:cs="Times New Roman"/>
                <w:sz w:val="18"/>
                <w:szCs w:val="18"/>
              </w:rPr>
            </w:pPr>
            <w:r>
              <w:rPr>
                <w:rFonts w:ascii="Times New Roman" w:hAnsi="Times New Roman" w:cs="Times New Roman"/>
                <w:sz w:val="18"/>
                <w:szCs w:val="18"/>
              </w:rPr>
              <w:t>0.52</w:t>
            </w:r>
          </w:p>
        </w:tc>
        <w:tc>
          <w:tcPr>
            <w:tcW w:w="1395" w:type="dxa"/>
            <w:tcBorders>
              <w:tl2br w:val="nil"/>
              <w:tr2bl w:val="nil"/>
            </w:tcBorders>
            <w:tcMar>
              <w:top w:w="15" w:type="dxa"/>
              <w:left w:w="15" w:type="dxa"/>
              <w:right w:w="15" w:type="dxa"/>
            </w:tcMar>
            <w:vAlign w:val="center"/>
          </w:tcPr>
          <w:p w14:paraId="7B677033">
            <w:pPr>
              <w:jc w:val="right"/>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center"/>
          </w:tcPr>
          <w:p w14:paraId="6D590B83">
            <w:pPr>
              <w:jc w:val="center"/>
              <w:textAlignment w:val="center"/>
              <w:rPr>
                <w:rFonts w:ascii="Times New Roman" w:hAnsi="Times New Roman" w:cs="Times New Roman"/>
                <w:sz w:val="18"/>
                <w:szCs w:val="18"/>
              </w:rPr>
            </w:pPr>
            <w:r>
              <w:rPr>
                <w:rFonts w:ascii="Times New Roman" w:hAnsi="Times New Roman" w:cs="Times New Roman"/>
                <w:sz w:val="18"/>
                <w:szCs w:val="18"/>
              </w:rPr>
              <w:t>预期性</w:t>
            </w:r>
          </w:p>
        </w:tc>
      </w:tr>
      <w:tr w14:paraId="599B96F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96" w:hRule="atLeast"/>
          <w:jc w:val="center"/>
        </w:trPr>
        <w:tc>
          <w:tcPr>
            <w:tcW w:w="4899" w:type="dxa"/>
            <w:tcBorders>
              <w:tl2br w:val="nil"/>
              <w:tr2bl w:val="nil"/>
            </w:tcBorders>
            <w:tcMar>
              <w:top w:w="15" w:type="dxa"/>
              <w:left w:w="15" w:type="dxa"/>
              <w:right w:w="15" w:type="dxa"/>
            </w:tcMar>
            <w:vAlign w:val="center"/>
          </w:tcPr>
          <w:p w14:paraId="2C7E01AE">
            <w:pPr>
              <w:jc w:val="both"/>
              <w:rPr>
                <w:rFonts w:ascii="Times New Roman" w:hAnsi="Times New Roman" w:cs="Times New Roman"/>
                <w:sz w:val="18"/>
                <w:szCs w:val="18"/>
              </w:rPr>
            </w:pPr>
            <w:r>
              <w:rPr>
                <w:rFonts w:ascii="Times New Roman" w:hAnsi="Times New Roman" w:cs="Times New Roman"/>
                <w:sz w:val="18"/>
                <w:szCs w:val="18"/>
              </w:rPr>
              <w:t>19.农村贫困人口脱贫（万人）</w:t>
            </w:r>
          </w:p>
        </w:tc>
        <w:tc>
          <w:tcPr>
            <w:tcW w:w="884" w:type="dxa"/>
            <w:tcBorders>
              <w:tl2br w:val="nil"/>
              <w:tr2bl w:val="nil"/>
            </w:tcBorders>
            <w:tcMar>
              <w:top w:w="15" w:type="dxa"/>
              <w:left w:w="15" w:type="dxa"/>
              <w:right w:w="15" w:type="dxa"/>
            </w:tcMar>
            <w:vAlign w:val="center"/>
          </w:tcPr>
          <w:p w14:paraId="08F31697">
            <w:pPr>
              <w:jc w:val="right"/>
              <w:textAlignment w:val="center"/>
              <w:rPr>
                <w:rFonts w:ascii="Times New Roman" w:hAnsi="Times New Roman" w:cs="Times New Roman"/>
                <w:sz w:val="18"/>
                <w:szCs w:val="18"/>
              </w:rPr>
            </w:pPr>
            <w:r>
              <w:rPr>
                <w:rFonts w:ascii="Times New Roman" w:hAnsi="Times New Roman" w:cs="Times New Roman"/>
                <w:sz w:val="18"/>
                <w:szCs w:val="18"/>
              </w:rPr>
              <w:t>-</w:t>
            </w:r>
          </w:p>
        </w:tc>
        <w:tc>
          <w:tcPr>
            <w:tcW w:w="917" w:type="dxa"/>
            <w:tcBorders>
              <w:tl2br w:val="nil"/>
              <w:tr2bl w:val="nil"/>
            </w:tcBorders>
            <w:tcMar>
              <w:top w:w="15" w:type="dxa"/>
              <w:left w:w="15" w:type="dxa"/>
              <w:right w:w="15" w:type="dxa"/>
            </w:tcMar>
            <w:vAlign w:val="center"/>
          </w:tcPr>
          <w:p w14:paraId="7CE7645F">
            <w:pPr>
              <w:jc w:val="right"/>
              <w:rPr>
                <w:rFonts w:ascii="Times New Roman" w:hAnsi="Times New Roman" w:cs="Times New Roman"/>
                <w:sz w:val="18"/>
                <w:szCs w:val="18"/>
              </w:rPr>
            </w:pPr>
            <w:r>
              <w:rPr>
                <w:rFonts w:ascii="Times New Roman" w:hAnsi="Times New Roman" w:cs="Times New Roman"/>
                <w:sz w:val="18"/>
                <w:szCs w:val="18"/>
              </w:rPr>
              <w:t>1.0039</w:t>
            </w:r>
          </w:p>
        </w:tc>
        <w:tc>
          <w:tcPr>
            <w:tcW w:w="1395" w:type="dxa"/>
            <w:tcBorders>
              <w:tl2br w:val="nil"/>
              <w:tr2bl w:val="nil"/>
            </w:tcBorders>
            <w:tcMar>
              <w:top w:w="15" w:type="dxa"/>
              <w:left w:w="15" w:type="dxa"/>
              <w:right w:w="15" w:type="dxa"/>
            </w:tcMar>
            <w:vAlign w:val="center"/>
          </w:tcPr>
          <w:p w14:paraId="28004C50">
            <w:pPr>
              <w:jc w:val="right"/>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center"/>
          </w:tcPr>
          <w:p w14:paraId="77C15B35">
            <w:pPr>
              <w:jc w:val="center"/>
              <w:textAlignment w:val="center"/>
              <w:rPr>
                <w:rFonts w:ascii="Times New Roman" w:hAnsi="Times New Roman" w:cs="Times New Roman"/>
                <w:sz w:val="18"/>
                <w:szCs w:val="18"/>
              </w:rPr>
            </w:pPr>
            <w:r>
              <w:rPr>
                <w:rFonts w:ascii="Times New Roman" w:hAnsi="Times New Roman" w:cs="Times New Roman"/>
                <w:sz w:val="18"/>
                <w:szCs w:val="18"/>
              </w:rPr>
              <w:t>约束性</w:t>
            </w:r>
          </w:p>
        </w:tc>
      </w:tr>
      <w:tr w14:paraId="6C4055F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2" w:hRule="atLeast"/>
          <w:jc w:val="center"/>
        </w:trPr>
        <w:tc>
          <w:tcPr>
            <w:tcW w:w="4899" w:type="dxa"/>
            <w:tcBorders>
              <w:tl2br w:val="nil"/>
              <w:tr2bl w:val="nil"/>
            </w:tcBorders>
            <w:tcMar>
              <w:top w:w="15" w:type="dxa"/>
              <w:left w:w="15" w:type="dxa"/>
              <w:right w:w="15" w:type="dxa"/>
            </w:tcMar>
            <w:vAlign w:val="center"/>
          </w:tcPr>
          <w:p w14:paraId="3AF70F08">
            <w:pPr>
              <w:jc w:val="both"/>
              <w:rPr>
                <w:rFonts w:ascii="Times New Roman" w:hAnsi="Times New Roman" w:cs="Times New Roman"/>
                <w:sz w:val="18"/>
                <w:szCs w:val="18"/>
              </w:rPr>
            </w:pPr>
            <w:r>
              <w:rPr>
                <w:rFonts w:ascii="Times New Roman" w:hAnsi="Times New Roman" w:cs="Times New Roman"/>
                <w:sz w:val="18"/>
                <w:szCs w:val="18"/>
              </w:rPr>
              <w:t>20.城镇棚户区住房改造（万套）</w:t>
            </w:r>
          </w:p>
        </w:tc>
        <w:tc>
          <w:tcPr>
            <w:tcW w:w="884" w:type="dxa"/>
            <w:tcBorders>
              <w:tl2br w:val="nil"/>
              <w:tr2bl w:val="nil"/>
            </w:tcBorders>
            <w:tcMar>
              <w:top w:w="15" w:type="dxa"/>
              <w:left w:w="15" w:type="dxa"/>
              <w:right w:w="15" w:type="dxa"/>
            </w:tcMar>
            <w:vAlign w:val="center"/>
          </w:tcPr>
          <w:p w14:paraId="0CC528A6">
            <w:pPr>
              <w:jc w:val="right"/>
              <w:textAlignment w:val="center"/>
              <w:rPr>
                <w:rFonts w:ascii="Times New Roman" w:hAnsi="Times New Roman" w:cs="Times New Roman"/>
                <w:sz w:val="18"/>
                <w:szCs w:val="18"/>
              </w:rPr>
            </w:pPr>
            <w:r>
              <w:rPr>
                <w:rFonts w:ascii="Times New Roman" w:hAnsi="Times New Roman" w:cs="Times New Roman"/>
                <w:sz w:val="18"/>
                <w:szCs w:val="18"/>
              </w:rPr>
              <w:t>0.0957</w:t>
            </w:r>
          </w:p>
        </w:tc>
        <w:tc>
          <w:tcPr>
            <w:tcW w:w="917" w:type="dxa"/>
            <w:tcBorders>
              <w:tl2br w:val="nil"/>
              <w:tr2bl w:val="nil"/>
            </w:tcBorders>
            <w:tcMar>
              <w:top w:w="15" w:type="dxa"/>
              <w:left w:w="15" w:type="dxa"/>
              <w:right w:w="15" w:type="dxa"/>
            </w:tcMar>
            <w:vAlign w:val="center"/>
          </w:tcPr>
          <w:p w14:paraId="2FD67AE6">
            <w:pPr>
              <w:jc w:val="right"/>
              <w:rPr>
                <w:rFonts w:ascii="Times New Roman" w:hAnsi="Times New Roman" w:cs="Times New Roman"/>
                <w:sz w:val="18"/>
                <w:szCs w:val="18"/>
              </w:rPr>
            </w:pPr>
            <w:r>
              <w:rPr>
                <w:rFonts w:ascii="Times New Roman" w:hAnsi="Times New Roman" w:cs="Times New Roman"/>
                <w:sz w:val="18"/>
                <w:szCs w:val="18"/>
              </w:rPr>
              <w:t>0.1171</w:t>
            </w:r>
          </w:p>
        </w:tc>
        <w:tc>
          <w:tcPr>
            <w:tcW w:w="1395" w:type="dxa"/>
            <w:tcBorders>
              <w:tl2br w:val="nil"/>
              <w:tr2bl w:val="nil"/>
            </w:tcBorders>
            <w:tcMar>
              <w:top w:w="15" w:type="dxa"/>
              <w:left w:w="15" w:type="dxa"/>
              <w:right w:w="15" w:type="dxa"/>
            </w:tcMar>
            <w:vAlign w:val="center"/>
          </w:tcPr>
          <w:p w14:paraId="7377BA06">
            <w:pPr>
              <w:jc w:val="right"/>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center"/>
          </w:tcPr>
          <w:p w14:paraId="432758D1">
            <w:pPr>
              <w:jc w:val="center"/>
              <w:textAlignment w:val="center"/>
              <w:rPr>
                <w:rFonts w:ascii="Times New Roman" w:hAnsi="Times New Roman" w:cs="Times New Roman"/>
                <w:sz w:val="18"/>
                <w:szCs w:val="18"/>
              </w:rPr>
            </w:pPr>
            <w:r>
              <w:rPr>
                <w:rFonts w:ascii="Times New Roman" w:hAnsi="Times New Roman" w:cs="Times New Roman"/>
                <w:sz w:val="18"/>
                <w:szCs w:val="18"/>
              </w:rPr>
              <w:t>约束性</w:t>
            </w:r>
          </w:p>
        </w:tc>
      </w:tr>
      <w:tr w14:paraId="0FACFBC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2" w:hRule="atLeast"/>
          <w:jc w:val="center"/>
        </w:trPr>
        <w:tc>
          <w:tcPr>
            <w:tcW w:w="4899" w:type="dxa"/>
            <w:tcBorders>
              <w:tl2br w:val="nil"/>
              <w:tr2bl w:val="nil"/>
            </w:tcBorders>
            <w:tcMar>
              <w:top w:w="15" w:type="dxa"/>
              <w:left w:w="15" w:type="dxa"/>
              <w:right w:w="15" w:type="dxa"/>
            </w:tcMar>
            <w:vAlign w:val="center"/>
          </w:tcPr>
          <w:p w14:paraId="70ECE351">
            <w:pPr>
              <w:jc w:val="both"/>
              <w:rPr>
                <w:rFonts w:ascii="Times New Roman" w:hAnsi="Times New Roman" w:cs="Times New Roman"/>
                <w:sz w:val="18"/>
                <w:szCs w:val="18"/>
              </w:rPr>
            </w:pPr>
            <w:r>
              <w:rPr>
                <w:rFonts w:ascii="Times New Roman" w:hAnsi="Times New Roman" w:cs="Times New Roman"/>
                <w:sz w:val="18"/>
                <w:szCs w:val="18"/>
              </w:rPr>
              <w:t>21.人均预期寿命（岁）</w:t>
            </w:r>
          </w:p>
        </w:tc>
        <w:tc>
          <w:tcPr>
            <w:tcW w:w="884" w:type="dxa"/>
            <w:tcBorders>
              <w:tl2br w:val="nil"/>
              <w:tr2bl w:val="nil"/>
            </w:tcBorders>
            <w:tcMar>
              <w:top w:w="15" w:type="dxa"/>
              <w:left w:w="15" w:type="dxa"/>
              <w:right w:w="15" w:type="dxa"/>
            </w:tcMar>
            <w:vAlign w:val="center"/>
          </w:tcPr>
          <w:p w14:paraId="412307B5">
            <w:pPr>
              <w:jc w:val="right"/>
              <w:rPr>
                <w:rFonts w:ascii="Times New Roman" w:hAnsi="Times New Roman" w:cs="Times New Roman"/>
                <w:sz w:val="18"/>
                <w:szCs w:val="18"/>
              </w:rPr>
            </w:pPr>
            <w:r>
              <w:rPr>
                <w:rFonts w:ascii="Times New Roman" w:hAnsi="Times New Roman" w:cs="Times New Roman"/>
                <w:sz w:val="18"/>
                <w:szCs w:val="18"/>
              </w:rPr>
              <w:t>75.8</w:t>
            </w:r>
          </w:p>
        </w:tc>
        <w:tc>
          <w:tcPr>
            <w:tcW w:w="917" w:type="dxa"/>
            <w:tcBorders>
              <w:tl2br w:val="nil"/>
              <w:tr2bl w:val="nil"/>
            </w:tcBorders>
            <w:tcMar>
              <w:top w:w="15" w:type="dxa"/>
              <w:left w:w="15" w:type="dxa"/>
              <w:right w:w="15" w:type="dxa"/>
            </w:tcMar>
            <w:vAlign w:val="center"/>
          </w:tcPr>
          <w:p w14:paraId="45A38E63">
            <w:pPr>
              <w:jc w:val="right"/>
              <w:rPr>
                <w:rFonts w:ascii="Times New Roman" w:hAnsi="Times New Roman" w:cs="Times New Roman"/>
                <w:sz w:val="18"/>
                <w:szCs w:val="18"/>
              </w:rPr>
            </w:pPr>
          </w:p>
        </w:tc>
        <w:tc>
          <w:tcPr>
            <w:tcW w:w="1395" w:type="dxa"/>
            <w:tcBorders>
              <w:tl2br w:val="nil"/>
              <w:tr2bl w:val="nil"/>
            </w:tcBorders>
            <w:tcMar>
              <w:top w:w="15" w:type="dxa"/>
              <w:left w:w="15" w:type="dxa"/>
              <w:right w:w="15" w:type="dxa"/>
            </w:tcMar>
            <w:vAlign w:val="center"/>
          </w:tcPr>
          <w:p w14:paraId="6ECADC92">
            <w:pPr>
              <w:jc w:val="right"/>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center"/>
          </w:tcPr>
          <w:p w14:paraId="7B647E72">
            <w:pPr>
              <w:jc w:val="center"/>
              <w:textAlignment w:val="center"/>
              <w:rPr>
                <w:rFonts w:ascii="Times New Roman" w:hAnsi="Times New Roman" w:cs="Times New Roman"/>
                <w:sz w:val="18"/>
                <w:szCs w:val="18"/>
              </w:rPr>
            </w:pPr>
            <w:r>
              <w:rPr>
                <w:rFonts w:ascii="Times New Roman" w:hAnsi="Times New Roman" w:cs="Times New Roman"/>
                <w:sz w:val="18"/>
                <w:szCs w:val="18"/>
              </w:rPr>
              <w:t>预期性</w:t>
            </w:r>
          </w:p>
        </w:tc>
      </w:tr>
      <w:tr w14:paraId="718CB8F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2" w:hRule="atLeast"/>
          <w:jc w:val="center"/>
        </w:trPr>
        <w:tc>
          <w:tcPr>
            <w:tcW w:w="4899" w:type="dxa"/>
            <w:tcBorders>
              <w:tl2br w:val="nil"/>
              <w:tr2bl w:val="nil"/>
            </w:tcBorders>
            <w:tcMar>
              <w:top w:w="15" w:type="dxa"/>
              <w:left w:w="15" w:type="dxa"/>
              <w:right w:w="15" w:type="dxa"/>
            </w:tcMar>
            <w:vAlign w:val="center"/>
          </w:tcPr>
          <w:p w14:paraId="3E24700D">
            <w:pPr>
              <w:jc w:val="both"/>
              <w:rPr>
                <w:rFonts w:ascii="Times New Roman" w:hAnsi="Times New Roman" w:cs="Times New Roman"/>
                <w:sz w:val="18"/>
                <w:szCs w:val="18"/>
              </w:rPr>
            </w:pPr>
            <w:r>
              <w:rPr>
                <w:rFonts w:ascii="Times New Roman" w:hAnsi="Times New Roman" w:cs="Times New Roman"/>
                <w:sz w:val="18"/>
                <w:szCs w:val="18"/>
              </w:rPr>
              <w:t>22.婴儿死亡率（‰）</w:t>
            </w:r>
          </w:p>
        </w:tc>
        <w:tc>
          <w:tcPr>
            <w:tcW w:w="884" w:type="dxa"/>
            <w:tcBorders>
              <w:tl2br w:val="nil"/>
              <w:tr2bl w:val="nil"/>
            </w:tcBorders>
            <w:tcMar>
              <w:top w:w="15" w:type="dxa"/>
              <w:left w:w="15" w:type="dxa"/>
              <w:right w:w="15" w:type="dxa"/>
            </w:tcMar>
            <w:vAlign w:val="center"/>
          </w:tcPr>
          <w:p w14:paraId="769208A1">
            <w:pPr>
              <w:jc w:val="right"/>
              <w:rPr>
                <w:rFonts w:ascii="Times New Roman" w:hAnsi="Times New Roman" w:cs="Times New Roman"/>
                <w:sz w:val="18"/>
                <w:szCs w:val="18"/>
              </w:rPr>
            </w:pPr>
          </w:p>
        </w:tc>
        <w:tc>
          <w:tcPr>
            <w:tcW w:w="917" w:type="dxa"/>
            <w:tcBorders>
              <w:tl2br w:val="nil"/>
              <w:tr2bl w:val="nil"/>
            </w:tcBorders>
            <w:tcMar>
              <w:top w:w="15" w:type="dxa"/>
              <w:left w:w="15" w:type="dxa"/>
              <w:right w:w="15" w:type="dxa"/>
            </w:tcMar>
            <w:vAlign w:val="center"/>
          </w:tcPr>
          <w:p w14:paraId="23C77E4F">
            <w:pPr>
              <w:jc w:val="right"/>
              <w:rPr>
                <w:rFonts w:ascii="Times New Roman" w:hAnsi="Times New Roman" w:cs="Times New Roman"/>
                <w:sz w:val="18"/>
                <w:szCs w:val="18"/>
              </w:rPr>
            </w:pPr>
            <w:r>
              <w:rPr>
                <w:rFonts w:ascii="Times New Roman" w:hAnsi="Times New Roman" w:cs="Times New Roman"/>
                <w:sz w:val="18"/>
                <w:szCs w:val="18"/>
              </w:rPr>
              <w:t>5.58</w:t>
            </w:r>
          </w:p>
        </w:tc>
        <w:tc>
          <w:tcPr>
            <w:tcW w:w="1395" w:type="dxa"/>
            <w:tcBorders>
              <w:tl2br w:val="nil"/>
              <w:tr2bl w:val="nil"/>
            </w:tcBorders>
            <w:tcMar>
              <w:top w:w="15" w:type="dxa"/>
              <w:left w:w="15" w:type="dxa"/>
              <w:right w:w="15" w:type="dxa"/>
            </w:tcMar>
            <w:vAlign w:val="center"/>
          </w:tcPr>
          <w:p w14:paraId="05E23E20">
            <w:pPr>
              <w:jc w:val="right"/>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top"/>
          </w:tcPr>
          <w:p w14:paraId="2A0095D6">
            <w:pPr>
              <w:jc w:val="center"/>
              <w:textAlignment w:val="center"/>
              <w:rPr>
                <w:rFonts w:ascii="Times New Roman" w:hAnsi="Times New Roman" w:cs="Times New Roman"/>
                <w:sz w:val="18"/>
                <w:szCs w:val="18"/>
              </w:rPr>
            </w:pPr>
            <w:r>
              <w:rPr>
                <w:rFonts w:ascii="Times New Roman" w:hAnsi="Times New Roman" w:cs="Times New Roman"/>
                <w:sz w:val="18"/>
                <w:szCs w:val="18"/>
              </w:rPr>
              <w:t>约束性</w:t>
            </w:r>
          </w:p>
        </w:tc>
      </w:tr>
      <w:tr w14:paraId="32939DD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2" w:hRule="atLeast"/>
          <w:jc w:val="center"/>
        </w:trPr>
        <w:tc>
          <w:tcPr>
            <w:tcW w:w="4899" w:type="dxa"/>
            <w:tcBorders>
              <w:tl2br w:val="nil"/>
              <w:tr2bl w:val="nil"/>
            </w:tcBorders>
            <w:tcMar>
              <w:top w:w="15" w:type="dxa"/>
              <w:left w:w="15" w:type="dxa"/>
              <w:right w:w="15" w:type="dxa"/>
            </w:tcMar>
            <w:vAlign w:val="bottom"/>
          </w:tcPr>
          <w:p w14:paraId="7610851F">
            <w:pPr>
              <w:ind w:firstLine="180" w:firstLineChars="100"/>
              <w:jc w:val="both"/>
              <w:rPr>
                <w:rFonts w:ascii="Times New Roman" w:hAnsi="Times New Roman" w:cs="Times New Roman"/>
                <w:sz w:val="18"/>
                <w:szCs w:val="18"/>
              </w:rPr>
            </w:pPr>
            <w:r>
              <w:rPr>
                <w:rFonts w:ascii="Times New Roman" w:hAnsi="Times New Roman" w:cs="Times New Roman"/>
                <w:sz w:val="18"/>
                <w:szCs w:val="18"/>
              </w:rPr>
              <w:t>孕产妇死亡率（1/10万）</w:t>
            </w:r>
          </w:p>
        </w:tc>
        <w:tc>
          <w:tcPr>
            <w:tcW w:w="884" w:type="dxa"/>
            <w:tcBorders>
              <w:tl2br w:val="nil"/>
              <w:tr2bl w:val="nil"/>
            </w:tcBorders>
            <w:tcMar>
              <w:top w:w="15" w:type="dxa"/>
              <w:left w:w="15" w:type="dxa"/>
              <w:right w:w="15" w:type="dxa"/>
            </w:tcMar>
            <w:vAlign w:val="center"/>
          </w:tcPr>
          <w:p w14:paraId="3678F9F1">
            <w:pPr>
              <w:jc w:val="right"/>
              <w:rPr>
                <w:rFonts w:ascii="Times New Roman" w:hAnsi="Times New Roman" w:cs="Times New Roman"/>
                <w:sz w:val="18"/>
                <w:szCs w:val="18"/>
              </w:rPr>
            </w:pPr>
          </w:p>
        </w:tc>
        <w:tc>
          <w:tcPr>
            <w:tcW w:w="917" w:type="dxa"/>
            <w:tcBorders>
              <w:tl2br w:val="nil"/>
              <w:tr2bl w:val="nil"/>
            </w:tcBorders>
            <w:tcMar>
              <w:top w:w="15" w:type="dxa"/>
              <w:left w:w="15" w:type="dxa"/>
              <w:right w:w="15" w:type="dxa"/>
            </w:tcMar>
            <w:vAlign w:val="center"/>
          </w:tcPr>
          <w:p w14:paraId="526DE97D">
            <w:pPr>
              <w:jc w:val="right"/>
              <w:rPr>
                <w:rFonts w:ascii="Times New Roman" w:hAnsi="Times New Roman" w:cs="Times New Roman"/>
                <w:sz w:val="18"/>
                <w:szCs w:val="18"/>
              </w:rPr>
            </w:pPr>
          </w:p>
        </w:tc>
        <w:tc>
          <w:tcPr>
            <w:tcW w:w="1395" w:type="dxa"/>
            <w:tcBorders>
              <w:tl2br w:val="nil"/>
              <w:tr2bl w:val="nil"/>
            </w:tcBorders>
            <w:tcMar>
              <w:top w:w="15" w:type="dxa"/>
              <w:left w:w="15" w:type="dxa"/>
              <w:right w:w="15" w:type="dxa"/>
            </w:tcMar>
            <w:vAlign w:val="center"/>
          </w:tcPr>
          <w:p w14:paraId="309A1A32">
            <w:pPr>
              <w:jc w:val="right"/>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top"/>
          </w:tcPr>
          <w:p w14:paraId="68525F12">
            <w:pPr>
              <w:jc w:val="center"/>
              <w:textAlignment w:val="center"/>
              <w:rPr>
                <w:rFonts w:ascii="Times New Roman" w:hAnsi="Times New Roman" w:cs="Times New Roman"/>
                <w:sz w:val="18"/>
                <w:szCs w:val="18"/>
              </w:rPr>
            </w:pPr>
            <w:r>
              <w:rPr>
                <w:rFonts w:ascii="Times New Roman" w:hAnsi="Times New Roman" w:cs="Times New Roman"/>
                <w:sz w:val="18"/>
                <w:szCs w:val="18"/>
              </w:rPr>
              <w:t>约束性</w:t>
            </w:r>
          </w:p>
        </w:tc>
      </w:tr>
      <w:tr w14:paraId="0720FF1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98" w:hRule="atLeast"/>
          <w:jc w:val="center"/>
        </w:trPr>
        <w:tc>
          <w:tcPr>
            <w:tcW w:w="4899" w:type="dxa"/>
            <w:tcBorders>
              <w:tl2br w:val="nil"/>
              <w:tr2bl w:val="nil"/>
            </w:tcBorders>
            <w:tcMar>
              <w:top w:w="15" w:type="dxa"/>
              <w:left w:w="15" w:type="dxa"/>
              <w:right w:w="15" w:type="dxa"/>
            </w:tcMar>
            <w:vAlign w:val="center"/>
          </w:tcPr>
          <w:p w14:paraId="6148A04D">
            <w:pPr>
              <w:jc w:val="both"/>
              <w:rPr>
                <w:rFonts w:ascii="Times New Roman" w:hAnsi="Times New Roman" w:cs="Times New Roman"/>
                <w:sz w:val="18"/>
                <w:szCs w:val="18"/>
              </w:rPr>
            </w:pPr>
            <w:r>
              <w:rPr>
                <w:rFonts w:ascii="Times New Roman" w:hAnsi="Times New Roman" w:cs="Times New Roman"/>
                <w:sz w:val="18"/>
                <w:szCs w:val="18"/>
              </w:rPr>
              <w:t>23.每千名老年人拥有养老床位数（张）</w:t>
            </w:r>
          </w:p>
        </w:tc>
        <w:tc>
          <w:tcPr>
            <w:tcW w:w="884" w:type="dxa"/>
            <w:tcBorders>
              <w:tl2br w:val="nil"/>
              <w:tr2bl w:val="nil"/>
            </w:tcBorders>
            <w:tcMar>
              <w:top w:w="15" w:type="dxa"/>
              <w:left w:w="15" w:type="dxa"/>
              <w:right w:w="15" w:type="dxa"/>
            </w:tcMar>
            <w:vAlign w:val="center"/>
          </w:tcPr>
          <w:p w14:paraId="2F0DDAAB">
            <w:pPr>
              <w:jc w:val="right"/>
              <w:rPr>
                <w:rFonts w:ascii="Times New Roman" w:hAnsi="Times New Roman" w:cs="Times New Roman"/>
                <w:sz w:val="18"/>
                <w:szCs w:val="18"/>
              </w:rPr>
            </w:pPr>
          </w:p>
        </w:tc>
        <w:tc>
          <w:tcPr>
            <w:tcW w:w="917" w:type="dxa"/>
            <w:tcBorders>
              <w:tl2br w:val="nil"/>
              <w:tr2bl w:val="nil"/>
            </w:tcBorders>
            <w:tcMar>
              <w:top w:w="15" w:type="dxa"/>
              <w:left w:w="15" w:type="dxa"/>
              <w:right w:w="15" w:type="dxa"/>
            </w:tcMar>
            <w:vAlign w:val="center"/>
          </w:tcPr>
          <w:p w14:paraId="66528D66">
            <w:pPr>
              <w:jc w:val="right"/>
              <w:rPr>
                <w:rFonts w:ascii="Times New Roman" w:hAnsi="Times New Roman" w:cs="Times New Roman"/>
                <w:sz w:val="18"/>
                <w:szCs w:val="18"/>
              </w:rPr>
            </w:pPr>
            <w:r>
              <w:rPr>
                <w:rFonts w:ascii="Times New Roman" w:hAnsi="Times New Roman" w:cs="Times New Roman"/>
                <w:sz w:val="18"/>
                <w:szCs w:val="18"/>
              </w:rPr>
              <w:t>40</w:t>
            </w:r>
          </w:p>
        </w:tc>
        <w:tc>
          <w:tcPr>
            <w:tcW w:w="1395" w:type="dxa"/>
            <w:tcBorders>
              <w:tl2br w:val="nil"/>
              <w:tr2bl w:val="nil"/>
            </w:tcBorders>
            <w:tcMar>
              <w:top w:w="15" w:type="dxa"/>
              <w:left w:w="15" w:type="dxa"/>
              <w:right w:w="15" w:type="dxa"/>
            </w:tcMar>
            <w:vAlign w:val="center"/>
          </w:tcPr>
          <w:p w14:paraId="70081B1F">
            <w:pPr>
              <w:jc w:val="right"/>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center"/>
          </w:tcPr>
          <w:p w14:paraId="0A69EBC4">
            <w:pPr>
              <w:jc w:val="center"/>
              <w:textAlignment w:val="center"/>
              <w:rPr>
                <w:rFonts w:ascii="Times New Roman" w:hAnsi="Times New Roman" w:cs="Times New Roman"/>
                <w:sz w:val="18"/>
                <w:szCs w:val="18"/>
              </w:rPr>
            </w:pPr>
            <w:r>
              <w:rPr>
                <w:rFonts w:ascii="Times New Roman" w:hAnsi="Times New Roman" w:cs="Times New Roman"/>
                <w:sz w:val="18"/>
                <w:szCs w:val="18"/>
              </w:rPr>
              <w:t>预期性</w:t>
            </w:r>
          </w:p>
        </w:tc>
      </w:tr>
      <w:tr w14:paraId="0937FC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2" w:hRule="atLeast"/>
          <w:jc w:val="center"/>
        </w:trPr>
        <w:tc>
          <w:tcPr>
            <w:tcW w:w="9080" w:type="dxa"/>
            <w:gridSpan w:val="5"/>
            <w:tcBorders>
              <w:tl2br w:val="nil"/>
              <w:tr2bl w:val="nil"/>
            </w:tcBorders>
            <w:tcMar>
              <w:top w:w="15" w:type="dxa"/>
              <w:left w:w="15" w:type="dxa"/>
              <w:right w:w="15" w:type="dxa"/>
            </w:tcMar>
            <w:vAlign w:val="center"/>
          </w:tcPr>
          <w:p w14:paraId="452E56B4">
            <w:pPr>
              <w:jc w:val="both"/>
              <w:textAlignment w:val="center"/>
              <w:rPr>
                <w:rFonts w:ascii="Times New Roman" w:hAnsi="Times New Roman" w:cs="Times New Roman"/>
                <w:sz w:val="18"/>
                <w:szCs w:val="18"/>
              </w:rPr>
            </w:pPr>
            <w:r>
              <w:rPr>
                <w:rFonts w:ascii="Times New Roman" w:hAnsi="Times New Roman" w:cs="Times New Roman"/>
                <w:sz w:val="18"/>
                <w:szCs w:val="18"/>
              </w:rPr>
              <w:t>五、生态文明（8项）</w:t>
            </w:r>
          </w:p>
        </w:tc>
      </w:tr>
      <w:tr w14:paraId="319B69A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2" w:hRule="atLeast"/>
          <w:jc w:val="center"/>
        </w:trPr>
        <w:tc>
          <w:tcPr>
            <w:tcW w:w="4899" w:type="dxa"/>
            <w:tcBorders>
              <w:tl2br w:val="nil"/>
              <w:tr2bl w:val="nil"/>
            </w:tcBorders>
            <w:tcMar>
              <w:top w:w="15" w:type="dxa"/>
              <w:left w:w="15" w:type="dxa"/>
              <w:right w:w="15" w:type="dxa"/>
            </w:tcMar>
            <w:vAlign w:val="center"/>
          </w:tcPr>
          <w:p w14:paraId="38F1D4E2">
            <w:pPr>
              <w:jc w:val="both"/>
              <w:rPr>
                <w:rFonts w:ascii="Times New Roman" w:hAnsi="Times New Roman" w:cs="Times New Roman"/>
                <w:sz w:val="18"/>
                <w:szCs w:val="18"/>
              </w:rPr>
            </w:pPr>
            <w:r>
              <w:rPr>
                <w:rFonts w:ascii="Times New Roman" w:hAnsi="Times New Roman" w:cs="Times New Roman"/>
                <w:sz w:val="18"/>
                <w:szCs w:val="18"/>
              </w:rPr>
              <w:t>24.耕地保有量(公顷)</w:t>
            </w:r>
          </w:p>
        </w:tc>
        <w:tc>
          <w:tcPr>
            <w:tcW w:w="884" w:type="dxa"/>
            <w:tcBorders>
              <w:tl2br w:val="nil"/>
              <w:tr2bl w:val="nil"/>
            </w:tcBorders>
            <w:tcMar>
              <w:top w:w="15" w:type="dxa"/>
              <w:left w:w="15" w:type="dxa"/>
              <w:right w:w="15" w:type="dxa"/>
            </w:tcMar>
            <w:vAlign w:val="center"/>
          </w:tcPr>
          <w:p w14:paraId="62FFA973">
            <w:pPr>
              <w:jc w:val="right"/>
              <w:rPr>
                <w:rFonts w:ascii="Times New Roman" w:hAnsi="Times New Roman" w:cs="Times New Roman"/>
                <w:sz w:val="18"/>
                <w:szCs w:val="18"/>
              </w:rPr>
            </w:pPr>
            <w:r>
              <w:rPr>
                <w:rFonts w:ascii="Times New Roman" w:hAnsi="Times New Roman" w:cs="Times New Roman"/>
                <w:sz w:val="18"/>
                <w:szCs w:val="18"/>
              </w:rPr>
              <w:t>53406</w:t>
            </w:r>
          </w:p>
        </w:tc>
        <w:tc>
          <w:tcPr>
            <w:tcW w:w="917" w:type="dxa"/>
            <w:tcBorders>
              <w:tl2br w:val="nil"/>
              <w:tr2bl w:val="nil"/>
            </w:tcBorders>
            <w:tcMar>
              <w:top w:w="15" w:type="dxa"/>
              <w:left w:w="15" w:type="dxa"/>
              <w:right w:w="15" w:type="dxa"/>
            </w:tcMar>
            <w:vAlign w:val="center"/>
          </w:tcPr>
          <w:p w14:paraId="7A3B7371">
            <w:pPr>
              <w:jc w:val="right"/>
              <w:rPr>
                <w:rFonts w:ascii="Times New Roman" w:hAnsi="Times New Roman" w:cs="Times New Roman"/>
                <w:sz w:val="18"/>
                <w:szCs w:val="18"/>
              </w:rPr>
            </w:pPr>
            <w:r>
              <w:rPr>
                <w:rFonts w:ascii="Times New Roman" w:hAnsi="Times New Roman" w:cs="Times New Roman"/>
                <w:sz w:val="18"/>
                <w:szCs w:val="18"/>
              </w:rPr>
              <w:t>55606.65</w:t>
            </w:r>
          </w:p>
        </w:tc>
        <w:tc>
          <w:tcPr>
            <w:tcW w:w="1395" w:type="dxa"/>
            <w:tcBorders>
              <w:tl2br w:val="nil"/>
              <w:tr2bl w:val="nil"/>
            </w:tcBorders>
            <w:tcMar>
              <w:top w:w="15" w:type="dxa"/>
              <w:left w:w="15" w:type="dxa"/>
              <w:right w:w="15" w:type="dxa"/>
            </w:tcMar>
            <w:vAlign w:val="center"/>
          </w:tcPr>
          <w:p w14:paraId="313FE5ED">
            <w:pPr>
              <w:jc w:val="right"/>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center"/>
          </w:tcPr>
          <w:p w14:paraId="628BBABF">
            <w:pPr>
              <w:jc w:val="center"/>
              <w:textAlignment w:val="center"/>
              <w:rPr>
                <w:rFonts w:ascii="Times New Roman" w:hAnsi="Times New Roman" w:cs="Times New Roman"/>
                <w:sz w:val="18"/>
                <w:szCs w:val="18"/>
              </w:rPr>
            </w:pPr>
            <w:r>
              <w:rPr>
                <w:rFonts w:ascii="Times New Roman" w:hAnsi="Times New Roman" w:cs="Times New Roman"/>
                <w:sz w:val="18"/>
                <w:szCs w:val="18"/>
              </w:rPr>
              <w:t>约束性</w:t>
            </w:r>
          </w:p>
        </w:tc>
      </w:tr>
      <w:tr w14:paraId="0DC696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2" w:hRule="atLeast"/>
          <w:jc w:val="center"/>
        </w:trPr>
        <w:tc>
          <w:tcPr>
            <w:tcW w:w="4899" w:type="dxa"/>
            <w:tcBorders>
              <w:tl2br w:val="nil"/>
              <w:tr2bl w:val="nil"/>
            </w:tcBorders>
            <w:tcMar>
              <w:top w:w="15" w:type="dxa"/>
              <w:left w:w="15" w:type="dxa"/>
              <w:right w:w="15" w:type="dxa"/>
            </w:tcMar>
            <w:vAlign w:val="center"/>
          </w:tcPr>
          <w:p w14:paraId="3A778F1C">
            <w:pPr>
              <w:jc w:val="both"/>
              <w:rPr>
                <w:rFonts w:ascii="Times New Roman" w:hAnsi="Times New Roman" w:cs="Times New Roman"/>
                <w:sz w:val="18"/>
                <w:szCs w:val="18"/>
              </w:rPr>
            </w:pPr>
            <w:r>
              <w:rPr>
                <w:rFonts w:ascii="Times New Roman" w:hAnsi="Times New Roman" w:cs="Times New Roman"/>
                <w:sz w:val="18"/>
                <w:szCs w:val="18"/>
              </w:rPr>
              <w:t>25.森林覆盖率（%）</w:t>
            </w:r>
          </w:p>
        </w:tc>
        <w:tc>
          <w:tcPr>
            <w:tcW w:w="884" w:type="dxa"/>
            <w:tcBorders>
              <w:tl2br w:val="nil"/>
              <w:tr2bl w:val="nil"/>
            </w:tcBorders>
            <w:tcMar>
              <w:top w:w="15" w:type="dxa"/>
              <w:left w:w="15" w:type="dxa"/>
              <w:right w:w="15" w:type="dxa"/>
            </w:tcMar>
            <w:vAlign w:val="center"/>
          </w:tcPr>
          <w:p w14:paraId="325C3787">
            <w:pPr>
              <w:jc w:val="right"/>
              <w:rPr>
                <w:rFonts w:ascii="Times New Roman" w:hAnsi="Times New Roman" w:cs="Times New Roman"/>
                <w:sz w:val="18"/>
                <w:szCs w:val="18"/>
              </w:rPr>
            </w:pPr>
            <w:r>
              <w:rPr>
                <w:rFonts w:ascii="Times New Roman" w:hAnsi="Times New Roman" w:cs="Times New Roman"/>
                <w:sz w:val="18"/>
                <w:szCs w:val="18"/>
              </w:rPr>
              <w:t>24.4</w:t>
            </w:r>
          </w:p>
        </w:tc>
        <w:tc>
          <w:tcPr>
            <w:tcW w:w="917" w:type="dxa"/>
            <w:tcBorders>
              <w:tl2br w:val="nil"/>
              <w:tr2bl w:val="nil"/>
            </w:tcBorders>
            <w:tcMar>
              <w:top w:w="15" w:type="dxa"/>
              <w:left w:w="15" w:type="dxa"/>
              <w:right w:w="15" w:type="dxa"/>
            </w:tcMar>
            <w:vAlign w:val="center"/>
          </w:tcPr>
          <w:p w14:paraId="0076E402">
            <w:pPr>
              <w:jc w:val="right"/>
              <w:rPr>
                <w:rFonts w:ascii="Times New Roman" w:hAnsi="Times New Roman" w:cs="Times New Roman"/>
                <w:sz w:val="18"/>
                <w:szCs w:val="18"/>
              </w:rPr>
            </w:pPr>
            <w:r>
              <w:rPr>
                <w:rFonts w:hint="eastAsia" w:ascii="Times New Roman" w:hAnsi="Times New Roman" w:cs="Times New Roman"/>
                <w:sz w:val="18"/>
                <w:szCs w:val="18"/>
              </w:rPr>
              <w:t>29.8</w:t>
            </w:r>
          </w:p>
        </w:tc>
        <w:tc>
          <w:tcPr>
            <w:tcW w:w="1395" w:type="dxa"/>
            <w:tcBorders>
              <w:tl2br w:val="nil"/>
              <w:tr2bl w:val="nil"/>
            </w:tcBorders>
            <w:tcMar>
              <w:top w:w="15" w:type="dxa"/>
              <w:left w:w="15" w:type="dxa"/>
              <w:right w:w="15" w:type="dxa"/>
            </w:tcMar>
            <w:vAlign w:val="center"/>
          </w:tcPr>
          <w:p w14:paraId="490BAA98">
            <w:pPr>
              <w:jc w:val="right"/>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center"/>
          </w:tcPr>
          <w:p w14:paraId="4012568B">
            <w:pPr>
              <w:jc w:val="center"/>
              <w:textAlignment w:val="center"/>
              <w:rPr>
                <w:rFonts w:ascii="Times New Roman" w:hAnsi="Times New Roman" w:cs="Times New Roman"/>
                <w:sz w:val="18"/>
                <w:szCs w:val="18"/>
              </w:rPr>
            </w:pPr>
            <w:r>
              <w:rPr>
                <w:rFonts w:ascii="Times New Roman" w:hAnsi="Times New Roman" w:cs="Times New Roman"/>
                <w:sz w:val="18"/>
                <w:szCs w:val="18"/>
              </w:rPr>
              <w:t>约束性</w:t>
            </w:r>
          </w:p>
        </w:tc>
      </w:tr>
      <w:tr w14:paraId="59767FF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90" w:hRule="atLeast"/>
          <w:jc w:val="center"/>
        </w:trPr>
        <w:tc>
          <w:tcPr>
            <w:tcW w:w="4899" w:type="dxa"/>
            <w:tcBorders>
              <w:tl2br w:val="nil"/>
              <w:tr2bl w:val="nil"/>
            </w:tcBorders>
            <w:tcMar>
              <w:top w:w="15" w:type="dxa"/>
              <w:left w:w="15" w:type="dxa"/>
              <w:right w:w="15" w:type="dxa"/>
            </w:tcMar>
            <w:vAlign w:val="center"/>
          </w:tcPr>
          <w:p w14:paraId="7F551F68">
            <w:pPr>
              <w:jc w:val="both"/>
              <w:rPr>
                <w:rFonts w:ascii="Times New Roman" w:hAnsi="Times New Roman" w:cs="Times New Roman"/>
                <w:sz w:val="18"/>
                <w:szCs w:val="18"/>
              </w:rPr>
            </w:pPr>
            <w:r>
              <w:rPr>
                <w:rFonts w:ascii="Times New Roman" w:hAnsi="Times New Roman" w:cs="Times New Roman"/>
                <w:sz w:val="18"/>
                <w:szCs w:val="18"/>
              </w:rPr>
              <w:t>26.单位GDP能耗（2010年不变价）（吨标煤/万元）</w:t>
            </w:r>
          </w:p>
        </w:tc>
        <w:tc>
          <w:tcPr>
            <w:tcW w:w="884" w:type="dxa"/>
            <w:tcBorders>
              <w:tl2br w:val="nil"/>
              <w:tr2bl w:val="nil"/>
            </w:tcBorders>
            <w:tcMar>
              <w:top w:w="15" w:type="dxa"/>
              <w:left w:w="15" w:type="dxa"/>
              <w:right w:w="15" w:type="dxa"/>
            </w:tcMar>
            <w:vAlign w:val="center"/>
          </w:tcPr>
          <w:p w14:paraId="7863B3E1">
            <w:pPr>
              <w:jc w:val="center"/>
              <w:rPr>
                <w:rFonts w:ascii="Times New Roman" w:hAnsi="Times New Roman" w:cs="Times New Roman"/>
                <w:sz w:val="18"/>
                <w:szCs w:val="18"/>
              </w:rPr>
            </w:pPr>
            <w:r>
              <w:rPr>
                <w:rFonts w:ascii="Times New Roman" w:hAnsi="Times New Roman" w:cs="Times New Roman"/>
                <w:sz w:val="18"/>
                <w:szCs w:val="18"/>
              </w:rPr>
              <w:t>-</w:t>
            </w:r>
          </w:p>
        </w:tc>
        <w:tc>
          <w:tcPr>
            <w:tcW w:w="917" w:type="dxa"/>
            <w:tcBorders>
              <w:tl2br w:val="nil"/>
              <w:tr2bl w:val="nil"/>
            </w:tcBorders>
            <w:tcMar>
              <w:top w:w="15" w:type="dxa"/>
              <w:left w:w="15" w:type="dxa"/>
              <w:right w:w="15" w:type="dxa"/>
            </w:tcMar>
            <w:vAlign w:val="center"/>
          </w:tcPr>
          <w:p w14:paraId="42DFBD68">
            <w:pPr>
              <w:jc w:val="both"/>
              <w:rPr>
                <w:rFonts w:ascii="Times New Roman" w:hAnsi="Times New Roman" w:cs="Times New Roman"/>
                <w:sz w:val="18"/>
                <w:szCs w:val="18"/>
              </w:rPr>
            </w:pPr>
            <w:r>
              <w:rPr>
                <w:rFonts w:ascii="Times New Roman" w:hAnsi="Times New Roman" w:cs="Times New Roman"/>
                <w:sz w:val="13"/>
                <w:szCs w:val="13"/>
              </w:rPr>
              <w:t>完成下达任务</w:t>
            </w:r>
          </w:p>
        </w:tc>
        <w:tc>
          <w:tcPr>
            <w:tcW w:w="1395" w:type="dxa"/>
            <w:tcBorders>
              <w:tl2br w:val="nil"/>
              <w:tr2bl w:val="nil"/>
            </w:tcBorders>
            <w:tcMar>
              <w:top w:w="15" w:type="dxa"/>
              <w:left w:w="15" w:type="dxa"/>
              <w:right w:w="15" w:type="dxa"/>
            </w:tcMar>
            <w:vAlign w:val="center"/>
          </w:tcPr>
          <w:p w14:paraId="0C9E0BAE">
            <w:pPr>
              <w:jc w:val="center"/>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center"/>
          </w:tcPr>
          <w:p w14:paraId="7976DFB3">
            <w:pPr>
              <w:jc w:val="center"/>
              <w:textAlignment w:val="center"/>
              <w:rPr>
                <w:rFonts w:ascii="Times New Roman" w:hAnsi="Times New Roman" w:cs="Times New Roman"/>
                <w:sz w:val="18"/>
                <w:szCs w:val="18"/>
              </w:rPr>
            </w:pPr>
            <w:r>
              <w:rPr>
                <w:rFonts w:ascii="Times New Roman" w:hAnsi="Times New Roman" w:cs="Times New Roman"/>
                <w:sz w:val="18"/>
                <w:szCs w:val="18"/>
              </w:rPr>
              <w:t>约束性</w:t>
            </w:r>
          </w:p>
        </w:tc>
      </w:tr>
      <w:tr w14:paraId="0BE6932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2" w:hRule="atLeast"/>
          <w:jc w:val="center"/>
        </w:trPr>
        <w:tc>
          <w:tcPr>
            <w:tcW w:w="4899" w:type="dxa"/>
            <w:tcBorders>
              <w:tl2br w:val="nil"/>
              <w:tr2bl w:val="nil"/>
            </w:tcBorders>
            <w:tcMar>
              <w:top w:w="15" w:type="dxa"/>
              <w:left w:w="15" w:type="dxa"/>
              <w:right w:w="15" w:type="dxa"/>
            </w:tcMar>
            <w:vAlign w:val="center"/>
          </w:tcPr>
          <w:p w14:paraId="21701784">
            <w:pPr>
              <w:jc w:val="both"/>
              <w:rPr>
                <w:rFonts w:ascii="Times New Roman" w:hAnsi="Times New Roman" w:cs="Times New Roman"/>
                <w:sz w:val="18"/>
                <w:szCs w:val="18"/>
              </w:rPr>
            </w:pPr>
            <w:r>
              <w:rPr>
                <w:rFonts w:ascii="Times New Roman" w:hAnsi="Times New Roman" w:cs="Times New Roman"/>
                <w:sz w:val="18"/>
                <w:szCs w:val="18"/>
              </w:rPr>
              <w:t>27.单位地区生产总值二氧化碳排放降低（%）</w:t>
            </w:r>
          </w:p>
        </w:tc>
        <w:tc>
          <w:tcPr>
            <w:tcW w:w="884" w:type="dxa"/>
            <w:tcBorders>
              <w:tl2br w:val="nil"/>
              <w:tr2bl w:val="nil"/>
            </w:tcBorders>
            <w:tcMar>
              <w:top w:w="15" w:type="dxa"/>
              <w:left w:w="15" w:type="dxa"/>
              <w:right w:w="15" w:type="dxa"/>
            </w:tcMar>
            <w:vAlign w:val="center"/>
          </w:tcPr>
          <w:p w14:paraId="386D2105">
            <w:pPr>
              <w:jc w:val="center"/>
              <w:rPr>
                <w:rFonts w:ascii="Times New Roman" w:hAnsi="Times New Roman" w:cs="Times New Roman"/>
                <w:sz w:val="18"/>
                <w:szCs w:val="18"/>
              </w:rPr>
            </w:pPr>
            <w:r>
              <w:rPr>
                <w:rFonts w:ascii="Times New Roman" w:hAnsi="Times New Roman" w:cs="Times New Roman"/>
                <w:sz w:val="18"/>
                <w:szCs w:val="18"/>
              </w:rPr>
              <w:t>-</w:t>
            </w:r>
          </w:p>
        </w:tc>
        <w:tc>
          <w:tcPr>
            <w:tcW w:w="917" w:type="dxa"/>
            <w:tcBorders>
              <w:tl2br w:val="nil"/>
              <w:tr2bl w:val="nil"/>
            </w:tcBorders>
            <w:tcMar>
              <w:top w:w="15" w:type="dxa"/>
              <w:left w:w="15" w:type="dxa"/>
              <w:right w:w="15" w:type="dxa"/>
            </w:tcMar>
            <w:vAlign w:val="center"/>
          </w:tcPr>
          <w:p w14:paraId="7525F8FD">
            <w:pPr>
              <w:jc w:val="both"/>
              <w:rPr>
                <w:rFonts w:ascii="Times New Roman" w:hAnsi="Times New Roman" w:cs="Times New Roman"/>
                <w:sz w:val="18"/>
                <w:szCs w:val="18"/>
              </w:rPr>
            </w:pPr>
            <w:r>
              <w:rPr>
                <w:rFonts w:ascii="Times New Roman" w:hAnsi="Times New Roman" w:cs="Times New Roman"/>
                <w:sz w:val="13"/>
                <w:szCs w:val="13"/>
              </w:rPr>
              <w:t>完成下达任务</w:t>
            </w:r>
          </w:p>
        </w:tc>
        <w:tc>
          <w:tcPr>
            <w:tcW w:w="1395" w:type="dxa"/>
            <w:tcBorders>
              <w:tl2br w:val="nil"/>
              <w:tr2bl w:val="nil"/>
            </w:tcBorders>
            <w:tcMar>
              <w:top w:w="15" w:type="dxa"/>
              <w:left w:w="15" w:type="dxa"/>
              <w:right w:w="15" w:type="dxa"/>
            </w:tcMar>
            <w:vAlign w:val="center"/>
          </w:tcPr>
          <w:p w14:paraId="15A19EF4">
            <w:pPr>
              <w:jc w:val="center"/>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center"/>
          </w:tcPr>
          <w:p w14:paraId="45605623">
            <w:pPr>
              <w:jc w:val="center"/>
              <w:textAlignment w:val="center"/>
              <w:rPr>
                <w:rFonts w:ascii="Times New Roman" w:hAnsi="Times New Roman" w:cs="Times New Roman"/>
                <w:sz w:val="18"/>
                <w:szCs w:val="18"/>
              </w:rPr>
            </w:pPr>
            <w:r>
              <w:rPr>
                <w:rFonts w:ascii="Times New Roman" w:hAnsi="Times New Roman" w:cs="Times New Roman"/>
                <w:sz w:val="18"/>
                <w:szCs w:val="18"/>
              </w:rPr>
              <w:t>约束性</w:t>
            </w:r>
          </w:p>
        </w:tc>
      </w:tr>
      <w:tr w14:paraId="216C80F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2" w:hRule="atLeast"/>
          <w:jc w:val="center"/>
        </w:trPr>
        <w:tc>
          <w:tcPr>
            <w:tcW w:w="4899" w:type="dxa"/>
            <w:tcBorders>
              <w:tl2br w:val="nil"/>
              <w:tr2bl w:val="nil"/>
            </w:tcBorders>
            <w:tcMar>
              <w:top w:w="15" w:type="dxa"/>
              <w:left w:w="15" w:type="dxa"/>
              <w:right w:w="15" w:type="dxa"/>
            </w:tcMar>
            <w:vAlign w:val="center"/>
          </w:tcPr>
          <w:p w14:paraId="3EB636D7">
            <w:pPr>
              <w:jc w:val="both"/>
              <w:rPr>
                <w:rFonts w:ascii="Times New Roman" w:hAnsi="Times New Roman" w:cs="Times New Roman"/>
                <w:sz w:val="18"/>
                <w:szCs w:val="18"/>
              </w:rPr>
            </w:pPr>
            <w:r>
              <w:rPr>
                <w:rFonts w:ascii="Times New Roman" w:hAnsi="Times New Roman" w:cs="Times New Roman"/>
                <w:sz w:val="18"/>
                <w:szCs w:val="18"/>
              </w:rPr>
              <w:t>28.空气质量达到二级标准的天数</w:t>
            </w:r>
          </w:p>
        </w:tc>
        <w:tc>
          <w:tcPr>
            <w:tcW w:w="884" w:type="dxa"/>
            <w:tcBorders>
              <w:tl2br w:val="nil"/>
              <w:tr2bl w:val="nil"/>
            </w:tcBorders>
            <w:tcMar>
              <w:top w:w="15" w:type="dxa"/>
              <w:left w:w="15" w:type="dxa"/>
              <w:right w:w="15" w:type="dxa"/>
            </w:tcMar>
            <w:vAlign w:val="center"/>
          </w:tcPr>
          <w:p w14:paraId="2ACAB41E">
            <w:pPr>
              <w:jc w:val="right"/>
              <w:rPr>
                <w:rFonts w:ascii="Times New Roman" w:hAnsi="Times New Roman" w:cs="Times New Roman"/>
                <w:sz w:val="18"/>
                <w:szCs w:val="18"/>
              </w:rPr>
            </w:pPr>
            <w:r>
              <w:rPr>
                <w:rFonts w:ascii="Times New Roman" w:hAnsi="Times New Roman" w:cs="Times New Roman"/>
                <w:sz w:val="18"/>
                <w:szCs w:val="18"/>
              </w:rPr>
              <w:t>292</w:t>
            </w:r>
          </w:p>
        </w:tc>
        <w:tc>
          <w:tcPr>
            <w:tcW w:w="917" w:type="dxa"/>
            <w:tcBorders>
              <w:tl2br w:val="nil"/>
              <w:tr2bl w:val="nil"/>
            </w:tcBorders>
            <w:tcMar>
              <w:top w:w="15" w:type="dxa"/>
              <w:left w:w="15" w:type="dxa"/>
              <w:right w:w="15" w:type="dxa"/>
            </w:tcMar>
            <w:vAlign w:val="center"/>
          </w:tcPr>
          <w:p w14:paraId="1A165119">
            <w:pPr>
              <w:jc w:val="right"/>
              <w:rPr>
                <w:rFonts w:ascii="Times New Roman" w:hAnsi="Times New Roman" w:cs="Times New Roman"/>
                <w:sz w:val="18"/>
                <w:szCs w:val="18"/>
              </w:rPr>
            </w:pPr>
            <w:r>
              <w:rPr>
                <w:rFonts w:ascii="Times New Roman" w:hAnsi="Times New Roman" w:cs="Times New Roman"/>
                <w:sz w:val="18"/>
                <w:szCs w:val="18"/>
              </w:rPr>
              <w:t>264</w:t>
            </w:r>
          </w:p>
        </w:tc>
        <w:tc>
          <w:tcPr>
            <w:tcW w:w="1395" w:type="dxa"/>
            <w:tcBorders>
              <w:tl2br w:val="nil"/>
              <w:tr2bl w:val="nil"/>
            </w:tcBorders>
            <w:tcMar>
              <w:top w:w="15" w:type="dxa"/>
              <w:left w:w="15" w:type="dxa"/>
              <w:right w:w="15" w:type="dxa"/>
            </w:tcMar>
            <w:vAlign w:val="center"/>
          </w:tcPr>
          <w:p w14:paraId="3F12BE5E">
            <w:pPr>
              <w:jc w:val="center"/>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center"/>
          </w:tcPr>
          <w:p w14:paraId="78A34033">
            <w:pPr>
              <w:jc w:val="both"/>
              <w:textAlignment w:val="center"/>
              <w:rPr>
                <w:rFonts w:ascii="Times New Roman" w:hAnsi="Times New Roman" w:cs="Times New Roman"/>
                <w:sz w:val="18"/>
                <w:szCs w:val="18"/>
              </w:rPr>
            </w:pPr>
          </w:p>
        </w:tc>
      </w:tr>
      <w:tr w14:paraId="0B135E0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96" w:hRule="atLeast"/>
          <w:jc w:val="center"/>
        </w:trPr>
        <w:tc>
          <w:tcPr>
            <w:tcW w:w="9080" w:type="dxa"/>
            <w:gridSpan w:val="5"/>
            <w:tcBorders>
              <w:tl2br w:val="nil"/>
              <w:tr2bl w:val="nil"/>
            </w:tcBorders>
            <w:tcMar>
              <w:top w:w="15" w:type="dxa"/>
              <w:left w:w="15" w:type="dxa"/>
              <w:right w:w="15" w:type="dxa"/>
            </w:tcMar>
            <w:vAlign w:val="center"/>
          </w:tcPr>
          <w:p w14:paraId="7213EC6B">
            <w:pPr>
              <w:jc w:val="both"/>
              <w:textAlignment w:val="center"/>
              <w:rPr>
                <w:rFonts w:ascii="Times New Roman" w:hAnsi="Times New Roman" w:cs="Times New Roman"/>
                <w:sz w:val="18"/>
                <w:szCs w:val="18"/>
              </w:rPr>
            </w:pPr>
            <w:r>
              <w:rPr>
                <w:rFonts w:ascii="Times New Roman" w:hAnsi="Times New Roman" w:cs="Times New Roman"/>
                <w:sz w:val="18"/>
                <w:szCs w:val="18"/>
              </w:rPr>
              <w:t>29.主要污染物排放总量减少（%）</w:t>
            </w:r>
          </w:p>
        </w:tc>
      </w:tr>
      <w:tr w14:paraId="0A4900B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2" w:hRule="atLeast"/>
          <w:jc w:val="center"/>
        </w:trPr>
        <w:tc>
          <w:tcPr>
            <w:tcW w:w="4899" w:type="dxa"/>
            <w:tcBorders>
              <w:tl2br w:val="nil"/>
              <w:tr2bl w:val="nil"/>
            </w:tcBorders>
            <w:tcMar>
              <w:top w:w="15" w:type="dxa"/>
              <w:left w:w="15" w:type="dxa"/>
              <w:right w:w="15" w:type="dxa"/>
            </w:tcMar>
            <w:vAlign w:val="center"/>
          </w:tcPr>
          <w:p w14:paraId="541A987D">
            <w:pPr>
              <w:ind w:firstLine="180" w:firstLineChars="100"/>
              <w:jc w:val="both"/>
              <w:textAlignment w:val="center"/>
              <w:rPr>
                <w:rFonts w:ascii="Times New Roman" w:hAnsi="Times New Roman" w:cs="Times New Roman"/>
                <w:sz w:val="18"/>
                <w:szCs w:val="18"/>
              </w:rPr>
            </w:pPr>
            <w:r>
              <w:rPr>
                <w:rFonts w:ascii="Times New Roman" w:hAnsi="Times New Roman" w:cs="Times New Roman"/>
                <w:sz w:val="18"/>
                <w:szCs w:val="18"/>
              </w:rPr>
              <w:t>二氧化硫</w:t>
            </w:r>
          </w:p>
        </w:tc>
        <w:tc>
          <w:tcPr>
            <w:tcW w:w="884" w:type="dxa"/>
            <w:tcBorders>
              <w:tl2br w:val="nil"/>
              <w:tr2bl w:val="nil"/>
            </w:tcBorders>
            <w:tcMar>
              <w:top w:w="15" w:type="dxa"/>
              <w:left w:w="15" w:type="dxa"/>
              <w:right w:w="15" w:type="dxa"/>
            </w:tcMar>
            <w:vAlign w:val="center"/>
          </w:tcPr>
          <w:p w14:paraId="16E6B68D">
            <w:pPr>
              <w:jc w:val="center"/>
              <w:textAlignment w:val="center"/>
              <w:rPr>
                <w:rFonts w:ascii="Times New Roman" w:hAnsi="Times New Roman" w:cs="Times New Roman"/>
                <w:sz w:val="18"/>
                <w:szCs w:val="18"/>
              </w:rPr>
            </w:pPr>
            <w:r>
              <w:rPr>
                <w:rFonts w:ascii="Times New Roman" w:hAnsi="Times New Roman" w:cs="Times New Roman"/>
                <w:sz w:val="18"/>
                <w:szCs w:val="18"/>
              </w:rPr>
              <w:t>-</w:t>
            </w:r>
          </w:p>
        </w:tc>
        <w:tc>
          <w:tcPr>
            <w:tcW w:w="917" w:type="dxa"/>
            <w:tcBorders>
              <w:tl2br w:val="nil"/>
              <w:tr2bl w:val="nil"/>
            </w:tcBorders>
            <w:tcMar>
              <w:top w:w="15" w:type="dxa"/>
              <w:left w:w="15" w:type="dxa"/>
              <w:right w:w="15" w:type="dxa"/>
            </w:tcMar>
            <w:vAlign w:val="center"/>
          </w:tcPr>
          <w:p w14:paraId="154F5C6C">
            <w:pPr>
              <w:jc w:val="both"/>
              <w:rPr>
                <w:rFonts w:ascii="Times New Roman" w:hAnsi="Times New Roman" w:cs="Times New Roman"/>
                <w:sz w:val="18"/>
                <w:szCs w:val="18"/>
              </w:rPr>
            </w:pPr>
            <w:r>
              <w:rPr>
                <w:rFonts w:ascii="Times New Roman" w:hAnsi="Times New Roman" w:cs="Times New Roman"/>
                <w:sz w:val="13"/>
                <w:szCs w:val="13"/>
              </w:rPr>
              <w:t>完成下达任务</w:t>
            </w:r>
          </w:p>
        </w:tc>
        <w:tc>
          <w:tcPr>
            <w:tcW w:w="1395" w:type="dxa"/>
            <w:tcBorders>
              <w:tl2br w:val="nil"/>
              <w:tr2bl w:val="nil"/>
            </w:tcBorders>
            <w:tcMar>
              <w:top w:w="15" w:type="dxa"/>
              <w:left w:w="15" w:type="dxa"/>
              <w:right w:w="15" w:type="dxa"/>
            </w:tcMar>
            <w:vAlign w:val="center"/>
          </w:tcPr>
          <w:p w14:paraId="567B2DEA">
            <w:pPr>
              <w:jc w:val="center"/>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center"/>
          </w:tcPr>
          <w:p w14:paraId="4856A2B7">
            <w:pPr>
              <w:jc w:val="center"/>
              <w:textAlignment w:val="center"/>
              <w:rPr>
                <w:rFonts w:ascii="Times New Roman" w:hAnsi="Times New Roman" w:cs="Times New Roman"/>
                <w:sz w:val="18"/>
                <w:szCs w:val="18"/>
              </w:rPr>
            </w:pPr>
            <w:r>
              <w:rPr>
                <w:rFonts w:ascii="Times New Roman" w:hAnsi="Times New Roman" w:cs="Times New Roman"/>
                <w:sz w:val="18"/>
                <w:szCs w:val="18"/>
              </w:rPr>
              <w:t>约束性</w:t>
            </w:r>
          </w:p>
        </w:tc>
      </w:tr>
      <w:tr w14:paraId="6273372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2" w:hRule="atLeast"/>
          <w:jc w:val="center"/>
        </w:trPr>
        <w:tc>
          <w:tcPr>
            <w:tcW w:w="4899" w:type="dxa"/>
            <w:tcBorders>
              <w:tl2br w:val="nil"/>
              <w:tr2bl w:val="nil"/>
            </w:tcBorders>
            <w:tcMar>
              <w:top w:w="15" w:type="dxa"/>
              <w:left w:w="15" w:type="dxa"/>
              <w:right w:w="15" w:type="dxa"/>
            </w:tcMar>
            <w:vAlign w:val="center"/>
          </w:tcPr>
          <w:p w14:paraId="153B4203">
            <w:pPr>
              <w:ind w:firstLine="180" w:firstLineChars="100"/>
              <w:jc w:val="both"/>
              <w:textAlignment w:val="center"/>
              <w:rPr>
                <w:rFonts w:ascii="Times New Roman" w:hAnsi="Times New Roman" w:cs="Times New Roman"/>
                <w:sz w:val="18"/>
                <w:szCs w:val="18"/>
              </w:rPr>
            </w:pPr>
            <w:r>
              <w:rPr>
                <w:rFonts w:ascii="Times New Roman" w:hAnsi="Times New Roman" w:cs="Times New Roman"/>
                <w:sz w:val="18"/>
                <w:szCs w:val="18"/>
              </w:rPr>
              <w:t>化学需氧量</w:t>
            </w:r>
          </w:p>
        </w:tc>
        <w:tc>
          <w:tcPr>
            <w:tcW w:w="884" w:type="dxa"/>
            <w:tcBorders>
              <w:tl2br w:val="nil"/>
              <w:tr2bl w:val="nil"/>
            </w:tcBorders>
            <w:tcMar>
              <w:top w:w="15" w:type="dxa"/>
              <w:left w:w="15" w:type="dxa"/>
              <w:right w:w="15" w:type="dxa"/>
            </w:tcMar>
            <w:vAlign w:val="center"/>
          </w:tcPr>
          <w:p w14:paraId="3EC7575F">
            <w:pPr>
              <w:jc w:val="center"/>
              <w:textAlignment w:val="center"/>
              <w:rPr>
                <w:rFonts w:ascii="Times New Roman" w:hAnsi="Times New Roman" w:cs="Times New Roman"/>
                <w:sz w:val="18"/>
                <w:szCs w:val="18"/>
              </w:rPr>
            </w:pPr>
            <w:r>
              <w:rPr>
                <w:rFonts w:ascii="Times New Roman" w:hAnsi="Times New Roman" w:cs="Times New Roman"/>
                <w:sz w:val="18"/>
                <w:szCs w:val="18"/>
              </w:rPr>
              <w:t>-</w:t>
            </w:r>
          </w:p>
        </w:tc>
        <w:tc>
          <w:tcPr>
            <w:tcW w:w="917" w:type="dxa"/>
            <w:tcBorders>
              <w:tl2br w:val="nil"/>
              <w:tr2bl w:val="nil"/>
            </w:tcBorders>
            <w:tcMar>
              <w:top w:w="15" w:type="dxa"/>
              <w:left w:w="15" w:type="dxa"/>
              <w:right w:w="15" w:type="dxa"/>
            </w:tcMar>
            <w:vAlign w:val="center"/>
          </w:tcPr>
          <w:p w14:paraId="0B24CC44">
            <w:pPr>
              <w:jc w:val="both"/>
              <w:rPr>
                <w:rFonts w:ascii="Times New Roman" w:hAnsi="Times New Roman" w:cs="Times New Roman"/>
                <w:sz w:val="18"/>
                <w:szCs w:val="18"/>
              </w:rPr>
            </w:pPr>
            <w:r>
              <w:rPr>
                <w:rFonts w:ascii="Times New Roman" w:hAnsi="Times New Roman" w:cs="Times New Roman"/>
                <w:sz w:val="13"/>
                <w:szCs w:val="13"/>
              </w:rPr>
              <w:t>完成下达任务</w:t>
            </w:r>
          </w:p>
        </w:tc>
        <w:tc>
          <w:tcPr>
            <w:tcW w:w="1395" w:type="dxa"/>
            <w:tcBorders>
              <w:tl2br w:val="nil"/>
              <w:tr2bl w:val="nil"/>
            </w:tcBorders>
            <w:tcMar>
              <w:top w:w="15" w:type="dxa"/>
              <w:left w:w="15" w:type="dxa"/>
              <w:right w:w="15" w:type="dxa"/>
            </w:tcMar>
            <w:vAlign w:val="center"/>
          </w:tcPr>
          <w:p w14:paraId="34B895AF">
            <w:pPr>
              <w:jc w:val="center"/>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center"/>
          </w:tcPr>
          <w:p w14:paraId="0D3ADAD8">
            <w:pPr>
              <w:jc w:val="center"/>
              <w:textAlignment w:val="center"/>
              <w:rPr>
                <w:rFonts w:ascii="Times New Roman" w:hAnsi="Times New Roman" w:cs="Times New Roman"/>
                <w:sz w:val="18"/>
                <w:szCs w:val="18"/>
              </w:rPr>
            </w:pPr>
            <w:r>
              <w:rPr>
                <w:rFonts w:ascii="Times New Roman" w:hAnsi="Times New Roman" w:cs="Times New Roman"/>
                <w:sz w:val="18"/>
                <w:szCs w:val="18"/>
              </w:rPr>
              <w:t>约束性</w:t>
            </w:r>
          </w:p>
        </w:tc>
      </w:tr>
      <w:tr w14:paraId="6940407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2" w:hRule="atLeast"/>
          <w:jc w:val="center"/>
        </w:trPr>
        <w:tc>
          <w:tcPr>
            <w:tcW w:w="4899" w:type="dxa"/>
            <w:tcBorders>
              <w:tl2br w:val="nil"/>
              <w:tr2bl w:val="nil"/>
            </w:tcBorders>
            <w:tcMar>
              <w:top w:w="15" w:type="dxa"/>
              <w:left w:w="15" w:type="dxa"/>
              <w:right w:w="15" w:type="dxa"/>
            </w:tcMar>
            <w:vAlign w:val="center"/>
          </w:tcPr>
          <w:p w14:paraId="0615A140">
            <w:pPr>
              <w:ind w:firstLine="180" w:firstLineChars="100"/>
              <w:jc w:val="both"/>
              <w:textAlignment w:val="center"/>
              <w:rPr>
                <w:rFonts w:ascii="Times New Roman" w:hAnsi="Times New Roman" w:cs="Times New Roman"/>
                <w:sz w:val="18"/>
                <w:szCs w:val="18"/>
              </w:rPr>
            </w:pPr>
            <w:r>
              <w:rPr>
                <w:rFonts w:ascii="Times New Roman" w:hAnsi="Times New Roman" w:cs="Times New Roman"/>
                <w:sz w:val="18"/>
                <w:szCs w:val="18"/>
              </w:rPr>
              <w:t>氮氧化物</w:t>
            </w:r>
          </w:p>
        </w:tc>
        <w:tc>
          <w:tcPr>
            <w:tcW w:w="884" w:type="dxa"/>
            <w:tcBorders>
              <w:tl2br w:val="nil"/>
              <w:tr2bl w:val="nil"/>
            </w:tcBorders>
            <w:tcMar>
              <w:top w:w="15" w:type="dxa"/>
              <w:left w:w="15" w:type="dxa"/>
              <w:right w:w="15" w:type="dxa"/>
            </w:tcMar>
            <w:vAlign w:val="center"/>
          </w:tcPr>
          <w:p w14:paraId="345D0264">
            <w:pPr>
              <w:jc w:val="center"/>
              <w:textAlignment w:val="center"/>
              <w:rPr>
                <w:rFonts w:ascii="Times New Roman" w:hAnsi="Times New Roman" w:cs="Times New Roman"/>
                <w:sz w:val="18"/>
                <w:szCs w:val="18"/>
              </w:rPr>
            </w:pPr>
            <w:r>
              <w:rPr>
                <w:rFonts w:ascii="Times New Roman" w:hAnsi="Times New Roman" w:cs="Times New Roman"/>
                <w:sz w:val="18"/>
                <w:szCs w:val="18"/>
              </w:rPr>
              <w:t>-</w:t>
            </w:r>
          </w:p>
        </w:tc>
        <w:tc>
          <w:tcPr>
            <w:tcW w:w="917" w:type="dxa"/>
            <w:tcBorders>
              <w:tl2br w:val="nil"/>
              <w:tr2bl w:val="nil"/>
            </w:tcBorders>
            <w:tcMar>
              <w:top w:w="15" w:type="dxa"/>
              <w:left w:w="15" w:type="dxa"/>
              <w:right w:w="15" w:type="dxa"/>
            </w:tcMar>
            <w:vAlign w:val="center"/>
          </w:tcPr>
          <w:p w14:paraId="509CF2CB">
            <w:pPr>
              <w:jc w:val="both"/>
              <w:rPr>
                <w:rFonts w:ascii="Times New Roman" w:hAnsi="Times New Roman" w:cs="Times New Roman"/>
                <w:sz w:val="18"/>
                <w:szCs w:val="18"/>
              </w:rPr>
            </w:pPr>
            <w:r>
              <w:rPr>
                <w:rFonts w:ascii="Times New Roman" w:hAnsi="Times New Roman" w:cs="Times New Roman"/>
                <w:sz w:val="13"/>
                <w:szCs w:val="13"/>
              </w:rPr>
              <w:t>完成下达任务</w:t>
            </w:r>
          </w:p>
        </w:tc>
        <w:tc>
          <w:tcPr>
            <w:tcW w:w="1395" w:type="dxa"/>
            <w:tcBorders>
              <w:tl2br w:val="nil"/>
              <w:tr2bl w:val="nil"/>
            </w:tcBorders>
            <w:tcMar>
              <w:top w:w="15" w:type="dxa"/>
              <w:left w:w="15" w:type="dxa"/>
              <w:right w:w="15" w:type="dxa"/>
            </w:tcMar>
            <w:vAlign w:val="center"/>
          </w:tcPr>
          <w:p w14:paraId="67E66E1E">
            <w:pPr>
              <w:jc w:val="center"/>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center"/>
          </w:tcPr>
          <w:p w14:paraId="23F8186D">
            <w:pPr>
              <w:jc w:val="center"/>
              <w:textAlignment w:val="center"/>
              <w:rPr>
                <w:rFonts w:ascii="Times New Roman" w:hAnsi="Times New Roman" w:cs="Times New Roman"/>
                <w:sz w:val="18"/>
                <w:szCs w:val="18"/>
              </w:rPr>
            </w:pPr>
            <w:r>
              <w:rPr>
                <w:rFonts w:ascii="Times New Roman" w:hAnsi="Times New Roman" w:cs="Times New Roman"/>
                <w:sz w:val="18"/>
                <w:szCs w:val="18"/>
              </w:rPr>
              <w:t>约束性</w:t>
            </w:r>
          </w:p>
        </w:tc>
      </w:tr>
      <w:tr w14:paraId="71C3314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2" w:hRule="atLeast"/>
          <w:jc w:val="center"/>
        </w:trPr>
        <w:tc>
          <w:tcPr>
            <w:tcW w:w="4899" w:type="dxa"/>
            <w:tcBorders>
              <w:tl2br w:val="nil"/>
              <w:tr2bl w:val="nil"/>
            </w:tcBorders>
            <w:tcMar>
              <w:top w:w="15" w:type="dxa"/>
              <w:left w:w="15" w:type="dxa"/>
              <w:right w:w="15" w:type="dxa"/>
            </w:tcMar>
            <w:vAlign w:val="center"/>
          </w:tcPr>
          <w:p w14:paraId="69E798C8">
            <w:pPr>
              <w:ind w:firstLine="180" w:firstLineChars="100"/>
              <w:jc w:val="both"/>
              <w:textAlignment w:val="center"/>
              <w:rPr>
                <w:rFonts w:ascii="Times New Roman" w:hAnsi="Times New Roman" w:cs="Times New Roman"/>
                <w:sz w:val="18"/>
                <w:szCs w:val="18"/>
              </w:rPr>
            </w:pPr>
            <w:r>
              <w:rPr>
                <w:rFonts w:ascii="Times New Roman" w:hAnsi="Times New Roman" w:cs="Times New Roman"/>
                <w:sz w:val="18"/>
                <w:szCs w:val="18"/>
              </w:rPr>
              <w:t>氨氮</w:t>
            </w:r>
          </w:p>
        </w:tc>
        <w:tc>
          <w:tcPr>
            <w:tcW w:w="884" w:type="dxa"/>
            <w:tcBorders>
              <w:tl2br w:val="nil"/>
              <w:tr2bl w:val="nil"/>
            </w:tcBorders>
            <w:tcMar>
              <w:top w:w="15" w:type="dxa"/>
              <w:left w:w="15" w:type="dxa"/>
              <w:right w:w="15" w:type="dxa"/>
            </w:tcMar>
            <w:vAlign w:val="center"/>
          </w:tcPr>
          <w:p w14:paraId="0BAD1B41">
            <w:pPr>
              <w:jc w:val="center"/>
              <w:textAlignment w:val="center"/>
              <w:rPr>
                <w:rFonts w:ascii="Times New Roman" w:hAnsi="Times New Roman" w:cs="Times New Roman"/>
                <w:sz w:val="18"/>
                <w:szCs w:val="18"/>
              </w:rPr>
            </w:pPr>
            <w:r>
              <w:rPr>
                <w:rFonts w:ascii="Times New Roman" w:hAnsi="Times New Roman" w:cs="Times New Roman"/>
                <w:sz w:val="18"/>
                <w:szCs w:val="18"/>
              </w:rPr>
              <w:t>-</w:t>
            </w:r>
          </w:p>
        </w:tc>
        <w:tc>
          <w:tcPr>
            <w:tcW w:w="917" w:type="dxa"/>
            <w:tcBorders>
              <w:tl2br w:val="nil"/>
              <w:tr2bl w:val="nil"/>
            </w:tcBorders>
            <w:tcMar>
              <w:top w:w="15" w:type="dxa"/>
              <w:left w:w="15" w:type="dxa"/>
              <w:right w:w="15" w:type="dxa"/>
            </w:tcMar>
            <w:vAlign w:val="center"/>
          </w:tcPr>
          <w:p w14:paraId="2B2CFA80">
            <w:pPr>
              <w:jc w:val="both"/>
              <w:rPr>
                <w:rFonts w:ascii="Times New Roman" w:hAnsi="Times New Roman" w:cs="Times New Roman"/>
                <w:sz w:val="18"/>
                <w:szCs w:val="18"/>
              </w:rPr>
            </w:pPr>
            <w:r>
              <w:rPr>
                <w:rFonts w:ascii="Times New Roman" w:hAnsi="Times New Roman" w:cs="Times New Roman"/>
                <w:sz w:val="13"/>
                <w:szCs w:val="13"/>
              </w:rPr>
              <w:t>完成下达任务</w:t>
            </w:r>
          </w:p>
        </w:tc>
        <w:tc>
          <w:tcPr>
            <w:tcW w:w="1395" w:type="dxa"/>
            <w:tcBorders>
              <w:tl2br w:val="nil"/>
              <w:tr2bl w:val="nil"/>
            </w:tcBorders>
            <w:tcMar>
              <w:top w:w="15" w:type="dxa"/>
              <w:left w:w="15" w:type="dxa"/>
              <w:right w:w="15" w:type="dxa"/>
            </w:tcMar>
            <w:vAlign w:val="center"/>
          </w:tcPr>
          <w:p w14:paraId="3969A16D">
            <w:pPr>
              <w:jc w:val="center"/>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center"/>
          </w:tcPr>
          <w:p w14:paraId="3B60FEC0">
            <w:pPr>
              <w:jc w:val="center"/>
              <w:textAlignment w:val="center"/>
              <w:rPr>
                <w:rFonts w:ascii="Times New Roman" w:hAnsi="Times New Roman" w:cs="Times New Roman"/>
                <w:sz w:val="18"/>
                <w:szCs w:val="18"/>
              </w:rPr>
            </w:pPr>
            <w:r>
              <w:rPr>
                <w:rFonts w:ascii="Times New Roman" w:hAnsi="Times New Roman" w:cs="Times New Roman"/>
                <w:sz w:val="18"/>
                <w:szCs w:val="18"/>
              </w:rPr>
              <w:t>约束性</w:t>
            </w:r>
          </w:p>
        </w:tc>
      </w:tr>
      <w:tr w14:paraId="1C19575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2" w:hRule="atLeast"/>
          <w:jc w:val="center"/>
        </w:trPr>
        <w:tc>
          <w:tcPr>
            <w:tcW w:w="4899" w:type="dxa"/>
            <w:tcBorders>
              <w:tl2br w:val="nil"/>
              <w:tr2bl w:val="nil"/>
            </w:tcBorders>
            <w:tcMar>
              <w:top w:w="15" w:type="dxa"/>
              <w:left w:w="15" w:type="dxa"/>
              <w:right w:w="15" w:type="dxa"/>
            </w:tcMar>
            <w:vAlign w:val="center"/>
          </w:tcPr>
          <w:p w14:paraId="05AC315A">
            <w:pPr>
              <w:jc w:val="both"/>
              <w:rPr>
                <w:rFonts w:ascii="Times New Roman" w:hAnsi="Times New Roman" w:cs="Times New Roman"/>
                <w:sz w:val="18"/>
                <w:szCs w:val="18"/>
              </w:rPr>
            </w:pPr>
            <w:r>
              <w:rPr>
                <w:rFonts w:ascii="Times New Roman" w:hAnsi="Times New Roman" w:cs="Times New Roman"/>
                <w:sz w:val="18"/>
                <w:szCs w:val="18"/>
              </w:rPr>
              <w:t>30.城镇污水集中处理率（%）</w:t>
            </w:r>
          </w:p>
        </w:tc>
        <w:tc>
          <w:tcPr>
            <w:tcW w:w="884" w:type="dxa"/>
            <w:tcBorders>
              <w:tl2br w:val="nil"/>
              <w:tr2bl w:val="nil"/>
            </w:tcBorders>
            <w:tcMar>
              <w:top w:w="15" w:type="dxa"/>
              <w:left w:w="15" w:type="dxa"/>
              <w:right w:w="15" w:type="dxa"/>
            </w:tcMar>
            <w:vAlign w:val="center"/>
          </w:tcPr>
          <w:p w14:paraId="45005D90">
            <w:pPr>
              <w:jc w:val="center"/>
              <w:rPr>
                <w:rFonts w:ascii="Times New Roman" w:hAnsi="Times New Roman" w:cs="Times New Roman"/>
                <w:sz w:val="18"/>
                <w:szCs w:val="18"/>
              </w:rPr>
            </w:pPr>
            <w:r>
              <w:rPr>
                <w:rFonts w:ascii="Times New Roman" w:hAnsi="Times New Roman" w:cs="Times New Roman"/>
                <w:sz w:val="18"/>
                <w:szCs w:val="18"/>
              </w:rPr>
              <w:t>-</w:t>
            </w:r>
          </w:p>
        </w:tc>
        <w:tc>
          <w:tcPr>
            <w:tcW w:w="917" w:type="dxa"/>
            <w:tcBorders>
              <w:tl2br w:val="nil"/>
              <w:tr2bl w:val="nil"/>
            </w:tcBorders>
            <w:tcMar>
              <w:top w:w="15" w:type="dxa"/>
              <w:left w:w="15" w:type="dxa"/>
              <w:right w:w="15" w:type="dxa"/>
            </w:tcMar>
            <w:vAlign w:val="center"/>
          </w:tcPr>
          <w:p w14:paraId="58732F58">
            <w:pPr>
              <w:jc w:val="both"/>
              <w:rPr>
                <w:rFonts w:ascii="Times New Roman" w:hAnsi="Times New Roman" w:cs="Times New Roman"/>
                <w:sz w:val="18"/>
                <w:szCs w:val="18"/>
              </w:rPr>
            </w:pPr>
            <w:r>
              <w:rPr>
                <w:rFonts w:ascii="Times New Roman" w:hAnsi="Times New Roman" w:cs="Times New Roman"/>
                <w:sz w:val="13"/>
                <w:szCs w:val="13"/>
              </w:rPr>
              <w:t>完成下达任务</w:t>
            </w:r>
          </w:p>
        </w:tc>
        <w:tc>
          <w:tcPr>
            <w:tcW w:w="1395" w:type="dxa"/>
            <w:tcBorders>
              <w:tl2br w:val="nil"/>
              <w:tr2bl w:val="nil"/>
            </w:tcBorders>
            <w:tcMar>
              <w:top w:w="15" w:type="dxa"/>
              <w:left w:w="15" w:type="dxa"/>
              <w:right w:w="15" w:type="dxa"/>
            </w:tcMar>
            <w:vAlign w:val="center"/>
          </w:tcPr>
          <w:p w14:paraId="150F3A85">
            <w:pPr>
              <w:jc w:val="center"/>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center"/>
          </w:tcPr>
          <w:p w14:paraId="5314EE61">
            <w:pPr>
              <w:jc w:val="center"/>
              <w:textAlignment w:val="center"/>
              <w:rPr>
                <w:rFonts w:ascii="Times New Roman" w:hAnsi="Times New Roman" w:cs="Times New Roman"/>
                <w:sz w:val="18"/>
                <w:szCs w:val="18"/>
              </w:rPr>
            </w:pPr>
            <w:r>
              <w:rPr>
                <w:rFonts w:ascii="Times New Roman" w:hAnsi="Times New Roman" w:cs="Times New Roman"/>
                <w:sz w:val="18"/>
                <w:szCs w:val="18"/>
              </w:rPr>
              <w:t>约束性</w:t>
            </w:r>
          </w:p>
        </w:tc>
      </w:tr>
      <w:tr w14:paraId="3B00F47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2" w:hRule="atLeast"/>
          <w:jc w:val="center"/>
        </w:trPr>
        <w:tc>
          <w:tcPr>
            <w:tcW w:w="4899" w:type="dxa"/>
            <w:tcBorders>
              <w:tl2br w:val="nil"/>
              <w:tr2bl w:val="nil"/>
            </w:tcBorders>
            <w:tcMar>
              <w:top w:w="15" w:type="dxa"/>
              <w:left w:w="15" w:type="dxa"/>
              <w:right w:w="15" w:type="dxa"/>
            </w:tcMar>
            <w:vAlign w:val="center"/>
          </w:tcPr>
          <w:p w14:paraId="120DE1B4">
            <w:pPr>
              <w:jc w:val="both"/>
              <w:rPr>
                <w:rFonts w:ascii="Times New Roman" w:hAnsi="Times New Roman" w:cs="Times New Roman"/>
                <w:sz w:val="18"/>
                <w:szCs w:val="18"/>
              </w:rPr>
            </w:pPr>
            <w:r>
              <w:rPr>
                <w:rFonts w:ascii="Times New Roman" w:hAnsi="Times New Roman" w:cs="Times New Roman"/>
                <w:sz w:val="18"/>
                <w:szCs w:val="18"/>
              </w:rPr>
              <w:t>31.城镇生活垃圾无害化处理率（%）</w:t>
            </w:r>
          </w:p>
        </w:tc>
        <w:tc>
          <w:tcPr>
            <w:tcW w:w="884" w:type="dxa"/>
            <w:tcBorders>
              <w:tl2br w:val="nil"/>
              <w:tr2bl w:val="nil"/>
            </w:tcBorders>
            <w:tcMar>
              <w:top w:w="15" w:type="dxa"/>
              <w:left w:w="15" w:type="dxa"/>
              <w:right w:w="15" w:type="dxa"/>
            </w:tcMar>
            <w:vAlign w:val="center"/>
          </w:tcPr>
          <w:p w14:paraId="1822607C">
            <w:pPr>
              <w:jc w:val="center"/>
              <w:rPr>
                <w:rFonts w:ascii="Times New Roman" w:hAnsi="Times New Roman" w:cs="Times New Roman"/>
                <w:sz w:val="18"/>
                <w:szCs w:val="18"/>
              </w:rPr>
            </w:pPr>
            <w:r>
              <w:rPr>
                <w:rFonts w:ascii="Times New Roman" w:hAnsi="Times New Roman" w:cs="Times New Roman"/>
                <w:sz w:val="18"/>
                <w:szCs w:val="18"/>
              </w:rPr>
              <w:t>-</w:t>
            </w:r>
          </w:p>
        </w:tc>
        <w:tc>
          <w:tcPr>
            <w:tcW w:w="917" w:type="dxa"/>
            <w:tcBorders>
              <w:tl2br w:val="nil"/>
              <w:tr2bl w:val="nil"/>
            </w:tcBorders>
            <w:tcMar>
              <w:top w:w="15" w:type="dxa"/>
              <w:left w:w="15" w:type="dxa"/>
              <w:right w:w="15" w:type="dxa"/>
            </w:tcMar>
            <w:vAlign w:val="center"/>
          </w:tcPr>
          <w:p w14:paraId="443760F2">
            <w:pPr>
              <w:jc w:val="both"/>
              <w:rPr>
                <w:rFonts w:ascii="Times New Roman" w:hAnsi="Times New Roman" w:cs="Times New Roman"/>
                <w:sz w:val="18"/>
                <w:szCs w:val="18"/>
              </w:rPr>
            </w:pPr>
            <w:r>
              <w:rPr>
                <w:rFonts w:ascii="Times New Roman" w:hAnsi="Times New Roman" w:cs="Times New Roman"/>
                <w:sz w:val="13"/>
                <w:szCs w:val="13"/>
              </w:rPr>
              <w:t>完成下达任务</w:t>
            </w:r>
          </w:p>
        </w:tc>
        <w:tc>
          <w:tcPr>
            <w:tcW w:w="1395" w:type="dxa"/>
            <w:tcBorders>
              <w:tl2br w:val="nil"/>
              <w:tr2bl w:val="nil"/>
            </w:tcBorders>
            <w:tcMar>
              <w:top w:w="15" w:type="dxa"/>
              <w:left w:w="15" w:type="dxa"/>
              <w:right w:w="15" w:type="dxa"/>
            </w:tcMar>
            <w:vAlign w:val="center"/>
          </w:tcPr>
          <w:p w14:paraId="609B7E41">
            <w:pPr>
              <w:jc w:val="center"/>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center"/>
          </w:tcPr>
          <w:p w14:paraId="4894AF04">
            <w:pPr>
              <w:jc w:val="center"/>
              <w:textAlignment w:val="center"/>
              <w:rPr>
                <w:rFonts w:ascii="Times New Roman" w:hAnsi="Times New Roman" w:cs="Times New Roman"/>
                <w:sz w:val="18"/>
                <w:szCs w:val="18"/>
              </w:rPr>
            </w:pPr>
            <w:r>
              <w:rPr>
                <w:rFonts w:ascii="Times New Roman" w:hAnsi="Times New Roman" w:cs="Times New Roman"/>
                <w:sz w:val="18"/>
                <w:szCs w:val="18"/>
              </w:rPr>
              <w:t>约束性</w:t>
            </w:r>
          </w:p>
        </w:tc>
      </w:tr>
      <w:tr w14:paraId="2055879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2" w:hRule="atLeast"/>
          <w:jc w:val="center"/>
        </w:trPr>
        <w:tc>
          <w:tcPr>
            <w:tcW w:w="9080" w:type="dxa"/>
            <w:gridSpan w:val="5"/>
            <w:tcBorders>
              <w:tl2br w:val="nil"/>
              <w:tr2bl w:val="nil"/>
            </w:tcBorders>
            <w:tcMar>
              <w:top w:w="15" w:type="dxa"/>
              <w:left w:w="15" w:type="dxa"/>
              <w:right w:w="15" w:type="dxa"/>
            </w:tcMar>
            <w:vAlign w:val="center"/>
          </w:tcPr>
          <w:p w14:paraId="7159A387">
            <w:pPr>
              <w:jc w:val="both"/>
              <w:textAlignment w:val="center"/>
              <w:rPr>
                <w:rFonts w:ascii="Times New Roman" w:hAnsi="Times New Roman" w:cs="Times New Roman"/>
                <w:sz w:val="18"/>
                <w:szCs w:val="18"/>
              </w:rPr>
            </w:pPr>
            <w:r>
              <w:rPr>
                <w:rFonts w:ascii="Times New Roman" w:hAnsi="Times New Roman" w:cs="Times New Roman"/>
                <w:sz w:val="18"/>
                <w:szCs w:val="18"/>
              </w:rPr>
              <w:t>六、安全生产（1项）</w:t>
            </w:r>
          </w:p>
        </w:tc>
      </w:tr>
      <w:tr w14:paraId="7DD52F6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52" w:hRule="atLeast"/>
          <w:jc w:val="center"/>
        </w:trPr>
        <w:tc>
          <w:tcPr>
            <w:tcW w:w="4899" w:type="dxa"/>
            <w:tcBorders>
              <w:tl2br w:val="nil"/>
              <w:tr2bl w:val="nil"/>
            </w:tcBorders>
            <w:tcMar>
              <w:top w:w="15" w:type="dxa"/>
              <w:left w:w="15" w:type="dxa"/>
              <w:right w:w="15" w:type="dxa"/>
            </w:tcMar>
            <w:vAlign w:val="center"/>
          </w:tcPr>
          <w:p w14:paraId="6A7C9C68">
            <w:pPr>
              <w:jc w:val="both"/>
              <w:textAlignment w:val="center"/>
              <w:rPr>
                <w:rFonts w:ascii="Times New Roman" w:hAnsi="Times New Roman" w:cs="Times New Roman"/>
                <w:sz w:val="18"/>
                <w:szCs w:val="18"/>
              </w:rPr>
            </w:pPr>
            <w:r>
              <w:rPr>
                <w:rFonts w:ascii="Times New Roman" w:hAnsi="Times New Roman" w:cs="Times New Roman"/>
                <w:sz w:val="18"/>
                <w:szCs w:val="18"/>
              </w:rPr>
              <w:t>32.亿元地区生产总值生产安全事故死亡率（人/亿元）</w:t>
            </w:r>
          </w:p>
        </w:tc>
        <w:tc>
          <w:tcPr>
            <w:tcW w:w="884" w:type="dxa"/>
            <w:tcBorders>
              <w:tl2br w:val="nil"/>
              <w:tr2bl w:val="nil"/>
            </w:tcBorders>
            <w:tcMar>
              <w:top w:w="15" w:type="dxa"/>
              <w:left w:w="15" w:type="dxa"/>
              <w:right w:w="15" w:type="dxa"/>
            </w:tcMar>
            <w:vAlign w:val="center"/>
          </w:tcPr>
          <w:p w14:paraId="76C4DBA7">
            <w:pPr>
              <w:jc w:val="center"/>
              <w:textAlignment w:val="center"/>
              <w:rPr>
                <w:rFonts w:ascii="Times New Roman" w:hAnsi="Times New Roman" w:cs="Times New Roman"/>
                <w:sz w:val="18"/>
                <w:szCs w:val="18"/>
              </w:rPr>
            </w:pPr>
            <w:r>
              <w:rPr>
                <w:rFonts w:ascii="Times New Roman" w:hAnsi="Times New Roman" w:cs="Times New Roman"/>
                <w:sz w:val="18"/>
                <w:szCs w:val="18"/>
              </w:rPr>
              <w:t>-</w:t>
            </w:r>
          </w:p>
        </w:tc>
        <w:tc>
          <w:tcPr>
            <w:tcW w:w="917" w:type="dxa"/>
            <w:tcBorders>
              <w:tl2br w:val="nil"/>
              <w:tr2bl w:val="nil"/>
            </w:tcBorders>
            <w:tcMar>
              <w:top w:w="15" w:type="dxa"/>
              <w:left w:w="15" w:type="dxa"/>
              <w:right w:w="15" w:type="dxa"/>
            </w:tcMar>
            <w:vAlign w:val="center"/>
          </w:tcPr>
          <w:p w14:paraId="369D290E">
            <w:pPr>
              <w:jc w:val="center"/>
              <w:rPr>
                <w:rFonts w:ascii="Times New Roman" w:hAnsi="Times New Roman" w:cs="Times New Roman"/>
                <w:sz w:val="18"/>
                <w:szCs w:val="18"/>
              </w:rPr>
            </w:pPr>
            <w:r>
              <w:rPr>
                <w:rFonts w:ascii="Times New Roman" w:hAnsi="Times New Roman" w:cs="Times New Roman"/>
                <w:sz w:val="18"/>
                <w:szCs w:val="18"/>
              </w:rPr>
              <w:t>0.015</w:t>
            </w:r>
          </w:p>
        </w:tc>
        <w:tc>
          <w:tcPr>
            <w:tcW w:w="1395" w:type="dxa"/>
            <w:tcBorders>
              <w:tl2br w:val="nil"/>
              <w:tr2bl w:val="nil"/>
            </w:tcBorders>
            <w:tcMar>
              <w:top w:w="15" w:type="dxa"/>
              <w:left w:w="15" w:type="dxa"/>
              <w:right w:w="15" w:type="dxa"/>
            </w:tcMar>
            <w:vAlign w:val="center"/>
          </w:tcPr>
          <w:p w14:paraId="4BC0EA27">
            <w:pPr>
              <w:jc w:val="center"/>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center"/>
          </w:tcPr>
          <w:p w14:paraId="26F32CFB">
            <w:pPr>
              <w:jc w:val="center"/>
              <w:textAlignment w:val="center"/>
              <w:rPr>
                <w:rFonts w:ascii="Times New Roman" w:hAnsi="Times New Roman" w:cs="Times New Roman"/>
                <w:sz w:val="18"/>
                <w:szCs w:val="18"/>
              </w:rPr>
            </w:pPr>
            <w:r>
              <w:rPr>
                <w:rFonts w:ascii="Times New Roman" w:hAnsi="Times New Roman" w:cs="Times New Roman"/>
                <w:sz w:val="18"/>
                <w:szCs w:val="18"/>
              </w:rPr>
              <w:t>约束性</w:t>
            </w:r>
          </w:p>
        </w:tc>
      </w:tr>
    </w:tbl>
    <w:p w14:paraId="04621D7C">
      <w:pPr>
        <w:spacing w:beforeLines="50" w:afterLines="50"/>
        <w:jc w:val="both"/>
        <w:outlineLvl w:val="1"/>
        <w:rPr>
          <w:rFonts w:ascii="Times New Roman" w:hAnsi="Times New Roman" w:eastAsia="楷体_GB2312" w:cs="Times New Roman"/>
          <w:kern w:val="0"/>
          <w:sz w:val="10"/>
          <w:szCs w:val="10"/>
          <w:lang w:bidi="en-US"/>
        </w:rPr>
      </w:pPr>
      <w:bookmarkStart w:id="18" w:name="_Toc57711628"/>
      <w:bookmarkStart w:id="19" w:name="_Toc434217681"/>
      <w:bookmarkStart w:id="20" w:name="_Toc68253225"/>
      <w:bookmarkStart w:id="21" w:name="_Toc435194753"/>
      <w:bookmarkStart w:id="22" w:name="_Toc31608"/>
      <w:bookmarkStart w:id="23" w:name="_Toc14963"/>
      <w:bookmarkStart w:id="24" w:name="_Toc438146404"/>
      <w:bookmarkStart w:id="25" w:name="_Toc67564122"/>
      <w:bookmarkStart w:id="26" w:name="_Toc433803665"/>
    </w:p>
    <w:p w14:paraId="1AA51F20">
      <w:pPr>
        <w:spacing w:beforeLines="50" w:afterLines="50"/>
        <w:jc w:val="center"/>
        <w:outlineLvl w:val="1"/>
        <w:rPr>
          <w:rFonts w:ascii="Times New Roman" w:hAnsi="Times New Roman" w:eastAsia="楷体_GB2312" w:cs="Times New Roman"/>
          <w:kern w:val="0"/>
          <w:sz w:val="32"/>
          <w:szCs w:val="32"/>
          <w:lang w:bidi="en-US"/>
        </w:rPr>
      </w:pPr>
      <w:r>
        <w:rPr>
          <w:rFonts w:ascii="Times New Roman" w:hAnsi="Times New Roman" w:eastAsia="楷体_GB2312" w:cs="Times New Roman"/>
          <w:kern w:val="0"/>
          <w:sz w:val="32"/>
          <w:szCs w:val="32"/>
          <w:lang w:bidi="en-US"/>
        </w:rPr>
        <w:t>第二节  发展环境</w:t>
      </w:r>
      <w:bookmarkEnd w:id="18"/>
      <w:bookmarkEnd w:id="19"/>
      <w:bookmarkEnd w:id="20"/>
      <w:bookmarkEnd w:id="21"/>
      <w:bookmarkEnd w:id="22"/>
      <w:bookmarkEnd w:id="23"/>
      <w:bookmarkEnd w:id="24"/>
      <w:bookmarkEnd w:id="25"/>
      <w:bookmarkEnd w:id="26"/>
    </w:p>
    <w:p w14:paraId="6850AF36">
      <w:pPr>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当今世界正经历百年未有之大变局，当前和今后一个时期，我国发展仍处于战略机遇期，全省发展处于深度转型期，运城市发展已进入全面提速期，我市正处于转型发展、振兴崛起的关键阶段，优势与短板同在，机遇与挑战并存。全市广大党员干部必须增强机遇意识和风险意识，保持战略定力，坚定发展信心，抓住机遇、应对挑战，趋利避害、勇往直前，奋力推动高质量转型发展。</w:t>
      </w:r>
    </w:p>
    <w:p w14:paraId="1F736BFB">
      <w:pPr>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认清高质量转型发展面临的优势与短板，发挥优势弥补短板。</w:t>
      </w:r>
      <w:r>
        <w:rPr>
          <w:rFonts w:ascii="Times New Roman" w:hAnsi="Times New Roman" w:eastAsia="仿宋_GB2312" w:cs="Times New Roman"/>
          <w:b/>
          <w:bCs/>
          <w:sz w:val="32"/>
          <w:szCs w:val="32"/>
        </w:rPr>
        <w:t>从优势看：</w:t>
      </w:r>
      <w:r>
        <w:rPr>
          <w:rFonts w:ascii="Times New Roman" w:hAnsi="Times New Roman" w:eastAsia="仿宋_GB2312" w:cs="Times New Roman"/>
          <w:sz w:val="32"/>
          <w:szCs w:val="32"/>
        </w:rPr>
        <w:t>区位交通优势凸显，永济地处黄河金三角核心地带，是国家“一带一路”</w:t>
      </w:r>
      <w:r>
        <w:rPr>
          <w:rFonts w:hint="eastAsia" w:ascii="Times New Roman" w:hAnsi="Times New Roman" w:eastAsia="仿宋_GB2312" w:cs="Times New Roman"/>
          <w:sz w:val="32"/>
          <w:szCs w:val="32"/>
          <w:lang w:eastAsia="zh-CN"/>
        </w:rPr>
        <w:t>倡议</w:t>
      </w:r>
      <w:r>
        <w:rPr>
          <w:rFonts w:ascii="Times New Roman" w:hAnsi="Times New Roman" w:eastAsia="仿宋_GB2312" w:cs="Times New Roman"/>
          <w:sz w:val="32"/>
          <w:szCs w:val="32"/>
        </w:rPr>
        <w:t>、国家综改试验区、中原城市群、关中平原城市群的重要节点城市，承东启西，沟通南北，连陕接豫，三省通衢，公路、铁路、航空立体交通网络全面形成。文化旅游资源丰富，山水人文交相辉映，境内古迹景点星罗棋布，是中国优秀旅游城市和国家全域旅游示范区。农业生产条件得天独厚，井黄两灌，形成了粮果菜畜四大产业，现有农业产业化企业168家，其中国家级2家、省级7家、运城市级26家，是运城市龙头企业最多的县市。工业发展基础较好，共有500余家工业企业，基本构建了“3+2”产业发展格局。</w:t>
      </w:r>
      <w:r>
        <w:rPr>
          <w:rFonts w:ascii="Times New Roman" w:hAnsi="Times New Roman" w:eastAsia="仿宋_GB2312" w:cs="Times New Roman"/>
          <w:b/>
          <w:bCs/>
          <w:sz w:val="32"/>
          <w:szCs w:val="32"/>
        </w:rPr>
        <w:t>从短板看：</w:t>
      </w:r>
      <w:r>
        <w:rPr>
          <w:rFonts w:hint="eastAsia" w:eastAsia="仿宋_GB2312"/>
          <w:sz w:val="32"/>
          <w:szCs w:val="32"/>
        </w:rPr>
        <w:t>经济总量偏小，人均地区生产总值和城乡居民收入水平与全国全省还有不小差距。三次产业结构不优，工业经济比重偏低，新兴产业支撑作用尚未显现，好项目、大项目不多，转型发展任重道远。创新生态基础薄弱，营商环境不够优化，“放管服”改革还未完全到位。城镇化发展质量偏低，城镇功能尚不完善，乡村基础设施短板突出，城乡融合发展水平低，许多民生问题尚未彻底解决。</w:t>
      </w:r>
    </w:p>
    <w:p w14:paraId="0CAF17B9">
      <w:pPr>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积极把握高质量发展面临的机遇与挑战，抓住机遇应对挑战。</w:t>
      </w:r>
      <w:r>
        <w:rPr>
          <w:rFonts w:ascii="Times New Roman" w:hAnsi="Times New Roman" w:eastAsia="仿宋_GB2312" w:cs="Times New Roman"/>
          <w:b/>
          <w:bCs/>
          <w:sz w:val="32"/>
          <w:szCs w:val="32"/>
        </w:rPr>
        <w:t>从机遇看：</w:t>
      </w:r>
      <w:r>
        <w:rPr>
          <w:rFonts w:ascii="Times New Roman" w:hAnsi="Times New Roman" w:eastAsia="仿宋_GB2312" w:cs="Times New Roman"/>
          <w:sz w:val="32"/>
          <w:szCs w:val="32"/>
        </w:rPr>
        <w:t>国内大循环畅通有利于我市发挥黄河金三角承接产业转移示范区平台优势，吸引沿海发达地区产业转移，更好运用国内要素资源，为挖掘国内市场投资和消费潜力拓展了新空间。黄河流域生态保护和高质量发展、新一轮中部崛起、综改试验区等重大区域战略的实施，叠加政策利好，为我市更好发挥优势、展现作为提供了大平台。省委“四为四高两同步”总体思路和要求为永济发展指明了前进方向、提供了路径指引。运城市委“五抓一优一促”经济工作主抓手为全市高质量转型发展明确了推进路径、注入了强大动力。</w:t>
      </w:r>
      <w:r>
        <w:rPr>
          <w:rFonts w:ascii="Times New Roman" w:hAnsi="Times New Roman" w:eastAsia="仿宋_GB2312" w:cs="Times New Roman"/>
          <w:b/>
          <w:bCs/>
          <w:sz w:val="32"/>
          <w:szCs w:val="32"/>
        </w:rPr>
        <w:t>从挑战看：</w:t>
      </w:r>
      <w:r>
        <w:rPr>
          <w:rFonts w:ascii="Times New Roman" w:hAnsi="Times New Roman" w:eastAsia="仿宋_GB2312" w:cs="Times New Roman"/>
          <w:sz w:val="32"/>
          <w:szCs w:val="32"/>
        </w:rPr>
        <w:t>全球经济深度调整带来诸多不确定性，新冠肺炎疫情影响持续，国际市场低迷，对我市稳增长带来严峻考验。国内供给侧结构性改革纵深推进倒逼转型发展提速，我市面临不进则退的发展局面，改造升级传统产业、培育壮大新兴产业必须付出更为艰苦的努力。区域竞争日趋激烈，郑州、西安、太原、运城等城市“虹吸效应”愈加凸显，关中平原城市群、中原城市群、黄河金三角等周边城市呈竞相发展态势，在资金、技术、人才等方面的竞争愈发激烈，我市实现争先进位、率先发展任务艰巨。</w:t>
      </w:r>
    </w:p>
    <w:p w14:paraId="5341E6DD">
      <w:pPr>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综合判断，“十四五”时期，永济机遇难得、挑战巨大，正处在转型发展阵痛期、结构调整攻坚期、爬坡过坎关键期，必须坚持问题导向、目标导向、结果导向，着力解决制约发展的瓶颈问题，厚植发展优势，推动产业由中低端向中高端转变、文旅资源大市向文旅经济强市转变、守护修复绿水青山向探索生态产品价值实现转变、运城副中心城市向黄河金三角重要节点城市转变，在高质量发展、高水平崛起、高标准保护、高品质生活上取得突破性进展，不断开拓永济发展新境界，实现人民幸福新期待。</w:t>
      </w:r>
    </w:p>
    <w:p w14:paraId="5401541E">
      <w:pPr>
        <w:spacing w:beforeLines="50" w:afterLines="50"/>
        <w:jc w:val="center"/>
        <w:outlineLvl w:val="1"/>
        <w:rPr>
          <w:rFonts w:ascii="Times New Roman" w:hAnsi="Times New Roman" w:eastAsia="楷体_GB2312" w:cs="Times New Roman"/>
          <w:kern w:val="0"/>
          <w:sz w:val="32"/>
          <w:szCs w:val="32"/>
          <w:lang w:bidi="en-US"/>
        </w:rPr>
      </w:pPr>
      <w:bookmarkStart w:id="27" w:name="_Toc24085"/>
      <w:bookmarkStart w:id="28" w:name="_Toc4193"/>
      <w:bookmarkStart w:id="29" w:name="_Toc434217685"/>
      <w:bookmarkStart w:id="30" w:name="_Toc68253226"/>
      <w:bookmarkStart w:id="31" w:name="_Toc438146408"/>
      <w:bookmarkStart w:id="32" w:name="_Toc67564123"/>
      <w:bookmarkStart w:id="33" w:name="_Toc433803669"/>
      <w:bookmarkStart w:id="34" w:name="_Toc435165772"/>
      <w:bookmarkStart w:id="35" w:name="_Toc57711629"/>
      <w:r>
        <w:rPr>
          <w:rFonts w:ascii="Times New Roman" w:hAnsi="Times New Roman" w:eastAsia="楷体_GB2312" w:cs="Times New Roman"/>
          <w:kern w:val="0"/>
          <w:sz w:val="32"/>
          <w:szCs w:val="32"/>
          <w:lang w:bidi="en-US"/>
        </w:rPr>
        <w:t>第三节  指导思想</w:t>
      </w:r>
      <w:bookmarkEnd w:id="27"/>
      <w:bookmarkEnd w:id="28"/>
      <w:bookmarkEnd w:id="29"/>
      <w:bookmarkEnd w:id="30"/>
      <w:bookmarkEnd w:id="31"/>
      <w:bookmarkEnd w:id="32"/>
      <w:bookmarkEnd w:id="33"/>
      <w:bookmarkEnd w:id="34"/>
      <w:bookmarkEnd w:id="35"/>
    </w:p>
    <w:p w14:paraId="6FB97B25">
      <w:pPr>
        <w:ind w:firstLine="640" w:firstLineChars="200"/>
        <w:jc w:val="both"/>
        <w:rPr>
          <w:rFonts w:ascii="Times New Roman" w:hAnsi="Times New Roman" w:eastAsia="仿宋_GB2312" w:cs="Times New Roman"/>
          <w:sz w:val="32"/>
          <w:szCs w:val="32"/>
        </w:rPr>
      </w:pPr>
      <w:r>
        <w:rPr>
          <w:rFonts w:hint="eastAsia" w:eastAsia="仿宋_GB2312"/>
          <w:sz w:val="32"/>
          <w:szCs w:val="32"/>
        </w:rPr>
        <w:t>“</w:t>
      </w:r>
      <w:r>
        <w:rPr>
          <w:rFonts w:eastAsia="仿宋_GB2312"/>
          <w:sz w:val="32"/>
          <w:szCs w:val="32"/>
        </w:rPr>
        <w:t>十四五</w:t>
      </w:r>
      <w:r>
        <w:rPr>
          <w:rFonts w:hint="eastAsia" w:eastAsia="仿宋_GB2312"/>
          <w:sz w:val="32"/>
          <w:szCs w:val="32"/>
        </w:rPr>
        <w:t>”</w:t>
      </w:r>
      <w:r>
        <w:rPr>
          <w:rFonts w:eastAsia="仿宋_GB2312"/>
          <w:sz w:val="32"/>
          <w:szCs w:val="32"/>
        </w:rPr>
        <w:t>期间，</w:t>
      </w:r>
      <w:r>
        <w:rPr>
          <w:rFonts w:hint="eastAsia" w:eastAsia="仿宋_GB2312"/>
          <w:sz w:val="32"/>
          <w:szCs w:val="32"/>
        </w:rPr>
        <w:t>永济市</w:t>
      </w:r>
      <w:r>
        <w:rPr>
          <w:rFonts w:eastAsia="仿宋_GB2312"/>
          <w:sz w:val="32"/>
          <w:szCs w:val="32"/>
        </w:rPr>
        <w:t>国民经济和社会发展的指导思想是</w:t>
      </w:r>
      <w:r>
        <w:rPr>
          <w:rFonts w:hint="eastAsia" w:eastAsia="仿宋_GB2312"/>
          <w:sz w:val="32"/>
          <w:szCs w:val="32"/>
        </w:rPr>
        <w:t>：</w:t>
      </w:r>
      <w:r>
        <w:rPr>
          <w:rFonts w:hint="eastAsia" w:ascii="黑体" w:hAnsi="黑体" w:eastAsia="黑体" w:cs="Times New Roman"/>
          <w:sz w:val="32"/>
          <w:szCs w:val="32"/>
        </w:rPr>
        <w:t>坚持以习近平新时代中国特色社会主义思想为指导，全面贯彻党的十九大和十九届二中、三中、四中、五中全会精神，深入贯彻习近平总书记视察山西重要讲话重要指示，统筹推进“五位一体”总体布局，协调推进“四个全面”战略布局，按照省委“四为四高两同步”总体思路和要求，用好“五抓一优一促”经济工作主抓手，扎实推进“六稳”“六保”“六新”，统筹做好改革发展和安全稳定工作，努力把永济建设成为“中国北方美丽宜居山水城市、黄河流域高质量转型发展先行区、国家休闲旅游度假区、国家生态文明建设示范区、国家现代农业示范区、全国轨道交通和机电制造产业集聚区”，蹚出一条具有永济特色的高质量转型发展新路，为谱写全面建设社会主义现代化永济篇章努力奋斗！</w:t>
      </w:r>
    </w:p>
    <w:p w14:paraId="68A3D37A">
      <w:pPr>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推动“十四五”时期经济社会发展，必须坚持以下原则：</w:t>
      </w:r>
    </w:p>
    <w:p w14:paraId="1718A263">
      <w:pPr>
        <w:ind w:firstLine="643"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——坚持党的全面领导。</w:t>
      </w:r>
      <w:r>
        <w:rPr>
          <w:rFonts w:ascii="Times New Roman" w:hAnsi="Times New Roman" w:eastAsia="仿宋_GB2312" w:cs="Times New Roman"/>
          <w:color w:val="000000"/>
          <w:sz w:val="32"/>
          <w:szCs w:val="32"/>
        </w:rPr>
        <w:t>坚定维护党中央权威和集中统一领导，始终同以习近平同志为核心的党中央保持高度一致，把党的领导贯彻到永济各领域各方面各环节。</w:t>
      </w:r>
    </w:p>
    <w:p w14:paraId="50A16780">
      <w:pPr>
        <w:ind w:firstLine="643"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——坚持以人民为中心。</w:t>
      </w:r>
      <w:r>
        <w:rPr>
          <w:rFonts w:ascii="Times New Roman" w:hAnsi="Times New Roman" w:eastAsia="仿宋_GB2312" w:cs="Times New Roman"/>
          <w:color w:val="000000"/>
          <w:sz w:val="32"/>
          <w:szCs w:val="32"/>
        </w:rPr>
        <w:t>始终做到发展为了人民、发展依靠人民、发展成果由人民共享，创造积极向上、文明健康、幸福富裕的高品质生活，不断实现全市人民对美好生活的向往。</w:t>
      </w:r>
    </w:p>
    <w:p w14:paraId="54787B64">
      <w:pPr>
        <w:ind w:firstLine="643"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——坚持新发展理念。</w:t>
      </w:r>
      <w:r>
        <w:rPr>
          <w:rFonts w:ascii="Times New Roman" w:hAnsi="Times New Roman" w:eastAsia="仿宋_GB2312" w:cs="Times New Roman"/>
          <w:color w:val="000000"/>
          <w:sz w:val="32"/>
          <w:szCs w:val="32"/>
        </w:rPr>
        <w:t>聚焦“六新”突破，巩固壮大实体经济根基，强化黄河流域生态保护和高质量发展，切实转变发展方式，重塑追赶超越新优势。</w:t>
      </w:r>
    </w:p>
    <w:p w14:paraId="73D25E75">
      <w:pPr>
        <w:ind w:firstLine="643"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——坚持改革开放。</w:t>
      </w:r>
      <w:r>
        <w:rPr>
          <w:rFonts w:ascii="Times New Roman" w:hAnsi="Times New Roman" w:eastAsia="仿宋_GB2312" w:cs="Times New Roman"/>
          <w:color w:val="000000"/>
          <w:sz w:val="32"/>
          <w:szCs w:val="32"/>
        </w:rPr>
        <w:t>聚焦重点领域集中攻坚，深度融入国家“一带一路”、中部崛起、黄河流域生态保护和高质量发展、京津冀协同发展等重大战略，促进黄河金三角协同发展，以更深层次的改革引领转型，以更高水平的开放促进发展。</w:t>
      </w:r>
    </w:p>
    <w:p w14:paraId="7FA803F0">
      <w:pPr>
        <w:ind w:firstLine="643"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——坚持系统观念。</w:t>
      </w:r>
      <w:r>
        <w:rPr>
          <w:rFonts w:ascii="Times New Roman" w:hAnsi="Times New Roman" w:eastAsia="仿宋_GB2312" w:cs="Times New Roman"/>
          <w:color w:val="000000"/>
          <w:sz w:val="32"/>
          <w:szCs w:val="32"/>
        </w:rPr>
        <w:t>把握过程论、重点论、系统论、主体论、标准论，着力固根基、扬优势、补短板、强弱项，注重防范化解重大风险挑战，实现发展质量、结构、规模、速度、效益、安全相统一。</w:t>
      </w:r>
    </w:p>
    <w:p w14:paraId="606E617F">
      <w:pPr>
        <w:spacing w:beforeLines="50" w:afterLines="50"/>
        <w:jc w:val="center"/>
        <w:outlineLvl w:val="1"/>
        <w:rPr>
          <w:rFonts w:ascii="Times New Roman" w:hAnsi="Times New Roman" w:eastAsia="楷体_GB2312" w:cs="Times New Roman"/>
          <w:kern w:val="0"/>
          <w:sz w:val="32"/>
          <w:szCs w:val="32"/>
          <w:lang w:bidi="en-US"/>
        </w:rPr>
      </w:pPr>
      <w:bookmarkStart w:id="36" w:name="_Toc67564124"/>
      <w:bookmarkStart w:id="37" w:name="_Toc10674"/>
      <w:bookmarkStart w:id="38" w:name="_Toc57711631"/>
      <w:bookmarkStart w:id="39" w:name="_Toc68253227"/>
      <w:bookmarkStart w:id="40" w:name="_Toc14776"/>
      <w:r>
        <w:rPr>
          <w:rFonts w:ascii="Times New Roman" w:hAnsi="Times New Roman" w:eastAsia="楷体_GB2312" w:cs="Times New Roman"/>
          <w:kern w:val="0"/>
          <w:sz w:val="32"/>
          <w:szCs w:val="32"/>
          <w:lang w:bidi="en-US"/>
        </w:rPr>
        <w:t>第四节  战略定位</w:t>
      </w:r>
      <w:bookmarkEnd w:id="36"/>
      <w:bookmarkEnd w:id="37"/>
      <w:bookmarkEnd w:id="38"/>
      <w:bookmarkEnd w:id="39"/>
      <w:bookmarkEnd w:id="40"/>
    </w:p>
    <w:p w14:paraId="5EF7F3CE">
      <w:pPr>
        <w:spacing w:line="6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“十四五”期间，要把永济放在全球发展的视野里、放在全国发展的格局中、放在山西发展的层面上、放在运城发展的坐标中去衡量，着力强化城市建设、转型发展、生态文明、全域旅游、现代农业</w:t>
      </w:r>
      <w:r>
        <w:rPr>
          <w:rFonts w:hint="eastAsia" w:ascii="Times New Roman" w:hAnsi="Times New Roman" w:eastAsia="仿宋_GB2312" w:cs="Times New Roman"/>
          <w:sz w:val="32"/>
          <w:szCs w:val="32"/>
        </w:rPr>
        <w:t>、装备制造，</w:t>
      </w:r>
      <w:r>
        <w:rPr>
          <w:rFonts w:ascii="Times New Roman" w:hAnsi="Times New Roman" w:eastAsia="仿宋_GB2312" w:cs="Times New Roman"/>
          <w:sz w:val="32"/>
          <w:szCs w:val="32"/>
        </w:rPr>
        <w:t>打造“一城五区”。</w:t>
      </w:r>
    </w:p>
    <w:p w14:paraId="460646DA">
      <w:pPr>
        <w:spacing w:line="62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——中国北方美丽宜居山水城市。</w:t>
      </w:r>
      <w:r>
        <w:rPr>
          <w:rFonts w:ascii="Times New Roman" w:hAnsi="Times New Roman" w:eastAsia="仿宋_GB2312" w:cs="Times New Roman"/>
          <w:sz w:val="32"/>
          <w:szCs w:val="32"/>
        </w:rPr>
        <w:t>以建设运城副中心城市为契机，以“一个尊重、五个统筹”为指引，推进以人为核心的新型城镇化，坚持人民城市为人民，树牢全生命周期理念，统筹城市规划、建设、管理，持续转变城市发展方式和运营模式，坚持高起点规划、高标准建设、高水平管理，推动建设宜居、韧性、创新、智慧、绿色、人文城市，完善“142”城市功能布局，延续舜风唐韵城市文脉，赋予现代化时尚新内涵，推动城市更新行动，让永济更加宜居宜业宜游，打造山萦水绕的生态旅游城市，成为中国北方一颗璀璨的明珠。</w:t>
      </w:r>
    </w:p>
    <w:p w14:paraId="17D50B33">
      <w:pPr>
        <w:widowControl w:val="0"/>
        <w:wordWrap/>
        <w:adjustRightInd/>
        <w:snapToGrid/>
        <w:spacing w:line="620" w:lineRule="exact"/>
        <w:ind w:left="0" w:leftChars="0" w:right="0" w:firstLine="630" w:firstLineChars="196"/>
        <w:jc w:val="both"/>
        <w:textAlignment w:val="auto"/>
        <w:outlineLvl w:val="9"/>
      </w:pPr>
      <w:r>
        <w:rPr>
          <w:rFonts w:ascii="Times New Roman" w:hAnsi="Times New Roman" w:eastAsia="仿宋_GB2312" w:cs="Times New Roman"/>
          <w:b/>
          <w:bCs/>
          <w:sz w:val="32"/>
          <w:szCs w:val="32"/>
        </w:rPr>
        <w:t>——黄河流域高质量转型发展</w:t>
      </w:r>
      <w:r>
        <w:rPr>
          <w:rFonts w:hint="eastAsia" w:ascii="Times New Roman" w:hAnsi="Times New Roman" w:eastAsia="仿宋_GB2312" w:cs="Times New Roman"/>
          <w:b/>
          <w:bCs/>
          <w:sz w:val="32"/>
          <w:szCs w:val="32"/>
        </w:rPr>
        <w:t>先行</w:t>
      </w:r>
      <w:r>
        <w:rPr>
          <w:rFonts w:ascii="Times New Roman" w:hAnsi="Times New Roman" w:eastAsia="仿宋_GB2312" w:cs="Times New Roman"/>
          <w:b/>
          <w:bCs/>
          <w:sz w:val="32"/>
          <w:szCs w:val="32"/>
        </w:rPr>
        <w:t>区。</w:t>
      </w:r>
      <w:r>
        <w:rPr>
          <w:rFonts w:ascii="Times New Roman" w:hAnsi="Times New Roman" w:eastAsia="仿宋_GB2312" w:cs="Times New Roman"/>
          <w:sz w:val="32"/>
          <w:szCs w:val="32"/>
        </w:rPr>
        <w:t>深入贯彻习近平总书记在黄河流域生态保护和高质量发展座谈会上的重要讲话精神，坚持以水定城、以水定地、以水定人、以水定产，坚持有所为、有所不为，</w:t>
      </w:r>
      <w:r>
        <w:rPr>
          <w:rFonts w:hint="eastAsia" w:ascii="Times New Roman" w:hAnsi="Times New Roman" w:eastAsia="仿宋_GB2312" w:cs="Times New Roman"/>
          <w:sz w:val="32"/>
          <w:szCs w:val="32"/>
        </w:rPr>
        <w:t>进一步丰富完善“3+2”产业体系，着力构建“六强五新”转型发展新格局，打造5个以上百亿级产业集群，筑牢我市高质量转型发展的“底盘”。</w:t>
      </w:r>
      <w:r>
        <w:rPr>
          <w:rFonts w:ascii="Times New Roman" w:hAnsi="Times New Roman" w:eastAsia="仿宋_GB2312" w:cs="Times New Roman"/>
          <w:sz w:val="32"/>
          <w:szCs w:val="32"/>
        </w:rPr>
        <w:t>推进黄河文化保护、传承和弘扬，不断提升永济文化的影响力和穿透力，努力在黄河流域高质量转型发展上蹚出一条具有永济特色的新路。</w:t>
      </w:r>
    </w:p>
    <w:p w14:paraId="55C3C05D">
      <w:pPr>
        <w:widowControl w:val="0"/>
        <w:wordWrap/>
        <w:adjustRightInd/>
        <w:snapToGrid/>
        <w:spacing w:line="620" w:lineRule="exact"/>
        <w:ind w:left="0" w:leftChars="0" w:right="0" w:firstLine="643"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国家</w:t>
      </w:r>
      <w:r>
        <w:rPr>
          <w:rFonts w:ascii="Times New Roman" w:hAnsi="Times New Roman" w:eastAsia="仿宋_GB2312" w:cs="Times New Roman"/>
          <w:b/>
          <w:bCs/>
          <w:sz w:val="32"/>
          <w:szCs w:val="32"/>
        </w:rPr>
        <w:t>休闲旅游度假区。</w:t>
      </w:r>
      <w:r>
        <w:rPr>
          <w:rFonts w:ascii="Times New Roman" w:hAnsi="Times New Roman" w:eastAsia="仿宋_GB2312" w:cs="Times New Roman"/>
          <w:sz w:val="32"/>
          <w:szCs w:val="32"/>
        </w:rPr>
        <w:t>以永济入选国家全域旅游示范区为契机，优化“1332”发展布局，做强西部历史文化</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东部山水休闲</w:t>
      </w:r>
      <w:r>
        <w:rPr>
          <w:rFonts w:hint="eastAsia" w:ascii="Times New Roman" w:hAnsi="Times New Roman" w:eastAsia="仿宋_GB2312" w:cs="Times New Roman"/>
          <w:sz w:val="32"/>
          <w:szCs w:val="32"/>
        </w:rPr>
        <w:t>和中部休闲康养三</w:t>
      </w:r>
      <w:r>
        <w:rPr>
          <w:rFonts w:ascii="Times New Roman" w:hAnsi="Times New Roman" w:eastAsia="仿宋_GB2312" w:cs="Times New Roman"/>
          <w:sz w:val="32"/>
          <w:szCs w:val="32"/>
        </w:rPr>
        <w:t>大旅游板块，打造精品景区、精品线路，突出黄河文化、舜帝文化、爱情文化三大核心品牌，全面推动文化旅游深度融合，全面提升旅游要素品质，形成全市人民共同参与、各行业融入其中、各部门齐抓共管局面，不断满足游客全过程、全时空的体验需求</w:t>
      </w:r>
      <w:r>
        <w:rPr>
          <w:rFonts w:hint="eastAsia" w:ascii="Times New Roman" w:hAnsi="Times New Roman" w:eastAsia="仿宋_GB2312" w:cs="Times New Roman"/>
          <w:sz w:val="32"/>
          <w:szCs w:val="32"/>
        </w:rPr>
        <w:t>，把</w:t>
      </w:r>
      <w:r>
        <w:rPr>
          <w:rFonts w:ascii="Times New Roman" w:hAnsi="Times New Roman" w:eastAsia="仿宋_GB2312" w:cs="Times New Roman"/>
          <w:kern w:val="0"/>
          <w:sz w:val="32"/>
          <w:szCs w:val="32"/>
        </w:rPr>
        <w:t>永济建成</w:t>
      </w:r>
      <w:r>
        <w:rPr>
          <w:rFonts w:hint="eastAsia" w:ascii="Times New Roman" w:hAnsi="Times New Roman" w:eastAsia="仿宋_GB2312" w:cs="Times New Roman"/>
          <w:kern w:val="0"/>
          <w:sz w:val="32"/>
          <w:szCs w:val="32"/>
        </w:rPr>
        <w:t>国家级旅游度假区</w:t>
      </w:r>
      <w:r>
        <w:rPr>
          <w:rFonts w:ascii="Times New Roman" w:hAnsi="Times New Roman" w:eastAsia="仿宋_GB2312" w:cs="Times New Roman"/>
          <w:kern w:val="0"/>
          <w:sz w:val="32"/>
          <w:szCs w:val="32"/>
        </w:rPr>
        <w:t>，努力把文化旅游产业打造成为战略性支柱产业</w:t>
      </w:r>
    </w:p>
    <w:p w14:paraId="59EAC0A7">
      <w:pPr>
        <w:spacing w:line="62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国家</w:t>
      </w:r>
      <w:r>
        <w:rPr>
          <w:rFonts w:ascii="Times New Roman" w:hAnsi="Times New Roman" w:eastAsia="仿宋_GB2312" w:cs="Times New Roman"/>
          <w:b/>
          <w:bCs/>
          <w:sz w:val="32"/>
          <w:szCs w:val="32"/>
        </w:rPr>
        <w:t>生态文明</w:t>
      </w:r>
      <w:r>
        <w:rPr>
          <w:rFonts w:hint="eastAsia" w:ascii="Times New Roman" w:hAnsi="Times New Roman" w:eastAsia="仿宋_GB2312" w:cs="Times New Roman"/>
          <w:b/>
          <w:bCs/>
          <w:sz w:val="32"/>
          <w:szCs w:val="32"/>
        </w:rPr>
        <w:t>建设</w:t>
      </w:r>
      <w:r>
        <w:rPr>
          <w:rFonts w:ascii="Times New Roman" w:hAnsi="Times New Roman" w:eastAsia="仿宋_GB2312" w:cs="Times New Roman"/>
          <w:b/>
          <w:bCs/>
          <w:sz w:val="32"/>
          <w:szCs w:val="32"/>
        </w:rPr>
        <w:t>示范区。</w:t>
      </w:r>
      <w:r>
        <w:rPr>
          <w:rFonts w:ascii="Times New Roman" w:hAnsi="Times New Roman" w:eastAsia="仿宋_GB2312" w:cs="Times New Roman"/>
          <w:sz w:val="32"/>
          <w:szCs w:val="32"/>
        </w:rPr>
        <w:t>牢固树立“绿水青山就是金山银山”的发展理念，加强黄河流域生态保护，加快创建国家森林城市，深入推进伍姓湖治理，聚焦深化生态文明体制改革，落实最严格的耕地保护制度、水资源管理制度、环境保护制度，建设符合主体功能定位的开发格局和资源循环利用体系，建立覆盖全社会的生态文化体系，普遍推行绿色生活方式，形成在全国可复制、可推广的典型经验和模式。</w:t>
      </w:r>
    </w:p>
    <w:p w14:paraId="403451CA">
      <w:pPr>
        <w:spacing w:line="62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国家</w:t>
      </w:r>
      <w:r>
        <w:rPr>
          <w:rFonts w:ascii="Times New Roman" w:hAnsi="Times New Roman" w:eastAsia="仿宋_GB2312" w:cs="Times New Roman"/>
          <w:b/>
          <w:bCs/>
          <w:sz w:val="32"/>
          <w:szCs w:val="32"/>
        </w:rPr>
        <w:t>现代农业示范区。</w:t>
      </w:r>
      <w:r>
        <w:rPr>
          <w:rFonts w:ascii="Times New Roman" w:hAnsi="Times New Roman" w:eastAsia="仿宋_GB2312" w:cs="Times New Roman"/>
          <w:sz w:val="32"/>
          <w:szCs w:val="32"/>
        </w:rPr>
        <w:t>以创建全国农村一二三产业融合发展先导区、国家农产品质量安全县为牵引，巩固提升国家级渔业健康养殖示范县成果，实施农业“特”“优”战略，加强农田水利基础设施建设，做大做强八大优势基地和</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大农产品精深加工产业集群，加快推进农业产业链现代化，不断提高农业质量效益和竞争力，全面提升现代农业发展水平，创建成为国家现代农业示范区。</w:t>
      </w:r>
    </w:p>
    <w:p w14:paraId="57E06548">
      <w:pPr>
        <w:spacing w:line="620" w:lineRule="exact"/>
        <w:ind w:firstLine="643" w:firstLineChars="200"/>
        <w:jc w:val="both"/>
        <w:rPr>
          <w:rFonts w:ascii="Times New Roman" w:hAnsi="Times New Roman" w:eastAsia="楷体_GB2312" w:cs="Times New Roman"/>
          <w:kern w:val="0"/>
          <w:sz w:val="32"/>
          <w:szCs w:val="32"/>
          <w:lang w:bidi="en-US"/>
        </w:rPr>
      </w:pPr>
      <w:r>
        <w:rPr>
          <w:rFonts w:ascii="Times New Roman" w:hAnsi="Times New Roman" w:eastAsia="仿宋_GB2312" w:cs="Times New Roman"/>
          <w:b/>
          <w:bCs/>
          <w:sz w:val="32"/>
          <w:szCs w:val="32"/>
        </w:rPr>
        <w:t>——全国轨道交通和机电制造产业集聚区。</w:t>
      </w:r>
      <w:r>
        <w:rPr>
          <w:rFonts w:ascii="Times New Roman" w:hAnsi="Times New Roman" w:eastAsia="仿宋_GB2312" w:cs="Times New Roman"/>
          <w:sz w:val="32"/>
          <w:szCs w:val="32"/>
        </w:rPr>
        <w:t>充分发挥中车永济电机公司的龙头作用，以中小微电机企业为基础，大力发展轨道交通、高铁电机、风电电机、新能源汽车电机等。通过产业联盟、配套合作等方式，加强产业融合、上下游协作，积极发展配套企业，建设产业链式集群。通过搭建共享技术平台，建立共创技术机制，加强产学研合作攻关、工业技改及“两化”融合力度，在新技术的研发、引进、应用上持续发力，全面提升永济在全国轨道交通和电机行业地位，努力把永济打造成为全国轨道交通和机电制造产业集聚区。</w:t>
      </w:r>
      <w:bookmarkStart w:id="41" w:name="_Toc57711632"/>
      <w:bookmarkStart w:id="42" w:name="_Toc28682"/>
      <w:bookmarkStart w:id="43" w:name="_Toc32438"/>
    </w:p>
    <w:p w14:paraId="24E1A000">
      <w:pPr>
        <w:spacing w:beforeLines="50" w:afterLines="50"/>
        <w:jc w:val="center"/>
        <w:outlineLvl w:val="1"/>
        <w:rPr>
          <w:rFonts w:ascii="Times New Roman" w:hAnsi="Times New Roman" w:eastAsia="楷体_GB2312" w:cs="Times New Roman"/>
          <w:kern w:val="0"/>
          <w:sz w:val="32"/>
          <w:szCs w:val="32"/>
          <w:lang w:bidi="en-US"/>
        </w:rPr>
      </w:pPr>
      <w:bookmarkStart w:id="44" w:name="_Toc68253228"/>
      <w:bookmarkStart w:id="45" w:name="_Toc67564125"/>
      <w:r>
        <w:rPr>
          <w:rFonts w:ascii="Times New Roman" w:hAnsi="Times New Roman" w:eastAsia="楷体_GB2312" w:cs="Times New Roman"/>
          <w:kern w:val="0"/>
          <w:sz w:val="32"/>
          <w:szCs w:val="32"/>
          <w:lang w:bidi="en-US"/>
        </w:rPr>
        <w:t>第五节  发展目标</w:t>
      </w:r>
      <w:bookmarkEnd w:id="41"/>
      <w:bookmarkEnd w:id="42"/>
      <w:bookmarkEnd w:id="43"/>
      <w:bookmarkEnd w:id="44"/>
      <w:bookmarkEnd w:id="45"/>
    </w:p>
    <w:p w14:paraId="0B77DACE">
      <w:pPr>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深入贯彻落实党的十九届五中全会确定的基本实现社会主义现代化的远景目标，</w:t>
      </w:r>
      <w:r>
        <w:rPr>
          <w:rFonts w:hint="eastAsia" w:ascii="Times New Roman" w:hAnsi="Times New Roman" w:eastAsia="仿宋_GB2312" w:cs="Times New Roman"/>
          <w:sz w:val="32"/>
          <w:szCs w:val="32"/>
        </w:rPr>
        <w:t>按照全省到2035年经济总量达到全国中游水平，与全国同步基本实现社会主义现代化，运城市到2035年综合实力、创新能力、开放活力、文化软实力大幅跃升，基本建成新时代现代化强市的目标要求，</w:t>
      </w:r>
      <w:r>
        <w:rPr>
          <w:rFonts w:ascii="Times New Roman" w:hAnsi="Times New Roman" w:eastAsia="仿宋_GB2312" w:cs="Times New Roman"/>
          <w:sz w:val="32"/>
          <w:szCs w:val="32"/>
        </w:rPr>
        <w:t>我市到二O三五年的远景目标是：</w:t>
      </w:r>
    </w:p>
    <w:p w14:paraId="2B874CDA">
      <w:pPr>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在全面建成小康社会的基础上，再经过十五年的努力，全市经济实力、科技实力、综合竞争力大幅跃升，经济总量和城乡居民人均收入再上新台阶，基本实现新型工业化、信息化、城镇化、农业现代化，现代化经济体系基本建立；建设成为创新型城市，构建起协同高效、具有永济特色的现代化区域创新体系，产业基础能力和产业链现代化水平显著提高，部分主导产业进入价值链中高端，基本实现由资源依赖向创新驱动的转变；要素配置市场化改革全面深化，对外开放程度和区域合作水平显著提升，基本实现市域治理体系和治理能力现代化，基本建成法治政府、法治社会；建成文化强市、旅游强市、人才强市、健康永济，人民素质和社会文明程度达到新高度，文化软实力显著增强；生产和消费绿色化水平显著</w:t>
      </w:r>
      <w:r>
        <w:rPr>
          <w:rFonts w:hint="eastAsia" w:ascii="Times New Roman" w:hAnsi="Times New Roman" w:eastAsia="仿宋_GB2312" w:cs="Times New Roman"/>
          <w:sz w:val="32"/>
          <w:szCs w:val="32"/>
        </w:rPr>
        <w:t>提高</w:t>
      </w:r>
      <w:r>
        <w:rPr>
          <w:rFonts w:ascii="Times New Roman" w:hAnsi="Times New Roman" w:eastAsia="仿宋_GB2312" w:cs="Times New Roman"/>
          <w:sz w:val="32"/>
          <w:szCs w:val="32"/>
        </w:rPr>
        <w:t>，广泛形成绿色生产生活方式，黄河流域（永济段）生态保护和高质量发展取得显著成效，高水平建成美丽永济；人均地区生产总值大幅提高，中等收入群体显著扩大，基本公共服务实现更高水平均等化，城乡区域发展差距和居民生活水平差距显著缩小，教育现代化水平大幅提升，医疗可及性、普惠性和社会保障公平性、可持续性大幅提高；平安永济建设达到更高水平，人民生活更加美好，人的全面发展、全体人民共同富裕取得更为明显的进展。</w:t>
      </w:r>
    </w:p>
    <w:p w14:paraId="0CEC92DB">
      <w:pPr>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锚定二O三五年远景目标，聚力实现</w:t>
      </w:r>
      <w:r>
        <w:rPr>
          <w:rFonts w:hint="eastAsia" w:ascii="Times New Roman" w:hAnsi="Times New Roman" w:eastAsia="仿宋_GB2312" w:cs="Times New Roman"/>
          <w:sz w:val="32"/>
          <w:szCs w:val="32"/>
        </w:rPr>
        <w:t>全省提出的“十四五”</w:t>
      </w:r>
      <w:r>
        <w:rPr>
          <w:rFonts w:ascii="Times New Roman" w:hAnsi="Times New Roman" w:eastAsia="仿宋_GB2312" w:cs="Times New Roman"/>
          <w:sz w:val="32"/>
          <w:szCs w:val="32"/>
        </w:rPr>
        <w:t>转型出雏型的重要阶段性战略目标，</w:t>
      </w:r>
      <w:r>
        <w:rPr>
          <w:rFonts w:hint="eastAsia" w:ascii="Times New Roman" w:hAnsi="Times New Roman" w:eastAsia="仿宋_GB2312" w:cs="Times New Roman"/>
          <w:sz w:val="32"/>
          <w:szCs w:val="32"/>
        </w:rPr>
        <w:t>运城市提出的综合实力进一步增强，城市战略地位、区域竞争力和影响力稳步提升，在全国新发展格局构建中充分体现运城担当、展示运城作为的战略目标，</w:t>
      </w:r>
      <w:r>
        <w:rPr>
          <w:rFonts w:ascii="Times New Roman" w:hAnsi="Times New Roman" w:eastAsia="仿宋_GB2312" w:cs="Times New Roman"/>
          <w:sz w:val="32"/>
          <w:szCs w:val="32"/>
        </w:rPr>
        <w:t>确保</w:t>
      </w:r>
      <w:r>
        <w:rPr>
          <w:rFonts w:hint="eastAsia" w:ascii="Times New Roman" w:hAnsi="Times New Roman" w:eastAsia="仿宋_GB2312" w:cs="Times New Roman"/>
          <w:sz w:val="32"/>
          <w:szCs w:val="32"/>
        </w:rPr>
        <w:t>我市</w:t>
      </w:r>
      <w:r>
        <w:rPr>
          <w:rFonts w:ascii="Times New Roman" w:hAnsi="Times New Roman" w:eastAsia="仿宋_GB2312" w:cs="Times New Roman"/>
          <w:sz w:val="32"/>
          <w:szCs w:val="32"/>
        </w:rPr>
        <w:t>到2035年与全国、全省、</w:t>
      </w:r>
      <w:r>
        <w:rPr>
          <w:rFonts w:hint="eastAsia" w:ascii="Times New Roman" w:hAnsi="Times New Roman" w:eastAsia="仿宋_GB2312" w:cs="Times New Roman"/>
          <w:sz w:val="32"/>
          <w:szCs w:val="32"/>
        </w:rPr>
        <w:t>运城</w:t>
      </w:r>
      <w:r>
        <w:rPr>
          <w:rFonts w:ascii="Times New Roman" w:hAnsi="Times New Roman" w:eastAsia="仿宋_GB2312" w:cs="Times New Roman"/>
          <w:sz w:val="32"/>
          <w:szCs w:val="32"/>
        </w:rPr>
        <w:t>市同步基本实现社会主义现代化、2050年与全国同步实现社会主义现代化。“十四五”时期，综合考量全市发展实际，经济社会发展要努力实现以下主要目标。</w:t>
      </w:r>
    </w:p>
    <w:p w14:paraId="35B22CFC">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——具有永济特色的创新生态基本形成。</w:t>
      </w:r>
      <w:r>
        <w:rPr>
          <w:rFonts w:ascii="Times New Roman" w:hAnsi="Times New Roman" w:eastAsia="仿宋_GB2312" w:cs="Times New Roman"/>
          <w:sz w:val="32"/>
          <w:szCs w:val="32"/>
        </w:rPr>
        <w:t>全社会研发经费投入强度达到全省平均水平，规上工业企业研发活动全覆盖成果得到巩固，实现“六新”发展突破，基本构建起有利于创新活力充分涌流、有利于创业潜力有效激发、有利于创造动力竞相迸发的一流创新生态。</w:t>
      </w:r>
    </w:p>
    <w:p w14:paraId="280E4677">
      <w:pPr>
        <w:jc w:val="both"/>
      </w:pPr>
      <w:r>
        <w:rPr>
          <w:rFonts w:hint="eastAsia" w:ascii="Times New Roman" w:hAnsi="Times New Roman" w:eastAsia="仿宋_GB2312" w:cs="Times New Roman"/>
          <w:b/>
          <w:bCs/>
          <w:sz w:val="32"/>
          <w:szCs w:val="32"/>
          <w:lang w:val="en-US" w:eastAsia="zh-CN"/>
        </w:rPr>
        <w:t xml:space="preserve">    </w:t>
      </w:r>
      <w:r>
        <w:rPr>
          <w:rFonts w:ascii="Times New Roman" w:hAnsi="Times New Roman" w:eastAsia="仿宋_GB2312" w:cs="Times New Roman"/>
          <w:b/>
          <w:bCs/>
          <w:sz w:val="32"/>
          <w:szCs w:val="32"/>
        </w:rPr>
        <w:t>——战略性新兴产业格局基本形成。</w:t>
      </w:r>
      <w:r>
        <w:rPr>
          <w:rFonts w:hint="eastAsia" w:ascii="Times New Roman" w:hAnsi="Times New Roman" w:eastAsia="仿宋_GB2312" w:cs="Times New Roman"/>
          <w:sz w:val="32"/>
          <w:szCs w:val="32"/>
        </w:rPr>
        <w:t>“3+2”产业体系进一步丰富完善，战略性新兴产业进一步发展壮大，培育形成“六强五新”的产业格局。</w:t>
      </w:r>
      <w:r>
        <w:rPr>
          <w:rFonts w:ascii="Times New Roman" w:hAnsi="Times New Roman" w:eastAsia="仿宋_GB2312" w:cs="Times New Roman"/>
          <w:sz w:val="32"/>
          <w:szCs w:val="32"/>
        </w:rPr>
        <w:t>工业产值完成500亿元，</w:t>
      </w:r>
      <w:r>
        <w:rPr>
          <w:rFonts w:hint="eastAsia" w:ascii="Times New Roman" w:hAnsi="Times New Roman" w:eastAsia="仿宋_GB2312" w:cs="Times New Roman"/>
          <w:sz w:val="32"/>
          <w:szCs w:val="32"/>
        </w:rPr>
        <w:t>规模以上工业增加值年均增长20%以上</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新一代信息技术、节能环保、数字创意、现代服务业等战略性新兴产业全面发展。同时，旅游产业</w:t>
      </w:r>
      <w:r>
        <w:rPr>
          <w:rFonts w:ascii="Times New Roman" w:hAnsi="Times New Roman" w:eastAsia="仿宋_GB2312" w:cs="Times New Roman"/>
          <w:sz w:val="32"/>
          <w:szCs w:val="32"/>
        </w:rPr>
        <w:t>基础能力和产业链现代化水平显著提升</w:t>
      </w:r>
      <w:r>
        <w:rPr>
          <w:rFonts w:hint="eastAsia" w:ascii="Times New Roman" w:hAnsi="Times New Roman" w:eastAsia="仿宋_GB2312" w:cs="Times New Roman"/>
          <w:sz w:val="32"/>
          <w:szCs w:val="32"/>
        </w:rPr>
        <w:t>，成为我市新兴支柱产业，全市接待境内外游客突破1000万人次，实现旅游综合收入200亿元。</w:t>
      </w:r>
    </w:p>
    <w:p w14:paraId="056D6E2B">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——绿色能源供应体系基本形成。</w:t>
      </w:r>
      <w:r>
        <w:rPr>
          <w:rFonts w:ascii="Times New Roman" w:hAnsi="Times New Roman" w:eastAsia="仿宋_GB2312" w:cs="Times New Roman"/>
          <w:sz w:val="32"/>
          <w:szCs w:val="32"/>
        </w:rPr>
        <w:t>能源革命综合改革试点取得明显成效，</w:t>
      </w:r>
      <w:r>
        <w:rPr>
          <w:rFonts w:hint="eastAsia" w:ascii="Times New Roman" w:hAnsi="Times New Roman" w:eastAsia="仿宋_GB2312" w:cs="Times New Roman"/>
          <w:sz w:val="32"/>
          <w:szCs w:val="32"/>
        </w:rPr>
        <w:t>碳达峰、碳中和稳步推进，</w:t>
      </w:r>
      <w:r>
        <w:rPr>
          <w:rFonts w:ascii="Times New Roman" w:hAnsi="Times New Roman" w:eastAsia="仿宋_GB2312" w:cs="Times New Roman"/>
          <w:sz w:val="32"/>
          <w:szCs w:val="32"/>
        </w:rPr>
        <w:t>清洁能源深度利用达到全省领先水平，清洁能源和新能源消费比例明显提升，多轮驱动、安全可持续的能源供给体系基本形成。</w:t>
      </w:r>
    </w:p>
    <w:p w14:paraId="5BFE19E0">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——支撑高质量转型发展的体制机制基本形成。</w:t>
      </w:r>
      <w:r>
        <w:rPr>
          <w:rFonts w:ascii="Times New Roman" w:hAnsi="Times New Roman" w:eastAsia="仿宋_GB2312" w:cs="Times New Roman"/>
          <w:sz w:val="32"/>
          <w:szCs w:val="32"/>
        </w:rPr>
        <w:t>各项综合配套改革不断深化，开发区改革创新、文化旅游体制机制创新、科技体制机制创新、要素市场化配置改革等向纵深推进，区域治理现代化能力和水平显著提升，制度优势持续转化为治理效能和发展动能。</w:t>
      </w:r>
    </w:p>
    <w:p w14:paraId="6637E2C4">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——生态文明制度体系基本形成。</w:t>
      </w:r>
      <w:r>
        <w:rPr>
          <w:rFonts w:ascii="Times New Roman" w:hAnsi="Times New Roman" w:eastAsia="仿宋_GB2312" w:cs="Times New Roman"/>
          <w:sz w:val="32"/>
          <w:szCs w:val="32"/>
        </w:rPr>
        <w:t>主体功能区制度逐步完善，“三线一单”和生态补偿机制加快建立，国家森林城市创建成功，主要污染物排放总量持续减少，生态环境保护制度、资源高效利用制度、生态价值测算评估体系、绿色发展体制机制不断完善。</w:t>
      </w:r>
    </w:p>
    <w:p w14:paraId="6735ABFC">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——营商环境体制机制基本形成。</w:t>
      </w:r>
      <w:r>
        <w:rPr>
          <w:rFonts w:ascii="Times New Roman" w:hAnsi="Times New Roman" w:eastAsia="仿宋_GB2312" w:cs="Times New Roman"/>
          <w:sz w:val="32"/>
          <w:szCs w:val="32"/>
        </w:rPr>
        <w:t>“放管服效”改革和“六最”营商环境优化持续深入，行政审批服务效率走在全省前列，人才机制活力和政策吸引力大幅提升，打造廉洁高效的政务环境、公平便捷的市场环境、公正透明的法治环境、诚实守信的信用环境、宜居宜业的发展环境。</w:t>
      </w:r>
    </w:p>
    <w:p w14:paraId="1345DC35">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——对外开放新局面基本形成。</w:t>
      </w:r>
      <w:r>
        <w:rPr>
          <w:rFonts w:ascii="Times New Roman" w:hAnsi="Times New Roman" w:eastAsia="仿宋_GB2312" w:cs="Times New Roman"/>
          <w:sz w:val="32"/>
          <w:szCs w:val="32"/>
        </w:rPr>
        <w:t>对外开放平台体系基本建立，现代基础设施更加完善，外贸主体大幅增加，经济外向度大幅提高，招商引资步伐加快，开放型经济规模和质量明显提升。</w:t>
      </w:r>
    </w:p>
    <w:p w14:paraId="008F0007">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——城乡统筹发展格局基本形成。</w:t>
      </w:r>
      <w:r>
        <w:rPr>
          <w:rFonts w:ascii="Times New Roman" w:hAnsi="Times New Roman" w:eastAsia="仿宋_GB2312" w:cs="Times New Roman"/>
          <w:sz w:val="32"/>
          <w:szCs w:val="32"/>
        </w:rPr>
        <w:t>以人为核心的新型城镇化加速推进，“142”城市功能品质全面提升，</w:t>
      </w:r>
      <w:r>
        <w:rPr>
          <w:rFonts w:hint="eastAsia" w:ascii="Times New Roman" w:hAnsi="Times New Roman" w:eastAsia="仿宋_GB2312" w:cs="Times New Roman"/>
          <w:sz w:val="32"/>
          <w:szCs w:val="32"/>
        </w:rPr>
        <w:t>精品特色小镇初见雏型，</w:t>
      </w:r>
      <w:r>
        <w:rPr>
          <w:rFonts w:ascii="Times New Roman" w:hAnsi="Times New Roman" w:eastAsia="仿宋_GB2312" w:cs="Times New Roman"/>
          <w:sz w:val="32"/>
          <w:szCs w:val="32"/>
        </w:rPr>
        <w:t>运城市副中心城市和黄河金三角重要节点城市功能不断完善。城乡基本公共服务均等化水平不断提高，城乡一体化和区域协调发展水平明显增强。</w:t>
      </w:r>
    </w:p>
    <w:p w14:paraId="668D7CBD">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——更加健全完善的民生保障体系基本形成。</w:t>
      </w:r>
      <w:r>
        <w:rPr>
          <w:rFonts w:ascii="Times New Roman" w:hAnsi="Times New Roman" w:eastAsia="仿宋_GB2312" w:cs="Times New Roman"/>
          <w:sz w:val="32"/>
          <w:szCs w:val="32"/>
        </w:rPr>
        <w:t>“人人持证、技能社会”建设取得重大进展，巩固拓展脱贫攻坚成果同乡村振兴实现有效衔接，居民收入与经济增长实现同步增长，</w:t>
      </w:r>
      <w:r>
        <w:rPr>
          <w:rFonts w:hint="eastAsia" w:ascii="Times New Roman" w:hAnsi="Times New Roman" w:eastAsia="仿宋_GB2312" w:cs="Times New Roman"/>
          <w:sz w:val="32"/>
          <w:szCs w:val="32"/>
        </w:rPr>
        <w:t>城乡居民人均可支配收入年均增长10%以上。</w:t>
      </w:r>
      <w:r>
        <w:rPr>
          <w:rFonts w:ascii="Times New Roman" w:hAnsi="Times New Roman" w:eastAsia="仿宋_GB2312" w:cs="Times New Roman"/>
          <w:sz w:val="32"/>
          <w:szCs w:val="32"/>
        </w:rPr>
        <w:t>教育、医疗、文化、体育、社保等民生社会事业稳步推进，公共安全网络织牢织密，人民群众的获得感幸福感安全感持续增强。</w:t>
      </w:r>
    </w:p>
    <w:p w14:paraId="7EDB22F5">
      <w:pPr>
        <w:spacing w:afterLines="50"/>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——在运城市发展大格局中的战略地位基本形成。</w:t>
      </w:r>
      <w:r>
        <w:rPr>
          <w:rFonts w:ascii="Times New Roman" w:hAnsi="Times New Roman" w:eastAsia="仿宋_GB2312" w:cs="Times New Roman"/>
          <w:sz w:val="32"/>
          <w:szCs w:val="32"/>
        </w:rPr>
        <w:t>经济总量和市域经济综合竞争力不断提升，全市地区生产总值比20</w:t>
      </w:r>
      <w:r>
        <w:rPr>
          <w:rFonts w:hint="eastAsia" w:ascii="Times New Roman" w:hAnsi="Times New Roman" w:eastAsia="仿宋_GB2312" w:cs="Times New Roman"/>
          <w:sz w:val="32"/>
          <w:szCs w:val="32"/>
        </w:rPr>
        <w:t>19</w:t>
      </w:r>
      <w:r>
        <w:rPr>
          <w:rFonts w:ascii="Times New Roman" w:hAnsi="Times New Roman" w:eastAsia="仿宋_GB2312" w:cs="Times New Roman"/>
          <w:sz w:val="32"/>
          <w:szCs w:val="32"/>
        </w:rPr>
        <w:t>年翻一番，达到250亿元左右，</w:t>
      </w:r>
      <w:r>
        <w:rPr>
          <w:rFonts w:hint="eastAsia" w:ascii="Times New Roman" w:hAnsi="Times New Roman" w:eastAsia="仿宋_GB2312" w:cs="Times New Roman"/>
          <w:sz w:val="32"/>
          <w:szCs w:val="32"/>
        </w:rPr>
        <w:t>年均增长13%以上</w:t>
      </w:r>
      <w:r>
        <w:rPr>
          <w:rFonts w:ascii="Times New Roman" w:hAnsi="Times New Roman" w:eastAsia="仿宋_GB2312" w:cs="Times New Roman"/>
          <w:sz w:val="32"/>
          <w:szCs w:val="32"/>
        </w:rPr>
        <w:t>，在运城市的排名持续进位。</w:t>
      </w:r>
      <w:r>
        <w:rPr>
          <w:rFonts w:hint="eastAsia" w:ascii="Times New Roman" w:hAnsi="Times New Roman" w:eastAsia="仿宋_GB2312" w:cs="Times New Roman"/>
          <w:sz w:val="32"/>
          <w:szCs w:val="32"/>
        </w:rPr>
        <w:t>固定资产投资年均增长10%，社会消费品零售总额年均增长15 %，一般公共预算收入年均增长6%。</w:t>
      </w:r>
      <w:r>
        <w:rPr>
          <w:rFonts w:ascii="Times New Roman" w:hAnsi="Times New Roman" w:eastAsia="仿宋_GB2312" w:cs="Times New Roman"/>
          <w:sz w:val="32"/>
          <w:szCs w:val="32"/>
        </w:rPr>
        <w:t>黄河金三角区域中永济的影响力显著增强，形成协同发展、深度互动格局，在黄河流域生态保护和高质量发展、全省率先蹚出一条转型发展新路等重大战略中充分彰显“永济担当”。</w:t>
      </w:r>
    </w:p>
    <w:tbl>
      <w:tblPr>
        <w:tblStyle w:val="18"/>
        <w:tblW w:w="87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3"/>
        <w:gridCol w:w="3563"/>
        <w:gridCol w:w="1043"/>
        <w:gridCol w:w="1339"/>
        <w:gridCol w:w="1042"/>
        <w:gridCol w:w="1000"/>
      </w:tblGrid>
      <w:tr w14:paraId="34270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jc w:val="center"/>
        </w:trPr>
        <w:tc>
          <w:tcPr>
            <w:tcW w:w="8760" w:type="dxa"/>
            <w:gridSpan w:val="6"/>
            <w:tcMar>
              <w:top w:w="15" w:type="dxa"/>
              <w:left w:w="15" w:type="dxa"/>
              <w:right w:w="15" w:type="dxa"/>
            </w:tcMar>
            <w:vAlign w:val="center"/>
          </w:tcPr>
          <w:p w14:paraId="6F29C289">
            <w:pPr>
              <w:pStyle w:val="17"/>
              <w:spacing w:line="360" w:lineRule="auto"/>
              <w:ind w:firstLine="0"/>
              <w:jc w:val="both"/>
              <w:outlineLvl w:val="2"/>
              <w:rPr>
                <w:rStyle w:val="40"/>
                <w:rFonts w:hint="default" w:ascii="Times New Roman" w:hAnsi="Times New Roman" w:eastAsia="黑体" w:cs="Times New Roman"/>
                <w:b w:val="0"/>
                <w:color w:val="auto"/>
                <w:sz w:val="28"/>
                <w:szCs w:val="28"/>
              </w:rPr>
            </w:pPr>
            <w:bookmarkStart w:id="46" w:name="_Toc5632"/>
            <w:bookmarkStart w:id="47" w:name="_Toc7427"/>
            <w:bookmarkStart w:id="48" w:name="_Toc57711633"/>
            <w:r>
              <w:rPr>
                <w:rFonts w:ascii="Times New Roman" w:hAnsi="Times New Roman" w:eastAsia="黑体"/>
                <w:sz w:val="28"/>
                <w:szCs w:val="28"/>
              </w:rPr>
              <w:t>专栏2：“十四五”永济市转型出雏型主要指标表</w:t>
            </w:r>
          </w:p>
        </w:tc>
      </w:tr>
      <w:tr w14:paraId="56179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vMerge w:val="restart"/>
            <w:tcMar>
              <w:top w:w="15" w:type="dxa"/>
              <w:left w:w="15" w:type="dxa"/>
              <w:right w:w="15" w:type="dxa"/>
            </w:tcMar>
            <w:vAlign w:val="center"/>
          </w:tcPr>
          <w:p w14:paraId="33170B37">
            <w:pPr>
              <w:jc w:val="both"/>
              <w:textAlignment w:val="center"/>
              <w:rPr>
                <w:rFonts w:ascii="Times New Roman" w:hAnsi="Times New Roman" w:eastAsia="宋体" w:cs="Times New Roman"/>
                <w:sz w:val="22"/>
              </w:rPr>
            </w:pPr>
            <w:r>
              <w:rPr>
                <w:rFonts w:ascii="Times New Roman" w:hAnsi="Times New Roman" w:eastAsia="宋体" w:cs="Times New Roman"/>
                <w:kern w:val="0"/>
                <w:sz w:val="22"/>
              </w:rPr>
              <w:t>序号</w:t>
            </w:r>
          </w:p>
        </w:tc>
        <w:tc>
          <w:tcPr>
            <w:tcW w:w="3563" w:type="dxa"/>
            <w:vMerge w:val="restart"/>
            <w:tcMar>
              <w:top w:w="15" w:type="dxa"/>
              <w:left w:w="15" w:type="dxa"/>
              <w:right w:w="15" w:type="dxa"/>
            </w:tcMar>
            <w:vAlign w:val="center"/>
          </w:tcPr>
          <w:p w14:paraId="298CF57E">
            <w:pPr>
              <w:jc w:val="both"/>
              <w:textAlignment w:val="center"/>
              <w:rPr>
                <w:rFonts w:ascii="Times New Roman" w:hAnsi="Times New Roman" w:eastAsia="宋体" w:cs="Times New Roman"/>
                <w:sz w:val="22"/>
              </w:rPr>
            </w:pPr>
            <w:r>
              <w:rPr>
                <w:rFonts w:ascii="Times New Roman" w:hAnsi="Times New Roman" w:eastAsia="宋体" w:cs="Times New Roman"/>
                <w:kern w:val="0"/>
                <w:sz w:val="22"/>
              </w:rPr>
              <w:t>指    标</w:t>
            </w:r>
          </w:p>
        </w:tc>
        <w:tc>
          <w:tcPr>
            <w:tcW w:w="1043" w:type="dxa"/>
            <w:vMerge w:val="restart"/>
            <w:tcMar>
              <w:top w:w="15" w:type="dxa"/>
              <w:left w:w="15" w:type="dxa"/>
              <w:right w:w="15" w:type="dxa"/>
            </w:tcMar>
            <w:vAlign w:val="center"/>
          </w:tcPr>
          <w:p w14:paraId="0888FFB5">
            <w:pPr>
              <w:jc w:val="both"/>
              <w:textAlignment w:val="center"/>
              <w:rPr>
                <w:rFonts w:ascii="Times New Roman" w:hAnsi="Times New Roman" w:eastAsia="宋体" w:cs="Times New Roman"/>
                <w:kern w:val="0"/>
                <w:sz w:val="22"/>
              </w:rPr>
            </w:pPr>
            <w:r>
              <w:rPr>
                <w:rFonts w:ascii="Times New Roman" w:hAnsi="Times New Roman" w:eastAsia="宋体" w:cs="Times New Roman"/>
                <w:kern w:val="0"/>
                <w:sz w:val="22"/>
              </w:rPr>
              <w:t>2020年</w:t>
            </w:r>
          </w:p>
          <w:p w14:paraId="700EE8AD">
            <w:pPr>
              <w:jc w:val="both"/>
              <w:textAlignment w:val="center"/>
              <w:rPr>
                <w:rFonts w:ascii="Times New Roman" w:hAnsi="Times New Roman" w:eastAsia="宋体" w:cs="Times New Roman"/>
                <w:sz w:val="22"/>
              </w:rPr>
            </w:pPr>
            <w:r>
              <w:rPr>
                <w:rFonts w:ascii="Times New Roman" w:hAnsi="Times New Roman" w:cs="Times New Roman"/>
                <w:kern w:val="0"/>
                <w:sz w:val="22"/>
              </w:rPr>
              <w:t>完成</w:t>
            </w:r>
          </w:p>
        </w:tc>
        <w:tc>
          <w:tcPr>
            <w:tcW w:w="1339" w:type="dxa"/>
            <w:vMerge w:val="restart"/>
            <w:tcMar>
              <w:top w:w="15" w:type="dxa"/>
              <w:left w:w="15" w:type="dxa"/>
              <w:right w:w="15" w:type="dxa"/>
            </w:tcMar>
            <w:vAlign w:val="center"/>
          </w:tcPr>
          <w:p w14:paraId="188CF911">
            <w:pPr>
              <w:jc w:val="both"/>
              <w:textAlignment w:val="center"/>
              <w:rPr>
                <w:rFonts w:ascii="Times New Roman" w:hAnsi="Times New Roman" w:eastAsia="宋体" w:cs="Times New Roman"/>
                <w:kern w:val="0"/>
                <w:sz w:val="22"/>
              </w:rPr>
            </w:pPr>
            <w:r>
              <w:rPr>
                <w:rFonts w:ascii="Times New Roman" w:hAnsi="Times New Roman" w:eastAsia="宋体" w:cs="Times New Roman"/>
                <w:kern w:val="0"/>
                <w:sz w:val="22"/>
              </w:rPr>
              <w:t>2025年</w:t>
            </w:r>
          </w:p>
          <w:p w14:paraId="4BEC92DF">
            <w:pPr>
              <w:jc w:val="both"/>
              <w:textAlignment w:val="center"/>
              <w:rPr>
                <w:rFonts w:ascii="Times New Roman" w:hAnsi="Times New Roman" w:eastAsia="宋体" w:cs="Times New Roman"/>
                <w:sz w:val="22"/>
              </w:rPr>
            </w:pPr>
            <w:r>
              <w:rPr>
                <w:rFonts w:ascii="Times New Roman" w:hAnsi="Times New Roman" w:eastAsia="宋体" w:cs="Times New Roman"/>
                <w:kern w:val="0"/>
                <w:sz w:val="22"/>
              </w:rPr>
              <w:t>目标</w:t>
            </w:r>
          </w:p>
        </w:tc>
        <w:tc>
          <w:tcPr>
            <w:tcW w:w="1042" w:type="dxa"/>
            <w:vMerge w:val="restart"/>
            <w:tcMar>
              <w:top w:w="15" w:type="dxa"/>
              <w:left w:w="15" w:type="dxa"/>
              <w:right w:w="15" w:type="dxa"/>
            </w:tcMar>
            <w:vAlign w:val="center"/>
          </w:tcPr>
          <w:p w14:paraId="06EA3440">
            <w:pPr>
              <w:jc w:val="both"/>
              <w:textAlignment w:val="center"/>
              <w:rPr>
                <w:rFonts w:ascii="Times New Roman" w:hAnsi="Times New Roman" w:eastAsia="宋体" w:cs="Times New Roman"/>
                <w:sz w:val="22"/>
              </w:rPr>
            </w:pPr>
            <w:r>
              <w:rPr>
                <w:rFonts w:ascii="Times New Roman" w:hAnsi="Times New Roman" w:eastAsia="宋体" w:cs="Times New Roman"/>
                <w:kern w:val="0"/>
                <w:sz w:val="22"/>
              </w:rPr>
              <w:t>年均增长/累计</w:t>
            </w:r>
          </w:p>
        </w:tc>
        <w:tc>
          <w:tcPr>
            <w:tcW w:w="1000" w:type="dxa"/>
            <w:vMerge w:val="restart"/>
            <w:tcMar>
              <w:top w:w="15" w:type="dxa"/>
              <w:left w:w="15" w:type="dxa"/>
              <w:right w:w="15" w:type="dxa"/>
            </w:tcMar>
            <w:vAlign w:val="center"/>
          </w:tcPr>
          <w:p w14:paraId="6B68B89C">
            <w:pPr>
              <w:jc w:val="both"/>
              <w:textAlignment w:val="center"/>
              <w:rPr>
                <w:rFonts w:ascii="Times New Roman" w:hAnsi="Times New Roman" w:eastAsia="宋体" w:cs="Times New Roman"/>
                <w:sz w:val="22"/>
              </w:rPr>
            </w:pPr>
            <w:r>
              <w:rPr>
                <w:rStyle w:val="40"/>
                <w:rFonts w:hint="default" w:ascii="Times New Roman" w:hAnsi="Times New Roman" w:cs="Times New Roman"/>
                <w:b w:val="0"/>
                <w:color w:val="auto"/>
                <w:sz w:val="22"/>
                <w:szCs w:val="22"/>
              </w:rPr>
              <w:t>属性</w:t>
            </w:r>
          </w:p>
        </w:tc>
      </w:tr>
      <w:tr w14:paraId="54709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773" w:type="dxa"/>
            <w:vMerge w:val="continue"/>
            <w:tcMar>
              <w:top w:w="15" w:type="dxa"/>
              <w:left w:w="15" w:type="dxa"/>
              <w:right w:w="15" w:type="dxa"/>
            </w:tcMar>
            <w:vAlign w:val="center"/>
          </w:tcPr>
          <w:p w14:paraId="4CB33535">
            <w:pPr>
              <w:jc w:val="both"/>
              <w:rPr>
                <w:rFonts w:ascii="Times New Roman" w:hAnsi="Times New Roman" w:eastAsia="宋体" w:cs="Times New Roman"/>
                <w:sz w:val="18"/>
                <w:szCs w:val="18"/>
              </w:rPr>
            </w:pPr>
          </w:p>
        </w:tc>
        <w:tc>
          <w:tcPr>
            <w:tcW w:w="3563" w:type="dxa"/>
            <w:vMerge w:val="continue"/>
            <w:tcMar>
              <w:top w:w="15" w:type="dxa"/>
              <w:left w:w="15" w:type="dxa"/>
              <w:right w:w="15" w:type="dxa"/>
            </w:tcMar>
            <w:vAlign w:val="center"/>
          </w:tcPr>
          <w:p w14:paraId="556DE893">
            <w:pPr>
              <w:jc w:val="both"/>
              <w:rPr>
                <w:rFonts w:ascii="Times New Roman" w:hAnsi="Times New Roman" w:eastAsia="宋体" w:cs="Times New Roman"/>
                <w:sz w:val="18"/>
                <w:szCs w:val="18"/>
              </w:rPr>
            </w:pPr>
          </w:p>
        </w:tc>
        <w:tc>
          <w:tcPr>
            <w:tcW w:w="1043" w:type="dxa"/>
            <w:vMerge w:val="continue"/>
            <w:tcMar>
              <w:top w:w="15" w:type="dxa"/>
              <w:left w:w="15" w:type="dxa"/>
              <w:right w:w="15" w:type="dxa"/>
            </w:tcMar>
            <w:vAlign w:val="center"/>
          </w:tcPr>
          <w:p w14:paraId="4D4E69EB">
            <w:pPr>
              <w:jc w:val="both"/>
              <w:rPr>
                <w:rFonts w:ascii="Times New Roman" w:hAnsi="Times New Roman" w:eastAsia="宋体" w:cs="Times New Roman"/>
                <w:sz w:val="18"/>
                <w:szCs w:val="18"/>
              </w:rPr>
            </w:pPr>
          </w:p>
        </w:tc>
        <w:tc>
          <w:tcPr>
            <w:tcW w:w="1339" w:type="dxa"/>
            <w:vMerge w:val="continue"/>
            <w:tcMar>
              <w:top w:w="15" w:type="dxa"/>
              <w:left w:w="15" w:type="dxa"/>
              <w:right w:w="15" w:type="dxa"/>
            </w:tcMar>
            <w:vAlign w:val="center"/>
          </w:tcPr>
          <w:p w14:paraId="3285A02E">
            <w:pPr>
              <w:jc w:val="both"/>
              <w:rPr>
                <w:rFonts w:ascii="Times New Roman" w:hAnsi="Times New Roman" w:eastAsia="宋体" w:cs="Times New Roman"/>
                <w:sz w:val="18"/>
                <w:szCs w:val="18"/>
              </w:rPr>
            </w:pPr>
          </w:p>
        </w:tc>
        <w:tc>
          <w:tcPr>
            <w:tcW w:w="1042" w:type="dxa"/>
            <w:vMerge w:val="continue"/>
            <w:tcMar>
              <w:top w:w="15" w:type="dxa"/>
              <w:left w:w="15" w:type="dxa"/>
              <w:right w:w="15" w:type="dxa"/>
            </w:tcMar>
            <w:vAlign w:val="center"/>
          </w:tcPr>
          <w:p w14:paraId="02CEE168">
            <w:pPr>
              <w:jc w:val="both"/>
              <w:rPr>
                <w:rFonts w:ascii="Times New Roman" w:hAnsi="Times New Roman" w:eastAsia="宋体" w:cs="Times New Roman"/>
                <w:sz w:val="18"/>
                <w:szCs w:val="18"/>
              </w:rPr>
            </w:pPr>
          </w:p>
        </w:tc>
        <w:tc>
          <w:tcPr>
            <w:tcW w:w="1000" w:type="dxa"/>
            <w:vMerge w:val="continue"/>
            <w:tcMar>
              <w:top w:w="15" w:type="dxa"/>
              <w:left w:w="15" w:type="dxa"/>
              <w:right w:w="15" w:type="dxa"/>
            </w:tcMar>
            <w:vAlign w:val="center"/>
          </w:tcPr>
          <w:p w14:paraId="7E520BA5">
            <w:pPr>
              <w:jc w:val="both"/>
              <w:rPr>
                <w:rFonts w:ascii="Times New Roman" w:hAnsi="Times New Roman" w:eastAsia="宋体" w:cs="Times New Roman"/>
                <w:sz w:val="18"/>
                <w:szCs w:val="18"/>
              </w:rPr>
            </w:pPr>
          </w:p>
        </w:tc>
      </w:tr>
      <w:tr w14:paraId="3A38A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8760" w:type="dxa"/>
            <w:gridSpan w:val="6"/>
            <w:tcMar>
              <w:top w:w="15" w:type="dxa"/>
              <w:left w:w="15" w:type="dxa"/>
              <w:right w:w="15" w:type="dxa"/>
            </w:tcMar>
            <w:vAlign w:val="center"/>
          </w:tcPr>
          <w:p w14:paraId="5157B011">
            <w:pPr>
              <w:jc w:val="both"/>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一、经济发展（</w:t>
            </w:r>
            <w:r>
              <w:rPr>
                <w:rFonts w:ascii="Times New Roman" w:hAnsi="Times New Roman" w:cs="Times New Roman"/>
                <w:kern w:val="0"/>
                <w:sz w:val="18"/>
                <w:szCs w:val="18"/>
              </w:rPr>
              <w:t>7</w:t>
            </w:r>
            <w:r>
              <w:rPr>
                <w:rFonts w:ascii="Times New Roman" w:hAnsi="Times New Roman" w:eastAsia="宋体" w:cs="Times New Roman"/>
                <w:kern w:val="0"/>
                <w:sz w:val="18"/>
                <w:szCs w:val="18"/>
              </w:rPr>
              <w:t>个）</w:t>
            </w:r>
          </w:p>
        </w:tc>
      </w:tr>
      <w:tr w14:paraId="19DBC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tcMar>
              <w:top w:w="15" w:type="dxa"/>
              <w:left w:w="15" w:type="dxa"/>
              <w:right w:w="15" w:type="dxa"/>
            </w:tcMar>
            <w:vAlign w:val="center"/>
          </w:tcPr>
          <w:p w14:paraId="4523A83E">
            <w:pPr>
              <w:jc w:val="both"/>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w:t>
            </w:r>
          </w:p>
        </w:tc>
        <w:tc>
          <w:tcPr>
            <w:tcW w:w="3563" w:type="dxa"/>
            <w:tcMar>
              <w:top w:w="15" w:type="dxa"/>
              <w:left w:w="15" w:type="dxa"/>
              <w:right w:w="15" w:type="dxa"/>
            </w:tcMar>
            <w:vAlign w:val="center"/>
          </w:tcPr>
          <w:p w14:paraId="3416F8E2">
            <w:pPr>
              <w:jc w:val="both"/>
              <w:textAlignment w:val="center"/>
              <w:rPr>
                <w:rFonts w:ascii="Times New Roman" w:hAnsi="Times New Roman" w:eastAsia="宋体" w:cs="Times New Roman"/>
                <w:sz w:val="18"/>
                <w:szCs w:val="18"/>
              </w:rPr>
            </w:pPr>
            <w:r>
              <w:rPr>
                <w:rStyle w:val="41"/>
                <w:rFonts w:hint="default" w:ascii="Times New Roman" w:hAnsi="Times New Roman" w:cs="Times New Roman"/>
                <w:color w:val="auto"/>
                <w:sz w:val="18"/>
                <w:szCs w:val="18"/>
              </w:rPr>
              <w:t>地区生产总值（GDP）增长率（%）</w:t>
            </w:r>
          </w:p>
        </w:tc>
        <w:tc>
          <w:tcPr>
            <w:tcW w:w="1043" w:type="dxa"/>
            <w:tcMar>
              <w:top w:w="15" w:type="dxa"/>
              <w:left w:w="15" w:type="dxa"/>
              <w:right w:w="15" w:type="dxa"/>
            </w:tcMar>
            <w:vAlign w:val="center"/>
          </w:tcPr>
          <w:p w14:paraId="190E29C4">
            <w:pPr>
              <w:jc w:val="both"/>
              <w:rPr>
                <w:rFonts w:ascii="Times New Roman" w:hAnsi="Times New Roman" w:eastAsia="宋体" w:cs="Times New Roman"/>
                <w:sz w:val="18"/>
                <w:szCs w:val="18"/>
              </w:rPr>
            </w:pPr>
            <w:r>
              <w:rPr>
                <w:rFonts w:ascii="Times New Roman" w:hAnsi="Times New Roman" w:eastAsia="宋体" w:cs="Times New Roman"/>
                <w:sz w:val="18"/>
                <w:szCs w:val="18"/>
              </w:rPr>
              <w:t>1.1</w:t>
            </w:r>
          </w:p>
        </w:tc>
        <w:tc>
          <w:tcPr>
            <w:tcW w:w="1339" w:type="dxa"/>
            <w:tcMar>
              <w:top w:w="15" w:type="dxa"/>
              <w:left w:w="15" w:type="dxa"/>
              <w:right w:w="15" w:type="dxa"/>
            </w:tcMar>
            <w:vAlign w:val="center"/>
          </w:tcPr>
          <w:p w14:paraId="1DDEE2D7">
            <w:pPr>
              <w:jc w:val="both"/>
              <w:textAlignment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042" w:type="dxa"/>
            <w:tcMar>
              <w:top w:w="15" w:type="dxa"/>
              <w:left w:w="15" w:type="dxa"/>
              <w:right w:w="15" w:type="dxa"/>
            </w:tcMar>
            <w:vAlign w:val="center"/>
          </w:tcPr>
          <w:p w14:paraId="7A7F02C0">
            <w:pPr>
              <w:jc w:val="both"/>
              <w:textAlignment w:val="center"/>
              <w:rPr>
                <w:rFonts w:ascii="Times New Roman" w:hAnsi="Times New Roman" w:eastAsia="宋体" w:cs="Times New Roman"/>
                <w:sz w:val="18"/>
                <w:szCs w:val="18"/>
              </w:rPr>
            </w:pPr>
            <w:r>
              <w:rPr>
                <w:rFonts w:ascii="Times New Roman" w:hAnsi="Times New Roman" w:eastAsia="宋体" w:cs="Times New Roman"/>
                <w:sz w:val="18"/>
                <w:szCs w:val="18"/>
              </w:rPr>
              <w:t>&gt;1</w:t>
            </w:r>
            <w:r>
              <w:rPr>
                <w:rFonts w:hint="eastAsia" w:ascii="Times New Roman" w:hAnsi="Times New Roman" w:eastAsia="宋体" w:cs="Times New Roman"/>
                <w:sz w:val="18"/>
                <w:szCs w:val="18"/>
              </w:rPr>
              <w:t>3</w:t>
            </w:r>
          </w:p>
        </w:tc>
        <w:tc>
          <w:tcPr>
            <w:tcW w:w="1000" w:type="dxa"/>
            <w:tcMar>
              <w:top w:w="15" w:type="dxa"/>
              <w:left w:w="15" w:type="dxa"/>
              <w:right w:w="15" w:type="dxa"/>
            </w:tcMar>
            <w:vAlign w:val="center"/>
          </w:tcPr>
          <w:p w14:paraId="1EB88E21">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预期性</w:t>
            </w:r>
          </w:p>
        </w:tc>
      </w:tr>
      <w:tr w14:paraId="43044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tcMar>
              <w:top w:w="15" w:type="dxa"/>
              <w:left w:w="15" w:type="dxa"/>
              <w:right w:w="15" w:type="dxa"/>
            </w:tcMar>
            <w:vAlign w:val="center"/>
          </w:tcPr>
          <w:p w14:paraId="12795A7F">
            <w:pPr>
              <w:jc w:val="both"/>
              <w:textAlignment w:val="center"/>
              <w:rPr>
                <w:rFonts w:ascii="Times New Roman" w:hAnsi="Times New Roman" w:eastAsia="宋体" w:cs="Times New Roman"/>
                <w:kern w:val="0"/>
                <w:sz w:val="18"/>
                <w:szCs w:val="18"/>
              </w:rPr>
            </w:pPr>
            <w:r>
              <w:rPr>
                <w:rFonts w:ascii="Times New Roman" w:hAnsi="Times New Roman" w:cs="Times New Roman"/>
                <w:kern w:val="0"/>
                <w:sz w:val="18"/>
                <w:szCs w:val="18"/>
              </w:rPr>
              <w:t>2</w:t>
            </w:r>
          </w:p>
        </w:tc>
        <w:tc>
          <w:tcPr>
            <w:tcW w:w="3563" w:type="dxa"/>
            <w:tcMar>
              <w:top w:w="15" w:type="dxa"/>
              <w:left w:w="15" w:type="dxa"/>
              <w:right w:w="15" w:type="dxa"/>
            </w:tcMar>
            <w:vAlign w:val="center"/>
          </w:tcPr>
          <w:p w14:paraId="688AC603">
            <w:pPr>
              <w:jc w:val="both"/>
              <w:textAlignment w:val="center"/>
              <w:rPr>
                <w:rStyle w:val="42"/>
                <w:rFonts w:hint="default" w:ascii="Times New Roman" w:hAnsi="Times New Roman" w:cs="Times New Roman"/>
                <w:color w:val="auto"/>
                <w:sz w:val="18"/>
                <w:szCs w:val="18"/>
              </w:rPr>
            </w:pPr>
            <w:r>
              <w:rPr>
                <w:rStyle w:val="42"/>
                <w:rFonts w:hint="default" w:ascii="Times New Roman" w:hAnsi="Times New Roman" w:cs="Times New Roman"/>
                <w:color w:val="auto"/>
                <w:sz w:val="18"/>
                <w:szCs w:val="18"/>
              </w:rPr>
              <w:t>规上工业增加值增速（%）</w:t>
            </w:r>
          </w:p>
        </w:tc>
        <w:tc>
          <w:tcPr>
            <w:tcW w:w="1043" w:type="dxa"/>
            <w:tcMar>
              <w:top w:w="15" w:type="dxa"/>
              <w:left w:w="15" w:type="dxa"/>
              <w:right w:w="15" w:type="dxa"/>
            </w:tcMar>
            <w:vAlign w:val="center"/>
          </w:tcPr>
          <w:p w14:paraId="4DE58D75">
            <w:pPr>
              <w:jc w:val="both"/>
              <w:rPr>
                <w:rFonts w:ascii="Times New Roman" w:hAnsi="Times New Roman" w:eastAsia="宋体" w:cs="Times New Roman"/>
                <w:sz w:val="18"/>
                <w:szCs w:val="18"/>
              </w:rPr>
            </w:pPr>
            <w:r>
              <w:rPr>
                <w:rFonts w:ascii="Times New Roman" w:hAnsi="Times New Roman" w:eastAsia="宋体" w:cs="Times New Roman"/>
                <w:sz w:val="18"/>
                <w:szCs w:val="18"/>
              </w:rPr>
              <w:t>3.2</w:t>
            </w:r>
          </w:p>
        </w:tc>
        <w:tc>
          <w:tcPr>
            <w:tcW w:w="1339" w:type="dxa"/>
            <w:tcMar>
              <w:top w:w="15" w:type="dxa"/>
              <w:left w:w="15" w:type="dxa"/>
              <w:right w:w="15" w:type="dxa"/>
            </w:tcMar>
            <w:vAlign w:val="center"/>
          </w:tcPr>
          <w:p w14:paraId="62A4CD02">
            <w:pPr>
              <w:jc w:val="both"/>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042" w:type="dxa"/>
            <w:tcMar>
              <w:top w:w="15" w:type="dxa"/>
              <w:left w:w="15" w:type="dxa"/>
              <w:right w:w="15" w:type="dxa"/>
            </w:tcMar>
            <w:vAlign w:val="center"/>
          </w:tcPr>
          <w:p w14:paraId="3E118A19">
            <w:pPr>
              <w:jc w:val="both"/>
              <w:textAlignment w:val="center"/>
              <w:rPr>
                <w:rFonts w:ascii="Times New Roman" w:hAnsi="Times New Roman" w:eastAsia="宋体" w:cs="Times New Roman"/>
                <w:sz w:val="18"/>
                <w:szCs w:val="18"/>
              </w:rPr>
            </w:pPr>
            <w:r>
              <w:rPr>
                <w:rFonts w:ascii="Times New Roman" w:hAnsi="Times New Roman" w:eastAsia="宋体" w:cs="Times New Roman"/>
                <w:sz w:val="18"/>
                <w:szCs w:val="18"/>
              </w:rPr>
              <w:t>&gt;20</w:t>
            </w:r>
          </w:p>
        </w:tc>
        <w:tc>
          <w:tcPr>
            <w:tcW w:w="1000" w:type="dxa"/>
            <w:tcMar>
              <w:top w:w="15" w:type="dxa"/>
              <w:left w:w="15" w:type="dxa"/>
              <w:right w:w="15" w:type="dxa"/>
            </w:tcMar>
            <w:vAlign w:val="center"/>
          </w:tcPr>
          <w:p w14:paraId="15B39673">
            <w:pPr>
              <w:jc w:val="both"/>
              <w:textAlignment w:val="center"/>
              <w:rPr>
                <w:rStyle w:val="42"/>
                <w:rFonts w:hint="default" w:ascii="Times New Roman" w:hAnsi="Times New Roman" w:cs="Times New Roman"/>
                <w:color w:val="auto"/>
                <w:sz w:val="18"/>
                <w:szCs w:val="18"/>
              </w:rPr>
            </w:pPr>
            <w:r>
              <w:rPr>
                <w:rStyle w:val="42"/>
                <w:rFonts w:hint="default" w:ascii="Times New Roman" w:hAnsi="Times New Roman" w:cs="Times New Roman"/>
                <w:color w:val="auto"/>
                <w:sz w:val="18"/>
                <w:szCs w:val="18"/>
              </w:rPr>
              <w:t>预期性</w:t>
            </w:r>
          </w:p>
        </w:tc>
      </w:tr>
      <w:tr w14:paraId="273CF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tcMar>
              <w:top w:w="15" w:type="dxa"/>
              <w:left w:w="15" w:type="dxa"/>
              <w:right w:w="15" w:type="dxa"/>
            </w:tcMar>
            <w:vAlign w:val="center"/>
          </w:tcPr>
          <w:p w14:paraId="62D6E71A">
            <w:pPr>
              <w:jc w:val="both"/>
              <w:textAlignment w:val="center"/>
              <w:rPr>
                <w:rFonts w:ascii="Times New Roman" w:hAnsi="Times New Roman" w:cs="Times New Roman"/>
                <w:kern w:val="0"/>
                <w:sz w:val="18"/>
                <w:szCs w:val="18"/>
              </w:rPr>
            </w:pPr>
            <w:r>
              <w:rPr>
                <w:rFonts w:ascii="Times New Roman" w:hAnsi="Times New Roman" w:cs="Times New Roman"/>
                <w:kern w:val="0"/>
                <w:sz w:val="18"/>
                <w:szCs w:val="18"/>
              </w:rPr>
              <w:t>3</w:t>
            </w:r>
          </w:p>
        </w:tc>
        <w:tc>
          <w:tcPr>
            <w:tcW w:w="3563" w:type="dxa"/>
            <w:tcMar>
              <w:top w:w="15" w:type="dxa"/>
              <w:left w:w="15" w:type="dxa"/>
              <w:right w:w="15" w:type="dxa"/>
            </w:tcMar>
            <w:vAlign w:val="center"/>
          </w:tcPr>
          <w:p w14:paraId="0288C863">
            <w:pPr>
              <w:jc w:val="both"/>
              <w:textAlignment w:val="center"/>
              <w:rPr>
                <w:rStyle w:val="42"/>
                <w:rFonts w:hint="default" w:ascii="Times New Roman" w:hAnsi="Times New Roman" w:cs="Times New Roman"/>
                <w:color w:val="auto"/>
                <w:sz w:val="18"/>
                <w:szCs w:val="18"/>
              </w:rPr>
            </w:pPr>
            <w:r>
              <w:rPr>
                <w:rStyle w:val="42"/>
                <w:rFonts w:hint="default" w:ascii="Times New Roman" w:hAnsi="Times New Roman" w:cs="Times New Roman"/>
                <w:color w:val="auto"/>
                <w:sz w:val="18"/>
                <w:szCs w:val="18"/>
              </w:rPr>
              <w:t>服务业增加值占GDP的比重（%）</w:t>
            </w:r>
          </w:p>
        </w:tc>
        <w:tc>
          <w:tcPr>
            <w:tcW w:w="1043" w:type="dxa"/>
            <w:tcMar>
              <w:top w:w="15" w:type="dxa"/>
              <w:left w:w="15" w:type="dxa"/>
              <w:right w:w="15" w:type="dxa"/>
            </w:tcMar>
            <w:vAlign w:val="center"/>
          </w:tcPr>
          <w:p w14:paraId="599FB2FD">
            <w:pPr>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49.8</w:t>
            </w:r>
          </w:p>
        </w:tc>
        <w:tc>
          <w:tcPr>
            <w:tcW w:w="1339" w:type="dxa"/>
            <w:tcMar>
              <w:top w:w="15" w:type="dxa"/>
              <w:left w:w="15" w:type="dxa"/>
              <w:right w:w="15" w:type="dxa"/>
            </w:tcMar>
            <w:vAlign w:val="center"/>
          </w:tcPr>
          <w:p w14:paraId="18DB17B9">
            <w:pPr>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40</w:t>
            </w:r>
          </w:p>
        </w:tc>
        <w:tc>
          <w:tcPr>
            <w:tcW w:w="1042" w:type="dxa"/>
            <w:tcMar>
              <w:top w:w="15" w:type="dxa"/>
              <w:left w:w="15" w:type="dxa"/>
              <w:right w:w="15" w:type="dxa"/>
            </w:tcMar>
            <w:vAlign w:val="center"/>
          </w:tcPr>
          <w:p w14:paraId="25206327">
            <w:pPr>
              <w:jc w:val="both"/>
              <w:textAlignment w:val="center"/>
              <w:rPr>
                <w:rFonts w:ascii="Times New Roman" w:hAnsi="Times New Roman" w:eastAsia="宋体" w:cs="Times New Roman"/>
                <w:sz w:val="18"/>
                <w:szCs w:val="18"/>
              </w:rPr>
            </w:pPr>
          </w:p>
        </w:tc>
        <w:tc>
          <w:tcPr>
            <w:tcW w:w="1000" w:type="dxa"/>
            <w:tcMar>
              <w:top w:w="15" w:type="dxa"/>
              <w:left w:w="15" w:type="dxa"/>
              <w:right w:w="15" w:type="dxa"/>
            </w:tcMar>
            <w:vAlign w:val="center"/>
          </w:tcPr>
          <w:p w14:paraId="16C2EBA3">
            <w:pPr>
              <w:jc w:val="both"/>
              <w:textAlignment w:val="center"/>
              <w:rPr>
                <w:rStyle w:val="42"/>
                <w:rFonts w:hint="default" w:ascii="Times New Roman" w:hAnsi="Times New Roman" w:cs="Times New Roman"/>
                <w:color w:val="auto"/>
                <w:sz w:val="18"/>
                <w:szCs w:val="18"/>
              </w:rPr>
            </w:pPr>
            <w:r>
              <w:rPr>
                <w:rStyle w:val="42"/>
                <w:rFonts w:hint="default" w:ascii="Times New Roman" w:hAnsi="Times New Roman" w:cs="Times New Roman"/>
                <w:color w:val="auto"/>
                <w:sz w:val="18"/>
                <w:szCs w:val="18"/>
              </w:rPr>
              <w:t>预期性</w:t>
            </w:r>
          </w:p>
        </w:tc>
      </w:tr>
      <w:tr w14:paraId="28681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tcMar>
              <w:top w:w="15" w:type="dxa"/>
              <w:left w:w="15" w:type="dxa"/>
              <w:right w:w="15" w:type="dxa"/>
            </w:tcMar>
            <w:vAlign w:val="center"/>
          </w:tcPr>
          <w:p w14:paraId="09FC9C14">
            <w:pPr>
              <w:jc w:val="both"/>
              <w:textAlignment w:val="center"/>
              <w:rPr>
                <w:rFonts w:ascii="Times New Roman" w:hAnsi="Times New Roman" w:eastAsia="宋体" w:cs="Times New Roman"/>
                <w:sz w:val="18"/>
                <w:szCs w:val="18"/>
              </w:rPr>
            </w:pPr>
            <w:r>
              <w:rPr>
                <w:rFonts w:ascii="Times New Roman" w:hAnsi="Times New Roman" w:cs="Times New Roman"/>
                <w:kern w:val="0"/>
                <w:sz w:val="18"/>
                <w:szCs w:val="18"/>
              </w:rPr>
              <w:t>4</w:t>
            </w:r>
          </w:p>
        </w:tc>
        <w:tc>
          <w:tcPr>
            <w:tcW w:w="3563" w:type="dxa"/>
            <w:tcMar>
              <w:top w:w="15" w:type="dxa"/>
              <w:left w:w="15" w:type="dxa"/>
              <w:right w:w="15" w:type="dxa"/>
            </w:tcMar>
            <w:vAlign w:val="center"/>
          </w:tcPr>
          <w:p w14:paraId="32CE407A">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常住人口城镇化率（</w:t>
            </w:r>
            <w:r>
              <w:rPr>
                <w:rFonts w:ascii="Times New Roman" w:hAnsi="Times New Roman" w:eastAsia="宋体" w:cs="Times New Roman"/>
                <w:kern w:val="0"/>
                <w:sz w:val="18"/>
                <w:szCs w:val="18"/>
              </w:rPr>
              <w:t>%</w:t>
            </w:r>
            <w:r>
              <w:rPr>
                <w:rStyle w:val="42"/>
                <w:rFonts w:hint="default" w:ascii="Times New Roman" w:hAnsi="Times New Roman" w:cs="Times New Roman"/>
                <w:color w:val="auto"/>
                <w:sz w:val="18"/>
                <w:szCs w:val="18"/>
              </w:rPr>
              <w:t>）</w:t>
            </w:r>
          </w:p>
        </w:tc>
        <w:tc>
          <w:tcPr>
            <w:tcW w:w="1043" w:type="dxa"/>
            <w:tcMar>
              <w:top w:w="15" w:type="dxa"/>
              <w:left w:w="15" w:type="dxa"/>
              <w:right w:w="15" w:type="dxa"/>
            </w:tcMar>
            <w:vAlign w:val="center"/>
          </w:tcPr>
          <w:p w14:paraId="230A63AC">
            <w:pPr>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52</w:t>
            </w:r>
          </w:p>
        </w:tc>
        <w:tc>
          <w:tcPr>
            <w:tcW w:w="1339" w:type="dxa"/>
            <w:tcMar>
              <w:top w:w="15" w:type="dxa"/>
              <w:left w:w="15" w:type="dxa"/>
              <w:right w:w="15" w:type="dxa"/>
            </w:tcMar>
            <w:vAlign w:val="center"/>
          </w:tcPr>
          <w:p w14:paraId="1235679D">
            <w:pPr>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59</w:t>
            </w:r>
          </w:p>
        </w:tc>
        <w:tc>
          <w:tcPr>
            <w:tcW w:w="1042" w:type="dxa"/>
            <w:tcMar>
              <w:top w:w="15" w:type="dxa"/>
              <w:left w:w="15" w:type="dxa"/>
              <w:right w:w="15" w:type="dxa"/>
            </w:tcMar>
            <w:vAlign w:val="center"/>
          </w:tcPr>
          <w:p w14:paraId="2C105D6D">
            <w:pPr>
              <w:jc w:val="both"/>
              <w:textAlignment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000" w:type="dxa"/>
            <w:tcMar>
              <w:top w:w="15" w:type="dxa"/>
              <w:left w:w="15" w:type="dxa"/>
              <w:right w:w="15" w:type="dxa"/>
            </w:tcMar>
            <w:vAlign w:val="center"/>
          </w:tcPr>
          <w:p w14:paraId="0642B7FD">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预期性</w:t>
            </w:r>
          </w:p>
        </w:tc>
      </w:tr>
      <w:tr w14:paraId="3DBE4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tcMar>
              <w:top w:w="15" w:type="dxa"/>
              <w:left w:w="15" w:type="dxa"/>
              <w:right w:w="15" w:type="dxa"/>
            </w:tcMar>
            <w:vAlign w:val="center"/>
          </w:tcPr>
          <w:p w14:paraId="341C0BD6">
            <w:pPr>
              <w:jc w:val="both"/>
              <w:textAlignment w:val="center"/>
              <w:rPr>
                <w:rFonts w:ascii="Times New Roman" w:hAnsi="Times New Roman" w:eastAsia="宋体" w:cs="Times New Roman"/>
                <w:sz w:val="18"/>
                <w:szCs w:val="18"/>
              </w:rPr>
            </w:pPr>
            <w:r>
              <w:rPr>
                <w:rFonts w:ascii="Times New Roman" w:hAnsi="Times New Roman" w:cs="Times New Roman"/>
                <w:kern w:val="0"/>
                <w:sz w:val="18"/>
                <w:szCs w:val="18"/>
              </w:rPr>
              <w:t>5</w:t>
            </w:r>
          </w:p>
        </w:tc>
        <w:tc>
          <w:tcPr>
            <w:tcW w:w="3563" w:type="dxa"/>
            <w:tcMar>
              <w:top w:w="15" w:type="dxa"/>
              <w:left w:w="15" w:type="dxa"/>
              <w:right w:w="15" w:type="dxa"/>
            </w:tcMar>
            <w:vAlign w:val="center"/>
          </w:tcPr>
          <w:p w14:paraId="7B1A4053">
            <w:pPr>
              <w:jc w:val="both"/>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规上工业企业数量（户）</w:t>
            </w:r>
          </w:p>
        </w:tc>
        <w:tc>
          <w:tcPr>
            <w:tcW w:w="1043" w:type="dxa"/>
            <w:tcMar>
              <w:top w:w="15" w:type="dxa"/>
              <w:left w:w="15" w:type="dxa"/>
              <w:right w:w="15" w:type="dxa"/>
            </w:tcMar>
            <w:vAlign w:val="center"/>
          </w:tcPr>
          <w:p w14:paraId="49506C27">
            <w:pPr>
              <w:jc w:val="both"/>
              <w:rPr>
                <w:rFonts w:ascii="Times New Roman" w:hAnsi="Times New Roman" w:eastAsia="宋体" w:cs="Times New Roman"/>
                <w:sz w:val="18"/>
                <w:szCs w:val="18"/>
              </w:rPr>
            </w:pPr>
            <w:r>
              <w:rPr>
                <w:rFonts w:ascii="Times New Roman" w:hAnsi="Times New Roman" w:eastAsia="宋体" w:cs="Times New Roman"/>
                <w:sz w:val="18"/>
                <w:szCs w:val="18"/>
              </w:rPr>
              <w:t>52</w:t>
            </w:r>
          </w:p>
        </w:tc>
        <w:tc>
          <w:tcPr>
            <w:tcW w:w="1339" w:type="dxa"/>
            <w:tcMar>
              <w:top w:w="15" w:type="dxa"/>
              <w:left w:w="15" w:type="dxa"/>
              <w:right w:w="15" w:type="dxa"/>
            </w:tcMar>
            <w:vAlign w:val="center"/>
          </w:tcPr>
          <w:p w14:paraId="76FC3BE3">
            <w:pPr>
              <w:jc w:val="both"/>
              <w:rPr>
                <w:rFonts w:ascii="Times New Roman" w:hAnsi="Times New Roman" w:eastAsia="宋体" w:cs="Times New Roman"/>
                <w:sz w:val="18"/>
                <w:szCs w:val="18"/>
              </w:rPr>
            </w:pPr>
            <w:r>
              <w:rPr>
                <w:rFonts w:ascii="Times New Roman" w:hAnsi="Times New Roman" w:eastAsia="宋体" w:cs="Times New Roman"/>
                <w:sz w:val="18"/>
                <w:szCs w:val="18"/>
              </w:rPr>
              <w:t>102</w:t>
            </w:r>
          </w:p>
        </w:tc>
        <w:tc>
          <w:tcPr>
            <w:tcW w:w="1042" w:type="dxa"/>
            <w:tcMar>
              <w:top w:w="15" w:type="dxa"/>
              <w:left w:w="15" w:type="dxa"/>
              <w:right w:w="15" w:type="dxa"/>
            </w:tcMar>
            <w:vAlign w:val="center"/>
          </w:tcPr>
          <w:p w14:paraId="7797A8B5">
            <w:pPr>
              <w:jc w:val="both"/>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10</w:t>
            </w:r>
          </w:p>
        </w:tc>
        <w:tc>
          <w:tcPr>
            <w:tcW w:w="1000" w:type="dxa"/>
            <w:tcMar>
              <w:top w:w="15" w:type="dxa"/>
              <w:left w:w="15" w:type="dxa"/>
              <w:right w:w="15" w:type="dxa"/>
            </w:tcMar>
            <w:vAlign w:val="center"/>
          </w:tcPr>
          <w:p w14:paraId="3CAB1F62">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预期性</w:t>
            </w:r>
          </w:p>
        </w:tc>
      </w:tr>
      <w:tr w14:paraId="50A28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tcMar>
              <w:top w:w="15" w:type="dxa"/>
              <w:left w:w="15" w:type="dxa"/>
              <w:right w:w="15" w:type="dxa"/>
            </w:tcMar>
            <w:vAlign w:val="center"/>
          </w:tcPr>
          <w:p w14:paraId="0ACBF67F">
            <w:pPr>
              <w:jc w:val="both"/>
              <w:textAlignment w:val="center"/>
              <w:rPr>
                <w:rFonts w:ascii="Times New Roman" w:hAnsi="Times New Roman" w:eastAsia="宋体" w:cs="Times New Roman"/>
                <w:sz w:val="18"/>
                <w:szCs w:val="18"/>
              </w:rPr>
            </w:pPr>
            <w:r>
              <w:rPr>
                <w:rFonts w:ascii="Times New Roman" w:hAnsi="Times New Roman" w:cs="Times New Roman"/>
                <w:kern w:val="0"/>
                <w:sz w:val="18"/>
                <w:szCs w:val="18"/>
              </w:rPr>
              <w:t>6</w:t>
            </w:r>
          </w:p>
        </w:tc>
        <w:tc>
          <w:tcPr>
            <w:tcW w:w="3563" w:type="dxa"/>
            <w:tcMar>
              <w:top w:w="15" w:type="dxa"/>
              <w:left w:w="15" w:type="dxa"/>
              <w:right w:w="15" w:type="dxa"/>
            </w:tcMar>
            <w:vAlign w:val="center"/>
          </w:tcPr>
          <w:p w14:paraId="7046A3F1">
            <w:pPr>
              <w:jc w:val="both"/>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工业增加值占GDP比重（%）</w:t>
            </w:r>
          </w:p>
        </w:tc>
        <w:tc>
          <w:tcPr>
            <w:tcW w:w="1043" w:type="dxa"/>
            <w:tcMar>
              <w:top w:w="15" w:type="dxa"/>
              <w:left w:w="15" w:type="dxa"/>
              <w:right w:w="15" w:type="dxa"/>
            </w:tcMar>
            <w:vAlign w:val="center"/>
          </w:tcPr>
          <w:p w14:paraId="2769933D">
            <w:pPr>
              <w:jc w:val="both"/>
              <w:rPr>
                <w:rFonts w:ascii="Times New Roman" w:hAnsi="Times New Roman" w:eastAsia="宋体" w:cs="Times New Roman"/>
                <w:sz w:val="18"/>
                <w:szCs w:val="18"/>
              </w:rPr>
            </w:pPr>
            <w:r>
              <w:rPr>
                <w:rFonts w:ascii="Times New Roman" w:hAnsi="Times New Roman" w:eastAsia="宋体" w:cs="Times New Roman"/>
                <w:sz w:val="18"/>
                <w:szCs w:val="18"/>
              </w:rPr>
              <w:t>14.9</w:t>
            </w:r>
          </w:p>
        </w:tc>
        <w:tc>
          <w:tcPr>
            <w:tcW w:w="1339" w:type="dxa"/>
            <w:tcMar>
              <w:top w:w="15" w:type="dxa"/>
              <w:left w:w="15" w:type="dxa"/>
              <w:right w:w="15" w:type="dxa"/>
            </w:tcMar>
            <w:vAlign w:val="center"/>
          </w:tcPr>
          <w:p w14:paraId="50D501FA">
            <w:pPr>
              <w:jc w:val="both"/>
              <w:rPr>
                <w:rFonts w:ascii="Times New Roman" w:hAnsi="Times New Roman" w:eastAsia="宋体" w:cs="Times New Roman"/>
                <w:sz w:val="18"/>
                <w:szCs w:val="18"/>
              </w:rPr>
            </w:pPr>
            <w:r>
              <w:rPr>
                <w:rFonts w:ascii="Times New Roman" w:hAnsi="Times New Roman" w:eastAsia="宋体" w:cs="Times New Roman"/>
                <w:sz w:val="18"/>
                <w:szCs w:val="18"/>
              </w:rPr>
              <w:t>30</w:t>
            </w:r>
          </w:p>
        </w:tc>
        <w:tc>
          <w:tcPr>
            <w:tcW w:w="1042" w:type="dxa"/>
            <w:tcMar>
              <w:top w:w="15" w:type="dxa"/>
              <w:left w:w="15" w:type="dxa"/>
              <w:right w:w="15" w:type="dxa"/>
            </w:tcMar>
            <w:vAlign w:val="center"/>
          </w:tcPr>
          <w:p w14:paraId="73FF4C0D">
            <w:pPr>
              <w:jc w:val="both"/>
              <w:textAlignment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000" w:type="dxa"/>
            <w:tcMar>
              <w:top w:w="15" w:type="dxa"/>
              <w:left w:w="15" w:type="dxa"/>
              <w:right w:w="15" w:type="dxa"/>
            </w:tcMar>
            <w:vAlign w:val="center"/>
          </w:tcPr>
          <w:p w14:paraId="7DF8EF30">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预期性</w:t>
            </w:r>
          </w:p>
        </w:tc>
      </w:tr>
      <w:tr w14:paraId="079F6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tcMar>
              <w:top w:w="15" w:type="dxa"/>
              <w:left w:w="15" w:type="dxa"/>
              <w:right w:w="15" w:type="dxa"/>
            </w:tcMar>
            <w:vAlign w:val="center"/>
          </w:tcPr>
          <w:p w14:paraId="5414CE3E">
            <w:pPr>
              <w:jc w:val="both"/>
              <w:textAlignment w:val="center"/>
              <w:rPr>
                <w:rFonts w:ascii="Times New Roman" w:hAnsi="Times New Roman" w:eastAsia="宋体" w:cs="Times New Roman"/>
                <w:sz w:val="18"/>
                <w:szCs w:val="18"/>
              </w:rPr>
            </w:pPr>
            <w:r>
              <w:rPr>
                <w:rFonts w:ascii="Times New Roman" w:hAnsi="Times New Roman" w:cs="Times New Roman"/>
                <w:kern w:val="0"/>
                <w:sz w:val="18"/>
                <w:szCs w:val="18"/>
              </w:rPr>
              <w:t>7</w:t>
            </w:r>
          </w:p>
        </w:tc>
        <w:tc>
          <w:tcPr>
            <w:tcW w:w="3563" w:type="dxa"/>
            <w:tcMar>
              <w:top w:w="15" w:type="dxa"/>
              <w:left w:w="15" w:type="dxa"/>
              <w:right w:w="15" w:type="dxa"/>
            </w:tcMar>
            <w:vAlign w:val="center"/>
          </w:tcPr>
          <w:p w14:paraId="3D29E49D">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战略性新兴产业增加值占</w:t>
            </w:r>
            <w:r>
              <w:rPr>
                <w:rFonts w:ascii="Times New Roman" w:hAnsi="Times New Roman" w:eastAsia="宋体" w:cs="Times New Roman"/>
                <w:kern w:val="0"/>
                <w:sz w:val="18"/>
                <w:szCs w:val="18"/>
              </w:rPr>
              <w:t>GDP</w:t>
            </w:r>
            <w:r>
              <w:rPr>
                <w:rStyle w:val="42"/>
                <w:rFonts w:hint="default" w:ascii="Times New Roman" w:hAnsi="Times New Roman" w:cs="Times New Roman"/>
                <w:color w:val="auto"/>
                <w:sz w:val="18"/>
                <w:szCs w:val="18"/>
              </w:rPr>
              <w:t>比重（</w:t>
            </w:r>
            <w:r>
              <w:rPr>
                <w:rFonts w:ascii="Times New Roman" w:hAnsi="Times New Roman" w:eastAsia="宋体" w:cs="Times New Roman"/>
                <w:kern w:val="0"/>
                <w:sz w:val="18"/>
                <w:szCs w:val="18"/>
              </w:rPr>
              <w:t>%</w:t>
            </w:r>
            <w:r>
              <w:rPr>
                <w:rStyle w:val="42"/>
                <w:rFonts w:hint="default" w:ascii="Times New Roman" w:hAnsi="Times New Roman" w:cs="Times New Roman"/>
                <w:color w:val="auto"/>
                <w:sz w:val="18"/>
                <w:szCs w:val="18"/>
              </w:rPr>
              <w:t>）</w:t>
            </w:r>
          </w:p>
        </w:tc>
        <w:tc>
          <w:tcPr>
            <w:tcW w:w="1043" w:type="dxa"/>
            <w:tcMar>
              <w:top w:w="15" w:type="dxa"/>
              <w:left w:w="15" w:type="dxa"/>
              <w:right w:w="15" w:type="dxa"/>
            </w:tcMar>
            <w:vAlign w:val="center"/>
          </w:tcPr>
          <w:p w14:paraId="4408A39C">
            <w:pPr>
              <w:jc w:val="both"/>
              <w:rPr>
                <w:rFonts w:ascii="Times New Roman" w:hAnsi="Times New Roman" w:eastAsia="宋体" w:cs="Times New Roman"/>
                <w:sz w:val="18"/>
                <w:szCs w:val="18"/>
              </w:rPr>
            </w:pPr>
          </w:p>
        </w:tc>
        <w:tc>
          <w:tcPr>
            <w:tcW w:w="1339" w:type="dxa"/>
            <w:tcMar>
              <w:top w:w="15" w:type="dxa"/>
              <w:left w:w="15" w:type="dxa"/>
              <w:right w:w="15" w:type="dxa"/>
            </w:tcMar>
            <w:vAlign w:val="center"/>
          </w:tcPr>
          <w:p w14:paraId="2314F59E">
            <w:pPr>
              <w:jc w:val="both"/>
              <w:rPr>
                <w:rFonts w:ascii="Times New Roman" w:hAnsi="Times New Roman" w:eastAsia="宋体" w:cs="Times New Roman"/>
                <w:sz w:val="18"/>
                <w:szCs w:val="18"/>
              </w:rPr>
            </w:pPr>
            <w:r>
              <w:rPr>
                <w:rFonts w:ascii="Times New Roman" w:hAnsi="Times New Roman" w:eastAsia="宋体" w:cs="Times New Roman"/>
                <w:sz w:val="18"/>
                <w:szCs w:val="18"/>
              </w:rPr>
              <w:t>完成下达任务</w:t>
            </w:r>
          </w:p>
        </w:tc>
        <w:tc>
          <w:tcPr>
            <w:tcW w:w="1042" w:type="dxa"/>
            <w:tcMar>
              <w:top w:w="15" w:type="dxa"/>
              <w:left w:w="15" w:type="dxa"/>
              <w:right w:w="15" w:type="dxa"/>
            </w:tcMar>
            <w:vAlign w:val="center"/>
          </w:tcPr>
          <w:p w14:paraId="738D4F69">
            <w:pPr>
              <w:jc w:val="both"/>
              <w:textAlignment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000" w:type="dxa"/>
            <w:tcMar>
              <w:top w:w="15" w:type="dxa"/>
              <w:left w:w="15" w:type="dxa"/>
              <w:right w:w="15" w:type="dxa"/>
            </w:tcMar>
            <w:vAlign w:val="center"/>
          </w:tcPr>
          <w:p w14:paraId="1303FB9A">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预期性</w:t>
            </w:r>
          </w:p>
        </w:tc>
      </w:tr>
      <w:tr w14:paraId="22B34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8760" w:type="dxa"/>
            <w:gridSpan w:val="6"/>
            <w:tcMar>
              <w:top w:w="15" w:type="dxa"/>
              <w:left w:w="15" w:type="dxa"/>
              <w:right w:w="15" w:type="dxa"/>
            </w:tcMar>
            <w:vAlign w:val="center"/>
          </w:tcPr>
          <w:p w14:paraId="425FFC34">
            <w:pPr>
              <w:jc w:val="both"/>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二、创新驱动（4个）</w:t>
            </w:r>
          </w:p>
        </w:tc>
      </w:tr>
      <w:tr w14:paraId="68E73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tcMar>
              <w:top w:w="15" w:type="dxa"/>
              <w:left w:w="15" w:type="dxa"/>
              <w:right w:w="15" w:type="dxa"/>
            </w:tcMar>
            <w:vAlign w:val="center"/>
          </w:tcPr>
          <w:p w14:paraId="67F6DD27">
            <w:pPr>
              <w:jc w:val="both"/>
              <w:textAlignment w:val="center"/>
              <w:rPr>
                <w:rFonts w:ascii="Times New Roman" w:hAnsi="Times New Roman" w:eastAsia="宋体" w:cs="Times New Roman"/>
                <w:sz w:val="18"/>
                <w:szCs w:val="18"/>
              </w:rPr>
            </w:pPr>
            <w:r>
              <w:rPr>
                <w:rFonts w:ascii="Times New Roman" w:hAnsi="Times New Roman" w:cs="Times New Roman"/>
                <w:sz w:val="18"/>
                <w:szCs w:val="18"/>
              </w:rPr>
              <w:t>8</w:t>
            </w:r>
          </w:p>
        </w:tc>
        <w:tc>
          <w:tcPr>
            <w:tcW w:w="3563" w:type="dxa"/>
            <w:tcMar>
              <w:top w:w="15" w:type="dxa"/>
              <w:left w:w="15" w:type="dxa"/>
              <w:right w:w="15" w:type="dxa"/>
            </w:tcMar>
            <w:vAlign w:val="center"/>
          </w:tcPr>
          <w:p w14:paraId="00D47A70">
            <w:pPr>
              <w:jc w:val="both"/>
              <w:textAlignment w:val="center"/>
              <w:rPr>
                <w:rFonts w:ascii="Times New Roman" w:hAnsi="Times New Roman" w:eastAsia="宋体" w:cs="Times New Roman"/>
                <w:sz w:val="18"/>
                <w:szCs w:val="18"/>
              </w:rPr>
            </w:pPr>
            <w:r>
              <w:rPr>
                <w:rStyle w:val="41"/>
                <w:rFonts w:hint="default" w:ascii="Times New Roman" w:hAnsi="Times New Roman" w:cs="Times New Roman"/>
                <w:color w:val="auto"/>
                <w:sz w:val="18"/>
                <w:szCs w:val="18"/>
              </w:rPr>
              <w:t>研发经费投入增长</w:t>
            </w:r>
            <w:r>
              <w:rPr>
                <w:rStyle w:val="43"/>
                <w:rFonts w:eastAsia="宋体"/>
                <w:color w:val="auto"/>
                <w:sz w:val="18"/>
                <w:szCs w:val="18"/>
              </w:rPr>
              <w:t>(%)</w:t>
            </w:r>
          </w:p>
        </w:tc>
        <w:tc>
          <w:tcPr>
            <w:tcW w:w="1043" w:type="dxa"/>
            <w:tcMar>
              <w:top w:w="15" w:type="dxa"/>
              <w:left w:w="15" w:type="dxa"/>
              <w:right w:w="15" w:type="dxa"/>
            </w:tcMar>
            <w:vAlign w:val="center"/>
          </w:tcPr>
          <w:p w14:paraId="45891881">
            <w:pPr>
              <w:jc w:val="both"/>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1339" w:type="dxa"/>
            <w:tcMar>
              <w:top w:w="15" w:type="dxa"/>
              <w:left w:w="15" w:type="dxa"/>
              <w:right w:w="15" w:type="dxa"/>
            </w:tcMar>
            <w:vAlign w:val="center"/>
          </w:tcPr>
          <w:p w14:paraId="05F23FF2">
            <w:pPr>
              <w:jc w:val="both"/>
              <w:textAlignment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042" w:type="dxa"/>
            <w:tcMar>
              <w:top w:w="15" w:type="dxa"/>
              <w:left w:w="15" w:type="dxa"/>
              <w:right w:w="15" w:type="dxa"/>
            </w:tcMar>
            <w:vAlign w:val="center"/>
          </w:tcPr>
          <w:p w14:paraId="3BF63ACE">
            <w:pPr>
              <w:jc w:val="both"/>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1000" w:type="dxa"/>
            <w:tcMar>
              <w:top w:w="15" w:type="dxa"/>
              <w:left w:w="15" w:type="dxa"/>
              <w:right w:w="15" w:type="dxa"/>
            </w:tcMar>
            <w:vAlign w:val="center"/>
          </w:tcPr>
          <w:p w14:paraId="31364736">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预期性</w:t>
            </w:r>
          </w:p>
        </w:tc>
      </w:tr>
      <w:tr w14:paraId="5C6C6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7" w:hRule="atLeast"/>
          <w:jc w:val="center"/>
        </w:trPr>
        <w:tc>
          <w:tcPr>
            <w:tcW w:w="773" w:type="dxa"/>
            <w:tcMar>
              <w:top w:w="15" w:type="dxa"/>
              <w:left w:w="15" w:type="dxa"/>
              <w:right w:w="15" w:type="dxa"/>
            </w:tcMar>
            <w:vAlign w:val="center"/>
          </w:tcPr>
          <w:p w14:paraId="38FBC04F">
            <w:pPr>
              <w:jc w:val="both"/>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9</w:t>
            </w:r>
          </w:p>
        </w:tc>
        <w:tc>
          <w:tcPr>
            <w:tcW w:w="3563" w:type="dxa"/>
            <w:tcMar>
              <w:top w:w="15" w:type="dxa"/>
              <w:left w:w="15" w:type="dxa"/>
              <w:right w:w="15" w:type="dxa"/>
            </w:tcMar>
            <w:vAlign w:val="center"/>
          </w:tcPr>
          <w:p w14:paraId="3A1FDE64">
            <w:pPr>
              <w:jc w:val="both"/>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重点实验室（国家级/省级）</w:t>
            </w:r>
            <w:r>
              <w:rPr>
                <w:rStyle w:val="43"/>
                <w:rFonts w:eastAsia="宋体"/>
                <w:color w:val="auto"/>
                <w:sz w:val="18"/>
                <w:szCs w:val="18"/>
              </w:rPr>
              <w:t>/</w:t>
            </w:r>
            <w:r>
              <w:rPr>
                <w:rFonts w:ascii="Times New Roman" w:hAnsi="Times New Roman" w:eastAsia="宋体" w:cs="Times New Roman"/>
                <w:kern w:val="0"/>
                <w:sz w:val="18"/>
                <w:szCs w:val="18"/>
              </w:rPr>
              <w:t>技术创新中心（国家级/省级）</w:t>
            </w:r>
            <w:r>
              <w:rPr>
                <w:rStyle w:val="43"/>
                <w:rFonts w:eastAsia="宋体"/>
                <w:color w:val="auto"/>
                <w:sz w:val="18"/>
                <w:szCs w:val="18"/>
              </w:rPr>
              <w:t>/</w:t>
            </w:r>
            <w:r>
              <w:rPr>
                <w:rFonts w:ascii="Times New Roman" w:hAnsi="Times New Roman" w:eastAsia="宋体" w:cs="Times New Roman"/>
                <w:kern w:val="0"/>
                <w:sz w:val="18"/>
                <w:szCs w:val="18"/>
              </w:rPr>
              <w:t>工程研究中心（国家级/省级）(个)</w:t>
            </w:r>
          </w:p>
        </w:tc>
        <w:tc>
          <w:tcPr>
            <w:tcW w:w="1043" w:type="dxa"/>
            <w:tcMar>
              <w:top w:w="15" w:type="dxa"/>
              <w:left w:w="15" w:type="dxa"/>
              <w:right w:w="15" w:type="dxa"/>
            </w:tcMar>
            <w:vAlign w:val="center"/>
          </w:tcPr>
          <w:p w14:paraId="34AB0D29">
            <w:pPr>
              <w:jc w:val="both"/>
              <w:rPr>
                <w:rFonts w:ascii="Times New Roman" w:hAnsi="Times New Roman" w:eastAsia="宋体" w:cs="Times New Roman"/>
                <w:sz w:val="18"/>
                <w:szCs w:val="18"/>
              </w:rPr>
            </w:pPr>
            <w:r>
              <w:rPr>
                <w:rStyle w:val="43"/>
                <w:rFonts w:eastAsia="宋体"/>
                <w:color w:val="auto"/>
                <w:sz w:val="18"/>
                <w:szCs w:val="18"/>
              </w:rPr>
              <w:t>（0/1）/（0/0）/（0/1）</w:t>
            </w:r>
          </w:p>
        </w:tc>
        <w:tc>
          <w:tcPr>
            <w:tcW w:w="1339" w:type="dxa"/>
            <w:tcMar>
              <w:top w:w="15" w:type="dxa"/>
              <w:left w:w="15" w:type="dxa"/>
              <w:right w:w="15" w:type="dxa"/>
            </w:tcMar>
            <w:vAlign w:val="center"/>
          </w:tcPr>
          <w:p w14:paraId="692EE7E5">
            <w:pPr>
              <w:pStyle w:val="17"/>
              <w:ind w:firstLine="0"/>
              <w:jc w:val="both"/>
              <w:rPr>
                <w:rFonts w:ascii="Times New Roman" w:hAnsi="Times New Roman"/>
                <w:sz w:val="18"/>
                <w:szCs w:val="18"/>
              </w:rPr>
            </w:pPr>
            <w:r>
              <w:rPr>
                <w:rStyle w:val="43"/>
                <w:color w:val="auto"/>
                <w:sz w:val="18"/>
                <w:szCs w:val="18"/>
              </w:rPr>
              <w:t>（</w:t>
            </w:r>
            <w:r>
              <w:rPr>
                <w:rStyle w:val="43"/>
                <w:rFonts w:hint="eastAsia"/>
                <w:color w:val="auto"/>
                <w:sz w:val="18"/>
                <w:szCs w:val="18"/>
              </w:rPr>
              <w:t>1</w:t>
            </w:r>
            <w:r>
              <w:rPr>
                <w:rStyle w:val="43"/>
                <w:color w:val="auto"/>
                <w:sz w:val="18"/>
                <w:szCs w:val="18"/>
              </w:rPr>
              <w:t>/2）/（1/0）/（0/</w:t>
            </w:r>
            <w:r>
              <w:rPr>
                <w:rStyle w:val="43"/>
                <w:rFonts w:hint="eastAsia"/>
                <w:color w:val="auto"/>
                <w:sz w:val="18"/>
                <w:szCs w:val="18"/>
              </w:rPr>
              <w:t>2</w:t>
            </w:r>
            <w:r>
              <w:rPr>
                <w:rStyle w:val="43"/>
                <w:color w:val="auto"/>
                <w:sz w:val="18"/>
                <w:szCs w:val="18"/>
              </w:rPr>
              <w:t>）</w:t>
            </w:r>
          </w:p>
        </w:tc>
        <w:tc>
          <w:tcPr>
            <w:tcW w:w="1042" w:type="dxa"/>
            <w:tcMar>
              <w:top w:w="15" w:type="dxa"/>
              <w:left w:w="15" w:type="dxa"/>
              <w:right w:w="15" w:type="dxa"/>
            </w:tcMar>
            <w:vAlign w:val="center"/>
          </w:tcPr>
          <w:p w14:paraId="70BC887F">
            <w:pPr>
              <w:jc w:val="both"/>
              <w:textAlignment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000" w:type="dxa"/>
            <w:tcMar>
              <w:top w:w="15" w:type="dxa"/>
              <w:left w:w="15" w:type="dxa"/>
              <w:right w:w="15" w:type="dxa"/>
            </w:tcMar>
            <w:vAlign w:val="center"/>
          </w:tcPr>
          <w:p w14:paraId="117257B3">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预期性</w:t>
            </w:r>
          </w:p>
        </w:tc>
      </w:tr>
      <w:tr w14:paraId="47B6D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tcMar>
              <w:top w:w="15" w:type="dxa"/>
              <w:left w:w="15" w:type="dxa"/>
              <w:right w:w="15" w:type="dxa"/>
            </w:tcMar>
            <w:vAlign w:val="center"/>
          </w:tcPr>
          <w:p w14:paraId="388E03D7">
            <w:pPr>
              <w:jc w:val="both"/>
              <w:textAlignment w:val="center"/>
              <w:rPr>
                <w:rFonts w:ascii="Times New Roman" w:hAnsi="Times New Roman" w:cs="Times New Roman"/>
                <w:kern w:val="0"/>
                <w:sz w:val="18"/>
                <w:szCs w:val="18"/>
              </w:rPr>
            </w:pPr>
            <w:r>
              <w:rPr>
                <w:rFonts w:ascii="Times New Roman" w:hAnsi="Times New Roman" w:cs="Times New Roman"/>
                <w:kern w:val="0"/>
                <w:sz w:val="18"/>
                <w:szCs w:val="18"/>
              </w:rPr>
              <w:t>10</w:t>
            </w:r>
          </w:p>
        </w:tc>
        <w:tc>
          <w:tcPr>
            <w:tcW w:w="3563" w:type="dxa"/>
            <w:tcMar>
              <w:top w:w="15" w:type="dxa"/>
              <w:left w:w="15" w:type="dxa"/>
              <w:right w:w="15" w:type="dxa"/>
            </w:tcMar>
            <w:vAlign w:val="center"/>
          </w:tcPr>
          <w:p w14:paraId="550918C6">
            <w:pPr>
              <w:jc w:val="both"/>
              <w:textAlignment w:val="center"/>
              <w:rPr>
                <w:rStyle w:val="42"/>
                <w:rFonts w:hint="default" w:ascii="Times New Roman" w:hAnsi="Times New Roman" w:cs="Times New Roman"/>
                <w:color w:val="auto"/>
                <w:sz w:val="18"/>
                <w:szCs w:val="18"/>
              </w:rPr>
            </w:pPr>
            <w:r>
              <w:rPr>
                <w:rStyle w:val="42"/>
                <w:rFonts w:hint="default" w:ascii="Times New Roman" w:hAnsi="Times New Roman" w:cs="Times New Roman"/>
                <w:color w:val="auto"/>
                <w:sz w:val="18"/>
                <w:szCs w:val="18"/>
              </w:rPr>
              <w:t>高技术制造业投资增速（</w:t>
            </w:r>
            <w:r>
              <w:rPr>
                <w:rFonts w:ascii="Times New Roman" w:hAnsi="Times New Roman" w:eastAsia="宋体" w:cs="Times New Roman"/>
                <w:kern w:val="0"/>
                <w:sz w:val="18"/>
                <w:szCs w:val="18"/>
              </w:rPr>
              <w:t>%</w:t>
            </w:r>
            <w:r>
              <w:rPr>
                <w:rStyle w:val="42"/>
                <w:rFonts w:hint="default" w:ascii="Times New Roman" w:hAnsi="Times New Roman" w:cs="Times New Roman"/>
                <w:color w:val="auto"/>
                <w:sz w:val="18"/>
                <w:szCs w:val="18"/>
              </w:rPr>
              <w:t>）</w:t>
            </w:r>
          </w:p>
        </w:tc>
        <w:tc>
          <w:tcPr>
            <w:tcW w:w="1043" w:type="dxa"/>
            <w:tcMar>
              <w:top w:w="15" w:type="dxa"/>
              <w:left w:w="15" w:type="dxa"/>
              <w:right w:w="15" w:type="dxa"/>
            </w:tcMar>
            <w:vAlign w:val="center"/>
          </w:tcPr>
          <w:p w14:paraId="19D6B175">
            <w:pPr>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339" w:type="dxa"/>
            <w:tcMar>
              <w:top w:w="15" w:type="dxa"/>
              <w:left w:w="15" w:type="dxa"/>
              <w:right w:w="15" w:type="dxa"/>
            </w:tcMar>
            <w:vAlign w:val="center"/>
          </w:tcPr>
          <w:p w14:paraId="027D2564">
            <w:pPr>
              <w:jc w:val="both"/>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042" w:type="dxa"/>
            <w:tcMar>
              <w:top w:w="15" w:type="dxa"/>
              <w:left w:w="15" w:type="dxa"/>
              <w:right w:w="15" w:type="dxa"/>
            </w:tcMar>
            <w:vAlign w:val="center"/>
          </w:tcPr>
          <w:p w14:paraId="43AC3EC1">
            <w:pPr>
              <w:jc w:val="both"/>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18</w:t>
            </w:r>
          </w:p>
        </w:tc>
        <w:tc>
          <w:tcPr>
            <w:tcW w:w="1000" w:type="dxa"/>
            <w:tcMar>
              <w:top w:w="15" w:type="dxa"/>
              <w:left w:w="15" w:type="dxa"/>
              <w:right w:w="15" w:type="dxa"/>
            </w:tcMar>
            <w:vAlign w:val="center"/>
          </w:tcPr>
          <w:p w14:paraId="585C0A88">
            <w:pPr>
              <w:jc w:val="both"/>
              <w:textAlignment w:val="center"/>
              <w:rPr>
                <w:rStyle w:val="42"/>
                <w:rFonts w:hint="default" w:ascii="Times New Roman" w:hAnsi="Times New Roman" w:cs="Times New Roman"/>
                <w:color w:val="auto"/>
                <w:sz w:val="18"/>
                <w:szCs w:val="18"/>
              </w:rPr>
            </w:pPr>
            <w:r>
              <w:rPr>
                <w:rStyle w:val="42"/>
                <w:rFonts w:hint="default" w:ascii="Times New Roman" w:hAnsi="Times New Roman" w:cs="Times New Roman"/>
                <w:color w:val="auto"/>
                <w:sz w:val="18"/>
                <w:szCs w:val="18"/>
              </w:rPr>
              <w:t>预期性</w:t>
            </w:r>
          </w:p>
        </w:tc>
      </w:tr>
      <w:tr w14:paraId="29C6A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tcMar>
              <w:top w:w="15" w:type="dxa"/>
              <w:left w:w="15" w:type="dxa"/>
              <w:right w:w="15" w:type="dxa"/>
            </w:tcMar>
            <w:vAlign w:val="center"/>
          </w:tcPr>
          <w:p w14:paraId="2D2877E4">
            <w:pPr>
              <w:jc w:val="both"/>
              <w:textAlignment w:val="center"/>
              <w:rPr>
                <w:rFonts w:ascii="Times New Roman" w:hAnsi="Times New Roman" w:cs="Times New Roman"/>
                <w:sz w:val="18"/>
                <w:szCs w:val="18"/>
              </w:rPr>
            </w:pPr>
            <w:r>
              <w:rPr>
                <w:rFonts w:ascii="Times New Roman" w:hAnsi="Times New Roman" w:cs="Times New Roman"/>
                <w:kern w:val="0"/>
                <w:sz w:val="18"/>
                <w:szCs w:val="18"/>
              </w:rPr>
              <w:t>11</w:t>
            </w:r>
          </w:p>
        </w:tc>
        <w:tc>
          <w:tcPr>
            <w:tcW w:w="3563" w:type="dxa"/>
            <w:tcMar>
              <w:top w:w="15" w:type="dxa"/>
              <w:left w:w="15" w:type="dxa"/>
              <w:right w:w="15" w:type="dxa"/>
            </w:tcMar>
            <w:vAlign w:val="center"/>
          </w:tcPr>
          <w:p w14:paraId="1B149817">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高技术制造业增加值增速（</w:t>
            </w:r>
            <w:r>
              <w:rPr>
                <w:rFonts w:ascii="Times New Roman" w:hAnsi="Times New Roman" w:eastAsia="宋体" w:cs="Times New Roman"/>
                <w:kern w:val="0"/>
                <w:sz w:val="18"/>
                <w:szCs w:val="18"/>
              </w:rPr>
              <w:t>%</w:t>
            </w:r>
            <w:r>
              <w:rPr>
                <w:rStyle w:val="42"/>
                <w:rFonts w:hint="default" w:ascii="Times New Roman" w:hAnsi="Times New Roman" w:cs="Times New Roman"/>
                <w:color w:val="auto"/>
                <w:sz w:val="18"/>
                <w:szCs w:val="18"/>
              </w:rPr>
              <w:t>）</w:t>
            </w:r>
          </w:p>
        </w:tc>
        <w:tc>
          <w:tcPr>
            <w:tcW w:w="1043" w:type="dxa"/>
            <w:tcMar>
              <w:top w:w="15" w:type="dxa"/>
              <w:left w:w="15" w:type="dxa"/>
              <w:right w:w="15" w:type="dxa"/>
            </w:tcMar>
            <w:vAlign w:val="center"/>
          </w:tcPr>
          <w:p w14:paraId="70123942">
            <w:pPr>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339" w:type="dxa"/>
            <w:tcMar>
              <w:top w:w="15" w:type="dxa"/>
              <w:left w:w="15" w:type="dxa"/>
              <w:right w:w="15" w:type="dxa"/>
            </w:tcMar>
            <w:vAlign w:val="center"/>
          </w:tcPr>
          <w:p w14:paraId="2A47C2E4">
            <w:pPr>
              <w:jc w:val="both"/>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042" w:type="dxa"/>
            <w:tcMar>
              <w:top w:w="15" w:type="dxa"/>
              <w:left w:w="15" w:type="dxa"/>
              <w:right w:w="15" w:type="dxa"/>
            </w:tcMar>
            <w:vAlign w:val="center"/>
          </w:tcPr>
          <w:p w14:paraId="1563D437">
            <w:pPr>
              <w:jc w:val="both"/>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12</w:t>
            </w:r>
          </w:p>
        </w:tc>
        <w:tc>
          <w:tcPr>
            <w:tcW w:w="1000" w:type="dxa"/>
            <w:tcMar>
              <w:top w:w="15" w:type="dxa"/>
              <w:left w:w="15" w:type="dxa"/>
              <w:right w:w="15" w:type="dxa"/>
            </w:tcMar>
            <w:vAlign w:val="center"/>
          </w:tcPr>
          <w:p w14:paraId="36F32FF6">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预期性</w:t>
            </w:r>
          </w:p>
        </w:tc>
      </w:tr>
      <w:tr w14:paraId="3FD42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8760" w:type="dxa"/>
            <w:gridSpan w:val="6"/>
            <w:tcMar>
              <w:top w:w="15" w:type="dxa"/>
              <w:left w:w="15" w:type="dxa"/>
              <w:right w:w="15" w:type="dxa"/>
            </w:tcMar>
            <w:vAlign w:val="center"/>
          </w:tcPr>
          <w:p w14:paraId="0ABA2718">
            <w:pPr>
              <w:jc w:val="both"/>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三、“六新”突破与产业升级（7个）</w:t>
            </w:r>
          </w:p>
        </w:tc>
      </w:tr>
      <w:tr w14:paraId="7059A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tcMar>
              <w:top w:w="15" w:type="dxa"/>
              <w:left w:w="15" w:type="dxa"/>
              <w:right w:w="15" w:type="dxa"/>
            </w:tcMar>
            <w:vAlign w:val="center"/>
          </w:tcPr>
          <w:p w14:paraId="324291B6">
            <w:pPr>
              <w:jc w:val="both"/>
              <w:textAlignment w:val="center"/>
              <w:rPr>
                <w:rFonts w:ascii="Times New Roman" w:hAnsi="Times New Roman" w:cs="Times New Roman"/>
                <w:sz w:val="18"/>
                <w:szCs w:val="18"/>
              </w:rPr>
            </w:pPr>
            <w:r>
              <w:rPr>
                <w:rFonts w:ascii="Times New Roman" w:hAnsi="Times New Roman" w:cs="Times New Roman"/>
                <w:kern w:val="0"/>
                <w:sz w:val="18"/>
                <w:szCs w:val="18"/>
              </w:rPr>
              <w:t>12</w:t>
            </w:r>
          </w:p>
        </w:tc>
        <w:tc>
          <w:tcPr>
            <w:tcW w:w="3563" w:type="dxa"/>
            <w:tcMar>
              <w:top w:w="15" w:type="dxa"/>
              <w:left w:w="15" w:type="dxa"/>
              <w:right w:w="15" w:type="dxa"/>
            </w:tcMar>
            <w:vAlign w:val="center"/>
          </w:tcPr>
          <w:p w14:paraId="4F53205A">
            <w:pPr>
              <w:jc w:val="both"/>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5G</w:t>
            </w:r>
            <w:r>
              <w:rPr>
                <w:rStyle w:val="41"/>
                <w:rFonts w:hint="default" w:ascii="Times New Roman" w:hAnsi="Times New Roman" w:cs="Times New Roman"/>
                <w:color w:val="auto"/>
                <w:sz w:val="18"/>
                <w:szCs w:val="18"/>
              </w:rPr>
              <w:t>网络用户普及率（%）【新基建】</w:t>
            </w:r>
          </w:p>
        </w:tc>
        <w:tc>
          <w:tcPr>
            <w:tcW w:w="1043" w:type="dxa"/>
            <w:tcMar>
              <w:top w:w="15" w:type="dxa"/>
              <w:left w:w="15" w:type="dxa"/>
              <w:right w:w="15" w:type="dxa"/>
            </w:tcMar>
            <w:vAlign w:val="center"/>
          </w:tcPr>
          <w:p w14:paraId="72F6F12D">
            <w:pPr>
              <w:jc w:val="both"/>
              <w:rPr>
                <w:rFonts w:ascii="Times New Roman" w:hAnsi="Times New Roman" w:eastAsia="宋体" w:cs="Times New Roman"/>
                <w:sz w:val="18"/>
                <w:szCs w:val="18"/>
              </w:rPr>
            </w:pPr>
            <w:r>
              <w:rPr>
                <w:rFonts w:ascii="Times New Roman" w:hAnsi="Times New Roman" w:eastAsia="宋体" w:cs="Times New Roman"/>
                <w:sz w:val="18"/>
                <w:szCs w:val="18"/>
              </w:rPr>
              <w:t>10</w:t>
            </w:r>
          </w:p>
        </w:tc>
        <w:tc>
          <w:tcPr>
            <w:tcW w:w="1339" w:type="dxa"/>
            <w:tcMar>
              <w:top w:w="15" w:type="dxa"/>
              <w:left w:w="15" w:type="dxa"/>
              <w:right w:w="15" w:type="dxa"/>
            </w:tcMar>
            <w:vAlign w:val="center"/>
          </w:tcPr>
          <w:p w14:paraId="2BA57180">
            <w:pPr>
              <w:jc w:val="both"/>
              <w:rPr>
                <w:rFonts w:ascii="Times New Roman" w:hAnsi="Times New Roman" w:eastAsia="宋体" w:cs="Times New Roman"/>
                <w:sz w:val="18"/>
                <w:szCs w:val="18"/>
              </w:rPr>
            </w:pPr>
            <w:r>
              <w:rPr>
                <w:rFonts w:ascii="Times New Roman" w:hAnsi="Times New Roman" w:eastAsia="宋体" w:cs="Times New Roman"/>
                <w:sz w:val="18"/>
                <w:szCs w:val="18"/>
              </w:rPr>
              <w:t>76</w:t>
            </w:r>
          </w:p>
        </w:tc>
        <w:tc>
          <w:tcPr>
            <w:tcW w:w="1042" w:type="dxa"/>
            <w:tcMar>
              <w:top w:w="15" w:type="dxa"/>
              <w:left w:w="15" w:type="dxa"/>
              <w:right w:w="15" w:type="dxa"/>
            </w:tcMar>
            <w:vAlign w:val="center"/>
          </w:tcPr>
          <w:p w14:paraId="1CAFC046">
            <w:pPr>
              <w:jc w:val="both"/>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13</w:t>
            </w:r>
          </w:p>
        </w:tc>
        <w:tc>
          <w:tcPr>
            <w:tcW w:w="1000" w:type="dxa"/>
            <w:tcMar>
              <w:top w:w="15" w:type="dxa"/>
              <w:left w:w="15" w:type="dxa"/>
              <w:right w:w="15" w:type="dxa"/>
            </w:tcMar>
            <w:vAlign w:val="center"/>
          </w:tcPr>
          <w:p w14:paraId="7C8F5742">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预期性</w:t>
            </w:r>
          </w:p>
        </w:tc>
      </w:tr>
      <w:tr w14:paraId="1A213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jc w:val="center"/>
        </w:trPr>
        <w:tc>
          <w:tcPr>
            <w:tcW w:w="773" w:type="dxa"/>
            <w:tcMar>
              <w:top w:w="15" w:type="dxa"/>
              <w:left w:w="15" w:type="dxa"/>
              <w:right w:w="15" w:type="dxa"/>
            </w:tcMar>
            <w:vAlign w:val="center"/>
          </w:tcPr>
          <w:p w14:paraId="6D89C47A">
            <w:pPr>
              <w:jc w:val="both"/>
              <w:textAlignment w:val="center"/>
              <w:rPr>
                <w:rFonts w:ascii="Times New Roman" w:hAnsi="Times New Roman" w:cs="Times New Roman"/>
                <w:sz w:val="18"/>
                <w:szCs w:val="18"/>
              </w:rPr>
            </w:pPr>
            <w:r>
              <w:rPr>
                <w:rFonts w:ascii="Times New Roman" w:hAnsi="Times New Roman" w:cs="Times New Roman"/>
                <w:kern w:val="0"/>
                <w:sz w:val="18"/>
                <w:szCs w:val="18"/>
              </w:rPr>
              <w:t>13</w:t>
            </w:r>
          </w:p>
        </w:tc>
        <w:tc>
          <w:tcPr>
            <w:tcW w:w="3563" w:type="dxa"/>
            <w:tcMar>
              <w:top w:w="15" w:type="dxa"/>
              <w:left w:w="15" w:type="dxa"/>
              <w:right w:w="15" w:type="dxa"/>
            </w:tcMar>
            <w:vAlign w:val="center"/>
          </w:tcPr>
          <w:p w14:paraId="6A4F4684">
            <w:pPr>
              <w:jc w:val="both"/>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每万人口高价值发明专利拥有量（件）</w:t>
            </w:r>
            <w:r>
              <w:rPr>
                <w:rStyle w:val="41"/>
                <w:rFonts w:hint="default" w:ascii="Times New Roman" w:hAnsi="Times New Roman" w:cs="Times New Roman"/>
                <w:color w:val="auto"/>
                <w:sz w:val="18"/>
                <w:szCs w:val="18"/>
              </w:rPr>
              <w:t>【新技术】</w:t>
            </w:r>
          </w:p>
        </w:tc>
        <w:tc>
          <w:tcPr>
            <w:tcW w:w="1043" w:type="dxa"/>
            <w:tcMar>
              <w:top w:w="15" w:type="dxa"/>
              <w:left w:w="15" w:type="dxa"/>
              <w:right w:w="15" w:type="dxa"/>
            </w:tcMar>
            <w:vAlign w:val="center"/>
          </w:tcPr>
          <w:p w14:paraId="0AC31016">
            <w:pPr>
              <w:jc w:val="both"/>
              <w:rPr>
                <w:rFonts w:ascii="Times New Roman" w:hAnsi="Times New Roman" w:eastAsia="宋体" w:cs="Times New Roman"/>
                <w:sz w:val="18"/>
                <w:szCs w:val="18"/>
              </w:rPr>
            </w:pPr>
          </w:p>
        </w:tc>
        <w:tc>
          <w:tcPr>
            <w:tcW w:w="1339" w:type="dxa"/>
            <w:tcMar>
              <w:top w:w="15" w:type="dxa"/>
              <w:left w:w="15" w:type="dxa"/>
              <w:right w:w="15" w:type="dxa"/>
            </w:tcMar>
            <w:vAlign w:val="center"/>
          </w:tcPr>
          <w:p w14:paraId="41208357">
            <w:pPr>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2.4</w:t>
            </w:r>
          </w:p>
        </w:tc>
        <w:tc>
          <w:tcPr>
            <w:tcW w:w="1042" w:type="dxa"/>
            <w:tcMar>
              <w:top w:w="15" w:type="dxa"/>
              <w:left w:w="15" w:type="dxa"/>
              <w:right w:w="15" w:type="dxa"/>
            </w:tcMar>
            <w:vAlign w:val="center"/>
          </w:tcPr>
          <w:p w14:paraId="2786851F">
            <w:pPr>
              <w:jc w:val="both"/>
              <w:textAlignment w:val="center"/>
              <w:rPr>
                <w:rFonts w:ascii="Times New Roman" w:hAnsi="Times New Roman" w:eastAsia="宋体" w:cs="Times New Roman"/>
                <w:sz w:val="18"/>
                <w:szCs w:val="18"/>
              </w:rPr>
            </w:pPr>
          </w:p>
        </w:tc>
        <w:tc>
          <w:tcPr>
            <w:tcW w:w="1000" w:type="dxa"/>
            <w:tcMar>
              <w:top w:w="15" w:type="dxa"/>
              <w:left w:w="15" w:type="dxa"/>
              <w:right w:w="15" w:type="dxa"/>
            </w:tcMar>
            <w:vAlign w:val="center"/>
          </w:tcPr>
          <w:p w14:paraId="1E0EB58B">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预期性</w:t>
            </w:r>
          </w:p>
        </w:tc>
      </w:tr>
      <w:tr w14:paraId="7DC81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jc w:val="center"/>
        </w:trPr>
        <w:tc>
          <w:tcPr>
            <w:tcW w:w="773" w:type="dxa"/>
            <w:tcMar>
              <w:top w:w="15" w:type="dxa"/>
              <w:left w:w="15" w:type="dxa"/>
              <w:right w:w="15" w:type="dxa"/>
            </w:tcMar>
            <w:vAlign w:val="center"/>
          </w:tcPr>
          <w:p w14:paraId="34DADA6B">
            <w:pPr>
              <w:jc w:val="both"/>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14</w:t>
            </w:r>
          </w:p>
        </w:tc>
        <w:tc>
          <w:tcPr>
            <w:tcW w:w="3563" w:type="dxa"/>
            <w:tcMar>
              <w:top w:w="15" w:type="dxa"/>
              <w:left w:w="15" w:type="dxa"/>
              <w:right w:w="15" w:type="dxa"/>
            </w:tcMar>
            <w:vAlign w:val="center"/>
          </w:tcPr>
          <w:p w14:paraId="041C9A30">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新材料生产企业主营业务收入增速（</w:t>
            </w:r>
            <w:r>
              <w:rPr>
                <w:rFonts w:ascii="Times New Roman" w:hAnsi="Times New Roman" w:eastAsia="宋体" w:cs="Times New Roman"/>
                <w:kern w:val="0"/>
                <w:sz w:val="18"/>
                <w:szCs w:val="18"/>
              </w:rPr>
              <w:t>%</w:t>
            </w:r>
            <w:r>
              <w:rPr>
                <w:rStyle w:val="42"/>
                <w:rFonts w:hint="default" w:ascii="Times New Roman" w:hAnsi="Times New Roman" w:cs="Times New Roman"/>
                <w:color w:val="auto"/>
                <w:sz w:val="18"/>
                <w:szCs w:val="18"/>
              </w:rPr>
              <w:t>）</w:t>
            </w:r>
            <w:r>
              <w:rPr>
                <w:rStyle w:val="41"/>
                <w:rFonts w:hint="default" w:ascii="Times New Roman" w:hAnsi="Times New Roman" w:cs="Times New Roman"/>
                <w:color w:val="auto"/>
                <w:sz w:val="18"/>
                <w:szCs w:val="18"/>
              </w:rPr>
              <w:t>【新材料】</w:t>
            </w:r>
          </w:p>
        </w:tc>
        <w:tc>
          <w:tcPr>
            <w:tcW w:w="1043" w:type="dxa"/>
            <w:tcMar>
              <w:top w:w="15" w:type="dxa"/>
              <w:left w:w="15" w:type="dxa"/>
              <w:right w:w="15" w:type="dxa"/>
            </w:tcMar>
            <w:vAlign w:val="center"/>
          </w:tcPr>
          <w:p w14:paraId="79B9AEE2">
            <w:pPr>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339" w:type="dxa"/>
            <w:tcMar>
              <w:top w:w="15" w:type="dxa"/>
              <w:left w:w="15" w:type="dxa"/>
              <w:right w:w="15" w:type="dxa"/>
            </w:tcMar>
            <w:vAlign w:val="center"/>
          </w:tcPr>
          <w:p w14:paraId="1CDC77CA">
            <w:pPr>
              <w:jc w:val="both"/>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042" w:type="dxa"/>
            <w:tcMar>
              <w:top w:w="15" w:type="dxa"/>
              <w:left w:w="15" w:type="dxa"/>
              <w:right w:w="15" w:type="dxa"/>
            </w:tcMar>
            <w:vAlign w:val="center"/>
          </w:tcPr>
          <w:p w14:paraId="7EAB6DC8">
            <w:pPr>
              <w:jc w:val="both"/>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13</w:t>
            </w:r>
          </w:p>
        </w:tc>
        <w:tc>
          <w:tcPr>
            <w:tcW w:w="1000" w:type="dxa"/>
            <w:tcMar>
              <w:top w:w="15" w:type="dxa"/>
              <w:left w:w="15" w:type="dxa"/>
              <w:right w:w="15" w:type="dxa"/>
            </w:tcMar>
            <w:vAlign w:val="center"/>
          </w:tcPr>
          <w:p w14:paraId="46C4528A">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预期性</w:t>
            </w:r>
          </w:p>
        </w:tc>
      </w:tr>
      <w:tr w14:paraId="2BF8E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tcMar>
              <w:top w:w="15" w:type="dxa"/>
              <w:left w:w="15" w:type="dxa"/>
              <w:right w:w="15" w:type="dxa"/>
            </w:tcMar>
            <w:vAlign w:val="center"/>
          </w:tcPr>
          <w:p w14:paraId="227C399E">
            <w:pPr>
              <w:jc w:val="both"/>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w:t>
            </w:r>
          </w:p>
        </w:tc>
        <w:tc>
          <w:tcPr>
            <w:tcW w:w="3563" w:type="dxa"/>
            <w:tcMar>
              <w:top w:w="15" w:type="dxa"/>
              <w:left w:w="15" w:type="dxa"/>
              <w:right w:w="15" w:type="dxa"/>
            </w:tcMar>
            <w:vAlign w:val="center"/>
          </w:tcPr>
          <w:p w14:paraId="157E7C12">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高端装备制造业增加值增速（</w:t>
            </w:r>
            <w:r>
              <w:rPr>
                <w:rFonts w:ascii="Times New Roman" w:hAnsi="Times New Roman" w:eastAsia="宋体" w:cs="Times New Roman"/>
                <w:kern w:val="0"/>
                <w:sz w:val="18"/>
                <w:szCs w:val="18"/>
              </w:rPr>
              <w:t>%</w:t>
            </w:r>
            <w:r>
              <w:rPr>
                <w:rStyle w:val="42"/>
                <w:rFonts w:hint="default" w:ascii="Times New Roman" w:hAnsi="Times New Roman" w:cs="Times New Roman"/>
                <w:color w:val="auto"/>
                <w:sz w:val="18"/>
                <w:szCs w:val="18"/>
              </w:rPr>
              <w:t>）</w:t>
            </w:r>
            <w:r>
              <w:rPr>
                <w:rStyle w:val="41"/>
                <w:rFonts w:hint="default" w:ascii="Times New Roman" w:hAnsi="Times New Roman" w:cs="Times New Roman"/>
                <w:color w:val="auto"/>
                <w:sz w:val="18"/>
                <w:szCs w:val="18"/>
              </w:rPr>
              <w:t>【新装备】</w:t>
            </w:r>
          </w:p>
        </w:tc>
        <w:tc>
          <w:tcPr>
            <w:tcW w:w="1043" w:type="dxa"/>
            <w:tcMar>
              <w:top w:w="15" w:type="dxa"/>
              <w:left w:w="15" w:type="dxa"/>
              <w:right w:w="15" w:type="dxa"/>
            </w:tcMar>
            <w:vAlign w:val="center"/>
          </w:tcPr>
          <w:p w14:paraId="1E202B64">
            <w:pPr>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339" w:type="dxa"/>
            <w:tcMar>
              <w:top w:w="15" w:type="dxa"/>
              <w:left w:w="15" w:type="dxa"/>
              <w:right w:w="15" w:type="dxa"/>
            </w:tcMar>
            <w:vAlign w:val="center"/>
          </w:tcPr>
          <w:p w14:paraId="35477CF8">
            <w:pPr>
              <w:jc w:val="both"/>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042" w:type="dxa"/>
            <w:tcMar>
              <w:top w:w="15" w:type="dxa"/>
              <w:left w:w="15" w:type="dxa"/>
              <w:right w:w="15" w:type="dxa"/>
            </w:tcMar>
            <w:vAlign w:val="center"/>
          </w:tcPr>
          <w:p w14:paraId="5A8ABC2C">
            <w:pPr>
              <w:jc w:val="both"/>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18</w:t>
            </w:r>
          </w:p>
        </w:tc>
        <w:tc>
          <w:tcPr>
            <w:tcW w:w="1000" w:type="dxa"/>
            <w:tcMar>
              <w:top w:w="15" w:type="dxa"/>
              <w:left w:w="15" w:type="dxa"/>
              <w:right w:w="15" w:type="dxa"/>
            </w:tcMar>
            <w:vAlign w:val="center"/>
          </w:tcPr>
          <w:p w14:paraId="4E11CA4E">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预期性</w:t>
            </w:r>
          </w:p>
        </w:tc>
      </w:tr>
      <w:tr w14:paraId="4073A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jc w:val="center"/>
        </w:trPr>
        <w:tc>
          <w:tcPr>
            <w:tcW w:w="773" w:type="dxa"/>
            <w:tcMar>
              <w:top w:w="15" w:type="dxa"/>
              <w:left w:w="15" w:type="dxa"/>
              <w:right w:w="15" w:type="dxa"/>
            </w:tcMar>
            <w:vAlign w:val="center"/>
          </w:tcPr>
          <w:p w14:paraId="6071EA77">
            <w:pPr>
              <w:jc w:val="both"/>
              <w:textAlignment w:val="center"/>
              <w:rPr>
                <w:rFonts w:ascii="Times New Roman" w:hAnsi="Times New Roman" w:cs="Times New Roman"/>
                <w:sz w:val="18"/>
                <w:szCs w:val="18"/>
              </w:rPr>
            </w:pPr>
            <w:r>
              <w:rPr>
                <w:rFonts w:ascii="Times New Roman" w:hAnsi="Times New Roman" w:cs="Times New Roman"/>
                <w:kern w:val="0"/>
                <w:sz w:val="18"/>
                <w:szCs w:val="18"/>
              </w:rPr>
              <w:t>16</w:t>
            </w:r>
          </w:p>
        </w:tc>
        <w:tc>
          <w:tcPr>
            <w:tcW w:w="3563" w:type="dxa"/>
            <w:tcMar>
              <w:top w:w="15" w:type="dxa"/>
              <w:left w:w="15" w:type="dxa"/>
              <w:right w:w="15" w:type="dxa"/>
            </w:tcMar>
            <w:vAlign w:val="center"/>
          </w:tcPr>
          <w:p w14:paraId="09FA903E">
            <w:pPr>
              <w:jc w:val="both"/>
              <w:textAlignment w:val="center"/>
              <w:rPr>
                <w:rFonts w:ascii="Times New Roman" w:hAnsi="Times New Roman" w:cs="Times New Roman"/>
                <w:sz w:val="18"/>
                <w:szCs w:val="18"/>
              </w:rPr>
            </w:pPr>
            <w:r>
              <w:rPr>
                <w:rFonts w:ascii="Times New Roman" w:hAnsi="Times New Roman" w:cs="Times New Roman"/>
                <w:sz w:val="18"/>
                <w:szCs w:val="18"/>
              </w:rPr>
              <w:t>新产品开发项目数量年均增速（%）</w:t>
            </w:r>
          </w:p>
          <w:p w14:paraId="56BB120D">
            <w:pPr>
              <w:pStyle w:val="17"/>
              <w:ind w:firstLine="0"/>
              <w:jc w:val="both"/>
              <w:rPr>
                <w:rFonts w:ascii="Times New Roman" w:hAnsi="Times New Roman"/>
                <w:sz w:val="18"/>
                <w:szCs w:val="18"/>
              </w:rPr>
            </w:pPr>
            <w:r>
              <w:rPr>
                <w:rStyle w:val="41"/>
                <w:rFonts w:hint="default" w:ascii="Times New Roman" w:hAnsi="Times New Roman" w:cs="Times New Roman"/>
                <w:color w:val="auto"/>
                <w:sz w:val="18"/>
                <w:szCs w:val="18"/>
              </w:rPr>
              <w:t>【新产品】</w:t>
            </w:r>
          </w:p>
        </w:tc>
        <w:tc>
          <w:tcPr>
            <w:tcW w:w="1043" w:type="dxa"/>
            <w:tcMar>
              <w:top w:w="15" w:type="dxa"/>
              <w:left w:w="15" w:type="dxa"/>
              <w:right w:w="15" w:type="dxa"/>
            </w:tcMar>
            <w:vAlign w:val="center"/>
          </w:tcPr>
          <w:p w14:paraId="285CE39A">
            <w:pPr>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339" w:type="dxa"/>
            <w:tcMar>
              <w:top w:w="15" w:type="dxa"/>
              <w:left w:w="15" w:type="dxa"/>
              <w:right w:w="15" w:type="dxa"/>
            </w:tcMar>
            <w:vAlign w:val="center"/>
          </w:tcPr>
          <w:p w14:paraId="45B61422">
            <w:pPr>
              <w:jc w:val="both"/>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042" w:type="dxa"/>
            <w:tcMar>
              <w:top w:w="15" w:type="dxa"/>
              <w:left w:w="15" w:type="dxa"/>
              <w:right w:w="15" w:type="dxa"/>
            </w:tcMar>
            <w:vAlign w:val="center"/>
          </w:tcPr>
          <w:p w14:paraId="5682DAE1">
            <w:pPr>
              <w:jc w:val="both"/>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12</w:t>
            </w:r>
          </w:p>
        </w:tc>
        <w:tc>
          <w:tcPr>
            <w:tcW w:w="1000" w:type="dxa"/>
            <w:tcMar>
              <w:top w:w="15" w:type="dxa"/>
              <w:left w:w="15" w:type="dxa"/>
              <w:right w:w="15" w:type="dxa"/>
            </w:tcMar>
            <w:vAlign w:val="center"/>
          </w:tcPr>
          <w:p w14:paraId="0B93B55A">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预期性</w:t>
            </w:r>
          </w:p>
        </w:tc>
      </w:tr>
      <w:tr w14:paraId="35747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jc w:val="center"/>
        </w:trPr>
        <w:tc>
          <w:tcPr>
            <w:tcW w:w="773" w:type="dxa"/>
            <w:tcMar>
              <w:top w:w="15" w:type="dxa"/>
              <w:left w:w="15" w:type="dxa"/>
              <w:right w:w="15" w:type="dxa"/>
            </w:tcMar>
            <w:vAlign w:val="center"/>
          </w:tcPr>
          <w:p w14:paraId="4E30B23B">
            <w:pPr>
              <w:jc w:val="both"/>
              <w:textAlignment w:val="center"/>
              <w:rPr>
                <w:rFonts w:ascii="Times New Roman" w:hAnsi="Times New Roman" w:cs="Times New Roman"/>
                <w:sz w:val="18"/>
                <w:szCs w:val="18"/>
              </w:rPr>
            </w:pPr>
            <w:r>
              <w:rPr>
                <w:rFonts w:ascii="Times New Roman" w:hAnsi="Times New Roman" w:cs="Times New Roman"/>
                <w:kern w:val="0"/>
                <w:sz w:val="18"/>
                <w:szCs w:val="18"/>
              </w:rPr>
              <w:t>17</w:t>
            </w:r>
          </w:p>
        </w:tc>
        <w:tc>
          <w:tcPr>
            <w:tcW w:w="3563" w:type="dxa"/>
            <w:tcMar>
              <w:top w:w="15" w:type="dxa"/>
              <w:left w:w="15" w:type="dxa"/>
              <w:right w:w="15" w:type="dxa"/>
            </w:tcMar>
            <w:vAlign w:val="center"/>
          </w:tcPr>
          <w:p w14:paraId="2014EEE9">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数字经济核心产业增加值占</w:t>
            </w:r>
            <w:r>
              <w:rPr>
                <w:rFonts w:ascii="Times New Roman" w:hAnsi="Times New Roman" w:eastAsia="宋体" w:cs="Times New Roman"/>
                <w:kern w:val="0"/>
                <w:sz w:val="18"/>
                <w:szCs w:val="18"/>
              </w:rPr>
              <w:t>GDP</w:t>
            </w:r>
            <w:r>
              <w:rPr>
                <w:rStyle w:val="42"/>
                <w:rFonts w:hint="default" w:ascii="Times New Roman" w:hAnsi="Times New Roman" w:cs="Times New Roman"/>
                <w:color w:val="auto"/>
                <w:sz w:val="18"/>
                <w:szCs w:val="18"/>
              </w:rPr>
              <w:t>比重（</w:t>
            </w:r>
            <w:r>
              <w:rPr>
                <w:rFonts w:ascii="Times New Roman" w:hAnsi="Times New Roman" w:eastAsia="宋体" w:cs="Times New Roman"/>
                <w:kern w:val="0"/>
                <w:sz w:val="18"/>
                <w:szCs w:val="18"/>
              </w:rPr>
              <w:t>%</w:t>
            </w:r>
            <w:r>
              <w:rPr>
                <w:rStyle w:val="42"/>
                <w:rFonts w:hint="default" w:ascii="Times New Roman" w:hAnsi="Times New Roman" w:cs="Times New Roman"/>
                <w:color w:val="auto"/>
                <w:sz w:val="18"/>
                <w:szCs w:val="18"/>
              </w:rPr>
              <w:t>）</w:t>
            </w:r>
            <w:r>
              <w:rPr>
                <w:rStyle w:val="41"/>
                <w:rFonts w:hint="default" w:ascii="Times New Roman" w:hAnsi="Times New Roman" w:cs="Times New Roman"/>
                <w:color w:val="auto"/>
                <w:sz w:val="18"/>
                <w:szCs w:val="18"/>
              </w:rPr>
              <w:t>【新业态】</w:t>
            </w:r>
          </w:p>
        </w:tc>
        <w:tc>
          <w:tcPr>
            <w:tcW w:w="1043" w:type="dxa"/>
            <w:tcMar>
              <w:top w:w="15" w:type="dxa"/>
              <w:left w:w="15" w:type="dxa"/>
              <w:right w:w="15" w:type="dxa"/>
            </w:tcMar>
            <w:vAlign w:val="center"/>
          </w:tcPr>
          <w:p w14:paraId="74C99DB2">
            <w:pPr>
              <w:jc w:val="both"/>
              <w:rPr>
                <w:rFonts w:ascii="Times New Roman" w:hAnsi="Times New Roman" w:eastAsia="宋体" w:cs="Times New Roman"/>
                <w:sz w:val="18"/>
                <w:szCs w:val="18"/>
              </w:rPr>
            </w:pPr>
            <w:r>
              <w:rPr>
                <w:rFonts w:ascii="Times New Roman" w:hAnsi="Times New Roman" w:eastAsia="宋体" w:cs="Times New Roman"/>
                <w:sz w:val="18"/>
                <w:szCs w:val="18"/>
              </w:rPr>
              <w:t>0.034</w:t>
            </w:r>
          </w:p>
        </w:tc>
        <w:tc>
          <w:tcPr>
            <w:tcW w:w="1339" w:type="dxa"/>
            <w:tcMar>
              <w:top w:w="15" w:type="dxa"/>
              <w:left w:w="15" w:type="dxa"/>
              <w:right w:w="15" w:type="dxa"/>
            </w:tcMar>
            <w:vAlign w:val="center"/>
          </w:tcPr>
          <w:p w14:paraId="2B4EE96D">
            <w:pPr>
              <w:jc w:val="both"/>
              <w:rPr>
                <w:rFonts w:ascii="Times New Roman" w:hAnsi="Times New Roman" w:eastAsia="宋体" w:cs="Times New Roman"/>
                <w:sz w:val="18"/>
                <w:szCs w:val="18"/>
              </w:rPr>
            </w:pPr>
            <w:r>
              <w:rPr>
                <w:rFonts w:ascii="Times New Roman" w:hAnsi="Times New Roman" w:eastAsia="宋体" w:cs="Times New Roman"/>
                <w:sz w:val="18"/>
                <w:szCs w:val="18"/>
              </w:rPr>
              <w:t>完成下达任务</w:t>
            </w:r>
          </w:p>
        </w:tc>
        <w:tc>
          <w:tcPr>
            <w:tcW w:w="1042" w:type="dxa"/>
            <w:tcMar>
              <w:top w:w="15" w:type="dxa"/>
              <w:left w:w="15" w:type="dxa"/>
              <w:right w:w="15" w:type="dxa"/>
            </w:tcMar>
            <w:vAlign w:val="center"/>
          </w:tcPr>
          <w:p w14:paraId="241F05FA">
            <w:pPr>
              <w:jc w:val="both"/>
              <w:textAlignment w:val="center"/>
              <w:rPr>
                <w:rFonts w:ascii="Times New Roman" w:hAnsi="Times New Roman" w:eastAsia="宋体" w:cs="Times New Roman"/>
                <w:sz w:val="18"/>
                <w:szCs w:val="18"/>
              </w:rPr>
            </w:pPr>
          </w:p>
        </w:tc>
        <w:tc>
          <w:tcPr>
            <w:tcW w:w="1000" w:type="dxa"/>
            <w:tcMar>
              <w:top w:w="15" w:type="dxa"/>
              <w:left w:w="15" w:type="dxa"/>
              <w:right w:w="15" w:type="dxa"/>
            </w:tcMar>
            <w:vAlign w:val="center"/>
          </w:tcPr>
          <w:p w14:paraId="63004E21">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预期性</w:t>
            </w:r>
          </w:p>
        </w:tc>
      </w:tr>
      <w:tr w14:paraId="63D37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tcMar>
              <w:top w:w="15" w:type="dxa"/>
              <w:left w:w="15" w:type="dxa"/>
              <w:right w:w="15" w:type="dxa"/>
            </w:tcMar>
            <w:vAlign w:val="center"/>
          </w:tcPr>
          <w:p w14:paraId="1078AB65">
            <w:pPr>
              <w:jc w:val="both"/>
              <w:textAlignment w:val="center"/>
              <w:rPr>
                <w:rFonts w:ascii="Times New Roman" w:hAnsi="Times New Roman" w:cs="Times New Roman"/>
                <w:sz w:val="18"/>
                <w:szCs w:val="18"/>
              </w:rPr>
            </w:pPr>
            <w:r>
              <w:rPr>
                <w:rFonts w:ascii="Times New Roman" w:hAnsi="Times New Roman" w:cs="Times New Roman"/>
                <w:kern w:val="0"/>
                <w:sz w:val="18"/>
                <w:szCs w:val="18"/>
              </w:rPr>
              <w:t>18</w:t>
            </w:r>
          </w:p>
        </w:tc>
        <w:tc>
          <w:tcPr>
            <w:tcW w:w="3563" w:type="dxa"/>
            <w:tcMar>
              <w:top w:w="15" w:type="dxa"/>
              <w:left w:w="15" w:type="dxa"/>
              <w:right w:w="15" w:type="dxa"/>
            </w:tcMar>
            <w:vAlign w:val="center"/>
          </w:tcPr>
          <w:p w14:paraId="54DF940F">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制造业增加值占规上工业增加值比重（</w:t>
            </w:r>
            <w:r>
              <w:rPr>
                <w:rFonts w:ascii="Times New Roman" w:hAnsi="Times New Roman" w:eastAsia="宋体" w:cs="Times New Roman"/>
                <w:kern w:val="0"/>
                <w:sz w:val="18"/>
                <w:szCs w:val="18"/>
              </w:rPr>
              <w:t>%</w:t>
            </w:r>
            <w:r>
              <w:rPr>
                <w:rStyle w:val="42"/>
                <w:rFonts w:hint="default" w:ascii="Times New Roman" w:hAnsi="Times New Roman" w:cs="Times New Roman"/>
                <w:color w:val="auto"/>
                <w:sz w:val="18"/>
                <w:szCs w:val="18"/>
              </w:rPr>
              <w:t>）</w:t>
            </w:r>
          </w:p>
        </w:tc>
        <w:tc>
          <w:tcPr>
            <w:tcW w:w="1043" w:type="dxa"/>
            <w:tcMar>
              <w:top w:w="15" w:type="dxa"/>
              <w:left w:w="15" w:type="dxa"/>
              <w:right w:w="15" w:type="dxa"/>
            </w:tcMar>
            <w:vAlign w:val="center"/>
          </w:tcPr>
          <w:p w14:paraId="4E17434E">
            <w:pPr>
              <w:jc w:val="both"/>
              <w:rPr>
                <w:rFonts w:ascii="Times New Roman" w:hAnsi="Times New Roman" w:eastAsia="宋体" w:cs="Times New Roman"/>
                <w:sz w:val="18"/>
                <w:szCs w:val="18"/>
              </w:rPr>
            </w:pPr>
          </w:p>
        </w:tc>
        <w:tc>
          <w:tcPr>
            <w:tcW w:w="1339" w:type="dxa"/>
            <w:tcMar>
              <w:top w:w="15" w:type="dxa"/>
              <w:left w:w="15" w:type="dxa"/>
              <w:right w:w="15" w:type="dxa"/>
            </w:tcMar>
            <w:vAlign w:val="center"/>
          </w:tcPr>
          <w:p w14:paraId="133B621E">
            <w:pPr>
              <w:jc w:val="both"/>
              <w:rPr>
                <w:rFonts w:ascii="Times New Roman" w:hAnsi="Times New Roman" w:eastAsia="宋体" w:cs="Times New Roman"/>
                <w:sz w:val="18"/>
                <w:szCs w:val="18"/>
              </w:rPr>
            </w:pPr>
            <w:r>
              <w:rPr>
                <w:rFonts w:ascii="Times New Roman" w:hAnsi="Times New Roman" w:eastAsia="宋体" w:cs="Times New Roman"/>
                <w:sz w:val="18"/>
                <w:szCs w:val="18"/>
              </w:rPr>
              <w:t>90</w:t>
            </w:r>
          </w:p>
        </w:tc>
        <w:tc>
          <w:tcPr>
            <w:tcW w:w="1042" w:type="dxa"/>
            <w:tcMar>
              <w:top w:w="15" w:type="dxa"/>
              <w:left w:w="15" w:type="dxa"/>
              <w:right w:w="15" w:type="dxa"/>
            </w:tcMar>
            <w:vAlign w:val="center"/>
          </w:tcPr>
          <w:p w14:paraId="5F1B9DBC">
            <w:pPr>
              <w:jc w:val="both"/>
              <w:textAlignment w:val="center"/>
              <w:rPr>
                <w:rFonts w:ascii="Times New Roman" w:hAnsi="Times New Roman" w:eastAsia="宋体" w:cs="Times New Roman"/>
                <w:sz w:val="18"/>
                <w:szCs w:val="18"/>
              </w:rPr>
            </w:pPr>
          </w:p>
        </w:tc>
        <w:tc>
          <w:tcPr>
            <w:tcW w:w="1000" w:type="dxa"/>
            <w:tcMar>
              <w:top w:w="15" w:type="dxa"/>
              <w:left w:w="15" w:type="dxa"/>
              <w:right w:w="15" w:type="dxa"/>
            </w:tcMar>
            <w:vAlign w:val="center"/>
          </w:tcPr>
          <w:p w14:paraId="37B8247F">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预期性</w:t>
            </w:r>
          </w:p>
        </w:tc>
      </w:tr>
      <w:tr w14:paraId="08A32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8760" w:type="dxa"/>
            <w:gridSpan w:val="6"/>
            <w:tcMar>
              <w:top w:w="15" w:type="dxa"/>
              <w:left w:w="15" w:type="dxa"/>
              <w:right w:w="15" w:type="dxa"/>
            </w:tcMar>
            <w:vAlign w:val="center"/>
          </w:tcPr>
          <w:p w14:paraId="62CEAA09">
            <w:pPr>
              <w:jc w:val="both"/>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四、绿色生态（</w:t>
            </w:r>
            <w:r>
              <w:rPr>
                <w:rFonts w:ascii="Times New Roman" w:hAnsi="Times New Roman" w:cs="Times New Roman"/>
                <w:kern w:val="0"/>
                <w:sz w:val="18"/>
                <w:szCs w:val="18"/>
              </w:rPr>
              <w:t>5</w:t>
            </w:r>
            <w:r>
              <w:rPr>
                <w:rFonts w:ascii="Times New Roman" w:hAnsi="Times New Roman" w:eastAsia="宋体" w:cs="Times New Roman"/>
                <w:kern w:val="0"/>
                <w:sz w:val="18"/>
                <w:szCs w:val="18"/>
              </w:rPr>
              <w:t>个）</w:t>
            </w:r>
          </w:p>
        </w:tc>
      </w:tr>
      <w:tr w14:paraId="3B58B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tcMar>
              <w:top w:w="15" w:type="dxa"/>
              <w:left w:w="15" w:type="dxa"/>
              <w:right w:w="15" w:type="dxa"/>
            </w:tcMar>
            <w:vAlign w:val="center"/>
          </w:tcPr>
          <w:p w14:paraId="0ABFF337">
            <w:pPr>
              <w:jc w:val="both"/>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19</w:t>
            </w:r>
          </w:p>
        </w:tc>
        <w:tc>
          <w:tcPr>
            <w:tcW w:w="3563" w:type="dxa"/>
            <w:tcMar>
              <w:top w:w="15" w:type="dxa"/>
              <w:left w:w="15" w:type="dxa"/>
              <w:right w:w="15" w:type="dxa"/>
            </w:tcMar>
            <w:vAlign w:val="center"/>
          </w:tcPr>
          <w:p w14:paraId="36DB7A5E">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空气质量优良天数比例（</w:t>
            </w:r>
            <w:r>
              <w:rPr>
                <w:rFonts w:ascii="Times New Roman" w:hAnsi="Times New Roman" w:eastAsia="宋体" w:cs="Times New Roman"/>
                <w:kern w:val="0"/>
                <w:sz w:val="18"/>
                <w:szCs w:val="18"/>
              </w:rPr>
              <w:t>%</w:t>
            </w:r>
            <w:r>
              <w:rPr>
                <w:rStyle w:val="42"/>
                <w:rFonts w:hint="default" w:ascii="Times New Roman" w:hAnsi="Times New Roman" w:cs="Times New Roman"/>
                <w:color w:val="auto"/>
                <w:sz w:val="18"/>
                <w:szCs w:val="18"/>
              </w:rPr>
              <w:t>）</w:t>
            </w:r>
          </w:p>
        </w:tc>
        <w:tc>
          <w:tcPr>
            <w:tcW w:w="1043" w:type="dxa"/>
            <w:tcMar>
              <w:top w:w="15" w:type="dxa"/>
              <w:left w:w="15" w:type="dxa"/>
              <w:right w:w="15" w:type="dxa"/>
            </w:tcMar>
            <w:vAlign w:val="center"/>
          </w:tcPr>
          <w:p w14:paraId="1858B96E">
            <w:pPr>
              <w:jc w:val="both"/>
              <w:rPr>
                <w:rFonts w:ascii="Times New Roman" w:hAnsi="Times New Roman" w:eastAsia="宋体" w:cs="Times New Roman"/>
                <w:sz w:val="18"/>
                <w:szCs w:val="18"/>
              </w:rPr>
            </w:pPr>
          </w:p>
        </w:tc>
        <w:tc>
          <w:tcPr>
            <w:tcW w:w="1339" w:type="dxa"/>
            <w:tcMar>
              <w:top w:w="15" w:type="dxa"/>
              <w:left w:w="15" w:type="dxa"/>
              <w:right w:w="15" w:type="dxa"/>
            </w:tcMar>
            <w:vAlign w:val="center"/>
          </w:tcPr>
          <w:p w14:paraId="23E24B9C">
            <w:pPr>
              <w:jc w:val="both"/>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完成下达任务</w:t>
            </w:r>
          </w:p>
        </w:tc>
        <w:tc>
          <w:tcPr>
            <w:tcW w:w="1042" w:type="dxa"/>
            <w:tcMar>
              <w:top w:w="15" w:type="dxa"/>
              <w:left w:w="15" w:type="dxa"/>
              <w:right w:w="15" w:type="dxa"/>
            </w:tcMar>
            <w:vAlign w:val="center"/>
          </w:tcPr>
          <w:p w14:paraId="09BBBD0A">
            <w:pPr>
              <w:jc w:val="both"/>
              <w:textAlignment w:val="center"/>
              <w:rPr>
                <w:rFonts w:ascii="Times New Roman" w:hAnsi="Times New Roman" w:eastAsia="宋体" w:cs="Times New Roman"/>
                <w:sz w:val="18"/>
                <w:szCs w:val="18"/>
              </w:rPr>
            </w:pPr>
          </w:p>
        </w:tc>
        <w:tc>
          <w:tcPr>
            <w:tcW w:w="1000" w:type="dxa"/>
            <w:tcMar>
              <w:top w:w="15" w:type="dxa"/>
              <w:left w:w="15" w:type="dxa"/>
              <w:right w:w="15" w:type="dxa"/>
            </w:tcMar>
            <w:vAlign w:val="center"/>
          </w:tcPr>
          <w:p w14:paraId="5ED5E3BA">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约束性</w:t>
            </w:r>
          </w:p>
        </w:tc>
      </w:tr>
      <w:tr w14:paraId="411FE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tcMar>
              <w:top w:w="15" w:type="dxa"/>
              <w:left w:w="15" w:type="dxa"/>
              <w:right w:w="15" w:type="dxa"/>
            </w:tcMar>
            <w:vAlign w:val="center"/>
          </w:tcPr>
          <w:p w14:paraId="73E0A1B1">
            <w:pPr>
              <w:jc w:val="both"/>
              <w:textAlignment w:val="center"/>
              <w:rPr>
                <w:rFonts w:ascii="Times New Roman" w:hAnsi="Times New Roman" w:cs="Times New Roman"/>
                <w:sz w:val="18"/>
                <w:szCs w:val="18"/>
              </w:rPr>
            </w:pPr>
            <w:r>
              <w:rPr>
                <w:rFonts w:ascii="Times New Roman" w:hAnsi="Times New Roman" w:cs="Times New Roman"/>
                <w:kern w:val="0"/>
                <w:sz w:val="18"/>
                <w:szCs w:val="18"/>
              </w:rPr>
              <w:t>20</w:t>
            </w:r>
          </w:p>
        </w:tc>
        <w:tc>
          <w:tcPr>
            <w:tcW w:w="3563" w:type="dxa"/>
            <w:tcMar>
              <w:top w:w="15" w:type="dxa"/>
              <w:left w:w="15" w:type="dxa"/>
              <w:right w:w="15" w:type="dxa"/>
            </w:tcMar>
            <w:vAlign w:val="center"/>
          </w:tcPr>
          <w:p w14:paraId="3D1E6EBB">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地表水达到或好于Ⅲ类水体比例（</w:t>
            </w:r>
            <w:r>
              <w:rPr>
                <w:rFonts w:ascii="Times New Roman" w:hAnsi="Times New Roman" w:eastAsia="宋体" w:cs="Times New Roman"/>
                <w:kern w:val="0"/>
                <w:sz w:val="18"/>
                <w:szCs w:val="18"/>
              </w:rPr>
              <w:t>%</w:t>
            </w:r>
            <w:r>
              <w:rPr>
                <w:rStyle w:val="42"/>
                <w:rFonts w:hint="default" w:ascii="Times New Roman" w:hAnsi="Times New Roman" w:cs="Times New Roman"/>
                <w:color w:val="auto"/>
                <w:sz w:val="18"/>
                <w:szCs w:val="18"/>
              </w:rPr>
              <w:t>）</w:t>
            </w:r>
          </w:p>
        </w:tc>
        <w:tc>
          <w:tcPr>
            <w:tcW w:w="1043" w:type="dxa"/>
            <w:tcMar>
              <w:top w:w="15" w:type="dxa"/>
              <w:left w:w="15" w:type="dxa"/>
              <w:right w:w="15" w:type="dxa"/>
            </w:tcMar>
            <w:vAlign w:val="center"/>
          </w:tcPr>
          <w:p w14:paraId="5ADB5B9A">
            <w:pPr>
              <w:jc w:val="both"/>
              <w:rPr>
                <w:rFonts w:ascii="Times New Roman" w:hAnsi="Times New Roman" w:eastAsia="宋体" w:cs="Times New Roman"/>
                <w:sz w:val="18"/>
                <w:szCs w:val="18"/>
              </w:rPr>
            </w:pPr>
          </w:p>
        </w:tc>
        <w:tc>
          <w:tcPr>
            <w:tcW w:w="1339" w:type="dxa"/>
            <w:tcMar>
              <w:top w:w="15" w:type="dxa"/>
              <w:left w:w="15" w:type="dxa"/>
              <w:right w:w="15" w:type="dxa"/>
            </w:tcMar>
            <w:vAlign w:val="center"/>
          </w:tcPr>
          <w:p w14:paraId="00A3CA08">
            <w:pPr>
              <w:jc w:val="both"/>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完成下达任务</w:t>
            </w:r>
          </w:p>
        </w:tc>
        <w:tc>
          <w:tcPr>
            <w:tcW w:w="1042" w:type="dxa"/>
            <w:tcMar>
              <w:top w:w="15" w:type="dxa"/>
              <w:left w:w="15" w:type="dxa"/>
              <w:right w:w="15" w:type="dxa"/>
            </w:tcMar>
            <w:vAlign w:val="center"/>
          </w:tcPr>
          <w:p w14:paraId="6B0D4275">
            <w:pPr>
              <w:jc w:val="both"/>
              <w:textAlignment w:val="center"/>
              <w:rPr>
                <w:rFonts w:ascii="Times New Roman" w:hAnsi="Times New Roman" w:eastAsia="宋体" w:cs="Times New Roman"/>
                <w:sz w:val="18"/>
                <w:szCs w:val="18"/>
              </w:rPr>
            </w:pPr>
          </w:p>
        </w:tc>
        <w:tc>
          <w:tcPr>
            <w:tcW w:w="1000" w:type="dxa"/>
            <w:tcMar>
              <w:top w:w="15" w:type="dxa"/>
              <w:left w:w="15" w:type="dxa"/>
              <w:right w:w="15" w:type="dxa"/>
            </w:tcMar>
            <w:vAlign w:val="center"/>
          </w:tcPr>
          <w:p w14:paraId="384028A3">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约束性</w:t>
            </w:r>
          </w:p>
        </w:tc>
      </w:tr>
      <w:tr w14:paraId="1BC80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tcMar>
              <w:top w:w="15" w:type="dxa"/>
              <w:left w:w="15" w:type="dxa"/>
              <w:right w:w="15" w:type="dxa"/>
            </w:tcMar>
            <w:vAlign w:val="center"/>
          </w:tcPr>
          <w:p w14:paraId="32B3C8AF">
            <w:pPr>
              <w:jc w:val="both"/>
              <w:textAlignment w:val="center"/>
              <w:rPr>
                <w:rFonts w:ascii="Times New Roman" w:hAnsi="Times New Roman" w:cs="Times New Roman"/>
                <w:sz w:val="18"/>
                <w:szCs w:val="18"/>
              </w:rPr>
            </w:pPr>
            <w:r>
              <w:rPr>
                <w:rFonts w:ascii="Times New Roman" w:hAnsi="Times New Roman" w:cs="Times New Roman"/>
                <w:sz w:val="18"/>
                <w:szCs w:val="18"/>
              </w:rPr>
              <w:t>21</w:t>
            </w:r>
          </w:p>
        </w:tc>
        <w:tc>
          <w:tcPr>
            <w:tcW w:w="3563" w:type="dxa"/>
            <w:tcMar>
              <w:top w:w="15" w:type="dxa"/>
              <w:left w:w="15" w:type="dxa"/>
              <w:right w:w="15" w:type="dxa"/>
            </w:tcMar>
            <w:vAlign w:val="center"/>
          </w:tcPr>
          <w:p w14:paraId="4C256278">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森林覆盖率（</w:t>
            </w:r>
            <w:r>
              <w:rPr>
                <w:rFonts w:ascii="Times New Roman" w:hAnsi="Times New Roman" w:eastAsia="宋体" w:cs="Times New Roman"/>
                <w:kern w:val="0"/>
                <w:sz w:val="18"/>
                <w:szCs w:val="18"/>
              </w:rPr>
              <w:t>%</w:t>
            </w:r>
            <w:r>
              <w:rPr>
                <w:rStyle w:val="42"/>
                <w:rFonts w:hint="default" w:ascii="Times New Roman" w:hAnsi="Times New Roman" w:cs="Times New Roman"/>
                <w:color w:val="auto"/>
                <w:sz w:val="18"/>
                <w:szCs w:val="18"/>
              </w:rPr>
              <w:t>）</w:t>
            </w:r>
          </w:p>
        </w:tc>
        <w:tc>
          <w:tcPr>
            <w:tcW w:w="1043" w:type="dxa"/>
            <w:tcMar>
              <w:top w:w="15" w:type="dxa"/>
              <w:left w:w="15" w:type="dxa"/>
              <w:right w:w="15" w:type="dxa"/>
            </w:tcMar>
            <w:vAlign w:val="center"/>
          </w:tcPr>
          <w:p w14:paraId="3F65DFAD">
            <w:pPr>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29.8</w:t>
            </w:r>
          </w:p>
        </w:tc>
        <w:tc>
          <w:tcPr>
            <w:tcW w:w="1339" w:type="dxa"/>
            <w:tcMar>
              <w:top w:w="15" w:type="dxa"/>
              <w:left w:w="15" w:type="dxa"/>
              <w:right w:w="15" w:type="dxa"/>
            </w:tcMar>
            <w:vAlign w:val="center"/>
          </w:tcPr>
          <w:p w14:paraId="41359360">
            <w:pPr>
              <w:jc w:val="both"/>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30.8</w:t>
            </w:r>
          </w:p>
        </w:tc>
        <w:tc>
          <w:tcPr>
            <w:tcW w:w="1042" w:type="dxa"/>
            <w:tcMar>
              <w:top w:w="15" w:type="dxa"/>
              <w:left w:w="15" w:type="dxa"/>
              <w:right w:w="15" w:type="dxa"/>
            </w:tcMar>
            <w:vAlign w:val="center"/>
          </w:tcPr>
          <w:p w14:paraId="637C139A">
            <w:pPr>
              <w:jc w:val="both"/>
              <w:textAlignment w:val="center"/>
              <w:rPr>
                <w:rFonts w:ascii="Times New Roman" w:hAnsi="Times New Roman" w:eastAsia="宋体" w:cs="Times New Roman"/>
                <w:sz w:val="18"/>
                <w:szCs w:val="18"/>
              </w:rPr>
            </w:pPr>
          </w:p>
        </w:tc>
        <w:tc>
          <w:tcPr>
            <w:tcW w:w="1000" w:type="dxa"/>
            <w:tcMar>
              <w:top w:w="15" w:type="dxa"/>
              <w:left w:w="15" w:type="dxa"/>
              <w:right w:w="15" w:type="dxa"/>
            </w:tcMar>
            <w:vAlign w:val="center"/>
          </w:tcPr>
          <w:p w14:paraId="26C032A8">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约束性</w:t>
            </w:r>
          </w:p>
        </w:tc>
      </w:tr>
      <w:tr w14:paraId="6F0AD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tcMar>
              <w:top w:w="15" w:type="dxa"/>
              <w:left w:w="15" w:type="dxa"/>
              <w:right w:w="15" w:type="dxa"/>
            </w:tcMar>
            <w:vAlign w:val="center"/>
          </w:tcPr>
          <w:p w14:paraId="330A6C24">
            <w:pPr>
              <w:jc w:val="both"/>
              <w:textAlignment w:val="center"/>
              <w:rPr>
                <w:rFonts w:ascii="Times New Roman" w:hAnsi="Times New Roman" w:cs="Times New Roman"/>
                <w:sz w:val="18"/>
                <w:szCs w:val="18"/>
              </w:rPr>
            </w:pPr>
            <w:r>
              <w:rPr>
                <w:rFonts w:ascii="Times New Roman" w:hAnsi="Times New Roman" w:cs="Times New Roman"/>
                <w:kern w:val="0"/>
                <w:sz w:val="18"/>
                <w:szCs w:val="18"/>
              </w:rPr>
              <w:t>22</w:t>
            </w:r>
          </w:p>
        </w:tc>
        <w:tc>
          <w:tcPr>
            <w:tcW w:w="3563" w:type="dxa"/>
            <w:tcMar>
              <w:top w:w="15" w:type="dxa"/>
              <w:left w:w="15" w:type="dxa"/>
              <w:right w:w="15" w:type="dxa"/>
            </w:tcMar>
            <w:vAlign w:val="center"/>
          </w:tcPr>
          <w:p w14:paraId="0E248957">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单位</w:t>
            </w:r>
            <w:r>
              <w:rPr>
                <w:rFonts w:ascii="Times New Roman" w:hAnsi="Times New Roman" w:eastAsia="宋体" w:cs="Times New Roman"/>
                <w:kern w:val="0"/>
                <w:sz w:val="18"/>
                <w:szCs w:val="18"/>
              </w:rPr>
              <w:t>GDP</w:t>
            </w:r>
            <w:r>
              <w:rPr>
                <w:rStyle w:val="42"/>
                <w:rFonts w:hint="default" w:ascii="Times New Roman" w:hAnsi="Times New Roman" w:cs="Times New Roman"/>
                <w:color w:val="auto"/>
                <w:sz w:val="18"/>
                <w:szCs w:val="18"/>
              </w:rPr>
              <w:t>能源消耗降低（</w:t>
            </w:r>
            <w:r>
              <w:rPr>
                <w:rFonts w:ascii="Times New Roman" w:hAnsi="Times New Roman" w:eastAsia="宋体" w:cs="Times New Roman"/>
                <w:kern w:val="0"/>
                <w:sz w:val="18"/>
                <w:szCs w:val="18"/>
              </w:rPr>
              <w:t>%</w:t>
            </w:r>
            <w:r>
              <w:rPr>
                <w:rStyle w:val="42"/>
                <w:rFonts w:hint="default" w:ascii="Times New Roman" w:hAnsi="Times New Roman" w:cs="Times New Roman"/>
                <w:color w:val="auto"/>
                <w:sz w:val="18"/>
                <w:szCs w:val="18"/>
              </w:rPr>
              <w:t>）</w:t>
            </w:r>
          </w:p>
        </w:tc>
        <w:tc>
          <w:tcPr>
            <w:tcW w:w="1043" w:type="dxa"/>
            <w:tcMar>
              <w:top w:w="15" w:type="dxa"/>
              <w:left w:w="15" w:type="dxa"/>
              <w:right w:w="15" w:type="dxa"/>
            </w:tcMar>
            <w:vAlign w:val="center"/>
          </w:tcPr>
          <w:p w14:paraId="09C66904">
            <w:pPr>
              <w:jc w:val="both"/>
              <w:textAlignment w:val="center"/>
              <w:rPr>
                <w:rFonts w:ascii="Times New Roman" w:hAnsi="Times New Roman" w:eastAsia="宋体" w:cs="Times New Roman"/>
                <w:sz w:val="18"/>
                <w:szCs w:val="18"/>
              </w:rPr>
            </w:pPr>
          </w:p>
        </w:tc>
        <w:tc>
          <w:tcPr>
            <w:tcW w:w="1339" w:type="dxa"/>
            <w:tcMar>
              <w:top w:w="15" w:type="dxa"/>
              <w:left w:w="15" w:type="dxa"/>
              <w:right w:w="15" w:type="dxa"/>
            </w:tcMar>
            <w:vAlign w:val="center"/>
          </w:tcPr>
          <w:p w14:paraId="67DA53B6">
            <w:pPr>
              <w:jc w:val="both"/>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完成下达任务</w:t>
            </w:r>
          </w:p>
        </w:tc>
        <w:tc>
          <w:tcPr>
            <w:tcW w:w="1042" w:type="dxa"/>
            <w:tcMar>
              <w:top w:w="15" w:type="dxa"/>
              <w:left w:w="15" w:type="dxa"/>
              <w:right w:w="15" w:type="dxa"/>
            </w:tcMar>
            <w:vAlign w:val="center"/>
          </w:tcPr>
          <w:p w14:paraId="0BC8AC3D">
            <w:pPr>
              <w:jc w:val="both"/>
              <w:textAlignment w:val="center"/>
              <w:rPr>
                <w:rFonts w:ascii="Times New Roman" w:hAnsi="Times New Roman" w:eastAsia="宋体" w:cs="Times New Roman"/>
                <w:sz w:val="18"/>
                <w:szCs w:val="18"/>
              </w:rPr>
            </w:pPr>
          </w:p>
        </w:tc>
        <w:tc>
          <w:tcPr>
            <w:tcW w:w="1000" w:type="dxa"/>
            <w:tcMar>
              <w:top w:w="15" w:type="dxa"/>
              <w:left w:w="15" w:type="dxa"/>
              <w:right w:w="15" w:type="dxa"/>
            </w:tcMar>
            <w:vAlign w:val="center"/>
          </w:tcPr>
          <w:p w14:paraId="6AB538D1">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约束性</w:t>
            </w:r>
          </w:p>
        </w:tc>
      </w:tr>
      <w:tr w14:paraId="358F7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tcMar>
              <w:top w:w="15" w:type="dxa"/>
              <w:left w:w="15" w:type="dxa"/>
              <w:right w:w="15" w:type="dxa"/>
            </w:tcMar>
            <w:vAlign w:val="center"/>
          </w:tcPr>
          <w:p w14:paraId="1932986E">
            <w:pPr>
              <w:jc w:val="both"/>
              <w:textAlignment w:val="center"/>
              <w:rPr>
                <w:rFonts w:ascii="Times New Roman" w:hAnsi="Times New Roman" w:cs="Times New Roman"/>
                <w:sz w:val="18"/>
                <w:szCs w:val="18"/>
              </w:rPr>
            </w:pPr>
            <w:r>
              <w:rPr>
                <w:rFonts w:ascii="Times New Roman" w:hAnsi="Times New Roman" w:cs="Times New Roman"/>
                <w:kern w:val="0"/>
                <w:sz w:val="18"/>
                <w:szCs w:val="18"/>
              </w:rPr>
              <w:t>23</w:t>
            </w:r>
          </w:p>
        </w:tc>
        <w:tc>
          <w:tcPr>
            <w:tcW w:w="3563" w:type="dxa"/>
            <w:tcMar>
              <w:top w:w="15" w:type="dxa"/>
              <w:left w:w="15" w:type="dxa"/>
              <w:right w:w="15" w:type="dxa"/>
            </w:tcMar>
            <w:vAlign w:val="center"/>
          </w:tcPr>
          <w:p w14:paraId="4B480D63">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单位</w:t>
            </w:r>
            <w:r>
              <w:rPr>
                <w:rFonts w:ascii="Times New Roman" w:hAnsi="Times New Roman" w:eastAsia="宋体" w:cs="Times New Roman"/>
                <w:kern w:val="0"/>
                <w:sz w:val="18"/>
                <w:szCs w:val="18"/>
              </w:rPr>
              <w:t>GDP</w:t>
            </w:r>
            <w:r>
              <w:rPr>
                <w:rStyle w:val="42"/>
                <w:rFonts w:hint="default" w:ascii="Times New Roman" w:hAnsi="Times New Roman" w:cs="Times New Roman"/>
                <w:color w:val="auto"/>
                <w:sz w:val="18"/>
                <w:szCs w:val="18"/>
              </w:rPr>
              <w:t>二氧化碳排放降低（</w:t>
            </w:r>
            <w:r>
              <w:rPr>
                <w:rFonts w:ascii="Times New Roman" w:hAnsi="Times New Roman" w:eastAsia="宋体" w:cs="Times New Roman"/>
                <w:kern w:val="0"/>
                <w:sz w:val="18"/>
                <w:szCs w:val="18"/>
              </w:rPr>
              <w:t>%</w:t>
            </w:r>
            <w:r>
              <w:rPr>
                <w:rStyle w:val="42"/>
                <w:rFonts w:hint="default" w:ascii="Times New Roman" w:hAnsi="Times New Roman" w:cs="Times New Roman"/>
                <w:color w:val="auto"/>
                <w:sz w:val="18"/>
                <w:szCs w:val="18"/>
              </w:rPr>
              <w:t>）</w:t>
            </w:r>
          </w:p>
        </w:tc>
        <w:tc>
          <w:tcPr>
            <w:tcW w:w="1043" w:type="dxa"/>
            <w:tcMar>
              <w:top w:w="15" w:type="dxa"/>
              <w:left w:w="15" w:type="dxa"/>
              <w:right w:w="15" w:type="dxa"/>
            </w:tcMar>
            <w:vAlign w:val="center"/>
          </w:tcPr>
          <w:p w14:paraId="05610AF8">
            <w:pPr>
              <w:jc w:val="both"/>
              <w:textAlignment w:val="center"/>
              <w:rPr>
                <w:rFonts w:ascii="Times New Roman" w:hAnsi="Times New Roman" w:eastAsia="宋体" w:cs="Times New Roman"/>
                <w:sz w:val="18"/>
                <w:szCs w:val="18"/>
              </w:rPr>
            </w:pPr>
          </w:p>
        </w:tc>
        <w:tc>
          <w:tcPr>
            <w:tcW w:w="1339" w:type="dxa"/>
            <w:tcMar>
              <w:top w:w="15" w:type="dxa"/>
              <w:left w:w="15" w:type="dxa"/>
              <w:right w:w="15" w:type="dxa"/>
            </w:tcMar>
            <w:vAlign w:val="center"/>
          </w:tcPr>
          <w:p w14:paraId="54228524">
            <w:pPr>
              <w:jc w:val="both"/>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完成下达任务</w:t>
            </w:r>
          </w:p>
        </w:tc>
        <w:tc>
          <w:tcPr>
            <w:tcW w:w="1042" w:type="dxa"/>
            <w:tcMar>
              <w:top w:w="15" w:type="dxa"/>
              <w:left w:w="15" w:type="dxa"/>
              <w:right w:w="15" w:type="dxa"/>
            </w:tcMar>
            <w:vAlign w:val="center"/>
          </w:tcPr>
          <w:p w14:paraId="10456806">
            <w:pPr>
              <w:jc w:val="both"/>
              <w:textAlignment w:val="center"/>
              <w:rPr>
                <w:rFonts w:ascii="Times New Roman" w:hAnsi="Times New Roman" w:eastAsia="宋体" w:cs="Times New Roman"/>
                <w:sz w:val="18"/>
                <w:szCs w:val="18"/>
              </w:rPr>
            </w:pPr>
          </w:p>
        </w:tc>
        <w:tc>
          <w:tcPr>
            <w:tcW w:w="1000" w:type="dxa"/>
            <w:tcMar>
              <w:top w:w="15" w:type="dxa"/>
              <w:left w:w="15" w:type="dxa"/>
              <w:right w:w="15" w:type="dxa"/>
            </w:tcMar>
            <w:vAlign w:val="center"/>
          </w:tcPr>
          <w:p w14:paraId="0D3AAB6D">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约束性</w:t>
            </w:r>
          </w:p>
        </w:tc>
      </w:tr>
      <w:tr w14:paraId="7C73D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8760" w:type="dxa"/>
            <w:gridSpan w:val="6"/>
            <w:tcMar>
              <w:top w:w="15" w:type="dxa"/>
              <w:left w:w="15" w:type="dxa"/>
              <w:right w:w="15" w:type="dxa"/>
            </w:tcMar>
            <w:vAlign w:val="center"/>
          </w:tcPr>
          <w:p w14:paraId="6722DEA1">
            <w:pPr>
              <w:jc w:val="both"/>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五、人的全面发展（1</w:t>
            </w:r>
            <w:r>
              <w:rPr>
                <w:rFonts w:ascii="Times New Roman" w:hAnsi="Times New Roman" w:cs="Times New Roman"/>
                <w:kern w:val="0"/>
                <w:sz w:val="18"/>
                <w:szCs w:val="18"/>
              </w:rPr>
              <w:t>0</w:t>
            </w:r>
            <w:r>
              <w:rPr>
                <w:rFonts w:ascii="Times New Roman" w:hAnsi="Times New Roman" w:eastAsia="宋体" w:cs="Times New Roman"/>
                <w:kern w:val="0"/>
                <w:sz w:val="18"/>
                <w:szCs w:val="18"/>
              </w:rPr>
              <w:t>个）</w:t>
            </w:r>
          </w:p>
        </w:tc>
      </w:tr>
      <w:tr w14:paraId="2D334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tcMar>
              <w:top w:w="15" w:type="dxa"/>
              <w:left w:w="15" w:type="dxa"/>
              <w:right w:w="15" w:type="dxa"/>
            </w:tcMar>
            <w:vAlign w:val="center"/>
          </w:tcPr>
          <w:p w14:paraId="4F033DCE">
            <w:pPr>
              <w:jc w:val="both"/>
              <w:textAlignment w:val="center"/>
              <w:rPr>
                <w:rFonts w:ascii="Times New Roman" w:hAnsi="Times New Roman" w:cs="Times New Roman"/>
                <w:sz w:val="18"/>
                <w:szCs w:val="18"/>
              </w:rPr>
            </w:pPr>
            <w:r>
              <w:rPr>
                <w:rFonts w:ascii="Times New Roman" w:hAnsi="Times New Roman" w:cs="Times New Roman"/>
                <w:kern w:val="0"/>
                <w:sz w:val="18"/>
                <w:szCs w:val="18"/>
              </w:rPr>
              <w:t>24</w:t>
            </w:r>
          </w:p>
        </w:tc>
        <w:tc>
          <w:tcPr>
            <w:tcW w:w="3563" w:type="dxa"/>
            <w:tcMar>
              <w:top w:w="15" w:type="dxa"/>
              <w:left w:w="15" w:type="dxa"/>
              <w:right w:w="15" w:type="dxa"/>
            </w:tcMar>
            <w:vAlign w:val="center"/>
          </w:tcPr>
          <w:p w14:paraId="400750B4">
            <w:pPr>
              <w:jc w:val="both"/>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从业人员持证率</w:t>
            </w:r>
            <w:r>
              <w:rPr>
                <w:rStyle w:val="42"/>
                <w:rFonts w:hint="default" w:ascii="Times New Roman" w:hAnsi="Times New Roman" w:cs="Times New Roman"/>
                <w:color w:val="auto"/>
                <w:sz w:val="18"/>
                <w:szCs w:val="18"/>
              </w:rPr>
              <w:t>（</w:t>
            </w:r>
            <w:r>
              <w:rPr>
                <w:rFonts w:ascii="Times New Roman" w:hAnsi="Times New Roman" w:eastAsia="宋体" w:cs="Times New Roman"/>
                <w:kern w:val="0"/>
                <w:sz w:val="18"/>
                <w:szCs w:val="18"/>
              </w:rPr>
              <w:t>%</w:t>
            </w:r>
            <w:r>
              <w:rPr>
                <w:rStyle w:val="42"/>
                <w:rFonts w:hint="default" w:ascii="Times New Roman" w:hAnsi="Times New Roman" w:cs="Times New Roman"/>
                <w:color w:val="auto"/>
                <w:sz w:val="18"/>
                <w:szCs w:val="18"/>
              </w:rPr>
              <w:t>）</w:t>
            </w:r>
          </w:p>
        </w:tc>
        <w:tc>
          <w:tcPr>
            <w:tcW w:w="1043" w:type="dxa"/>
            <w:tcMar>
              <w:top w:w="15" w:type="dxa"/>
              <w:left w:w="15" w:type="dxa"/>
              <w:right w:w="15" w:type="dxa"/>
            </w:tcMar>
            <w:vAlign w:val="center"/>
          </w:tcPr>
          <w:p w14:paraId="51B52065">
            <w:pPr>
              <w:jc w:val="both"/>
              <w:rPr>
                <w:rFonts w:ascii="Times New Roman" w:hAnsi="Times New Roman" w:eastAsia="宋体" w:cs="Times New Roman"/>
                <w:sz w:val="18"/>
                <w:szCs w:val="18"/>
              </w:rPr>
            </w:pPr>
          </w:p>
        </w:tc>
        <w:tc>
          <w:tcPr>
            <w:tcW w:w="1339" w:type="dxa"/>
            <w:tcMar>
              <w:top w:w="15" w:type="dxa"/>
              <w:left w:w="15" w:type="dxa"/>
              <w:right w:w="15" w:type="dxa"/>
            </w:tcMar>
            <w:vAlign w:val="center"/>
          </w:tcPr>
          <w:p w14:paraId="76782C0B">
            <w:pPr>
              <w:jc w:val="both"/>
              <w:rPr>
                <w:rFonts w:ascii="Times New Roman" w:hAnsi="Times New Roman" w:eastAsia="宋体" w:cs="Times New Roman"/>
                <w:sz w:val="18"/>
                <w:szCs w:val="18"/>
              </w:rPr>
            </w:pPr>
            <w:r>
              <w:rPr>
                <w:rFonts w:ascii="Arial" w:hAnsi="Arial" w:eastAsia="宋体" w:cs="Arial"/>
                <w:sz w:val="18"/>
                <w:szCs w:val="18"/>
              </w:rPr>
              <w:t>≥</w:t>
            </w:r>
            <w:r>
              <w:rPr>
                <w:rFonts w:hint="eastAsia" w:ascii="Times New Roman" w:hAnsi="Times New Roman" w:eastAsia="宋体" w:cs="Times New Roman"/>
                <w:sz w:val="18"/>
                <w:szCs w:val="18"/>
              </w:rPr>
              <w:t>30</w:t>
            </w:r>
          </w:p>
        </w:tc>
        <w:tc>
          <w:tcPr>
            <w:tcW w:w="1042" w:type="dxa"/>
            <w:tcMar>
              <w:top w:w="15" w:type="dxa"/>
              <w:left w:w="15" w:type="dxa"/>
              <w:right w:w="15" w:type="dxa"/>
            </w:tcMar>
            <w:vAlign w:val="center"/>
          </w:tcPr>
          <w:p w14:paraId="155C759C">
            <w:pPr>
              <w:jc w:val="both"/>
              <w:textAlignment w:val="center"/>
              <w:rPr>
                <w:rFonts w:ascii="Times New Roman" w:hAnsi="Times New Roman" w:eastAsia="宋体" w:cs="Times New Roman"/>
                <w:sz w:val="18"/>
                <w:szCs w:val="18"/>
              </w:rPr>
            </w:pPr>
          </w:p>
        </w:tc>
        <w:tc>
          <w:tcPr>
            <w:tcW w:w="1000" w:type="dxa"/>
            <w:tcMar>
              <w:top w:w="15" w:type="dxa"/>
              <w:left w:w="15" w:type="dxa"/>
              <w:right w:w="15" w:type="dxa"/>
            </w:tcMar>
            <w:vAlign w:val="center"/>
          </w:tcPr>
          <w:p w14:paraId="26D5B08C">
            <w:pPr>
              <w:jc w:val="both"/>
              <w:textAlignment w:val="center"/>
              <w:rPr>
                <w:rFonts w:ascii="Times New Roman" w:hAnsi="Times New Roman" w:eastAsia="宋体" w:cs="Times New Roman"/>
                <w:sz w:val="18"/>
                <w:szCs w:val="18"/>
              </w:rPr>
            </w:pPr>
            <w:r>
              <w:rPr>
                <w:rStyle w:val="44"/>
                <w:rFonts w:hint="default" w:ascii="Times New Roman" w:hAnsi="Times New Roman" w:cs="Times New Roman"/>
                <w:color w:val="auto"/>
                <w:sz w:val="18"/>
                <w:szCs w:val="18"/>
              </w:rPr>
              <w:t>预期性</w:t>
            </w:r>
          </w:p>
        </w:tc>
      </w:tr>
      <w:tr w14:paraId="07895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773" w:type="dxa"/>
            <w:tcMar>
              <w:top w:w="15" w:type="dxa"/>
              <w:left w:w="15" w:type="dxa"/>
              <w:right w:w="15" w:type="dxa"/>
            </w:tcMar>
            <w:vAlign w:val="center"/>
          </w:tcPr>
          <w:p w14:paraId="0C6FAE4A">
            <w:pPr>
              <w:jc w:val="both"/>
              <w:textAlignment w:val="center"/>
              <w:rPr>
                <w:rFonts w:ascii="Times New Roman" w:hAnsi="Times New Roman" w:cs="Times New Roman"/>
                <w:kern w:val="0"/>
                <w:sz w:val="18"/>
                <w:szCs w:val="18"/>
              </w:rPr>
            </w:pPr>
            <w:r>
              <w:rPr>
                <w:rFonts w:ascii="Times New Roman" w:hAnsi="Times New Roman" w:cs="Times New Roman"/>
                <w:kern w:val="0"/>
                <w:sz w:val="18"/>
                <w:szCs w:val="18"/>
              </w:rPr>
              <w:t>25</w:t>
            </w:r>
          </w:p>
        </w:tc>
        <w:tc>
          <w:tcPr>
            <w:tcW w:w="3563" w:type="dxa"/>
            <w:tcMar>
              <w:top w:w="15" w:type="dxa"/>
              <w:left w:w="15" w:type="dxa"/>
              <w:right w:w="15" w:type="dxa"/>
            </w:tcMar>
            <w:vAlign w:val="center"/>
          </w:tcPr>
          <w:p w14:paraId="74036E30">
            <w:pPr>
              <w:jc w:val="both"/>
              <w:textAlignment w:val="center"/>
              <w:rPr>
                <w:rFonts w:ascii="Times New Roman" w:hAnsi="Times New Roman" w:eastAsia="宋体" w:cs="Times New Roman"/>
                <w:kern w:val="0"/>
                <w:sz w:val="18"/>
                <w:szCs w:val="18"/>
              </w:rPr>
            </w:pPr>
            <w:r>
              <w:rPr>
                <w:rFonts w:ascii="Times New Roman" w:hAnsi="Times New Roman" w:cs="Times New Roman"/>
                <w:kern w:val="0"/>
                <w:sz w:val="18"/>
                <w:szCs w:val="18"/>
              </w:rPr>
              <w:t>全社会劳动力持证率（%）</w:t>
            </w:r>
          </w:p>
        </w:tc>
        <w:tc>
          <w:tcPr>
            <w:tcW w:w="1043" w:type="dxa"/>
            <w:tcMar>
              <w:top w:w="15" w:type="dxa"/>
              <w:left w:w="15" w:type="dxa"/>
              <w:right w:w="15" w:type="dxa"/>
            </w:tcMar>
            <w:vAlign w:val="center"/>
          </w:tcPr>
          <w:p w14:paraId="720FBA05">
            <w:pPr>
              <w:jc w:val="both"/>
              <w:rPr>
                <w:rFonts w:ascii="Times New Roman" w:hAnsi="Times New Roman" w:eastAsia="宋体" w:cs="Times New Roman"/>
                <w:sz w:val="18"/>
                <w:szCs w:val="18"/>
              </w:rPr>
            </w:pPr>
          </w:p>
        </w:tc>
        <w:tc>
          <w:tcPr>
            <w:tcW w:w="1339" w:type="dxa"/>
            <w:tcMar>
              <w:top w:w="15" w:type="dxa"/>
              <w:left w:w="15" w:type="dxa"/>
              <w:right w:w="15" w:type="dxa"/>
            </w:tcMar>
            <w:vAlign w:val="center"/>
          </w:tcPr>
          <w:p w14:paraId="2B7B47AB">
            <w:pPr>
              <w:jc w:val="both"/>
              <w:rPr>
                <w:rFonts w:ascii="Times New Roman" w:hAnsi="Times New Roman" w:eastAsia="宋体" w:cs="Times New Roman"/>
                <w:sz w:val="18"/>
                <w:szCs w:val="18"/>
              </w:rPr>
            </w:pPr>
            <w:r>
              <w:rPr>
                <w:rFonts w:ascii="Arial" w:hAnsi="Arial" w:eastAsia="宋体" w:cs="Arial"/>
                <w:sz w:val="18"/>
                <w:szCs w:val="18"/>
              </w:rPr>
              <w:t>≥</w:t>
            </w:r>
            <w:r>
              <w:rPr>
                <w:rFonts w:hint="eastAsia" w:ascii="Times New Roman" w:hAnsi="Times New Roman" w:eastAsia="宋体" w:cs="Times New Roman"/>
                <w:sz w:val="18"/>
                <w:szCs w:val="18"/>
              </w:rPr>
              <w:t>20</w:t>
            </w:r>
          </w:p>
        </w:tc>
        <w:tc>
          <w:tcPr>
            <w:tcW w:w="1042" w:type="dxa"/>
            <w:tcMar>
              <w:top w:w="15" w:type="dxa"/>
              <w:left w:w="15" w:type="dxa"/>
              <w:right w:w="15" w:type="dxa"/>
            </w:tcMar>
            <w:vAlign w:val="center"/>
          </w:tcPr>
          <w:p w14:paraId="7B4773AB">
            <w:pPr>
              <w:jc w:val="both"/>
              <w:textAlignment w:val="center"/>
              <w:rPr>
                <w:rFonts w:ascii="Times New Roman" w:hAnsi="Times New Roman" w:eastAsia="宋体" w:cs="Times New Roman"/>
                <w:sz w:val="18"/>
                <w:szCs w:val="18"/>
              </w:rPr>
            </w:pPr>
          </w:p>
        </w:tc>
        <w:tc>
          <w:tcPr>
            <w:tcW w:w="1000" w:type="dxa"/>
            <w:tcMar>
              <w:top w:w="15" w:type="dxa"/>
              <w:left w:w="15" w:type="dxa"/>
              <w:right w:w="15" w:type="dxa"/>
            </w:tcMar>
            <w:vAlign w:val="center"/>
          </w:tcPr>
          <w:tbl>
            <w:tblPr>
              <w:tblStyle w:val="18"/>
              <w:tblW w:w="83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1"/>
            </w:tblGrid>
            <w:tr w14:paraId="47699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hRule="atLeast"/>
                <w:jc w:val="center"/>
              </w:trPr>
              <w:tc>
                <w:tcPr>
                  <w:tcW w:w="8341" w:type="dxa"/>
                  <w:tcMar>
                    <w:top w:w="15" w:type="dxa"/>
                    <w:left w:w="15" w:type="dxa"/>
                    <w:right w:w="15" w:type="dxa"/>
                  </w:tcMar>
                  <w:vAlign w:val="center"/>
                </w:tcPr>
                <w:p w14:paraId="0D235301">
                  <w:pPr>
                    <w:jc w:val="both"/>
                    <w:textAlignment w:val="center"/>
                    <w:rPr>
                      <w:rFonts w:ascii="Times New Roman" w:hAnsi="Times New Roman" w:eastAsia="宋体" w:cs="Times New Roman"/>
                      <w:sz w:val="18"/>
                      <w:szCs w:val="18"/>
                    </w:rPr>
                  </w:pPr>
                  <w:r>
                    <w:rPr>
                      <w:rStyle w:val="44"/>
                      <w:rFonts w:hint="default" w:ascii="Times New Roman" w:hAnsi="Times New Roman" w:cs="Times New Roman"/>
                      <w:color w:val="auto"/>
                      <w:sz w:val="18"/>
                      <w:szCs w:val="18"/>
                    </w:rPr>
                    <w:t>预期性</w:t>
                  </w:r>
                </w:p>
              </w:tc>
            </w:tr>
          </w:tbl>
          <w:p w14:paraId="72933AD5">
            <w:pPr>
              <w:jc w:val="both"/>
              <w:textAlignment w:val="center"/>
              <w:rPr>
                <w:rStyle w:val="44"/>
                <w:rFonts w:hint="default" w:ascii="Times New Roman" w:hAnsi="Times New Roman" w:cs="Times New Roman"/>
                <w:color w:val="auto"/>
                <w:sz w:val="18"/>
                <w:szCs w:val="18"/>
              </w:rPr>
            </w:pPr>
          </w:p>
        </w:tc>
      </w:tr>
      <w:tr w14:paraId="56D4C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tcMar>
              <w:top w:w="15" w:type="dxa"/>
              <w:left w:w="15" w:type="dxa"/>
              <w:right w:w="15" w:type="dxa"/>
            </w:tcMar>
            <w:vAlign w:val="center"/>
          </w:tcPr>
          <w:p w14:paraId="07A7E30D">
            <w:pPr>
              <w:jc w:val="both"/>
              <w:textAlignment w:val="center"/>
              <w:rPr>
                <w:rFonts w:ascii="Times New Roman" w:hAnsi="Times New Roman" w:cs="Times New Roman"/>
                <w:kern w:val="0"/>
                <w:sz w:val="18"/>
                <w:szCs w:val="18"/>
              </w:rPr>
            </w:pPr>
            <w:r>
              <w:rPr>
                <w:rFonts w:ascii="Times New Roman" w:hAnsi="Times New Roman" w:cs="Times New Roman"/>
                <w:kern w:val="0"/>
                <w:sz w:val="18"/>
                <w:szCs w:val="18"/>
              </w:rPr>
              <w:t>26</w:t>
            </w:r>
          </w:p>
        </w:tc>
        <w:tc>
          <w:tcPr>
            <w:tcW w:w="3563" w:type="dxa"/>
            <w:tcMar>
              <w:top w:w="15" w:type="dxa"/>
              <w:left w:w="15" w:type="dxa"/>
              <w:right w:w="15" w:type="dxa"/>
            </w:tcMar>
            <w:vAlign w:val="center"/>
          </w:tcPr>
          <w:p w14:paraId="3E2573BA">
            <w:pPr>
              <w:jc w:val="both"/>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城镇居民人均可支配收入</w:t>
            </w:r>
            <w:r>
              <w:rPr>
                <w:rFonts w:ascii="Times New Roman" w:hAnsi="Times New Roman" w:cs="Times New Roman"/>
                <w:kern w:val="0"/>
                <w:sz w:val="18"/>
                <w:szCs w:val="18"/>
              </w:rPr>
              <w:t>增长率</w:t>
            </w:r>
            <w:r>
              <w:rPr>
                <w:rFonts w:ascii="Times New Roman" w:hAnsi="Times New Roman" w:eastAsia="宋体" w:cs="Times New Roman"/>
                <w:kern w:val="0"/>
                <w:sz w:val="18"/>
                <w:szCs w:val="18"/>
              </w:rPr>
              <w:t>（</w:t>
            </w:r>
            <w:r>
              <w:rPr>
                <w:rFonts w:ascii="Times New Roman" w:hAnsi="Times New Roman" w:cs="Times New Roman"/>
                <w:kern w:val="0"/>
                <w:sz w:val="18"/>
                <w:szCs w:val="18"/>
              </w:rPr>
              <w:t>%</w:t>
            </w:r>
            <w:r>
              <w:rPr>
                <w:rFonts w:ascii="Times New Roman" w:hAnsi="Times New Roman" w:eastAsia="宋体" w:cs="Times New Roman"/>
                <w:kern w:val="0"/>
                <w:sz w:val="18"/>
                <w:szCs w:val="18"/>
              </w:rPr>
              <w:t>）</w:t>
            </w:r>
          </w:p>
        </w:tc>
        <w:tc>
          <w:tcPr>
            <w:tcW w:w="1043" w:type="dxa"/>
            <w:tcMar>
              <w:top w:w="15" w:type="dxa"/>
              <w:left w:w="15" w:type="dxa"/>
              <w:right w:w="15" w:type="dxa"/>
            </w:tcMar>
            <w:vAlign w:val="center"/>
          </w:tcPr>
          <w:p w14:paraId="3AB37F55">
            <w:pPr>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4.5</w:t>
            </w:r>
          </w:p>
        </w:tc>
        <w:tc>
          <w:tcPr>
            <w:tcW w:w="1339" w:type="dxa"/>
            <w:tcMar>
              <w:top w:w="15" w:type="dxa"/>
              <w:left w:w="15" w:type="dxa"/>
              <w:right w:w="15" w:type="dxa"/>
            </w:tcMar>
            <w:vAlign w:val="center"/>
          </w:tcPr>
          <w:p w14:paraId="5D302AAD">
            <w:pPr>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10</w:t>
            </w:r>
          </w:p>
        </w:tc>
        <w:tc>
          <w:tcPr>
            <w:tcW w:w="1042" w:type="dxa"/>
            <w:tcMar>
              <w:top w:w="15" w:type="dxa"/>
              <w:left w:w="15" w:type="dxa"/>
              <w:right w:w="15" w:type="dxa"/>
            </w:tcMar>
            <w:vAlign w:val="center"/>
          </w:tcPr>
          <w:p w14:paraId="79692EF4">
            <w:pPr>
              <w:jc w:val="both"/>
              <w:textAlignment w:val="center"/>
              <w:rPr>
                <w:rFonts w:ascii="Times New Roman" w:hAnsi="Times New Roman" w:eastAsia="宋体" w:cs="Times New Roman"/>
                <w:sz w:val="18"/>
                <w:szCs w:val="18"/>
              </w:rPr>
            </w:pPr>
          </w:p>
        </w:tc>
        <w:tc>
          <w:tcPr>
            <w:tcW w:w="1000" w:type="dxa"/>
            <w:tcMar>
              <w:top w:w="15" w:type="dxa"/>
              <w:left w:w="15" w:type="dxa"/>
              <w:right w:w="15" w:type="dxa"/>
            </w:tcMar>
            <w:vAlign w:val="center"/>
          </w:tcPr>
          <w:p w14:paraId="5892EC8F">
            <w:pPr>
              <w:jc w:val="both"/>
              <w:textAlignment w:val="center"/>
              <w:rPr>
                <w:rStyle w:val="44"/>
                <w:rFonts w:hint="default" w:ascii="Times New Roman" w:hAnsi="Times New Roman" w:cs="Times New Roman"/>
                <w:color w:val="auto"/>
                <w:sz w:val="18"/>
                <w:szCs w:val="18"/>
              </w:rPr>
            </w:pPr>
            <w:r>
              <w:rPr>
                <w:rStyle w:val="44"/>
                <w:rFonts w:hint="default" w:ascii="Times New Roman" w:hAnsi="Times New Roman" w:cs="Times New Roman"/>
                <w:color w:val="auto"/>
                <w:sz w:val="18"/>
                <w:szCs w:val="18"/>
              </w:rPr>
              <w:t>预期性</w:t>
            </w:r>
          </w:p>
        </w:tc>
      </w:tr>
      <w:tr w14:paraId="63611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tcMar>
              <w:top w:w="15" w:type="dxa"/>
              <w:left w:w="15" w:type="dxa"/>
              <w:right w:w="15" w:type="dxa"/>
            </w:tcMar>
            <w:vAlign w:val="center"/>
          </w:tcPr>
          <w:p w14:paraId="2830E0D3">
            <w:pPr>
              <w:jc w:val="both"/>
              <w:textAlignment w:val="center"/>
              <w:rPr>
                <w:rFonts w:ascii="Times New Roman" w:hAnsi="Times New Roman" w:cs="Times New Roman"/>
                <w:kern w:val="0"/>
                <w:sz w:val="18"/>
                <w:szCs w:val="18"/>
              </w:rPr>
            </w:pPr>
            <w:r>
              <w:rPr>
                <w:rFonts w:ascii="Times New Roman" w:hAnsi="Times New Roman" w:cs="Times New Roman"/>
                <w:kern w:val="0"/>
                <w:sz w:val="18"/>
                <w:szCs w:val="18"/>
              </w:rPr>
              <w:t>27</w:t>
            </w:r>
          </w:p>
        </w:tc>
        <w:tc>
          <w:tcPr>
            <w:tcW w:w="3563" w:type="dxa"/>
            <w:tcMar>
              <w:top w:w="15" w:type="dxa"/>
              <w:left w:w="15" w:type="dxa"/>
              <w:right w:w="15" w:type="dxa"/>
            </w:tcMar>
            <w:vAlign w:val="center"/>
          </w:tcPr>
          <w:p w14:paraId="0CE82A7E">
            <w:pPr>
              <w:jc w:val="both"/>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农村居民人均可支配收入</w:t>
            </w:r>
            <w:r>
              <w:rPr>
                <w:rFonts w:ascii="Times New Roman" w:hAnsi="Times New Roman" w:cs="Times New Roman"/>
                <w:kern w:val="0"/>
                <w:sz w:val="18"/>
                <w:szCs w:val="18"/>
              </w:rPr>
              <w:t>增长率</w:t>
            </w:r>
            <w:r>
              <w:rPr>
                <w:rFonts w:ascii="Times New Roman" w:hAnsi="Times New Roman" w:eastAsia="宋体" w:cs="Times New Roman"/>
                <w:kern w:val="0"/>
                <w:sz w:val="18"/>
                <w:szCs w:val="18"/>
              </w:rPr>
              <w:t>（</w:t>
            </w:r>
            <w:r>
              <w:rPr>
                <w:rFonts w:ascii="Times New Roman" w:hAnsi="Times New Roman" w:cs="Times New Roman"/>
                <w:kern w:val="0"/>
                <w:sz w:val="18"/>
                <w:szCs w:val="18"/>
              </w:rPr>
              <w:t>%</w:t>
            </w:r>
            <w:r>
              <w:rPr>
                <w:rFonts w:ascii="Times New Roman" w:hAnsi="Times New Roman" w:eastAsia="宋体" w:cs="Times New Roman"/>
                <w:kern w:val="0"/>
                <w:sz w:val="18"/>
                <w:szCs w:val="18"/>
              </w:rPr>
              <w:t>）</w:t>
            </w:r>
          </w:p>
        </w:tc>
        <w:tc>
          <w:tcPr>
            <w:tcW w:w="1043" w:type="dxa"/>
            <w:tcMar>
              <w:top w:w="15" w:type="dxa"/>
              <w:left w:w="15" w:type="dxa"/>
              <w:right w:w="15" w:type="dxa"/>
            </w:tcMar>
            <w:vAlign w:val="center"/>
          </w:tcPr>
          <w:p w14:paraId="6D0860F7">
            <w:pPr>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7.4</w:t>
            </w:r>
          </w:p>
        </w:tc>
        <w:tc>
          <w:tcPr>
            <w:tcW w:w="1339" w:type="dxa"/>
            <w:tcMar>
              <w:top w:w="15" w:type="dxa"/>
              <w:left w:w="15" w:type="dxa"/>
              <w:right w:w="15" w:type="dxa"/>
            </w:tcMar>
            <w:vAlign w:val="center"/>
          </w:tcPr>
          <w:p w14:paraId="5B44AA16">
            <w:pPr>
              <w:jc w:val="both"/>
              <w:rPr>
                <w:rFonts w:ascii="Times New Roman" w:hAnsi="Times New Roman" w:eastAsia="宋体" w:cs="Times New Roman"/>
                <w:sz w:val="18"/>
                <w:szCs w:val="18"/>
              </w:rPr>
            </w:pPr>
            <w:r>
              <w:rPr>
                <w:rFonts w:ascii="Arial" w:hAnsi="Arial" w:eastAsia="宋体" w:cs="Arial"/>
                <w:sz w:val="18"/>
                <w:szCs w:val="18"/>
              </w:rPr>
              <w:t>≥</w:t>
            </w:r>
            <w:r>
              <w:rPr>
                <w:rFonts w:hint="eastAsia" w:ascii="Times New Roman" w:hAnsi="Times New Roman" w:eastAsia="宋体" w:cs="Times New Roman"/>
                <w:sz w:val="18"/>
                <w:szCs w:val="18"/>
              </w:rPr>
              <w:t>10</w:t>
            </w:r>
          </w:p>
        </w:tc>
        <w:tc>
          <w:tcPr>
            <w:tcW w:w="1042" w:type="dxa"/>
            <w:tcMar>
              <w:top w:w="15" w:type="dxa"/>
              <w:left w:w="15" w:type="dxa"/>
              <w:right w:w="15" w:type="dxa"/>
            </w:tcMar>
            <w:vAlign w:val="center"/>
          </w:tcPr>
          <w:p w14:paraId="46966F16">
            <w:pPr>
              <w:jc w:val="both"/>
              <w:textAlignment w:val="center"/>
              <w:rPr>
                <w:rFonts w:ascii="Times New Roman" w:hAnsi="Times New Roman" w:eastAsia="宋体" w:cs="Times New Roman"/>
                <w:sz w:val="18"/>
                <w:szCs w:val="18"/>
              </w:rPr>
            </w:pPr>
          </w:p>
        </w:tc>
        <w:tc>
          <w:tcPr>
            <w:tcW w:w="1000" w:type="dxa"/>
            <w:tcMar>
              <w:top w:w="15" w:type="dxa"/>
              <w:left w:w="15" w:type="dxa"/>
              <w:right w:w="15" w:type="dxa"/>
            </w:tcMar>
            <w:vAlign w:val="center"/>
          </w:tcPr>
          <w:p w14:paraId="30AAAC39">
            <w:pPr>
              <w:jc w:val="both"/>
              <w:textAlignment w:val="center"/>
              <w:rPr>
                <w:rStyle w:val="44"/>
                <w:rFonts w:hint="default" w:ascii="Times New Roman" w:hAnsi="Times New Roman" w:cs="Times New Roman"/>
                <w:color w:val="auto"/>
                <w:sz w:val="18"/>
                <w:szCs w:val="18"/>
              </w:rPr>
            </w:pPr>
            <w:r>
              <w:rPr>
                <w:rStyle w:val="44"/>
                <w:rFonts w:hint="default" w:ascii="Times New Roman" w:hAnsi="Times New Roman" w:cs="Times New Roman"/>
                <w:color w:val="auto"/>
                <w:sz w:val="18"/>
                <w:szCs w:val="18"/>
              </w:rPr>
              <w:t>预期性</w:t>
            </w:r>
          </w:p>
        </w:tc>
      </w:tr>
      <w:tr w14:paraId="3364D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tcMar>
              <w:top w:w="15" w:type="dxa"/>
              <w:left w:w="15" w:type="dxa"/>
              <w:right w:w="15" w:type="dxa"/>
            </w:tcMar>
            <w:vAlign w:val="center"/>
          </w:tcPr>
          <w:p w14:paraId="2B01C6B6">
            <w:pPr>
              <w:jc w:val="both"/>
              <w:textAlignment w:val="center"/>
              <w:rPr>
                <w:rFonts w:ascii="Times New Roman" w:hAnsi="Times New Roman" w:cs="Times New Roman"/>
                <w:sz w:val="18"/>
                <w:szCs w:val="18"/>
              </w:rPr>
            </w:pPr>
            <w:r>
              <w:rPr>
                <w:rFonts w:ascii="Times New Roman" w:hAnsi="Times New Roman" w:cs="Times New Roman"/>
                <w:kern w:val="0"/>
                <w:sz w:val="18"/>
                <w:szCs w:val="18"/>
              </w:rPr>
              <w:t>28</w:t>
            </w:r>
          </w:p>
        </w:tc>
        <w:tc>
          <w:tcPr>
            <w:tcW w:w="3563" w:type="dxa"/>
            <w:tcMar>
              <w:top w:w="15" w:type="dxa"/>
              <w:left w:w="15" w:type="dxa"/>
              <w:right w:w="15" w:type="dxa"/>
            </w:tcMar>
            <w:vAlign w:val="center"/>
          </w:tcPr>
          <w:p w14:paraId="39C1D660">
            <w:pPr>
              <w:jc w:val="both"/>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城镇调查失业率</w:t>
            </w:r>
            <w:r>
              <w:rPr>
                <w:rStyle w:val="42"/>
                <w:rFonts w:hint="default" w:ascii="Times New Roman" w:hAnsi="Times New Roman" w:cs="Times New Roman"/>
                <w:color w:val="auto"/>
                <w:sz w:val="18"/>
                <w:szCs w:val="18"/>
              </w:rPr>
              <w:t>（</w:t>
            </w:r>
            <w:r>
              <w:rPr>
                <w:rFonts w:ascii="Times New Roman" w:hAnsi="Times New Roman" w:eastAsia="宋体" w:cs="Times New Roman"/>
                <w:kern w:val="0"/>
                <w:sz w:val="18"/>
                <w:szCs w:val="18"/>
              </w:rPr>
              <w:t>%</w:t>
            </w:r>
            <w:r>
              <w:rPr>
                <w:rStyle w:val="42"/>
                <w:rFonts w:hint="default" w:ascii="Times New Roman" w:hAnsi="Times New Roman" w:cs="Times New Roman"/>
                <w:color w:val="auto"/>
                <w:sz w:val="18"/>
                <w:szCs w:val="18"/>
              </w:rPr>
              <w:t>）</w:t>
            </w:r>
          </w:p>
        </w:tc>
        <w:tc>
          <w:tcPr>
            <w:tcW w:w="1043" w:type="dxa"/>
            <w:tcMar>
              <w:top w:w="15" w:type="dxa"/>
              <w:left w:w="15" w:type="dxa"/>
              <w:right w:w="15" w:type="dxa"/>
            </w:tcMar>
            <w:vAlign w:val="center"/>
          </w:tcPr>
          <w:p w14:paraId="17D30DC9">
            <w:pPr>
              <w:jc w:val="both"/>
              <w:rPr>
                <w:rFonts w:ascii="Times New Roman" w:hAnsi="Times New Roman" w:eastAsia="宋体" w:cs="Times New Roman"/>
                <w:sz w:val="18"/>
                <w:szCs w:val="18"/>
              </w:rPr>
            </w:pPr>
          </w:p>
        </w:tc>
        <w:tc>
          <w:tcPr>
            <w:tcW w:w="1339" w:type="dxa"/>
            <w:tcMar>
              <w:top w:w="15" w:type="dxa"/>
              <w:left w:w="15" w:type="dxa"/>
              <w:right w:w="15" w:type="dxa"/>
            </w:tcMar>
            <w:vAlign w:val="center"/>
          </w:tcPr>
          <w:p w14:paraId="10CA441C">
            <w:pPr>
              <w:jc w:val="both"/>
              <w:rPr>
                <w:rFonts w:ascii="Times New Roman" w:hAnsi="Times New Roman" w:eastAsia="宋体" w:cs="Times New Roman"/>
                <w:sz w:val="18"/>
                <w:szCs w:val="18"/>
              </w:rPr>
            </w:pPr>
            <w:r>
              <w:rPr>
                <w:rFonts w:ascii="Arial" w:hAnsi="Arial" w:eastAsia="宋体" w:cs="Arial"/>
                <w:sz w:val="18"/>
                <w:szCs w:val="18"/>
              </w:rPr>
              <w:t>≤</w:t>
            </w:r>
            <w:r>
              <w:rPr>
                <w:rFonts w:hint="eastAsia" w:ascii="Times New Roman" w:hAnsi="Times New Roman" w:eastAsia="宋体" w:cs="Times New Roman"/>
                <w:sz w:val="18"/>
                <w:szCs w:val="18"/>
              </w:rPr>
              <w:t>3.8</w:t>
            </w:r>
          </w:p>
        </w:tc>
        <w:tc>
          <w:tcPr>
            <w:tcW w:w="1042" w:type="dxa"/>
            <w:tcMar>
              <w:top w:w="15" w:type="dxa"/>
              <w:left w:w="15" w:type="dxa"/>
              <w:right w:w="15" w:type="dxa"/>
            </w:tcMar>
            <w:vAlign w:val="center"/>
          </w:tcPr>
          <w:p w14:paraId="6BB965A8">
            <w:pPr>
              <w:jc w:val="both"/>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000" w:type="dxa"/>
            <w:tcMar>
              <w:top w:w="15" w:type="dxa"/>
              <w:left w:w="15" w:type="dxa"/>
              <w:right w:w="15" w:type="dxa"/>
            </w:tcMar>
            <w:vAlign w:val="center"/>
          </w:tcPr>
          <w:p w14:paraId="219812B5">
            <w:pPr>
              <w:jc w:val="both"/>
              <w:textAlignment w:val="center"/>
              <w:rPr>
                <w:rFonts w:ascii="Times New Roman" w:hAnsi="Times New Roman" w:eastAsia="宋体" w:cs="Times New Roman"/>
                <w:sz w:val="18"/>
                <w:szCs w:val="18"/>
              </w:rPr>
            </w:pPr>
            <w:r>
              <w:rPr>
                <w:rStyle w:val="44"/>
                <w:rFonts w:hint="default" w:ascii="Times New Roman" w:hAnsi="Times New Roman" w:cs="Times New Roman"/>
                <w:color w:val="auto"/>
                <w:sz w:val="18"/>
                <w:szCs w:val="18"/>
              </w:rPr>
              <w:t>预期性</w:t>
            </w:r>
          </w:p>
        </w:tc>
      </w:tr>
      <w:tr w14:paraId="6FA71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tcMar>
              <w:top w:w="15" w:type="dxa"/>
              <w:left w:w="15" w:type="dxa"/>
              <w:right w:w="15" w:type="dxa"/>
            </w:tcMar>
            <w:vAlign w:val="center"/>
          </w:tcPr>
          <w:p w14:paraId="1827246C">
            <w:pPr>
              <w:jc w:val="both"/>
              <w:textAlignment w:val="center"/>
              <w:rPr>
                <w:rFonts w:ascii="Times New Roman" w:hAnsi="Times New Roman" w:cs="Times New Roman"/>
                <w:sz w:val="18"/>
                <w:szCs w:val="18"/>
              </w:rPr>
            </w:pPr>
            <w:r>
              <w:rPr>
                <w:rFonts w:ascii="Times New Roman" w:hAnsi="Times New Roman" w:cs="Times New Roman"/>
                <w:sz w:val="18"/>
                <w:szCs w:val="18"/>
              </w:rPr>
              <w:t>29</w:t>
            </w:r>
          </w:p>
        </w:tc>
        <w:tc>
          <w:tcPr>
            <w:tcW w:w="3563" w:type="dxa"/>
            <w:tcMar>
              <w:top w:w="15" w:type="dxa"/>
              <w:left w:w="15" w:type="dxa"/>
              <w:right w:w="15" w:type="dxa"/>
            </w:tcMar>
            <w:vAlign w:val="center"/>
          </w:tcPr>
          <w:p w14:paraId="4E5847C1">
            <w:pPr>
              <w:jc w:val="both"/>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劳动年龄人口平均受教育年限（年）</w:t>
            </w:r>
          </w:p>
        </w:tc>
        <w:tc>
          <w:tcPr>
            <w:tcW w:w="1043" w:type="dxa"/>
            <w:tcMar>
              <w:top w:w="15" w:type="dxa"/>
              <w:left w:w="15" w:type="dxa"/>
              <w:right w:w="15" w:type="dxa"/>
            </w:tcMar>
            <w:vAlign w:val="center"/>
          </w:tcPr>
          <w:p w14:paraId="788A1E53">
            <w:pPr>
              <w:jc w:val="both"/>
              <w:rPr>
                <w:rFonts w:ascii="Times New Roman" w:hAnsi="Times New Roman" w:eastAsia="宋体" w:cs="Times New Roman"/>
                <w:sz w:val="18"/>
                <w:szCs w:val="18"/>
              </w:rPr>
            </w:pPr>
          </w:p>
        </w:tc>
        <w:tc>
          <w:tcPr>
            <w:tcW w:w="1339" w:type="dxa"/>
            <w:tcMar>
              <w:top w:w="15" w:type="dxa"/>
              <w:left w:w="15" w:type="dxa"/>
              <w:right w:w="15" w:type="dxa"/>
            </w:tcMar>
            <w:vAlign w:val="center"/>
          </w:tcPr>
          <w:p w14:paraId="11167202">
            <w:pPr>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12.5</w:t>
            </w:r>
          </w:p>
        </w:tc>
        <w:tc>
          <w:tcPr>
            <w:tcW w:w="1042" w:type="dxa"/>
            <w:tcMar>
              <w:top w:w="15" w:type="dxa"/>
              <w:left w:w="15" w:type="dxa"/>
              <w:right w:w="15" w:type="dxa"/>
            </w:tcMar>
            <w:vAlign w:val="center"/>
          </w:tcPr>
          <w:p w14:paraId="35A5881E">
            <w:pPr>
              <w:jc w:val="both"/>
              <w:textAlignment w:val="center"/>
              <w:rPr>
                <w:rFonts w:ascii="Times New Roman" w:hAnsi="Times New Roman" w:eastAsia="宋体" w:cs="Times New Roman"/>
                <w:sz w:val="18"/>
                <w:szCs w:val="18"/>
              </w:rPr>
            </w:pPr>
          </w:p>
        </w:tc>
        <w:tc>
          <w:tcPr>
            <w:tcW w:w="1000" w:type="dxa"/>
            <w:tcMar>
              <w:top w:w="15" w:type="dxa"/>
              <w:left w:w="15" w:type="dxa"/>
              <w:right w:w="15" w:type="dxa"/>
            </w:tcMar>
            <w:vAlign w:val="center"/>
          </w:tcPr>
          <w:p w14:paraId="61679300">
            <w:pPr>
              <w:jc w:val="both"/>
              <w:textAlignment w:val="center"/>
              <w:rPr>
                <w:rFonts w:ascii="Times New Roman" w:hAnsi="Times New Roman" w:eastAsia="宋体" w:cs="Times New Roman"/>
                <w:sz w:val="18"/>
                <w:szCs w:val="18"/>
              </w:rPr>
            </w:pPr>
            <w:r>
              <w:rPr>
                <w:rStyle w:val="44"/>
                <w:rFonts w:hint="default" w:ascii="Times New Roman" w:hAnsi="Times New Roman" w:cs="Times New Roman"/>
                <w:color w:val="auto"/>
                <w:sz w:val="18"/>
                <w:szCs w:val="18"/>
              </w:rPr>
              <w:t>预期性</w:t>
            </w:r>
          </w:p>
        </w:tc>
      </w:tr>
      <w:tr w14:paraId="713F8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jc w:val="center"/>
        </w:trPr>
        <w:tc>
          <w:tcPr>
            <w:tcW w:w="773" w:type="dxa"/>
            <w:tcMar>
              <w:top w:w="15" w:type="dxa"/>
              <w:left w:w="15" w:type="dxa"/>
              <w:right w:w="15" w:type="dxa"/>
            </w:tcMar>
            <w:vAlign w:val="center"/>
          </w:tcPr>
          <w:p w14:paraId="713BDC59">
            <w:pPr>
              <w:jc w:val="both"/>
              <w:textAlignment w:val="center"/>
              <w:rPr>
                <w:rFonts w:ascii="Times New Roman" w:hAnsi="Times New Roman" w:cs="Times New Roman"/>
                <w:sz w:val="18"/>
                <w:szCs w:val="18"/>
              </w:rPr>
            </w:pPr>
            <w:r>
              <w:rPr>
                <w:rFonts w:ascii="Times New Roman" w:hAnsi="Times New Roman" w:cs="Times New Roman"/>
                <w:kern w:val="0"/>
                <w:sz w:val="18"/>
                <w:szCs w:val="18"/>
              </w:rPr>
              <w:t>30</w:t>
            </w:r>
          </w:p>
        </w:tc>
        <w:tc>
          <w:tcPr>
            <w:tcW w:w="3563" w:type="dxa"/>
            <w:tcMar>
              <w:top w:w="15" w:type="dxa"/>
              <w:left w:w="15" w:type="dxa"/>
              <w:right w:w="15" w:type="dxa"/>
            </w:tcMar>
            <w:vAlign w:val="center"/>
          </w:tcPr>
          <w:p w14:paraId="69FAE5C4">
            <w:pPr>
              <w:jc w:val="both"/>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每千人口拥有执业（助理）医师数</w:t>
            </w:r>
            <w:r>
              <w:rPr>
                <w:rFonts w:ascii="Times New Roman" w:hAnsi="Times New Roman" w:cs="Times New Roman"/>
                <w:kern w:val="0"/>
                <w:sz w:val="18"/>
                <w:szCs w:val="18"/>
              </w:rPr>
              <w:t>（人）</w:t>
            </w:r>
          </w:p>
        </w:tc>
        <w:tc>
          <w:tcPr>
            <w:tcW w:w="1043" w:type="dxa"/>
            <w:tcMar>
              <w:top w:w="15" w:type="dxa"/>
              <w:left w:w="15" w:type="dxa"/>
              <w:right w:w="15" w:type="dxa"/>
            </w:tcMar>
            <w:vAlign w:val="center"/>
          </w:tcPr>
          <w:p w14:paraId="45D8C164">
            <w:pPr>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2.06</w:t>
            </w:r>
          </w:p>
        </w:tc>
        <w:tc>
          <w:tcPr>
            <w:tcW w:w="1339" w:type="dxa"/>
            <w:tcMar>
              <w:top w:w="15" w:type="dxa"/>
              <w:left w:w="15" w:type="dxa"/>
              <w:right w:w="15" w:type="dxa"/>
            </w:tcMar>
            <w:vAlign w:val="center"/>
          </w:tcPr>
          <w:p w14:paraId="3A46BFFD">
            <w:pPr>
              <w:jc w:val="both"/>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2.85</w:t>
            </w:r>
          </w:p>
        </w:tc>
        <w:tc>
          <w:tcPr>
            <w:tcW w:w="1042" w:type="dxa"/>
            <w:tcMar>
              <w:top w:w="15" w:type="dxa"/>
              <w:left w:w="15" w:type="dxa"/>
              <w:right w:w="15" w:type="dxa"/>
            </w:tcMar>
            <w:vAlign w:val="center"/>
          </w:tcPr>
          <w:p w14:paraId="6202C83E">
            <w:pPr>
              <w:jc w:val="both"/>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000" w:type="dxa"/>
            <w:tcMar>
              <w:top w:w="15" w:type="dxa"/>
              <w:left w:w="15" w:type="dxa"/>
              <w:right w:w="15" w:type="dxa"/>
            </w:tcMar>
            <w:vAlign w:val="center"/>
          </w:tcPr>
          <w:p w14:paraId="06B5F3C0">
            <w:pPr>
              <w:jc w:val="both"/>
              <w:textAlignment w:val="center"/>
              <w:rPr>
                <w:rFonts w:ascii="Times New Roman" w:hAnsi="Times New Roman" w:eastAsia="宋体" w:cs="Times New Roman"/>
                <w:sz w:val="18"/>
                <w:szCs w:val="18"/>
              </w:rPr>
            </w:pPr>
            <w:r>
              <w:rPr>
                <w:rStyle w:val="44"/>
                <w:rFonts w:hint="default" w:ascii="Times New Roman" w:hAnsi="Times New Roman" w:cs="Times New Roman"/>
                <w:color w:val="auto"/>
                <w:sz w:val="18"/>
                <w:szCs w:val="18"/>
              </w:rPr>
              <w:t>预期性</w:t>
            </w:r>
          </w:p>
        </w:tc>
      </w:tr>
      <w:tr w14:paraId="68E87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tcMar>
              <w:top w:w="15" w:type="dxa"/>
              <w:left w:w="15" w:type="dxa"/>
              <w:right w:w="15" w:type="dxa"/>
            </w:tcMar>
            <w:vAlign w:val="center"/>
          </w:tcPr>
          <w:p w14:paraId="25F1CDED">
            <w:pPr>
              <w:jc w:val="both"/>
              <w:textAlignment w:val="center"/>
              <w:rPr>
                <w:rFonts w:ascii="Times New Roman" w:hAnsi="Times New Roman" w:cs="Times New Roman"/>
                <w:sz w:val="18"/>
                <w:szCs w:val="18"/>
              </w:rPr>
            </w:pPr>
            <w:r>
              <w:rPr>
                <w:rFonts w:ascii="Times New Roman" w:hAnsi="Times New Roman" w:cs="Times New Roman"/>
                <w:kern w:val="0"/>
                <w:sz w:val="18"/>
                <w:szCs w:val="18"/>
              </w:rPr>
              <w:t>31</w:t>
            </w:r>
          </w:p>
        </w:tc>
        <w:tc>
          <w:tcPr>
            <w:tcW w:w="3563" w:type="dxa"/>
            <w:tcMar>
              <w:top w:w="15" w:type="dxa"/>
              <w:left w:w="15" w:type="dxa"/>
              <w:right w:w="15" w:type="dxa"/>
            </w:tcMar>
            <w:vAlign w:val="center"/>
          </w:tcPr>
          <w:p w14:paraId="74F60373">
            <w:pPr>
              <w:jc w:val="both"/>
              <w:textAlignment w:val="center"/>
              <w:rPr>
                <w:rFonts w:ascii="Times New Roman" w:hAnsi="Times New Roman" w:eastAsia="宋体" w:cs="Times New Roman"/>
                <w:sz w:val="18"/>
                <w:szCs w:val="18"/>
              </w:rPr>
            </w:pPr>
            <w:r>
              <w:rPr>
                <w:rFonts w:ascii="Times New Roman" w:hAnsi="Times New Roman" w:cs="Times New Roman"/>
                <w:sz w:val="18"/>
                <w:szCs w:val="18"/>
              </w:rPr>
              <w:t>基本养老保险参保率（%）</w:t>
            </w:r>
          </w:p>
        </w:tc>
        <w:tc>
          <w:tcPr>
            <w:tcW w:w="1043" w:type="dxa"/>
            <w:tcMar>
              <w:top w:w="15" w:type="dxa"/>
              <w:left w:w="15" w:type="dxa"/>
              <w:right w:w="15" w:type="dxa"/>
            </w:tcMar>
            <w:vAlign w:val="center"/>
          </w:tcPr>
          <w:p w14:paraId="4C2AE152">
            <w:pPr>
              <w:jc w:val="both"/>
              <w:rPr>
                <w:rFonts w:ascii="Times New Roman" w:hAnsi="Times New Roman" w:eastAsia="宋体" w:cs="Times New Roman"/>
                <w:sz w:val="18"/>
                <w:szCs w:val="18"/>
              </w:rPr>
            </w:pPr>
          </w:p>
        </w:tc>
        <w:tc>
          <w:tcPr>
            <w:tcW w:w="1339" w:type="dxa"/>
            <w:tcMar>
              <w:top w:w="15" w:type="dxa"/>
              <w:left w:w="15" w:type="dxa"/>
              <w:right w:w="15" w:type="dxa"/>
            </w:tcMar>
            <w:vAlign w:val="center"/>
          </w:tcPr>
          <w:p w14:paraId="552EF51B">
            <w:pPr>
              <w:jc w:val="both"/>
              <w:textAlignment w:val="center"/>
              <w:rPr>
                <w:rFonts w:ascii="Times New Roman" w:hAnsi="Times New Roman" w:eastAsia="宋体" w:cs="Times New Roman"/>
                <w:sz w:val="18"/>
                <w:szCs w:val="18"/>
              </w:rPr>
            </w:pPr>
            <w:r>
              <w:rPr>
                <w:rFonts w:ascii="Arial" w:hAnsi="Arial" w:eastAsia="宋体" w:cs="Arial"/>
                <w:sz w:val="18"/>
                <w:szCs w:val="18"/>
              </w:rPr>
              <w:t>≥</w:t>
            </w:r>
            <w:r>
              <w:rPr>
                <w:rFonts w:hint="eastAsia" w:ascii="Times New Roman" w:hAnsi="Times New Roman" w:eastAsia="宋体" w:cs="Times New Roman"/>
                <w:sz w:val="18"/>
                <w:szCs w:val="18"/>
              </w:rPr>
              <w:t>95.5</w:t>
            </w:r>
          </w:p>
        </w:tc>
        <w:tc>
          <w:tcPr>
            <w:tcW w:w="1042" w:type="dxa"/>
            <w:tcMar>
              <w:top w:w="15" w:type="dxa"/>
              <w:left w:w="15" w:type="dxa"/>
              <w:right w:w="15" w:type="dxa"/>
            </w:tcMar>
            <w:vAlign w:val="center"/>
          </w:tcPr>
          <w:p w14:paraId="3411CFB5">
            <w:pPr>
              <w:jc w:val="both"/>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000" w:type="dxa"/>
            <w:tcMar>
              <w:top w:w="15" w:type="dxa"/>
              <w:left w:w="15" w:type="dxa"/>
              <w:right w:w="15" w:type="dxa"/>
            </w:tcMar>
            <w:vAlign w:val="center"/>
          </w:tcPr>
          <w:p w14:paraId="03007E66">
            <w:pPr>
              <w:jc w:val="both"/>
              <w:textAlignment w:val="center"/>
              <w:rPr>
                <w:rFonts w:ascii="Times New Roman" w:hAnsi="Times New Roman" w:eastAsia="宋体" w:cs="Times New Roman"/>
                <w:sz w:val="18"/>
                <w:szCs w:val="18"/>
              </w:rPr>
            </w:pPr>
            <w:r>
              <w:rPr>
                <w:rStyle w:val="44"/>
                <w:rFonts w:hint="default" w:ascii="Times New Roman" w:hAnsi="Times New Roman" w:cs="Times New Roman"/>
                <w:color w:val="auto"/>
                <w:sz w:val="18"/>
                <w:szCs w:val="18"/>
              </w:rPr>
              <w:t>约束性</w:t>
            </w:r>
          </w:p>
        </w:tc>
      </w:tr>
      <w:tr w14:paraId="1DDA3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tcMar>
              <w:top w:w="15" w:type="dxa"/>
              <w:left w:w="15" w:type="dxa"/>
              <w:right w:w="15" w:type="dxa"/>
            </w:tcMar>
            <w:vAlign w:val="center"/>
          </w:tcPr>
          <w:p w14:paraId="12AD4D16">
            <w:pPr>
              <w:jc w:val="both"/>
              <w:textAlignment w:val="center"/>
              <w:rPr>
                <w:rFonts w:ascii="Times New Roman" w:hAnsi="Times New Roman" w:cs="Times New Roman"/>
                <w:sz w:val="18"/>
                <w:szCs w:val="18"/>
              </w:rPr>
            </w:pPr>
            <w:r>
              <w:rPr>
                <w:rFonts w:ascii="Times New Roman" w:hAnsi="Times New Roman" w:cs="Times New Roman"/>
                <w:kern w:val="0"/>
                <w:sz w:val="18"/>
                <w:szCs w:val="18"/>
              </w:rPr>
              <w:t>32</w:t>
            </w:r>
          </w:p>
        </w:tc>
        <w:tc>
          <w:tcPr>
            <w:tcW w:w="3563" w:type="dxa"/>
            <w:tcMar>
              <w:top w:w="15" w:type="dxa"/>
              <w:left w:w="15" w:type="dxa"/>
              <w:right w:w="15" w:type="dxa"/>
            </w:tcMar>
            <w:vAlign w:val="center"/>
          </w:tcPr>
          <w:p w14:paraId="512C55A2">
            <w:pPr>
              <w:jc w:val="both"/>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每千人口拥有3</w:t>
            </w:r>
            <w:r>
              <w:rPr>
                <w:rStyle w:val="42"/>
                <w:rFonts w:hint="default" w:ascii="Times New Roman" w:hAnsi="Times New Roman" w:cs="Times New Roman"/>
                <w:color w:val="auto"/>
                <w:sz w:val="18"/>
                <w:szCs w:val="18"/>
              </w:rPr>
              <w:t>岁以下婴儿托位数（个）</w:t>
            </w:r>
          </w:p>
        </w:tc>
        <w:tc>
          <w:tcPr>
            <w:tcW w:w="1043" w:type="dxa"/>
            <w:tcMar>
              <w:top w:w="15" w:type="dxa"/>
              <w:left w:w="15" w:type="dxa"/>
              <w:right w:w="15" w:type="dxa"/>
            </w:tcMar>
            <w:vAlign w:val="center"/>
          </w:tcPr>
          <w:p w14:paraId="38CEC7B6">
            <w:pPr>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1.1</w:t>
            </w:r>
          </w:p>
        </w:tc>
        <w:tc>
          <w:tcPr>
            <w:tcW w:w="1339" w:type="dxa"/>
            <w:tcMar>
              <w:top w:w="15" w:type="dxa"/>
              <w:left w:w="15" w:type="dxa"/>
              <w:right w:w="15" w:type="dxa"/>
            </w:tcMar>
            <w:vAlign w:val="center"/>
          </w:tcPr>
          <w:p w14:paraId="4ECE609B">
            <w:pPr>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5.0</w:t>
            </w:r>
          </w:p>
        </w:tc>
        <w:tc>
          <w:tcPr>
            <w:tcW w:w="1042" w:type="dxa"/>
            <w:tcMar>
              <w:top w:w="15" w:type="dxa"/>
              <w:left w:w="15" w:type="dxa"/>
              <w:right w:w="15" w:type="dxa"/>
            </w:tcMar>
            <w:vAlign w:val="center"/>
          </w:tcPr>
          <w:p w14:paraId="566D4C3E">
            <w:pPr>
              <w:jc w:val="both"/>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000" w:type="dxa"/>
            <w:tcMar>
              <w:top w:w="15" w:type="dxa"/>
              <w:left w:w="15" w:type="dxa"/>
              <w:right w:w="15" w:type="dxa"/>
            </w:tcMar>
            <w:vAlign w:val="center"/>
          </w:tcPr>
          <w:p w14:paraId="5672AF6A">
            <w:pPr>
              <w:jc w:val="both"/>
              <w:textAlignment w:val="center"/>
              <w:rPr>
                <w:rFonts w:ascii="Times New Roman" w:hAnsi="Times New Roman" w:eastAsia="宋体" w:cs="Times New Roman"/>
                <w:sz w:val="18"/>
                <w:szCs w:val="18"/>
              </w:rPr>
            </w:pPr>
            <w:r>
              <w:rPr>
                <w:rStyle w:val="44"/>
                <w:rFonts w:hint="default" w:ascii="Times New Roman" w:hAnsi="Times New Roman" w:cs="Times New Roman"/>
                <w:color w:val="auto"/>
                <w:sz w:val="18"/>
                <w:szCs w:val="18"/>
              </w:rPr>
              <w:t>预期性</w:t>
            </w:r>
          </w:p>
        </w:tc>
      </w:tr>
      <w:tr w14:paraId="7CD5D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tcMar>
              <w:top w:w="15" w:type="dxa"/>
              <w:left w:w="15" w:type="dxa"/>
              <w:right w:w="15" w:type="dxa"/>
            </w:tcMar>
            <w:vAlign w:val="center"/>
          </w:tcPr>
          <w:p w14:paraId="575E508C">
            <w:pPr>
              <w:jc w:val="both"/>
              <w:textAlignment w:val="center"/>
              <w:rPr>
                <w:rFonts w:ascii="Times New Roman" w:hAnsi="Times New Roman" w:cs="Times New Roman"/>
                <w:sz w:val="18"/>
                <w:szCs w:val="18"/>
              </w:rPr>
            </w:pPr>
            <w:r>
              <w:rPr>
                <w:rFonts w:ascii="Times New Roman" w:hAnsi="Times New Roman" w:cs="Times New Roman"/>
                <w:kern w:val="0"/>
                <w:sz w:val="18"/>
                <w:szCs w:val="18"/>
              </w:rPr>
              <w:t>33</w:t>
            </w:r>
          </w:p>
        </w:tc>
        <w:tc>
          <w:tcPr>
            <w:tcW w:w="3563" w:type="dxa"/>
            <w:tcMar>
              <w:top w:w="15" w:type="dxa"/>
              <w:left w:w="15" w:type="dxa"/>
              <w:right w:w="15" w:type="dxa"/>
            </w:tcMar>
            <w:vAlign w:val="center"/>
          </w:tcPr>
          <w:p w14:paraId="6B4885F4">
            <w:pPr>
              <w:jc w:val="both"/>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体育人口占比（%）</w:t>
            </w:r>
          </w:p>
        </w:tc>
        <w:tc>
          <w:tcPr>
            <w:tcW w:w="1043" w:type="dxa"/>
            <w:tcMar>
              <w:top w:w="15" w:type="dxa"/>
              <w:left w:w="15" w:type="dxa"/>
              <w:right w:w="15" w:type="dxa"/>
            </w:tcMar>
            <w:vAlign w:val="center"/>
          </w:tcPr>
          <w:p w14:paraId="66C92103">
            <w:pPr>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35</w:t>
            </w:r>
          </w:p>
        </w:tc>
        <w:tc>
          <w:tcPr>
            <w:tcW w:w="1339" w:type="dxa"/>
            <w:tcMar>
              <w:top w:w="15" w:type="dxa"/>
              <w:left w:w="15" w:type="dxa"/>
              <w:right w:w="15" w:type="dxa"/>
            </w:tcMar>
            <w:vAlign w:val="center"/>
          </w:tcPr>
          <w:p w14:paraId="68488C09">
            <w:pPr>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50</w:t>
            </w:r>
          </w:p>
        </w:tc>
        <w:tc>
          <w:tcPr>
            <w:tcW w:w="1042" w:type="dxa"/>
            <w:tcMar>
              <w:top w:w="15" w:type="dxa"/>
              <w:left w:w="15" w:type="dxa"/>
              <w:right w:w="15" w:type="dxa"/>
            </w:tcMar>
            <w:vAlign w:val="center"/>
          </w:tcPr>
          <w:p w14:paraId="2CA44F69">
            <w:pPr>
              <w:jc w:val="both"/>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000" w:type="dxa"/>
            <w:tcMar>
              <w:top w:w="15" w:type="dxa"/>
              <w:left w:w="15" w:type="dxa"/>
              <w:right w:w="15" w:type="dxa"/>
            </w:tcMar>
            <w:vAlign w:val="center"/>
          </w:tcPr>
          <w:p w14:paraId="5D38F65E">
            <w:pPr>
              <w:jc w:val="both"/>
              <w:textAlignment w:val="center"/>
              <w:rPr>
                <w:rFonts w:ascii="Times New Roman" w:hAnsi="Times New Roman" w:eastAsia="宋体" w:cs="Times New Roman"/>
                <w:sz w:val="18"/>
                <w:szCs w:val="18"/>
              </w:rPr>
            </w:pPr>
            <w:r>
              <w:rPr>
                <w:rStyle w:val="44"/>
                <w:rFonts w:hint="default" w:ascii="Times New Roman" w:hAnsi="Times New Roman" w:cs="Times New Roman"/>
                <w:color w:val="auto"/>
                <w:sz w:val="18"/>
                <w:szCs w:val="18"/>
              </w:rPr>
              <w:t>预期性</w:t>
            </w:r>
          </w:p>
        </w:tc>
      </w:tr>
      <w:tr w14:paraId="79F4D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8760" w:type="dxa"/>
            <w:gridSpan w:val="6"/>
            <w:tcMar>
              <w:top w:w="15" w:type="dxa"/>
              <w:left w:w="15" w:type="dxa"/>
              <w:right w:w="15" w:type="dxa"/>
            </w:tcMar>
            <w:vAlign w:val="center"/>
          </w:tcPr>
          <w:p w14:paraId="5E0231C2">
            <w:pPr>
              <w:jc w:val="both"/>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六、安全保障（</w:t>
            </w:r>
            <w:r>
              <w:rPr>
                <w:rFonts w:ascii="Times New Roman" w:hAnsi="Times New Roman" w:cs="Times New Roman"/>
                <w:kern w:val="0"/>
                <w:sz w:val="18"/>
                <w:szCs w:val="18"/>
              </w:rPr>
              <w:t>3</w:t>
            </w:r>
            <w:r>
              <w:rPr>
                <w:rFonts w:ascii="Times New Roman" w:hAnsi="Times New Roman" w:eastAsia="宋体" w:cs="Times New Roman"/>
                <w:kern w:val="0"/>
                <w:sz w:val="18"/>
                <w:szCs w:val="18"/>
              </w:rPr>
              <w:t>个）</w:t>
            </w:r>
          </w:p>
        </w:tc>
      </w:tr>
      <w:tr w14:paraId="65633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tcMar>
              <w:top w:w="15" w:type="dxa"/>
              <w:left w:w="15" w:type="dxa"/>
              <w:right w:w="15" w:type="dxa"/>
            </w:tcMar>
            <w:vAlign w:val="center"/>
          </w:tcPr>
          <w:p w14:paraId="04CC8042">
            <w:pPr>
              <w:jc w:val="both"/>
              <w:textAlignment w:val="center"/>
              <w:rPr>
                <w:rFonts w:ascii="Times New Roman" w:hAnsi="Times New Roman" w:cs="Times New Roman"/>
                <w:kern w:val="0"/>
                <w:sz w:val="18"/>
                <w:szCs w:val="18"/>
              </w:rPr>
            </w:pPr>
            <w:r>
              <w:rPr>
                <w:rFonts w:ascii="Times New Roman" w:hAnsi="Times New Roman" w:cs="Times New Roman"/>
                <w:kern w:val="0"/>
                <w:sz w:val="18"/>
                <w:szCs w:val="18"/>
              </w:rPr>
              <w:t>34</w:t>
            </w:r>
          </w:p>
        </w:tc>
        <w:tc>
          <w:tcPr>
            <w:tcW w:w="3563" w:type="dxa"/>
            <w:tcMar>
              <w:top w:w="15" w:type="dxa"/>
              <w:left w:w="15" w:type="dxa"/>
              <w:right w:w="15" w:type="dxa"/>
            </w:tcMar>
            <w:vAlign w:val="center"/>
          </w:tcPr>
          <w:p w14:paraId="48699484">
            <w:pPr>
              <w:jc w:val="both"/>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亿元GDP生产安全事故死亡率（人/亿元）</w:t>
            </w:r>
          </w:p>
        </w:tc>
        <w:tc>
          <w:tcPr>
            <w:tcW w:w="1043" w:type="dxa"/>
            <w:tcMar>
              <w:top w:w="15" w:type="dxa"/>
              <w:left w:w="15" w:type="dxa"/>
              <w:right w:w="15" w:type="dxa"/>
            </w:tcMar>
            <w:vAlign w:val="center"/>
          </w:tcPr>
          <w:p w14:paraId="017D423C">
            <w:pPr>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0.015</w:t>
            </w:r>
          </w:p>
        </w:tc>
        <w:tc>
          <w:tcPr>
            <w:tcW w:w="1339" w:type="dxa"/>
            <w:tcMar>
              <w:top w:w="15" w:type="dxa"/>
              <w:left w:w="15" w:type="dxa"/>
              <w:right w:w="15" w:type="dxa"/>
            </w:tcMar>
            <w:vAlign w:val="center"/>
          </w:tcPr>
          <w:p w14:paraId="40732975">
            <w:pPr>
              <w:jc w:val="both"/>
              <w:rPr>
                <w:rFonts w:ascii="Times New Roman" w:hAnsi="Times New Roman" w:eastAsia="宋体" w:cs="Times New Roman"/>
                <w:sz w:val="18"/>
                <w:szCs w:val="18"/>
              </w:rPr>
            </w:pPr>
            <w:r>
              <w:rPr>
                <w:rFonts w:ascii="Times New Roman" w:hAnsi="Times New Roman" w:eastAsia="宋体" w:cs="Times New Roman"/>
                <w:sz w:val="18"/>
                <w:szCs w:val="18"/>
              </w:rPr>
              <w:t>完成下达任务</w:t>
            </w:r>
          </w:p>
        </w:tc>
        <w:tc>
          <w:tcPr>
            <w:tcW w:w="1042" w:type="dxa"/>
            <w:tcMar>
              <w:top w:w="15" w:type="dxa"/>
              <w:left w:w="15" w:type="dxa"/>
              <w:right w:w="15" w:type="dxa"/>
            </w:tcMar>
            <w:vAlign w:val="center"/>
          </w:tcPr>
          <w:p w14:paraId="2C46E2FB">
            <w:pPr>
              <w:jc w:val="both"/>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000" w:type="dxa"/>
            <w:tcMar>
              <w:top w:w="15" w:type="dxa"/>
              <w:left w:w="15" w:type="dxa"/>
              <w:right w:w="15" w:type="dxa"/>
            </w:tcMar>
            <w:vAlign w:val="center"/>
          </w:tcPr>
          <w:p w14:paraId="717A1EEE">
            <w:pPr>
              <w:jc w:val="both"/>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约束性</w:t>
            </w:r>
          </w:p>
        </w:tc>
      </w:tr>
      <w:tr w14:paraId="4D814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tcMar>
              <w:top w:w="15" w:type="dxa"/>
              <w:left w:w="15" w:type="dxa"/>
              <w:right w:w="15" w:type="dxa"/>
            </w:tcMar>
            <w:vAlign w:val="center"/>
          </w:tcPr>
          <w:p w14:paraId="6DBEAA3E">
            <w:pPr>
              <w:jc w:val="both"/>
              <w:textAlignment w:val="center"/>
              <w:rPr>
                <w:rFonts w:ascii="Times New Roman" w:hAnsi="Times New Roman" w:cs="Times New Roman"/>
                <w:sz w:val="18"/>
                <w:szCs w:val="18"/>
              </w:rPr>
            </w:pPr>
            <w:r>
              <w:rPr>
                <w:rFonts w:ascii="Times New Roman" w:hAnsi="Times New Roman" w:cs="Times New Roman"/>
                <w:kern w:val="0"/>
                <w:sz w:val="18"/>
                <w:szCs w:val="18"/>
              </w:rPr>
              <w:t>35</w:t>
            </w:r>
          </w:p>
        </w:tc>
        <w:tc>
          <w:tcPr>
            <w:tcW w:w="3563" w:type="dxa"/>
            <w:tcMar>
              <w:top w:w="15" w:type="dxa"/>
              <w:left w:w="15" w:type="dxa"/>
              <w:right w:w="15" w:type="dxa"/>
            </w:tcMar>
            <w:vAlign w:val="center"/>
          </w:tcPr>
          <w:p w14:paraId="0155BCB9">
            <w:pPr>
              <w:jc w:val="both"/>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粮食综合生产能力（万吨）</w:t>
            </w:r>
          </w:p>
        </w:tc>
        <w:tc>
          <w:tcPr>
            <w:tcW w:w="1043" w:type="dxa"/>
            <w:tcMar>
              <w:top w:w="15" w:type="dxa"/>
              <w:left w:w="15" w:type="dxa"/>
              <w:right w:w="15" w:type="dxa"/>
            </w:tcMar>
            <w:vAlign w:val="center"/>
          </w:tcPr>
          <w:p w14:paraId="4651AB80">
            <w:pPr>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40</w:t>
            </w:r>
          </w:p>
        </w:tc>
        <w:tc>
          <w:tcPr>
            <w:tcW w:w="1339" w:type="dxa"/>
            <w:tcMar>
              <w:top w:w="15" w:type="dxa"/>
              <w:left w:w="15" w:type="dxa"/>
              <w:right w:w="15" w:type="dxa"/>
            </w:tcMar>
            <w:vAlign w:val="center"/>
          </w:tcPr>
          <w:p w14:paraId="44BE4FC3">
            <w:pPr>
              <w:jc w:val="both"/>
              <w:rPr>
                <w:rFonts w:ascii="Times New Roman" w:hAnsi="Times New Roman" w:eastAsia="宋体" w:cs="Times New Roman"/>
                <w:sz w:val="18"/>
                <w:szCs w:val="18"/>
              </w:rPr>
            </w:pPr>
            <w:r>
              <w:rPr>
                <w:rFonts w:ascii="Times New Roman" w:hAnsi="Times New Roman" w:eastAsia="宋体" w:cs="Times New Roman"/>
                <w:sz w:val="18"/>
                <w:szCs w:val="18"/>
              </w:rPr>
              <w:t>完成下达任务</w:t>
            </w:r>
          </w:p>
        </w:tc>
        <w:tc>
          <w:tcPr>
            <w:tcW w:w="1042" w:type="dxa"/>
            <w:tcMar>
              <w:top w:w="15" w:type="dxa"/>
              <w:left w:w="15" w:type="dxa"/>
              <w:right w:w="15" w:type="dxa"/>
            </w:tcMar>
            <w:vAlign w:val="center"/>
          </w:tcPr>
          <w:p w14:paraId="205C0809">
            <w:pPr>
              <w:jc w:val="both"/>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000" w:type="dxa"/>
            <w:tcMar>
              <w:top w:w="15" w:type="dxa"/>
              <w:left w:w="15" w:type="dxa"/>
              <w:right w:w="15" w:type="dxa"/>
            </w:tcMar>
            <w:vAlign w:val="center"/>
          </w:tcPr>
          <w:p w14:paraId="350B9F43">
            <w:pPr>
              <w:jc w:val="both"/>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约束性</w:t>
            </w:r>
          </w:p>
        </w:tc>
      </w:tr>
      <w:tr w14:paraId="248E2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tcMar>
              <w:top w:w="15" w:type="dxa"/>
              <w:left w:w="15" w:type="dxa"/>
              <w:right w:w="15" w:type="dxa"/>
            </w:tcMar>
            <w:vAlign w:val="center"/>
          </w:tcPr>
          <w:p w14:paraId="3607661D">
            <w:pPr>
              <w:jc w:val="both"/>
              <w:textAlignment w:val="center"/>
              <w:rPr>
                <w:rFonts w:ascii="Times New Roman" w:hAnsi="Times New Roman" w:cs="Times New Roman"/>
                <w:sz w:val="18"/>
                <w:szCs w:val="18"/>
              </w:rPr>
            </w:pPr>
            <w:r>
              <w:rPr>
                <w:rFonts w:ascii="Times New Roman" w:hAnsi="Times New Roman" w:cs="Times New Roman"/>
                <w:kern w:val="0"/>
                <w:sz w:val="18"/>
                <w:szCs w:val="18"/>
              </w:rPr>
              <w:t>36</w:t>
            </w:r>
          </w:p>
        </w:tc>
        <w:tc>
          <w:tcPr>
            <w:tcW w:w="3563" w:type="dxa"/>
            <w:tcMar>
              <w:top w:w="15" w:type="dxa"/>
              <w:left w:w="15" w:type="dxa"/>
              <w:right w:w="15" w:type="dxa"/>
            </w:tcMar>
            <w:vAlign w:val="center"/>
          </w:tcPr>
          <w:p w14:paraId="16B8445B">
            <w:pPr>
              <w:jc w:val="both"/>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能源综合生产能力（亿吨标准煤）</w:t>
            </w:r>
          </w:p>
        </w:tc>
        <w:tc>
          <w:tcPr>
            <w:tcW w:w="1043" w:type="dxa"/>
            <w:tcMar>
              <w:top w:w="15" w:type="dxa"/>
              <w:left w:w="15" w:type="dxa"/>
              <w:right w:w="15" w:type="dxa"/>
            </w:tcMar>
            <w:vAlign w:val="center"/>
          </w:tcPr>
          <w:p w14:paraId="5BE90F97">
            <w:pPr>
              <w:jc w:val="both"/>
              <w:rPr>
                <w:rFonts w:ascii="Times New Roman" w:hAnsi="Times New Roman" w:eastAsia="宋体" w:cs="Times New Roman"/>
                <w:sz w:val="18"/>
                <w:szCs w:val="18"/>
              </w:rPr>
            </w:pPr>
          </w:p>
        </w:tc>
        <w:tc>
          <w:tcPr>
            <w:tcW w:w="1339" w:type="dxa"/>
            <w:tcMar>
              <w:top w:w="15" w:type="dxa"/>
              <w:left w:w="15" w:type="dxa"/>
              <w:right w:w="15" w:type="dxa"/>
            </w:tcMar>
            <w:vAlign w:val="center"/>
          </w:tcPr>
          <w:p w14:paraId="67990F60">
            <w:pPr>
              <w:jc w:val="both"/>
              <w:rPr>
                <w:rFonts w:ascii="Times New Roman" w:hAnsi="Times New Roman" w:eastAsia="宋体" w:cs="Times New Roman"/>
                <w:sz w:val="18"/>
                <w:szCs w:val="18"/>
              </w:rPr>
            </w:pPr>
            <w:r>
              <w:rPr>
                <w:rFonts w:ascii="Times New Roman" w:hAnsi="Times New Roman" w:eastAsia="宋体" w:cs="Times New Roman"/>
                <w:sz w:val="18"/>
                <w:szCs w:val="18"/>
              </w:rPr>
              <w:t>完成下达任务</w:t>
            </w:r>
          </w:p>
        </w:tc>
        <w:tc>
          <w:tcPr>
            <w:tcW w:w="1042" w:type="dxa"/>
            <w:tcMar>
              <w:top w:w="15" w:type="dxa"/>
              <w:left w:w="15" w:type="dxa"/>
              <w:right w:w="15" w:type="dxa"/>
            </w:tcMar>
            <w:vAlign w:val="center"/>
          </w:tcPr>
          <w:p w14:paraId="19A75FA9">
            <w:pPr>
              <w:jc w:val="both"/>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000" w:type="dxa"/>
            <w:tcMar>
              <w:top w:w="15" w:type="dxa"/>
              <w:left w:w="15" w:type="dxa"/>
              <w:right w:w="15" w:type="dxa"/>
            </w:tcMar>
            <w:vAlign w:val="center"/>
          </w:tcPr>
          <w:p w14:paraId="3C3BA013">
            <w:pPr>
              <w:jc w:val="both"/>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约束性</w:t>
            </w:r>
          </w:p>
        </w:tc>
      </w:tr>
      <w:tr w14:paraId="5C8BF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8760" w:type="dxa"/>
            <w:gridSpan w:val="6"/>
            <w:tcMar>
              <w:top w:w="15" w:type="dxa"/>
              <w:left w:w="15" w:type="dxa"/>
              <w:right w:w="15" w:type="dxa"/>
            </w:tcMar>
            <w:vAlign w:val="center"/>
          </w:tcPr>
          <w:p w14:paraId="53816EAC">
            <w:pPr>
              <w:jc w:val="both"/>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注：[ ]为累计完成数</w:t>
            </w:r>
            <w:r>
              <w:rPr>
                <w:rFonts w:ascii="Times New Roman" w:hAnsi="Times New Roman" w:cs="Times New Roman"/>
                <w:kern w:val="0"/>
                <w:sz w:val="18"/>
                <w:szCs w:val="18"/>
              </w:rPr>
              <w:t>，</w:t>
            </w:r>
            <w:r>
              <w:rPr>
                <w:rFonts w:ascii="Times New Roman" w:hAnsi="Times New Roman" w:eastAsia="宋体" w:cs="Times New Roman"/>
                <w:kern w:val="0"/>
                <w:sz w:val="18"/>
                <w:szCs w:val="18"/>
              </w:rPr>
              <w:t>*</w:t>
            </w:r>
            <w:r>
              <w:rPr>
                <w:rFonts w:ascii="Times New Roman" w:hAnsi="Times New Roman" w:cs="Times New Roman"/>
                <w:kern w:val="0"/>
                <w:sz w:val="18"/>
                <w:szCs w:val="18"/>
              </w:rPr>
              <w:t>为2019年数据。</w:t>
            </w:r>
          </w:p>
        </w:tc>
      </w:tr>
    </w:tbl>
    <w:p w14:paraId="08D06C63">
      <w:pPr>
        <w:jc w:val="both"/>
        <w:rPr>
          <w:rFonts w:ascii="Times New Roman" w:hAnsi="Times New Roman" w:eastAsia="黑体" w:cs="Times New Roman"/>
          <w:sz w:val="32"/>
          <w:szCs w:val="32"/>
        </w:rPr>
      </w:pPr>
      <w:r>
        <w:rPr>
          <w:rFonts w:ascii="Times New Roman" w:hAnsi="Times New Roman" w:eastAsia="黑体" w:cs="Times New Roman"/>
          <w:sz w:val="32"/>
          <w:szCs w:val="32"/>
        </w:rPr>
        <w:br w:type="page"/>
      </w:r>
    </w:p>
    <w:p w14:paraId="30CF7FE6">
      <w:pPr>
        <w:spacing w:beforeLines="100" w:afterLines="100"/>
        <w:jc w:val="center"/>
        <w:outlineLvl w:val="0"/>
        <w:rPr>
          <w:rFonts w:ascii="Times New Roman" w:hAnsi="Times New Roman" w:eastAsia="黑体" w:cs="Times New Roman"/>
          <w:color w:val="000000"/>
          <w:sz w:val="32"/>
          <w:szCs w:val="32"/>
        </w:rPr>
      </w:pPr>
      <w:bookmarkStart w:id="49" w:name="_Toc68253229"/>
      <w:bookmarkStart w:id="50" w:name="_Toc67564126"/>
      <w:r>
        <w:rPr>
          <w:rFonts w:ascii="Times New Roman" w:hAnsi="Times New Roman" w:eastAsia="黑体" w:cs="Times New Roman"/>
          <w:color w:val="000000"/>
          <w:sz w:val="32"/>
          <w:szCs w:val="32"/>
        </w:rPr>
        <w:t>第</w:t>
      </w:r>
      <w:r>
        <w:rPr>
          <w:rFonts w:hint="eastAsia" w:ascii="Times New Roman" w:hAnsi="Times New Roman" w:eastAsia="黑体" w:cs="Times New Roman"/>
          <w:color w:val="000000"/>
          <w:sz w:val="32"/>
          <w:szCs w:val="32"/>
        </w:rPr>
        <w:t>二</w:t>
      </w:r>
      <w:r>
        <w:rPr>
          <w:rFonts w:ascii="Times New Roman" w:hAnsi="Times New Roman" w:eastAsia="黑体" w:cs="Times New Roman"/>
          <w:color w:val="000000"/>
          <w:sz w:val="32"/>
          <w:szCs w:val="32"/>
        </w:rPr>
        <w:t xml:space="preserve">章  </w:t>
      </w:r>
      <w:r>
        <w:rPr>
          <w:rFonts w:hint="eastAsia" w:ascii="Times New Roman" w:hAnsi="Times New Roman" w:eastAsia="黑体" w:cs="Times New Roman"/>
          <w:color w:val="000000"/>
          <w:sz w:val="32"/>
          <w:szCs w:val="32"/>
        </w:rPr>
        <w:t>持续扩大投资消费</w:t>
      </w:r>
      <w:r>
        <w:rPr>
          <w:rFonts w:ascii="Times New Roman" w:hAnsi="Times New Roman" w:eastAsia="黑体" w:cs="Times New Roman"/>
          <w:color w:val="000000"/>
          <w:sz w:val="32"/>
          <w:szCs w:val="32"/>
        </w:rPr>
        <w:t>，</w:t>
      </w:r>
      <w:r>
        <w:rPr>
          <w:rFonts w:hint="eastAsia" w:ascii="Times New Roman" w:hAnsi="Times New Roman" w:eastAsia="黑体" w:cs="Times New Roman"/>
          <w:color w:val="000000"/>
          <w:sz w:val="32"/>
          <w:szCs w:val="32"/>
        </w:rPr>
        <w:t>锻造高质量转型发展新引擎</w:t>
      </w:r>
      <w:bookmarkEnd w:id="49"/>
    </w:p>
    <w:p w14:paraId="513B4E96">
      <w:pPr>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坚持把投资作为高质量转型发展的最大引擎和重要途径，狠抓招商引资、项目建设、营商环境不动摇。</w:t>
      </w:r>
      <w:r>
        <w:rPr>
          <w:rFonts w:ascii="Times New Roman" w:hAnsi="Times New Roman" w:eastAsia="仿宋_GB2312" w:cs="Times New Roman"/>
          <w:color w:val="000000"/>
          <w:sz w:val="32"/>
          <w:szCs w:val="32"/>
        </w:rPr>
        <w:t>统筹投资和消费，建立健全供给与需求相互促进、投资与消费良性互动的长效机制，全面融入国内大循环为主体、国内国际双循环相互促进的新发展格局。</w:t>
      </w:r>
    </w:p>
    <w:p w14:paraId="6F308EC5">
      <w:pPr>
        <w:spacing w:beforeLines="50" w:afterLines="50"/>
        <w:jc w:val="center"/>
        <w:outlineLvl w:val="1"/>
        <w:rPr>
          <w:rFonts w:ascii="Times New Roman" w:hAnsi="Times New Roman" w:eastAsia="楷体_GB2312" w:cs="Times New Roman"/>
          <w:color w:val="000000"/>
          <w:sz w:val="32"/>
          <w:szCs w:val="32"/>
        </w:rPr>
      </w:pPr>
      <w:bookmarkStart w:id="51" w:name="_Toc68253230"/>
      <w:r>
        <w:rPr>
          <w:rFonts w:ascii="Times New Roman" w:hAnsi="Times New Roman" w:eastAsia="楷体_GB2312" w:cs="Times New Roman"/>
          <w:color w:val="000000"/>
          <w:sz w:val="32"/>
          <w:szCs w:val="32"/>
        </w:rPr>
        <w:t>第</w:t>
      </w:r>
      <w:r>
        <w:rPr>
          <w:rFonts w:hint="eastAsia" w:ascii="Times New Roman" w:hAnsi="Times New Roman" w:eastAsia="楷体_GB2312" w:cs="Times New Roman"/>
          <w:color w:val="000000"/>
          <w:sz w:val="32"/>
          <w:szCs w:val="32"/>
        </w:rPr>
        <w:t>一</w:t>
      </w:r>
      <w:r>
        <w:rPr>
          <w:rFonts w:ascii="Times New Roman" w:hAnsi="Times New Roman" w:eastAsia="楷体_GB2312" w:cs="Times New Roman"/>
          <w:color w:val="000000"/>
          <w:sz w:val="32"/>
          <w:szCs w:val="32"/>
        </w:rPr>
        <w:t xml:space="preserve">节  </w:t>
      </w:r>
      <w:r>
        <w:rPr>
          <w:rFonts w:hint="eastAsia" w:ascii="Times New Roman" w:hAnsi="Times New Roman" w:eastAsia="楷体_GB2312" w:cs="Times New Roman"/>
          <w:color w:val="000000"/>
          <w:sz w:val="32"/>
          <w:szCs w:val="32"/>
        </w:rPr>
        <w:t>全力推进招商引资</w:t>
      </w:r>
      <w:bookmarkEnd w:id="51"/>
    </w:p>
    <w:p w14:paraId="1094D7B5">
      <w:pPr>
        <w:widowControl w:val="0"/>
        <w:wordWrap/>
        <w:adjustRightInd/>
        <w:snapToGrid/>
        <w:spacing w:line="660" w:lineRule="exact"/>
        <w:ind w:left="0" w:leftChars="0" w:right="0" w:firstLine="640"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坚持将招商引资作为“一号工程”，优化招商体制机制，提升招商水平，</w:t>
      </w:r>
      <w:r>
        <w:rPr>
          <w:rFonts w:ascii="Times New Roman" w:hAnsi="Times New Roman" w:eastAsia="仿宋_GB2312" w:cs="Times New Roman"/>
          <w:color w:val="000000"/>
          <w:sz w:val="32"/>
          <w:szCs w:val="32"/>
        </w:rPr>
        <w:t>大力推进稳链、补链、强链，</w:t>
      </w:r>
      <w:r>
        <w:rPr>
          <w:rFonts w:ascii="Times New Roman" w:hAnsi="Times New Roman" w:eastAsia="仿宋_GB2312"/>
          <w:kern w:val="0"/>
          <w:sz w:val="32"/>
          <w:szCs w:val="32"/>
        </w:rPr>
        <w:t>促进产业链、供应链、创新链跨区域协作</w:t>
      </w:r>
      <w:r>
        <w:rPr>
          <w:rFonts w:hint="eastAsia" w:ascii="Times New Roman" w:hAnsi="Times New Roman" w:eastAsia="仿宋_GB2312"/>
          <w:kern w:val="0"/>
          <w:sz w:val="32"/>
          <w:szCs w:val="32"/>
        </w:rPr>
        <w:t>，提升产业发展层次和水平</w:t>
      </w:r>
      <w:r>
        <w:rPr>
          <w:rFonts w:ascii="Times New Roman" w:hAnsi="Times New Roman" w:eastAsia="仿宋_GB2312" w:cs="Times New Roman"/>
          <w:color w:val="000000"/>
          <w:sz w:val="32"/>
          <w:szCs w:val="32"/>
        </w:rPr>
        <w:t>。</w:t>
      </w:r>
    </w:p>
    <w:p w14:paraId="4D053937">
      <w:pPr>
        <w:widowControl w:val="0"/>
        <w:wordWrap/>
        <w:adjustRightInd/>
        <w:snapToGrid/>
        <w:spacing w:line="660" w:lineRule="exact"/>
        <w:ind w:left="0" w:leftChars="0" w:right="0" w:firstLine="643"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持续加大招商引资力度。</w:t>
      </w:r>
      <w:r>
        <w:rPr>
          <w:rFonts w:hint="eastAsia" w:ascii="Times New Roman" w:hAnsi="Times New Roman" w:eastAsia="仿宋_GB2312" w:cs="Times New Roman"/>
          <w:color w:val="000000"/>
          <w:sz w:val="32"/>
          <w:szCs w:val="32"/>
        </w:rPr>
        <w:t>围绕做大做强优势产业，培育壮大新兴产业，盯住重点区域、重点企业，通过精准招商、产业链招商、以商招商，扎实做好建链、补链、延链、提链、强链，</w:t>
      </w:r>
      <w:r>
        <w:rPr>
          <w:rFonts w:ascii="Times New Roman" w:hAnsi="Times New Roman" w:eastAsia="仿宋_GB2312" w:cs="Times New Roman"/>
          <w:sz w:val="32"/>
          <w:szCs w:val="32"/>
        </w:rPr>
        <w:t>开展全产业链招商，着力构建龙头企业+研发机构+配套产业或配套企业+产业基金扶持+政府保姆式服务+开发区负责落地的招商模式。</w:t>
      </w:r>
      <w:r>
        <w:rPr>
          <w:rFonts w:hint="eastAsia" w:ascii="Times New Roman" w:hAnsi="Times New Roman" w:eastAsia="仿宋_GB2312" w:cs="Times New Roman"/>
          <w:color w:val="000000"/>
          <w:sz w:val="32"/>
          <w:szCs w:val="32"/>
        </w:rPr>
        <w:t>继续实行重点招商项目县级领导专班负责机制，全程提供“保姆式”服务，争取更多项目落户永济。</w:t>
      </w:r>
      <w:r>
        <w:rPr>
          <w:rFonts w:ascii="Times New Roman" w:hAnsi="Times New Roman" w:eastAsia="仿宋_GB2312" w:cs="Times New Roman"/>
          <w:sz w:val="32"/>
          <w:szCs w:val="32"/>
        </w:rPr>
        <w:t>深化招商引资体制机制改革，继续推进市场化组建招商专班，全面提升专业化水平。</w:t>
      </w:r>
      <w:r>
        <w:rPr>
          <w:rFonts w:hint="eastAsia" w:ascii="Times New Roman" w:hAnsi="Times New Roman" w:eastAsia="仿宋_GB2312" w:cs="Times New Roman"/>
          <w:color w:val="000000"/>
          <w:sz w:val="32"/>
          <w:szCs w:val="32"/>
        </w:rPr>
        <w:t>“十四五”期间，力争项目签约额突破1000亿元，开工率达到70%以上。</w:t>
      </w:r>
    </w:p>
    <w:p w14:paraId="743397F6">
      <w:pPr>
        <w:ind w:firstLine="643"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主动嵌入全球全国产业链。</w:t>
      </w:r>
      <w:r>
        <w:rPr>
          <w:rFonts w:ascii="Times New Roman" w:hAnsi="Times New Roman" w:eastAsia="仿宋_GB2312" w:cs="Times New Roman"/>
          <w:color w:val="000000"/>
          <w:sz w:val="32"/>
          <w:szCs w:val="32"/>
        </w:rPr>
        <w:t>发挥龙头企业带动作用，以机电制造、新能源汽车及汽车轻量化零配件、风电维修制造等产业领域为重点，强化产业链共性设施和共性技术平台建设，推动产业链上下游</w:t>
      </w:r>
      <w:r>
        <w:rPr>
          <w:rFonts w:hint="eastAsia" w:ascii="Times New Roman" w:hAnsi="Times New Roman" w:eastAsia="仿宋_GB2312" w:cs="Times New Roman"/>
          <w:color w:val="000000"/>
          <w:sz w:val="32"/>
          <w:szCs w:val="32"/>
        </w:rPr>
        <w:t>企业</w:t>
      </w:r>
      <w:r>
        <w:rPr>
          <w:rFonts w:ascii="Times New Roman" w:hAnsi="Times New Roman" w:eastAsia="仿宋_GB2312" w:cs="Times New Roman"/>
          <w:color w:val="000000"/>
          <w:sz w:val="32"/>
          <w:szCs w:val="32"/>
        </w:rPr>
        <w:t>的横向联合、纵向整合，培育嵌入国内外制造业供应链的“</w:t>
      </w:r>
      <w:r>
        <w:rPr>
          <w:rFonts w:hint="eastAsia" w:ascii="Times New Roman" w:hAnsi="Times New Roman" w:eastAsia="仿宋_GB2312" w:cs="Times New Roman"/>
          <w:color w:val="000000"/>
          <w:sz w:val="32"/>
          <w:szCs w:val="32"/>
        </w:rPr>
        <w:t>拳头</w:t>
      </w:r>
      <w:r>
        <w:rPr>
          <w:rFonts w:ascii="Times New Roman" w:hAnsi="Times New Roman" w:eastAsia="仿宋_GB2312" w:cs="Times New Roman"/>
          <w:color w:val="000000"/>
          <w:sz w:val="32"/>
          <w:szCs w:val="32"/>
        </w:rPr>
        <w:t>”产品。大力推动移动互联网、大数据、云计算、物联网等与产业融合发展，引导产业链、价值链向高端延伸。建立供应链安全预警机制，定期分析评估重点产业、重点企业、重点项目供应保障问题。</w:t>
      </w:r>
    </w:p>
    <w:p w14:paraId="2F776B5F">
      <w:pPr>
        <w:pStyle w:val="17"/>
        <w:ind w:firstLine="643" w:firstLineChars="200"/>
        <w:jc w:val="both"/>
      </w:pPr>
      <w:r>
        <w:rPr>
          <w:rFonts w:ascii="Times New Roman" w:hAnsi="Times New Roman" w:eastAsia="仿宋_GB2312"/>
          <w:b/>
          <w:bCs/>
          <w:color w:val="000000"/>
          <w:sz w:val="32"/>
          <w:szCs w:val="32"/>
        </w:rPr>
        <w:t>实施补链延链强链工程。</w:t>
      </w:r>
      <w:r>
        <w:rPr>
          <w:rFonts w:ascii="Times New Roman" w:hAnsi="Times New Roman" w:eastAsia="仿宋_GB2312"/>
          <w:color w:val="000000"/>
          <w:sz w:val="32"/>
          <w:szCs w:val="32"/>
        </w:rPr>
        <w:t>围绕“3+2”产业体系，建立实施产业链“链长”制度，谋划产业循环半径、产业链循环图和产业链地图，积极承接京津冀、长三角、大湾区产业转移，创新招商模式，实施精准招商，加快推进产业链、供应链上下游</w:t>
      </w:r>
      <w:r>
        <w:rPr>
          <w:rFonts w:hint="eastAsia" w:ascii="Times New Roman" w:hAnsi="Times New Roman" w:eastAsia="仿宋_GB2312"/>
          <w:color w:val="000000"/>
          <w:sz w:val="32"/>
          <w:szCs w:val="32"/>
        </w:rPr>
        <w:t>企</w:t>
      </w:r>
      <w:r>
        <w:rPr>
          <w:rFonts w:ascii="Times New Roman" w:hAnsi="Times New Roman" w:eastAsia="仿宋_GB2312"/>
          <w:color w:val="000000"/>
          <w:sz w:val="32"/>
          <w:szCs w:val="32"/>
        </w:rPr>
        <w:t>业的引进落地。充分挖掘市内需求，聚焦基本消费品、大宗消费商品、装备材料工业用品，有效完善供应链、补齐产业链，强化下游产品、终端产品、消费产品供给，促进投资消费良性互动、产业和消费“双升级”。</w:t>
      </w:r>
    </w:p>
    <w:p w14:paraId="7E5D2593">
      <w:pPr>
        <w:spacing w:beforeLines="50" w:afterLines="50"/>
        <w:jc w:val="center"/>
        <w:outlineLvl w:val="1"/>
        <w:rPr>
          <w:rFonts w:ascii="Times New Roman" w:hAnsi="Times New Roman" w:eastAsia="楷体_GB2312" w:cs="Times New Roman"/>
          <w:color w:val="000000"/>
          <w:sz w:val="32"/>
          <w:szCs w:val="32"/>
        </w:rPr>
      </w:pPr>
      <w:bookmarkStart w:id="52" w:name="_Toc68253231"/>
      <w:r>
        <w:rPr>
          <w:rFonts w:ascii="Times New Roman" w:hAnsi="Times New Roman" w:eastAsia="楷体_GB2312" w:cs="Times New Roman"/>
          <w:color w:val="000000"/>
          <w:sz w:val="32"/>
          <w:szCs w:val="32"/>
        </w:rPr>
        <w:t>第</w:t>
      </w:r>
      <w:r>
        <w:rPr>
          <w:rFonts w:hint="eastAsia" w:ascii="Times New Roman" w:hAnsi="Times New Roman" w:eastAsia="楷体_GB2312" w:cs="Times New Roman"/>
          <w:color w:val="000000"/>
          <w:sz w:val="32"/>
          <w:szCs w:val="32"/>
        </w:rPr>
        <w:t>二</w:t>
      </w:r>
      <w:r>
        <w:rPr>
          <w:rFonts w:ascii="Times New Roman" w:hAnsi="Times New Roman" w:eastAsia="楷体_GB2312" w:cs="Times New Roman"/>
          <w:color w:val="000000"/>
          <w:sz w:val="32"/>
          <w:szCs w:val="32"/>
        </w:rPr>
        <w:t>节  深度拓展投资空间</w:t>
      </w:r>
      <w:bookmarkEnd w:id="52"/>
    </w:p>
    <w:p w14:paraId="34415BA7">
      <w:pPr>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坚持以项目论英雄，以项目论业绩，</w:t>
      </w:r>
      <w:r>
        <w:rPr>
          <w:rFonts w:ascii="Times New Roman" w:hAnsi="Times New Roman" w:eastAsia="仿宋_GB2312" w:cs="Times New Roman"/>
          <w:color w:val="000000"/>
          <w:sz w:val="32"/>
          <w:szCs w:val="32"/>
        </w:rPr>
        <w:t>充分发挥投资关键性作用，稳步扩大有效投资，补齐经济社会领域短板弱项，</w:t>
      </w:r>
      <w:r>
        <w:rPr>
          <w:rFonts w:hint="eastAsia" w:ascii="Times New Roman" w:hAnsi="Times New Roman" w:eastAsia="仿宋_GB2312" w:cs="Times New Roman"/>
          <w:color w:val="000000"/>
          <w:sz w:val="32"/>
          <w:szCs w:val="32"/>
        </w:rPr>
        <w:t>在全市形成“一切围绕项目想、一切围绕项目落、一切围绕项目干”的浓厚氛围。</w:t>
      </w:r>
    </w:p>
    <w:p w14:paraId="0842FB1F">
      <w:pPr>
        <w:ind w:firstLine="643"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加大基础设施建设。</w:t>
      </w:r>
      <w:r>
        <w:rPr>
          <w:rFonts w:ascii="Times New Roman" w:hAnsi="Times New Roman" w:eastAsia="仿宋_GB2312" w:cs="Times New Roman"/>
          <w:color w:val="000000"/>
          <w:sz w:val="32"/>
          <w:szCs w:val="32"/>
        </w:rPr>
        <w:t>启动实施永济—芮城太安（晋豫界）高速、国道521线永济段改建，加快三条沿黄旅游公路支线建设，推进282公里四好农村公路、高铁永济北站客运汽车站、蒲州景区公交枢纽站，加快智慧交通建设，对全市县道和沿黄旅游公路200公里道路沿线安装监控、大数据采集和中控平台，到2025年，全市农村公路“十纵四横”路网进一步加密拓展，形成主线串联、支线循环的“城景通、景景通”全域旅游一张网，与铁路、高速共同构成“快进慢游深体验”交通网，实现安全、便捷、高效、绿色的现代公路运输体系全覆盖。</w:t>
      </w:r>
    </w:p>
    <w:tbl>
      <w:tblPr>
        <w:tblStyle w:val="19"/>
        <w:tblW w:w="8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14:paraId="24D02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900" w:type="dxa"/>
            <w:vAlign w:val="top"/>
          </w:tcPr>
          <w:p w14:paraId="175D23CF">
            <w:pPr>
              <w:jc w:val="both"/>
              <w:rPr>
                <w:rFonts w:ascii="Times New Roman" w:hAnsi="Times New Roman" w:eastAsia="楷体_GB2312" w:cs="Times New Roman"/>
                <w:sz w:val="32"/>
                <w:szCs w:val="32"/>
              </w:rPr>
            </w:pPr>
            <w:r>
              <w:rPr>
                <w:rFonts w:hint="eastAsia" w:ascii="Times New Roman" w:hAnsi="Times New Roman" w:eastAsia="黑体" w:cs="Times New Roman"/>
                <w:sz w:val="28"/>
                <w:szCs w:val="28"/>
              </w:rPr>
              <w:t>专栏</w:t>
            </w:r>
            <w:r>
              <w:rPr>
                <w:rFonts w:ascii="Times New Roman" w:hAnsi="Times New Roman" w:eastAsia="黑体" w:cs="Times New Roman"/>
                <w:sz w:val="28"/>
                <w:szCs w:val="28"/>
              </w:rPr>
              <w:t>3</w:t>
            </w:r>
            <w:r>
              <w:rPr>
                <w:rFonts w:hint="eastAsia" w:ascii="Times New Roman" w:hAnsi="Times New Roman" w:eastAsia="黑体" w:cs="Times New Roman"/>
                <w:sz w:val="28"/>
                <w:szCs w:val="28"/>
              </w:rPr>
              <w:t>：“十四五”全市重点交通项目</w:t>
            </w:r>
          </w:p>
        </w:tc>
      </w:tr>
      <w:tr w14:paraId="7DA02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5" w:hRule="atLeast"/>
        </w:trPr>
        <w:tc>
          <w:tcPr>
            <w:tcW w:w="8900" w:type="dxa"/>
            <w:vAlign w:val="top"/>
          </w:tcPr>
          <w:p w14:paraId="01C78595">
            <w:pPr>
              <w:spacing w:beforeLines="50" w:line="360" w:lineRule="exact"/>
              <w:ind w:firstLine="422" w:firstLineChars="200"/>
              <w:jc w:val="both"/>
              <w:rPr>
                <w:rFonts w:ascii="方正小标宋简体" w:hAnsi="宋体" w:eastAsia="方正小标宋简体" w:cs="方正小标宋简体"/>
                <w:szCs w:val="21"/>
              </w:rPr>
            </w:pPr>
            <w:r>
              <w:rPr>
                <w:rFonts w:hint="eastAsia" w:ascii="方正小标宋简体" w:hAnsi="宋体" w:eastAsia="方正小标宋简体" w:cs="方正小标宋简体"/>
                <w:b/>
                <w:szCs w:val="21"/>
              </w:rPr>
              <w:t>公路建设项目。</w:t>
            </w:r>
            <w:r>
              <w:rPr>
                <w:rFonts w:hint="eastAsia" w:ascii="方正小标宋简体" w:hAnsi="宋体" w:eastAsia="方正小标宋简体" w:cs="方正小标宋简体"/>
                <w:szCs w:val="21"/>
              </w:rPr>
              <w:t>永济—芮城太安（晋豫界）高速、G521线（国道运潼线）永济段改建工程、三条沿黄旅游公路支线建设项目（包括：永卿路改建项目、于黄路改建项目、雪花山至王官峪新建项目）、国防战备公路项目（包括：张留庄至飞机场油库公路、521国道至蒲州街公路）、永济市智慧交通建设项目等。</w:t>
            </w:r>
          </w:p>
          <w:p w14:paraId="1BC6333F">
            <w:pPr>
              <w:spacing w:line="360" w:lineRule="exact"/>
              <w:ind w:firstLine="422" w:firstLineChars="200"/>
              <w:jc w:val="both"/>
              <w:rPr>
                <w:rFonts w:ascii="方正小标宋简体" w:hAnsi="宋体" w:eastAsia="方正小标宋简体" w:cs="方正小标宋简体"/>
                <w:szCs w:val="21"/>
              </w:rPr>
            </w:pPr>
            <w:r>
              <w:rPr>
                <w:rFonts w:hint="eastAsia" w:ascii="方正小标宋简体" w:hAnsi="宋体" w:eastAsia="方正小标宋简体" w:cs="方正小标宋简体"/>
                <w:b/>
                <w:szCs w:val="21"/>
              </w:rPr>
              <w:t>四好农村路建设工程。</w:t>
            </w:r>
            <w:r>
              <w:rPr>
                <w:rFonts w:hint="eastAsia" w:ascii="方正小标宋简体" w:hAnsi="宋体" w:eastAsia="方正小标宋简体" w:cs="方正小标宋简体"/>
                <w:szCs w:val="21"/>
              </w:rPr>
              <w:t>县乡公路改造2项24. 994公里；交通扶贫资源路、旅游路、产业路项目5项24. 718公里；自然村通硬化路建设39项，86. 284公里；农村公路安全生命防护工程44项115公里；窄路基路面拓宽工程4项8. 893公里；场林区场部通硬化路1项，永济国有林场—运文线4公里；建制村通双车道3项5. 828公里；危桥改建3座；路网优化提升8项，共12. 643公里。</w:t>
            </w:r>
          </w:p>
          <w:p w14:paraId="6FD591B9">
            <w:pPr>
              <w:spacing w:afterLines="50" w:line="360" w:lineRule="exact"/>
              <w:ind w:firstLine="422" w:firstLineChars="200"/>
              <w:jc w:val="both"/>
              <w:rPr>
                <w:rFonts w:ascii="Times New Roman" w:hAnsi="Times New Roman" w:cs="Times New Roman"/>
              </w:rPr>
            </w:pPr>
            <w:r>
              <w:rPr>
                <w:rFonts w:hint="eastAsia" w:ascii="方正小标宋简体" w:hAnsi="宋体" w:eastAsia="方正小标宋简体" w:cs="方正小标宋简体"/>
                <w:b/>
                <w:szCs w:val="21"/>
              </w:rPr>
              <w:t>运输场站建设工程。</w:t>
            </w:r>
            <w:r>
              <w:rPr>
                <w:rFonts w:hint="eastAsia" w:ascii="方正小标宋简体" w:hAnsi="宋体" w:eastAsia="方正小标宋简体" w:cs="方正小标宋简体"/>
                <w:szCs w:val="21"/>
              </w:rPr>
              <w:t>新建大西高铁永济北站客运汽车站、新建永济市城西公交站、新建永济市韩阳公交站、新建永济市蒲州景区公交枢纽站。</w:t>
            </w:r>
          </w:p>
        </w:tc>
      </w:tr>
    </w:tbl>
    <w:p w14:paraId="0F57E7C1">
      <w:pPr>
        <w:spacing w:beforeLines="50"/>
        <w:ind w:firstLine="643"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聚焦重点领域扩大投资。</w:t>
      </w:r>
      <w:r>
        <w:rPr>
          <w:rFonts w:ascii="Times New Roman" w:hAnsi="Times New Roman" w:eastAsia="仿宋_GB2312" w:cs="Times New Roman"/>
          <w:color w:val="000000"/>
          <w:sz w:val="32"/>
          <w:szCs w:val="32"/>
        </w:rPr>
        <w:t>围绕机电制造、</w:t>
      </w:r>
      <w:r>
        <w:rPr>
          <w:rFonts w:ascii="Times New Roman" w:hAnsi="Times New Roman" w:eastAsia="仿宋_GB2312" w:cs="Times New Roman"/>
          <w:sz w:val="32"/>
          <w:szCs w:val="32"/>
        </w:rPr>
        <w:t>新能源汽车及汽车轻量化零配件产业、</w:t>
      </w:r>
      <w:r>
        <w:rPr>
          <w:rFonts w:ascii="Times New Roman" w:hAnsi="Times New Roman" w:eastAsia="仿宋_GB2312" w:cs="Times New Roman"/>
          <w:color w:val="000000"/>
          <w:sz w:val="32"/>
          <w:szCs w:val="32"/>
        </w:rPr>
        <w:t>风电维修制造、高端印染包装、数字经济、文化旅游、农产品精深加工等重点产业，以及光电科技、智能制造、大数据应用、高端材料等新兴产业，谋划实施一批提高产业竞争力的项目。围绕“两新一重”和城市更新行动，谋划一批交通、供水电力、智慧城市、海绵城市、老旧小区改造等增强城市承载力的项目。围绕乡村建设行动，谋划一批农村水、电、路、通信、物流等基础设施和垃圾污水处理等人居环境改善项目。围绕提高人民生活品质，谋划一批疾病预防控制、教育、养老、公共服务等增强人民群众获得感的项目。“十四五”期间，谋划库项目动态总投资规模达到</w:t>
      </w:r>
      <w:r>
        <w:rPr>
          <w:rFonts w:hint="eastAsia" w:ascii="Times New Roman" w:hAnsi="Times New Roman" w:eastAsia="仿宋_GB2312" w:cs="Times New Roman"/>
          <w:color w:val="000000"/>
          <w:sz w:val="32"/>
          <w:szCs w:val="32"/>
        </w:rPr>
        <w:t>50</w:t>
      </w:r>
      <w:r>
        <w:rPr>
          <w:rFonts w:ascii="Times New Roman" w:hAnsi="Times New Roman" w:eastAsia="仿宋_GB2312" w:cs="Times New Roman"/>
          <w:color w:val="000000"/>
          <w:sz w:val="32"/>
          <w:szCs w:val="32"/>
        </w:rPr>
        <w:t>00亿左右。</w:t>
      </w:r>
    </w:p>
    <w:p w14:paraId="67E5849D">
      <w:pPr>
        <w:ind w:firstLine="643"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完善项目推进机制。</w:t>
      </w:r>
      <w:r>
        <w:rPr>
          <w:rFonts w:ascii="Times New Roman" w:hAnsi="Times New Roman" w:eastAsia="仿宋_GB2312" w:cs="Times New Roman"/>
          <w:color w:val="000000"/>
          <w:sz w:val="32"/>
          <w:szCs w:val="32"/>
        </w:rPr>
        <w:t>落实项目推进“五个一”机制，持续推行包联机制，</w:t>
      </w:r>
      <w:r>
        <w:rPr>
          <w:rFonts w:hint="eastAsia" w:ascii="Times New Roman" w:hAnsi="Times New Roman" w:eastAsia="仿宋_GB2312" w:cs="Times New Roman"/>
          <w:color w:val="000000"/>
          <w:sz w:val="32"/>
          <w:szCs w:val="32"/>
        </w:rPr>
        <w:t>建立“周调度、月通报、季排名、年评优”考核推进机制，实行建账、理账、对账、交账、算账“五账法”，全面加快项目签约、落地、开工、投产达效步伐。</w:t>
      </w:r>
      <w:r>
        <w:rPr>
          <w:rFonts w:ascii="Times New Roman" w:hAnsi="Times New Roman" w:eastAsia="仿宋_GB2312" w:cs="Times New Roman"/>
          <w:color w:val="000000"/>
          <w:sz w:val="32"/>
          <w:szCs w:val="32"/>
        </w:rPr>
        <w:t>持续推动项目开工、签约、投产“三个一批”，加大项目资金、用地、能耗等要素保障力度。做好地方政府专项债券工作，推动政府投资计划全覆盖，不断优化政府投资方向和结构。鼓励和引导社会资本通过特许经营、政府购买服务、股权合作等方式开展项目合作。</w:t>
      </w:r>
    </w:p>
    <w:p w14:paraId="0B06BEAF">
      <w:pPr>
        <w:spacing w:beforeLines="50" w:afterLines="50"/>
        <w:jc w:val="center"/>
        <w:outlineLvl w:val="1"/>
        <w:rPr>
          <w:rFonts w:ascii="Times New Roman" w:hAnsi="Times New Roman" w:eastAsia="楷体_GB2312" w:cs="Times New Roman"/>
          <w:kern w:val="0"/>
          <w:sz w:val="32"/>
          <w:szCs w:val="32"/>
          <w:lang w:bidi="en-US"/>
        </w:rPr>
      </w:pPr>
      <w:bookmarkStart w:id="53" w:name="_Toc68253232"/>
      <w:r>
        <w:rPr>
          <w:rFonts w:ascii="Times New Roman" w:hAnsi="Times New Roman" w:eastAsia="楷体_GB2312" w:cs="Times New Roman"/>
          <w:kern w:val="0"/>
          <w:sz w:val="32"/>
          <w:szCs w:val="32"/>
          <w:lang w:bidi="en-US"/>
        </w:rPr>
        <w:t>第</w:t>
      </w:r>
      <w:r>
        <w:rPr>
          <w:rFonts w:hint="eastAsia" w:ascii="Times New Roman" w:hAnsi="Times New Roman" w:eastAsia="楷体_GB2312" w:cs="Times New Roman"/>
          <w:kern w:val="0"/>
          <w:sz w:val="32"/>
          <w:szCs w:val="32"/>
          <w:lang w:bidi="en-US"/>
        </w:rPr>
        <w:t>三</w:t>
      </w:r>
      <w:r>
        <w:rPr>
          <w:rFonts w:ascii="Times New Roman" w:hAnsi="Times New Roman" w:eastAsia="楷体_GB2312" w:cs="Times New Roman"/>
          <w:kern w:val="0"/>
          <w:sz w:val="32"/>
          <w:szCs w:val="32"/>
          <w:lang w:bidi="en-US"/>
        </w:rPr>
        <w:t>节  建设区域消费中心</w:t>
      </w:r>
      <w:bookmarkEnd w:id="53"/>
    </w:p>
    <w:p w14:paraId="6A4CE462">
      <w:pPr>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充分发挥消费对于扩大内需的基础性作用，顺应消费升级趋势，提升传统消费、培育新型消费、增加公共消费，持续释放消费需求和消费活力，形成消费升级引领供给创新、供给提升创造消费新增长点的良性循环。</w:t>
      </w:r>
    </w:p>
    <w:p w14:paraId="4A8ED968">
      <w:pPr>
        <w:widowControl w:val="0"/>
        <w:wordWrap/>
        <w:adjustRightInd/>
        <w:snapToGrid/>
        <w:spacing w:line="640" w:lineRule="exact"/>
        <w:ind w:left="0" w:leftChars="0" w:right="0" w:firstLine="643"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b/>
          <w:bCs/>
          <w:sz w:val="32"/>
          <w:szCs w:val="32"/>
        </w:rPr>
        <w:t>发挥传统消费主体作用。</w:t>
      </w:r>
      <w:r>
        <w:rPr>
          <w:rFonts w:ascii="Times New Roman" w:hAnsi="Times New Roman" w:eastAsia="仿宋_GB2312" w:cs="Times New Roman"/>
          <w:sz w:val="32"/>
          <w:szCs w:val="32"/>
        </w:rPr>
        <w:t>结合城区发展布局，加快推进南风百货、百货大楼、供销大楼等成熟商圈上档升级，形成市域消费中心。优化百货商场、购物超市等规划布局，引导行业适度集中，避免无序竞争。大力发展便利店、社区菜店等社区商业，积极推进城乡便民消费服务中心的建设，推动传统的中小型百货商场向集超市、餐饮、教育、培训、娱乐、文体、健康等为一体的邻里型社区服务中心转变，构建便民服务消费圈。大力推动新一轮汽车促销和家电更新消费，积极扩大餐饮消费，促进住房消费健康发展。合理增加教育、医疗卫生、公共文化体育等领域的公共消费支出。</w:t>
      </w:r>
    </w:p>
    <w:p w14:paraId="073484B9">
      <w:pPr>
        <w:widowControl w:val="0"/>
        <w:wordWrap/>
        <w:adjustRightInd/>
        <w:snapToGrid/>
        <w:spacing w:line="640" w:lineRule="exact"/>
        <w:ind w:left="0" w:leftChars="0" w:right="0" w:firstLine="643"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b/>
          <w:bCs/>
          <w:sz w:val="32"/>
          <w:szCs w:val="32"/>
        </w:rPr>
        <w:t>加快发展新型消费。</w:t>
      </w:r>
      <w:r>
        <w:rPr>
          <w:rFonts w:ascii="Times New Roman" w:hAnsi="Times New Roman" w:eastAsia="仿宋_GB2312" w:cs="Times New Roman"/>
          <w:sz w:val="32"/>
          <w:szCs w:val="32"/>
        </w:rPr>
        <w:t>鼓励线上线下融合等新消费模式发展，完善“互联网+”消费生态体系，鼓励建设“智慧商店”“智慧街区”“智慧商圈”，促进线上线下互动、商旅文体协同。积极推进永济名优特农副产品网上销售。深入推进城乡高效配送专项行动，实施“邮政在乡”、升级“快递下乡”，丰富适合农村消费者的商品供给。大力发展“互联网+社会服务”消费模式，鼓励把文化消费嵌入各类消费场所，促进城市假日和夜间消费。</w:t>
      </w:r>
    </w:p>
    <w:p w14:paraId="3CEA812E">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建设特色消费示范区。</w:t>
      </w:r>
      <w:r>
        <w:rPr>
          <w:rFonts w:ascii="Times New Roman" w:hAnsi="Times New Roman" w:eastAsia="仿宋_GB2312" w:cs="Times New Roman"/>
          <w:sz w:val="32"/>
          <w:szCs w:val="32"/>
        </w:rPr>
        <w:t>建设符合晋南城乡居民消费习惯、品质品种的各种类型、多业态融合消费示范区，积极申报创建国家和省级信息消费试点示范城市、文化和旅游消费示范城市。鼓励消费示范区建设集合文创商店、特色书店、小剧场、文化娱乐场所等多种业态的消费集聚地。积极开展优秀消费网点评选，打造中小型、主题性、特色类的文化旅游演艺产品，推出凸显永济历史文化的实景剧，建设集购物、餐饮、休闲、娱乐、体验等功能于一体的多层次、多元化夜间文旅消费集聚区。</w:t>
      </w:r>
    </w:p>
    <w:p w14:paraId="372EC75E">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完善促进消费体制机制。</w:t>
      </w:r>
      <w:r>
        <w:rPr>
          <w:rFonts w:ascii="Times New Roman" w:hAnsi="Times New Roman" w:eastAsia="仿宋_GB2312" w:cs="Times New Roman"/>
          <w:sz w:val="32"/>
          <w:szCs w:val="32"/>
        </w:rPr>
        <w:t>促进重点群体增收激发消费潜力，大规模开展职业技能培训，提升工资性收入水平，稳定和增加居民财产性收入，挖掘新型农业经营主体增收潜力。落实带薪休假制度，带动节假日消费。强化消费者权益保护，健全投诉维权机制，营造安全便利的消费环境，保障消费者的知情权和选择权。引导企业构建以现代信息技术为支撑的产品追溯体系，强化全过程质量安全管理与风险控制。</w:t>
      </w:r>
    </w:p>
    <w:p w14:paraId="7553817C">
      <w:pPr>
        <w:spacing w:beforeLines="50" w:afterLines="50"/>
        <w:jc w:val="center"/>
        <w:outlineLvl w:val="1"/>
        <w:rPr>
          <w:rFonts w:ascii="Times New Roman" w:hAnsi="Times New Roman" w:eastAsia="楷体_GB2312" w:cs="Times New Roman"/>
          <w:kern w:val="0"/>
          <w:sz w:val="32"/>
          <w:szCs w:val="32"/>
          <w:lang w:bidi="en-US"/>
        </w:rPr>
      </w:pPr>
      <w:bookmarkStart w:id="54" w:name="_Toc68253233"/>
      <w:r>
        <w:rPr>
          <w:rFonts w:ascii="Times New Roman" w:hAnsi="Times New Roman" w:eastAsia="楷体_GB2312" w:cs="Times New Roman"/>
          <w:kern w:val="0"/>
          <w:sz w:val="32"/>
          <w:szCs w:val="32"/>
          <w:lang w:bidi="en-US"/>
        </w:rPr>
        <w:t>第</w:t>
      </w:r>
      <w:r>
        <w:rPr>
          <w:rFonts w:hint="eastAsia" w:ascii="Times New Roman" w:hAnsi="Times New Roman" w:eastAsia="楷体_GB2312" w:cs="Times New Roman"/>
          <w:kern w:val="0"/>
          <w:sz w:val="32"/>
          <w:szCs w:val="32"/>
          <w:lang w:bidi="en-US"/>
        </w:rPr>
        <w:t>四</w:t>
      </w:r>
      <w:r>
        <w:rPr>
          <w:rFonts w:ascii="Times New Roman" w:hAnsi="Times New Roman" w:eastAsia="楷体_GB2312" w:cs="Times New Roman"/>
          <w:kern w:val="0"/>
          <w:sz w:val="32"/>
          <w:szCs w:val="32"/>
          <w:lang w:bidi="en-US"/>
        </w:rPr>
        <w:t>节  持续优化营商环境</w:t>
      </w:r>
      <w:bookmarkEnd w:id="54"/>
    </w:p>
    <w:p w14:paraId="0CCA4BB3">
      <w:pPr>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对标“六最”营商环境要求，把提高政务服务质量作为创优营商环境的突破口，</w:t>
      </w:r>
      <w:r>
        <w:rPr>
          <w:rFonts w:hint="eastAsia" w:ascii="Times New Roman" w:hAnsi="Times New Roman" w:eastAsia="仿宋_GB2312" w:cs="Times New Roman"/>
          <w:sz w:val="32"/>
          <w:szCs w:val="32"/>
        </w:rPr>
        <w:t>持续开展“作风转变年”活动，</w:t>
      </w:r>
      <w:r>
        <w:rPr>
          <w:rFonts w:ascii="Times New Roman" w:hAnsi="Times New Roman" w:eastAsia="仿宋_GB2312" w:cs="Times New Roman"/>
          <w:sz w:val="32"/>
          <w:szCs w:val="32"/>
        </w:rPr>
        <w:t>大力推行“互联网+政务服务”，加快政务服务和行政审批信息化、便利化、标准化、高效化</w:t>
      </w:r>
      <w:r>
        <w:rPr>
          <w:rFonts w:hint="eastAsia" w:ascii="Times New Roman" w:hAnsi="Times New Roman" w:eastAsia="仿宋_GB2312" w:cs="Times New Roman"/>
          <w:sz w:val="32"/>
          <w:szCs w:val="32"/>
        </w:rPr>
        <w:t>建设</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全方位构建高质量发展的良好生态，着力把永济打造成投资洼地，</w:t>
      </w:r>
      <w:r>
        <w:rPr>
          <w:rFonts w:ascii="Times New Roman" w:hAnsi="Times New Roman" w:eastAsia="仿宋_GB2312" w:cs="Times New Roman"/>
          <w:sz w:val="32"/>
          <w:szCs w:val="32"/>
        </w:rPr>
        <w:t>不断提升市场主体获得感。</w:t>
      </w:r>
    </w:p>
    <w:p w14:paraId="5D79CDB6">
      <w:pPr>
        <w:ind w:firstLine="643" w:firstLineChars="200"/>
        <w:jc w:val="both"/>
        <w:rPr>
          <w:rStyle w:val="29"/>
          <w:rFonts w:ascii="Times New Roman" w:hAnsi="Times New Roman" w:eastAsia="仿宋_GB2312" w:cs="Times New Roman"/>
          <w:sz w:val="32"/>
          <w:szCs w:val="32"/>
        </w:rPr>
      </w:pPr>
      <w:r>
        <w:rPr>
          <w:rFonts w:ascii="Times New Roman" w:hAnsi="Times New Roman" w:eastAsia="仿宋_GB2312" w:cs="Times New Roman"/>
          <w:b/>
          <w:bCs/>
          <w:sz w:val="32"/>
          <w:szCs w:val="32"/>
        </w:rPr>
        <w:t>加快政务服务和行政审批信息化。</w:t>
      </w:r>
      <w:r>
        <w:rPr>
          <w:rFonts w:ascii="Times New Roman" w:hAnsi="Times New Roman" w:eastAsia="仿宋_GB2312" w:cs="Times New Roman"/>
          <w:sz w:val="32"/>
          <w:szCs w:val="32"/>
        </w:rPr>
        <w:t>按照“应上尽上、应接尽接、应传尽传”的原则，加快我市一体化平台与部门自建业务系统对接，全力打通堵点难点，重点围绕办好一件事，加快实现“一网通办”。</w:t>
      </w:r>
      <w:r>
        <w:rPr>
          <w:rStyle w:val="29"/>
          <w:rFonts w:ascii="Times New Roman" w:hAnsi="Times New Roman" w:eastAsia="仿宋_GB2312" w:cs="Times New Roman"/>
          <w:sz w:val="32"/>
          <w:szCs w:val="32"/>
        </w:rPr>
        <w:t>依托省、市政务云平台，开展基础设施共享共用，完成政务信息系统向政务云平台迁移。拓展网上办事广度和深度，延长网上办事链条，全面实现“一网通办”和“五统一”，推动80%以上事项实现“网上办”。到2025年，形成上接市级省级、下联镇村、横向到边、纵向到底全覆盖的数字政府。</w:t>
      </w:r>
    </w:p>
    <w:p w14:paraId="37F8783C">
      <w:pPr>
        <w:widowControl w:val="0"/>
        <w:wordWrap/>
        <w:adjustRightInd/>
        <w:snapToGrid/>
        <w:spacing w:line="660" w:lineRule="exact"/>
        <w:ind w:left="0" w:leftChars="0" w:right="0" w:firstLine="643" w:firstLineChars="200"/>
        <w:jc w:val="both"/>
        <w:textAlignment w:val="auto"/>
        <w:outlineLvl w:val="9"/>
        <w:rPr>
          <w:rFonts w:ascii="Times New Roman" w:hAnsi="Times New Roman" w:eastAsia="仿宋_GB2312" w:cs="Times New Roman"/>
        </w:rPr>
      </w:pPr>
      <w:r>
        <w:rPr>
          <w:rFonts w:ascii="Times New Roman" w:hAnsi="Times New Roman" w:eastAsia="仿宋_GB2312" w:cs="Times New Roman"/>
          <w:b/>
          <w:bCs/>
          <w:sz w:val="32"/>
          <w:szCs w:val="32"/>
        </w:rPr>
        <w:t>加快政务服务和行政审批便利化。</w:t>
      </w:r>
      <w:r>
        <w:rPr>
          <w:rFonts w:ascii="Times New Roman" w:hAnsi="Times New Roman" w:eastAsia="仿宋_GB2312" w:cs="Times New Roman"/>
          <w:sz w:val="32"/>
          <w:szCs w:val="32"/>
        </w:rPr>
        <w:t>推动“一链办理”便民化服务，推动审批模式从“事项办”向“服务场景”转变，提升办事群众的体验感和幸福感。</w:t>
      </w:r>
      <w:r>
        <w:rPr>
          <w:rStyle w:val="29"/>
          <w:rFonts w:ascii="Times New Roman" w:hAnsi="Times New Roman" w:eastAsia="仿宋_GB2312" w:cs="Times New Roman"/>
          <w:sz w:val="32"/>
          <w:szCs w:val="32"/>
        </w:rPr>
        <w:t>鼓励推行惠企政策“免申即享”，加快实现一次申报、全程网办、快速兑现。开发“套餐式”服务系统，突破单个事项办理的繁琐场景，建设“网上集中收件、网络自动分送、协办科室同步办理、网上出证办结”的办理模式。</w:t>
      </w:r>
      <w:r>
        <w:rPr>
          <w:rFonts w:ascii="Times New Roman" w:hAnsi="Times New Roman" w:eastAsia="仿宋_GB2312" w:cs="Times New Roman"/>
          <w:sz w:val="32"/>
          <w:szCs w:val="32"/>
        </w:rPr>
        <w:t>以“小事不出村、大事不出镇”为目标，加强“三级联动”一体化服务，实行办事窗口前移，推进“就近可办、多点可办”。全面实施周末便民窗口，最大限度方便企业和群众。</w:t>
      </w:r>
    </w:p>
    <w:p w14:paraId="31EAF665">
      <w:pPr>
        <w:ind w:firstLine="643" w:firstLineChars="200"/>
        <w:jc w:val="both"/>
        <w:rPr>
          <w:rStyle w:val="29"/>
          <w:rFonts w:ascii="Times New Roman" w:hAnsi="Times New Roman" w:eastAsia="仿宋_GB2312" w:cs="Times New Roman"/>
          <w:sz w:val="32"/>
          <w:szCs w:val="32"/>
        </w:rPr>
      </w:pPr>
      <w:r>
        <w:rPr>
          <w:rFonts w:ascii="Times New Roman" w:hAnsi="Times New Roman" w:eastAsia="仿宋_GB2312" w:cs="Times New Roman"/>
          <w:b/>
          <w:bCs/>
          <w:sz w:val="32"/>
          <w:szCs w:val="32"/>
        </w:rPr>
        <w:t>加快政务服务和行政审批标准化。</w:t>
      </w:r>
      <w:r>
        <w:rPr>
          <w:rStyle w:val="29"/>
          <w:rFonts w:ascii="Times New Roman" w:hAnsi="Times New Roman" w:eastAsia="仿宋_GB2312" w:cs="Times New Roman"/>
          <w:sz w:val="32"/>
          <w:szCs w:val="32"/>
        </w:rPr>
        <w:t>健全行政审批和公共服务事项目录、各部门行政权力事项清单更新调整机制，依托政府门户网站集中公开发布。编制镇（街道）行政审批和服务事项目录，启动服务事项编码管理，规范全市服务事项名称、条件、材料、流程、时限等，做到“同一事项、同一标准、同一编码”。</w:t>
      </w:r>
    </w:p>
    <w:p w14:paraId="1B136011">
      <w:pPr>
        <w:ind w:firstLine="643" w:firstLineChars="200"/>
        <w:jc w:val="both"/>
        <w:rPr>
          <w:rStyle w:val="29"/>
          <w:rFonts w:ascii="Times New Roman" w:hAnsi="Times New Roman" w:eastAsia="仿宋_GB2312" w:cs="Times New Roman"/>
          <w:sz w:val="32"/>
          <w:szCs w:val="32"/>
        </w:rPr>
      </w:pPr>
      <w:r>
        <w:rPr>
          <w:rFonts w:ascii="Times New Roman" w:hAnsi="Times New Roman" w:eastAsia="仿宋_GB2312" w:cs="Times New Roman"/>
          <w:b/>
          <w:bCs/>
          <w:sz w:val="32"/>
          <w:szCs w:val="32"/>
        </w:rPr>
        <w:t>加快政务服务和行政审批高效化。</w:t>
      </w:r>
      <w:r>
        <w:rPr>
          <w:rStyle w:val="29"/>
          <w:rFonts w:ascii="Times New Roman" w:hAnsi="Times New Roman" w:eastAsia="仿宋_GB2312" w:cs="Times New Roman"/>
          <w:sz w:val="32"/>
          <w:szCs w:val="32"/>
        </w:rPr>
        <w:t>深化“一窗受理”集成化服务，推行“一窗受理、集成服务”的服务模式。推动将更多行政审批事项划转行政审批局行使，实现审批事项应划尽划。深化投资项目承诺制和工程建设项目审批制度改革，推行容缺审批、承诺审批、模拟审批等新模式。推动企业开办实现全程电子化网上办理和“不见面”审批。</w:t>
      </w:r>
    </w:p>
    <w:p w14:paraId="4CCDEFC3">
      <w:pPr>
        <w:ind w:firstLine="640" w:firstLineChars="200"/>
        <w:jc w:val="both"/>
        <w:rPr>
          <w:rFonts w:ascii="Times New Roman" w:hAnsi="Times New Roman" w:eastAsia="仿宋_GB2312" w:cs="Times New Roman"/>
          <w:color w:val="000000"/>
          <w:sz w:val="32"/>
          <w:szCs w:val="32"/>
        </w:rPr>
      </w:pPr>
    </w:p>
    <w:p w14:paraId="6318DFE3">
      <w:pPr>
        <w:spacing w:before="312" w:after="312"/>
        <w:jc w:val="both"/>
        <w:rPr>
          <w:rFonts w:ascii="Times New Roman" w:hAnsi="Times New Roman" w:eastAsia="黑体" w:cs="Times New Roman"/>
          <w:sz w:val="32"/>
          <w:szCs w:val="32"/>
        </w:rPr>
      </w:pPr>
      <w:r>
        <w:rPr>
          <w:rFonts w:ascii="Times New Roman" w:hAnsi="Times New Roman" w:eastAsia="黑体" w:cs="Times New Roman"/>
          <w:sz w:val="32"/>
          <w:szCs w:val="32"/>
        </w:rPr>
        <w:br w:type="page"/>
      </w:r>
    </w:p>
    <w:p w14:paraId="330E2939">
      <w:pPr>
        <w:spacing w:beforeLines="100" w:afterLines="100"/>
        <w:jc w:val="center"/>
        <w:outlineLvl w:val="0"/>
        <w:rPr>
          <w:rFonts w:ascii="Times New Roman" w:hAnsi="Times New Roman" w:eastAsia="黑体" w:cs="Times New Roman"/>
          <w:sz w:val="32"/>
          <w:szCs w:val="32"/>
        </w:rPr>
      </w:pPr>
      <w:bookmarkStart w:id="55" w:name="_Toc68253234"/>
      <w:r>
        <w:rPr>
          <w:rFonts w:ascii="Times New Roman" w:hAnsi="Times New Roman" w:eastAsia="黑体" w:cs="Times New Roman"/>
          <w:sz w:val="32"/>
          <w:szCs w:val="32"/>
        </w:rPr>
        <w:t>第三章  深入实施工业强市战略，全面构建现代</w:t>
      </w:r>
      <w:r>
        <w:rPr>
          <w:rFonts w:hint="eastAsia" w:ascii="Times New Roman" w:hAnsi="Times New Roman" w:eastAsia="黑体" w:cs="Times New Roman"/>
          <w:sz w:val="32"/>
          <w:szCs w:val="32"/>
        </w:rPr>
        <w:t>产</w:t>
      </w:r>
      <w:r>
        <w:rPr>
          <w:rFonts w:ascii="Times New Roman" w:hAnsi="Times New Roman" w:eastAsia="黑体" w:cs="Times New Roman"/>
          <w:sz w:val="32"/>
          <w:szCs w:val="32"/>
        </w:rPr>
        <w:t>业体系</w:t>
      </w:r>
      <w:bookmarkEnd w:id="55"/>
    </w:p>
    <w:p w14:paraId="0B75769C">
      <w:pPr>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牢固树立工业强市、工业立市理念，进一步丰富完善“3+2”产业体系，坚持一手抓优势产业扩能增效，一手抓新兴产业培育壮大，加快形成以机电制造产业、铝精深加工产业、农副产品加工产业、风电设备制造维修产业、化工装备制造产业、高端印染包装业6个优势产业为基础，新能源汽车产业、航天科技产业、光电产业、新能源轨道交通装备制造产业、生物医药制药产业5个新兴产业为动力的“六强五新”转型发展格局，打造5个以上百亿级产业集群，加快发展现代服务业，构建具有永济特色的现代产业体系，筑牢高质量转型发展的“底盘”。</w:t>
      </w:r>
    </w:p>
    <w:p w14:paraId="6D1F3F46">
      <w:pPr>
        <w:spacing w:beforeLines="50" w:afterLines="50"/>
        <w:jc w:val="center"/>
        <w:outlineLvl w:val="1"/>
        <w:rPr>
          <w:rFonts w:ascii="Times New Roman" w:hAnsi="Times New Roman" w:eastAsia="楷体_GB2312" w:cs="Times New Roman"/>
          <w:kern w:val="0"/>
          <w:sz w:val="32"/>
          <w:szCs w:val="32"/>
          <w:lang w:bidi="en-US"/>
        </w:rPr>
      </w:pPr>
      <w:bookmarkStart w:id="56" w:name="_Toc68253235"/>
      <w:r>
        <w:rPr>
          <w:rFonts w:ascii="Times New Roman" w:hAnsi="Times New Roman" w:eastAsia="楷体_GB2312" w:cs="Times New Roman"/>
          <w:kern w:val="0"/>
          <w:sz w:val="32"/>
          <w:szCs w:val="32"/>
          <w:lang w:bidi="en-US"/>
        </w:rPr>
        <w:t>第一节  构建</w:t>
      </w:r>
      <w:r>
        <w:rPr>
          <w:rFonts w:hint="eastAsia" w:ascii="Times New Roman" w:hAnsi="Times New Roman" w:eastAsia="楷体_GB2312" w:cs="Times New Roman"/>
          <w:kern w:val="0"/>
          <w:sz w:val="32"/>
          <w:szCs w:val="32"/>
          <w:lang w:bidi="en-US"/>
        </w:rPr>
        <w:t>“六强五新”产业格局</w:t>
      </w:r>
      <w:bookmarkEnd w:id="56"/>
    </w:p>
    <w:p w14:paraId="6B1B806B">
      <w:pPr>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立足我市工业企业基础，聚焦“六新”领域，坚持“固本、培新、提质、增效”的发展思路，聚焦产业链关键环节，大力推进招商引资、项目建设，补齐短板、锻造长板、铸造新板，增强产业链稳定性和竞争力，加快构建起具有永济特色的产业新格局</w:t>
      </w:r>
      <w:r>
        <w:rPr>
          <w:rFonts w:ascii="Times New Roman" w:hAnsi="Times New Roman" w:eastAsia="仿宋_GB2312" w:cs="Times New Roman"/>
          <w:sz w:val="32"/>
          <w:szCs w:val="32"/>
        </w:rPr>
        <w:t>。</w:t>
      </w:r>
    </w:p>
    <w:p w14:paraId="7625CADE">
      <w:pPr>
        <w:ind w:firstLine="643" w:firstLineChars="200"/>
        <w:jc w:val="both"/>
        <w:rPr>
          <w:rFonts w:ascii="Times New Roman" w:hAnsi="Times New Roman" w:eastAsia="仿宋_GB2312" w:cs="Times New Roman"/>
          <w:sz w:val="32"/>
        </w:rPr>
      </w:pPr>
      <w:r>
        <w:rPr>
          <w:rFonts w:hint="eastAsia" w:ascii="Times New Roman" w:hAnsi="Times New Roman" w:eastAsia="仿宋_GB2312" w:cs="Times New Roman"/>
          <w:b/>
          <w:bCs/>
          <w:sz w:val="32"/>
        </w:rPr>
        <w:t>做大做强六个优势产业。</w:t>
      </w:r>
      <w:r>
        <w:rPr>
          <w:rFonts w:hint="eastAsia" w:ascii="Times New Roman" w:hAnsi="Times New Roman" w:eastAsia="仿宋_GB2312" w:cs="Times New Roman"/>
          <w:sz w:val="32"/>
        </w:rPr>
        <w:t>发挥中车永济电机龙头牵引作用，加快推进新康机械、优耐特等项目建设，推动产业链条纵向延伸、横向配套，推动机电制造产业发展壮大。全力推进华圣铝业重启复工，大力发展汽车轻量化零配件、工业用铝、特种铝等产品，全面振兴铝深加工产业。加快山西大象集团肉鸡饲养加工等项目建设，积极推进忠民集团资产重组，推动农产品由粗加工向精加工、由低端向高端迈进，提高产品附加值，重振农副产品加工产业。加快推进大型机电检测检修平台、合信锐风风力发电机维修维护基地等项目建设，建设全国一流的风电设备研发、制造、维修基地。积极促进丰喜化机产能回归、产业回迁，大力发展化工装备制造产业，努力形成新的经济增长极。鼓励凯通、彩佳、恒誉彩印等公司，建立技术研发中心，提升企业产品竞争力，实现高端印染包装业高端化发展。</w:t>
      </w:r>
    </w:p>
    <w:p w14:paraId="4028F92B">
      <w:pPr>
        <w:widowControl w:val="0"/>
        <w:wordWrap/>
        <w:adjustRightInd/>
        <w:snapToGrid/>
        <w:spacing w:line="600" w:lineRule="exact"/>
        <w:ind w:left="0" w:leftChars="0" w:right="0" w:firstLine="643" w:firstLineChars="200"/>
        <w:jc w:val="both"/>
        <w:textAlignment w:val="auto"/>
        <w:outlineLvl w:val="9"/>
        <w:rPr>
          <w:rFonts w:ascii="Times New Roman" w:hAnsi="Times New Roman" w:eastAsia="仿宋_GB2312" w:cs="Times New Roman"/>
          <w:sz w:val="32"/>
        </w:rPr>
      </w:pPr>
      <w:r>
        <w:rPr>
          <w:rFonts w:hint="eastAsia" w:ascii="Times New Roman" w:hAnsi="Times New Roman" w:eastAsia="仿宋_GB2312" w:cs="Times New Roman"/>
          <w:b/>
          <w:bCs/>
          <w:sz w:val="32"/>
        </w:rPr>
        <w:t>培育壮大五个新兴产业。</w:t>
      </w:r>
      <w:r>
        <w:rPr>
          <w:rFonts w:hint="eastAsia" w:ascii="Times New Roman" w:hAnsi="Times New Roman" w:eastAsia="仿宋_GB2312" w:cs="Times New Roman"/>
          <w:sz w:val="32"/>
        </w:rPr>
        <w:t>抢抓汽车更新换代的良好机遇，加快推进蓝科途高端锂电池隔膜、正负极材料、新能源汽车电机电控、折叠集装箱等项目，逐步建立完善新能源汽车生产链条，打造中部地区新能源汽车零部件产业的集聚地。紧跟国际科技发展前沿，依托光府科技高能激光武器项目、三晋宇航火箭发动机项目、无人机项目等，推动以商招商，持续引进一批军民融合及相关配套产业项目，打造航天科技产业园，发展航天科技产业。依托穿越光电，引进实施一批光电科技产业及相关配套项目，推动OLED有机发光材料、光电器件、光电显示屏、钙钛矿太阳能电池等全产业链发展，引进一批透明导电薄膜、柔性封装材料、蒸镀设备、OLED显示模组及照明器件等研发和制造企业，加快形成光电产业集群。抢抓国内城市轨道交通快速发展机遇，加快实施中辆新能源有轨电车及装备制造项目、轨道交通工程研发中心建设和轨道交通装备双创平台建设，大力发展新能源轨道交通装备制造产业，着力把永济打造成全国轨道交通和电机制造产业集聚区。立足我市药材资源优势，抢抓大健康产业发展机遇，加快康意制药重整，支持德济药业、东兴生物科技、和众生物科技有限公司等，大力发展生物医药产业，加快形成新动能。</w:t>
      </w:r>
    </w:p>
    <w:p w14:paraId="4C684191">
      <w:pPr>
        <w:pStyle w:val="17"/>
        <w:widowControl w:val="0"/>
        <w:wordWrap/>
        <w:adjustRightInd/>
        <w:snapToGrid/>
        <w:spacing w:after="160" w:afterLines="50" w:line="600" w:lineRule="exact"/>
        <w:ind w:left="0" w:leftChars="0" w:right="0" w:firstLine="643" w:firstLineChars="200"/>
        <w:jc w:val="both"/>
        <w:textAlignment w:val="auto"/>
        <w:outlineLvl w:val="9"/>
      </w:pPr>
      <w:r>
        <w:rPr>
          <w:rFonts w:hint="eastAsia" w:ascii="Times New Roman" w:hAnsi="Times New Roman" w:eastAsia="仿宋_GB2312"/>
          <w:b/>
          <w:bCs/>
          <w:color w:val="000000"/>
          <w:sz w:val="32"/>
          <w:szCs w:val="32"/>
        </w:rPr>
        <w:t>超前</w:t>
      </w:r>
      <w:r>
        <w:rPr>
          <w:rFonts w:ascii="Times New Roman" w:hAnsi="Times New Roman" w:eastAsia="仿宋_GB2312"/>
          <w:b/>
          <w:bCs/>
          <w:color w:val="000000"/>
          <w:sz w:val="32"/>
          <w:szCs w:val="32"/>
        </w:rPr>
        <w:t>谋划布局未来产业。</w:t>
      </w:r>
      <w:r>
        <w:rPr>
          <w:rFonts w:ascii="Times New Roman" w:hAnsi="Times New Roman" w:eastAsia="仿宋_GB2312"/>
          <w:sz w:val="32"/>
        </w:rPr>
        <w:t>按照“未来技术产业化”和“现有产业未来化”思路，超前布局未来数字经济、人工智能</w:t>
      </w:r>
      <w:r>
        <w:rPr>
          <w:rFonts w:ascii="Times New Roman" w:hAnsi="Times New Roman" w:eastAsia="仿宋_GB2312"/>
          <w:sz w:val="32"/>
          <w:szCs w:val="32"/>
        </w:rPr>
        <w:t>、生命科学等前沿科技产业，</w:t>
      </w:r>
      <w:r>
        <w:rPr>
          <w:rFonts w:ascii="Times New Roman" w:hAnsi="Times New Roman" w:eastAsia="仿宋_GB2312"/>
          <w:sz w:val="32"/>
        </w:rPr>
        <w:t>夯实未来产业发展基础，力争用10-15年的时间，实现未来产业“从无到有”、“从小到大”、“从弱到强”的转变。</w:t>
      </w:r>
      <w:r>
        <w:rPr>
          <w:rFonts w:ascii="Times New Roman" w:hAnsi="Times New Roman" w:eastAsia="仿宋_GB2312"/>
          <w:color w:val="000000"/>
          <w:sz w:val="32"/>
          <w:szCs w:val="32"/>
        </w:rPr>
        <w:t>积极推动人工智能产业发展，加快人工智能技术的应用、融合和提升，推动智能家居、智能汽车、智慧农业、智能安防、智慧健康、智能机器人、智能可穿戴设备等研发和产业化发展。</w:t>
      </w:r>
      <w:r>
        <w:rPr>
          <w:rStyle w:val="29"/>
          <w:rFonts w:ascii="Times New Roman" w:hAnsi="Times New Roman" w:eastAsia="仿宋_GB2312"/>
          <w:color w:val="000000"/>
          <w:sz w:val="32"/>
          <w:szCs w:val="32"/>
        </w:rPr>
        <w:t>引进国内高水平生物研发机构、研发平台、研发团队，加速推动未来医学、未来农业等产业变革。</w:t>
      </w:r>
      <w:r>
        <w:rPr>
          <w:rFonts w:ascii="Times New Roman" w:hAnsi="Times New Roman" w:eastAsia="仿宋_GB2312"/>
          <w:color w:val="000000"/>
          <w:sz w:val="32"/>
          <w:szCs w:val="32"/>
        </w:rPr>
        <w:t>探索利用区块链技术在经济社会发展中的应用。</w:t>
      </w:r>
    </w:p>
    <w:tbl>
      <w:tblPr>
        <w:tblStyle w:val="19"/>
        <w:tblW w:w="8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14:paraId="55AC3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900" w:type="dxa"/>
            <w:vAlign w:val="top"/>
          </w:tcPr>
          <w:p w14:paraId="271E681F">
            <w:pPr>
              <w:jc w:val="both"/>
              <w:rPr>
                <w:rFonts w:ascii="Times New Roman" w:hAnsi="Times New Roman" w:eastAsia="楷体_GB2312" w:cs="Times New Roman"/>
                <w:sz w:val="28"/>
                <w:szCs w:val="28"/>
              </w:rPr>
            </w:pPr>
            <w:r>
              <w:rPr>
                <w:rFonts w:ascii="Times New Roman" w:hAnsi="Times New Roman" w:eastAsia="黑体" w:cs="Times New Roman"/>
                <w:sz w:val="28"/>
                <w:szCs w:val="28"/>
              </w:rPr>
              <w:t>专栏</w:t>
            </w:r>
            <w:r>
              <w:rPr>
                <w:rFonts w:hint="eastAsia" w:ascii="Times New Roman" w:hAnsi="Times New Roman" w:eastAsia="黑体" w:cs="Times New Roman"/>
                <w:sz w:val="28"/>
                <w:szCs w:val="28"/>
              </w:rPr>
              <w:t>4</w:t>
            </w:r>
            <w:r>
              <w:rPr>
                <w:rFonts w:ascii="Times New Roman" w:hAnsi="Times New Roman" w:eastAsia="黑体" w:cs="Times New Roman"/>
                <w:sz w:val="28"/>
                <w:szCs w:val="28"/>
              </w:rPr>
              <w:t>：“</w:t>
            </w:r>
            <w:r>
              <w:rPr>
                <w:rFonts w:hint="eastAsia" w:ascii="Times New Roman" w:hAnsi="Times New Roman" w:eastAsia="黑体" w:cs="Times New Roman"/>
                <w:sz w:val="28"/>
                <w:szCs w:val="28"/>
              </w:rPr>
              <w:t>六强五新</w:t>
            </w:r>
            <w:r>
              <w:rPr>
                <w:rFonts w:ascii="Times New Roman" w:hAnsi="Times New Roman" w:eastAsia="黑体" w:cs="Times New Roman"/>
                <w:sz w:val="28"/>
                <w:szCs w:val="28"/>
              </w:rPr>
              <w:t>”产业</w:t>
            </w:r>
            <w:r>
              <w:rPr>
                <w:rFonts w:hint="eastAsia" w:ascii="Times New Roman" w:hAnsi="Times New Roman" w:eastAsia="黑体" w:cs="Times New Roman"/>
                <w:sz w:val="28"/>
                <w:szCs w:val="28"/>
              </w:rPr>
              <w:t>格局</w:t>
            </w:r>
            <w:r>
              <w:rPr>
                <w:rFonts w:ascii="Times New Roman" w:hAnsi="Times New Roman" w:eastAsia="黑体" w:cs="Times New Roman"/>
                <w:sz w:val="28"/>
                <w:szCs w:val="28"/>
              </w:rPr>
              <w:t>重点项目</w:t>
            </w:r>
          </w:p>
        </w:tc>
      </w:tr>
      <w:tr w14:paraId="65933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8900" w:type="dxa"/>
            <w:vAlign w:val="top"/>
          </w:tcPr>
          <w:p w14:paraId="2C0C567E">
            <w:pPr>
              <w:adjustRightInd w:val="0"/>
              <w:snapToGrid w:val="0"/>
              <w:spacing w:beforeLines="50" w:line="360" w:lineRule="exact"/>
              <w:ind w:firstLine="422" w:firstLineChars="200"/>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机电制造产业。</w:t>
            </w:r>
            <w:r>
              <w:rPr>
                <w:rFonts w:hint="eastAsia" w:ascii="方正小标宋简体" w:hAnsi="方正小标宋简体" w:eastAsia="方正小标宋简体" w:cs="方正小标宋简体"/>
                <w:szCs w:val="21"/>
              </w:rPr>
              <w:t>泰诺博锐隧道设备整体搬迁项目、中辆新能源有轨电车及装备制造项目、海达机械年产6万米绝缘带生产线项目、瑞丰机电大型风力发电机数字化平台装备项目、富迈机电整体搬迁项目、精密减速器制造项目、电机配件铸造项目、中车永济电机IGBT生产线回迁项目、轨道交通传动系统生产项目、机车电控产品生产项目、小企业机电配套加工创业基地标准化厂房项目、永济电机厂轨道车建设项目、电机配套产品铸造安全生产管理技改项目、永济电机柔性智能生产线技改项目、电机配套企业“机器换人”智能制造技改项目、年产40万台伺服控制电机项目、年产2万台大中型电机生产线项目、家用电器微型电机项目、防爆电机研发生产项目、高速列车制动系统生产项目等。</w:t>
            </w:r>
          </w:p>
          <w:p w14:paraId="0FEA119E">
            <w:pPr>
              <w:adjustRightInd w:val="0"/>
              <w:snapToGrid w:val="0"/>
              <w:spacing w:line="360" w:lineRule="exact"/>
              <w:ind w:firstLine="422" w:firstLineChars="200"/>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铝精深加工产业。</w:t>
            </w:r>
            <w:r>
              <w:rPr>
                <w:rFonts w:hint="eastAsia" w:ascii="方正小标宋简体" w:hAnsi="方正小标宋简体" w:eastAsia="方正小标宋简体" w:cs="方正小标宋简体"/>
                <w:szCs w:val="21"/>
              </w:rPr>
              <w:t>山西华隆钣金产品数字化加工项目、铝合金汽车轮毂项目、年产50万个汽车铝部件压铸生产线项目、轨道交通铝材深加工项目等。</w:t>
            </w:r>
          </w:p>
          <w:p w14:paraId="149DDDD5">
            <w:pPr>
              <w:adjustRightInd w:val="0"/>
              <w:snapToGrid w:val="0"/>
              <w:spacing w:line="360" w:lineRule="exact"/>
              <w:ind w:firstLine="422" w:firstLineChars="200"/>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农副产品加工产业。</w:t>
            </w:r>
            <w:r>
              <w:rPr>
                <w:rFonts w:hint="eastAsia" w:ascii="方正小标宋简体" w:hAnsi="方正小标宋简体" w:eastAsia="方正小标宋简体" w:cs="方正小标宋简体"/>
                <w:szCs w:val="21"/>
              </w:rPr>
              <w:t>永济面食集团产业园建设项目、冠宇食品60万头生猪屠宰深加工扩建及万吨国家肉类储备库项目、牧原集团30万吨饲料加工厂项目、世邦农业现代中药健康产业园项目、海大集团永济市现代数字渔业产业链项目、河东葫芦文化创意园农文旅产业融合提档升级项目、长荣嘉吉24万吨饲料厂项目、乳品加工厂建设项目、保健酒研发及深加工项目、葡萄酒系列产品研发及深加工项目、速冻饺子研发及深加工项目、冻干果蔬生产线建设项目、核桃系列产品研发及深加工项目、药茶系列产品研发及深加工项目、柿子系列产品研发及深加工项目、高低温肉制品加工项目、薰衣草系列产品研发及深加工项目、香椿、果木秸秆粉碎深加工项目等。</w:t>
            </w:r>
          </w:p>
          <w:p w14:paraId="1D6FEBA8">
            <w:pPr>
              <w:adjustRightInd w:val="0"/>
              <w:snapToGrid w:val="0"/>
              <w:spacing w:line="360" w:lineRule="exact"/>
              <w:ind w:firstLine="422" w:firstLineChars="200"/>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风电设备制造维修产业。</w:t>
            </w:r>
            <w:r>
              <w:rPr>
                <w:rFonts w:hint="eastAsia" w:ascii="方正小标宋简体" w:hAnsi="方正小标宋简体" w:eastAsia="方正小标宋简体" w:cs="方正小标宋简体"/>
                <w:szCs w:val="21"/>
              </w:rPr>
              <w:t>开发区大型电机检测检修平台建设项目、合信锐风风力发电机维修维护基地建设项目、正鑫风电及自动化设备制造维修生产线项目、风电设备运维检修项目、风电机组维修平台的建设和应用项目、风电机组检修虚拟实训系统建设项目、风电大型部件维修项目、风电叶片制造及防护项目等。</w:t>
            </w:r>
          </w:p>
          <w:p w14:paraId="6AC3D91D">
            <w:pPr>
              <w:adjustRightInd w:val="0"/>
              <w:snapToGrid w:val="0"/>
              <w:spacing w:line="360" w:lineRule="exact"/>
              <w:ind w:firstLine="422" w:firstLineChars="200"/>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化工装备制造产业。</w:t>
            </w:r>
            <w:r>
              <w:rPr>
                <w:rFonts w:hint="eastAsia" w:ascii="方正小标宋简体" w:hAnsi="方正小标宋简体" w:eastAsia="方正小标宋简体" w:cs="方正小标宋简体"/>
                <w:szCs w:val="21"/>
              </w:rPr>
              <w:t>丰喜化机项目。</w:t>
            </w:r>
          </w:p>
          <w:p w14:paraId="0BD075CE">
            <w:pPr>
              <w:adjustRightInd w:val="0"/>
              <w:snapToGrid w:val="0"/>
              <w:spacing w:line="360" w:lineRule="exact"/>
              <w:ind w:firstLine="422" w:firstLineChars="200"/>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高端印染包装业。</w:t>
            </w:r>
            <w:r>
              <w:rPr>
                <w:rFonts w:hint="eastAsia" w:ascii="方正小标宋简体" w:hAnsi="方正小标宋简体" w:eastAsia="方正小标宋简体" w:cs="方正小标宋简体"/>
                <w:szCs w:val="21"/>
              </w:rPr>
              <w:t>恒誉彩印公司年产1000吨彩印包装生产线项目、年产20亿只新型环保包装袋项目、年织造染整15000吨高档数码针织面料项目、特色粗布生产及加工项目、智能纺织10万锭先进纺纱项目、高端纤维复合材料生产及研发项目、年产500万套标准服装项目、年产15万吨多功能高品质纺织新材料项目高档织物印染和后整理加工项目等。</w:t>
            </w:r>
          </w:p>
          <w:p w14:paraId="74EE784B">
            <w:pPr>
              <w:adjustRightInd w:val="0"/>
              <w:snapToGrid w:val="0"/>
              <w:spacing w:line="360" w:lineRule="exact"/>
              <w:ind w:firstLine="422" w:firstLineChars="200"/>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新能源汽车产业。</w:t>
            </w:r>
            <w:r>
              <w:rPr>
                <w:rFonts w:hint="eastAsia" w:ascii="方正小标宋简体" w:hAnsi="方正小标宋简体" w:eastAsia="方正小标宋简体" w:cs="方正小标宋简体"/>
                <w:szCs w:val="21"/>
              </w:rPr>
              <w:t>华鑫年产1万吨锂电池正极项目、新能源汽车动力总成项目、新能源汽车零部件及“三电”系统产业园项目、汽车内饰零部件生产项目、新能源汽车动力电池BMS管理系统项目、年产100万套汽车座椅系统生产项目、年产1万辆半挂车和改装车生产线项目、云智能快递汽车项目、汽车高精地图项目、新能源汽车整车生产项目等。</w:t>
            </w:r>
          </w:p>
          <w:p w14:paraId="068F30E6">
            <w:pPr>
              <w:adjustRightInd w:val="0"/>
              <w:snapToGrid w:val="0"/>
              <w:spacing w:line="360" w:lineRule="exact"/>
              <w:ind w:firstLine="422" w:firstLineChars="200"/>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航天科技产业。</w:t>
            </w:r>
            <w:r>
              <w:rPr>
                <w:rFonts w:hint="eastAsia" w:ascii="方正小标宋简体" w:hAnsi="方正小标宋简体" w:eastAsia="方正小标宋简体" w:cs="方正小标宋简体"/>
                <w:szCs w:val="21"/>
              </w:rPr>
              <w:t>北京光府科技高能激光项目、三晋宇航火箭发动机项目、无人机项目、特种车辆改装项目等。</w:t>
            </w:r>
          </w:p>
          <w:p w14:paraId="787252EC">
            <w:pPr>
              <w:adjustRightInd w:val="0"/>
              <w:snapToGrid w:val="0"/>
              <w:spacing w:line="360" w:lineRule="exact"/>
              <w:ind w:firstLine="422" w:firstLineChars="200"/>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光电产业。</w:t>
            </w:r>
            <w:r>
              <w:rPr>
                <w:rFonts w:hint="eastAsia" w:ascii="方正小标宋简体" w:hAnsi="方正小标宋简体" w:eastAsia="方正小标宋简体" w:cs="方正小标宋简体"/>
                <w:szCs w:val="21"/>
              </w:rPr>
              <w:t>穿越光电OLED有机发光材料项目等。</w:t>
            </w:r>
          </w:p>
          <w:p w14:paraId="124E5667">
            <w:pPr>
              <w:adjustRightInd w:val="0"/>
              <w:snapToGrid w:val="0"/>
              <w:spacing w:line="360" w:lineRule="exact"/>
              <w:ind w:firstLine="422" w:firstLineChars="200"/>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新能源轨道交通装备制造产业。</w:t>
            </w:r>
            <w:r>
              <w:rPr>
                <w:rFonts w:hint="eastAsia" w:ascii="方正小标宋简体" w:hAnsi="方正小标宋简体" w:eastAsia="方正小标宋简体" w:cs="方正小标宋简体"/>
                <w:szCs w:val="21"/>
              </w:rPr>
              <w:t>不锈钢城轨车辆项目、中辆新能源有轨电车及装备制造项目、轨道交通工程研发中心建设和轨道交通装备双创平台项目等。</w:t>
            </w:r>
          </w:p>
          <w:p w14:paraId="5E38CC02">
            <w:pPr>
              <w:adjustRightInd w:val="0"/>
              <w:snapToGrid w:val="0"/>
              <w:spacing w:afterLines="50" w:line="360" w:lineRule="exact"/>
              <w:ind w:firstLine="422" w:firstLineChars="200"/>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生物医药制药产业。</w:t>
            </w:r>
            <w:r>
              <w:rPr>
                <w:rFonts w:hint="eastAsia" w:ascii="方正小标宋简体" w:hAnsi="方正小标宋简体" w:eastAsia="方正小标宋简体" w:cs="方正小标宋简体"/>
                <w:szCs w:val="21"/>
              </w:rPr>
              <w:t>康意制药重整项目、德济药业、东兴生物科技、和众生物科技有限公司项目等。</w:t>
            </w:r>
          </w:p>
        </w:tc>
      </w:tr>
    </w:tbl>
    <w:p w14:paraId="3A0F5C72">
      <w:pPr>
        <w:spacing w:beforeLines="50" w:afterLines="50"/>
        <w:jc w:val="center"/>
        <w:outlineLvl w:val="1"/>
        <w:rPr>
          <w:rFonts w:ascii="Times New Roman" w:hAnsi="Times New Roman" w:eastAsia="楷体_GB2312" w:cs="Times New Roman"/>
          <w:kern w:val="0"/>
          <w:sz w:val="32"/>
          <w:szCs w:val="32"/>
          <w:lang w:bidi="en-US"/>
        </w:rPr>
      </w:pPr>
      <w:bookmarkStart w:id="57" w:name="_Toc68253236"/>
      <w:r>
        <w:rPr>
          <w:rFonts w:hint="eastAsia" w:ascii="Times New Roman" w:hAnsi="Times New Roman" w:eastAsia="楷体_GB2312" w:cs="Times New Roman"/>
          <w:kern w:val="0"/>
          <w:sz w:val="32"/>
          <w:szCs w:val="32"/>
          <w:lang w:bidi="en-US"/>
        </w:rPr>
        <w:t>第二节  打造一批百亿级产业集群</w:t>
      </w:r>
      <w:bookmarkEnd w:id="57"/>
    </w:p>
    <w:p w14:paraId="3BC48CCD">
      <w:pPr>
        <w:ind w:firstLine="640" w:firstLineChars="200"/>
        <w:jc w:val="both"/>
        <w:rPr>
          <w:rFonts w:ascii="Times New Roman" w:hAnsi="Times New Roman" w:eastAsia="仿宋_GB2312" w:cs="Times New Roman"/>
          <w:sz w:val="32"/>
        </w:rPr>
      </w:pPr>
      <w:r>
        <w:rPr>
          <w:rFonts w:ascii="Times New Roman" w:hAnsi="Times New Roman" w:eastAsia="仿宋_GB2312" w:cs="Times New Roman"/>
          <w:sz w:val="32"/>
        </w:rPr>
        <w:t>大力实施产业集群培育提质工程，按照抓招商、引项目、延链条、建集群的思路，强化产业关联，拓宽发展空间，扩大产业集群集聚效应</w:t>
      </w:r>
      <w:r>
        <w:rPr>
          <w:rFonts w:hint="eastAsia" w:ascii="Times New Roman" w:hAnsi="Times New Roman" w:eastAsia="仿宋_GB2312" w:cs="Times New Roman"/>
          <w:sz w:val="32"/>
        </w:rPr>
        <w:t>，努力把永济打造成为全市新兴产业发展示范基地。</w:t>
      </w:r>
    </w:p>
    <w:p w14:paraId="56A6E8AE">
      <w:pPr>
        <w:ind w:firstLine="643" w:firstLineChars="200"/>
        <w:jc w:val="both"/>
        <w:rPr>
          <w:rFonts w:ascii="Times New Roman" w:hAnsi="Times New Roman" w:eastAsia="仿宋_GB2312" w:cs="Times New Roman"/>
          <w:sz w:val="32"/>
        </w:rPr>
      </w:pPr>
      <w:r>
        <w:rPr>
          <w:rFonts w:ascii="Times New Roman" w:hAnsi="Times New Roman" w:eastAsia="仿宋_GB2312" w:cs="Times New Roman"/>
          <w:b/>
          <w:bCs/>
          <w:sz w:val="32"/>
        </w:rPr>
        <w:t>机电</w:t>
      </w:r>
      <w:r>
        <w:rPr>
          <w:rFonts w:hint="eastAsia" w:ascii="Times New Roman" w:hAnsi="Times New Roman" w:eastAsia="仿宋_GB2312" w:cs="Times New Roman"/>
          <w:b/>
          <w:bCs/>
          <w:sz w:val="32"/>
        </w:rPr>
        <w:t>及新能源轨道交通、化工装备制造</w:t>
      </w:r>
      <w:r>
        <w:rPr>
          <w:rFonts w:ascii="Times New Roman" w:hAnsi="Times New Roman" w:eastAsia="仿宋_GB2312" w:cs="Times New Roman"/>
          <w:b/>
          <w:bCs/>
          <w:sz w:val="32"/>
        </w:rPr>
        <w:t>产业集群。</w:t>
      </w:r>
      <w:r>
        <w:rPr>
          <w:rFonts w:ascii="Times New Roman" w:hAnsi="Times New Roman" w:eastAsia="仿宋_GB2312" w:cs="Times New Roman"/>
          <w:sz w:val="32"/>
          <w:szCs w:val="32"/>
        </w:rPr>
        <w:t>充分发挥中车永济电机龙头牵引作用，以中国电机制造基地建设为目标，以电机整机为核心，以技术创新为驱动，通过产业链上下游延伸，形成国内领先的以电机为特色的先进装备制造业基地。支持</w:t>
      </w:r>
      <w:r>
        <w:rPr>
          <w:rFonts w:ascii="Times New Roman" w:hAnsi="Times New Roman" w:eastAsia="仿宋_GB2312" w:cs="Times New Roman"/>
          <w:sz w:val="32"/>
        </w:rPr>
        <w:t>以永济电机为核心，加强园区建设，吸引关联企业入驻，加快实施中辆新能源有轨电车及装备制造项目，</w:t>
      </w:r>
      <w:r>
        <w:rPr>
          <w:rFonts w:ascii="Times New Roman" w:hAnsi="Times New Roman" w:eastAsia="仿宋_GB2312" w:cs="Times New Roman"/>
          <w:sz w:val="32"/>
          <w:szCs w:val="32"/>
        </w:rPr>
        <w:t>进一步扩大铁路机车、动车、城轨、工矿机车牵引电机产量规模，</w:t>
      </w:r>
      <w:r>
        <w:rPr>
          <w:rFonts w:ascii="Times New Roman" w:hAnsi="Times New Roman" w:eastAsia="仿宋_GB2312" w:cs="Times New Roman"/>
          <w:sz w:val="32"/>
        </w:rPr>
        <w:t>开发高效节能工业电机、变频电机、稀土永磁电机等新产品，不断</w:t>
      </w:r>
      <w:r>
        <w:rPr>
          <w:rFonts w:ascii="Times New Roman" w:hAnsi="Times New Roman" w:eastAsia="仿宋_GB2312" w:cs="Times New Roman"/>
          <w:sz w:val="32"/>
          <w:szCs w:val="32"/>
        </w:rPr>
        <w:t>完善产品图谱。鼓励永济电机持续加大驱动电机、控制电机研发投入，推动小型、微型电机研发制造，逐步拓展民用电机领域，实现各类电机永济研发、永济制造。</w:t>
      </w:r>
      <w:r>
        <w:rPr>
          <w:rFonts w:ascii="Times New Roman" w:hAnsi="Times New Roman" w:eastAsia="仿宋_GB2312" w:cs="Times New Roman"/>
          <w:sz w:val="32"/>
        </w:rPr>
        <w:t>以建链、延链、补链、强链为重点，推进新康机械高铁零部件、优耐特电驱电源系统生产线、贝特电气电机配件加工等项目，完善电机上游定子、转子、端盖等电机部件铸造配套环节，积极拓展电机产品配套的控制器、变频器、逆变器等相关产品，逐步实现电机生产向电传动成套业务模式转变。</w:t>
      </w:r>
      <w:r>
        <w:rPr>
          <w:rFonts w:hint="eastAsia" w:ascii="Times New Roman" w:hAnsi="Times New Roman" w:eastAsia="仿宋_GB2312" w:cs="Times New Roman"/>
          <w:sz w:val="32"/>
        </w:rPr>
        <w:t>积极促进丰喜化机产能回归、产业回迁，努力形成新的经济增长极。到2025年，把机电及新能源轨道交通、化工装备制造业打造成百亿级产业集群。</w:t>
      </w:r>
    </w:p>
    <w:p w14:paraId="49096D4E">
      <w:pPr>
        <w:ind w:firstLine="643" w:firstLineChars="200"/>
        <w:jc w:val="both"/>
        <w:rPr>
          <w:rFonts w:ascii="Times New Roman" w:hAnsi="Times New Roman" w:eastAsia="仿宋_GB2312" w:cs="Times New Roman"/>
          <w:sz w:val="32"/>
        </w:rPr>
      </w:pPr>
      <w:r>
        <w:rPr>
          <w:rFonts w:hint="eastAsia" w:ascii="Times New Roman" w:hAnsi="Times New Roman" w:eastAsia="仿宋_GB2312" w:cs="Times New Roman"/>
          <w:b/>
          <w:bCs/>
          <w:sz w:val="32"/>
        </w:rPr>
        <w:t>铝精深加工及新能源汽车、汽车</w:t>
      </w:r>
      <w:r>
        <w:rPr>
          <w:rFonts w:ascii="Times New Roman" w:hAnsi="Times New Roman" w:eastAsia="仿宋_GB2312" w:cs="Times New Roman"/>
          <w:b/>
          <w:bCs/>
          <w:sz w:val="32"/>
        </w:rPr>
        <w:t>轻量化零配件产业集群。</w:t>
      </w:r>
      <w:r>
        <w:rPr>
          <w:rFonts w:ascii="Times New Roman" w:hAnsi="Times New Roman" w:eastAsia="仿宋_GB2312" w:cs="Times New Roman"/>
          <w:sz w:val="32"/>
          <w:szCs w:val="32"/>
        </w:rPr>
        <w:t>整合铝加工、机电制造两大产业链条，</w:t>
      </w:r>
      <w:r>
        <w:rPr>
          <w:rFonts w:ascii="Times New Roman" w:hAnsi="Times New Roman" w:eastAsia="仿宋_GB2312" w:cs="Times New Roman"/>
          <w:sz w:val="32"/>
        </w:rPr>
        <w:t>加快两大产业融合步伐，全力推动华圣铝业重启复工，</w:t>
      </w:r>
      <w:r>
        <w:rPr>
          <w:rFonts w:ascii="Times New Roman" w:hAnsi="Times New Roman" w:eastAsia="仿宋_GB2312" w:cs="Times New Roman"/>
          <w:sz w:val="32"/>
          <w:szCs w:val="32"/>
        </w:rPr>
        <w:t>支持千军铝业、华茂铸造、晋诚机电等企业</w:t>
      </w:r>
      <w:r>
        <w:rPr>
          <w:rFonts w:hint="eastAsia" w:ascii="Times New Roman" w:hAnsi="Times New Roman" w:eastAsia="仿宋_GB2312" w:cs="Times New Roman"/>
          <w:sz w:val="32"/>
          <w:szCs w:val="32"/>
        </w:rPr>
        <w:t>重点发展以汽车、船舶、航空航天用材为主的汽车车身板、操纵盘、船舶结构件及高精度板带箔等高端工业型材，以及发动机缸盖、缸体、</w:t>
      </w:r>
      <w:r>
        <w:rPr>
          <w:rFonts w:ascii="Times New Roman" w:hAnsi="Times New Roman" w:eastAsia="仿宋_GB2312" w:cs="Times New Roman"/>
          <w:sz w:val="32"/>
          <w:szCs w:val="32"/>
        </w:rPr>
        <w:t>电池箱体、轮毂</w:t>
      </w:r>
      <w:r>
        <w:rPr>
          <w:rFonts w:hint="eastAsia" w:ascii="Times New Roman" w:hAnsi="Times New Roman" w:eastAsia="仿宋_GB2312" w:cs="Times New Roman"/>
          <w:sz w:val="32"/>
          <w:szCs w:val="32"/>
        </w:rPr>
        <w:t>、发动机总成等</w:t>
      </w:r>
      <w:r>
        <w:rPr>
          <w:rFonts w:ascii="Times New Roman" w:hAnsi="Times New Roman" w:eastAsia="仿宋_GB2312" w:cs="Times New Roman"/>
          <w:sz w:val="32"/>
          <w:szCs w:val="32"/>
        </w:rPr>
        <w:t>汽车轻量化</w:t>
      </w:r>
      <w:r>
        <w:rPr>
          <w:rFonts w:hint="eastAsia" w:ascii="Times New Roman" w:hAnsi="Times New Roman" w:eastAsia="仿宋_GB2312" w:cs="Times New Roman"/>
          <w:sz w:val="32"/>
          <w:szCs w:val="32"/>
        </w:rPr>
        <w:t>零部件生产，支持蓝科途、派克新能源等企业横向配齐动力电池正负极材料、电解液产业，发展新能源汽车电池配件等产品，加快</w:t>
      </w:r>
      <w:r>
        <w:rPr>
          <w:rFonts w:ascii="Times New Roman" w:hAnsi="Times New Roman" w:eastAsia="仿宋_GB2312" w:cs="Times New Roman"/>
          <w:sz w:val="32"/>
          <w:szCs w:val="32"/>
        </w:rPr>
        <w:t>形成协同发展优势，放大集聚效应，打造全国有影响的汽车轻量化零部件产业基地。</w:t>
      </w:r>
      <w:r>
        <w:rPr>
          <w:rFonts w:ascii="Times New Roman" w:hAnsi="Times New Roman" w:eastAsia="仿宋_GB2312" w:cs="Times New Roman"/>
          <w:sz w:val="32"/>
        </w:rPr>
        <w:t>依托电机优势，</w:t>
      </w:r>
      <w:r>
        <w:rPr>
          <w:rFonts w:ascii="Times New Roman" w:hAnsi="Times New Roman" w:eastAsia="仿宋_GB2312" w:cs="Times New Roman"/>
          <w:sz w:val="32"/>
          <w:szCs w:val="32"/>
        </w:rPr>
        <w:t>以新能源汽车电机电控为突破口，加快电机新能源汽车电驱动系统整体解决方案研发，引进2-3家主流新能源汽车电机电控厂商，重点发展电驱动桥、新能源汽车动力总成及锂电池等产品，实现高速电机、控制器、电池的深度集成。</w:t>
      </w:r>
      <w:r>
        <w:rPr>
          <w:rFonts w:hint="eastAsia" w:ascii="Times New Roman" w:hAnsi="Times New Roman" w:eastAsia="仿宋_GB2312" w:cs="Times New Roman"/>
          <w:sz w:val="32"/>
        </w:rPr>
        <w:t>到2025年，把铝精深加工及新能源汽车、汽车轻量化零配件制造业打造成百亿级产业集群。</w:t>
      </w:r>
    </w:p>
    <w:p w14:paraId="77C19582">
      <w:pPr>
        <w:ind w:firstLine="643" w:firstLineChars="200"/>
        <w:jc w:val="both"/>
        <w:rPr>
          <w:rFonts w:ascii="Times New Roman" w:hAnsi="Times New Roman" w:eastAsia="仿宋_GB2312" w:cs="Times New Roman"/>
          <w:sz w:val="32"/>
        </w:rPr>
      </w:pPr>
      <w:r>
        <w:rPr>
          <w:rFonts w:ascii="Times New Roman" w:hAnsi="Times New Roman" w:eastAsia="仿宋_GB2312" w:cs="Times New Roman"/>
          <w:b/>
          <w:bCs/>
          <w:sz w:val="32"/>
        </w:rPr>
        <w:t>农副产品加工</w:t>
      </w:r>
      <w:r>
        <w:rPr>
          <w:rFonts w:hint="eastAsia" w:ascii="Times New Roman" w:hAnsi="Times New Roman" w:eastAsia="仿宋_GB2312" w:cs="Times New Roman"/>
          <w:b/>
          <w:bCs/>
          <w:sz w:val="32"/>
        </w:rPr>
        <w:t>及生物医药制药</w:t>
      </w:r>
      <w:r>
        <w:rPr>
          <w:rFonts w:ascii="Times New Roman" w:hAnsi="Times New Roman" w:eastAsia="仿宋_GB2312" w:cs="Times New Roman"/>
          <w:b/>
          <w:bCs/>
          <w:sz w:val="32"/>
        </w:rPr>
        <w:t>产业集群。</w:t>
      </w:r>
      <w:r>
        <w:rPr>
          <w:rFonts w:ascii="Times New Roman" w:hAnsi="Times New Roman" w:eastAsia="仿宋_GB2312" w:cs="Times New Roman"/>
          <w:sz w:val="32"/>
        </w:rPr>
        <w:t>按照延伸产业链条，促进产品由粗加工向精加工、由低端向中高端迈进的发展思路，加快</w:t>
      </w:r>
      <w:r>
        <w:rPr>
          <w:rFonts w:ascii="Times New Roman" w:hAnsi="Times New Roman" w:eastAsia="仿宋_GB2312" w:cs="Times New Roman"/>
          <w:sz w:val="32"/>
          <w:szCs w:val="32"/>
        </w:rPr>
        <w:t>推动优质果菜、面粉食品、肉制品、药材药品、饮品酿品精深加工，重点发展浓缩果汁、速冻果粒、速冻蔬菜、脱水蔬菜、冬枣加工、芦笋加工、熟肉膳食、方便休闲食品、</w:t>
      </w:r>
      <w:r>
        <w:rPr>
          <w:rFonts w:hint="eastAsia" w:ascii="Times New Roman" w:hAnsi="Times New Roman" w:eastAsia="仿宋_GB2312" w:cs="Times New Roman"/>
          <w:sz w:val="32"/>
          <w:szCs w:val="32"/>
        </w:rPr>
        <w:t>药茶和</w:t>
      </w:r>
      <w:r>
        <w:rPr>
          <w:rFonts w:ascii="Times New Roman" w:hAnsi="Times New Roman" w:eastAsia="仿宋_GB2312" w:cs="Times New Roman"/>
          <w:sz w:val="32"/>
          <w:szCs w:val="32"/>
        </w:rPr>
        <w:t>保健饮品等深加工食品。支持大象集团加快年产6000万只肉鸡孵化、饲养加工一体化项目建设，积极推动忠民集团重整工作，恢复提升加工能力和产品品质，带动发展一批</w:t>
      </w:r>
      <w:r>
        <w:rPr>
          <w:rFonts w:ascii="Times New Roman" w:hAnsi="Times New Roman" w:eastAsia="仿宋_GB2312" w:cs="Times New Roman"/>
          <w:sz w:val="32"/>
        </w:rPr>
        <w:t>食品加工、冷链物流、包装材料等企业，全面振兴农副产品加工业。发挥</w:t>
      </w:r>
      <w:r>
        <w:rPr>
          <w:rFonts w:ascii="Times New Roman" w:hAnsi="Times New Roman" w:eastAsia="仿宋_GB2312" w:cs="Times New Roman"/>
          <w:sz w:val="32"/>
          <w:szCs w:val="32"/>
        </w:rPr>
        <w:t>永济面食餐饮品牌优势，加快面食集团面食文化产业园项目建设，</w:t>
      </w:r>
      <w:r>
        <w:rPr>
          <w:rFonts w:ascii="Times New Roman" w:hAnsi="Times New Roman" w:eastAsia="仿宋_GB2312" w:cs="Times New Roman"/>
          <w:sz w:val="32"/>
        </w:rPr>
        <w:t>延伸加工产业链条，建立物料配送体系，将永济面食打造成知名品牌、富民产业。</w:t>
      </w:r>
      <w:r>
        <w:rPr>
          <w:rFonts w:hint="eastAsia" w:ascii="Times New Roman" w:hAnsi="Times New Roman" w:eastAsia="仿宋_GB2312" w:cs="Times New Roman"/>
          <w:sz w:val="32"/>
        </w:rPr>
        <w:t>立足我市药材资源优势，抢抓大健康产业发展机遇，加快抗议制药重整，支持德济药业、东兴生物科技、和众生物科技有限公司等，大力发展生物医药产业，加快形成新动能。到2025年，把</w:t>
      </w:r>
      <w:r>
        <w:rPr>
          <w:rFonts w:ascii="Times New Roman" w:hAnsi="Times New Roman" w:eastAsia="仿宋_GB2312" w:cs="Times New Roman"/>
          <w:sz w:val="32"/>
        </w:rPr>
        <w:t>农副产品加工</w:t>
      </w:r>
      <w:r>
        <w:rPr>
          <w:rFonts w:hint="eastAsia" w:ascii="Times New Roman" w:hAnsi="Times New Roman" w:eastAsia="仿宋_GB2312" w:cs="Times New Roman"/>
          <w:sz w:val="32"/>
        </w:rPr>
        <w:t>及生物医药制药</w:t>
      </w:r>
      <w:r>
        <w:rPr>
          <w:rFonts w:ascii="Times New Roman" w:hAnsi="Times New Roman" w:eastAsia="仿宋_GB2312" w:cs="Times New Roman"/>
          <w:sz w:val="32"/>
        </w:rPr>
        <w:t>产业</w:t>
      </w:r>
      <w:r>
        <w:rPr>
          <w:rFonts w:hint="eastAsia" w:ascii="Times New Roman" w:hAnsi="Times New Roman" w:eastAsia="仿宋_GB2312" w:cs="Times New Roman"/>
          <w:sz w:val="32"/>
        </w:rPr>
        <w:t>打造成百亿级产业集群。</w:t>
      </w:r>
    </w:p>
    <w:p w14:paraId="09406640">
      <w:pPr>
        <w:ind w:firstLine="643" w:firstLineChars="200"/>
        <w:jc w:val="both"/>
        <w:rPr>
          <w:rFonts w:ascii="Times New Roman" w:hAnsi="Times New Roman" w:eastAsia="仿宋_GB2312" w:cs="Times New Roman"/>
          <w:sz w:val="32"/>
        </w:rPr>
      </w:pPr>
      <w:r>
        <w:rPr>
          <w:rFonts w:hint="eastAsia" w:ascii="Times New Roman" w:hAnsi="Times New Roman" w:eastAsia="仿宋_GB2312" w:cs="Times New Roman"/>
          <w:b/>
          <w:bCs/>
          <w:sz w:val="32"/>
        </w:rPr>
        <w:t>航天科技及光电产业集群。</w:t>
      </w:r>
      <w:r>
        <w:rPr>
          <w:rFonts w:hint="eastAsia" w:ascii="Times New Roman" w:hAnsi="Times New Roman" w:eastAsia="仿宋_GB2312" w:cs="Times New Roman"/>
          <w:sz w:val="32"/>
        </w:rPr>
        <w:t>依托北京光府科技高能激光项目、三晋宇航火箭发动机和无人机项目、穿越光电OLED有机发光材料项目、精密减速器制造项目、高端镜头生产项目、智能电子元器件项目等，推动以商招商，打造特种复合材料、特种车辆、无人车、无人机、火箭发动机、高精密制造等特种制造产业链。以伺服控制电机为突破口，加大力度引进机器人本体制造企业以及精密减速器、高速高性能控制器、传感器、末端执行器等关键零部件配套企业，积极发展弧焊、点焊、搬运、喷漆等工业机器人，以及水下机器人、消防救援机器人等特种机器人。大力引进数控系统、智能控制系统、智能仪器仪表、传感器、电力电子器件（IGBT）等智能装备制造产业链企业，以及包装、物流仓储、红外检测、焊接等应用领域的智能装备生产企业，发展智能制造产业。到2025年，把航天科技及光电产业打造成百亿级产业集群。</w:t>
      </w:r>
    </w:p>
    <w:p w14:paraId="44E3507C">
      <w:pPr>
        <w:ind w:firstLine="643" w:firstLineChars="200"/>
        <w:jc w:val="both"/>
        <w:rPr>
          <w:rFonts w:ascii="Times New Roman" w:hAnsi="Times New Roman" w:eastAsia="仿宋_GB2312" w:cs="Times New Roman"/>
          <w:sz w:val="32"/>
        </w:rPr>
      </w:pPr>
      <w:r>
        <w:rPr>
          <w:rFonts w:ascii="Times New Roman" w:hAnsi="Times New Roman" w:eastAsia="仿宋_GB2312" w:cs="Times New Roman"/>
          <w:b/>
          <w:bCs/>
          <w:sz w:val="32"/>
        </w:rPr>
        <w:t>风电设备制造维修产业集群。</w:t>
      </w:r>
      <w:r>
        <w:rPr>
          <w:rFonts w:ascii="Times New Roman" w:hAnsi="Times New Roman" w:eastAsia="仿宋_GB2312" w:cs="Times New Roman"/>
          <w:sz w:val="32"/>
        </w:rPr>
        <w:t>瞄准风电产业发展新机遇，依托技术人才优势，吸引各类风电制造和维修企业来永投资发展。推进合信锐风风电维修基地、正鑫风电自动化设备制造维修等项目，支持条山电机、瑞丰机电等维修企业发展壮大，积极引进风电总装、叶片制造等关联企业，拓展机舱风机市场，发展具有自主知识产权的风电机组，着力延伸风机装备产业链，打造永济风机知名品牌。推动以永济为总部基地开展风场现场服务，实施风力发电机全寿命周期智能监控，支持以大数据分析实现对发电机故障的精准诊断，推动实现从发电机运维服务到风电场整体运维承揽的转变，抢占风电设备运行维护市场</w:t>
      </w:r>
      <w:r>
        <w:rPr>
          <w:rFonts w:hint="eastAsia" w:ascii="Times New Roman" w:hAnsi="Times New Roman" w:eastAsia="仿宋_GB2312" w:cs="Times New Roman"/>
          <w:sz w:val="32"/>
        </w:rPr>
        <w:t>，</w:t>
      </w:r>
      <w:r>
        <w:rPr>
          <w:rFonts w:ascii="Times New Roman" w:hAnsi="Times New Roman" w:eastAsia="仿宋_GB2312" w:cs="Times New Roman"/>
          <w:sz w:val="32"/>
        </w:rPr>
        <w:t>打造成为</w:t>
      </w:r>
      <w:r>
        <w:rPr>
          <w:rFonts w:hint="eastAsia" w:ascii="Times New Roman" w:hAnsi="Times New Roman" w:eastAsia="仿宋_GB2312" w:cs="Times New Roman"/>
          <w:sz w:val="32"/>
        </w:rPr>
        <w:t>全国集</w:t>
      </w:r>
      <w:r>
        <w:rPr>
          <w:rFonts w:ascii="Times New Roman" w:hAnsi="Times New Roman" w:eastAsia="仿宋_GB2312" w:cs="Times New Roman"/>
          <w:sz w:val="32"/>
        </w:rPr>
        <w:t>风电设备制造、</w:t>
      </w:r>
      <w:r>
        <w:rPr>
          <w:rFonts w:hint="eastAsia" w:ascii="Times New Roman" w:hAnsi="Times New Roman" w:eastAsia="仿宋_GB2312" w:cs="Times New Roman"/>
          <w:sz w:val="32"/>
        </w:rPr>
        <w:t>风电运维的产业</w:t>
      </w:r>
      <w:r>
        <w:rPr>
          <w:rFonts w:ascii="Times New Roman" w:hAnsi="Times New Roman" w:eastAsia="仿宋_GB2312" w:cs="Times New Roman"/>
          <w:sz w:val="32"/>
        </w:rPr>
        <w:t>基地。</w:t>
      </w:r>
      <w:r>
        <w:rPr>
          <w:rFonts w:hint="eastAsia" w:ascii="Times New Roman" w:hAnsi="Times New Roman" w:eastAsia="仿宋_GB2312" w:cs="Times New Roman"/>
          <w:sz w:val="32"/>
        </w:rPr>
        <w:t>到2025年，把风电设备制造维修产业打造成五十亿级产业集群。</w:t>
      </w:r>
    </w:p>
    <w:p w14:paraId="02583A76">
      <w:pPr>
        <w:ind w:firstLine="643" w:firstLineChars="200"/>
        <w:jc w:val="both"/>
        <w:rPr>
          <w:rFonts w:ascii="Times New Roman" w:hAnsi="Times New Roman" w:eastAsia="仿宋_GB2312" w:cs="Times New Roman"/>
          <w:sz w:val="32"/>
        </w:rPr>
      </w:pPr>
      <w:r>
        <w:rPr>
          <w:rFonts w:ascii="Times New Roman" w:hAnsi="Times New Roman" w:eastAsia="仿宋_GB2312" w:cs="Times New Roman"/>
          <w:b/>
          <w:bCs/>
          <w:sz w:val="32"/>
        </w:rPr>
        <w:t>高端印染包装产业集群。</w:t>
      </w:r>
      <w:r>
        <w:rPr>
          <w:rFonts w:ascii="Times New Roman" w:hAnsi="Times New Roman" w:eastAsia="仿宋_GB2312" w:cs="Times New Roman"/>
          <w:sz w:val="32"/>
        </w:rPr>
        <w:t>依托凯通、彩佳、恒誉彩印等公司，积极推进印染包装产业高端化发展，扶持和支持印染包装行业加快智能化装备、智能物流管理等技术和装备在生产过程中的应用，鼓励企业建立技术研发中心，提升企业产品的竞争力，推动印染包装产业加快向技术密集型、资源节约型、环境友好型转变。推动纺织印染围绕“原棉加工-纺纱-织布-印染-服装（成品）”产业链条，依托现有拳头产品，积极招引纺织衬布等相关企业，逐步扩大上游产能，大力拓展下游产业，鼓励发展色织品、高端印染、品牌成衣、家纺制品等，提高产品附加值。</w:t>
      </w:r>
      <w:r>
        <w:rPr>
          <w:rFonts w:hint="eastAsia" w:ascii="Times New Roman" w:hAnsi="Times New Roman" w:eastAsia="仿宋_GB2312" w:cs="Times New Roman"/>
          <w:sz w:val="32"/>
        </w:rPr>
        <w:t>到2025年，把高端印染包装产业打造成五十亿级产业集群。</w:t>
      </w:r>
    </w:p>
    <w:p w14:paraId="1D4ECF93">
      <w:pPr>
        <w:spacing w:beforeLines="50" w:afterLines="50"/>
        <w:jc w:val="both"/>
        <w:outlineLvl w:val="1"/>
        <w:rPr>
          <w:rFonts w:ascii="Times New Roman" w:hAnsi="Times New Roman" w:eastAsia="楷体_GB2312" w:cs="Times New Roman"/>
          <w:kern w:val="0"/>
          <w:sz w:val="10"/>
          <w:szCs w:val="10"/>
          <w:lang w:bidi="en-US"/>
        </w:rPr>
      </w:pPr>
      <w:bookmarkStart w:id="58" w:name="_Toc68253237"/>
    </w:p>
    <w:p w14:paraId="0B1B3842">
      <w:pPr>
        <w:spacing w:beforeLines="50" w:afterLines="50"/>
        <w:jc w:val="center"/>
        <w:outlineLvl w:val="1"/>
        <w:rPr>
          <w:rFonts w:ascii="Times New Roman" w:hAnsi="Times New Roman" w:eastAsia="楷体_GB2312" w:cs="Times New Roman"/>
          <w:kern w:val="0"/>
          <w:sz w:val="32"/>
          <w:szCs w:val="32"/>
          <w:lang w:bidi="en-US"/>
        </w:rPr>
      </w:pPr>
      <w:r>
        <w:rPr>
          <w:rFonts w:ascii="Times New Roman" w:hAnsi="Times New Roman" w:eastAsia="楷体_GB2312" w:cs="Times New Roman"/>
          <w:kern w:val="0"/>
          <w:sz w:val="32"/>
          <w:szCs w:val="32"/>
          <w:lang w:bidi="en-US"/>
        </w:rPr>
        <w:t>第</w:t>
      </w:r>
      <w:r>
        <w:rPr>
          <w:rFonts w:hint="eastAsia" w:ascii="Times New Roman" w:hAnsi="Times New Roman" w:eastAsia="楷体_GB2312" w:cs="Times New Roman"/>
          <w:kern w:val="0"/>
          <w:sz w:val="32"/>
          <w:szCs w:val="32"/>
          <w:lang w:bidi="en-US"/>
        </w:rPr>
        <w:t>三</w:t>
      </w:r>
      <w:r>
        <w:rPr>
          <w:rFonts w:ascii="Times New Roman" w:hAnsi="Times New Roman" w:eastAsia="楷体_GB2312" w:cs="Times New Roman"/>
          <w:kern w:val="0"/>
          <w:sz w:val="32"/>
          <w:szCs w:val="32"/>
          <w:lang w:bidi="en-US"/>
        </w:rPr>
        <w:t>节  加快发展现代服务业</w:t>
      </w:r>
      <w:bookmarkEnd w:id="58"/>
    </w:p>
    <w:p w14:paraId="606F2A46">
      <w:pPr>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充分发挥我市的区位优势，瞄准重点领域，大力发展现代物流、电商服务、家庭服务，推动生产性服务业向专业化和价值链高端延伸、生活性服务业向高品质和多样化升级，加快服务业集聚区建设，全面提升现代服务业发展水平。</w:t>
      </w:r>
    </w:p>
    <w:p w14:paraId="03160D0E">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kern w:val="0"/>
          <w:sz w:val="32"/>
          <w:szCs w:val="32"/>
        </w:rPr>
        <w:t>发展现代物流业。</w:t>
      </w:r>
      <w:r>
        <w:rPr>
          <w:rFonts w:ascii="Times New Roman" w:hAnsi="Times New Roman" w:eastAsia="仿宋_GB2312" w:cs="Times New Roman"/>
          <w:kern w:val="0"/>
          <w:sz w:val="32"/>
          <w:szCs w:val="32"/>
        </w:rPr>
        <w:t>依托“永西欧”班列，全面深化和西安港务区的合作，谋划、引进、实施一批重大项目，努力把永济打造成区域国际物流集散中心。加快建立区域物流信息平台，推动永济市久鼎智慧物流园、商业总公司年屠宰生猪50万头及冷链物流项目、永旺智慧农贸市场、南山润田农贸市场、节能型冷藏保鲜库项目建设，鼓励物流企业抓好智能仓储系统、冷链物流中心建设，积极打造无人机配送示范区和智慧物流园。</w:t>
      </w:r>
      <w:r>
        <w:rPr>
          <w:rFonts w:ascii="Times New Roman" w:hAnsi="Times New Roman" w:eastAsia="仿宋_GB2312" w:cs="Times New Roman"/>
          <w:sz w:val="32"/>
          <w:szCs w:val="32"/>
        </w:rPr>
        <w:t>大力提升普惠物流发展水平，加快第三方专业物流发展，畅通城乡物流配送。</w:t>
      </w:r>
    </w:p>
    <w:p w14:paraId="6CABBE3A">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kern w:val="0"/>
          <w:sz w:val="32"/>
          <w:szCs w:val="32"/>
        </w:rPr>
        <w:t>发展电商服务业。</w:t>
      </w:r>
      <w:r>
        <w:rPr>
          <w:rFonts w:ascii="Times New Roman" w:hAnsi="Times New Roman" w:eastAsia="仿宋_GB2312" w:cs="Times New Roman"/>
          <w:kern w:val="0"/>
          <w:sz w:val="32"/>
          <w:szCs w:val="32"/>
        </w:rPr>
        <w:t>加快建设一批镇（街道）电商创业园和电商专业村，</w:t>
      </w:r>
      <w:r>
        <w:rPr>
          <w:rFonts w:ascii="Times New Roman" w:hAnsi="Times New Roman" w:eastAsia="仿宋_GB2312" w:cs="Times New Roman"/>
          <w:sz w:val="32"/>
          <w:szCs w:val="32"/>
        </w:rPr>
        <w:t>加快农村淘宝店建设，</w:t>
      </w:r>
      <w:r>
        <w:rPr>
          <w:rFonts w:ascii="Times New Roman" w:hAnsi="Times New Roman" w:eastAsia="仿宋_GB2312" w:cs="Times New Roman"/>
          <w:kern w:val="0"/>
          <w:sz w:val="32"/>
          <w:szCs w:val="32"/>
        </w:rPr>
        <w:t>积极发展网店设计、网络营销、电商直播等电商服务业，</w:t>
      </w:r>
      <w:r>
        <w:rPr>
          <w:rFonts w:ascii="Times New Roman" w:hAnsi="Times New Roman" w:eastAsia="仿宋_GB2312" w:cs="Times New Roman"/>
          <w:sz w:val="32"/>
          <w:szCs w:val="32"/>
        </w:rPr>
        <w:t>培育一批销售本地农产品的代运营电商企业，</w:t>
      </w:r>
      <w:r>
        <w:rPr>
          <w:rFonts w:ascii="Times New Roman" w:hAnsi="Times New Roman" w:eastAsia="仿宋_GB2312" w:cs="Times New Roman"/>
          <w:kern w:val="0"/>
          <w:sz w:val="32"/>
          <w:szCs w:val="32"/>
        </w:rPr>
        <w:t>完善电子商务生态圈。</w:t>
      </w:r>
      <w:r>
        <w:rPr>
          <w:rFonts w:ascii="Times New Roman" w:hAnsi="Times New Roman" w:eastAsia="仿宋_GB2312" w:cs="Times New Roman"/>
          <w:sz w:val="32"/>
          <w:szCs w:val="32"/>
        </w:rPr>
        <w:t>积极培育本地电商和直播人才，推动人才培养、电商创业、直播带货有机结合。到2025年，力争建设1-2个电商集聚区，培育5家以上具有一定规模的跨境电商企业。支持本地农业龙头企业、合作社、种养大户与第三方平台、生鲜电商合作，构建多层次的农产品网上批发渠道，积极打造农场直供、消费者定制、订单农业等农产品网络营销模式永济样板。</w:t>
      </w:r>
    </w:p>
    <w:p w14:paraId="382C3921">
      <w:pPr>
        <w:pStyle w:val="17"/>
        <w:ind w:firstLine="643" w:firstLineChars="200"/>
        <w:jc w:val="both"/>
        <w:rPr>
          <w:rFonts w:ascii="Times New Roman" w:hAnsi="Times New Roman" w:eastAsia="仿宋_GB2312"/>
          <w:kern w:val="0"/>
          <w:sz w:val="32"/>
          <w:szCs w:val="32"/>
          <w:lang w:bidi="en-US"/>
        </w:rPr>
      </w:pPr>
      <w:r>
        <w:rPr>
          <w:rFonts w:ascii="Times New Roman" w:hAnsi="Times New Roman" w:eastAsia="仿宋_GB2312"/>
          <w:b/>
          <w:bCs/>
          <w:sz w:val="32"/>
          <w:szCs w:val="32"/>
        </w:rPr>
        <w:t>发展现代生活服务业。</w:t>
      </w:r>
      <w:r>
        <w:rPr>
          <w:rFonts w:ascii="Times New Roman" w:hAnsi="Times New Roman" w:eastAsia="仿宋_GB2312"/>
          <w:sz w:val="32"/>
          <w:szCs w:val="32"/>
        </w:rPr>
        <w:t>满足居民不断增强的多样化服务需求，加快构建城乡居民家庭服务体系，培育一批家庭服务企业，推动家庭服务市场多层次、多形式发展。加快推动建设社区家庭服务网点，鼓励生鲜食品店、便利店等各类生活服务连锁企业进社区，持续打造“15分钟便民服务圈”。发展满足特色需求的家庭用品配送、婴幼儿看护、护理、美容美发、家用电器修理等服务，推动房屋租赁经营、物业管理、搬家保洁、家用车辆保养维修等规范化、标准化发展。鼓励发展健康体检、健康咨询、健康文化、健康旅游、体育健身等多样化健康服务。加快改造提升传统服务业，积极发展主题饭店、客栈民宿、特色餐饮、农家乐等细分业态，建设美食街和餐饮集聚区，实现住宿餐饮连锁化、品牌化。</w:t>
      </w:r>
    </w:p>
    <w:p w14:paraId="750226E7">
      <w:pPr>
        <w:spacing w:beforeLines="50" w:afterLines="50"/>
        <w:jc w:val="both"/>
        <w:outlineLvl w:val="1"/>
        <w:rPr>
          <w:rFonts w:ascii="Times New Roman" w:hAnsi="Times New Roman" w:eastAsia="楷体_GB2312" w:cs="Times New Roman"/>
          <w:kern w:val="0"/>
          <w:sz w:val="32"/>
          <w:szCs w:val="32"/>
          <w:lang w:bidi="en-US"/>
        </w:rPr>
      </w:pPr>
      <w:bookmarkStart w:id="59" w:name="_Toc68253238"/>
      <w:r>
        <w:rPr>
          <w:rFonts w:ascii="Times New Roman" w:hAnsi="Times New Roman" w:eastAsia="楷体_GB2312" w:cs="Times New Roman"/>
          <w:kern w:val="0"/>
          <w:sz w:val="32"/>
          <w:szCs w:val="32"/>
          <w:lang w:bidi="en-US"/>
        </w:rPr>
        <w:t>第四节  建设运城数字经济先行区</w:t>
      </w:r>
      <w:bookmarkEnd w:id="59"/>
    </w:p>
    <w:p w14:paraId="7DAA6E55">
      <w:pPr>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以数字产业化和产业数字化为目标，推动数字经济和实体经济融合发展，力争到2025年，高速、移动、安全、泛在的网络设施基本建成，数字经济骨干企业培育壮大，规上企业数字化改造达到50%，建设成为运城数字产业发展和智慧应用先行区。</w:t>
      </w:r>
    </w:p>
    <w:p w14:paraId="154E3CFC">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夯实数字经济发展基础。</w:t>
      </w:r>
      <w:r>
        <w:rPr>
          <w:rFonts w:ascii="Times New Roman" w:hAnsi="Times New Roman" w:eastAsia="仿宋_GB2312" w:cs="Times New Roman"/>
          <w:sz w:val="32"/>
          <w:szCs w:val="32"/>
        </w:rPr>
        <w:t>支持基础电信企业普遍提供固定百兆宽带接入能力，具备条件的小区提供固定千兆宽带接入能力，实现家庭、企业、园区、写字楼光纤宽带网络覆盖。持续增加4G网络覆盖广度和深度，加强公共区域向5G基站建设开放，推动5G网络建设和通信网络设施IPv6改造升级，加快骨干网、接入网及城域网建设，谋划建设国际互联网骨干直连点，不断提升互联网城际出口带宽，全面增强网络通信服务能力。</w:t>
      </w:r>
    </w:p>
    <w:p w14:paraId="53E1064D">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实施数字产业倍增工程。</w:t>
      </w:r>
      <w:r>
        <w:rPr>
          <w:rFonts w:ascii="Times New Roman" w:hAnsi="Times New Roman" w:eastAsia="仿宋_GB2312" w:cs="Times New Roman"/>
          <w:sz w:val="32"/>
          <w:szCs w:val="32"/>
        </w:rPr>
        <w:t>积极承接东部地区电子信息制造业产业转移，发展电子材料、电子设备、电子元器件等电子信息产品，推动电子信息制造业总体发展达到全省先进水平。积极培育和引进一批软件及信息服务企业，开展应用软件、工业软件等软件产品和解决方案研发，发展信息系统集成、信息技术咨询和应用、设计开发等信息技术增值服务。鼓励引进5G设备制造、芯片产业、应用等骨干企业在永济建设制造基地、建设5G数据中心。加强数字内容产品开发利用，打造数字创意集聚区。</w:t>
      </w:r>
    </w:p>
    <w:p w14:paraId="2265A9E0">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推动数字经济融合应用。</w:t>
      </w:r>
      <w:r>
        <w:rPr>
          <w:rFonts w:ascii="Times New Roman" w:hAnsi="Times New Roman" w:eastAsia="仿宋_GB2312" w:cs="Times New Roman"/>
          <w:sz w:val="32"/>
          <w:szCs w:val="32"/>
        </w:rPr>
        <w:t xml:space="preserve">深入实施两化深度融合和智能制造行动计划，推动实现生产设备智能化、生产过程自动化、企业管理信息化和供应链网络化。建设永济工业云服务平台，实现企业大数据分析。加快乡村数字化建设，发展农业农村大数据，构建基于互联网和大数据的现代农业生产体系。积极培育服务业数字化新业态，发展跨境电商和智慧物流，实施供应链创新及应用试点，建立大数据支撑、网络化共享、智能化协作的城市智慧供应链体系。 </w:t>
      </w:r>
    </w:p>
    <w:p w14:paraId="590B70F3">
      <w:pPr>
        <w:spacing w:beforeLines="50" w:afterLines="50"/>
        <w:jc w:val="center"/>
        <w:outlineLvl w:val="1"/>
        <w:rPr>
          <w:rFonts w:ascii="Times New Roman" w:hAnsi="Times New Roman" w:eastAsia="楷体_GB2312" w:cs="Times New Roman"/>
          <w:kern w:val="0"/>
          <w:sz w:val="32"/>
          <w:szCs w:val="32"/>
          <w:lang w:bidi="en-US"/>
        </w:rPr>
      </w:pPr>
      <w:bookmarkStart w:id="60" w:name="_Toc68253239"/>
      <w:r>
        <w:rPr>
          <w:rFonts w:ascii="Times New Roman" w:hAnsi="Times New Roman" w:eastAsia="楷体_GB2312" w:cs="Times New Roman"/>
          <w:kern w:val="0"/>
          <w:sz w:val="32"/>
          <w:szCs w:val="32"/>
          <w:lang w:bidi="en-US"/>
        </w:rPr>
        <w:t>第</w:t>
      </w:r>
      <w:r>
        <w:rPr>
          <w:rFonts w:hint="eastAsia" w:ascii="Times New Roman" w:hAnsi="Times New Roman" w:eastAsia="楷体_GB2312" w:cs="Times New Roman"/>
          <w:kern w:val="0"/>
          <w:sz w:val="32"/>
          <w:szCs w:val="32"/>
          <w:lang w:bidi="en-US"/>
        </w:rPr>
        <w:t>五</w:t>
      </w:r>
      <w:r>
        <w:rPr>
          <w:rFonts w:ascii="Times New Roman" w:hAnsi="Times New Roman" w:eastAsia="楷体_GB2312" w:cs="Times New Roman"/>
          <w:kern w:val="0"/>
          <w:sz w:val="32"/>
          <w:szCs w:val="32"/>
          <w:lang w:bidi="en-US"/>
        </w:rPr>
        <w:t xml:space="preserve">节  </w:t>
      </w:r>
      <w:r>
        <w:rPr>
          <w:rFonts w:hint="eastAsia" w:ascii="Times New Roman" w:hAnsi="Times New Roman" w:eastAsia="楷体_GB2312" w:cs="Times New Roman"/>
          <w:kern w:val="0"/>
          <w:sz w:val="32"/>
          <w:szCs w:val="32"/>
          <w:lang w:bidi="en-US"/>
        </w:rPr>
        <w:t>大力支持开发区发展</w:t>
      </w:r>
      <w:bookmarkEnd w:id="60"/>
    </w:p>
    <w:p w14:paraId="3AB3079D">
      <w:pPr>
        <w:spacing w:line="360" w:lineRule="auto"/>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充分发挥开发区产业转型发展的主战场、主引擎作用，持续深化“三化三制”改革，不断壮大主导产业规模，加大招商引资力度，把开发区打造成永济高质量转型发展的引领区、集聚区、支撑区，力争到2025年，开发区发展综合实力进入全省第一方阵。</w:t>
      </w:r>
    </w:p>
    <w:p w14:paraId="6B8AB7DB">
      <w:pPr>
        <w:spacing w:line="360" w:lineRule="auto"/>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夯实开发区综合承载基础。</w:t>
      </w:r>
      <w:r>
        <w:rPr>
          <w:rStyle w:val="29"/>
          <w:rFonts w:ascii="Times New Roman" w:hAnsi="Times New Roman" w:eastAsia="仿宋_GB2312" w:cs="Times New Roman"/>
          <w:sz w:val="32"/>
          <w:szCs w:val="32"/>
        </w:rPr>
        <w:t>加快推进“标准地”改革，</w:t>
      </w:r>
      <w:r>
        <w:rPr>
          <w:rFonts w:ascii="Times New Roman" w:hAnsi="Times New Roman" w:eastAsia="仿宋_GB2312" w:cs="Times New Roman"/>
          <w:sz w:val="32"/>
          <w:szCs w:val="32"/>
        </w:rPr>
        <w:t>全面落实熟地供应，</w:t>
      </w:r>
      <w:r>
        <w:rPr>
          <w:rStyle w:val="29"/>
          <w:rFonts w:ascii="Times New Roman" w:hAnsi="Times New Roman" w:eastAsia="仿宋_GB2312" w:cs="Times New Roman"/>
          <w:sz w:val="32"/>
          <w:szCs w:val="32"/>
        </w:rPr>
        <w:t>实现开发区一般工业项目“全承诺、无审批、拿地即可开工”制度。</w:t>
      </w:r>
      <w:r>
        <w:rPr>
          <w:rFonts w:ascii="Times New Roman" w:hAnsi="Times New Roman" w:eastAsia="仿宋_GB2312" w:cs="Times New Roman"/>
          <w:sz w:val="32"/>
          <w:szCs w:val="32"/>
        </w:rPr>
        <w:t>加快建立土地收储资金池，形成土地供给良性循环。</w:t>
      </w:r>
      <w:r>
        <w:rPr>
          <w:rFonts w:hint="eastAsia" w:ascii="Times New Roman" w:hAnsi="Times New Roman" w:eastAsia="仿宋_GB2312" w:cs="Times New Roman"/>
          <w:sz w:val="32"/>
          <w:szCs w:val="32"/>
        </w:rPr>
        <w:t>大力实施标准厂房和园区整体提升工程，</w:t>
      </w:r>
      <w:r>
        <w:rPr>
          <w:rFonts w:ascii="Times New Roman" w:hAnsi="Times New Roman" w:eastAsia="仿宋_GB2312" w:cs="Times New Roman"/>
          <w:sz w:val="32"/>
          <w:szCs w:val="32"/>
        </w:rPr>
        <w:t>完善开发区水、电、路、排污管网等基础设施，全面实行</w:t>
      </w:r>
      <w:r>
        <w:rPr>
          <w:rStyle w:val="29"/>
          <w:rFonts w:ascii="Times New Roman" w:hAnsi="Times New Roman" w:eastAsia="仿宋_GB2312" w:cs="Times New Roman"/>
          <w:sz w:val="32"/>
          <w:szCs w:val="32"/>
        </w:rPr>
        <w:t>“九通一平”，</w:t>
      </w:r>
      <w:r>
        <w:rPr>
          <w:rFonts w:ascii="Times New Roman" w:hAnsi="Times New Roman" w:eastAsia="仿宋_GB2312" w:cs="Times New Roman"/>
          <w:sz w:val="32"/>
          <w:szCs w:val="32"/>
        </w:rPr>
        <w:t xml:space="preserve"> 全面落实用地、用电、用气等优惠政策，切实降低要素成本。推动设立开发区产业发展引导基金，支持与山西省融资再担保集团等政府政策性担保机构合作，设立科技融资担保公司，探索设立科技型小微企业贷款风险补偿基金和科技合作专项基金，为高新技术企业、科技型中小企业等提供融资担保服务。</w:t>
      </w:r>
      <w:r>
        <w:rPr>
          <w:rFonts w:hint="eastAsia" w:ascii="Times New Roman" w:hAnsi="Times New Roman" w:eastAsia="仿宋_GB2312" w:cs="Times New Roman"/>
          <w:sz w:val="32"/>
          <w:szCs w:val="32"/>
        </w:rPr>
        <w:t>到2025年，标准厂房达到30万平米，其中多层厂房占60%。设立产业扶持基金3个，切实增强开发区的吸引力和承载力。</w:t>
      </w:r>
    </w:p>
    <w:p w14:paraId="1692A910">
      <w:pPr>
        <w:spacing w:line="360" w:lineRule="auto"/>
        <w:ind w:firstLine="643" w:firstLineChars="200"/>
        <w:jc w:val="both"/>
        <w:rPr>
          <w:rStyle w:val="29"/>
          <w:rFonts w:ascii="Times New Roman" w:hAnsi="Times New Roman" w:eastAsia="仿宋_GB2312" w:cs="Times New Roman"/>
          <w:sz w:val="32"/>
          <w:szCs w:val="32"/>
        </w:rPr>
      </w:pPr>
      <w:r>
        <w:rPr>
          <w:rStyle w:val="29"/>
          <w:rFonts w:ascii="Times New Roman" w:hAnsi="Times New Roman" w:eastAsia="仿宋_GB2312" w:cs="Times New Roman"/>
          <w:b/>
          <w:bCs/>
          <w:sz w:val="32"/>
          <w:szCs w:val="32"/>
        </w:rPr>
        <w:t>提升开发区运营管理水平。</w:t>
      </w:r>
      <w:r>
        <w:rPr>
          <w:rStyle w:val="29"/>
          <w:rFonts w:ascii="Times New Roman" w:hAnsi="Times New Roman" w:eastAsia="仿宋_GB2312" w:cs="Times New Roman"/>
          <w:sz w:val="32"/>
          <w:szCs w:val="32"/>
        </w:rPr>
        <w:t>持续推进开发区“三化三制”改革，加大审批授权和承接力度，切实做到干部、人员、经费、土地、政策“五到位”。全面推进管运分离改革，</w:t>
      </w:r>
      <w:r>
        <w:rPr>
          <w:rFonts w:ascii="Times New Roman" w:hAnsi="Times New Roman" w:eastAsia="仿宋_GB2312" w:cs="Times New Roman"/>
          <w:sz w:val="32"/>
          <w:szCs w:val="32"/>
        </w:rPr>
        <w:t>建立专业化的管理运营团队，积极探索市场化运营改革，充分运用市场化手段，引入国内外战略投资者、专业化园区运营商，以“整体外包”、“特许经营”等形式，支持开发区与国内外发达地区、优势企业、高等院校合作共建产业园区</w:t>
      </w:r>
      <w:r>
        <w:rPr>
          <w:rStyle w:val="29"/>
          <w:rFonts w:ascii="Times New Roman" w:hAnsi="Times New Roman" w:eastAsia="仿宋_GB2312" w:cs="Times New Roman"/>
          <w:sz w:val="32"/>
          <w:szCs w:val="32"/>
        </w:rPr>
        <w:t>。深化简政放权、选人用人、薪酬分配、管理模式、考核奖惩改革，完善开发区评价考核体系。</w:t>
      </w:r>
      <w:r>
        <w:rPr>
          <w:rStyle w:val="29"/>
          <w:rFonts w:hint="eastAsia" w:ascii="Times New Roman" w:hAnsi="Times New Roman" w:eastAsia="仿宋_GB2312" w:cs="Times New Roman"/>
          <w:sz w:val="32"/>
          <w:szCs w:val="32"/>
        </w:rPr>
        <w:t>强化开发区土地集约节约利用，</w:t>
      </w:r>
      <w:r>
        <w:rPr>
          <w:rStyle w:val="29"/>
          <w:rFonts w:ascii="Times New Roman" w:hAnsi="Times New Roman" w:eastAsia="仿宋_GB2312" w:cs="Times New Roman"/>
          <w:sz w:val="32"/>
          <w:szCs w:val="32"/>
        </w:rPr>
        <w:t>加大开发区投资强度、产出强度、税收强度的“亩产论英雄”考核，把重大项目落地作为硬性指标，引进和实施一批重大转型项目。</w:t>
      </w:r>
    </w:p>
    <w:p w14:paraId="6357FC4C">
      <w:pPr>
        <w:spacing w:afterLines="50" w:line="360" w:lineRule="auto"/>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加强开发区各类平台建设。</w:t>
      </w:r>
      <w:r>
        <w:rPr>
          <w:rFonts w:ascii="Times New Roman" w:hAnsi="Times New Roman" w:eastAsia="仿宋_GB2312" w:cs="Times New Roman"/>
          <w:sz w:val="32"/>
          <w:szCs w:val="32"/>
        </w:rPr>
        <w:t>支持开发区在人才、行政审批等方面先行先试，建立开发区产业发展公共服务平台，为园区内企业提供项目申报、融资贷款、税务代理、人才招聘等基础性、公共性服务。支持开发区建设研发中心、设计中心、孵化器、加速器等各类科技创新创业载体，鼓励企业牵头创建产学研协同创新联盟，与重点院校、科研院所、重点实验室等加强联合，创建各种形式的协同创新平台。支持永济电机厂高级技工学校与与企业开展“订单式”人才培养，建立公共实训基地。</w:t>
      </w:r>
      <w:r>
        <w:rPr>
          <w:rFonts w:hint="eastAsia" w:ascii="Times New Roman" w:hAnsi="Times New Roman" w:eastAsia="仿宋_GB2312" w:cs="Times New Roman"/>
          <w:sz w:val="32"/>
          <w:szCs w:val="32"/>
        </w:rPr>
        <w:t>到2025年，开发区建设科技孵化器载体12个以上，规上企业80家，高新技术企业20家以上，引进高层次人才50人以上，金融服务机构3家以上，真正把开发区打造成永济高质量转型发展的新引擎、集聚区。</w:t>
      </w:r>
    </w:p>
    <w:tbl>
      <w:tblPr>
        <w:tblStyle w:val="1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0"/>
      </w:tblGrid>
      <w:tr w14:paraId="2838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800" w:type="dxa"/>
            <w:vAlign w:val="top"/>
          </w:tcPr>
          <w:p w14:paraId="573CD351">
            <w:pPr>
              <w:jc w:val="both"/>
              <w:rPr>
                <w:rFonts w:ascii="Times New Roman" w:hAnsi="Times New Roman" w:eastAsia="仿宋_GB2312" w:cs="Times New Roman"/>
                <w:sz w:val="24"/>
                <w:szCs w:val="24"/>
              </w:rPr>
            </w:pPr>
            <w:r>
              <w:rPr>
                <w:rFonts w:hint="eastAsia" w:ascii="Times New Roman" w:hAnsi="Times New Roman" w:eastAsia="黑体" w:cs="Times New Roman"/>
                <w:sz w:val="28"/>
                <w:szCs w:val="28"/>
              </w:rPr>
              <w:t>专栏</w:t>
            </w:r>
            <w:r>
              <w:rPr>
                <w:rFonts w:ascii="Times New Roman" w:hAnsi="Times New Roman" w:eastAsia="黑体" w:cs="Times New Roman"/>
                <w:sz w:val="28"/>
                <w:szCs w:val="28"/>
              </w:rPr>
              <w:t>5：“十四五”开发区基础设施重点项目</w:t>
            </w:r>
          </w:p>
        </w:tc>
      </w:tr>
      <w:tr w14:paraId="6F34B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0" w:hRule="atLeast"/>
        </w:trPr>
        <w:tc>
          <w:tcPr>
            <w:tcW w:w="8800" w:type="dxa"/>
            <w:vAlign w:val="top"/>
          </w:tcPr>
          <w:p w14:paraId="78B0BBA3">
            <w:pPr>
              <w:adjustRightInd w:val="0"/>
              <w:snapToGrid w:val="0"/>
              <w:spacing w:beforeLines="50" w:afterLines="50" w:line="360" w:lineRule="exact"/>
              <w:ind w:firstLine="420" w:firstLineChars="200"/>
              <w:jc w:val="both"/>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开发区标准厂房项目、三丰机电公司中小企业孵化园整体搬迁项目、机电园区“九通一平”建设项目、铝工业园区道路提升工程、开发区产城融合高质量发展建设项目、永济市产业科技创新孵化中心项目、酒文化主题公园项目、开发区智慧充电桩网络建设项目、开发区政务服务一网通建设项目、一体化网络货运公共服务平台建设项目、“天地空一体化”生态环境监测大数据平台建设项目、人工智能技术研发和市场开发项目、食品冷链物流基地建设项目、开发区智慧园区建设项目、永济市物联网应用平台、AI创新体验平台项目、开发区交通运输大数据平台及应用示范项目、产业金融生态小镇项目、新型电机省级重点实验室项目、山西省智能制造产学研中试基地项目等。</w:t>
            </w:r>
          </w:p>
        </w:tc>
      </w:tr>
    </w:tbl>
    <w:p w14:paraId="73BD85FC">
      <w:pPr>
        <w:spacing w:beforeLines="50" w:afterLines="50"/>
        <w:jc w:val="center"/>
        <w:outlineLvl w:val="1"/>
        <w:rPr>
          <w:rFonts w:ascii="Times New Roman" w:hAnsi="Times New Roman" w:eastAsia="楷体_GB2312" w:cs="Times New Roman"/>
          <w:kern w:val="0"/>
          <w:sz w:val="32"/>
          <w:szCs w:val="32"/>
          <w:lang w:bidi="en-US"/>
        </w:rPr>
      </w:pPr>
      <w:bookmarkStart w:id="61" w:name="_Toc68253240"/>
      <w:r>
        <w:rPr>
          <w:rFonts w:ascii="Times New Roman" w:hAnsi="Times New Roman" w:eastAsia="楷体_GB2312" w:cs="Times New Roman"/>
          <w:kern w:val="0"/>
          <w:sz w:val="32"/>
          <w:szCs w:val="32"/>
          <w:lang w:bidi="en-US"/>
        </w:rPr>
        <w:t>第六节  壮大企业主体群落</w:t>
      </w:r>
      <w:bookmarkEnd w:id="61"/>
    </w:p>
    <w:p w14:paraId="6F5916A2">
      <w:pPr>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聚焦传统产业的迭代更新和新兴产业的培育壮大，加大市场主体培育，加大政策支持力度，全面支持“个转企、小升规、规改股、股上市”，提升企业发展质量，切实引进一批、培育一批、壮大一批，不断发展壮大企业主体群落。</w:t>
      </w:r>
    </w:p>
    <w:p w14:paraId="008B09CE">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实施领军企业培育计划。</w:t>
      </w:r>
      <w:r>
        <w:rPr>
          <w:rFonts w:ascii="Times New Roman" w:hAnsi="Times New Roman" w:eastAsia="仿宋_GB2312" w:cs="Times New Roman"/>
          <w:sz w:val="32"/>
          <w:szCs w:val="32"/>
        </w:rPr>
        <w:t>围绕机电制造业、新能源汽车及汽车轻量化零配件、农副产品加工、风电设备制造维修、高端印染包装等领域，持续支持中车永济电机、千军铝业等企业发挥龙头作用，鼓励凯通印染、大象集团、条山机电、光府科技等骨干企业成为行业头部企业，在项目建设、技术创新、人才引进、重组合作等方面给予专项政策支持，提升企业生产、技术研发、技术改造、科技成果转化能力和水平，着力培育拥有自主知识产权、核心竞争力强的领军企业，持续带动行业整体发展。力争到2025年，我市行业领军企业达到5家以上</w:t>
      </w:r>
      <w:r>
        <w:rPr>
          <w:rFonts w:hint="eastAsia" w:ascii="Times New Roman" w:hAnsi="Times New Roman" w:eastAsia="仿宋_GB2312" w:cs="Times New Roman"/>
          <w:sz w:val="32"/>
          <w:szCs w:val="32"/>
        </w:rPr>
        <w:t>、高技术领军企业3家以上</w:t>
      </w:r>
      <w:r>
        <w:rPr>
          <w:rFonts w:ascii="Times New Roman" w:hAnsi="Times New Roman" w:eastAsia="仿宋_GB2312" w:cs="Times New Roman"/>
          <w:sz w:val="32"/>
          <w:szCs w:val="32"/>
        </w:rPr>
        <w:t>。</w:t>
      </w:r>
    </w:p>
    <w:p w14:paraId="4FEB8060">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rPr>
        <w:t>实施规上工业企业倍增计划。</w:t>
      </w:r>
      <w:r>
        <w:rPr>
          <w:rFonts w:ascii="Times New Roman" w:hAnsi="Times New Roman" w:eastAsia="仿宋_GB2312" w:cs="Times New Roman"/>
          <w:sz w:val="32"/>
          <w:szCs w:val="32"/>
        </w:rPr>
        <w:t>健全完善规上企业培育库，强化规上工业企业源头培育，支持规模以下企业升规入统，夯实上规企业基础。建立完善拟上规企业数据库，实行拟上规企业领导挂钩服务责任制，对每家企业明确时间表和责任人，组织熟悉科技、经济、产业政策的高层次专家队伍，对入库企业采取“一企一策”方式开展技术研发转化、人才引进、科研以及财务管理、资本市场等方面的辅导服务。对新上规企业，加大要素保障力度、财税支持力度、融资服务力度，提高对新上规企业的政策扶持力度。</w:t>
      </w:r>
      <w:r>
        <w:rPr>
          <w:rFonts w:ascii="Times New Roman" w:hAnsi="Times New Roman" w:eastAsia="仿宋_GB2312" w:cs="Times New Roman"/>
          <w:sz w:val="32"/>
        </w:rPr>
        <w:t>力争</w:t>
      </w:r>
      <w:r>
        <w:rPr>
          <w:rFonts w:ascii="Times New Roman" w:hAnsi="Times New Roman" w:eastAsia="仿宋_GB2312" w:cs="Times New Roman"/>
          <w:sz w:val="32"/>
          <w:szCs w:val="32"/>
        </w:rPr>
        <w:t>到2025年，全市规模以上工业企业数量达到1</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0家以上，其中年销售额100亿元以上的企业1家，10亿元以上的企业达到10家，5亿元以上的企业达到</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0家。</w:t>
      </w:r>
    </w:p>
    <w:p w14:paraId="7E5840B6">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实施“专精特新”企业培育计划。</w:t>
      </w:r>
      <w:r>
        <w:rPr>
          <w:rFonts w:ascii="Times New Roman" w:hAnsi="Times New Roman" w:eastAsia="仿宋_GB2312" w:cs="Times New Roman"/>
          <w:sz w:val="32"/>
          <w:szCs w:val="32"/>
        </w:rPr>
        <w:t>完善“专精特新”企业扶持的政策体系，加大培育“小升规”企业力度，推动中小企业专注细分领域和核心业务，走专业化、精细化、特色化、新颖化的发展道路，打造一批主营业务突出，竞争力强、成长性好的“小巨人”企业。“十四五”期间新培育“小升规”企业50户以上，省级“专精特新”企业</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0家，国家级专精特新“小巨人”</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家、科技型中小企业100家，促进科技型中小企业加速成长为高新技术企业，精心培育一批“瞪羚”企业。</w:t>
      </w:r>
      <w:r>
        <w:rPr>
          <w:rFonts w:hint="eastAsia" w:ascii="Times New Roman" w:hAnsi="Times New Roman" w:eastAsia="仿宋_GB2312" w:cs="Times New Roman"/>
          <w:sz w:val="32"/>
          <w:szCs w:val="32"/>
        </w:rPr>
        <w:t>扶持一批工艺美术企业，培育2-5家工艺美术企业小升规。</w:t>
      </w:r>
      <w:r>
        <w:rPr>
          <w:rFonts w:ascii="Times New Roman" w:hAnsi="Times New Roman" w:eastAsia="仿宋_GB2312" w:cs="Times New Roman"/>
          <w:sz w:val="32"/>
          <w:szCs w:val="32"/>
        </w:rPr>
        <w:t>全面落实</w:t>
      </w:r>
      <w:r>
        <w:rPr>
          <w:rFonts w:ascii="Times New Roman" w:hAnsi="Times New Roman" w:eastAsia="仿宋_GB2312" w:cs="Times New Roman"/>
          <w:sz w:val="32"/>
        </w:rPr>
        <w:t>国家和省支持民营经济发展政策，</w:t>
      </w:r>
      <w:r>
        <w:rPr>
          <w:rFonts w:ascii="Times New Roman" w:hAnsi="Times New Roman" w:eastAsia="仿宋_GB2312" w:cs="Times New Roman"/>
          <w:sz w:val="32"/>
          <w:szCs w:val="32"/>
        </w:rPr>
        <w:t>帮助企业不断转型升级。完善企业股改挂牌专人服务、重点联系、培训辅导机制，邀请专业机构“量身定制”股改挂牌方案，确保“十四五”期间新增</w:t>
      </w:r>
      <w:r>
        <w:rPr>
          <w:rFonts w:hint="eastAsia" w:ascii="Times New Roman" w:hAnsi="Times New Roman" w:eastAsia="仿宋_GB2312" w:cs="Times New Roman"/>
          <w:sz w:val="32"/>
          <w:szCs w:val="32"/>
        </w:rPr>
        <w:t>主板上市企业1家、</w:t>
      </w:r>
      <w:r>
        <w:rPr>
          <w:rFonts w:ascii="Times New Roman" w:hAnsi="Times New Roman" w:eastAsia="仿宋_GB2312" w:cs="Times New Roman"/>
          <w:sz w:val="32"/>
          <w:szCs w:val="32"/>
        </w:rPr>
        <w:t>“新三板”企业</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家、“晋兴板”企业10家。</w:t>
      </w:r>
    </w:p>
    <w:p w14:paraId="04DFCCE8">
      <w:pPr>
        <w:jc w:val="both"/>
        <w:rPr>
          <w:rFonts w:ascii="Times New Roman" w:hAnsi="Times New Roman" w:cs="Times New Roman"/>
        </w:rPr>
      </w:pPr>
      <w:r>
        <w:rPr>
          <w:rFonts w:ascii="Times New Roman" w:hAnsi="Times New Roman" w:cs="Times New Roman"/>
        </w:rPr>
        <w:br w:type="page"/>
      </w:r>
    </w:p>
    <w:p w14:paraId="5A584160">
      <w:pPr>
        <w:spacing w:beforeLines="100" w:afterLines="100"/>
        <w:jc w:val="center"/>
        <w:outlineLvl w:val="0"/>
        <w:rPr>
          <w:rFonts w:ascii="Times New Roman" w:hAnsi="Times New Roman" w:eastAsia="黑体" w:cs="Times New Roman"/>
          <w:kern w:val="0"/>
          <w:sz w:val="32"/>
          <w:szCs w:val="32"/>
          <w:lang w:bidi="en-US"/>
        </w:rPr>
      </w:pPr>
      <w:bookmarkStart w:id="62" w:name="_Toc68253241"/>
      <w:r>
        <w:rPr>
          <w:rFonts w:ascii="Times New Roman" w:hAnsi="Times New Roman" w:eastAsia="黑体" w:cs="Times New Roman"/>
          <w:kern w:val="0"/>
          <w:sz w:val="32"/>
          <w:szCs w:val="32"/>
          <w:lang w:bidi="en-US"/>
        </w:rPr>
        <w:t>第</w:t>
      </w:r>
      <w:r>
        <w:rPr>
          <w:rFonts w:hint="eastAsia" w:ascii="Times New Roman" w:hAnsi="Times New Roman" w:eastAsia="黑体" w:cs="Times New Roman"/>
          <w:kern w:val="0"/>
          <w:sz w:val="32"/>
          <w:szCs w:val="32"/>
          <w:lang w:bidi="en-US"/>
        </w:rPr>
        <w:t>四</w:t>
      </w:r>
      <w:r>
        <w:rPr>
          <w:rFonts w:ascii="Times New Roman" w:hAnsi="Times New Roman" w:eastAsia="黑体" w:cs="Times New Roman"/>
          <w:kern w:val="0"/>
          <w:sz w:val="32"/>
          <w:szCs w:val="32"/>
          <w:lang w:bidi="en-US"/>
        </w:rPr>
        <w:t xml:space="preserve">章  </w:t>
      </w:r>
      <w:r>
        <w:rPr>
          <w:rFonts w:hint="eastAsia" w:ascii="Times New Roman" w:hAnsi="Times New Roman" w:eastAsia="黑体" w:cs="Times New Roman"/>
          <w:kern w:val="0"/>
          <w:sz w:val="32"/>
          <w:szCs w:val="32"/>
          <w:lang w:bidi="en-US"/>
        </w:rPr>
        <w:t>深入实施乡村振兴战略，建设国家现代农业示范区</w:t>
      </w:r>
      <w:bookmarkEnd w:id="62"/>
    </w:p>
    <w:p w14:paraId="04E4B662">
      <w:pPr>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按照“扩基地、壮龙头、拓市场、强品牌、促融合”的总体思路，深入实施乡村振兴战略和农业“特”“优”战略，持续深化农业供给侧结构性改革，着力打造优势特色农业产业集群，</w:t>
      </w:r>
      <w:r>
        <w:rPr>
          <w:rFonts w:ascii="Times New Roman" w:hAnsi="Times New Roman" w:eastAsia="仿宋_GB2312" w:cs="Times New Roman"/>
          <w:color w:val="000000"/>
          <w:sz w:val="32"/>
          <w:szCs w:val="32"/>
        </w:rPr>
        <w:t>坚定不移推进农村改革发展，实施乡村建设行动，持续巩固脱贫攻坚成果和乡村振兴有效衔接，推动全市农业农村现代化迈出新步伐。</w:t>
      </w:r>
    </w:p>
    <w:p w14:paraId="651476E3">
      <w:pPr>
        <w:spacing w:beforeLines="50" w:afterLines="50"/>
        <w:jc w:val="center"/>
        <w:outlineLvl w:val="1"/>
        <w:rPr>
          <w:rFonts w:ascii="Times New Roman" w:hAnsi="Times New Roman" w:eastAsia="楷体_GB2312" w:cs="Times New Roman"/>
          <w:kern w:val="0"/>
          <w:sz w:val="32"/>
          <w:szCs w:val="32"/>
          <w:lang w:bidi="en-US"/>
        </w:rPr>
      </w:pPr>
      <w:bookmarkStart w:id="63" w:name="_Toc68253242"/>
      <w:r>
        <w:rPr>
          <w:rFonts w:ascii="Times New Roman" w:hAnsi="Times New Roman" w:eastAsia="楷体_GB2312" w:cs="Times New Roman"/>
          <w:kern w:val="0"/>
          <w:sz w:val="32"/>
          <w:szCs w:val="32"/>
          <w:lang w:bidi="en-US"/>
        </w:rPr>
        <w:t>第一节  做大做强八大农业优势基地</w:t>
      </w:r>
      <w:bookmarkEnd w:id="63"/>
    </w:p>
    <w:p w14:paraId="39863543">
      <w:pPr>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发挥资源比较优势，调整结构、优化布局、突出特色，加快推动八大农业优势基地建设，促进农业提质增效，形成功能多样、层次鲜明的现代农业生产体系。</w:t>
      </w:r>
    </w:p>
    <w:p w14:paraId="388E5D3E">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做强优质粮食生产基地。</w:t>
      </w:r>
      <w:r>
        <w:rPr>
          <w:rFonts w:ascii="Times New Roman" w:hAnsi="Times New Roman" w:eastAsia="仿宋_GB2312" w:cs="Times New Roman"/>
          <w:sz w:val="32"/>
          <w:szCs w:val="32"/>
        </w:rPr>
        <w:t>深入实施“藏粮于地、藏粮于技”战略，严格落实农业支持保护补贴政策，加大农业生产保险覆盖范围，切实提高农民种粮积极性。加强优质品种推广，全面推广粮食绿色高质高效生产技术和优质小麦品种，不断提高粮食单产，努力创建黄河流域粮食绿色高质高效示范基地。到2025年，</w:t>
      </w:r>
      <w:r>
        <w:rPr>
          <w:rFonts w:hint="eastAsia" w:ascii="Times New Roman" w:hAnsi="Times New Roman" w:eastAsia="仿宋_GB2312" w:cs="Times New Roman"/>
          <w:sz w:val="32"/>
          <w:szCs w:val="32"/>
        </w:rPr>
        <w:t>全市粮食总面积稳定在97万亩（含复播），</w:t>
      </w:r>
      <w:r>
        <w:rPr>
          <w:rFonts w:ascii="Times New Roman" w:hAnsi="Times New Roman" w:eastAsia="仿宋_GB2312" w:cs="Times New Roman"/>
          <w:sz w:val="32"/>
          <w:szCs w:val="32"/>
        </w:rPr>
        <w:t>良种覆盖率达98%以上，粮食平均亩产1000公斤以上，总产达到4亿公斤以上，小麦最高单产突破550公斤以上、玉米最高单产突破650公斤以上，优质专用小麦种植面积发展到20万亩，为“运城面粉”品牌创建提供优质专用原粮。</w:t>
      </w:r>
    </w:p>
    <w:p w14:paraId="2D10E66C">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做强优质果品生产基地。</w:t>
      </w:r>
      <w:r>
        <w:rPr>
          <w:rFonts w:ascii="Times New Roman" w:hAnsi="Times New Roman" w:eastAsia="仿宋_GB2312" w:cs="Times New Roman"/>
          <w:sz w:val="32"/>
          <w:szCs w:val="32"/>
        </w:rPr>
        <w:t>突出“名、特、优”，坚持市场导向，以提质节本增效为重点，</w:t>
      </w:r>
      <w:r>
        <w:rPr>
          <w:rFonts w:hint="eastAsia" w:ascii="Times New Roman" w:hAnsi="Times New Roman" w:eastAsia="仿宋_GB2312" w:cs="Times New Roman"/>
          <w:sz w:val="32"/>
          <w:szCs w:val="32"/>
        </w:rPr>
        <w:t>突出抓好现有40万亩干鲜果的提质增效，</w:t>
      </w:r>
      <w:r>
        <w:rPr>
          <w:rFonts w:ascii="Times New Roman" w:hAnsi="Times New Roman" w:eastAsia="仿宋_GB2312" w:cs="Times New Roman"/>
          <w:sz w:val="32"/>
          <w:szCs w:val="32"/>
        </w:rPr>
        <w:t>全面推广林下生草、水肥一体化、有机肥替代等适用先进技术和优良品种，大力发展设施水果，积极参加运城果博会、山西农博会等展会，进一步扩大永济特色水果知名度和影响力，不断提升果业附加值，努力建设以葡萄、冬枣为重点的中国特色水果优势区。到2025年，全市优质水果发展到20万亩（其中设施水果8万亩），总产量达到40万吨，果园标准化生产率达到90%以上、优果率达到95%以上。</w:t>
      </w:r>
    </w:p>
    <w:p w14:paraId="2BB099AE">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做强优质蔬菜生产基地。</w:t>
      </w:r>
      <w:r>
        <w:rPr>
          <w:rFonts w:ascii="Times New Roman" w:hAnsi="Times New Roman" w:eastAsia="仿宋_GB2312" w:cs="Times New Roman"/>
          <w:sz w:val="32"/>
          <w:szCs w:val="32"/>
        </w:rPr>
        <w:t>突出特色和优质，加快设施蔬菜提质增效，推广绿色有机蔬菜种植。发展无土栽培，增加反季节蔬菜生产面积。发展特色蔬菜种植，加大蔬菜出口和深加工。到2025年，全市新增蔬菜2万亩（</w:t>
      </w:r>
      <w:r>
        <w:rPr>
          <w:rFonts w:ascii="Times New Roman" w:hAnsi="Times New Roman" w:eastAsia="楷体_GB2312" w:cs="Times New Roman"/>
          <w:sz w:val="32"/>
          <w:szCs w:val="32"/>
        </w:rPr>
        <w:t>设施蔬菜0.5万亩、露地特色蔬菜1.5万亩）</w:t>
      </w:r>
      <w:r>
        <w:rPr>
          <w:rFonts w:ascii="Times New Roman" w:hAnsi="Times New Roman" w:eastAsia="仿宋_GB2312" w:cs="Times New Roman"/>
          <w:sz w:val="32"/>
          <w:szCs w:val="32"/>
        </w:rPr>
        <w:t>，蔬菜种植总面积</w:t>
      </w:r>
      <w:r>
        <w:rPr>
          <w:rFonts w:hint="eastAsia" w:ascii="Times New Roman" w:hAnsi="Times New Roman" w:eastAsia="仿宋_GB2312" w:cs="Times New Roman"/>
          <w:sz w:val="32"/>
          <w:szCs w:val="32"/>
        </w:rPr>
        <w:t>稳定在9万亩</w:t>
      </w:r>
      <w:r>
        <w:rPr>
          <w:rFonts w:ascii="Times New Roman" w:hAnsi="Times New Roman" w:eastAsia="仿宋_GB2312" w:cs="Times New Roman"/>
          <w:sz w:val="32"/>
          <w:szCs w:val="32"/>
        </w:rPr>
        <w:t>，总产量达到15万吨。</w:t>
      </w:r>
    </w:p>
    <w:p w14:paraId="5E2A1E38">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做强水产健康养殖基地。</w:t>
      </w:r>
      <w:r>
        <w:rPr>
          <w:rFonts w:ascii="Times New Roman" w:hAnsi="Times New Roman" w:eastAsia="仿宋_GB2312" w:cs="Times New Roman"/>
          <w:sz w:val="32"/>
          <w:szCs w:val="32"/>
        </w:rPr>
        <w:t>以</w:t>
      </w:r>
      <w:r>
        <w:rPr>
          <w:rFonts w:hint="eastAsia" w:ascii="Times New Roman" w:hAnsi="Times New Roman" w:eastAsia="仿宋_GB2312" w:cs="Times New Roman"/>
          <w:sz w:val="32"/>
          <w:szCs w:val="32"/>
        </w:rPr>
        <w:t>成功</w:t>
      </w:r>
      <w:r>
        <w:rPr>
          <w:rFonts w:ascii="Times New Roman" w:hAnsi="Times New Roman" w:eastAsia="仿宋_GB2312" w:cs="Times New Roman"/>
          <w:sz w:val="32"/>
          <w:szCs w:val="32"/>
        </w:rPr>
        <w:t>创建国家级渔业健康养殖示范县为引领，</w:t>
      </w:r>
      <w:r>
        <w:rPr>
          <w:rFonts w:hint="eastAsia" w:ascii="Times New Roman" w:hAnsi="Times New Roman" w:eastAsia="仿宋_GB2312" w:cs="Times New Roman"/>
          <w:sz w:val="32"/>
          <w:szCs w:val="32"/>
        </w:rPr>
        <w:t>实施养殖场和池塘生态化改造提升工程，依托海大集团，大力发展品质优、价值高的水产养殖品种，积极探索莲渔共养、稻蟹混养等模式。依托大象、牧原、长荣、超人等龙头企业，大力发展现代畜牧业。</w:t>
      </w:r>
      <w:r>
        <w:rPr>
          <w:rFonts w:ascii="Times New Roman" w:hAnsi="Times New Roman" w:eastAsia="仿宋_GB2312" w:cs="Times New Roman"/>
          <w:sz w:val="32"/>
          <w:szCs w:val="32"/>
        </w:rPr>
        <w:t>支持养殖尾水处理及循环利用等技术装备升级改造，强化水产养殖用饲料、兽药等投入品管理，建设一批国家级、省级水产健康养殖示范场，全面推进生态绿色健康养殖。到2025年，全市水产养殖面积稳定在</w:t>
      </w:r>
      <w:r>
        <w:rPr>
          <w:rFonts w:hint="eastAsia" w:ascii="Times New Roman" w:hAnsi="Times New Roman" w:eastAsia="仿宋_GB2312" w:cs="Times New Roman"/>
          <w:sz w:val="32"/>
          <w:szCs w:val="32"/>
        </w:rPr>
        <w:t>1.5万亩以上</w:t>
      </w:r>
      <w:r>
        <w:rPr>
          <w:rFonts w:ascii="Times New Roman" w:hAnsi="Times New Roman" w:eastAsia="仿宋_GB2312" w:cs="Times New Roman"/>
          <w:sz w:val="32"/>
          <w:szCs w:val="32"/>
        </w:rPr>
        <w:t>，水产品产量保持在1.7万吨以上。</w:t>
      </w:r>
    </w:p>
    <w:p w14:paraId="69B467F5">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做强中药材产业基地。</w:t>
      </w:r>
      <w:r>
        <w:rPr>
          <w:rFonts w:ascii="Times New Roman" w:hAnsi="Times New Roman" w:eastAsia="仿宋_GB2312" w:cs="Times New Roman"/>
          <w:sz w:val="32"/>
          <w:szCs w:val="32"/>
        </w:rPr>
        <w:t>按照区域化布局、规模化发展要求，以汉广集团</w:t>
      </w:r>
      <w:r>
        <w:rPr>
          <w:rFonts w:hint="eastAsia" w:ascii="Times New Roman" w:hAnsi="Times New Roman" w:eastAsia="仿宋_GB2312" w:cs="Times New Roman"/>
          <w:sz w:val="32"/>
          <w:szCs w:val="32"/>
        </w:rPr>
        <w:t>、世邦农业</w:t>
      </w:r>
      <w:r>
        <w:rPr>
          <w:rFonts w:ascii="Times New Roman" w:hAnsi="Times New Roman" w:eastAsia="仿宋_GB2312" w:cs="Times New Roman"/>
          <w:sz w:val="32"/>
          <w:szCs w:val="32"/>
        </w:rPr>
        <w:t>为依托，加强与科研院所的合作，</w:t>
      </w:r>
      <w:r>
        <w:rPr>
          <w:rFonts w:hint="eastAsia" w:ascii="Times New Roman" w:hAnsi="Times New Roman" w:eastAsia="仿宋_GB2312" w:cs="Times New Roman"/>
          <w:sz w:val="32"/>
          <w:szCs w:val="32"/>
        </w:rPr>
        <w:t>大力发展连翘、金银花等中药材种植，</w:t>
      </w:r>
      <w:r>
        <w:rPr>
          <w:rFonts w:ascii="Times New Roman" w:hAnsi="Times New Roman" w:eastAsia="仿宋_GB2312" w:cs="Times New Roman"/>
          <w:sz w:val="32"/>
          <w:szCs w:val="32"/>
        </w:rPr>
        <w:t>大力发展中药材精深加工，推进中药材标准化基地建设，支持中药配方生产，培育壮大品牌</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形成</w:t>
      </w:r>
      <w:r>
        <w:rPr>
          <w:rFonts w:ascii="Times New Roman" w:hAnsi="Times New Roman" w:eastAsia="仿宋_GB2312" w:cs="Times New Roman"/>
          <w:sz w:val="32"/>
          <w:szCs w:val="32"/>
          <w:lang w:val="zh-CN" w:bidi="zh-CN"/>
        </w:rPr>
        <w:t>“中药</w:t>
      </w:r>
      <w:r>
        <w:rPr>
          <w:rFonts w:ascii="Times New Roman" w:hAnsi="Times New Roman" w:eastAsia="仿宋_GB2312" w:cs="Times New Roman"/>
          <w:sz w:val="32"/>
          <w:szCs w:val="32"/>
        </w:rPr>
        <w:t>材种植-精深加工-中药提取</w:t>
      </w:r>
      <w:r>
        <w:rPr>
          <w:rFonts w:ascii="Times New Roman" w:hAnsi="Times New Roman" w:eastAsia="仿宋_GB2312" w:cs="Times New Roman"/>
          <w:sz w:val="32"/>
          <w:szCs w:val="32"/>
          <w:lang w:val="zh-CN" w:bidi="zh-CN"/>
        </w:rPr>
        <w:t>”产业</w:t>
      </w:r>
      <w:r>
        <w:rPr>
          <w:rFonts w:ascii="Times New Roman" w:hAnsi="Times New Roman" w:eastAsia="仿宋_GB2312" w:cs="Times New Roman"/>
          <w:sz w:val="32"/>
          <w:szCs w:val="32"/>
        </w:rPr>
        <w:t>链条，建设中药材种植、初加工和研发的产业化体系和市场营销体系，加快建设中医药强市。到2025年，全市中药材种植面积</w:t>
      </w:r>
      <w:r>
        <w:rPr>
          <w:rFonts w:hint="eastAsia" w:ascii="Times New Roman" w:hAnsi="Times New Roman" w:eastAsia="仿宋_GB2312" w:cs="Times New Roman"/>
          <w:sz w:val="32"/>
          <w:szCs w:val="32"/>
        </w:rPr>
        <w:t>达到3</w:t>
      </w:r>
      <w:r>
        <w:rPr>
          <w:rFonts w:ascii="Times New Roman" w:hAnsi="Times New Roman" w:eastAsia="仿宋_GB2312" w:cs="Times New Roman"/>
          <w:sz w:val="32"/>
          <w:szCs w:val="32"/>
        </w:rPr>
        <w:t>万亩以上。</w:t>
      </w:r>
    </w:p>
    <w:p w14:paraId="5608FDD3">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做强农产品加工基地。</w:t>
      </w:r>
      <w:r>
        <w:rPr>
          <w:rFonts w:ascii="Times New Roman" w:hAnsi="Times New Roman" w:eastAsia="仿宋_GB2312" w:cs="Times New Roman"/>
          <w:sz w:val="32"/>
          <w:szCs w:val="32"/>
        </w:rPr>
        <w:t>大力推进农产品产地初加工，加强农产品加工产业园区建设，建立完善农产品加工技术研发体系。支持农产品精深加工，加快农产品深加工企业的整合、引进，培育农产品加工领军企业。到2025年，全市农产品加工转化率达到70%以上，销售收入突破85亿元，培育引进年销售收入亿元以上重点骨干企业10家以上。</w:t>
      </w:r>
    </w:p>
    <w:p w14:paraId="3D0EAC5E">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做强农产品物流和储运基地。</w:t>
      </w:r>
      <w:r>
        <w:rPr>
          <w:rFonts w:ascii="Times New Roman" w:hAnsi="Times New Roman" w:eastAsia="仿宋_GB2312" w:cs="Times New Roman"/>
          <w:sz w:val="32"/>
          <w:szCs w:val="32"/>
        </w:rPr>
        <w:t>以创建省级现代农业产业园为引领，努力打造永济贮藏保鲜设施先进、物流体系发达完善的农产品物流集散中心和储运基地。到2025年，全市新建20座产地恒温冷库或气调库，果品产地恒温保鲜储存能力达80万吨，完成10个县级农产品综合批发市场、乡村产地市场、田头市场的升级改造。</w:t>
      </w:r>
    </w:p>
    <w:p w14:paraId="5FBCF957">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做强休闲观光农业基地。</w:t>
      </w:r>
      <w:r>
        <w:rPr>
          <w:rFonts w:ascii="Times New Roman" w:hAnsi="Times New Roman" w:eastAsia="仿宋_GB2312" w:cs="Times New Roman"/>
          <w:sz w:val="32"/>
          <w:szCs w:val="32"/>
        </w:rPr>
        <w:t>依托我市丰富的旅游资源和完善的现代农业基础，立足美丽宜居示范村、田园综合体、农家乐、休闲观光农业园区等建设主体，整合资源，深入推进农旅融合发展，加快培育休闲农业、观赏农业、创意农业、体验农业、养生农业等新型业态，促进农业增效和旅游产业升级，形成“以农促旅、以旅强农、产业互动、优势互补”农旅发展大趋势。到2025年，全市新增休闲观光农业园区5个，开发农旅融合深度游线路</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条。</w:t>
      </w:r>
    </w:p>
    <w:p w14:paraId="0BAF2638">
      <w:pPr>
        <w:spacing w:beforeLines="50" w:afterLines="50"/>
        <w:jc w:val="center"/>
        <w:outlineLvl w:val="1"/>
        <w:rPr>
          <w:rFonts w:ascii="Times New Roman" w:hAnsi="Times New Roman" w:eastAsia="楷体_GB2312" w:cs="Times New Roman"/>
          <w:kern w:val="0"/>
          <w:sz w:val="32"/>
          <w:szCs w:val="32"/>
          <w:lang w:bidi="en-US"/>
        </w:rPr>
      </w:pPr>
      <w:bookmarkStart w:id="64" w:name="_Toc68253243"/>
      <w:r>
        <w:rPr>
          <w:rFonts w:ascii="Times New Roman" w:hAnsi="Times New Roman" w:eastAsia="楷体_GB2312" w:cs="Times New Roman"/>
          <w:kern w:val="0"/>
          <w:sz w:val="32"/>
          <w:szCs w:val="32"/>
          <w:lang w:bidi="en-US"/>
        </w:rPr>
        <w:t>第二节  打造</w:t>
      </w:r>
      <w:r>
        <w:rPr>
          <w:rFonts w:hint="eastAsia" w:ascii="Times New Roman" w:hAnsi="Times New Roman" w:eastAsia="楷体_GB2312" w:cs="Times New Roman"/>
          <w:kern w:val="0"/>
          <w:sz w:val="32"/>
          <w:szCs w:val="32"/>
          <w:lang w:bidi="en-US"/>
        </w:rPr>
        <w:t>四</w:t>
      </w:r>
      <w:r>
        <w:rPr>
          <w:rFonts w:ascii="Times New Roman" w:hAnsi="Times New Roman" w:eastAsia="楷体_GB2312" w:cs="Times New Roman"/>
          <w:kern w:val="0"/>
          <w:sz w:val="32"/>
          <w:szCs w:val="32"/>
          <w:lang w:bidi="en-US"/>
        </w:rPr>
        <w:t>大特色精深加工集群</w:t>
      </w:r>
      <w:bookmarkEnd w:id="64"/>
    </w:p>
    <w:p w14:paraId="21642655">
      <w:pPr>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以创建全国农村一二三产业融合发展先导区为牵引，以特色化、精细化、功能化为方向，以市场需求为导向，扶持现有企业加快技术改造、升级换代、强强联合，不断开发适合现代消费趋势和饮食文化的新产品，打造特色品牌，扩大市场占有率。</w:t>
      </w:r>
    </w:p>
    <w:p w14:paraId="39DFB006">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打造优质果菜加工产业集群。</w:t>
      </w:r>
      <w:r>
        <w:rPr>
          <w:rFonts w:ascii="Times New Roman" w:hAnsi="Times New Roman" w:eastAsia="仿宋_GB2312" w:cs="Times New Roman"/>
          <w:sz w:val="32"/>
          <w:szCs w:val="32"/>
        </w:rPr>
        <w:t>以葡萄、冬枣、苹果、核桃等干鲜果资源优势为依托，扩大加工产能，带动产品增值。重点提高水果采后清洗、分级、预冷、杀菌、打蜡、包装等商品化处理程度和冷藏运输比例，积极发展果菜加工和精深加工产品。以山西（运城）国际果品交易博览会为平台，把永济打造成全国知名葡萄、冬枣、芦笋等菜果加工生产基地，推进果品转型升级，提升永济果品的国内外市场竞争力。重点支持安德利果汁、国强食品、华盛食品等农业企业，以企业化形式加快葡萄、冬枣储藏保鲜库和物流交易市场建设。到2025年，年加工各类果菜100万吨，恒温保鲜果库达到50座，总贮量达到20万吨。</w:t>
      </w:r>
    </w:p>
    <w:p w14:paraId="1B79950A">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打造面粉食品加工产业集群。</w:t>
      </w:r>
      <w:r>
        <w:rPr>
          <w:rFonts w:ascii="Times New Roman" w:hAnsi="Times New Roman" w:eastAsia="仿宋_GB2312" w:cs="Times New Roman"/>
          <w:sz w:val="32"/>
          <w:szCs w:val="32"/>
        </w:rPr>
        <w:t>利用优质小麦生产优势，建立完善技术标准，大力发展挂面、馒头、饼子、麻花、糕点等具有永济特色的面粉加工产业，进一步开发特色面食新产品。重点发展以绿色品牌为特点的精制粉，采用分层碾磨制粉技术对小麦各营养部分进行分离加工，实现营养型谷物营养资源的充分利用，实现高附加值加工，为永济在外从事餐饮饭店提供优质的面粉。鼓励主食糕点</w:t>
      </w:r>
      <w:r>
        <w:rPr>
          <w:rFonts w:ascii="Times New Roman" w:hAnsi="Times New Roman" w:eastAsia="仿宋_GB2312" w:cs="Times New Roman"/>
          <w:sz w:val="32"/>
          <w:szCs w:val="32"/>
          <w:lang w:val="zh-CN" w:bidi="zh-CN"/>
        </w:rPr>
        <w:t>“老</w:t>
      </w:r>
      <w:r>
        <w:rPr>
          <w:rFonts w:ascii="Times New Roman" w:hAnsi="Times New Roman" w:eastAsia="仿宋_GB2312" w:cs="Times New Roman"/>
          <w:sz w:val="32"/>
          <w:szCs w:val="32"/>
        </w:rPr>
        <w:t>字号”企业，挖掘传统老工艺，开发新工艺，打造具有鲜明地域特色的主食糕点和面食文化。重点扶持老冯家、蒲雪、皇龙、鑫麦康、裴牌、雪峰面粉等加工企业，打造具有永济特色的个性化、多样化、功能化面粉面食。到</w:t>
      </w:r>
      <w:r>
        <w:rPr>
          <w:rFonts w:ascii="Times New Roman" w:hAnsi="Times New Roman" w:eastAsia="仿宋_GB2312" w:cs="Times New Roman"/>
          <w:sz w:val="32"/>
          <w:szCs w:val="32"/>
          <w:lang w:bidi="zh-CN"/>
        </w:rPr>
        <w:t>2025年，</w:t>
      </w:r>
      <w:r>
        <w:rPr>
          <w:rFonts w:ascii="Times New Roman" w:hAnsi="Times New Roman" w:eastAsia="仿宋_GB2312" w:cs="Times New Roman"/>
          <w:sz w:val="32"/>
          <w:szCs w:val="32"/>
        </w:rPr>
        <w:t>全市粮食加工转化率达到85%。</w:t>
      </w:r>
    </w:p>
    <w:p w14:paraId="5DB05C13">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打造肉制品深加工产业集群。</w:t>
      </w:r>
      <w:r>
        <w:rPr>
          <w:rFonts w:ascii="Times New Roman" w:hAnsi="Times New Roman" w:eastAsia="仿宋_GB2312" w:cs="Times New Roman"/>
          <w:sz w:val="32"/>
          <w:szCs w:val="32"/>
        </w:rPr>
        <w:t>鼓励牧原、长荣集团两大养猪骨干企业投资建设屠宰、加工项目，逐步向深加工企业转型发展，支持商业总公司年屠宰生猪50万头和冷链物流项目建设，培育和发展分割肉、熟肉、膳食产品、快餐食品、方便休闲食品等深加工企业。推进传统畜禽熟食工业化生产步伐，依托大象集团，加快传统畜禽熟食的发展，开发具有浓郁地方特色的膳食产品，加强产业链上下游合作，提高畜牧业发展水平。重点支持永济牧原、长荣农科、超人奶业、联农猪业、东升养猪等畜禽养殖龙头企业，提升技术、扩大规模。到2025年</w:t>
      </w:r>
      <w:r>
        <w:rPr>
          <w:rFonts w:ascii="Times New Roman" w:hAnsi="Times New Roman" w:eastAsia="仿宋_GB2312" w:cs="Times New Roman"/>
          <w:sz w:val="32"/>
          <w:szCs w:val="32"/>
          <w:lang w:val="zh-CN" w:bidi="zh-CN"/>
        </w:rPr>
        <w:t>，</w:t>
      </w:r>
      <w:r>
        <w:rPr>
          <w:rFonts w:ascii="Times New Roman" w:hAnsi="Times New Roman" w:eastAsia="仿宋_GB2312" w:cs="Times New Roman"/>
          <w:sz w:val="32"/>
          <w:szCs w:val="32"/>
        </w:rPr>
        <w:t>肉制品深加工龙头企业达到</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家以上。</w:t>
      </w:r>
    </w:p>
    <w:p w14:paraId="0E0F6F93">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打造饮品酿品产业集群。</w:t>
      </w:r>
      <w:r>
        <w:rPr>
          <w:rFonts w:ascii="Times New Roman" w:hAnsi="Times New Roman" w:eastAsia="仿宋_GB2312" w:cs="Times New Roman"/>
          <w:sz w:val="32"/>
          <w:szCs w:val="32"/>
        </w:rPr>
        <w:t>依托我市丰富的粮食、水果资源优势，加强产品研发和市场推广，大力发展果汁、饮品、苹果醋、桑落酒、芦笋保健酒等特色饮品。挖掘悠久的酿酒酿醋文化传统和独特的生产工艺，加大品牌提升、功效挖掘、市场开发力度，支持萃丰鹿业、张营醋业、安德利果汁、桑落酒业、汇蒲醋业等骨干企业提品质、上规模，做强我市酿造业。</w:t>
      </w:r>
    </w:p>
    <w:p w14:paraId="736219A8">
      <w:pPr>
        <w:spacing w:beforeLines="50" w:afterLines="50"/>
        <w:jc w:val="center"/>
        <w:outlineLvl w:val="1"/>
        <w:rPr>
          <w:rFonts w:ascii="Times New Roman" w:hAnsi="Times New Roman" w:eastAsia="楷体_GB2312" w:cs="Times New Roman"/>
          <w:kern w:val="0"/>
          <w:sz w:val="32"/>
          <w:szCs w:val="32"/>
          <w:lang w:bidi="en-US"/>
        </w:rPr>
      </w:pPr>
      <w:bookmarkStart w:id="65" w:name="_Toc68253244"/>
      <w:r>
        <w:rPr>
          <w:rFonts w:ascii="Times New Roman" w:hAnsi="Times New Roman" w:eastAsia="楷体_GB2312" w:cs="Times New Roman"/>
          <w:kern w:val="0"/>
          <w:sz w:val="32"/>
          <w:szCs w:val="32"/>
          <w:lang w:bidi="en-US"/>
        </w:rPr>
        <w:t>第三节  提升农业发展质量和效益</w:t>
      </w:r>
      <w:bookmarkEnd w:id="65"/>
    </w:p>
    <w:p w14:paraId="0C5744B8">
      <w:pPr>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实施科技兴农和质量兴农战略，深入推进农业优质化、绿色化、品牌化发展，高质量打造省级现代农业产业园，全面提高农业综合生产能力和市场竞争力。</w:t>
      </w:r>
    </w:p>
    <w:p w14:paraId="5C2AA64C">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抓好高标准农田建设。</w:t>
      </w:r>
      <w:r>
        <w:rPr>
          <w:rFonts w:ascii="Times New Roman" w:hAnsi="Times New Roman" w:eastAsia="仿宋_GB2312" w:cs="Times New Roman"/>
          <w:sz w:val="32"/>
          <w:szCs w:val="32"/>
        </w:rPr>
        <w:t>把保障粮食安全作为农业现代化的首要任务，划定粮食生产功能区和重要农产品生产保护区。加强规划布局，统筹实施土地平整、小型水源、田间灌排、农田防护与生态环境、田间道路与土壤改良等工程，进一步推进高标准农田建设，“十四五”时期建设高标准农田32万亩，提升土壤蓄水蓄肥能力，提高耕地质量。健全农田管护机制，完善高标准农田田间设施，着力建设农田节水灌溉设施和配套工程，强化末级渠系和田间灌溉管路，打通农田灌溉“最后一公里”。</w:t>
      </w:r>
    </w:p>
    <w:p w14:paraId="767FC46E">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全面推进科技兴农、绿色兴农。</w:t>
      </w:r>
      <w:r>
        <w:rPr>
          <w:rFonts w:ascii="Times New Roman" w:hAnsi="Times New Roman" w:eastAsia="仿宋_GB2312" w:cs="Times New Roman"/>
          <w:sz w:val="32"/>
          <w:szCs w:val="32"/>
        </w:rPr>
        <w:t>全面推广适用我市的良种良法，推广渗水地膜穴播、果菜水肥一体化等集成技术，实现主要粮食作物主推技术到位率达到95%以上、良种在农业增产中的贡献率达到60%以上、商品化供种率达到85%以上，建设10个科技创新示范基地。积极开展</w:t>
      </w:r>
      <w:r>
        <w:rPr>
          <w:rFonts w:hint="eastAsia" w:ascii="Times New Roman" w:hAnsi="Times New Roman" w:eastAsia="仿宋_GB2312" w:cs="Times New Roman"/>
          <w:sz w:val="32"/>
          <w:szCs w:val="32"/>
        </w:rPr>
        <w:t>农机先进装备</w:t>
      </w:r>
      <w:r>
        <w:rPr>
          <w:rFonts w:ascii="Times New Roman" w:hAnsi="Times New Roman" w:eastAsia="仿宋_GB2312" w:cs="Times New Roman"/>
          <w:sz w:val="32"/>
          <w:szCs w:val="32"/>
        </w:rPr>
        <w:t>推广，创建</w:t>
      </w:r>
      <w:r>
        <w:rPr>
          <w:rFonts w:hint="eastAsia" w:ascii="Times New Roman" w:hAnsi="Times New Roman" w:eastAsia="仿宋_GB2312" w:cs="Times New Roman"/>
          <w:sz w:val="32"/>
          <w:szCs w:val="32"/>
        </w:rPr>
        <w:t>国家级</w:t>
      </w:r>
      <w:r>
        <w:rPr>
          <w:rFonts w:ascii="Times New Roman" w:hAnsi="Times New Roman" w:eastAsia="仿宋_GB2312" w:cs="Times New Roman"/>
          <w:sz w:val="32"/>
          <w:szCs w:val="32"/>
        </w:rPr>
        <w:t>农业机械化综合示范县，主要农作物耕种收机械化水平达到90%以上。加强农业技术推广、疫情疫病防治及农业信息化建设，加强重大病虫害防控，创建国家级全程病虫绿色防控示范区和高标准病虫害绿色防控示范区，病虫害绿色防控达到70%以上，确保粮食播种面积和产量持续稳定。大力推行农业绿色生产方式，推进精准施肥、科学用药、化肥农药负增长行动，开展农业废弃物资源化利用试点，广泛开展“粮-畜-沼”“畜-沼-菜”“畜-沼-果”生态农业循环体系建设，全市农作物秸秆综合利用率达到90%以上，农膜、地膜回收率达到80%以上，畜禽粪污综合利用率达到85%以上。</w:t>
      </w:r>
    </w:p>
    <w:p w14:paraId="37D155DE">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创建国家级农产品质量安全县（市）。</w:t>
      </w:r>
      <w:r>
        <w:rPr>
          <w:rFonts w:ascii="Times New Roman" w:hAnsi="Times New Roman" w:eastAsia="仿宋_GB2312" w:cs="Times New Roman"/>
          <w:sz w:val="32"/>
          <w:szCs w:val="32"/>
        </w:rPr>
        <w:t>巩固省级农产品质量安全县创建成果，加快“三品一标”认证步伐，全力打造“永济葡萄”“永济冬枣”“永济芦笋”“永济柿子”“永济大米”等特色品牌，</w:t>
      </w:r>
      <w:r>
        <w:rPr>
          <w:rStyle w:val="29"/>
          <w:rFonts w:ascii="Times New Roman" w:hAnsi="Times New Roman" w:eastAsia="仿宋_GB2312" w:cs="Times New Roman"/>
          <w:sz w:val="32"/>
          <w:szCs w:val="32"/>
        </w:rPr>
        <w:t>按照“区域公用品牌+企业产品品牌</w:t>
      </w:r>
      <w:r>
        <w:rPr>
          <w:rStyle w:val="29"/>
          <w:rFonts w:ascii="Times New Roman" w:hAnsi="Times New Roman" w:eastAsia="仿宋_GB2312" w:cs="Times New Roman"/>
          <w:sz w:val="32"/>
          <w:szCs w:val="32"/>
          <w:lang w:val="zh-CN"/>
        </w:rPr>
        <w:t>”的</w:t>
      </w:r>
      <w:r>
        <w:rPr>
          <w:rStyle w:val="29"/>
          <w:rFonts w:ascii="Times New Roman" w:hAnsi="Times New Roman" w:eastAsia="仿宋_GB2312" w:cs="Times New Roman"/>
          <w:sz w:val="32"/>
          <w:szCs w:val="32"/>
        </w:rPr>
        <w:t>母子品牌模式推进品牌建设，</w:t>
      </w:r>
      <w:r>
        <w:rPr>
          <w:rFonts w:ascii="Times New Roman" w:hAnsi="Times New Roman" w:eastAsia="仿宋_GB2312" w:cs="Times New Roman"/>
          <w:sz w:val="32"/>
          <w:szCs w:val="32"/>
        </w:rPr>
        <w:t>积极争创农产品地理标志商标、中国名牌农产品、中华老字号和中国驰名商标。大力发展有机、绿色、无公害特色产品，加快食用农产品合格证制度推广步伐，扩大农业标准化生产技术覆盖范围。到2025年，全面推动地方农业标准体系建设，完善质量安全追溯体系，注册地理标志证明商标和地理标志产品10个，申报15个部省级区域公用品牌，</w:t>
      </w:r>
      <w:r>
        <w:rPr>
          <w:rStyle w:val="29"/>
          <w:rFonts w:ascii="Times New Roman" w:hAnsi="Times New Roman" w:eastAsia="仿宋_GB2312" w:cs="Times New Roman"/>
          <w:sz w:val="32"/>
          <w:szCs w:val="32"/>
          <w:lang w:val="zh-CN"/>
        </w:rPr>
        <w:t>“三品</w:t>
      </w:r>
      <w:r>
        <w:rPr>
          <w:rStyle w:val="29"/>
          <w:rFonts w:ascii="Times New Roman" w:hAnsi="Times New Roman" w:eastAsia="仿宋_GB2312" w:cs="Times New Roman"/>
          <w:sz w:val="32"/>
          <w:szCs w:val="32"/>
        </w:rPr>
        <w:t>一标”产品认证数量突破60个。</w:t>
      </w:r>
    </w:p>
    <w:p w14:paraId="794A20C9">
      <w:pPr>
        <w:pStyle w:val="17"/>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加快推动现代农业产业园建设。</w:t>
      </w:r>
      <w:r>
        <w:rPr>
          <w:rFonts w:ascii="Times New Roman" w:hAnsi="Times New Roman" w:eastAsia="仿宋_GB2312"/>
          <w:sz w:val="32"/>
          <w:szCs w:val="32"/>
        </w:rPr>
        <w:t>将设施农业作为主攻方向，坚持推广先进技术、先进模式，突出抓好省级现代农业产业园卿头、开张核心园区建设，全面提升核心园区质量和标准。以中农乐、凡谷归真等现代农业园区为引领，强力推进世邦农业现代中药健康产业园、庄子雨露阳光城郊休闲农业等特色精品农业园区建设，每个镇街建设2个高标准示范园。力争到“十四五”末，创建国家级现代农业产业园1个、省级现代农业产业园2个、市县级现代农业产业园10个。加快沿黄农业产业园建设，打造渔旅融合区、芦笋康养基地、</w:t>
      </w:r>
      <w:r>
        <w:rPr>
          <w:rFonts w:hint="eastAsia" w:ascii="Times New Roman" w:hAnsi="Times New Roman" w:eastAsia="仿宋_GB2312"/>
          <w:sz w:val="32"/>
          <w:szCs w:val="32"/>
        </w:rPr>
        <w:t>三北防护林</w:t>
      </w:r>
      <w:r>
        <w:rPr>
          <w:rFonts w:ascii="Times New Roman" w:hAnsi="Times New Roman" w:eastAsia="仿宋_GB2312"/>
          <w:sz w:val="32"/>
          <w:szCs w:val="32"/>
        </w:rPr>
        <w:t>示范区、莲藕休闲观光园、水稻种植基地、小麦核心示范区、经济林核心示范区。</w:t>
      </w:r>
    </w:p>
    <w:p w14:paraId="5A811D28">
      <w:pPr>
        <w:pStyle w:val="17"/>
        <w:spacing w:afterLines="50"/>
        <w:ind w:firstLine="643" w:firstLineChars="200"/>
        <w:jc w:val="both"/>
        <w:rPr>
          <w:rFonts w:ascii="Times New Roman" w:hAnsi="Times New Roman"/>
        </w:rPr>
      </w:pPr>
      <w:r>
        <w:rPr>
          <w:rFonts w:hint="eastAsia" w:ascii="Times New Roman" w:hAnsi="Times New Roman" w:eastAsia="仿宋_GB2312"/>
          <w:b/>
          <w:bCs/>
          <w:sz w:val="32"/>
          <w:szCs w:val="32"/>
        </w:rPr>
        <w:t>叫响</w:t>
      </w:r>
      <w:r>
        <w:rPr>
          <w:rFonts w:ascii="Times New Roman" w:hAnsi="Times New Roman" w:eastAsia="仿宋_GB2312"/>
          <w:b/>
          <w:bCs/>
          <w:sz w:val="32"/>
          <w:szCs w:val="32"/>
        </w:rPr>
        <w:t>永济餐饮业品牌。</w:t>
      </w:r>
      <w:r>
        <w:rPr>
          <w:rFonts w:ascii="Times New Roman" w:hAnsi="Times New Roman" w:eastAsia="仿宋_GB2312"/>
          <w:sz w:val="32"/>
          <w:szCs w:val="32"/>
        </w:rPr>
        <w:t>以面食集团为龙头，建设特色餐饮研究中心、面食博物馆、创业孵化基地等，打造永济面食文化产业园。举办“中国●永济面食文化节”，申请“永济味道”地方公共品牌和国家级地理标志产品。充分发挥小吃餐饮行业协会和在外务工人员服务站作用，做优做强在外餐饮业，探索“集团+店面”模式，每年打造3家旗舰店、100家高标准示范店，推动在外餐饮品牌化、标准化、连锁化发展。延伸面粉加工、牛肉加工、调料加工产业链条，建立物料配送体系，将永济优质农产品统一配送给在外餐饮户，确保食材绿色、安全。</w:t>
      </w:r>
    </w:p>
    <w:tbl>
      <w:tblPr>
        <w:tblStyle w:val="19"/>
        <w:tblW w:w="87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0"/>
      </w:tblGrid>
      <w:tr w14:paraId="1DA77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700" w:type="dxa"/>
            <w:vAlign w:val="top"/>
          </w:tcPr>
          <w:p w14:paraId="680665DE">
            <w:pPr>
              <w:jc w:val="both"/>
              <w:rPr>
                <w:rFonts w:ascii="Times New Roman" w:hAnsi="Times New Roman" w:eastAsia="仿宋_GB2312" w:cs="Times New Roman"/>
                <w:sz w:val="24"/>
                <w:szCs w:val="24"/>
              </w:rPr>
            </w:pPr>
            <w:r>
              <w:rPr>
                <w:rFonts w:hint="eastAsia" w:ascii="黑体" w:hAnsi="黑体" w:eastAsia="黑体" w:cs="黑体"/>
                <w:sz w:val="28"/>
                <w:szCs w:val="28"/>
              </w:rPr>
              <w:t>专栏</w:t>
            </w:r>
            <w:r>
              <w:rPr>
                <w:rFonts w:ascii="黑体" w:hAnsi="黑体" w:eastAsia="黑体" w:cs="黑体"/>
                <w:sz w:val="28"/>
                <w:szCs w:val="28"/>
              </w:rPr>
              <w:t>6</w:t>
            </w:r>
            <w:r>
              <w:rPr>
                <w:rFonts w:hint="eastAsia" w:ascii="黑体" w:hAnsi="黑体" w:eastAsia="黑体" w:cs="黑体"/>
                <w:sz w:val="28"/>
                <w:szCs w:val="28"/>
              </w:rPr>
              <w:t>：“十四五”农业发展重点项目</w:t>
            </w:r>
          </w:p>
        </w:tc>
      </w:tr>
      <w:tr w14:paraId="1EE50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4" w:hRule="atLeast"/>
        </w:trPr>
        <w:tc>
          <w:tcPr>
            <w:tcW w:w="8700" w:type="dxa"/>
            <w:vAlign w:val="top"/>
          </w:tcPr>
          <w:p w14:paraId="3A304C71">
            <w:pPr>
              <w:widowControl w:val="0"/>
              <w:wordWrap/>
              <w:adjustRightInd w:val="0"/>
              <w:snapToGrid w:val="0"/>
              <w:spacing w:beforeLines="50" w:line="400" w:lineRule="exact"/>
              <w:ind w:left="0" w:leftChars="0" w:right="0" w:firstLine="413" w:firstLineChars="196"/>
              <w:jc w:val="both"/>
              <w:textAlignment w:val="auto"/>
              <w:outlineLvl w:val="9"/>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现代农业：</w:t>
            </w:r>
            <w:r>
              <w:rPr>
                <w:rFonts w:hint="eastAsia" w:ascii="方正小标宋简体" w:hAnsi="方正小标宋简体" w:eastAsia="方正小标宋简体" w:cs="方正小标宋简体"/>
                <w:szCs w:val="21"/>
              </w:rPr>
              <w:t>海大数字渔业产业链项目、“八大万亩基地”项目、小麦绿色高质高效创建项目，永济市有机旱作小麦生产基地项目，高标准农田建设项目、韩阳镇水稻基地建设项目、韩阳镇莲菜基地建设项目、蒲州镇小麦绿色高质高效示范片建设项目、永济牧原集团生猪养殖场建设项目、60万头猪屠宰深加工扩建及万吨国家肉类储备库项目、永济市超人奶业奶牛智能健康养殖项目、长荣农科新建2400头原种猪核心育种场建设项目、联农猪业80万头生猪养殖基地建设项目、大象集团畜禽养殖、屠宰级饲料加工项目、黄河生态产业种羊养殖项目、数字化水产品养殖产业示范区、永济市山西志宇肉牛养殖有限公司2021年设施畜牧业建设项目、1200亩大棚水产养殖基地、茂隆公司农业项目、雨润集团养猪场项目等。</w:t>
            </w:r>
          </w:p>
          <w:p w14:paraId="21FE5D58">
            <w:pPr>
              <w:widowControl w:val="0"/>
              <w:wordWrap/>
              <w:adjustRightInd w:val="0"/>
              <w:snapToGrid w:val="0"/>
              <w:spacing w:afterLines="50" w:line="400" w:lineRule="exact"/>
              <w:ind w:left="0" w:leftChars="0" w:right="0" w:firstLine="422" w:firstLineChars="200"/>
              <w:jc w:val="both"/>
              <w:textAlignment w:val="auto"/>
              <w:outlineLvl w:val="9"/>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农业基础设施：</w:t>
            </w:r>
            <w:r>
              <w:rPr>
                <w:rFonts w:hint="eastAsia" w:ascii="方正小标宋简体" w:hAnsi="方正小标宋简体" w:eastAsia="方正小标宋简体" w:cs="方正小标宋简体"/>
                <w:szCs w:val="21"/>
              </w:rPr>
              <w:t>省级农业产业园建设项目、国家级冷链物流仓储基地、农网升级改造项目、蒲州镇农贸市场建设项目、洗马村果蔬批发市场及果蔬产业园建设项目、永旺集市智慧农贸市场建设项目、永济市韩阳镇全域土地综合整治项目、韩阳等3镇高标准农田建设项目、开张等两镇高标准农田建设项目、虞乡等3镇高标准农田建设项目、栲栳等3镇高标准农田建设项目、蒲州等4镇高标准农田建设项目、卿头镇曾家营等5村高标准农田建设项目、脱水蔬菜产业园项目、田埂谣农科教育园项目、永济市河东葫芦园农文旅融合研学提档升级配套建设项目、国家级现代农业产业示范园等。</w:t>
            </w:r>
          </w:p>
        </w:tc>
      </w:tr>
    </w:tbl>
    <w:p w14:paraId="739DD083">
      <w:pPr>
        <w:spacing w:beforeLines="50" w:afterLines="50"/>
        <w:jc w:val="center"/>
        <w:outlineLvl w:val="1"/>
        <w:rPr>
          <w:rFonts w:ascii="Times New Roman" w:hAnsi="Times New Roman" w:eastAsia="楷体_GB2312" w:cs="Times New Roman"/>
          <w:kern w:val="0"/>
          <w:sz w:val="32"/>
          <w:szCs w:val="32"/>
          <w:lang w:bidi="en-US"/>
        </w:rPr>
      </w:pPr>
      <w:bookmarkStart w:id="66" w:name="_Toc68253245"/>
      <w:r>
        <w:rPr>
          <w:rFonts w:ascii="Times New Roman" w:hAnsi="Times New Roman" w:eastAsia="楷体_GB2312" w:cs="Times New Roman"/>
          <w:kern w:val="0"/>
          <w:sz w:val="32"/>
          <w:szCs w:val="32"/>
          <w:lang w:bidi="en-US"/>
        </w:rPr>
        <w:t>第四节  深入实施乡村建设行动</w:t>
      </w:r>
      <w:bookmarkEnd w:id="66"/>
    </w:p>
    <w:p w14:paraId="169E0A4A">
      <w:pPr>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以推进农村人居环境整治提升五年行动为抓手，以打造沿黄美丽乡村示范带为引领，围绕“三型四美”标准，</w:t>
      </w:r>
      <w:r>
        <w:rPr>
          <w:rStyle w:val="29"/>
          <w:rFonts w:ascii="Times New Roman" w:hAnsi="Times New Roman" w:eastAsia="仿宋_GB2312" w:cs="Times New Roman"/>
          <w:color w:val="000000"/>
          <w:sz w:val="32"/>
          <w:szCs w:val="32"/>
        </w:rPr>
        <w:t>持续实施农村人居环境整治行动，全面提升农村人居环境质量，</w:t>
      </w:r>
      <w:r>
        <w:rPr>
          <w:rFonts w:ascii="Times New Roman" w:hAnsi="Times New Roman" w:eastAsia="仿宋_GB2312" w:cs="Times New Roman"/>
          <w:sz w:val="32"/>
          <w:szCs w:val="32"/>
        </w:rPr>
        <w:t>持续建设产业兴旺、生态宜居、乡风文明、治理有效、生活富裕的美好家园。</w:t>
      </w:r>
    </w:p>
    <w:p w14:paraId="4C2D81D7">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color w:val="000000"/>
          <w:sz w:val="32"/>
          <w:szCs w:val="32"/>
        </w:rPr>
        <w:t>加快补齐农村环境治理短板</w:t>
      </w:r>
      <w:r>
        <w:rPr>
          <w:rFonts w:ascii="Times New Roman" w:hAnsi="Times New Roman" w:eastAsia="仿宋_GB2312" w:cs="Times New Roman"/>
          <w:b/>
          <w:bCs/>
          <w:sz w:val="32"/>
          <w:szCs w:val="32"/>
        </w:rPr>
        <w:t>。</w:t>
      </w:r>
      <w:r>
        <w:rPr>
          <w:rFonts w:ascii="Times New Roman" w:hAnsi="Times New Roman" w:eastAsia="仿宋_GB2312" w:cs="Times New Roman"/>
          <w:sz w:val="32"/>
          <w:szCs w:val="32"/>
        </w:rPr>
        <w:t>以生态宜居为目标，以农村垃圾、污水治理和村容村貌提升为重点，坚持“清、拆、改、种、建”五治并举，持续深化农村人居环境整治。实施农村生活垃圾农户分类、回收利用、设施提升、制度建设、长效管理五大行动，梯次推进农村污水治理，推动镇、村污水管网向更多村庄延伸覆盖，因地制宜制定农村改厕实施方案，合理选择改厕模式，加快推进户用卫生厕所建设和改造，同步实施厕所粪污治理。到2025年，所有建制镇实现生活污水集中处理，50%以上行政村实现生活污水集中处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95%以上的行政村实现农村生活垃圾分类及无害化处理。</w:t>
      </w:r>
    </w:p>
    <w:p w14:paraId="0ED62654">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打造一批“三型”美丽乡村。</w:t>
      </w:r>
      <w:r>
        <w:rPr>
          <w:rFonts w:ascii="Times New Roman" w:hAnsi="Times New Roman" w:eastAsia="仿宋_GB2312" w:cs="Times New Roman"/>
          <w:sz w:val="32"/>
          <w:szCs w:val="32"/>
        </w:rPr>
        <w:t>围绕美丽乡村发展布局，加快编制“多规合一”的村庄规划，综合考虑土地利用、产业发展、生态保护和历史文化传承等因素，科学布局生产生活生态空间。</w:t>
      </w:r>
      <w:r>
        <w:rPr>
          <w:rFonts w:hint="eastAsia" w:ascii="Times New Roman" w:hAnsi="Times New Roman" w:eastAsia="仿宋_GB2312" w:cs="Times New Roman"/>
          <w:sz w:val="32"/>
          <w:szCs w:val="32"/>
        </w:rPr>
        <w:t>围绕“城郊集约型、休闲旅游型、高效农业型”三种类型，按照“科学规划布局美、产业兴旺生活美、村容整洁环境美、乡风文明身心美”四美标准，</w:t>
      </w:r>
      <w:r>
        <w:rPr>
          <w:rFonts w:ascii="Times New Roman" w:hAnsi="Times New Roman" w:eastAsia="仿宋_GB2312" w:cs="Times New Roman"/>
          <w:sz w:val="32"/>
          <w:szCs w:val="32"/>
        </w:rPr>
        <w:t>高标准打造美丽乡村建设示范循环圈，整体提升全市美丽乡村建设的质量和水平。</w:t>
      </w:r>
      <w:r>
        <w:rPr>
          <w:rFonts w:hint="eastAsia" w:ascii="Times New Roman" w:hAnsi="Times New Roman" w:eastAsia="仿宋_GB2312" w:cs="Times New Roman"/>
          <w:sz w:val="32"/>
          <w:szCs w:val="32"/>
        </w:rPr>
        <w:t>到2025年，全市形成“三型四美”美丽乡村发展格局，50%以上的村实现生活污水集中处理，95%以上的村实现农村生活垃圾分类及无害化处理。</w:t>
      </w:r>
    </w:p>
    <w:p w14:paraId="2D645201">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提升农村公共服务设施水平。</w:t>
      </w:r>
      <w:r>
        <w:rPr>
          <w:rFonts w:ascii="Times New Roman" w:hAnsi="Times New Roman" w:eastAsia="仿宋_GB2312" w:cs="Times New Roman"/>
          <w:sz w:val="32"/>
          <w:szCs w:val="32"/>
        </w:rPr>
        <w:t>完善农村水、</w:t>
      </w:r>
      <w:r>
        <w:rPr>
          <w:rFonts w:hint="eastAsia" w:ascii="Times New Roman" w:hAnsi="Times New Roman" w:eastAsia="仿宋_GB2312" w:cs="Times New Roman"/>
          <w:sz w:val="32"/>
          <w:szCs w:val="32"/>
        </w:rPr>
        <w:t>电、</w:t>
      </w:r>
      <w:r>
        <w:rPr>
          <w:rFonts w:ascii="Times New Roman" w:hAnsi="Times New Roman" w:eastAsia="仿宋_GB2312" w:cs="Times New Roman"/>
          <w:sz w:val="32"/>
          <w:szCs w:val="32"/>
        </w:rPr>
        <w:t>路、气</w:t>
      </w:r>
      <w:r>
        <w:rPr>
          <w:rFonts w:hint="eastAsia" w:ascii="Times New Roman" w:hAnsi="Times New Roman" w:eastAsia="仿宋_GB2312" w:cs="Times New Roman"/>
          <w:sz w:val="32"/>
          <w:szCs w:val="32"/>
        </w:rPr>
        <w:t>、综合管廊</w:t>
      </w:r>
      <w:r>
        <w:rPr>
          <w:rFonts w:ascii="Times New Roman" w:hAnsi="Times New Roman" w:eastAsia="仿宋_GB2312" w:cs="Times New Roman"/>
          <w:sz w:val="32"/>
          <w:szCs w:val="32"/>
        </w:rPr>
        <w:t>等基础设施建设，</w:t>
      </w:r>
      <w:r>
        <w:rPr>
          <w:rFonts w:hint="eastAsia" w:ascii="Times New Roman" w:hAnsi="Times New Roman" w:eastAsia="仿宋_GB2312" w:cs="Times New Roman"/>
          <w:sz w:val="32"/>
          <w:szCs w:val="32"/>
        </w:rPr>
        <w:t>统筹强电、弱电、水等管廊建设，</w:t>
      </w:r>
      <w:r>
        <w:rPr>
          <w:rFonts w:ascii="Times New Roman" w:hAnsi="Times New Roman" w:eastAsia="仿宋_GB2312" w:cs="Times New Roman"/>
          <w:sz w:val="32"/>
          <w:szCs w:val="32"/>
        </w:rPr>
        <w:t>实施沿黄一号旅游公路五大系统建设、王开线公路改造、大中型水库移民扶持等一批重点基础设施建设项目，不断改善农村生产生活条件和公共服务设施。继续实施农村电网改造工程，重点增加10千伏线路供电能力和户均配变容量，</w:t>
      </w:r>
      <w:r>
        <w:rPr>
          <w:rFonts w:hint="eastAsia" w:ascii="Times New Roman" w:hAnsi="Times New Roman" w:eastAsia="仿宋_GB2312" w:cs="Times New Roman"/>
          <w:sz w:val="32"/>
          <w:szCs w:val="32"/>
        </w:rPr>
        <w:t>逐步提高农村电网互联率，不断提高供电可靠性。</w:t>
      </w:r>
      <w:r>
        <w:rPr>
          <w:rFonts w:ascii="Times New Roman" w:hAnsi="Times New Roman" w:eastAsia="仿宋_GB2312" w:cs="Times New Roman"/>
          <w:sz w:val="32"/>
          <w:szCs w:val="32"/>
        </w:rPr>
        <w:t>加快农村网络基础设施建设，推进光纤到村入户，不断提升网络服务能力。科学统筹无线、有线、卫星等接入方式，推进数字广播电视入户接收，实现数字广播电视户户通。加快批发市场、集贸市场、农村服务点物流网络节点建设。</w:t>
      </w:r>
    </w:p>
    <w:p w14:paraId="18D17E27">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建立健全乡村治理体系。</w:t>
      </w:r>
      <w:r>
        <w:rPr>
          <w:rFonts w:ascii="Times New Roman" w:hAnsi="Times New Roman" w:eastAsia="仿宋_GB2312" w:cs="Times New Roman"/>
          <w:sz w:val="32"/>
          <w:szCs w:val="32"/>
        </w:rPr>
        <w:t>有序推进农村社区建设，完善农村社区管理机制。规范村级组织工作事务，增强村民自治组织能力，丰富议事协商形式。全面落实村支“两委”联席会议、党员和村民代表联席会议票决制，推行村级事务阳光工程，推动乡村治理重心下移，初步形成教化与引导、激励与约束、自律与他律相结合的管理体系。推进农村社区综合服务设施建设，为农民提供“一门式办理”、“一站式服务”。推进自治、法治、德治“三治融合”，扎实开展道德模范、五好家庭、星级文明户等创建活动。健全完善村级治理监督约束机制，强化监督委员会建设，推进村级民主监督管理。</w:t>
      </w:r>
    </w:p>
    <w:p w14:paraId="41707810">
      <w:pPr>
        <w:spacing w:beforeLines="50" w:afterLines="50"/>
        <w:jc w:val="center"/>
        <w:outlineLvl w:val="1"/>
        <w:rPr>
          <w:rFonts w:ascii="Times New Roman" w:hAnsi="Times New Roman" w:eastAsia="楷体_GB2312" w:cs="Times New Roman"/>
          <w:kern w:val="0"/>
          <w:sz w:val="32"/>
          <w:szCs w:val="32"/>
          <w:lang w:bidi="en-US"/>
        </w:rPr>
      </w:pPr>
      <w:bookmarkStart w:id="67" w:name="_Toc68253246"/>
      <w:r>
        <w:rPr>
          <w:rFonts w:ascii="Times New Roman" w:hAnsi="Times New Roman" w:eastAsia="楷体_GB2312" w:cs="Times New Roman"/>
          <w:kern w:val="0"/>
          <w:sz w:val="32"/>
          <w:szCs w:val="32"/>
          <w:lang w:bidi="en-US"/>
        </w:rPr>
        <w:t>第五节  全面深化农业农村改革</w:t>
      </w:r>
      <w:bookmarkEnd w:id="67"/>
    </w:p>
    <w:p w14:paraId="7944A36A">
      <w:pPr>
        <w:ind w:firstLine="640" w:firstLineChars="200"/>
        <w:jc w:val="both"/>
        <w:rPr>
          <w:rStyle w:val="29"/>
          <w:rFonts w:ascii="Times New Roman" w:hAnsi="Times New Roman" w:eastAsia="仿宋_GB2312" w:cs="Times New Roman"/>
          <w:sz w:val="32"/>
          <w:szCs w:val="32"/>
        </w:rPr>
      </w:pPr>
      <w:r>
        <w:rPr>
          <w:rStyle w:val="29"/>
          <w:rFonts w:ascii="Times New Roman" w:hAnsi="Times New Roman" w:eastAsia="仿宋_GB2312" w:cs="Times New Roman"/>
          <w:sz w:val="32"/>
          <w:szCs w:val="32"/>
        </w:rPr>
        <w:t>持续深入推进农村改革，巩固扩大集体产权制度改革成果，重点推进“三块地改革”，健全完善农村产权交易体系，通过改革释放红利，为乡村全面振兴破解体制机制瓶颈。</w:t>
      </w:r>
    </w:p>
    <w:p w14:paraId="032AE908">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深化农村基本经营制度改革。</w:t>
      </w:r>
      <w:r>
        <w:rPr>
          <w:rFonts w:ascii="Times New Roman" w:hAnsi="Times New Roman" w:eastAsia="仿宋_GB2312" w:cs="Times New Roman"/>
          <w:sz w:val="32"/>
          <w:szCs w:val="32"/>
        </w:rPr>
        <w:t>开展农民专业合作社质量提升推进试点，清理整顿空壳社，完善内部运行机制，推进四级示范社创建活动，每年培育10个示范社，以扩大规模、提升质量、规范管理为重点，2025年规范率达到100%。完善家庭农场登记和名录管理，加强示范农场建设，每年培育示范农场5家，不断提升家庭农场经营管理水平。培育一批规模适度、生产集聚、管理先进、效益明显的家庭农场，2025年达到500个。</w:t>
      </w:r>
      <w:r>
        <w:rPr>
          <w:rFonts w:ascii="Times New Roman" w:hAnsi="Times New Roman" w:eastAsia="仿宋_GB2312" w:cs="Times New Roman"/>
          <w:kern w:val="0"/>
          <w:sz w:val="32"/>
          <w:szCs w:val="32"/>
        </w:rPr>
        <w:t>探索发展农业产业化联合体，以龙头企业为引领、农民合作社为纽带、家庭农场为基础，通过“公司+合作社+家庭农场”等组织模式，以分工协作为前提、以规模经营为依托、以利益联结为纽带，实现一体化农业经营。</w:t>
      </w:r>
      <w:r>
        <w:rPr>
          <w:rFonts w:ascii="Times New Roman" w:hAnsi="Times New Roman" w:eastAsia="仿宋_GB2312" w:cs="Times New Roman"/>
          <w:sz w:val="32"/>
          <w:szCs w:val="32"/>
        </w:rPr>
        <w:t>借鉴农业生产托管试点经验，进一步完善托管程序，扩大</w:t>
      </w:r>
      <w:r>
        <w:rPr>
          <w:rFonts w:hint="eastAsia" w:ascii="Times New Roman" w:hAnsi="Times New Roman" w:eastAsia="仿宋_GB2312" w:cs="Times New Roman"/>
          <w:sz w:val="32"/>
          <w:szCs w:val="32"/>
        </w:rPr>
        <w:t>小麦、玉米等大宗农产品</w:t>
      </w:r>
      <w:r>
        <w:rPr>
          <w:rFonts w:ascii="Times New Roman" w:hAnsi="Times New Roman" w:eastAsia="仿宋_GB2312" w:cs="Times New Roman"/>
          <w:sz w:val="32"/>
          <w:szCs w:val="32"/>
        </w:rPr>
        <w:t>托管规模和范围，针对性开展托管试点，</w:t>
      </w:r>
      <w:r>
        <w:rPr>
          <w:rFonts w:hint="eastAsia" w:ascii="Times New Roman" w:hAnsi="Times New Roman" w:eastAsia="仿宋_GB2312" w:cs="Times New Roman"/>
          <w:sz w:val="32"/>
          <w:szCs w:val="32"/>
        </w:rPr>
        <w:t>提高小农户进入市场的组织化程度，推进托管服务带动规模经营，促进小农户与现代农业发展有机衔接。</w:t>
      </w:r>
    </w:p>
    <w:p w14:paraId="0D779473">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深化农村集体产权制度改革。</w:t>
      </w:r>
      <w:r>
        <w:rPr>
          <w:rFonts w:ascii="Times New Roman" w:hAnsi="Times New Roman" w:eastAsia="仿宋_GB2312" w:cs="Times New Roman"/>
          <w:sz w:val="32"/>
          <w:szCs w:val="32"/>
        </w:rPr>
        <w:t>引导发展多种形式集体经济、合作经济，加快推进经营性资产股份合作制改革，探索研究股权抵押、担保、继承和有偿退出等机制，促进股权流转，激活股权权能。完善市镇两级农村产权流转交易市场，健全规范的市场管理制度和交易规则，建立归属清晰、权责明确、保护严格、流转顺畅的现代农村产权制度。培育壮大村级集体经济，形成稳定的集体经济收入来源，力争到2025年，年收入20万元以上的村达到60%以上。</w:t>
      </w:r>
    </w:p>
    <w:p w14:paraId="1E4A430A">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深化农村土地制度改革。</w:t>
      </w:r>
      <w:r>
        <w:rPr>
          <w:rFonts w:hint="eastAsia" w:ascii="Times New Roman" w:hAnsi="Times New Roman" w:eastAsia="仿宋_GB2312" w:cs="Times New Roman"/>
          <w:sz w:val="32"/>
          <w:szCs w:val="32"/>
        </w:rPr>
        <w:t>加强改革系统集成，系统开展农村全域土地综合整治、城乡建设用地增减挂钩节余指标有偿使用、集体经营性建设用地入市、盘活闲置宅基地等全链条改革。</w:t>
      </w:r>
      <w:r>
        <w:rPr>
          <w:rFonts w:ascii="Times New Roman" w:hAnsi="Times New Roman" w:eastAsia="仿宋_GB2312" w:cs="Times New Roman"/>
          <w:sz w:val="32"/>
          <w:szCs w:val="32"/>
        </w:rPr>
        <w:t>严格落实二轮土地承包到期后再延长的配套政策和农村承包地“三权分置”制度，加强农村土地承包信息管理系统平台建设，推进土地承包管理信息化、系统化、规范化。建立健全土地承包权依法自愿有偿流转机制，加强土地流转管理，确保农村土地依法有序流转。加强农村宅基地改革与管理，建立健全宅基地分配、使用、流转、违法用地查处等管理制度，鼓励村集体和农民盘活利用闲置宅基地和闲置住宅，不断增加农民财产性收入。</w:t>
      </w:r>
    </w:p>
    <w:p w14:paraId="6E369BD6">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深化农技农经农机“三支队伍”改革。</w:t>
      </w:r>
      <w:r>
        <w:rPr>
          <w:rFonts w:hint="eastAsia" w:ascii="Times New Roman" w:hAnsi="Times New Roman" w:eastAsia="仿宋_GB2312" w:cs="Times New Roman"/>
          <w:sz w:val="32"/>
          <w:szCs w:val="32"/>
          <w:lang w:eastAsia="zh-CN"/>
        </w:rPr>
        <w:t>健全</w:t>
      </w:r>
      <w:r>
        <w:rPr>
          <w:rFonts w:ascii="Times New Roman" w:hAnsi="Times New Roman" w:eastAsia="仿宋_GB2312" w:cs="Times New Roman"/>
          <w:sz w:val="32"/>
          <w:szCs w:val="32"/>
        </w:rPr>
        <w:t>市场决定农技、农经、农机服务资源配置的体制机制，加快培育参与市场竞争的服务供给主体。鼓励各类社会力量广泛参与基层农技、农经、农机服务，建立开放竞争、多元互补、服务高效的农技推广、农机服务和农村经营管理体系。深化农业系列职称制度改革，全面开展农技推广人员、农经管理人员、农机推广人员在岗开展增值服务，允许合理取酬。构建三支队伍增值服务机制，加强人员培训，提升整体素质和服务效能。加强农技推广人才队伍建设，探索公益性和经营性农技推广融合发展机制，全面实施农技推广服务特聘计划。</w:t>
      </w:r>
    </w:p>
    <w:p w14:paraId="7E161248">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健全农业社会化服务体系。</w:t>
      </w:r>
      <w:r>
        <w:rPr>
          <w:rFonts w:ascii="Times New Roman" w:hAnsi="Times New Roman" w:eastAsia="仿宋_GB2312" w:cs="Times New Roman"/>
          <w:sz w:val="32"/>
          <w:szCs w:val="32"/>
        </w:rPr>
        <w:t>推进生产、供销、信用“三位一体”综合改革，加快形成以基层社区、惠农服务中心、信息资源平台为主体的生产服务模式，形成以普惠金融、资金互助、融资担保为主要形式的农业金融支持模式。深化供销合作社综合改革，发挥供销合作社独特作用，围绕特色大宗产品，整合有效资源，优化市场布局，建立以供应链为核心的分销式、电商化的商流、物流、品牌“三位一体”的业态模式。推动建设永济农业生产性服务示范中心、农业生产托管服务站等，为小农户和新型农业经营主体提供耕、种、防、收等各环节“菜单式”托管服务。培育多种形式的农业经营性服务组织，到2025年，全市农业社会化服务组织达到30家以上。</w:t>
      </w:r>
    </w:p>
    <w:p w14:paraId="4A226E79">
      <w:pPr>
        <w:spacing w:beforeLines="50" w:afterLines="50"/>
        <w:jc w:val="center"/>
        <w:outlineLvl w:val="1"/>
        <w:rPr>
          <w:rFonts w:ascii="Times New Roman" w:hAnsi="Times New Roman" w:eastAsia="楷体_GB2312" w:cs="Times New Roman"/>
          <w:kern w:val="0"/>
          <w:sz w:val="32"/>
          <w:szCs w:val="32"/>
          <w:lang w:bidi="en-US"/>
        </w:rPr>
      </w:pPr>
      <w:bookmarkStart w:id="68" w:name="_Toc68253247"/>
      <w:r>
        <w:rPr>
          <w:rFonts w:ascii="Times New Roman" w:hAnsi="Times New Roman" w:eastAsia="楷体_GB2312" w:cs="Times New Roman"/>
          <w:kern w:val="0"/>
          <w:sz w:val="32"/>
          <w:szCs w:val="32"/>
          <w:lang w:bidi="en-US"/>
        </w:rPr>
        <w:t>第六节</w:t>
      </w:r>
      <w:r>
        <w:rPr>
          <w:rFonts w:hint="eastAsia" w:ascii="Times New Roman" w:hAnsi="Times New Roman" w:eastAsia="楷体_GB2312" w:cs="Times New Roman"/>
          <w:kern w:val="0"/>
          <w:sz w:val="32"/>
          <w:szCs w:val="32"/>
          <w:lang w:bidi="en-US"/>
        </w:rPr>
        <w:t xml:space="preserve">  持续</w:t>
      </w:r>
      <w:r>
        <w:rPr>
          <w:rFonts w:ascii="Times New Roman" w:hAnsi="Times New Roman" w:eastAsia="楷体_GB2312" w:cs="Times New Roman"/>
          <w:kern w:val="0"/>
          <w:sz w:val="32"/>
          <w:szCs w:val="32"/>
          <w:lang w:bidi="en-US"/>
        </w:rPr>
        <w:t>巩固脱贫攻坚成果</w:t>
      </w:r>
      <w:bookmarkEnd w:id="68"/>
    </w:p>
    <w:p w14:paraId="701035C3">
      <w:pPr>
        <w:ind w:firstLine="640" w:firstLineChars="200"/>
        <w:jc w:val="both"/>
        <w:rPr>
          <w:rStyle w:val="29"/>
          <w:rFonts w:ascii="Times New Roman" w:hAnsi="Times New Roman" w:eastAsia="仿宋_GB2312" w:cs="Times New Roman"/>
          <w:sz w:val="32"/>
          <w:szCs w:val="32"/>
        </w:rPr>
      </w:pPr>
      <w:r>
        <w:rPr>
          <w:rStyle w:val="29"/>
          <w:rFonts w:ascii="Times New Roman" w:hAnsi="Times New Roman" w:eastAsia="仿宋_GB2312" w:cs="Times New Roman"/>
          <w:sz w:val="32"/>
          <w:szCs w:val="32"/>
        </w:rPr>
        <w:t>全面巩固提高脱贫攻坚质量，保持脱贫攻坚政策总体稳定，逐步实现由集中资源支持脱贫攻坚向全面推进乡村振兴平稳转型、有序过渡，实践脱贫攻坚、全面小康、乡村振兴的有机贯通。</w:t>
      </w:r>
    </w:p>
    <w:p w14:paraId="6DBDAE91">
      <w:pPr>
        <w:spacing w:line="600" w:lineRule="exact"/>
        <w:ind w:firstLine="643" w:firstLineChars="200"/>
        <w:jc w:val="both"/>
        <w:rPr>
          <w:rFonts w:ascii="Times New Roman" w:hAnsi="Times New Roman" w:eastAsia="仿宋_GB2312" w:cs="Times New Roman"/>
          <w:kern w:val="0"/>
          <w:sz w:val="32"/>
          <w:szCs w:val="32"/>
          <w:lang w:bidi="en-US"/>
        </w:rPr>
      </w:pPr>
      <w:r>
        <w:rPr>
          <w:rStyle w:val="29"/>
          <w:rFonts w:ascii="Times New Roman" w:hAnsi="Times New Roman" w:eastAsia="仿宋_GB2312" w:cs="Times New Roman"/>
          <w:b/>
          <w:bCs/>
          <w:sz w:val="32"/>
          <w:szCs w:val="32"/>
        </w:rPr>
        <w:t>构建稳定脱贫长效机制。</w:t>
      </w:r>
      <w:r>
        <w:rPr>
          <w:rFonts w:ascii="Times New Roman" w:hAnsi="Times New Roman" w:eastAsia="仿宋_GB2312" w:cs="Times New Roman"/>
          <w:kern w:val="0"/>
          <w:sz w:val="32"/>
          <w:szCs w:val="32"/>
          <w:lang w:bidi="en-US"/>
        </w:rPr>
        <w:t>按照过渡期政策要求，推进全面脱贫与乡村振兴有效衔接，确保工作不留空档，政策不留空白。加快健全防止返贫监测和帮扶机制，严格落实“四个不摘”要求，确保稳定脱贫不返贫。建立防返贫风险预警机制，强化对脱贫监测户、边缘户等重点群体的返贫监测预警和动态帮扶，将返贫人口和新发生贫困人口及时纳入帮扶，为巩固脱贫成果提供制度保障，夯实全面小康社会基石。</w:t>
      </w:r>
    </w:p>
    <w:p w14:paraId="41070F8D">
      <w:pPr>
        <w:spacing w:line="600" w:lineRule="exact"/>
        <w:ind w:firstLine="643" w:firstLineChars="200"/>
        <w:jc w:val="both"/>
        <w:rPr>
          <w:rFonts w:ascii="Times New Roman" w:hAnsi="Times New Roman" w:eastAsia="仿宋_GB2312" w:cs="Times New Roman"/>
          <w:kern w:val="0"/>
          <w:sz w:val="32"/>
          <w:szCs w:val="32"/>
          <w:lang w:bidi="en-US"/>
        </w:rPr>
      </w:pPr>
      <w:r>
        <w:rPr>
          <w:rStyle w:val="29"/>
          <w:rFonts w:ascii="Times New Roman" w:hAnsi="Times New Roman" w:eastAsia="仿宋_GB2312" w:cs="Times New Roman"/>
          <w:b/>
          <w:bCs/>
          <w:sz w:val="32"/>
          <w:szCs w:val="32"/>
        </w:rPr>
        <w:t>建立农村低收入人口帮扶机制。</w:t>
      </w:r>
      <w:r>
        <w:rPr>
          <w:rStyle w:val="29"/>
          <w:rFonts w:ascii="Times New Roman" w:hAnsi="Times New Roman" w:eastAsia="仿宋_GB2312" w:cs="Times New Roman"/>
          <w:sz w:val="32"/>
          <w:szCs w:val="32"/>
        </w:rPr>
        <w:t>以现有社会救助和社会保障体系为基础，健全农村低收入人口分类帮扶机制。</w:t>
      </w:r>
      <w:r>
        <w:rPr>
          <w:rFonts w:ascii="Times New Roman" w:hAnsi="Times New Roman" w:eastAsia="仿宋_GB2312" w:cs="Times New Roman"/>
          <w:kern w:val="0"/>
          <w:sz w:val="32"/>
          <w:szCs w:val="32"/>
          <w:lang w:bidi="en-US"/>
        </w:rPr>
        <w:t>持续抓好扶贫产业发展，实施一批产业提升、基地建设、品牌发展、电商培育等扶贫项目。</w:t>
      </w:r>
      <w:r>
        <w:rPr>
          <w:rStyle w:val="29"/>
          <w:rFonts w:ascii="Times New Roman" w:hAnsi="Times New Roman" w:eastAsia="仿宋_GB2312" w:cs="Times New Roman"/>
          <w:sz w:val="32"/>
          <w:szCs w:val="32"/>
        </w:rPr>
        <w:t>调整优化公益性岗位设置，加强对低收入人口的跟进帮扶和无劳动能力的兜底保障。稳定兜底救助政策，落实好教育、医疗、住房、饮水等民生保障普惠性政策。鼓励创新帮扶手段，</w:t>
      </w:r>
      <w:r>
        <w:rPr>
          <w:rFonts w:ascii="Times New Roman" w:hAnsi="Times New Roman" w:eastAsia="仿宋_GB2312" w:cs="Times New Roman"/>
          <w:kern w:val="0"/>
          <w:sz w:val="32"/>
          <w:szCs w:val="32"/>
          <w:lang w:bidi="en-US"/>
        </w:rPr>
        <w:t>完善社会力量参与帮扶等机制，鼓励支持各类企业、社会组织、个人广泛参与帮扶。</w:t>
      </w:r>
    </w:p>
    <w:p w14:paraId="1DE50C99">
      <w:pPr>
        <w:spacing w:line="600" w:lineRule="exact"/>
        <w:ind w:firstLine="643" w:firstLineChars="200"/>
        <w:jc w:val="both"/>
        <w:rPr>
          <w:rStyle w:val="29"/>
          <w:rFonts w:ascii="Times New Roman" w:hAnsi="Times New Roman" w:eastAsia="仿宋_GB2312" w:cs="Times New Roman"/>
          <w:sz w:val="32"/>
          <w:szCs w:val="32"/>
        </w:rPr>
      </w:pPr>
      <w:r>
        <w:rPr>
          <w:rFonts w:ascii="Times New Roman" w:hAnsi="Times New Roman" w:eastAsia="仿宋_GB2312" w:cs="Times New Roman"/>
          <w:b/>
          <w:bCs/>
          <w:color w:val="000000"/>
          <w:sz w:val="32"/>
          <w:szCs w:val="32"/>
        </w:rPr>
        <w:t>持续推动农民增收致富。</w:t>
      </w:r>
      <w:r>
        <w:rPr>
          <w:rFonts w:ascii="Times New Roman" w:hAnsi="Times New Roman" w:eastAsia="仿宋_GB2312" w:cs="Times New Roman"/>
          <w:color w:val="000000"/>
          <w:sz w:val="32"/>
          <w:szCs w:val="32"/>
        </w:rPr>
        <w:t>精准开展农村贫困劳动力技能培训，打造永济特色劳务品牌，稳岗拓岗，提高就业层次和工资性收入。支持鼓励高校毕业生、机关事业单位干部等各类人才支农兴农，</w:t>
      </w:r>
      <w:r>
        <w:rPr>
          <w:rFonts w:ascii="Times New Roman" w:hAnsi="Times New Roman" w:eastAsia="仿宋_GB2312" w:cs="Times New Roman"/>
          <w:sz w:val="32"/>
          <w:szCs w:val="32"/>
        </w:rPr>
        <w:t>配强致富带头人，带动脱贫户致富和稳定发展。开发就地就近就业岗位，培育适合普通农村劳动力就业的特色产业。采取以奖代补、劳务补助等方式，吸纳相对贫困劳动力参与项目建设和社会服务，</w:t>
      </w:r>
      <w:r>
        <w:rPr>
          <w:rStyle w:val="29"/>
          <w:rFonts w:ascii="Times New Roman" w:hAnsi="Times New Roman" w:eastAsia="仿宋_GB2312" w:cs="Times New Roman"/>
          <w:sz w:val="32"/>
          <w:szCs w:val="32"/>
        </w:rPr>
        <w:t>完善脱贫人口工资性收入保障机制。</w:t>
      </w:r>
    </w:p>
    <w:p w14:paraId="4F020A6A">
      <w:pPr>
        <w:spacing w:beforeLines="100" w:afterLines="100"/>
        <w:jc w:val="both"/>
        <w:outlineLvl w:val="0"/>
        <w:rPr>
          <w:rFonts w:ascii="Times New Roman" w:hAnsi="Times New Roman" w:eastAsia="黑体" w:cs="Times New Roman"/>
          <w:sz w:val="10"/>
          <w:szCs w:val="10"/>
        </w:rPr>
      </w:pPr>
      <w:bookmarkStart w:id="69" w:name="_Toc68253248"/>
      <w:r>
        <w:rPr>
          <w:rFonts w:ascii="Times New Roman" w:hAnsi="Times New Roman" w:eastAsia="黑体" w:cs="Times New Roman"/>
          <w:sz w:val="10"/>
          <w:szCs w:val="10"/>
        </w:rPr>
        <w:br w:type="page"/>
      </w:r>
    </w:p>
    <w:p w14:paraId="36AC175D">
      <w:pPr>
        <w:spacing w:beforeLines="100" w:afterLines="100"/>
        <w:jc w:val="center"/>
        <w:outlineLvl w:val="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五</w:t>
      </w:r>
      <w:r>
        <w:rPr>
          <w:rFonts w:ascii="Times New Roman" w:hAnsi="Times New Roman" w:eastAsia="黑体" w:cs="Times New Roman"/>
          <w:sz w:val="32"/>
          <w:szCs w:val="32"/>
        </w:rPr>
        <w:t xml:space="preserve">章  </w:t>
      </w:r>
      <w:r>
        <w:rPr>
          <w:rFonts w:hint="eastAsia" w:ascii="Times New Roman" w:hAnsi="Times New Roman" w:eastAsia="黑体" w:cs="Times New Roman"/>
          <w:sz w:val="32"/>
          <w:szCs w:val="32"/>
        </w:rPr>
        <w:t>放大旅游资源优势</w:t>
      </w:r>
      <w:r>
        <w:rPr>
          <w:rFonts w:ascii="Times New Roman" w:hAnsi="Times New Roman" w:eastAsia="黑体" w:cs="Times New Roman"/>
          <w:sz w:val="32"/>
          <w:szCs w:val="32"/>
        </w:rPr>
        <w:t>，</w:t>
      </w:r>
      <w:r>
        <w:rPr>
          <w:rFonts w:hint="eastAsia" w:ascii="Times New Roman" w:hAnsi="Times New Roman" w:eastAsia="黑体" w:cs="Times New Roman"/>
          <w:sz w:val="32"/>
          <w:szCs w:val="32"/>
        </w:rPr>
        <w:t>加快建设国家级旅游度假区</w:t>
      </w:r>
      <w:bookmarkEnd w:id="69"/>
    </w:p>
    <w:p w14:paraId="45517C51">
      <w:pPr>
        <w:ind w:firstLine="640"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发挥我市文化底蕴深厚、旅游资源丰富的优势，以成功创建国家全域旅游示范区为契机，围绕“1332”发展布局，着力抓好国家5A级景区创建，打破常规思维、创新体制机制、增加文旅业态、丰富旅游内容，创建一流的旅游产品、一流的旅游环境、一流的旅游服务，推进文旅、文创、文艺融合，通过夯基础、补短板、重创新，把永济建成</w:t>
      </w:r>
      <w:r>
        <w:rPr>
          <w:rFonts w:hint="eastAsia" w:ascii="Times New Roman" w:hAnsi="Times New Roman" w:eastAsia="仿宋_GB2312" w:cs="Times New Roman"/>
          <w:kern w:val="0"/>
          <w:sz w:val="32"/>
          <w:szCs w:val="32"/>
        </w:rPr>
        <w:t>国家级旅游度假区</w:t>
      </w:r>
      <w:r>
        <w:rPr>
          <w:rFonts w:ascii="Times New Roman" w:hAnsi="Times New Roman" w:eastAsia="仿宋_GB2312" w:cs="Times New Roman"/>
          <w:kern w:val="0"/>
          <w:sz w:val="32"/>
          <w:szCs w:val="32"/>
        </w:rPr>
        <w:t>，努力把文化旅游产业打造成为战略性支柱产业。</w:t>
      </w:r>
    </w:p>
    <w:p w14:paraId="18E25178">
      <w:pPr>
        <w:spacing w:beforeLines="50" w:afterLines="50"/>
        <w:jc w:val="center"/>
        <w:outlineLvl w:val="1"/>
        <w:rPr>
          <w:rFonts w:ascii="Times New Roman" w:hAnsi="Times New Roman" w:eastAsia="楷体_GB2312" w:cs="Times New Roman"/>
          <w:kern w:val="0"/>
          <w:sz w:val="32"/>
          <w:szCs w:val="32"/>
          <w:lang w:bidi="en-US"/>
        </w:rPr>
      </w:pPr>
      <w:bookmarkStart w:id="70" w:name="_Toc68253249"/>
      <w:r>
        <w:rPr>
          <w:rFonts w:ascii="Times New Roman" w:hAnsi="Times New Roman" w:eastAsia="楷体_GB2312" w:cs="Times New Roman"/>
          <w:kern w:val="0"/>
          <w:sz w:val="32"/>
          <w:szCs w:val="32"/>
          <w:lang w:bidi="en-US"/>
        </w:rPr>
        <w:t>第一节  优化旅游发展格局</w:t>
      </w:r>
      <w:bookmarkEnd w:id="70"/>
    </w:p>
    <w:p w14:paraId="3EECB168">
      <w:pPr>
        <w:ind w:firstLine="640"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以国家全域旅游示范区为引领，</w:t>
      </w:r>
      <w:r>
        <w:rPr>
          <w:rFonts w:hint="eastAsia" w:ascii="Times New Roman" w:hAnsi="Times New Roman" w:eastAsia="仿宋_GB2312" w:cs="Times New Roman"/>
          <w:kern w:val="0"/>
          <w:sz w:val="32"/>
          <w:szCs w:val="32"/>
        </w:rPr>
        <w:t>以创建国家级旅游度假区为目标，</w:t>
      </w:r>
      <w:r>
        <w:rPr>
          <w:rFonts w:ascii="Times New Roman" w:hAnsi="Times New Roman" w:eastAsia="仿宋_GB2312" w:cs="Times New Roman"/>
          <w:kern w:val="0"/>
          <w:sz w:val="32"/>
          <w:szCs w:val="32"/>
        </w:rPr>
        <w:t>以建设精品景区、精品线路、乡村旅游为重点，</w:t>
      </w:r>
      <w:r>
        <w:rPr>
          <w:rFonts w:hint="eastAsia" w:ascii="Times New Roman" w:hAnsi="Times New Roman" w:eastAsia="仿宋_GB2312" w:cs="Times New Roman"/>
          <w:kern w:val="0"/>
          <w:sz w:val="32"/>
          <w:szCs w:val="32"/>
        </w:rPr>
        <w:t>以创新体制机制为抓手，以增加文旅业态、丰富旅游内容为载体，</w:t>
      </w:r>
      <w:r>
        <w:rPr>
          <w:rFonts w:ascii="Times New Roman" w:hAnsi="Times New Roman" w:eastAsia="仿宋_GB2312" w:cs="Times New Roman"/>
          <w:kern w:val="0"/>
          <w:sz w:val="32"/>
          <w:szCs w:val="32"/>
        </w:rPr>
        <w:t>以文旅深度融合为</w:t>
      </w:r>
      <w:r>
        <w:rPr>
          <w:rFonts w:hint="eastAsia" w:ascii="Times New Roman" w:hAnsi="Times New Roman" w:eastAsia="仿宋_GB2312" w:cs="Times New Roman"/>
          <w:kern w:val="0"/>
          <w:sz w:val="32"/>
          <w:szCs w:val="32"/>
        </w:rPr>
        <w:t>带动</w:t>
      </w:r>
      <w:r>
        <w:rPr>
          <w:rFonts w:ascii="Times New Roman" w:hAnsi="Times New Roman" w:eastAsia="仿宋_GB2312" w:cs="Times New Roman"/>
          <w:kern w:val="0"/>
          <w:sz w:val="32"/>
          <w:szCs w:val="32"/>
        </w:rPr>
        <w:t>，着眼大文旅、挖掘大市场、开发大产业，全力构建“精品带动、多点支撑、产业融合、行业跟进”的全域旅游格局，着力完善“吃住行游购娱”全产业链条，</w:t>
      </w:r>
      <w:r>
        <w:rPr>
          <w:rFonts w:hint="eastAsia" w:ascii="Times New Roman" w:hAnsi="Times New Roman" w:eastAsia="仿宋_GB2312" w:cs="Times New Roman"/>
          <w:kern w:val="0"/>
          <w:sz w:val="32"/>
          <w:szCs w:val="32"/>
        </w:rPr>
        <w:t>促进我市旅游产业由观光型向休闲度假型</w:t>
      </w:r>
      <w:r>
        <w:rPr>
          <w:rFonts w:ascii="Times New Roman" w:hAnsi="Times New Roman" w:eastAsia="仿宋_GB2312" w:cs="Times New Roman"/>
          <w:kern w:val="0"/>
          <w:sz w:val="32"/>
          <w:szCs w:val="32"/>
        </w:rPr>
        <w:t>转变。</w:t>
      </w:r>
      <w:r>
        <w:rPr>
          <w:rFonts w:hint="eastAsia" w:ascii="仿宋_GB2312" w:hAnsi="仿宋_GB2312" w:eastAsia="仿宋_GB2312" w:cs="仿宋_GB2312"/>
          <w:sz w:val="32"/>
          <w:szCs w:val="32"/>
        </w:rPr>
        <w:t>力争到2025年，全市接待游客突破1000万人次，实现旅游综合收入200亿元以上。</w:t>
      </w:r>
    </w:p>
    <w:p w14:paraId="275AF568">
      <w:pPr>
        <w:ind w:firstLine="643" w:firstLineChars="200"/>
        <w:jc w:val="both"/>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做优做强三大旅游板块。</w:t>
      </w:r>
      <w:r>
        <w:rPr>
          <w:rFonts w:hint="eastAsia" w:ascii="Times New Roman" w:hAnsi="Times New Roman" w:eastAsia="仿宋_GB2312" w:cs="Times New Roman"/>
          <w:kern w:val="0"/>
          <w:sz w:val="32"/>
          <w:szCs w:val="32"/>
        </w:rPr>
        <w:t>西部历史文化旅游板块以蒲州故城为核心，建设文旅小镇。对鹳雀楼进行重新布展，丰富文化体验；依托普救寺打造《梦境·西厢记》行浸式演艺，配套建设中都唐街，激活夜游经济、发展夜游产业，提升文化景区的特色和魅力。东部山水休闲旅游板块以五老峰为龙头，整合山岳峡谷、森林公园、乡村农业等资源，以自然观光、风情体验、极限运动、户外探险等为特色，建设动静相宜、四季皆游的旅游目的地。中部休闲康养旅游板块以伍姓湖为核心，依托湿地生态资源，将康养理念与自然风光有机结合，推进集观光、运动、康养、住宿于一体的休闲度假综合体。形成“精品带动、多点支撑、产业融合”的旅游发展新格局。</w:t>
      </w:r>
    </w:p>
    <w:p w14:paraId="557ED7C7">
      <w:pPr>
        <w:ind w:firstLine="643"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开发旅游精品线路。</w:t>
      </w:r>
      <w:r>
        <w:rPr>
          <w:rFonts w:ascii="Times New Roman" w:hAnsi="Times New Roman" w:eastAsia="仿宋_GB2312" w:cs="Times New Roman"/>
          <w:kern w:val="0"/>
          <w:sz w:val="32"/>
          <w:szCs w:val="32"/>
        </w:rPr>
        <w:t>深度挖掘黄河文化、舜帝文化、爱情文化等，推出蒲州文化游、宜居城市游、养生山水游、美丽乡村游等一批</w:t>
      </w:r>
      <w:r>
        <w:rPr>
          <w:rFonts w:hint="eastAsia" w:ascii="Times New Roman" w:hAnsi="Times New Roman" w:eastAsia="仿宋_GB2312" w:cs="Times New Roman"/>
          <w:kern w:val="0"/>
          <w:sz w:val="32"/>
          <w:szCs w:val="32"/>
        </w:rPr>
        <w:t>一日游、二日游等</w:t>
      </w:r>
      <w:r>
        <w:rPr>
          <w:rFonts w:ascii="Times New Roman" w:hAnsi="Times New Roman" w:eastAsia="仿宋_GB2312" w:cs="Times New Roman"/>
          <w:kern w:val="0"/>
          <w:sz w:val="32"/>
          <w:szCs w:val="32"/>
        </w:rPr>
        <w:t>精品旅游线路。以打造黄河一号最美旅游公路、中条山健身步道、伍姓湖马拉松赛道为主线，串联沿线特色景区和美丽乡村，打造中条山“百里画廊风景带”。整合黄河沿线资源打造湿地公园、黄河农耕文化园、诗意花田等特色项目，升级旅游产品及服务品质，打造黄河生态休闲游憩带。依托虞临永第一支部、普乐头陈家联络站等打造省级党性教育基地，开发红色旅游。紧密串联市内城镇和景区景点，加强与晋陕豫黄河金三角周边区域景区合作，组建旅游合作联盟，构建跨区域精品旅游线路。</w:t>
      </w:r>
    </w:p>
    <w:p w14:paraId="1BE51FA3">
      <w:pPr>
        <w:ind w:firstLine="643"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大力发展乡村旅游。</w:t>
      </w:r>
      <w:r>
        <w:rPr>
          <w:rFonts w:ascii="Times New Roman" w:hAnsi="Times New Roman" w:eastAsia="仿宋_GB2312" w:cs="Times New Roman"/>
          <w:kern w:val="0"/>
          <w:sz w:val="32"/>
          <w:szCs w:val="32"/>
        </w:rPr>
        <w:t>按照“一镇（街道）一品、一村一景、一村一韵”的建设思路，全面开发生态休闲、农业观光、养生度假、文化体验等多种类型的乡村旅游产品，打造一批有历史记忆、地域特色、文化内涵的乡村旅游名镇名村。推动介峪口玫瑰庄园、中都渔村等田园综合体申报“黄河人家”，推进观光游向休闲游、体验游转变，增强旅游吸引力。推进乡村旅游示范村建设，抓好惠畅东开张美丽乡村研学基地项目，打造乡村旅游新样板。到2025年</w:t>
      </w:r>
      <w:r>
        <w:rPr>
          <w:rFonts w:hint="eastAsia" w:ascii="Times New Roman" w:hAnsi="Times New Roman" w:eastAsia="仿宋_GB2312" w:cs="Times New Roman"/>
          <w:kern w:val="0"/>
          <w:sz w:val="32"/>
          <w:szCs w:val="32"/>
        </w:rPr>
        <w:t>争创国家3A级旅游示范村3个、</w:t>
      </w:r>
      <w:r>
        <w:rPr>
          <w:rFonts w:ascii="Times New Roman" w:hAnsi="Times New Roman" w:eastAsia="仿宋_GB2312" w:cs="Times New Roman"/>
          <w:kern w:val="0"/>
          <w:sz w:val="32"/>
          <w:szCs w:val="32"/>
        </w:rPr>
        <w:t>省级旅游示范村</w:t>
      </w:r>
      <w:r>
        <w:rPr>
          <w:rFonts w:hint="eastAsia" w:ascii="Times New Roman" w:hAnsi="Times New Roman" w:eastAsia="仿宋_GB2312" w:cs="Times New Roman"/>
          <w:kern w:val="0"/>
          <w:sz w:val="32"/>
          <w:szCs w:val="32"/>
        </w:rPr>
        <w:t>10个</w:t>
      </w:r>
      <w:r>
        <w:rPr>
          <w:rFonts w:ascii="Times New Roman" w:hAnsi="Times New Roman" w:eastAsia="仿宋_GB2312" w:cs="Times New Roman"/>
          <w:kern w:val="0"/>
          <w:sz w:val="32"/>
          <w:szCs w:val="32"/>
        </w:rPr>
        <w:t>。</w:t>
      </w:r>
    </w:p>
    <w:p w14:paraId="69DE09CE">
      <w:pPr>
        <w:spacing w:afterLines="50"/>
        <w:ind w:firstLine="643"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创新旅游+新模式。</w:t>
      </w:r>
      <w:r>
        <w:rPr>
          <w:rFonts w:ascii="Times New Roman" w:hAnsi="Times New Roman" w:eastAsia="仿宋_GB2312" w:cs="Times New Roman"/>
          <w:kern w:val="0"/>
          <w:sz w:val="32"/>
          <w:szCs w:val="32"/>
        </w:rPr>
        <w:t>以普救寺《梦境·西厢记》行浸式演艺项目建设为契机，激活夜游经济、发展夜游产业。挖掘和弘扬舜帝文化、大唐文化、黄河文化、诗歌文化、爱情文化等民俗文化，打造永济文化旅游知名品牌。利用伍姓湖、旅游绿道及中条山自然资源，积极开发野外探险、汽车越野、自行车赛、攀岩登高等特色鲜明的体育旅游产品，争取国内有影响力的体育赛事在永济举办。因地制宜推进旅游+工业、旅游+林业等新业态，开发中车集团电机厂、印染厂、酒厂等</w:t>
      </w:r>
      <w:r>
        <w:rPr>
          <w:rFonts w:hint="eastAsia" w:ascii="Times New Roman" w:hAnsi="Times New Roman" w:eastAsia="仿宋_GB2312" w:cs="Times New Roman"/>
          <w:kern w:val="0"/>
          <w:sz w:val="32"/>
          <w:szCs w:val="32"/>
        </w:rPr>
        <w:t>特色</w:t>
      </w:r>
      <w:r>
        <w:rPr>
          <w:rFonts w:ascii="Times New Roman" w:hAnsi="Times New Roman" w:eastAsia="仿宋_GB2312" w:cs="Times New Roman"/>
          <w:kern w:val="0"/>
          <w:sz w:val="32"/>
          <w:szCs w:val="32"/>
        </w:rPr>
        <w:t>工业体验</w:t>
      </w:r>
      <w:r>
        <w:rPr>
          <w:rFonts w:hint="eastAsia" w:ascii="Times New Roman" w:hAnsi="Times New Roman" w:eastAsia="仿宋_GB2312" w:cs="Times New Roman"/>
          <w:kern w:val="0"/>
          <w:sz w:val="32"/>
          <w:szCs w:val="32"/>
        </w:rPr>
        <w:t>和</w:t>
      </w:r>
      <w:r>
        <w:rPr>
          <w:rFonts w:ascii="Times New Roman" w:hAnsi="Times New Roman" w:eastAsia="仿宋_GB2312" w:cs="Times New Roman"/>
          <w:kern w:val="0"/>
          <w:sz w:val="32"/>
          <w:szCs w:val="32"/>
        </w:rPr>
        <w:t>研学</w:t>
      </w:r>
      <w:r>
        <w:rPr>
          <w:rFonts w:hint="eastAsia" w:ascii="Times New Roman" w:hAnsi="Times New Roman" w:eastAsia="仿宋_GB2312" w:cs="Times New Roman"/>
          <w:kern w:val="0"/>
          <w:sz w:val="32"/>
          <w:szCs w:val="32"/>
        </w:rPr>
        <w:t>旅游实践</w:t>
      </w:r>
      <w:r>
        <w:rPr>
          <w:rFonts w:ascii="Times New Roman" w:hAnsi="Times New Roman" w:eastAsia="仿宋_GB2312" w:cs="Times New Roman"/>
          <w:kern w:val="0"/>
          <w:sz w:val="32"/>
          <w:szCs w:val="32"/>
        </w:rPr>
        <w:t>项目</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大力开发基于森林生态的“生态养疗”、“天然氧吧”等文旅康养项目，推动涑水河伍姓湖段改造，打造最宜康养旅游带。实施东南亚文化风情园项目，打造集观光、住宿、购物、康养于一体的休闲度假综合体。探索“公司+农户”“专业合作社+农户”“村两委+公司+农户”等多种经营模式，盘活农村闲置房屋，建设一批设施完备、功能多样的休闲观光园区、乡村民宿、农耕体验、农事研学、康养基地等，打造特色客栈集聚区。鼓励各类市场主体参与我市民宿建设，重点围绕介峪口、水峪口、西厢等景区周边村，打造山西非标住宿示范区。</w:t>
      </w:r>
    </w:p>
    <w:tbl>
      <w:tblPr>
        <w:tblStyle w:val="19"/>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5069D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364" w:type="dxa"/>
            <w:vAlign w:val="top"/>
          </w:tcPr>
          <w:p w14:paraId="4C0876C5">
            <w:pPr>
              <w:jc w:val="both"/>
              <w:rPr>
                <w:rFonts w:ascii="Times New Roman" w:hAnsi="Times New Roman" w:eastAsia="仿宋_GB2312" w:cs="Times New Roman"/>
                <w:sz w:val="24"/>
                <w:szCs w:val="24"/>
              </w:rPr>
            </w:pPr>
            <w:r>
              <w:rPr>
                <w:rFonts w:hint="eastAsia" w:ascii="黑体" w:hAnsi="黑体" w:eastAsia="黑体" w:cs="黑体"/>
                <w:sz w:val="28"/>
                <w:szCs w:val="28"/>
              </w:rPr>
              <w:t>专栏</w:t>
            </w:r>
            <w:r>
              <w:rPr>
                <w:rFonts w:ascii="黑体" w:hAnsi="黑体" w:eastAsia="黑体" w:cs="黑体"/>
                <w:sz w:val="28"/>
                <w:szCs w:val="28"/>
              </w:rPr>
              <w:t>7</w:t>
            </w:r>
            <w:r>
              <w:rPr>
                <w:rFonts w:hint="eastAsia" w:ascii="黑体" w:hAnsi="黑体" w:eastAsia="黑体" w:cs="黑体"/>
                <w:sz w:val="28"/>
                <w:szCs w:val="28"/>
              </w:rPr>
              <w:t>：“十四五”文旅重点项目</w:t>
            </w:r>
          </w:p>
        </w:tc>
      </w:tr>
      <w:tr w14:paraId="36DE3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4" w:type="dxa"/>
            <w:vAlign w:val="top"/>
          </w:tcPr>
          <w:p w14:paraId="0514AEB9">
            <w:pPr>
              <w:adjustRightInd w:val="0"/>
              <w:snapToGrid w:val="0"/>
              <w:spacing w:beforeLines="50" w:line="360" w:lineRule="exact"/>
              <w:ind w:firstLine="422" w:firstLineChars="200"/>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永济华夏经典文化旅游区建设项目。</w:t>
            </w:r>
            <w:r>
              <w:rPr>
                <w:rFonts w:hint="eastAsia" w:ascii="方正小标宋简体" w:hAnsi="方正小标宋简体" w:eastAsia="方正小标宋简体" w:cs="方正小标宋简体"/>
                <w:szCs w:val="21"/>
              </w:rPr>
              <w:t>围绕鹳雀楼建设黄河湿地公园、黄河诗意花田、中华诗词会议中心、华夏文化特色小镇、鹳雀楼景区婚纱摄影旅拍基地建设等项目；建设蒲津渡</w:t>
            </w:r>
            <w:r>
              <w:rPr>
                <w:rFonts w:hint="eastAsia" w:ascii="方正小标宋简体" w:hAnsi="黑体" w:eastAsia="方正小标宋简体" w:cs="方正小标宋简体"/>
                <w:szCs w:val="21"/>
              </w:rPr>
              <w:t>与</w:t>
            </w:r>
            <w:r>
              <w:rPr>
                <w:rFonts w:hint="eastAsia" w:ascii="方正小标宋简体" w:hAnsi="方正小标宋简体" w:eastAsia="方正小标宋简体" w:cs="方正小标宋简体"/>
                <w:szCs w:val="21"/>
              </w:rPr>
              <w:t>蒲州故城国家考古遗址公园、华夏文化博览园项目；围绕普救寺建设幸福梦工厂、西厢生活体验园、西厢三夜、小东沟爱情特色小镇等项目，建设中华爱情文化圣地；复建舜帝庙、综合旅游集散服务中心、智慧自驾车宿营地，做好解梁古城遗址保护利用工作。</w:t>
            </w:r>
          </w:p>
          <w:p w14:paraId="19755AA1">
            <w:pPr>
              <w:adjustRightInd w:val="0"/>
              <w:snapToGrid w:val="0"/>
              <w:spacing w:line="360" w:lineRule="exact"/>
              <w:ind w:firstLine="422" w:firstLineChars="200"/>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伍姓湖休闲度假康养旅游区建设项目。</w:t>
            </w:r>
            <w:r>
              <w:rPr>
                <w:rFonts w:hint="eastAsia" w:ascii="方正小标宋简体" w:hAnsi="方正小标宋简体" w:eastAsia="方正小标宋简体" w:cs="方正小标宋简体"/>
                <w:szCs w:val="21"/>
              </w:rPr>
              <w:t>以滨河休闲轴与文化展示为依托载体，建设酒吧、茶吧、咖啡吧、手工坊、陶吧、文艺体验馆等，建设炫彩风情街、永济“宽窄巷子”；依托市医院新建医康项目，建设智慧康养社区；增建2A级以上旅游厕所2座，驿站1处，智慧停车场1处，旅游超市1处。</w:t>
            </w:r>
          </w:p>
          <w:p w14:paraId="6CEFCC20">
            <w:pPr>
              <w:adjustRightInd w:val="0"/>
              <w:snapToGrid w:val="0"/>
              <w:spacing w:line="360" w:lineRule="exact"/>
              <w:ind w:firstLine="422" w:firstLineChars="200"/>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中条山生态休闲旅游带建设项目。</w:t>
            </w:r>
            <w:r>
              <w:rPr>
                <w:rFonts w:hint="eastAsia" w:ascii="方正小标宋简体" w:hAnsi="方正小标宋简体" w:eastAsia="方正小标宋简体" w:cs="方正小标宋简体"/>
                <w:szCs w:val="21"/>
              </w:rPr>
              <w:t>沿线汽车营地等风景带建设，精品民宿和特色酒店等度假带建设，全季节旅游产业链等产业带建设，依托最美公路S337和沿山国家绿色步道，整合提升沿线知名景区知名村落，促进旅游带建设。</w:t>
            </w:r>
          </w:p>
          <w:p w14:paraId="77CCA262">
            <w:pPr>
              <w:adjustRightInd w:val="0"/>
              <w:snapToGrid w:val="0"/>
              <w:spacing w:line="360" w:lineRule="exact"/>
              <w:ind w:firstLine="422" w:firstLineChars="200"/>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连片5A级旅游景区建设项目。</w:t>
            </w:r>
            <w:r>
              <w:rPr>
                <w:rFonts w:hint="eastAsia" w:ascii="方正小标宋简体" w:hAnsi="方正小标宋简体" w:eastAsia="方正小标宋简体" w:cs="方正小标宋简体"/>
                <w:szCs w:val="21"/>
              </w:rPr>
              <w:t>建设鹳雀楼楼内楼层主题重构楼体光影工程；田园书院建设工程，科技化体验设施新建项目；普救寺景区提升工程；铁牛馆提升建设项目包括浮桥博物馆建设和中国铸造工艺技术演义建设；蒲州故城外围建设项目，包括华夏文化博览园项目、康养中心建设项目、休闲度假区建设项目、舜帝庙复建项目、文创基地建设项目、枢纽型研学博物馆项目等；游客综合服务中心建设项目。建设尧王台特色小镇、水峪口古村特色小镇、五老峰游客服务中心、滑翔伞基地、航空运动小镇建设项目、汽车露营地、旅游步道提升改造、柳隐山景区开发保护等项目。</w:t>
            </w:r>
          </w:p>
          <w:p w14:paraId="6B29BB8D">
            <w:pPr>
              <w:adjustRightInd w:val="0"/>
              <w:snapToGrid w:val="0"/>
              <w:spacing w:line="360" w:lineRule="exact"/>
              <w:ind w:firstLine="422" w:firstLineChars="200"/>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东南亚文化风情园项目。</w:t>
            </w:r>
            <w:r>
              <w:rPr>
                <w:rFonts w:hint="eastAsia" w:ascii="方正小标宋简体" w:hAnsi="方正小标宋简体" w:eastAsia="方正小标宋简体" w:cs="方正小标宋简体"/>
                <w:szCs w:val="21"/>
              </w:rPr>
              <w:t>该项目拟占地500-800亩，建设芭提雅商业中心、不夜城、五星级酒店、泰国水疗馆等项目。</w:t>
            </w:r>
          </w:p>
          <w:p w14:paraId="594F568F">
            <w:pPr>
              <w:adjustRightInd w:val="0"/>
              <w:snapToGrid w:val="0"/>
              <w:spacing w:afterLines="50" w:line="360" w:lineRule="exact"/>
              <w:ind w:firstLine="422" w:firstLineChars="200"/>
              <w:jc w:val="both"/>
              <w:rPr>
                <w:rFonts w:ascii="Times New Roman" w:hAnsi="Times New Roman" w:eastAsia="仿宋_GB2312" w:cs="Times New Roman"/>
                <w:sz w:val="24"/>
                <w:szCs w:val="24"/>
              </w:rPr>
            </w:pPr>
            <w:r>
              <w:rPr>
                <w:rFonts w:hint="eastAsia" w:ascii="方正小标宋简体" w:hAnsi="方正小标宋简体" w:eastAsia="方正小标宋简体" w:cs="方正小标宋简体"/>
                <w:b/>
                <w:szCs w:val="21"/>
              </w:rPr>
              <w:t>旅游＋”“＋旅游”建设项目。</w:t>
            </w:r>
            <w:r>
              <w:rPr>
                <w:rFonts w:hint="eastAsia" w:ascii="方正小标宋简体" w:hAnsi="方正小标宋简体" w:eastAsia="方正小标宋简体" w:cs="方正小标宋简体"/>
                <w:szCs w:val="21"/>
              </w:rPr>
              <w:t>深化东开张国家重点乡村旅游示范村、西厢村山西省3A级乡村旅游示范村、惠畅老粗布文化创意有限公司、河东泽芦源文化创意有限公司山西省休闲农业和乡村旅游示范点的提档升级等。开发以中车集团电机厂、印染厂、酒厂等为重点的体验研学旅游项目；改造纺织厂、化肥厂等废旧厂房为工业旅游项目。建设中条山山地育业集聚群、城市休闲运动集聚群、伍姓湖滨湖尚游乐集聚群等项目。依托“五老峰”景区建立“自然科学”青少年教育基地，依托“太宁葫芦园文化创意园”“蒲州镇学院手工艺品厂”“惠畅老粗布”建立“农耕文化”青少年教育基地，依托“鹳雀楼”景区建立“诗歌国学”青少年教育基地、永济市非遗文化手工产品产业园项目；依托虞临永第一支部、普乐头陈家联络站等打造省级党性教育基地；扩建永济市革命烈士纪念馆，打造省级红色教育基地。</w:t>
            </w:r>
          </w:p>
        </w:tc>
      </w:tr>
    </w:tbl>
    <w:p w14:paraId="074A68FA">
      <w:pPr>
        <w:spacing w:beforeLines="50" w:afterLines="50"/>
        <w:jc w:val="center"/>
        <w:outlineLvl w:val="1"/>
        <w:rPr>
          <w:rFonts w:ascii="Times New Roman" w:hAnsi="Times New Roman" w:eastAsia="楷体_GB2312" w:cs="Times New Roman"/>
          <w:kern w:val="0"/>
          <w:sz w:val="32"/>
          <w:szCs w:val="32"/>
          <w:lang w:bidi="en-US"/>
        </w:rPr>
      </w:pPr>
      <w:bookmarkStart w:id="71" w:name="_Toc68253250"/>
      <w:r>
        <w:rPr>
          <w:rFonts w:ascii="Times New Roman" w:hAnsi="Times New Roman" w:eastAsia="楷体_GB2312" w:cs="Times New Roman"/>
          <w:kern w:val="0"/>
          <w:sz w:val="32"/>
          <w:szCs w:val="32"/>
          <w:lang w:bidi="en-US"/>
        </w:rPr>
        <w:t xml:space="preserve">第二节  </w:t>
      </w:r>
      <w:r>
        <w:rPr>
          <w:rFonts w:hint="eastAsia" w:ascii="Times New Roman" w:hAnsi="Times New Roman" w:eastAsia="楷体_GB2312" w:cs="Times New Roman"/>
          <w:kern w:val="0"/>
          <w:sz w:val="32"/>
          <w:szCs w:val="32"/>
          <w:lang w:bidi="en-US"/>
        </w:rPr>
        <w:t>完善</w:t>
      </w:r>
      <w:r>
        <w:rPr>
          <w:rFonts w:ascii="Times New Roman" w:hAnsi="Times New Roman" w:eastAsia="楷体_GB2312" w:cs="Times New Roman"/>
          <w:kern w:val="0"/>
          <w:sz w:val="32"/>
          <w:szCs w:val="32"/>
          <w:lang w:bidi="en-US"/>
        </w:rPr>
        <w:t>旅游</w:t>
      </w:r>
      <w:r>
        <w:rPr>
          <w:rFonts w:hint="eastAsia" w:ascii="Times New Roman" w:hAnsi="Times New Roman" w:eastAsia="楷体_GB2312" w:cs="Times New Roman"/>
          <w:kern w:val="0"/>
          <w:sz w:val="32"/>
          <w:szCs w:val="32"/>
          <w:lang w:bidi="en-US"/>
        </w:rPr>
        <w:t>要素链条</w:t>
      </w:r>
      <w:bookmarkEnd w:id="71"/>
    </w:p>
    <w:p w14:paraId="2708DE24">
      <w:pPr>
        <w:ind w:firstLine="640"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紧跟旅游市场需求的持续升级和旅游产业融合的不断演进，以旅游要素为基础，对资源进行整合，对新业态进行培育，努力打造极致的旅游休闲体验，建设智慧化、规范化、标准化旅游服务标杆。</w:t>
      </w:r>
    </w:p>
    <w:p w14:paraId="5E055670">
      <w:pPr>
        <w:ind w:firstLine="643"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b/>
          <w:bCs/>
          <w:sz w:val="32"/>
          <w:szCs w:val="32"/>
        </w:rPr>
        <w:t>打造一流旅游要素。</w:t>
      </w:r>
      <w:r>
        <w:rPr>
          <w:rFonts w:ascii="Times New Roman" w:hAnsi="Times New Roman" w:eastAsia="仿宋_GB2312" w:cs="Times New Roman"/>
          <w:kern w:val="0"/>
          <w:sz w:val="32"/>
          <w:szCs w:val="32"/>
        </w:rPr>
        <w:t>集中力量推动旅游厕所、配套餐饮、游客服务平台</w:t>
      </w:r>
      <w:r>
        <w:rPr>
          <w:rFonts w:hint="eastAsia" w:ascii="Times New Roman" w:hAnsi="Times New Roman" w:eastAsia="仿宋_GB2312" w:cs="Times New Roman"/>
          <w:kern w:val="0"/>
          <w:sz w:val="32"/>
          <w:szCs w:val="32"/>
        </w:rPr>
        <w:t>、旅游集散中心</w:t>
      </w:r>
      <w:r>
        <w:rPr>
          <w:rFonts w:ascii="Times New Roman" w:hAnsi="Times New Roman" w:eastAsia="仿宋_GB2312" w:cs="Times New Roman"/>
          <w:kern w:val="0"/>
          <w:sz w:val="32"/>
          <w:szCs w:val="32"/>
        </w:rPr>
        <w:t>等重要旅游基础设施提质扩量。积极推进旅游集散中心建设，打造集旅游咨询、自驾服务、旅游专线为一体的大型综合旅游服务中心。</w:t>
      </w:r>
      <w:r>
        <w:rPr>
          <w:rFonts w:hint="eastAsia" w:ascii="Times New Roman" w:hAnsi="Times New Roman" w:eastAsia="仿宋_GB2312" w:cs="Times New Roman"/>
          <w:kern w:val="0"/>
          <w:sz w:val="32"/>
          <w:szCs w:val="32"/>
        </w:rPr>
        <w:t>依托面食集团，丰富地方小吃，</w:t>
      </w:r>
      <w:r>
        <w:rPr>
          <w:rFonts w:ascii="Times New Roman" w:hAnsi="Times New Roman" w:eastAsia="仿宋_GB2312" w:cs="Times New Roman"/>
          <w:kern w:val="0"/>
          <w:sz w:val="32"/>
          <w:szCs w:val="32"/>
        </w:rPr>
        <w:t>研发评选独具特色的蒲坂菜系推荐名录，</w:t>
      </w:r>
      <w:r>
        <w:rPr>
          <w:rFonts w:hint="eastAsia" w:ascii="Times New Roman" w:hAnsi="Times New Roman" w:eastAsia="仿宋_GB2312" w:cs="Times New Roman"/>
          <w:kern w:val="0"/>
          <w:sz w:val="32"/>
          <w:szCs w:val="32"/>
        </w:rPr>
        <w:t>打造特色街区，</w:t>
      </w:r>
      <w:r>
        <w:rPr>
          <w:rFonts w:ascii="Times New Roman" w:hAnsi="Times New Roman" w:eastAsia="仿宋_GB2312" w:cs="Times New Roman"/>
          <w:kern w:val="0"/>
          <w:sz w:val="32"/>
          <w:szCs w:val="32"/>
        </w:rPr>
        <w:t>建设示范店，</w:t>
      </w:r>
      <w:r>
        <w:rPr>
          <w:rFonts w:hint="eastAsia" w:ascii="Times New Roman" w:hAnsi="Times New Roman" w:eastAsia="仿宋_GB2312" w:cs="Times New Roman"/>
          <w:kern w:val="0"/>
          <w:sz w:val="32"/>
          <w:szCs w:val="32"/>
        </w:rPr>
        <w:t>形成具有永济特色的餐饮体系，</w:t>
      </w:r>
      <w:r>
        <w:rPr>
          <w:rFonts w:ascii="Times New Roman" w:hAnsi="Times New Roman" w:eastAsia="仿宋_GB2312" w:cs="Times New Roman"/>
          <w:kern w:val="0"/>
          <w:sz w:val="32"/>
          <w:szCs w:val="32"/>
        </w:rPr>
        <w:t>形成永济的“美食符号”。</w:t>
      </w:r>
      <w:r>
        <w:rPr>
          <w:rFonts w:hint="eastAsia" w:ascii="Times New Roman" w:hAnsi="Times New Roman" w:eastAsia="仿宋_GB2312" w:cs="Times New Roman"/>
          <w:kern w:val="0"/>
          <w:sz w:val="32"/>
          <w:szCs w:val="32"/>
        </w:rPr>
        <w:t>加快</w:t>
      </w:r>
      <w:r>
        <w:rPr>
          <w:rFonts w:ascii="Times New Roman" w:hAnsi="Times New Roman" w:eastAsia="仿宋_GB2312" w:cs="Times New Roman"/>
          <w:kern w:val="0"/>
          <w:sz w:val="32"/>
          <w:szCs w:val="32"/>
        </w:rPr>
        <w:t>希尔顿、尊悦荟等高端知名酒店，加强市内宾馆规范、改造，鼓励发展经济型连锁酒店、青年旅社、乡村旅游俱乐部等，</w:t>
      </w:r>
      <w:r>
        <w:rPr>
          <w:rFonts w:hint="eastAsia" w:ascii="Times New Roman" w:hAnsi="Times New Roman" w:eastAsia="仿宋_GB2312" w:cs="Times New Roman"/>
          <w:kern w:val="0"/>
          <w:sz w:val="32"/>
          <w:szCs w:val="32"/>
        </w:rPr>
        <w:t>在沿山沿黄沿景区大力发展晋南特色民宿，</w:t>
      </w:r>
      <w:r>
        <w:rPr>
          <w:rFonts w:ascii="Times New Roman" w:hAnsi="Times New Roman" w:eastAsia="仿宋_GB2312" w:cs="Times New Roman"/>
          <w:kern w:val="0"/>
          <w:sz w:val="32"/>
          <w:szCs w:val="32"/>
        </w:rPr>
        <w:t>构建以星级酒店为龙头</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快捷酒店为主体</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乡村民宿为补充的旅游住宿体系。优化主要景区公交线路，构建“城景快捷通达、景景环线串联、指示标识完备”的旅游交通网络。</w:t>
      </w:r>
      <w:r>
        <w:rPr>
          <w:rFonts w:hint="eastAsia" w:ascii="Times New Roman" w:hAnsi="Times New Roman" w:eastAsia="仿宋_GB2312" w:cs="Times New Roman"/>
          <w:kern w:val="0"/>
          <w:sz w:val="32"/>
          <w:szCs w:val="32"/>
        </w:rPr>
        <w:t>打造“永济礼物”旗舰店，让旅客玩的开心、住的舒心、购的放心。</w:t>
      </w:r>
    </w:p>
    <w:p w14:paraId="075F54A4">
      <w:pPr>
        <w:ind w:firstLine="643"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打造一流旅游服务。</w:t>
      </w:r>
      <w:r>
        <w:rPr>
          <w:rFonts w:ascii="Times New Roman" w:hAnsi="Times New Roman" w:eastAsia="仿宋_GB2312" w:cs="Times New Roman"/>
          <w:color w:val="000000"/>
          <w:sz w:val="32"/>
          <w:szCs w:val="32"/>
        </w:rPr>
        <w:t>规范旅游服务市场，聚焦景区景点、宾馆饭店、民宿客栈、旅游乡村、旅游客运等，突出主题、特色和品质，开展行业标准化建设，打造一批省级以上认证的旅游服务产品。强化对景区景点、旅行社和导游人员的服务监管，引导从业人员不断提升服务水平</w:t>
      </w:r>
      <w:r>
        <w:rPr>
          <w:rFonts w:hint="eastAsia" w:ascii="Times New Roman" w:hAnsi="Times New Roman" w:eastAsia="仿宋_GB2312" w:cs="Times New Roman"/>
          <w:color w:val="000000"/>
          <w:sz w:val="32"/>
          <w:szCs w:val="32"/>
        </w:rPr>
        <w:t>，建设智慧化、规范化、标准化服务标杆</w:t>
      </w:r>
      <w:r>
        <w:rPr>
          <w:rFonts w:ascii="Times New Roman" w:hAnsi="Times New Roman" w:eastAsia="仿宋_GB2312" w:cs="Times New Roman"/>
          <w:color w:val="000000"/>
          <w:sz w:val="32"/>
          <w:szCs w:val="32"/>
        </w:rPr>
        <w:t>。扶持发展与旅游业相关的服务行业协会，发挥行业组织在营造公平竞争环境、促进行业自律、服务企业经营管理等方面的作用。</w:t>
      </w:r>
    </w:p>
    <w:p w14:paraId="3BBA384B">
      <w:pPr>
        <w:ind w:firstLine="643"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加快智慧旅游建设。</w:t>
      </w:r>
      <w:r>
        <w:rPr>
          <w:rFonts w:ascii="Times New Roman" w:hAnsi="Times New Roman" w:eastAsia="仿宋_GB2312" w:cs="Times New Roman"/>
          <w:kern w:val="0"/>
          <w:sz w:val="32"/>
          <w:szCs w:val="32"/>
        </w:rPr>
        <w:t>以提升游客服务质量为核心，重点推动文化旅游云数据库平台、文化旅游官方门户网站平台、智慧文旅技术应用平台建设。全面实施“互联网+旅游”战略，建设华夏经典文化旅游区、五老峰、神潭大峡谷、雪花山4个智慧旅游示范景区，分类型推进一批智慧小镇、智慧自驾旅游、智慧旅游街区以及智慧乡村旅游试点，在市区、A级以上景区等重点区域实现WiFi全覆盖。建立永济旅游电商服务平台，研究开发永济旅游手机软件（APP），全面实现景区门票、住宿餐饮、商品销售线上线下无缝衔接。</w:t>
      </w:r>
    </w:p>
    <w:p w14:paraId="7A5E2657">
      <w:pPr>
        <w:ind w:firstLine="643"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b/>
          <w:bCs/>
          <w:sz w:val="32"/>
          <w:szCs w:val="32"/>
        </w:rPr>
        <w:t>统筹全域精准营销。</w:t>
      </w:r>
      <w:r>
        <w:rPr>
          <w:rFonts w:ascii="Times New Roman" w:hAnsi="Times New Roman" w:eastAsia="仿宋_GB2312" w:cs="Times New Roman"/>
          <w:kern w:val="0"/>
          <w:sz w:val="32"/>
          <w:szCs w:val="32"/>
        </w:rPr>
        <w:t>坚持省内省外并重，线上线下互动，提升完善旅游宣传口号和形象标识，做大客源市场，做亮品牌形象。主动对接重点客源地旅行社，全面推介鹳雀楼大唐陪都文化游精品线路，迅速提高线路知名度和影响力。充分发挥微信、微博、抖音等新媒体作用，加强文化旅游产品网络宣传。采取政府引导、企业主体、市场运作、社会参与模式，继续办好五老峰登山节、鹳雀楼诗歌文化节、普救寺爱情文化节</w:t>
      </w:r>
      <w:r>
        <w:rPr>
          <w:rFonts w:hint="eastAsia" w:ascii="Times New Roman" w:hAnsi="Times New Roman" w:eastAsia="仿宋_GB2312" w:cs="Times New Roman"/>
          <w:kern w:val="0"/>
          <w:sz w:val="32"/>
          <w:szCs w:val="32"/>
        </w:rPr>
        <w:t>和2021年山西鼓乐大赛</w:t>
      </w:r>
      <w:r>
        <w:rPr>
          <w:rFonts w:ascii="Times New Roman" w:hAnsi="Times New Roman" w:eastAsia="仿宋_GB2312" w:cs="Times New Roman"/>
          <w:kern w:val="0"/>
          <w:sz w:val="32"/>
          <w:szCs w:val="32"/>
        </w:rPr>
        <w:t>等特色活动，重点打造五老峰朝峰庙会、雪花山玉皇庙会、万固寺祈福庙会、舜帝山龙王庙会等传统特色庙会活动，做活鹳雀楼灯光音乐节、唐风美食街等夜间特色活动</w:t>
      </w:r>
      <w:r>
        <w:rPr>
          <w:rFonts w:hint="eastAsia" w:ascii="Times New Roman" w:hAnsi="Times New Roman" w:eastAsia="仿宋_GB2312" w:cs="Times New Roman"/>
          <w:kern w:val="0"/>
          <w:sz w:val="32"/>
          <w:szCs w:val="32"/>
        </w:rPr>
        <w:t>。充分发挥体育场馆作用，积极争取更多高端体育赛事在永济举办，精心筹划鹳雀楼至伍姓湖全程马拉松，以体育赛事串联六大景区</w:t>
      </w:r>
      <w:r>
        <w:rPr>
          <w:rFonts w:hint="eastAsia" w:ascii="仿宋_GB2312" w:hAnsi="仿宋_GB2312" w:eastAsia="仿宋_GB2312" w:cs="仿宋_GB2312"/>
          <w:sz w:val="36"/>
          <w:szCs w:val="36"/>
        </w:rPr>
        <w:t>。</w:t>
      </w:r>
      <w:r>
        <w:rPr>
          <w:rFonts w:ascii="Times New Roman" w:hAnsi="Times New Roman" w:eastAsia="仿宋_GB2312" w:cs="Times New Roman"/>
          <w:kern w:val="0"/>
          <w:sz w:val="32"/>
          <w:szCs w:val="32"/>
        </w:rPr>
        <w:t>通过名节、名会、名吃和手工艺美术精品，让更多的游客了解永济、走进永济，叫响“舜风唐韵•魅力永济”品牌。</w:t>
      </w:r>
    </w:p>
    <w:p w14:paraId="32B2733D">
      <w:pPr>
        <w:spacing w:beforeLines="50" w:afterLines="50"/>
        <w:jc w:val="center"/>
        <w:outlineLvl w:val="1"/>
        <w:rPr>
          <w:rFonts w:ascii="Times New Roman" w:hAnsi="Times New Roman" w:eastAsia="楷体_GB2312" w:cs="Times New Roman"/>
          <w:kern w:val="0"/>
          <w:sz w:val="32"/>
          <w:szCs w:val="32"/>
          <w:lang w:bidi="en-US"/>
        </w:rPr>
      </w:pPr>
      <w:bookmarkStart w:id="72" w:name="_Toc68253251"/>
      <w:r>
        <w:rPr>
          <w:rFonts w:ascii="Times New Roman" w:hAnsi="Times New Roman" w:eastAsia="楷体_GB2312" w:cs="Times New Roman"/>
          <w:kern w:val="0"/>
          <w:sz w:val="32"/>
          <w:szCs w:val="32"/>
          <w:lang w:bidi="en-US"/>
        </w:rPr>
        <w:t>第三节  推进文化旅游深度融合</w:t>
      </w:r>
      <w:bookmarkEnd w:id="72"/>
    </w:p>
    <w:p w14:paraId="1F0E5ED8">
      <w:pPr>
        <w:ind w:firstLine="640"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充分发挥我市文化资源优势，突出特色、挖掘内涵，加大文化资源、文化设施的旅游开发，按照“宜融则融，能融尽融，以文促旅，以旅彰文”的要求，让文化和旅游协调推进、融合发展更紧密更有效。</w:t>
      </w:r>
    </w:p>
    <w:p w14:paraId="48C5B038">
      <w:pPr>
        <w:ind w:firstLine="643"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b/>
          <w:bCs/>
          <w:sz w:val="32"/>
          <w:szCs w:val="32"/>
        </w:rPr>
        <w:t>大力传承永济历史文脉。</w:t>
      </w:r>
      <w:r>
        <w:rPr>
          <w:rFonts w:ascii="Times New Roman" w:hAnsi="Times New Roman" w:eastAsia="仿宋_GB2312" w:cs="Times New Roman"/>
          <w:kern w:val="0"/>
          <w:sz w:val="32"/>
          <w:szCs w:val="32"/>
        </w:rPr>
        <w:t>深度挖掘虞舜德孝文化、鹳雀楼诗歌文化、普救寺爱情文化、柳宗元廉吏文化等品牌内涵，认真收集整理乡风民俗、民间传说、风景区故事等民族民俗文化遗产，精心创作体现永济文化底蕴、展现永济地域风情、提升永济对外形象的文艺精品。出版一批文化书籍，出刊一批摄影、书法、绘画作品，编排一批承载旅游风光和本地特色民风民俗为内容的歌舞，拍摄一批反映永济题材的电影、电视剧，创作一批经典歌曲，打造一批反映蒲坂厚重历史文化的演艺精品，培养一批手工艺美术品制作人才。扶持充分利用文化品牌资源和各种文物古迹、博物馆、纪念馆、陈列馆、文化园，建设一批具有我市地域特色的文化旅游基地和民俗文化生态旅游村（镇）。</w:t>
      </w:r>
    </w:p>
    <w:p w14:paraId="4732A0A4">
      <w:pPr>
        <w:widowControl w:val="0"/>
        <w:wordWrap/>
        <w:adjustRightInd/>
        <w:snapToGrid/>
        <w:spacing w:line="580" w:lineRule="exact"/>
        <w:ind w:left="0" w:leftChars="0" w:right="0" w:firstLine="643" w:firstLineChars="200"/>
        <w:jc w:val="both"/>
        <w:textAlignment w:val="auto"/>
        <w:outlineLvl w:val="9"/>
        <w:rPr>
          <w:rFonts w:ascii="Times New Roman" w:hAnsi="Times New Roman" w:eastAsia="仿宋_GB2312" w:cs="Times New Roman"/>
        </w:rPr>
      </w:pPr>
      <w:r>
        <w:rPr>
          <w:rFonts w:ascii="Times New Roman" w:hAnsi="Times New Roman" w:eastAsia="仿宋_GB2312" w:cs="Times New Roman"/>
          <w:b/>
          <w:bCs/>
          <w:kern w:val="0"/>
          <w:sz w:val="32"/>
          <w:szCs w:val="32"/>
        </w:rPr>
        <w:t>加强文物和非物质文化遗产保护传承。</w:t>
      </w:r>
      <w:r>
        <w:rPr>
          <w:rFonts w:ascii="Times New Roman" w:hAnsi="Times New Roman" w:eastAsia="仿宋_GB2312" w:cs="Times New Roman"/>
          <w:kern w:val="0"/>
          <w:sz w:val="32"/>
          <w:szCs w:val="32"/>
        </w:rPr>
        <w:t>围绕重点非遗保护项目和景区文化定位，继续推进非遗项目进景区，开展演艺作品的策划编排、推广交流。多元推广戏曲、曲艺、舞剧等，推进《西厢记》《旗亭画壁》《长旺背冰》</w:t>
      </w:r>
      <w:r>
        <w:rPr>
          <w:rFonts w:hint="eastAsia" w:ascii="Times New Roman" w:hAnsi="Times New Roman" w:eastAsia="仿宋_GB2312" w:cs="Times New Roman"/>
          <w:kern w:val="0"/>
          <w:sz w:val="32"/>
          <w:szCs w:val="32"/>
        </w:rPr>
        <w:t>、《永济道情》</w:t>
      </w:r>
      <w:r>
        <w:rPr>
          <w:rFonts w:ascii="Times New Roman" w:hAnsi="Times New Roman" w:eastAsia="仿宋_GB2312" w:cs="Times New Roman"/>
          <w:kern w:val="0"/>
          <w:sz w:val="32"/>
          <w:szCs w:val="32"/>
        </w:rPr>
        <w:t>等演艺精品实景演出。加强手工艺美术品的保护传承发展，建立永济工艺美术馆，扩大具有非遗性质、地域文化特色的手工艺美术品制作。做好永济文创IP大学问，重点依托全市国保文物和国家级非遗项目，打造永济的文创特色标签，实现文化创意到文创经济转化。认真贯彻“保护为主、抢救第一、合理利用、加强管理”的文物工作方针，加快建设蒲津渡与蒲州故城国家考古遗址公园，保护文物资源，挖掘文物内涵</w:t>
      </w:r>
      <w:r>
        <w:rPr>
          <w:rFonts w:hint="eastAsia" w:ascii="Times New Roman" w:hAnsi="Times New Roman" w:eastAsia="仿宋_GB2312" w:cs="Times New Roman"/>
          <w:kern w:val="0"/>
          <w:sz w:val="32"/>
          <w:szCs w:val="32"/>
        </w:rPr>
        <w:t>，让文物活起来</w:t>
      </w:r>
      <w:r>
        <w:rPr>
          <w:rFonts w:ascii="Times New Roman" w:hAnsi="Times New Roman" w:eastAsia="仿宋_GB2312" w:cs="Times New Roman"/>
          <w:kern w:val="0"/>
          <w:sz w:val="32"/>
          <w:szCs w:val="32"/>
        </w:rPr>
        <w:t>。</w:t>
      </w:r>
    </w:p>
    <w:p w14:paraId="09830A41">
      <w:pPr>
        <w:widowControl w:val="0"/>
        <w:wordWrap/>
        <w:adjustRightInd/>
        <w:snapToGrid/>
        <w:spacing w:after="160" w:afterLines="50" w:line="580" w:lineRule="exact"/>
        <w:ind w:left="0" w:leftChars="0" w:right="0" w:firstLine="643"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lang w:bidi="en-US"/>
        </w:rPr>
        <w:t>深化文旅体制机制改革。</w:t>
      </w:r>
      <w:r>
        <w:rPr>
          <w:rFonts w:ascii="Times New Roman" w:hAnsi="Times New Roman" w:eastAsia="仿宋_GB2312" w:cs="Times New Roman"/>
          <w:kern w:val="0"/>
          <w:sz w:val="32"/>
          <w:szCs w:val="32"/>
        </w:rPr>
        <w:t>按照所有权、管理权、经营权三权分离原则进行资源整合，扎实推进鹳雀楼、普救寺、铁牛馆、五老峰四大国有景区体制改革。加快推进鹳雀楼旅游集团公司按照“市场化、标准化、专业化”运营管理模式，完善职业经理人制度，推进财务、营销、人事、项目整理和发展战略“五统一”，打造成为投资、建设、运营、营销“四位一体”的旅游投资运营管理综合服务商。以管理权、经营权“两权分离”为基本要求，进一步推动成立能直接参与市场竞争的市场主体或引入专业化的文旅开发、运营等机构，实现文化、文物的旅游开发专业化、公司化、市场化发展。坚持“政府引导、市场运作、社会参与”的原则，创新文化文物旅游单位运营合作机制，加强文化旅游资源市场化开发利用。</w:t>
      </w:r>
      <w:r>
        <w:rPr>
          <w:rFonts w:hint="eastAsia" w:ascii="Times New Roman" w:hAnsi="Times New Roman" w:eastAsia="仿宋_GB2312" w:cs="Times New Roman"/>
          <w:kern w:val="0"/>
          <w:sz w:val="32"/>
          <w:szCs w:val="32"/>
        </w:rPr>
        <w:t>深化“放管服”改革，加快旅游项目审批速度。</w:t>
      </w:r>
    </w:p>
    <w:tbl>
      <w:tblPr>
        <w:tblStyle w:val="19"/>
        <w:tblW w:w="88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14:paraId="39259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8880" w:type="dxa"/>
            <w:vAlign w:val="top"/>
          </w:tcPr>
          <w:p w14:paraId="1D39752D">
            <w:pPr>
              <w:jc w:val="both"/>
              <w:rPr>
                <w:rFonts w:ascii="Times New Roman" w:hAnsi="Times New Roman" w:eastAsia="仿宋_GB2312" w:cs="Times New Roman"/>
                <w:sz w:val="24"/>
                <w:szCs w:val="24"/>
              </w:rPr>
            </w:pPr>
            <w:r>
              <w:rPr>
                <w:rFonts w:hint="eastAsia" w:ascii="黑体" w:hAnsi="黑体" w:eastAsia="黑体" w:cs="黑体"/>
                <w:sz w:val="28"/>
                <w:szCs w:val="28"/>
              </w:rPr>
              <w:t>专栏</w:t>
            </w:r>
            <w:r>
              <w:rPr>
                <w:rFonts w:ascii="黑体" w:hAnsi="黑体" w:eastAsia="黑体" w:cs="黑体"/>
                <w:sz w:val="28"/>
                <w:szCs w:val="28"/>
              </w:rPr>
              <w:t>8</w:t>
            </w:r>
            <w:r>
              <w:rPr>
                <w:rFonts w:hint="eastAsia" w:ascii="黑体" w:hAnsi="黑体" w:eastAsia="黑体" w:cs="黑体"/>
                <w:sz w:val="28"/>
                <w:szCs w:val="28"/>
              </w:rPr>
              <w:t>：“十四五”文物保护项目</w:t>
            </w:r>
          </w:p>
        </w:tc>
      </w:tr>
      <w:tr w14:paraId="0254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1" w:hRule="atLeast"/>
        </w:trPr>
        <w:tc>
          <w:tcPr>
            <w:tcW w:w="8880" w:type="dxa"/>
            <w:vAlign w:val="top"/>
          </w:tcPr>
          <w:p w14:paraId="24D1F525">
            <w:pPr>
              <w:adjustRightInd w:val="0"/>
              <w:snapToGrid w:val="0"/>
              <w:spacing w:beforeLines="50" w:line="360" w:lineRule="exact"/>
              <w:ind w:firstLine="422" w:firstLineChars="200"/>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国保文物保护工程8个。</w:t>
            </w:r>
            <w:r>
              <w:rPr>
                <w:rFonts w:hint="eastAsia" w:ascii="方正小标宋简体" w:hAnsi="方正小标宋简体" w:eastAsia="方正小标宋简体" w:cs="方正小标宋简体"/>
                <w:szCs w:val="21"/>
              </w:rPr>
              <w:t>包括①蒲津渡遗址保护工程3个：1号铁人手臂保护项目前期勘察、铁质文物群地下阴极保护设施更新改造、铁质文物数字化信息采集项目。②万固寺保护修缮工程，对寺内的大雄宝殿、无梁殿、多宝佛塔等进行保护修缮。③扁鹊庙保护工程2个：塑像壁画修复保护、环境整治工程。④解粱故城环境整治工程。⑤栖岩寺保护和环境整治工程。⑥东姚温牌坊环境整治工程。⑦董村戏台环境整治工程。⑧蒲津渡与蒲州故城遗址文物保护修缮、环境整治和基础设施建设工程。</w:t>
            </w:r>
          </w:p>
          <w:p w14:paraId="7E53969F">
            <w:pPr>
              <w:adjustRightInd w:val="0"/>
              <w:snapToGrid w:val="0"/>
              <w:spacing w:line="360" w:lineRule="exact"/>
              <w:ind w:firstLine="422" w:firstLineChars="200"/>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省保文物保护工程2个。</w:t>
            </w:r>
            <w:r>
              <w:rPr>
                <w:rFonts w:hint="eastAsia" w:ascii="方正小标宋简体" w:hAnsi="方正小标宋简体" w:eastAsia="方正小标宋简体" w:cs="方正小标宋简体"/>
                <w:szCs w:val="21"/>
              </w:rPr>
              <w:t>伯夷叔齐墓环境整治工程、杨瞻及其家族墓地碑刻修复。</w:t>
            </w:r>
          </w:p>
          <w:p w14:paraId="0844283E">
            <w:pPr>
              <w:adjustRightInd w:val="0"/>
              <w:snapToGrid w:val="0"/>
              <w:spacing w:line="360" w:lineRule="exact"/>
              <w:ind w:firstLine="422" w:firstLineChars="200"/>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市保文物保护工程3个。</w:t>
            </w:r>
            <w:r>
              <w:rPr>
                <w:rFonts w:hint="eastAsia" w:ascii="方正小标宋简体" w:hAnsi="方正小标宋简体" w:eastAsia="方正小标宋简体" w:cs="方正小标宋简体"/>
                <w:szCs w:val="21"/>
              </w:rPr>
              <w:t>陈村伯王庙抬升保护工程、新街药王庙保护修缮工程、阎敬铭别墅围墙抢险保护工程、孙常大佛寺保护工程。</w:t>
            </w:r>
          </w:p>
          <w:p w14:paraId="471C4843">
            <w:pPr>
              <w:adjustRightInd w:val="0"/>
              <w:snapToGrid w:val="0"/>
              <w:spacing w:line="360" w:lineRule="exact"/>
              <w:ind w:firstLine="422" w:firstLineChars="200"/>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红色革命文物保护工程2个。</w:t>
            </w:r>
            <w:r>
              <w:rPr>
                <w:rFonts w:hint="eastAsia" w:ascii="方正小标宋简体" w:hAnsi="方正小标宋简体" w:eastAsia="方正小标宋简体" w:cs="方正小标宋简体"/>
                <w:szCs w:val="21"/>
              </w:rPr>
              <w:t>李雪峰故居保护修缮工程、郑林生平及红色书法展。</w:t>
            </w:r>
          </w:p>
          <w:p w14:paraId="5C7B6C20">
            <w:pPr>
              <w:adjustRightInd w:val="0"/>
              <w:snapToGrid w:val="0"/>
              <w:spacing w:line="360" w:lineRule="exact"/>
              <w:ind w:firstLine="422" w:firstLineChars="200"/>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博物馆工程8个。</w:t>
            </w:r>
            <w:r>
              <w:rPr>
                <w:rFonts w:hint="eastAsia" w:ascii="方正小标宋简体" w:hAnsi="方正小标宋简体" w:eastAsia="方正小标宋简体" w:cs="方正小标宋简体"/>
                <w:szCs w:val="21"/>
              </w:rPr>
              <w:t>馆藏文物修复工程5个、馆藏文物数字化保护工程、安防工程、展陈提升及临展布展。</w:t>
            </w:r>
          </w:p>
          <w:p w14:paraId="2E966958">
            <w:pPr>
              <w:adjustRightInd w:val="0"/>
              <w:snapToGrid w:val="0"/>
              <w:spacing w:afterLines="50" w:line="360" w:lineRule="exact"/>
              <w:ind w:firstLine="422" w:firstLineChars="200"/>
              <w:jc w:val="both"/>
              <w:rPr>
                <w:rFonts w:ascii="Times New Roman" w:hAnsi="Times New Roman" w:eastAsia="仿宋_GB2312" w:cs="Times New Roman"/>
                <w:b/>
                <w:sz w:val="24"/>
                <w:szCs w:val="24"/>
              </w:rPr>
            </w:pPr>
            <w:r>
              <w:rPr>
                <w:rFonts w:hint="eastAsia" w:ascii="方正小标宋简体" w:hAnsi="方正小标宋简体" w:eastAsia="方正小标宋简体" w:cs="方正小标宋简体"/>
                <w:b/>
                <w:szCs w:val="21"/>
              </w:rPr>
              <w:t>永济市国保单位综合信息及智能监控平台建设项目。</w:t>
            </w:r>
          </w:p>
        </w:tc>
      </w:tr>
    </w:tbl>
    <w:p w14:paraId="42EF67D7">
      <w:pPr>
        <w:spacing w:beforeLines="50" w:afterLines="50"/>
        <w:jc w:val="center"/>
        <w:outlineLvl w:val="1"/>
        <w:rPr>
          <w:rFonts w:ascii="Times New Roman" w:hAnsi="Times New Roman" w:eastAsia="楷体_GB2312" w:cs="Times New Roman"/>
          <w:kern w:val="0"/>
          <w:sz w:val="32"/>
          <w:szCs w:val="32"/>
          <w:lang w:bidi="en-US"/>
        </w:rPr>
      </w:pPr>
      <w:bookmarkStart w:id="73" w:name="_Toc68253252"/>
      <w:r>
        <w:rPr>
          <w:rFonts w:ascii="Times New Roman" w:hAnsi="Times New Roman" w:eastAsia="楷体_GB2312" w:cs="Times New Roman"/>
          <w:kern w:val="0"/>
          <w:sz w:val="32"/>
          <w:szCs w:val="32"/>
          <w:lang w:bidi="en-US"/>
        </w:rPr>
        <w:t>第四节  建设市域公共文化高地</w:t>
      </w:r>
      <w:bookmarkEnd w:id="73"/>
    </w:p>
    <w:p w14:paraId="6A374074">
      <w:pPr>
        <w:ind w:firstLine="640"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以创建全国文明城市为抓手，以社会主义核心价值观为引领，坚持创造性转化、创新性发展，不断提高人民思想觉悟、道德水准、文明素养，提高全社会文明程度。</w:t>
      </w:r>
    </w:p>
    <w:p w14:paraId="5D0B8927">
      <w:pPr>
        <w:pStyle w:val="15"/>
        <w:widowControl w:val="0"/>
        <w:spacing w:before="0" w:beforeAutospacing="0" w:after="0" w:afterAutospacing="0"/>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大力提升社会文明程度。</w:t>
      </w:r>
      <w:r>
        <w:rPr>
          <w:rFonts w:ascii="Times New Roman" w:hAnsi="Times New Roman" w:eastAsia="仿宋_GB2312" w:cs="Times New Roman"/>
          <w:sz w:val="32"/>
          <w:szCs w:val="32"/>
        </w:rPr>
        <w:t>持续引深习近平新时代中国特色社会主义思想的学习宣传贯彻，加强爱国主义、集体主义、社会主义教育，推进公民道德建设，拓展新时代文明实践中心建设，弘扬新风正气。拓展“星级文明户”建设成果，弘扬乡贤文化，积极培育文明乡风、良好家风、淳朴民风。汲取德孝文化、诗歌文化、爱情文化、廉政文化等悠久历史文化的思想精华和道德精髓，弘扬传统美德、涵养时代精神。广泛开展志愿服务关爱行动，传递道德正能量。以提升农耕文明、振兴乡村文化为突破口，建设文化礼堂、村史馆、新时代文明实践站，通过乡村文化阵地定期举办道德讲堂，开展“十星级文明户”“我们的节日”等传统文化活动，助力移风易俗，打造乡村精神家园。</w:t>
      </w:r>
    </w:p>
    <w:p w14:paraId="30DDA665">
      <w:pPr>
        <w:pStyle w:val="15"/>
        <w:widowControl w:val="0"/>
        <w:spacing w:before="0" w:beforeAutospacing="0" w:after="0" w:afterAutospacing="0"/>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color w:val="000000"/>
          <w:sz w:val="32"/>
          <w:szCs w:val="32"/>
        </w:rPr>
        <w:t>推动文艺文化繁荣发展。</w:t>
      </w:r>
      <w:r>
        <w:rPr>
          <w:rFonts w:ascii="Times New Roman" w:hAnsi="Times New Roman" w:eastAsia="仿宋_GB2312" w:cs="Times New Roman"/>
          <w:color w:val="000000"/>
          <w:sz w:val="32"/>
          <w:szCs w:val="32"/>
        </w:rPr>
        <w:t>全面繁荣新闻出版、广播影视、文学艺术等事业，精心梳理永济特色文化元素，</w:t>
      </w:r>
      <w:r>
        <w:rPr>
          <w:rFonts w:ascii="Times New Roman" w:hAnsi="Times New Roman" w:eastAsia="仿宋_GB2312" w:cs="Times New Roman"/>
          <w:sz w:val="32"/>
          <w:szCs w:val="32"/>
        </w:rPr>
        <w:t>以尧舜德孝文化为标杆，深入挖掘蒲坂文化的丰富内涵，</w:t>
      </w:r>
      <w:r>
        <w:rPr>
          <w:rFonts w:ascii="Times New Roman" w:hAnsi="Times New Roman" w:eastAsia="仿宋_GB2312" w:cs="Times New Roman"/>
          <w:color w:val="000000"/>
          <w:sz w:val="32"/>
          <w:szCs w:val="32"/>
        </w:rPr>
        <w:t>不断推出反映时代新气象、讴歌人民新创造的文艺精品。力争到2025年，打造1-2部省级以上文化精品。推进媒体深度融合，做强新型主流媒体，建强用好融媒体中心。抓住全省实施新时代“文化晋军”人才工程的契机，培育一批基层文化工作者、优秀文化人才、高端文艺人才团队，为建设文化强市提供人才支撑。</w:t>
      </w:r>
      <w:r>
        <w:rPr>
          <w:rFonts w:ascii="Times New Roman" w:hAnsi="Times New Roman" w:eastAsia="仿宋_GB2312" w:cs="Times New Roman"/>
          <w:sz w:val="32"/>
          <w:szCs w:val="32"/>
        </w:rPr>
        <w:t>开辟“利用国家平台、讲好永济故事”的宣传新路子，形成“讲述精彩故事、打造魅力永济”的强大合力，提升</w:t>
      </w:r>
      <w:r>
        <w:rPr>
          <w:rFonts w:hint="eastAsia" w:ascii="Times New Roman" w:hAnsi="Times New Roman" w:eastAsia="仿宋_GB2312" w:cs="Times New Roman"/>
          <w:sz w:val="32"/>
          <w:szCs w:val="32"/>
        </w:rPr>
        <w:t>“舜风唐韵、魅力永济”</w:t>
      </w:r>
      <w:r>
        <w:rPr>
          <w:rFonts w:ascii="Times New Roman" w:hAnsi="Times New Roman" w:eastAsia="仿宋_GB2312" w:cs="Times New Roman"/>
          <w:sz w:val="32"/>
          <w:szCs w:val="32"/>
        </w:rPr>
        <w:t>的对外影响力。</w:t>
      </w:r>
    </w:p>
    <w:p w14:paraId="77FC0839">
      <w:pPr>
        <w:pStyle w:val="17"/>
        <w:spacing w:line="580"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深入实施文化惠民工程。</w:t>
      </w:r>
      <w:r>
        <w:rPr>
          <w:rFonts w:ascii="Times New Roman" w:hAnsi="Times New Roman" w:eastAsia="仿宋_GB2312"/>
          <w:color w:val="000000"/>
          <w:sz w:val="32"/>
          <w:szCs w:val="32"/>
        </w:rPr>
        <w:t>继续搭建公益性公共文化服务新平台，广泛开展文化志愿者活动，持续开展免费送戏下乡、农村电影放映、全民阅读等多种公益性文化活动，丰富人民群众精神文化产品。</w:t>
      </w:r>
      <w:r>
        <w:rPr>
          <w:rFonts w:hint="eastAsia" w:ascii="仿宋_GB2312" w:hAnsi="仿宋_GB2312" w:eastAsia="仿宋_GB2312" w:cs="仿宋_GB2312"/>
          <w:sz w:val="32"/>
          <w:szCs w:val="32"/>
        </w:rPr>
        <w:t>充分发挥文化中心主阵地作用，引进深圳聚橙院线管理有限公司，为全市人民呈现丰富多彩的文化大餐。</w:t>
      </w:r>
      <w:r>
        <w:rPr>
          <w:rFonts w:ascii="Times New Roman" w:hAnsi="Times New Roman" w:eastAsia="仿宋_GB2312"/>
          <w:color w:val="000000"/>
          <w:sz w:val="32"/>
          <w:szCs w:val="32"/>
        </w:rPr>
        <w:t>巩固提升现有公共文化设施建设，实现基本公共文化设施全面达标。加强街道图书分馆、镇综合文化站、村（社区）综合性文化服务中心建设，实现基层公共文化设施100%全覆盖。</w:t>
      </w:r>
      <w:r>
        <w:rPr>
          <w:rFonts w:ascii="Times New Roman" w:hAnsi="Times New Roman" w:eastAsia="仿宋_GB2312"/>
          <w:sz w:val="32"/>
          <w:szCs w:val="32"/>
        </w:rPr>
        <w:t>加快推动</w:t>
      </w:r>
      <w:r>
        <w:rPr>
          <w:rFonts w:ascii="Times New Roman" w:hAnsi="Times New Roman" w:eastAsia="仿宋_GB2312"/>
          <w:color w:val="000000"/>
          <w:sz w:val="32"/>
          <w:szCs w:val="32"/>
        </w:rPr>
        <w:t>公共文化服务数字化、便捷化、精准化，</w:t>
      </w:r>
      <w:r>
        <w:rPr>
          <w:rFonts w:ascii="Times New Roman" w:hAnsi="Times New Roman" w:eastAsia="仿宋_GB2312"/>
          <w:sz w:val="32"/>
          <w:szCs w:val="32"/>
        </w:rPr>
        <w:t>丰富公共文化产品和服务供给，以政府购买服务的方式，实现全市有线电视免费收看，更好满足人民群众日益增长的精神文化生活需求。</w:t>
      </w:r>
    </w:p>
    <w:p w14:paraId="7BCDFB79">
      <w:pPr>
        <w:jc w:val="both"/>
      </w:pPr>
      <w:r>
        <w:br w:type="page"/>
      </w:r>
    </w:p>
    <w:p w14:paraId="2CC15E72">
      <w:pPr>
        <w:spacing w:beforeLines="50" w:afterLines="50"/>
        <w:jc w:val="center"/>
        <w:outlineLvl w:val="1"/>
        <w:rPr>
          <w:rFonts w:ascii="Times New Roman" w:hAnsi="Times New Roman" w:eastAsia="黑体" w:cs="Times New Roman"/>
          <w:spacing w:val="-6"/>
          <w:sz w:val="32"/>
          <w:szCs w:val="32"/>
        </w:rPr>
      </w:pPr>
      <w:bookmarkStart w:id="74" w:name="_Toc68253253"/>
      <w:r>
        <w:rPr>
          <w:rFonts w:hint="eastAsia" w:ascii="Times New Roman" w:hAnsi="Times New Roman" w:eastAsia="黑体" w:cs="Times New Roman"/>
          <w:spacing w:val="-6"/>
          <w:sz w:val="32"/>
          <w:szCs w:val="32"/>
        </w:rPr>
        <w:t>第六章  大力提升城市品质，建设中国北方美丽宜居山水城市</w:t>
      </w:r>
      <w:bookmarkEnd w:id="74"/>
    </w:p>
    <w:p w14:paraId="787772F2">
      <w:pPr>
        <w:spacing w:line="62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以国土空间规划为引领，</w:t>
      </w:r>
      <w:r>
        <w:rPr>
          <w:rFonts w:ascii="Times New Roman" w:hAnsi="Times New Roman" w:eastAsia="仿宋_GB2312" w:cs="Times New Roman"/>
          <w:kern w:val="0"/>
          <w:sz w:val="32"/>
          <w:szCs w:val="32"/>
        </w:rPr>
        <w:t>严格规划管控，坚持以城带乡、城乡并重，实施城市更新行动，完善生活功能、补齐公共设施短板，完善产业功能、打造就业创新载体，完善生态功能、保护修复绿地绿廊绿道，完善人文功能、积淀文化元素魅力，完善安全功能、增加防灾减灾能力，</w:t>
      </w:r>
      <w:r>
        <w:rPr>
          <w:rFonts w:ascii="Times New Roman" w:hAnsi="Times New Roman" w:eastAsia="仿宋_GB2312" w:cs="Times New Roman"/>
          <w:sz w:val="32"/>
          <w:szCs w:val="32"/>
        </w:rPr>
        <w:t>推动将我市建设成为山水相融、人文荟萃、产业融合、独具魅力的精致城市，打造“山、水、人、城”共生相融的示范城市</w:t>
      </w:r>
      <w:r>
        <w:rPr>
          <w:rFonts w:hint="eastAsia" w:ascii="Times New Roman" w:hAnsi="Times New Roman" w:eastAsia="仿宋_GB2312" w:cs="Times New Roman"/>
          <w:sz w:val="32"/>
          <w:szCs w:val="32"/>
        </w:rPr>
        <w:t>，不断增强城乡发展的联动性、引领性、整体性。</w:t>
      </w:r>
    </w:p>
    <w:p w14:paraId="6D9539F7">
      <w:pPr>
        <w:pStyle w:val="17"/>
        <w:spacing w:beforeLines="50" w:afterLines="50"/>
        <w:ind w:firstLine="0"/>
        <w:jc w:val="both"/>
        <w:outlineLvl w:val="1"/>
        <w:rPr>
          <w:rFonts w:ascii="Times New Roman" w:hAnsi="Times New Roman" w:eastAsia="楷体_GB2312"/>
          <w:color w:val="000000"/>
          <w:sz w:val="32"/>
          <w:szCs w:val="32"/>
        </w:rPr>
      </w:pPr>
      <w:bookmarkStart w:id="75" w:name="_Toc68253254"/>
      <w:r>
        <w:rPr>
          <w:rFonts w:ascii="Times New Roman" w:hAnsi="Times New Roman" w:eastAsia="楷体_GB2312"/>
          <w:kern w:val="0"/>
          <w:sz w:val="32"/>
          <w:szCs w:val="32"/>
          <w:lang w:bidi="en-US"/>
        </w:rPr>
        <w:t>第一节  构建</w:t>
      </w:r>
      <w:r>
        <w:rPr>
          <w:rFonts w:ascii="Times New Roman" w:hAnsi="Times New Roman" w:eastAsia="楷体_GB2312"/>
          <w:color w:val="000000"/>
          <w:kern w:val="0"/>
          <w:sz w:val="32"/>
          <w:szCs w:val="32"/>
          <w:lang w:bidi="en-US"/>
        </w:rPr>
        <w:t>新型城镇化发展格局</w:t>
      </w:r>
      <w:bookmarkEnd w:id="75"/>
    </w:p>
    <w:p w14:paraId="70CF2BEA">
      <w:pPr>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统筹布局城镇生产、生活、生态，调整优化市域城镇体系，完善“142”城市功能布局，全面推进城乡融合发展，</w:t>
      </w:r>
      <w:r>
        <w:rPr>
          <w:rFonts w:ascii="Times New Roman" w:hAnsi="Times New Roman" w:eastAsia="仿宋_GB2312" w:cs="Times New Roman"/>
          <w:color w:val="000000"/>
          <w:sz w:val="32"/>
          <w:szCs w:val="32"/>
        </w:rPr>
        <w:t>形成连接顺畅、城乡互动、功能互补、特色鲜明的新型城镇体系。</w:t>
      </w:r>
    </w:p>
    <w:p w14:paraId="22B7E3F9">
      <w:pPr>
        <w:spacing w:line="580" w:lineRule="exact"/>
        <w:ind w:firstLine="643" w:firstLineChars="200"/>
        <w:jc w:val="both"/>
        <w:rPr>
          <w:rFonts w:ascii="Times New Roman" w:hAnsi="Times New Roman" w:eastAsia="仿宋_GB2312" w:cs="Times New Roman"/>
          <w:sz w:val="36"/>
          <w:szCs w:val="36"/>
        </w:rPr>
      </w:pPr>
      <w:r>
        <w:rPr>
          <w:rFonts w:hint="eastAsia" w:ascii="Times New Roman" w:hAnsi="Times New Roman" w:eastAsia="仿宋_GB2312" w:cs="Times New Roman"/>
          <w:b/>
          <w:bCs/>
          <w:sz w:val="32"/>
          <w:szCs w:val="32"/>
        </w:rPr>
        <w:t>构建城市发展新格局</w:t>
      </w:r>
      <w:r>
        <w:rPr>
          <w:rFonts w:ascii="Times New Roman" w:hAnsi="Times New Roman" w:eastAsia="仿宋_GB2312" w:cs="Times New Roman"/>
          <w:b/>
          <w:bCs/>
          <w:sz w:val="32"/>
          <w:szCs w:val="32"/>
        </w:rPr>
        <w:t>。</w:t>
      </w:r>
      <w:r>
        <w:rPr>
          <w:rFonts w:hint="eastAsia" w:ascii="Times New Roman" w:hAnsi="Times New Roman" w:eastAsia="仿宋_GB2312" w:cs="Times New Roman"/>
          <w:sz w:val="32"/>
          <w:szCs w:val="32"/>
        </w:rPr>
        <w:t>坚持“一个尊重、五个统筹”，围绕“142”功能布局，坚持高起点规划、高标准建设、高水平管理，大力推进南部新区建设，打造高质量产城融合示范区。加快七社村城中村改造，依托体育中心“一场三馆”和黄河大道拓宽改造、婚礼目的地、面食产业园等项目，打造西部时尚运动圈。依托人民医院整体搬迁、伍姓湖生态治理修复，合理布局高端康养项目，打造东部医疗康养圈。依托永济泓基产业城、久鼎物流园、永旺集市和舜都市场、蒲津市场改造提升等项目，大力引进农贸、物流、快递、食品加工等行业，打造北部农贸物流圈。以加快实施农药厂、永纺、印染厂“退二进三”厂区改造和城中村改造项目为重点，以“两下两拆两进”专项整治为抓手，以城市立面改造、永济文化元素植入为手段，积极推进城市有机更新，打造中部文化商务圈。全面加快旅游步道东扩和中条山“百里画廊风景带”建设，形成山在城中、城在林中、人在画中的城市风格，打造中条山绿色生态带。以构建山水新城为目标，启动滨河公园东扩西扩工程，把水的活力引入城市，对沿岸进行高标准规划建设，将伍姓湖与涑水河充分融合，进一步加强伍姓湖与城市的互动，形成城湖融合城市发展极，打造涑水河滨水景观带，推动滨河新区建设。依托永济高铁北站，科学规划布局，挖掘文化内涵，植入特色产业，着力打造展示永济形象的重要窗口。到2025年，基本建成布局合理、功能完善、宜居宜业的美丽宜居山水城市。</w:t>
      </w:r>
    </w:p>
    <w:p w14:paraId="4A68F20D">
      <w:pPr>
        <w:ind w:firstLine="643" w:firstLineChars="200"/>
        <w:jc w:val="both"/>
      </w:pPr>
      <w:r>
        <w:rPr>
          <w:rFonts w:hint="eastAsia" w:ascii="Times New Roman" w:hAnsi="Times New Roman" w:eastAsia="仿宋_GB2312" w:cs="Times New Roman"/>
          <w:b/>
          <w:bCs/>
          <w:sz w:val="32"/>
          <w:szCs w:val="32"/>
        </w:rPr>
        <w:t>聚力打造精品特色小镇</w:t>
      </w:r>
      <w:r>
        <w:rPr>
          <w:rFonts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按照完善功能、提高质量、节约用地、体现特色等要求，发挥比较优势，遵循产镇融合理念，找准发展定位，精心打造一批“产业特而强、功能聚而合、形态小而美”的精品特色小镇。推动张营镇依托永济高铁北站，科学规划布局，挖掘文化内涵，放大特色农业发展优势，着力打造展示永济形象的重要窗口，打造高铁小镇。推动卿头镇依托农副产品深加工基地建设，打造市域东北部以种植、养殖和农产品加工为主的特色农业小镇。推动虞乡镇依托国家级风景名胜区的服务基地建设，打造市域东南部以旅游带动商贸发展为主的旅游商贸小镇。推动蒲州镇整合周边乡镇旅游资源，大力发展旅游服务业，打造市域西部以旅游服务业为主的特色旅游小镇。推动栲栳镇重点发展种植、养殖和商贸业，打造市域北部以绿色种养殖和现代服务业为主的特色农业小镇。推动韩阳镇以农为主，工商并举，打造黄河金三角地区交易集散小镇。推动开张镇以发展特色农业和乡村旅游为主，打造“永济冬枣”种植、观光小镇。</w:t>
      </w:r>
    </w:p>
    <w:p w14:paraId="4BCFE094">
      <w:pPr>
        <w:ind w:firstLine="643" w:firstLineChars="200"/>
        <w:jc w:val="both"/>
        <w:rPr>
          <w:rFonts w:ascii="Times New Roman" w:hAnsi="Times New Roman" w:eastAsia="仿宋" w:cs="Times New Roman"/>
          <w:sz w:val="32"/>
          <w:szCs w:val="32"/>
        </w:rPr>
      </w:pPr>
      <w:r>
        <w:rPr>
          <w:rStyle w:val="29"/>
          <w:rFonts w:ascii="Times New Roman" w:hAnsi="Times New Roman" w:eastAsia="仿宋_GB2312" w:cs="Times New Roman"/>
          <w:b/>
          <w:bCs/>
          <w:color w:val="000000"/>
          <w:sz w:val="32"/>
          <w:szCs w:val="32"/>
        </w:rPr>
        <w:t>全面推进城乡融合发展。</w:t>
      </w:r>
      <w:r>
        <w:rPr>
          <w:rFonts w:ascii="Times New Roman" w:hAnsi="Times New Roman" w:eastAsia="仿宋_GB2312" w:cs="Times New Roman"/>
          <w:sz w:val="32"/>
          <w:szCs w:val="32"/>
        </w:rPr>
        <w:t>坚持新型城镇化和城乡融合发展，增强城镇对乡村的带动能力，促进各类要素向乡村流动，</w:t>
      </w:r>
      <w:r>
        <w:rPr>
          <w:rFonts w:ascii="Times New Roman" w:hAnsi="Times New Roman" w:eastAsia="仿宋_GB2312" w:cs="Times New Roman"/>
          <w:kern w:val="0"/>
          <w:sz w:val="32"/>
          <w:szCs w:val="32"/>
        </w:rPr>
        <w:t>建立健全城乡一体化发展体制机制，</w:t>
      </w:r>
      <w:r>
        <w:rPr>
          <w:rFonts w:ascii="Times New Roman" w:hAnsi="Times New Roman" w:eastAsia="仿宋_GB2312" w:cs="Times New Roman"/>
          <w:sz w:val="32"/>
          <w:szCs w:val="32"/>
        </w:rPr>
        <w:t>构建空间融合、产业融合、市场融合、社会融合新格局。统筹城乡公共基础设施建设，围绕水、电、路、气等“硬件”设施，统筹推进“四好农村路”、农村集中供热工程、城乡休闲活动场所等建设，实现城乡公共交通的互联互通，以点带面推动乡村人居环境改善提升。统筹推进城乡公共服务均等化，推动公共服务向城区周边镇村延伸、社会事业向农村覆盖，带动农业农村现代化和农民就地就近市民化。推进城市优质资源要素下乡，推动城乡要素自由流动、平等交换和公共资源合理配置。积极引导人口向城市集中，稳步推进农业转移人口市民化，不断提高户籍人口城镇化率，提升就地城镇化水平。</w:t>
      </w:r>
    </w:p>
    <w:p w14:paraId="102ECD12">
      <w:pPr>
        <w:pStyle w:val="17"/>
        <w:spacing w:beforeLines="50" w:afterLines="50"/>
        <w:ind w:firstLine="0"/>
        <w:jc w:val="both"/>
        <w:outlineLvl w:val="1"/>
        <w:rPr>
          <w:rFonts w:ascii="Times New Roman" w:hAnsi="Times New Roman" w:eastAsia="楷体_GB2312"/>
          <w:kern w:val="0"/>
          <w:sz w:val="32"/>
          <w:szCs w:val="32"/>
          <w:lang w:bidi="en-US"/>
        </w:rPr>
      </w:pPr>
      <w:bookmarkStart w:id="76" w:name="_Toc68253255"/>
    </w:p>
    <w:p w14:paraId="0C5D20D8">
      <w:pPr>
        <w:pStyle w:val="17"/>
        <w:spacing w:beforeLines="50" w:afterLines="50"/>
        <w:ind w:firstLine="0"/>
        <w:jc w:val="center"/>
        <w:outlineLvl w:val="1"/>
        <w:rPr>
          <w:rFonts w:ascii="Times New Roman" w:hAnsi="Times New Roman" w:eastAsia="楷体_GB2312"/>
          <w:kern w:val="0"/>
          <w:sz w:val="32"/>
          <w:szCs w:val="32"/>
          <w:lang w:bidi="en-US"/>
        </w:rPr>
      </w:pPr>
      <w:r>
        <w:rPr>
          <w:rFonts w:ascii="Times New Roman" w:hAnsi="Times New Roman" w:eastAsia="楷体_GB2312"/>
          <w:kern w:val="0"/>
          <w:sz w:val="32"/>
          <w:szCs w:val="32"/>
          <w:lang w:bidi="en-US"/>
        </w:rPr>
        <w:t>第二节  全面推进城市更新</w:t>
      </w:r>
      <w:bookmarkEnd w:id="76"/>
    </w:p>
    <w:p w14:paraId="2047E3A9">
      <w:pPr>
        <w:ind w:firstLine="640"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聚焦城市品质提升，完善基础设施，改善人居环境，打造“城市客厅”，推行绿色制度，倡导绿色生活，加强城镇老旧小区改造和社区建设，增强城市防洪排涝能力，建设海绵城市、韧性城市。</w:t>
      </w:r>
    </w:p>
    <w:p w14:paraId="73A1AB43">
      <w:pPr>
        <w:ind w:firstLine="643"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b/>
          <w:bCs/>
          <w:sz w:val="32"/>
          <w:szCs w:val="32"/>
        </w:rPr>
        <w:t>完善城市基础设施。</w:t>
      </w:r>
      <w:r>
        <w:rPr>
          <w:rFonts w:ascii="Times New Roman" w:hAnsi="Times New Roman" w:eastAsia="仿宋_GB2312" w:cs="Times New Roman"/>
          <w:color w:val="000000"/>
          <w:sz w:val="32"/>
          <w:szCs w:val="32"/>
        </w:rPr>
        <w:t>坚持道路建设先行，实施主干道路通达工程，配套管网全部入地。</w:t>
      </w:r>
      <w:r>
        <w:rPr>
          <w:rFonts w:ascii="Times New Roman" w:hAnsi="Times New Roman" w:eastAsia="仿宋_GB2312" w:cs="Times New Roman"/>
          <w:kern w:val="0"/>
          <w:sz w:val="32"/>
          <w:szCs w:val="32"/>
        </w:rPr>
        <w:t>统筹整合市政基础设施干线网络，建设干线综合管廊系统，提高市政管网系统整体服务能力和安全水平。</w:t>
      </w:r>
      <w:r>
        <w:rPr>
          <w:rFonts w:hint="eastAsia" w:ascii="Times New Roman" w:hAnsi="Times New Roman" w:eastAsia="仿宋_GB2312" w:cs="Times New Roman"/>
          <w:kern w:val="0"/>
          <w:sz w:val="32"/>
          <w:szCs w:val="32"/>
        </w:rPr>
        <w:t>不断优化城市电网网架，推动主干道路电网逐步由架空单敷设结构向电缆单环网结构过度，有效缩小故障停电范围，保障城市用能需求。</w:t>
      </w:r>
      <w:r>
        <w:rPr>
          <w:rFonts w:ascii="Times New Roman" w:hAnsi="Times New Roman" w:eastAsia="仿宋_GB2312" w:cs="Times New Roman"/>
          <w:color w:val="000000"/>
          <w:sz w:val="32"/>
          <w:szCs w:val="32"/>
        </w:rPr>
        <w:t>加快海绵城市建设，完善城市排水防涝设施，科学布局雨水调蓄设施，增强道路绿化带雨水消纳功能等。加大城镇污水处理设施建设力度，推动城区污水处理厂、城东污水处理厂升级改造，提高污水处理率。推进雨污分流，提高城市排涝能力。</w:t>
      </w:r>
      <w:r>
        <w:rPr>
          <w:rFonts w:ascii="Times New Roman" w:hAnsi="Times New Roman" w:eastAsia="仿宋_GB2312" w:cs="Times New Roman"/>
          <w:kern w:val="0"/>
          <w:sz w:val="32"/>
          <w:szCs w:val="32"/>
        </w:rPr>
        <w:t>推广新型智慧共享杆建设，实现资源的“共享、集约、统筹”。</w:t>
      </w:r>
      <w:r>
        <w:rPr>
          <w:rFonts w:ascii="Times New Roman" w:hAnsi="Times New Roman" w:eastAsia="仿宋_GB2312" w:cs="Times New Roman"/>
          <w:sz w:val="32"/>
          <w:szCs w:val="32"/>
        </w:rPr>
        <w:t>以“干湿分开”为重点，加强垃圾分类全链条管理，加快生活垃圾处理设施建设。高标准实施七社村城中村改造、富氏泓基产业城项目，打造城中村改造样板。积极推进棚户区、老旧小区改造，抓好房屋</w:t>
      </w:r>
      <w:r>
        <w:rPr>
          <w:rFonts w:hint="eastAsia" w:ascii="Times New Roman" w:hAnsi="Times New Roman" w:eastAsia="仿宋_GB2312" w:cs="Times New Roman"/>
          <w:sz w:val="32"/>
          <w:szCs w:val="32"/>
        </w:rPr>
        <w:t>抗震</w:t>
      </w:r>
      <w:r>
        <w:rPr>
          <w:rFonts w:ascii="Times New Roman" w:hAnsi="Times New Roman" w:eastAsia="仿宋_GB2312" w:cs="Times New Roman"/>
          <w:sz w:val="32"/>
          <w:szCs w:val="32"/>
        </w:rPr>
        <w:t>加固、庭院改造、养老服务等，让市民更加幸福，城市更有温度。</w:t>
      </w:r>
    </w:p>
    <w:p w14:paraId="7571282F">
      <w:pPr>
        <w:widowControl w:val="0"/>
        <w:wordWrap/>
        <w:adjustRightInd/>
        <w:snapToGrid/>
        <w:spacing w:line="660" w:lineRule="exact"/>
        <w:ind w:left="0" w:leftChars="0" w:right="0" w:firstLine="643"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b/>
          <w:bCs/>
          <w:sz w:val="32"/>
          <w:szCs w:val="32"/>
        </w:rPr>
        <w:t>打造城市特色风貌。</w:t>
      </w:r>
      <w:r>
        <w:rPr>
          <w:rFonts w:ascii="Times New Roman" w:hAnsi="Times New Roman" w:eastAsia="仿宋_GB2312" w:cs="Times New Roman"/>
          <w:sz w:val="32"/>
          <w:szCs w:val="32"/>
        </w:rPr>
        <w:t>严格规划管控，持续推进“两下两进两拆”专项整治，高标准打造3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5条示范街巷，呈现</w:t>
      </w:r>
      <w:r>
        <w:rPr>
          <w:rFonts w:hint="eastAsia" w:ascii="Times New Roman" w:hAnsi="Times New Roman" w:eastAsia="仿宋_GB2312" w:cs="Times New Roman"/>
          <w:sz w:val="32"/>
          <w:szCs w:val="32"/>
        </w:rPr>
        <w:t>整洁</w:t>
      </w:r>
      <w:r>
        <w:rPr>
          <w:rFonts w:ascii="Times New Roman" w:hAnsi="Times New Roman" w:eastAsia="仿宋_GB2312" w:cs="Times New Roman"/>
          <w:sz w:val="32"/>
          <w:szCs w:val="32"/>
        </w:rPr>
        <w:t>有序的城市整体风貌。</w:t>
      </w:r>
      <w:r>
        <w:rPr>
          <w:rFonts w:ascii="Times New Roman" w:hAnsi="Times New Roman" w:eastAsia="仿宋_GB2312" w:cs="Times New Roman"/>
          <w:kern w:val="0"/>
          <w:sz w:val="32"/>
          <w:szCs w:val="32"/>
        </w:rPr>
        <w:t>综合考虑我市富有独特魅力的自然与人文空间节点，以城市绿道为串联，打造“两轴三区多节点”城市特色魅力空间体系</w:t>
      </w:r>
      <w:r>
        <w:rPr>
          <w:rFonts w:hint="eastAsia" w:ascii="Times New Roman" w:hAnsi="Times New Roman" w:eastAsia="仿宋_GB2312" w:cs="Times New Roman"/>
          <w:kern w:val="0"/>
          <w:sz w:val="32"/>
          <w:szCs w:val="32"/>
        </w:rPr>
        <w:t>，延续城市历史文脉</w:t>
      </w:r>
      <w:r>
        <w:rPr>
          <w:rFonts w:ascii="Times New Roman" w:hAnsi="Times New Roman" w:eastAsia="仿宋_GB2312" w:cs="Times New Roman"/>
          <w:kern w:val="0"/>
          <w:sz w:val="32"/>
          <w:szCs w:val="32"/>
        </w:rPr>
        <w:t>。通过道路断面优化、沿线建筑控制、街道设施人性化改造、完善过街和无障碍设施、街道景观设计、规范停车行为等措施，修补街道肌理，提升街道环境品质，让街道拥有舒适安全的环境、赏心悦目的景观和生动美好的生活氛围。</w:t>
      </w:r>
      <w:r>
        <w:rPr>
          <w:rFonts w:ascii="Times New Roman" w:hAnsi="Times New Roman" w:eastAsia="仿宋_GB2312" w:cs="Times New Roman"/>
          <w:sz w:val="32"/>
          <w:szCs w:val="32"/>
        </w:rPr>
        <w:t>推动永济城市IP形象设计，增加遮阳伞、凉亭等设施，凸显文化、时尚、温馨、开放的城市形象。</w:t>
      </w:r>
    </w:p>
    <w:p w14:paraId="3667819E">
      <w:pPr>
        <w:widowControl w:val="0"/>
        <w:wordWrap/>
        <w:adjustRightInd/>
        <w:snapToGrid/>
        <w:spacing w:afterLines="50" w:line="660" w:lineRule="exact"/>
        <w:ind w:left="0" w:leftChars="0" w:right="0" w:firstLine="643"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b/>
          <w:bCs/>
          <w:sz w:val="32"/>
          <w:szCs w:val="32"/>
        </w:rPr>
        <w:t>打造“城市绿色客厅”。</w:t>
      </w:r>
      <w:r>
        <w:rPr>
          <w:rFonts w:ascii="Times New Roman" w:hAnsi="Times New Roman" w:eastAsia="仿宋_GB2312" w:cs="Times New Roman"/>
          <w:kern w:val="0"/>
          <w:sz w:val="32"/>
          <w:szCs w:val="32"/>
        </w:rPr>
        <w:t>构建“城市级、社区级”两级城市绿网体系，推动森林入城、公园串城，实现500米进公园、2公里进郊野、5公里进森林的目标。结合涑水河、伍姓湖、铁路与舜帝山森林公园打造环城生态绿廊，将绿色生态引入城市，强化城市绿网对周边组团的渗透与融合，引领城市发展。鼓励绿色空间与文化、体育、休闲功能复合利用，完善公园配套服务设施，提升现状公园绿色空间使用体验。加强小微公园建设，充分利用零散地块、闲置地、边角地等空间，通过拆违建绿、见缝插绿，建设一批口袋公园、小微绿地，重塑街区生态环境。</w:t>
      </w:r>
    </w:p>
    <w:p w14:paraId="1F5D233A">
      <w:pPr>
        <w:widowControl w:val="0"/>
        <w:wordWrap/>
        <w:adjustRightInd/>
        <w:snapToGrid/>
        <w:spacing w:afterLines="50" w:line="660" w:lineRule="exact"/>
        <w:ind w:left="0" w:leftChars="0" w:right="0" w:firstLine="640" w:firstLineChars="200"/>
        <w:jc w:val="both"/>
        <w:textAlignment w:val="auto"/>
        <w:outlineLvl w:val="9"/>
        <w:rPr>
          <w:rFonts w:ascii="Times New Roman" w:hAnsi="Times New Roman" w:eastAsia="仿宋_GB2312" w:cs="Times New Roman"/>
          <w:kern w:val="0"/>
          <w:sz w:val="32"/>
          <w:szCs w:val="32"/>
        </w:rPr>
      </w:pPr>
    </w:p>
    <w:tbl>
      <w:tblPr>
        <w:tblStyle w:val="1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0"/>
      </w:tblGrid>
      <w:tr w14:paraId="463C5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800" w:type="dxa"/>
            <w:vAlign w:val="top"/>
          </w:tcPr>
          <w:p w14:paraId="153B1929">
            <w:pPr>
              <w:jc w:val="both"/>
              <w:rPr>
                <w:rFonts w:ascii="Times New Roman" w:hAnsi="Times New Roman" w:eastAsia="黑体" w:cs="Times New Roman"/>
                <w:sz w:val="32"/>
                <w:szCs w:val="32"/>
              </w:rPr>
            </w:pPr>
            <w:r>
              <w:rPr>
                <w:rFonts w:hint="eastAsia" w:ascii="Times New Roman" w:hAnsi="Times New Roman" w:eastAsia="黑体" w:cs="Times New Roman"/>
                <w:sz w:val="28"/>
                <w:szCs w:val="28"/>
              </w:rPr>
              <w:t>专栏</w:t>
            </w:r>
            <w:r>
              <w:rPr>
                <w:rFonts w:ascii="Times New Roman" w:hAnsi="Times New Roman" w:eastAsia="黑体" w:cs="Times New Roman"/>
                <w:sz w:val="28"/>
                <w:szCs w:val="28"/>
              </w:rPr>
              <w:t>9</w:t>
            </w:r>
            <w:r>
              <w:rPr>
                <w:rFonts w:hint="eastAsia" w:ascii="Times New Roman" w:hAnsi="Times New Roman" w:eastAsia="黑体" w:cs="Times New Roman"/>
                <w:sz w:val="28"/>
                <w:szCs w:val="28"/>
              </w:rPr>
              <w:t>：城市更新和品质提升重大工程</w:t>
            </w:r>
          </w:p>
        </w:tc>
      </w:tr>
      <w:tr w14:paraId="06937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800" w:type="dxa"/>
            <w:vAlign w:val="top"/>
          </w:tcPr>
          <w:p w14:paraId="4B72790C">
            <w:pPr>
              <w:spacing w:beforeLines="50" w:line="360" w:lineRule="exact"/>
              <w:ind w:firstLine="422" w:firstLineChars="200"/>
              <w:jc w:val="both"/>
              <w:rPr>
                <w:rFonts w:ascii="方正小标宋简体" w:hAnsi="方正小标宋简体" w:eastAsia="方正小标宋简体" w:cs="方正小标宋简体"/>
                <w:color w:val="FF0000"/>
                <w:szCs w:val="21"/>
              </w:rPr>
            </w:pPr>
            <w:r>
              <w:rPr>
                <w:rFonts w:hint="eastAsia" w:ascii="方正小标宋简体" w:hAnsi="方正小标宋简体" w:eastAsia="方正小标宋简体" w:cs="方正小标宋简体"/>
                <w:b/>
                <w:szCs w:val="21"/>
              </w:rPr>
              <w:t>环境整治工程。</w:t>
            </w:r>
            <w:r>
              <w:rPr>
                <w:rFonts w:hint="eastAsia" w:ascii="方正小标宋简体" w:hAnsi="方正小标宋简体" w:eastAsia="方正小标宋简体" w:cs="方正小标宋简体"/>
                <w:szCs w:val="21"/>
              </w:rPr>
              <w:t>建制镇生活污水处理设施建设项目、城东污水处理厂升级改造工程、城区污水处理调蓄设施工程、建筑垃圾处置及资源化利用项目等。</w:t>
            </w:r>
          </w:p>
          <w:p w14:paraId="55D26C5A">
            <w:pPr>
              <w:spacing w:line="360" w:lineRule="exact"/>
              <w:ind w:firstLine="422" w:firstLineChars="200"/>
              <w:jc w:val="both"/>
              <w:rPr>
                <w:rFonts w:ascii="方正小标宋简体" w:hAnsi="方正小标宋简体" w:eastAsia="方正小标宋简体" w:cs="方正小标宋简体"/>
                <w:color w:val="FF0000"/>
                <w:szCs w:val="21"/>
              </w:rPr>
            </w:pPr>
            <w:r>
              <w:rPr>
                <w:rFonts w:hint="eastAsia" w:ascii="方正小标宋简体" w:hAnsi="方正小标宋简体" w:eastAsia="方正小标宋简体" w:cs="方正小标宋简体"/>
                <w:b/>
                <w:szCs w:val="21"/>
              </w:rPr>
              <w:t>路网畅通工程。</w:t>
            </w:r>
            <w:r>
              <w:rPr>
                <w:rFonts w:hint="eastAsia" w:ascii="方正小标宋简体" w:hAnsi="方正小标宋简体" w:eastAsia="方正小标宋简体" w:cs="方正小标宋简体"/>
                <w:szCs w:val="21"/>
              </w:rPr>
              <w:t>城市支路建设工程、酒厂路拓宽改造工程、城区人行道铺装硬化提升工程、永济市体育中心周边城市环路建设、中山街道路复铺改造工程、黄河大道拓宽改造工程、黄河大道铁路立交桥改造、西厢路道路提升改造工程、市府街提升改造工程、市府西街西延道路建设工程、银杏街提升改造工程、东丰路铁路立交桥改造、涑水西街提升改造工程、柳园西路道路建设工程、康乐路北延、振兴西街人行道改造等。</w:t>
            </w:r>
          </w:p>
          <w:p w14:paraId="208E5A45">
            <w:pPr>
              <w:spacing w:line="360" w:lineRule="exact"/>
              <w:ind w:firstLine="422" w:firstLineChars="200"/>
              <w:jc w:val="both"/>
              <w:rPr>
                <w:rFonts w:ascii="方正小标宋简体" w:hAnsi="方正小标宋简体" w:eastAsia="方正小标宋简体" w:cs="方正小标宋简体"/>
                <w:color w:val="FF0000"/>
                <w:szCs w:val="21"/>
              </w:rPr>
            </w:pPr>
            <w:r>
              <w:rPr>
                <w:rFonts w:hint="eastAsia" w:ascii="方正小标宋简体" w:hAnsi="方正小标宋简体" w:eastAsia="方正小标宋简体" w:cs="方正小标宋简体"/>
                <w:b/>
                <w:szCs w:val="21"/>
              </w:rPr>
              <w:t>老旧小区改造工程。</w:t>
            </w:r>
            <w:r>
              <w:rPr>
                <w:rFonts w:hint="eastAsia" w:ascii="方正小标宋简体" w:hAnsi="方正小标宋简体" w:eastAsia="方正小标宋简体" w:cs="方正小标宋简体"/>
                <w:szCs w:val="21"/>
              </w:rPr>
              <w:t>“三线入地”工程、充换电站项目、电梯安装、停车场建设项目、供热新扩建和旧网改造项目等。</w:t>
            </w:r>
          </w:p>
          <w:p w14:paraId="17CC22C0">
            <w:pPr>
              <w:spacing w:line="360" w:lineRule="exact"/>
              <w:ind w:firstLine="422" w:firstLineChars="200"/>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“城市客厅”打造工程。</w:t>
            </w:r>
            <w:r>
              <w:rPr>
                <w:rFonts w:hint="eastAsia" w:ascii="方正小标宋简体" w:hAnsi="方正小标宋简体" w:eastAsia="方正小标宋简体" w:cs="方正小标宋简体"/>
                <w:szCs w:val="21"/>
              </w:rPr>
              <w:t>城区绿化提升工程、市府街和银杏街亮化提升工程、滨河公园东西扩工程、舜风唐韵立面改造、特色街打造等。</w:t>
            </w:r>
          </w:p>
          <w:p w14:paraId="62E388E2">
            <w:pPr>
              <w:spacing w:afterLines="50" w:line="360" w:lineRule="exact"/>
              <w:ind w:firstLine="422" w:firstLineChars="200"/>
              <w:jc w:val="both"/>
              <w:rPr>
                <w:rFonts w:ascii="Times New Roman" w:hAnsi="Times New Roman" w:cs="Times New Roman"/>
              </w:rPr>
            </w:pPr>
            <w:r>
              <w:rPr>
                <w:rFonts w:hint="eastAsia" w:ascii="方正小标宋简体" w:hAnsi="方正小标宋简体" w:eastAsia="方正小标宋简体" w:cs="方正小标宋简体"/>
                <w:b/>
                <w:szCs w:val="21"/>
              </w:rPr>
              <w:t>文明城市创建工程。</w:t>
            </w:r>
            <w:r>
              <w:rPr>
                <w:rFonts w:hint="eastAsia" w:ascii="方正小标宋简体" w:hAnsi="方正小标宋简体" w:eastAsia="方正小标宋简体" w:cs="方正小标宋简体"/>
                <w:szCs w:val="21"/>
              </w:rPr>
              <w:t>城区厕所改扩建项目、城市天然气扩容项目、城区和镇（街）垃圾分类箱建设项目、城区街道路灯改造项目、清洁能源城市既有建筑节能改造三期四期、富强街中段路灯安装工程、体育中心10KV高压线路工程、市政务服务中心及人防工程建设项目、战时人民防空指挥所等。</w:t>
            </w:r>
          </w:p>
        </w:tc>
      </w:tr>
    </w:tbl>
    <w:p w14:paraId="539A6FD7">
      <w:pPr>
        <w:pStyle w:val="17"/>
        <w:spacing w:beforeLines="50" w:afterLines="50"/>
        <w:ind w:firstLine="0"/>
        <w:jc w:val="center"/>
        <w:outlineLvl w:val="1"/>
        <w:rPr>
          <w:rFonts w:ascii="Times New Roman" w:hAnsi="Times New Roman" w:eastAsia="楷体_GB2312"/>
          <w:kern w:val="0"/>
          <w:sz w:val="32"/>
          <w:szCs w:val="32"/>
          <w:lang w:bidi="en-US"/>
        </w:rPr>
      </w:pPr>
      <w:bookmarkStart w:id="77" w:name="_Toc68253256"/>
      <w:r>
        <w:rPr>
          <w:rFonts w:ascii="Times New Roman" w:hAnsi="Times New Roman" w:eastAsia="楷体_GB2312"/>
          <w:kern w:val="0"/>
          <w:sz w:val="32"/>
          <w:szCs w:val="32"/>
          <w:lang w:bidi="en-US"/>
        </w:rPr>
        <w:t>第三节  推进城市治理现代化</w:t>
      </w:r>
      <w:bookmarkEnd w:id="77"/>
    </w:p>
    <w:p w14:paraId="0BD5B348">
      <w:pPr>
        <w:ind w:firstLine="640"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顺应现代城市发展趋势，深化城市现代治理，抓住城市管理的关键环节和突出矛盾，推进城市管理精细化，实现城市管理智能化，体现城市管理人性化，不断提升城市的软实力和综合竞争力。</w:t>
      </w:r>
    </w:p>
    <w:p w14:paraId="75977EDA">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推动城市管理精细化。</w:t>
      </w:r>
      <w:r>
        <w:rPr>
          <w:rFonts w:ascii="Times New Roman" w:hAnsi="Times New Roman" w:eastAsia="仿宋_GB2312" w:cs="Times New Roman"/>
          <w:sz w:val="32"/>
          <w:szCs w:val="32"/>
        </w:rPr>
        <w:t>深化城市综合执法体制改革，加快推进城市管理领域综合执法，提高执法效率，变末端执法为源头治理，变被动管理为主动服务，逐步构建权责明晰、服务为先、管理优化、执法规范、安全有序的城市管理体制。加快构建覆盖城乡、功能齐全、一体联动的网格化服务管理工作体系，建立城市管理基础数据普查更新机制，适度扩展网格化管理事项，加快组建与城市管理相适应的城管监督员队伍。完善网格化管理发现问题处置机制，加强城市管理相关单位和公共服务企业与网格化城市管理体系的协调和对接，提高问题处置效率。加快制度创新、流程优化再造，推动管理目标量化、管理标准细化、管理效能强化。</w:t>
      </w:r>
      <w:r>
        <w:rPr>
          <w:rFonts w:hint="eastAsia" w:ascii="Times New Roman" w:hAnsi="Times New Roman" w:eastAsia="仿宋_GB2312" w:cs="Times New Roman"/>
          <w:sz w:val="32"/>
          <w:szCs w:val="32"/>
        </w:rPr>
        <w:t>同时，</w:t>
      </w:r>
      <w:r>
        <w:rPr>
          <w:rFonts w:hint="eastAsia" w:ascii="仿宋_GB2312" w:hAnsi="仿宋_GB2312" w:eastAsia="仿宋_GB2312" w:cs="仿宋_GB2312"/>
          <w:sz w:val="32"/>
          <w:szCs w:val="32"/>
        </w:rPr>
        <w:t>把“浪漫、温情、诗意”永济独特的文化元素融入城市规划、建设、管理，不断丰富永济城市内涵。</w:t>
      </w:r>
    </w:p>
    <w:p w14:paraId="61637863">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推动城市管理智能化。</w:t>
      </w:r>
      <w:r>
        <w:rPr>
          <w:rFonts w:ascii="Times New Roman" w:hAnsi="Times New Roman" w:eastAsia="仿宋_GB2312" w:cs="Times New Roman"/>
          <w:sz w:val="32"/>
          <w:szCs w:val="32"/>
        </w:rPr>
        <w:t>加快新型智慧城市建设，充分发挥数字城管平台作用，实现感知、分析、服务、指挥、监察“五位一体”，有效提高城市管理水平。以数字政府建设为牵引，带动智慧出行、智慧医疗、智慧生活、基层政务、社区治理、公共安全等领域数字化、智能化，推动社区资金、物流、能源、商业等资源要素优化配置，大幅提升城市科学精细化治理水平和社区高效便捷化服务能级。</w:t>
      </w:r>
    </w:p>
    <w:p w14:paraId="2D24CFC8">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推进城市管理人性化。</w:t>
      </w:r>
      <w:r>
        <w:rPr>
          <w:rFonts w:ascii="Times New Roman" w:hAnsi="Times New Roman" w:eastAsia="仿宋_GB2312" w:cs="Times New Roman"/>
          <w:sz w:val="32"/>
          <w:szCs w:val="32"/>
        </w:rPr>
        <w:t>积极开展全龄社区建设，探索打造适宜居家养老、儿童友好社区，不断完善残疾人无障碍设施，打造更易识别的交通标识系统，体现以人为本的城市“温度”。</w:t>
      </w:r>
      <w:r>
        <w:rPr>
          <w:rFonts w:ascii="Times New Roman" w:hAnsi="Times New Roman" w:eastAsia="仿宋_GB2312" w:cs="Times New Roman"/>
          <w:kern w:val="0"/>
          <w:sz w:val="32"/>
          <w:szCs w:val="32"/>
        </w:rPr>
        <w:t>构建“城市级-组团级-社区-邻里-街坊”五级公共服务设施体系，优化医疗卫生、教育、养老托育、文旅体育、社会福利和社区综合服务设施，提升公共服务的便利性、普惠性、可及性，推进基本公共服务常住人口全覆盖。鼓励开发区结合提质更新，面向创新产业集群、高端服务业人才需求，配置一定比例特色化、高品质公共服务设施。</w:t>
      </w:r>
    </w:p>
    <w:p w14:paraId="11C1CE7D">
      <w:pPr>
        <w:jc w:val="both"/>
        <w:rPr>
          <w:rFonts w:ascii="Times New Roman" w:hAnsi="Times New Roman" w:cs="Times New Roman"/>
        </w:rPr>
      </w:pPr>
      <w:r>
        <w:rPr>
          <w:rFonts w:ascii="Times New Roman" w:hAnsi="Times New Roman" w:cs="Times New Roman"/>
        </w:rPr>
        <w:br w:type="page"/>
      </w:r>
    </w:p>
    <w:p w14:paraId="554C2635">
      <w:pPr>
        <w:spacing w:beforeLines="100" w:afterLines="100"/>
        <w:jc w:val="center"/>
        <w:outlineLvl w:val="0"/>
        <w:rPr>
          <w:rFonts w:ascii="Times New Roman" w:hAnsi="Times New Roman" w:eastAsia="黑体" w:cs="Times New Roman"/>
          <w:sz w:val="32"/>
          <w:szCs w:val="32"/>
        </w:rPr>
      </w:pPr>
      <w:bookmarkStart w:id="78" w:name="_Toc68253257"/>
      <w:r>
        <w:rPr>
          <w:rFonts w:ascii="Times New Roman" w:hAnsi="Times New Roman" w:eastAsia="黑体" w:cs="Times New Roman"/>
          <w:sz w:val="32"/>
          <w:szCs w:val="32"/>
        </w:rPr>
        <w:t>第</w:t>
      </w:r>
      <w:r>
        <w:rPr>
          <w:rFonts w:hint="eastAsia" w:ascii="Times New Roman" w:hAnsi="Times New Roman" w:eastAsia="黑体" w:cs="Times New Roman"/>
          <w:sz w:val="32"/>
          <w:szCs w:val="32"/>
        </w:rPr>
        <w:t>七</w:t>
      </w:r>
      <w:r>
        <w:rPr>
          <w:rFonts w:ascii="Times New Roman" w:hAnsi="Times New Roman" w:eastAsia="黑体" w:cs="Times New Roman"/>
          <w:sz w:val="32"/>
          <w:szCs w:val="32"/>
        </w:rPr>
        <w:t>章  厚植绿色发展底蕴，</w:t>
      </w:r>
      <w:r>
        <w:rPr>
          <w:rFonts w:hint="eastAsia" w:ascii="Times New Roman" w:hAnsi="Times New Roman" w:eastAsia="黑体" w:cs="Times New Roman"/>
          <w:sz w:val="32"/>
          <w:szCs w:val="32"/>
        </w:rPr>
        <w:t>创建国家</w:t>
      </w:r>
      <w:r>
        <w:rPr>
          <w:rFonts w:ascii="Times New Roman" w:hAnsi="Times New Roman" w:eastAsia="黑体" w:cs="Times New Roman"/>
          <w:sz w:val="32"/>
          <w:szCs w:val="32"/>
        </w:rPr>
        <w:t>生态文明</w:t>
      </w:r>
      <w:r>
        <w:rPr>
          <w:rFonts w:hint="eastAsia" w:ascii="Times New Roman" w:hAnsi="Times New Roman" w:eastAsia="黑体" w:cs="Times New Roman"/>
          <w:sz w:val="32"/>
          <w:szCs w:val="32"/>
        </w:rPr>
        <w:t>建设</w:t>
      </w:r>
      <w:r>
        <w:rPr>
          <w:rFonts w:ascii="Times New Roman" w:hAnsi="Times New Roman" w:eastAsia="黑体" w:cs="Times New Roman"/>
          <w:sz w:val="32"/>
          <w:szCs w:val="32"/>
        </w:rPr>
        <w:t>示范区</w:t>
      </w:r>
      <w:bookmarkEnd w:id="78"/>
    </w:p>
    <w:p w14:paraId="7AF1A0F2">
      <w:pPr>
        <w:spacing w:line="580" w:lineRule="exact"/>
        <w:ind w:firstLine="640" w:firstLineChars="200"/>
        <w:jc w:val="both"/>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牢固树立“绿水青山就是金山银山”理念，坚持山水林田湖草一体治理、统筹推进，</w:t>
      </w:r>
      <w:r>
        <w:rPr>
          <w:rFonts w:ascii="Times New Roman" w:hAnsi="Times New Roman" w:eastAsia="仿宋_GB2312" w:cs="Times New Roman"/>
          <w:kern w:val="0"/>
          <w:sz w:val="32"/>
          <w:szCs w:val="32"/>
        </w:rPr>
        <w:t>建立区域合作共赢的生态环境治理体系，实现人与自然协调发展</w:t>
      </w:r>
      <w:r>
        <w:rPr>
          <w:rFonts w:hint="eastAsia" w:ascii="Times New Roman" w:hAnsi="Times New Roman" w:eastAsia="仿宋_GB2312" w:cs="Times New Roman"/>
          <w:kern w:val="0"/>
          <w:sz w:val="32"/>
          <w:szCs w:val="32"/>
        </w:rPr>
        <w:t>，让良好的生态环境成为永济人民高品质生活的骄傲和自豪。</w:t>
      </w:r>
    </w:p>
    <w:p w14:paraId="6107D182">
      <w:pPr>
        <w:pStyle w:val="17"/>
        <w:spacing w:beforeLines="50" w:afterLines="50"/>
        <w:ind w:firstLine="0"/>
        <w:jc w:val="both"/>
        <w:outlineLvl w:val="1"/>
        <w:rPr>
          <w:rFonts w:ascii="Times New Roman" w:hAnsi="Times New Roman" w:eastAsia="楷体_GB2312"/>
          <w:kern w:val="0"/>
          <w:sz w:val="32"/>
          <w:szCs w:val="32"/>
          <w:lang w:bidi="en-US"/>
        </w:rPr>
      </w:pPr>
      <w:bookmarkStart w:id="79" w:name="_Toc68253258"/>
      <w:r>
        <w:rPr>
          <w:rFonts w:ascii="Times New Roman" w:hAnsi="Times New Roman" w:eastAsia="楷体_GB2312"/>
          <w:kern w:val="0"/>
          <w:sz w:val="32"/>
          <w:szCs w:val="32"/>
          <w:lang w:bidi="en-US"/>
        </w:rPr>
        <w:t>第一节  加强黄河流域生态保护</w:t>
      </w:r>
      <w:bookmarkEnd w:id="79"/>
    </w:p>
    <w:p w14:paraId="358848E6">
      <w:pPr>
        <w:ind w:firstLine="640"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坚持节约优先、保护优先，以黄河流域生态保护为主题主线，统筹推进保护、治理、修复、建设各项工作，建立点、线、面有机结合、城乡融合、功能良好的区域生态系统。</w:t>
      </w:r>
    </w:p>
    <w:p w14:paraId="24AEFE3E">
      <w:pPr>
        <w:ind w:firstLine="643"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b/>
          <w:bCs/>
          <w:sz w:val="32"/>
          <w:szCs w:val="32"/>
        </w:rPr>
        <w:t>构建生态保护新格局。</w:t>
      </w:r>
      <w:r>
        <w:rPr>
          <w:rFonts w:ascii="Times New Roman" w:hAnsi="Times New Roman" w:eastAsia="仿宋_GB2312" w:cs="Times New Roman"/>
          <w:kern w:val="0"/>
          <w:sz w:val="32"/>
          <w:szCs w:val="32"/>
        </w:rPr>
        <w:t>以山体为屏障，以水系为脉络，以基础设施廊道为补充，重点突出生态保护红线板块，形成沿中条山与黄河生态为主要保育带，以伍姓湖、中条山、蒲州古城遗址公园为三个生态绿核，</w:t>
      </w:r>
      <w:r>
        <w:rPr>
          <w:rFonts w:hint="eastAsia" w:ascii="Times New Roman" w:hAnsi="Times New Roman" w:eastAsia="仿宋_GB2312" w:cs="Times New Roman"/>
          <w:kern w:val="0"/>
          <w:sz w:val="32"/>
          <w:szCs w:val="32"/>
        </w:rPr>
        <w:t>划定伍姓湖、中条山、黄河（永济段）三大生态保护集中区，加快“七纵三横”主要交通干线绿色廊道建设，形成“一带三核、三区多廊”生态保护格局。</w:t>
      </w:r>
      <w:r>
        <w:rPr>
          <w:rFonts w:ascii="Times New Roman" w:hAnsi="Times New Roman" w:eastAsia="仿宋_GB2312" w:cs="Times New Roman"/>
          <w:kern w:val="0"/>
          <w:sz w:val="32"/>
          <w:szCs w:val="32"/>
        </w:rPr>
        <w:t>科学划定黄河、伍姓湖与中条山生态特别保护区范围，核心区域内实行强制性保护措施，全面禁止与生态无关的建设行为，不断增强土壤保持、水源涵养和生物多样性保护等功能。对各类水源涵养保护区、水土保持保护区、生物多样性保护区实施分类保护。加强沿黄公路路段沟坡立面整治和生态保护。</w:t>
      </w:r>
    </w:p>
    <w:p w14:paraId="444259C1">
      <w:pPr>
        <w:spacing w:afterLines="50"/>
        <w:ind w:firstLine="643"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b/>
          <w:bCs/>
          <w:sz w:val="32"/>
          <w:szCs w:val="32"/>
        </w:rPr>
        <w:t>加强水资源平衡和水生态保护。</w:t>
      </w:r>
      <w:r>
        <w:rPr>
          <w:rFonts w:ascii="Times New Roman" w:hAnsi="Times New Roman" w:eastAsia="仿宋_GB2312" w:cs="Times New Roman"/>
          <w:kern w:val="0"/>
          <w:sz w:val="32"/>
          <w:szCs w:val="32"/>
        </w:rPr>
        <w:t>坚持区域协作、统筹兼顾、系统治理，根据黄河流域水土资源的空间分布，增强水资源调配能力，实现流域内水资源的合理开发利用。加强与沿黄市县合作，开展生态廊道建设，推动生态修复，确保生态安全。全面推进黄土高原水土流失综合治理，完善黄河干支流水沙调控体系，合力解决黄河流域生态系统退化、水源涵养功能弱化、水土流失严重、湿地萎缩、生态流量偏低等问题。以小流域治理为重点，因地制宜，因害设防，全力建设水土保持示范区。对涑水河、湾湾河、姚暹渠、排水总干等河流渠道以及沿山泄洪沟道进行综合治理，防控水环境风险，保障水质稳定达标，提高防洪标准和保障能力。</w:t>
      </w:r>
    </w:p>
    <w:tbl>
      <w:tblPr>
        <w:tblStyle w:val="19"/>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7C81F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4" w:type="dxa"/>
            <w:vAlign w:val="top"/>
          </w:tcPr>
          <w:p w14:paraId="5BD02124">
            <w:pPr>
              <w:jc w:val="both"/>
              <w:rPr>
                <w:rFonts w:ascii="Times New Roman" w:hAnsi="Times New Roman" w:eastAsia="楷体_GB2312" w:cs="Times New Roman"/>
                <w:sz w:val="32"/>
                <w:szCs w:val="32"/>
              </w:rPr>
            </w:pPr>
            <w:r>
              <w:rPr>
                <w:rFonts w:hint="eastAsia" w:ascii="Times New Roman" w:hAnsi="Times New Roman" w:eastAsia="黑体" w:cs="Times New Roman"/>
                <w:sz w:val="28"/>
                <w:szCs w:val="28"/>
              </w:rPr>
              <w:t>专栏1</w:t>
            </w:r>
            <w:r>
              <w:rPr>
                <w:rFonts w:ascii="Times New Roman" w:hAnsi="Times New Roman" w:eastAsia="黑体" w:cs="Times New Roman"/>
                <w:sz w:val="28"/>
                <w:szCs w:val="28"/>
              </w:rPr>
              <w:t>0</w:t>
            </w:r>
            <w:r>
              <w:rPr>
                <w:rFonts w:hint="eastAsia" w:ascii="Times New Roman" w:hAnsi="Times New Roman" w:eastAsia="黑体" w:cs="Times New Roman"/>
                <w:sz w:val="28"/>
                <w:szCs w:val="28"/>
              </w:rPr>
              <w:t>：“十四五”水资源平衡和水生态保护重大工程</w:t>
            </w:r>
          </w:p>
        </w:tc>
      </w:tr>
      <w:tr w14:paraId="7A890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4" w:type="dxa"/>
            <w:vAlign w:val="top"/>
          </w:tcPr>
          <w:p w14:paraId="44785FD5">
            <w:pPr>
              <w:adjustRightInd w:val="0"/>
              <w:snapToGrid w:val="0"/>
              <w:spacing w:beforeLines="50" w:line="360" w:lineRule="exact"/>
              <w:ind w:firstLine="422" w:firstLineChars="200"/>
              <w:jc w:val="both"/>
              <w:rPr>
                <w:rFonts w:ascii="方正小标宋简体" w:hAnsi="方正小标宋简体" w:eastAsia="方正小标宋简体" w:cs="方正小标宋简体"/>
              </w:rPr>
            </w:pPr>
            <w:r>
              <w:rPr>
                <w:rFonts w:hint="eastAsia" w:ascii="方正小标宋简体" w:hAnsi="方正小标宋简体" w:eastAsia="方正小标宋简体" w:cs="方正小标宋简体"/>
                <w:b/>
              </w:rPr>
              <w:t>河湖治理工程。</w:t>
            </w:r>
            <w:r>
              <w:rPr>
                <w:rFonts w:hint="eastAsia" w:ascii="方正小标宋简体" w:hAnsi="方正小标宋简体" w:eastAsia="方正小标宋简体" w:cs="方正小标宋简体"/>
              </w:rPr>
              <w:t>伍姓湖清淤治理生态修复工程、涑水河伍姓湖以下段生态综合治理项目、湾湾河综合治理项目、涑水河入黄口人工湿地提升项目、姚暹渠与排水总干综合治理工程、智慧河道项目、伍姓湖水生态修复工程建设项目、伍姓湖岸坡与湿地生态修复工程建设项目、伍姓湖入湖口水生态治理人工湿地二期建设项目、伍姓湖粉煤灰堆生态修复治理工程建设项目、伍姓湖生态文化景观工程建设项目、涑水河通湖限制渠整治工程建设项目、伍姓湖防洪生态恢复工程建设项目、伍姓湖湖岸综合整治工程建设项目、伍姓湖生物多样性保护工程建设项目等、永济市涑水河入黄口水生态修复工程。</w:t>
            </w:r>
          </w:p>
          <w:p w14:paraId="596657E3">
            <w:pPr>
              <w:adjustRightInd w:val="0"/>
              <w:snapToGrid w:val="0"/>
              <w:spacing w:line="360" w:lineRule="exact"/>
              <w:ind w:firstLine="422" w:firstLineChars="200"/>
              <w:jc w:val="both"/>
              <w:rPr>
                <w:rFonts w:ascii="方正小标宋简体" w:hAnsi="方正小标宋简体" w:eastAsia="方正小标宋简体" w:cs="方正小标宋简体"/>
              </w:rPr>
            </w:pPr>
            <w:r>
              <w:rPr>
                <w:rFonts w:hint="eastAsia" w:ascii="方正小标宋简体" w:hAnsi="方正小标宋简体" w:eastAsia="方正小标宋简体" w:cs="方正小标宋简体"/>
                <w:b/>
              </w:rPr>
              <w:t>水旱灾害防御工程。</w:t>
            </w:r>
            <w:r>
              <w:rPr>
                <w:rFonts w:hint="eastAsia" w:ascii="方正小标宋简体" w:hAnsi="方正小标宋简体" w:eastAsia="方正小标宋简体" w:cs="方正小标宋简体"/>
              </w:rPr>
              <w:t>水峪口沟道中段治理工程建设项目、黄河舜帝坝除险加固项目、沿山沟道整治项目、沿山塘坝除险加固项目等。</w:t>
            </w:r>
          </w:p>
          <w:p w14:paraId="70D66A4A">
            <w:pPr>
              <w:adjustRightInd w:val="0"/>
              <w:snapToGrid w:val="0"/>
              <w:spacing w:line="360" w:lineRule="exact"/>
              <w:ind w:firstLine="422" w:firstLineChars="200"/>
              <w:jc w:val="both"/>
              <w:rPr>
                <w:rFonts w:ascii="方正小标宋简体" w:hAnsi="方正小标宋简体" w:eastAsia="方正小标宋简体" w:cs="方正小标宋简体"/>
              </w:rPr>
            </w:pPr>
            <w:r>
              <w:rPr>
                <w:rFonts w:hint="eastAsia" w:ascii="方正小标宋简体" w:hAnsi="方正小标宋简体" w:eastAsia="方正小标宋简体" w:cs="方正小标宋简体"/>
                <w:b/>
              </w:rPr>
              <w:t>水土流失治理工程。</w:t>
            </w:r>
            <w:r>
              <w:rPr>
                <w:rFonts w:hint="eastAsia" w:ascii="方正小标宋简体" w:hAnsi="方正小标宋简体" w:eastAsia="方正小标宋简体" w:cs="方正小标宋简体"/>
              </w:rPr>
              <w:t>沿河沟壑区水土流失治理项目、峨嵋岭台地小流域治理项目、涑水河流域治理项目、沿黄沟壑综合治理工程等。</w:t>
            </w:r>
          </w:p>
          <w:p w14:paraId="46638F72">
            <w:pPr>
              <w:adjustRightInd w:val="0"/>
              <w:snapToGrid w:val="0"/>
              <w:spacing w:line="360" w:lineRule="exact"/>
              <w:ind w:firstLine="422" w:firstLineChars="200"/>
              <w:jc w:val="both"/>
              <w:rPr>
                <w:rFonts w:ascii="方正小标宋简体" w:hAnsi="方正小标宋简体" w:eastAsia="方正小标宋简体" w:cs="方正小标宋简体"/>
              </w:rPr>
            </w:pPr>
            <w:r>
              <w:rPr>
                <w:rFonts w:hint="eastAsia" w:ascii="方正小标宋简体" w:hAnsi="方正小标宋简体" w:eastAsia="方正小标宋简体" w:cs="方正小标宋简体"/>
                <w:b/>
              </w:rPr>
              <w:t>水资源保护工程。</w:t>
            </w:r>
            <w:r>
              <w:rPr>
                <w:rFonts w:hint="eastAsia" w:ascii="方正小标宋简体" w:hAnsi="方正小标宋简体" w:eastAsia="方正小标宋简体" w:cs="方正小标宋简体"/>
              </w:rPr>
              <w:t>条山干渠东片水源置换工程、地下水资源动态监测项目等。</w:t>
            </w:r>
          </w:p>
          <w:p w14:paraId="2D4CC2E8">
            <w:pPr>
              <w:adjustRightInd w:val="0"/>
              <w:snapToGrid w:val="0"/>
              <w:spacing w:line="360" w:lineRule="exact"/>
              <w:ind w:firstLine="422" w:firstLineChars="200"/>
              <w:jc w:val="both"/>
              <w:rPr>
                <w:rFonts w:ascii="方正小标宋简体" w:hAnsi="方正小标宋简体" w:eastAsia="方正小标宋简体" w:cs="方正小标宋简体"/>
              </w:rPr>
            </w:pPr>
            <w:r>
              <w:rPr>
                <w:rFonts w:hint="eastAsia" w:ascii="方正小标宋简体" w:hAnsi="方正小标宋简体" w:eastAsia="方正小标宋简体" w:cs="方正小标宋简体"/>
                <w:b/>
              </w:rPr>
              <w:t>农村饮水安全工程。</w:t>
            </w:r>
            <w:r>
              <w:rPr>
                <w:rFonts w:hint="eastAsia" w:ascii="方正小标宋简体" w:hAnsi="方正小标宋简体" w:eastAsia="方正小标宋简体" w:cs="方正小标宋简体"/>
              </w:rPr>
              <w:t>农村饮水安全巩固提升项目等。</w:t>
            </w:r>
          </w:p>
          <w:p w14:paraId="405F8E56">
            <w:pPr>
              <w:adjustRightInd w:val="0"/>
              <w:snapToGrid w:val="0"/>
              <w:spacing w:afterLines="50" w:line="360" w:lineRule="exact"/>
              <w:ind w:firstLine="422" w:firstLineChars="200"/>
              <w:jc w:val="both"/>
              <w:rPr>
                <w:rFonts w:ascii="方正小标宋简体" w:hAnsi="方正小标宋简体" w:eastAsia="方正小标宋简体" w:cs="方正小标宋简体"/>
              </w:rPr>
            </w:pPr>
            <w:r>
              <w:rPr>
                <w:rFonts w:hint="eastAsia" w:ascii="方正小标宋简体" w:hAnsi="方正小标宋简体" w:eastAsia="方正小标宋简体" w:cs="方正小标宋简体"/>
                <w:b/>
              </w:rPr>
              <w:t>节水型社会建设工程。</w:t>
            </w:r>
            <w:r>
              <w:rPr>
                <w:rFonts w:hint="eastAsia" w:ascii="方正小标宋简体" w:hAnsi="方正小标宋简体" w:eastAsia="方正小标宋简体" w:cs="方正小标宋简体"/>
              </w:rPr>
              <w:t>节水教育实践基地建设、节水型企业和灌区建设项目、智慧水务综合信息管理系统等。</w:t>
            </w:r>
          </w:p>
        </w:tc>
      </w:tr>
    </w:tbl>
    <w:p w14:paraId="19B4357A">
      <w:pPr>
        <w:spacing w:beforeLines="50" w:afterLines="50"/>
        <w:ind w:firstLine="643"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创建国家森林城市。</w:t>
      </w:r>
      <w:r>
        <w:rPr>
          <w:rFonts w:ascii="Times New Roman" w:hAnsi="Times New Roman" w:eastAsia="仿宋_GB2312" w:cs="Times New Roman"/>
          <w:kern w:val="0"/>
          <w:sz w:val="32"/>
          <w:szCs w:val="32"/>
        </w:rPr>
        <w:t>严格规划管控，打破行政界限，打造以涵养水源为主的南部生态公益林建设区、以水土保持为主的西部生态公益林建设区、以发展经济林为主的东北部商品林建设区，形成布局合理、特色鲜明、功能互补、相得益彰的林业发展格局。围绕打造东西精品生态循环圈的目标，抓好园林村、通道绿化、荒山绿化等重点绿化工程。围绕“一山一湖两河一流域”，高标准建设大西高铁引道和沿黄一号旅游公路两条彩色廊道。“十四五”期间，全市每年造林面积达到1.8万亩以上，森林覆盖率每年增加0.2个百分点。</w:t>
      </w:r>
    </w:p>
    <w:tbl>
      <w:tblPr>
        <w:tblStyle w:val="19"/>
        <w:tblW w:w="88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14:paraId="02674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880" w:type="dxa"/>
            <w:vAlign w:val="top"/>
          </w:tcPr>
          <w:p w14:paraId="77B57B4D">
            <w:pPr>
              <w:jc w:val="both"/>
              <w:rPr>
                <w:rFonts w:ascii="Times New Roman" w:hAnsi="Times New Roman" w:eastAsia="楷体_GB2312" w:cs="Times New Roman"/>
                <w:sz w:val="32"/>
                <w:szCs w:val="32"/>
              </w:rPr>
            </w:pPr>
            <w:r>
              <w:rPr>
                <w:rFonts w:hint="eastAsia" w:ascii="Times New Roman" w:hAnsi="Times New Roman" w:eastAsia="黑体" w:cs="Times New Roman"/>
                <w:sz w:val="28"/>
                <w:szCs w:val="28"/>
              </w:rPr>
              <w:t>专栏</w:t>
            </w:r>
            <w:r>
              <w:rPr>
                <w:rFonts w:ascii="Times New Roman" w:hAnsi="Times New Roman" w:eastAsia="黑体" w:cs="Times New Roman"/>
                <w:sz w:val="28"/>
                <w:szCs w:val="28"/>
              </w:rPr>
              <w:t>11</w:t>
            </w:r>
            <w:r>
              <w:rPr>
                <w:rFonts w:hint="eastAsia" w:ascii="Times New Roman" w:hAnsi="Times New Roman" w:eastAsia="黑体" w:cs="Times New Roman"/>
                <w:sz w:val="28"/>
                <w:szCs w:val="28"/>
              </w:rPr>
              <w:t>：“十四五”林业重大工程</w:t>
            </w:r>
          </w:p>
        </w:tc>
      </w:tr>
      <w:tr w14:paraId="54581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8880" w:type="dxa"/>
            <w:vAlign w:val="top"/>
          </w:tcPr>
          <w:p w14:paraId="18418091">
            <w:pPr>
              <w:adjustRightInd w:val="0"/>
              <w:snapToGrid w:val="0"/>
              <w:spacing w:beforeLines="50" w:line="360" w:lineRule="exact"/>
              <w:ind w:firstLine="422" w:firstLineChars="200"/>
              <w:jc w:val="both"/>
              <w:rPr>
                <w:rFonts w:ascii="方正小标宋简体" w:hAnsi="方正小标宋简体" w:eastAsia="方正小标宋简体" w:cs="方正小标宋简体"/>
              </w:rPr>
            </w:pPr>
            <w:r>
              <w:rPr>
                <w:rFonts w:hint="eastAsia" w:ascii="方正小标宋简体" w:hAnsi="方正小标宋简体" w:eastAsia="方正小标宋简体" w:cs="方正小标宋简体"/>
                <w:b/>
              </w:rPr>
              <w:t>天然林保护工程。</w:t>
            </w:r>
            <w:r>
              <w:rPr>
                <w:rFonts w:hint="eastAsia" w:ascii="方正小标宋简体" w:hAnsi="方正小标宋简体" w:eastAsia="方正小标宋简体" w:cs="方正小标宋简体"/>
              </w:rPr>
              <w:t>“十四五”期间，继续对现有的森林资源进行管护，总规模31.42万亩，其中地方公益林23.87万亩，国家级公益林7.55万亩；在中条山区重要区域实施封山育林0.5万亩，每年完成0.1万亩任务；实施人工造林0.5万亩，每年完成0.1万亩。</w:t>
            </w:r>
          </w:p>
          <w:p w14:paraId="262AC638">
            <w:pPr>
              <w:adjustRightInd w:val="0"/>
              <w:snapToGrid w:val="0"/>
              <w:spacing w:line="360" w:lineRule="exact"/>
              <w:ind w:firstLine="422" w:firstLineChars="200"/>
              <w:jc w:val="both"/>
              <w:rPr>
                <w:rFonts w:ascii="方正小标宋简体" w:hAnsi="方正小标宋简体" w:eastAsia="方正小标宋简体" w:cs="方正小标宋简体"/>
              </w:rPr>
            </w:pPr>
            <w:r>
              <w:rPr>
                <w:rFonts w:hint="eastAsia" w:ascii="方正小标宋简体" w:hAnsi="方正小标宋简体" w:eastAsia="方正小标宋简体" w:cs="方正小标宋简体"/>
                <w:b/>
              </w:rPr>
              <w:t>通道绿化工程。</w:t>
            </w:r>
            <w:r>
              <w:rPr>
                <w:rFonts w:hint="eastAsia" w:ascii="方正小标宋简体" w:hAnsi="方正小标宋简体" w:eastAsia="方正小标宋简体" w:cs="方正小标宋简体"/>
              </w:rPr>
              <w:t>2021年对18.6公里高铁引道及沿黄旅游路进行高标准绿化，2022年对我市的县级道路张栲线、文张路进行更新绿化，2023年开始对其他骨干道路进行绿化提升。</w:t>
            </w:r>
          </w:p>
          <w:p w14:paraId="7B5487F4">
            <w:pPr>
              <w:adjustRightInd w:val="0"/>
              <w:snapToGrid w:val="0"/>
              <w:spacing w:line="360" w:lineRule="exact"/>
              <w:ind w:firstLine="422" w:firstLineChars="200"/>
              <w:jc w:val="both"/>
              <w:rPr>
                <w:rFonts w:ascii="方正小标宋简体" w:hAnsi="方正小标宋简体" w:eastAsia="方正小标宋简体" w:cs="方正小标宋简体"/>
              </w:rPr>
            </w:pPr>
            <w:r>
              <w:rPr>
                <w:rFonts w:hint="eastAsia" w:ascii="方正小标宋简体" w:hAnsi="方正小标宋简体" w:eastAsia="方正小标宋简体" w:cs="方正小标宋简体"/>
                <w:b/>
              </w:rPr>
              <w:t>荒山绿化工程。</w:t>
            </w:r>
            <w:r>
              <w:rPr>
                <w:rFonts w:hint="eastAsia" w:ascii="方正小标宋简体" w:hAnsi="方正小标宋简体" w:eastAsia="方正小标宋简体" w:cs="方正小标宋简体"/>
              </w:rPr>
              <w:t>规划总规模3万亩，每年造林0.6万亩。到2025年，基本实现荒山绿化全覆盖。</w:t>
            </w:r>
          </w:p>
          <w:p w14:paraId="1E27EC37">
            <w:pPr>
              <w:adjustRightInd w:val="0"/>
              <w:snapToGrid w:val="0"/>
              <w:spacing w:line="360" w:lineRule="exact"/>
              <w:ind w:firstLine="422" w:firstLineChars="200"/>
              <w:jc w:val="both"/>
              <w:rPr>
                <w:rFonts w:ascii="方正小标宋简体" w:hAnsi="方正小标宋简体" w:eastAsia="方正小标宋简体" w:cs="方正小标宋简体"/>
              </w:rPr>
            </w:pPr>
            <w:r>
              <w:rPr>
                <w:rFonts w:hint="eastAsia" w:ascii="方正小标宋简体" w:hAnsi="方正小标宋简体" w:eastAsia="方正小标宋简体" w:cs="方正小标宋简体"/>
                <w:b/>
              </w:rPr>
              <w:t>黄河滩涂防护林带建设工程。</w:t>
            </w:r>
            <w:r>
              <w:rPr>
                <w:rFonts w:hint="eastAsia" w:ascii="方正小标宋简体" w:hAnsi="方正小标宋简体" w:eastAsia="方正小标宋简体" w:cs="方正小标宋简体"/>
              </w:rPr>
              <w:t>规划总规模0.2万亩，主要对河堤坝背水面河务部门管辖区域内已建成的防护林带缺损部分进行重新造林，完善防护林体系。</w:t>
            </w:r>
          </w:p>
          <w:p w14:paraId="70914CFD">
            <w:pPr>
              <w:adjustRightInd w:val="0"/>
              <w:snapToGrid w:val="0"/>
              <w:spacing w:line="360" w:lineRule="exact"/>
              <w:ind w:firstLine="422" w:firstLineChars="200"/>
              <w:jc w:val="both"/>
              <w:rPr>
                <w:rFonts w:ascii="方正小标宋简体" w:hAnsi="方正小标宋简体" w:eastAsia="方正小标宋简体" w:cs="方正小标宋简体"/>
              </w:rPr>
            </w:pPr>
            <w:r>
              <w:rPr>
                <w:rFonts w:hint="eastAsia" w:ascii="方正小标宋简体" w:hAnsi="方正小标宋简体" w:eastAsia="方正小标宋简体" w:cs="方正小标宋简体"/>
                <w:b/>
              </w:rPr>
              <w:t>村庄绿化工程。</w:t>
            </w:r>
            <w:r>
              <w:rPr>
                <w:rFonts w:hint="eastAsia" w:ascii="方正小标宋简体" w:hAnsi="方正小标宋简体" w:eastAsia="方正小标宋简体" w:cs="方正小标宋简体"/>
              </w:rPr>
              <w:t>规划实施村庄绿化100个，每年指导镇（街）完成20个，5年实现村庄绿化全覆盖。</w:t>
            </w:r>
          </w:p>
          <w:p w14:paraId="252E0778">
            <w:pPr>
              <w:adjustRightInd w:val="0"/>
              <w:snapToGrid w:val="0"/>
              <w:spacing w:line="360" w:lineRule="exact"/>
              <w:ind w:firstLine="422" w:firstLineChars="200"/>
              <w:jc w:val="both"/>
              <w:rPr>
                <w:rFonts w:ascii="方正小标宋简体" w:hAnsi="方正小标宋简体" w:eastAsia="方正小标宋简体" w:cs="方正小标宋简体"/>
              </w:rPr>
            </w:pPr>
            <w:r>
              <w:rPr>
                <w:rFonts w:hint="eastAsia" w:ascii="方正小标宋简体" w:hAnsi="方正小标宋简体" w:eastAsia="方正小标宋简体" w:cs="方正小标宋简体"/>
                <w:b/>
              </w:rPr>
              <w:t>干果经济林工程。</w:t>
            </w:r>
            <w:r>
              <w:rPr>
                <w:rFonts w:hint="eastAsia" w:ascii="方正小标宋简体" w:hAnsi="方正小标宋简体" w:eastAsia="方正小标宋简体" w:cs="方正小标宋简体"/>
              </w:rPr>
              <w:t>总规模2.5万亩，“十四五”期间每年建设0.5万亩。</w:t>
            </w:r>
          </w:p>
          <w:p w14:paraId="51E64FCF">
            <w:pPr>
              <w:adjustRightInd w:val="0"/>
              <w:snapToGrid w:val="0"/>
              <w:spacing w:line="360" w:lineRule="exact"/>
              <w:ind w:firstLine="422" w:firstLineChars="200"/>
              <w:jc w:val="both"/>
              <w:rPr>
                <w:rFonts w:ascii="方正小标宋简体" w:hAnsi="方正小标宋简体" w:eastAsia="方正小标宋简体" w:cs="方正小标宋简体"/>
              </w:rPr>
            </w:pPr>
            <w:r>
              <w:rPr>
                <w:rFonts w:hint="eastAsia" w:ascii="方正小标宋简体" w:hAnsi="方正小标宋简体" w:eastAsia="方正小标宋简体" w:cs="方正小标宋简体"/>
                <w:b/>
              </w:rPr>
              <w:t>干果经济林提质增效工程。</w:t>
            </w:r>
            <w:r>
              <w:rPr>
                <w:rFonts w:hint="eastAsia" w:ascii="方正小标宋简体" w:hAnsi="方正小标宋简体" w:eastAsia="方正小标宋简体" w:cs="方正小标宋简体"/>
              </w:rPr>
              <w:t xml:space="preserve">新建设施大棚覆盖1万亩，实现枣树高产优质高效。对2万亩经济林进行提质增效，实现高产优质高效的目的。 </w:t>
            </w:r>
          </w:p>
          <w:p w14:paraId="0A2E6EE3">
            <w:pPr>
              <w:adjustRightInd w:val="0"/>
              <w:snapToGrid w:val="0"/>
              <w:spacing w:line="360" w:lineRule="exact"/>
              <w:ind w:firstLine="422" w:firstLineChars="200"/>
              <w:jc w:val="both"/>
              <w:rPr>
                <w:rFonts w:ascii="方正小标宋简体" w:hAnsi="方正小标宋简体" w:eastAsia="方正小标宋简体" w:cs="方正小标宋简体"/>
              </w:rPr>
            </w:pPr>
            <w:r>
              <w:rPr>
                <w:rFonts w:hint="eastAsia" w:ascii="方正小标宋简体" w:hAnsi="方正小标宋简体" w:eastAsia="方正小标宋简体" w:cs="方正小标宋简体"/>
                <w:b/>
              </w:rPr>
              <w:t>种苗花卉基地建设工程。</w:t>
            </w:r>
            <w:r>
              <w:rPr>
                <w:rFonts w:hint="eastAsia" w:ascii="方正小标宋简体" w:hAnsi="方正小标宋简体" w:eastAsia="方正小标宋简体" w:cs="方正小标宋简体"/>
              </w:rPr>
              <w:t>繁育良种香花槐0.05万亩，扩大香花槐的繁育规模。</w:t>
            </w:r>
          </w:p>
          <w:p w14:paraId="42BB6E3C">
            <w:pPr>
              <w:adjustRightInd w:val="0"/>
              <w:snapToGrid w:val="0"/>
              <w:spacing w:line="360" w:lineRule="exact"/>
              <w:ind w:firstLine="422" w:firstLineChars="200"/>
              <w:jc w:val="both"/>
              <w:rPr>
                <w:rFonts w:ascii="方正小标宋简体" w:hAnsi="方正小标宋简体" w:eastAsia="方正小标宋简体" w:cs="方正小标宋简体"/>
              </w:rPr>
            </w:pPr>
            <w:r>
              <w:rPr>
                <w:rFonts w:hint="eastAsia" w:ascii="方正小标宋简体" w:hAnsi="方正小标宋简体" w:eastAsia="方正小标宋简体" w:cs="方正小标宋简体"/>
                <w:b/>
              </w:rPr>
              <w:t>永济市古稀树木保护项目。</w:t>
            </w:r>
            <w:r>
              <w:rPr>
                <w:rFonts w:hint="eastAsia" w:ascii="方正小标宋简体" w:hAnsi="方正小标宋简体" w:eastAsia="方正小标宋简体" w:cs="方正小标宋简体"/>
              </w:rPr>
              <w:t>每年保护20株。</w:t>
            </w:r>
          </w:p>
          <w:p w14:paraId="73351C95">
            <w:pPr>
              <w:adjustRightInd w:val="0"/>
              <w:snapToGrid w:val="0"/>
              <w:spacing w:line="360" w:lineRule="exact"/>
              <w:ind w:firstLine="422" w:firstLineChars="200"/>
              <w:jc w:val="both"/>
              <w:rPr>
                <w:rFonts w:ascii="方正小标宋简体" w:hAnsi="方正小标宋简体" w:eastAsia="方正小标宋简体" w:cs="方正小标宋简体"/>
              </w:rPr>
            </w:pPr>
            <w:r>
              <w:rPr>
                <w:rFonts w:hint="eastAsia" w:ascii="方正小标宋简体" w:hAnsi="方正小标宋简体" w:eastAsia="方正小标宋简体" w:cs="方正小标宋简体"/>
                <w:b/>
              </w:rPr>
              <w:t>优势草种基地繁育项目。</w:t>
            </w:r>
            <w:r>
              <w:rPr>
                <w:rFonts w:hint="eastAsia" w:ascii="方正小标宋简体" w:hAnsi="方正小标宋简体" w:eastAsia="方正小标宋简体" w:cs="方正小标宋简体"/>
              </w:rPr>
              <w:t>集中连片区域新建1000亩本土草种繁育基地，构建晋南育繁推一体化的现代生态草种产业体系。</w:t>
            </w:r>
          </w:p>
          <w:p w14:paraId="06A95083">
            <w:pPr>
              <w:adjustRightInd w:val="0"/>
              <w:snapToGrid w:val="0"/>
              <w:spacing w:line="360" w:lineRule="exact"/>
              <w:ind w:firstLine="422" w:firstLineChars="200"/>
              <w:jc w:val="both"/>
              <w:rPr>
                <w:rFonts w:ascii="方正小标宋简体" w:hAnsi="方正小标宋简体" w:eastAsia="方正小标宋简体" w:cs="方正小标宋简体"/>
              </w:rPr>
            </w:pPr>
            <w:r>
              <w:rPr>
                <w:rFonts w:hint="eastAsia" w:ascii="方正小标宋简体" w:hAnsi="方正小标宋简体" w:eastAsia="方正小标宋简体" w:cs="方正小标宋简体"/>
                <w:b/>
              </w:rPr>
              <w:t>森林防火基础设施建设项目。</w:t>
            </w:r>
            <w:r>
              <w:rPr>
                <w:rFonts w:hint="eastAsia" w:ascii="方正小标宋简体" w:hAnsi="方正小标宋简体" w:eastAsia="方正小标宋简体" w:cs="方正小标宋简体"/>
              </w:rPr>
              <w:t>含储备防火物资、扩建森林消防队伍、通讯设备提升等。</w:t>
            </w:r>
          </w:p>
          <w:p w14:paraId="3F763D3E">
            <w:pPr>
              <w:adjustRightInd w:val="0"/>
              <w:snapToGrid w:val="0"/>
              <w:spacing w:afterLines="50" w:line="360" w:lineRule="exact"/>
              <w:ind w:firstLine="422" w:firstLineChars="200"/>
              <w:jc w:val="both"/>
            </w:pPr>
            <w:r>
              <w:rPr>
                <w:rFonts w:hint="eastAsia" w:ascii="方正小标宋简体" w:hAnsi="方正小标宋简体" w:eastAsia="方正小标宋简体" w:cs="方正小标宋简体"/>
                <w:b/>
              </w:rPr>
              <w:t>湿地保护和修复工程。</w:t>
            </w:r>
            <w:r>
              <w:rPr>
                <w:rFonts w:hint="eastAsia" w:ascii="方正小标宋简体" w:hAnsi="方正小标宋简体" w:eastAsia="方正小标宋简体" w:cs="方正小标宋简体"/>
              </w:rPr>
              <w:t>打造中国北方湿地科普研学教育基地，建设高标准湿地保护区鸟类栖息地1处，设立高标准野生动物救护收容所1处，建设野生动植物资源保护专业科研机构，打造伍姓湖国家湿地示范区。</w:t>
            </w:r>
          </w:p>
        </w:tc>
      </w:tr>
    </w:tbl>
    <w:p w14:paraId="5C6288DA">
      <w:pPr>
        <w:pStyle w:val="17"/>
        <w:spacing w:beforeLines="50" w:afterLines="50"/>
        <w:ind w:firstLine="0"/>
        <w:jc w:val="center"/>
        <w:outlineLvl w:val="1"/>
        <w:rPr>
          <w:rFonts w:ascii="Times New Roman" w:hAnsi="Times New Roman" w:eastAsia="楷体_GB2312"/>
          <w:kern w:val="0"/>
          <w:sz w:val="32"/>
          <w:szCs w:val="32"/>
          <w:lang w:bidi="en-US"/>
        </w:rPr>
      </w:pPr>
      <w:bookmarkStart w:id="80" w:name="_Toc68253259"/>
      <w:r>
        <w:rPr>
          <w:rFonts w:ascii="Times New Roman" w:hAnsi="Times New Roman" w:eastAsia="楷体_GB2312"/>
          <w:kern w:val="0"/>
          <w:sz w:val="32"/>
          <w:szCs w:val="32"/>
          <w:lang w:bidi="en-US"/>
        </w:rPr>
        <w:t xml:space="preserve">第二节  </w:t>
      </w:r>
      <w:r>
        <w:rPr>
          <w:rFonts w:hint="eastAsia" w:ascii="Times New Roman" w:hAnsi="Times New Roman" w:eastAsia="楷体_GB2312"/>
          <w:kern w:val="0"/>
          <w:sz w:val="32"/>
          <w:szCs w:val="32"/>
          <w:lang w:bidi="en-US"/>
        </w:rPr>
        <w:t>加强</w:t>
      </w:r>
      <w:r>
        <w:rPr>
          <w:rFonts w:ascii="Times New Roman" w:hAnsi="Times New Roman" w:eastAsia="楷体_GB2312"/>
          <w:kern w:val="0"/>
          <w:sz w:val="32"/>
          <w:szCs w:val="32"/>
          <w:lang w:bidi="en-US"/>
        </w:rPr>
        <w:t>伍姓湖修复治理</w:t>
      </w:r>
      <w:bookmarkEnd w:id="80"/>
    </w:p>
    <w:p w14:paraId="665AB3C0">
      <w:pPr>
        <w:ind w:firstLine="640"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紧扣“生态保护+综合治理”主题，以水安全保障、水资源利用、水生态稳定、水环境优美、水文化传承为基础，按照系统治理的思路，统筹推进水生态治理、湿地环境改善、文化休闲植入，协同伍姓湖上下游水域的保护与利用，实施好伍姓湖岸坡与湿地生态修复治理、伍姓湖入湖口人工湿地二期等重点项目，打造三晋碧水源、鸟类栖息地、伍姓文化休闲旅游胜地，建设黄河中下游独具特色的湿地生态示范区。</w:t>
      </w:r>
    </w:p>
    <w:p w14:paraId="4170D524">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kern w:val="0"/>
          <w:sz w:val="32"/>
          <w:szCs w:val="32"/>
        </w:rPr>
        <w:t>加强水安全保障。</w:t>
      </w:r>
      <w:r>
        <w:rPr>
          <w:rFonts w:ascii="Times New Roman" w:hAnsi="Times New Roman" w:eastAsia="仿宋_GB2312" w:cs="Times New Roman"/>
          <w:kern w:val="0"/>
          <w:sz w:val="32"/>
          <w:szCs w:val="32"/>
        </w:rPr>
        <w:t>严格落实河长、湖长责任制，</w:t>
      </w:r>
      <w:r>
        <w:rPr>
          <w:rFonts w:ascii="Times New Roman" w:hAnsi="Times New Roman" w:eastAsia="仿宋_GB2312" w:cs="Times New Roman"/>
          <w:sz w:val="32"/>
          <w:szCs w:val="32"/>
        </w:rPr>
        <w:t>实施伍姓湖周边入湖排污口堵截，加强沿河排污口监督管理及水污染监测，建立入河排污口清单，加强污染排放综合监管，严格控制污染物总量。</w:t>
      </w:r>
      <w:r>
        <w:rPr>
          <w:rFonts w:hint="eastAsia" w:ascii="Times New Roman" w:hAnsi="Times New Roman" w:eastAsia="仿宋_GB2312" w:cs="Times New Roman"/>
          <w:sz w:val="32"/>
          <w:szCs w:val="32"/>
        </w:rPr>
        <w:t>对湾湾河、姚暹渠等河流渠道以及沿山泄洪沟道进行综合治理，</w:t>
      </w:r>
      <w:r>
        <w:rPr>
          <w:rFonts w:ascii="Times New Roman" w:hAnsi="Times New Roman" w:eastAsia="仿宋_GB2312" w:cs="Times New Roman"/>
          <w:sz w:val="32"/>
          <w:szCs w:val="32"/>
        </w:rPr>
        <w:t>实施河道疏浚、堤防整修加固、防汛抢险道路建设、建筑物改造等河道保护工程，</w:t>
      </w:r>
      <w:r>
        <w:rPr>
          <w:rFonts w:hint="eastAsia" w:ascii="Times New Roman" w:hAnsi="Times New Roman" w:eastAsia="仿宋_GB2312" w:cs="Times New Roman"/>
          <w:sz w:val="32"/>
          <w:szCs w:val="32"/>
        </w:rPr>
        <w:t>提高防洪标准和保障能力。</w:t>
      </w:r>
      <w:r>
        <w:rPr>
          <w:rFonts w:ascii="Times New Roman" w:hAnsi="Times New Roman" w:eastAsia="仿宋_GB2312" w:cs="Times New Roman"/>
          <w:sz w:val="32"/>
          <w:szCs w:val="32"/>
        </w:rPr>
        <w:t>实施污水处理厂提效改造项目，确保入河水质达标。建立跨县界河流水污染防治、水环境监测、水质超标预警、应急响应等联动机制，强化河道管控能力。严格控制伍姓湖及入湖水系周边农业生产中农药化肥使用，杜绝在农业生产中使用超标农药化肥。</w:t>
      </w:r>
      <w:r>
        <w:rPr>
          <w:rFonts w:ascii="Times New Roman" w:hAnsi="Times New Roman" w:eastAsia="仿宋_GB2312" w:cs="Times New Roman"/>
          <w:kern w:val="0"/>
          <w:sz w:val="32"/>
          <w:szCs w:val="32"/>
        </w:rPr>
        <w:t>到2025年，伍姓湖水质</w:t>
      </w:r>
      <w:r>
        <w:rPr>
          <w:rFonts w:hint="eastAsia" w:ascii="Times New Roman" w:hAnsi="Times New Roman" w:eastAsia="仿宋_GB2312" w:cs="Times New Roman"/>
          <w:kern w:val="0"/>
          <w:sz w:val="32"/>
          <w:szCs w:val="32"/>
        </w:rPr>
        <w:t>得到根本性改善，</w:t>
      </w:r>
      <w:r>
        <w:rPr>
          <w:rFonts w:ascii="Times New Roman" w:hAnsi="Times New Roman" w:eastAsia="仿宋_GB2312" w:cs="Times New Roman"/>
          <w:kern w:val="0"/>
          <w:sz w:val="32"/>
          <w:szCs w:val="32"/>
        </w:rPr>
        <w:t>达到《地表水环境质量》Ⅴ类标准以上。</w:t>
      </w:r>
    </w:p>
    <w:p w14:paraId="6466916D">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加强水资源利用。</w:t>
      </w:r>
      <w:r>
        <w:rPr>
          <w:rFonts w:ascii="Times New Roman" w:hAnsi="Times New Roman" w:eastAsia="仿宋_GB2312" w:cs="Times New Roman"/>
          <w:sz w:val="32"/>
          <w:szCs w:val="32"/>
        </w:rPr>
        <w:t>按照“优先满足生活用水、适度压减农业用水、基本保持生态用水和科学调控工业新增用水规模”的水资源总体配置思路，推动水资源的合理利用。按照国家、省、市制定的相关制度方案，确定伍姓湖水资源可利用总量，形成水权总控制指标，进行水量约束。根据气候、地表水、地下水等动态变化情况，丰增枯减，建立不同水平年水资源配置的调剂细化方案。实行超罚节奖的惩罚激励机制，体现水资源优化配置的责、权、利原则，将水资源配置方案真正落到实处。</w:t>
      </w:r>
    </w:p>
    <w:p w14:paraId="3A2D75A8">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强化水生态稳定。</w:t>
      </w:r>
      <w:r>
        <w:rPr>
          <w:rFonts w:hint="eastAsia" w:ascii="Times New Roman" w:hAnsi="Times New Roman" w:eastAsia="仿宋_GB2312" w:cs="Times New Roman"/>
          <w:sz w:val="32"/>
          <w:szCs w:val="32"/>
        </w:rPr>
        <w:t>继续实施人工湿地水污染治理项目，实现伍姓湖生态水质好转</w:t>
      </w:r>
      <w:r>
        <w:rPr>
          <w:rFonts w:ascii="Times New Roman" w:hAnsi="Times New Roman" w:eastAsia="仿宋_GB2312" w:cs="Times New Roman"/>
          <w:sz w:val="32"/>
          <w:szCs w:val="32"/>
        </w:rPr>
        <w:t>。开展涑水河流域水系连通工程，推动姚暹渠、涑水河、伍姓湖、汇入伍姓湖的重要沟道及黄河共同形成河湖连通网络体系，形成布局合理、连通有序、通畅自然、循环良性、生态健康、引排得当、蓄洪兼顾、多源互补的涑水河流域，最终达到“一泓清水入黄河”的目标。</w:t>
      </w:r>
      <w:r>
        <w:rPr>
          <w:rFonts w:ascii="Times New Roman" w:hAnsi="Times New Roman" w:eastAsia="仿宋_GB2312" w:cs="Times New Roman"/>
          <w:kern w:val="0"/>
          <w:sz w:val="32"/>
          <w:szCs w:val="32"/>
        </w:rPr>
        <w:t>到2025年，伍姓湖水面面积保持在12.5平方千米左右，水量达到1000万立方米。</w:t>
      </w:r>
    </w:p>
    <w:p w14:paraId="0278BFC1">
      <w:pPr>
        <w:ind w:firstLine="643"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b/>
          <w:bCs/>
          <w:sz w:val="32"/>
          <w:szCs w:val="32"/>
        </w:rPr>
        <w:t>推动水环境优美。</w:t>
      </w:r>
      <w:r>
        <w:rPr>
          <w:rFonts w:ascii="Times New Roman" w:hAnsi="Times New Roman" w:eastAsia="仿宋_GB2312" w:cs="Times New Roman"/>
          <w:sz w:val="32"/>
          <w:szCs w:val="32"/>
        </w:rPr>
        <w:t>实施支流入河口湿地、退塘还湿、河道涵养林及防护林带生态绿化工程，营建鸟类栖息地，强化湿地植被修复，推动在功能分区的基础上建设自然式水岸、线性漫步式水岸、驻足停留式水岸。推动伍姓湖周边建立农田防护林带、湖岸缓冲林带、运风高速防护林带等三类植被缓冲带，在伍姓湖南侧中条山营造水土保持与水源涵养林，在平原农区恢复建设农田防护林网。</w:t>
      </w:r>
      <w:r>
        <w:rPr>
          <w:rFonts w:ascii="Times New Roman" w:hAnsi="Times New Roman" w:eastAsia="仿宋_GB2312" w:cs="Times New Roman"/>
          <w:kern w:val="0"/>
          <w:sz w:val="32"/>
          <w:szCs w:val="32"/>
        </w:rPr>
        <w:t>到2025年，伍姓湖林草保存面积占宜林宜草面积80%以上，综合治理措施保存率达85%以上，水土保持防洪减沙效率达到70%以上。</w:t>
      </w:r>
    </w:p>
    <w:p w14:paraId="0A4C0577">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kern w:val="0"/>
          <w:sz w:val="32"/>
          <w:szCs w:val="32"/>
        </w:rPr>
        <w:t>加强水文化传承。</w:t>
      </w:r>
      <w:r>
        <w:rPr>
          <w:rFonts w:ascii="Times New Roman" w:hAnsi="Times New Roman" w:eastAsia="仿宋_GB2312" w:cs="Times New Roman"/>
          <w:sz w:val="32"/>
          <w:szCs w:val="32"/>
        </w:rPr>
        <w:t>深入挖掘伍姓文化的时代价值，充分发挥自然禀赋优势，积极举办“伍姓湖文化节”“伍姓湖民俗节”“伍姓湖运动节”等活动，强化“伍姓湖”文化符号元素在城市形态、城市业态中的融合，让“伍姓湖”文化品牌“活”起来、“动”起来，再现伍姓湖昔日美景，把伍姓湖打造成为伍姓文化休闲旅游胜地，让人们在自然山水中体悟历史传承、增强文化自信，把伍姓湖品牌推出运城、推出山西、推向全国。</w:t>
      </w:r>
    </w:p>
    <w:p w14:paraId="61BB085F">
      <w:pPr>
        <w:pStyle w:val="17"/>
        <w:spacing w:beforeLines="50" w:afterLines="50"/>
        <w:ind w:firstLine="0"/>
        <w:jc w:val="both"/>
        <w:outlineLvl w:val="1"/>
        <w:rPr>
          <w:rFonts w:ascii="Times New Roman" w:hAnsi="Times New Roman" w:eastAsia="楷体_GB2312"/>
          <w:kern w:val="0"/>
          <w:sz w:val="32"/>
          <w:szCs w:val="32"/>
          <w:lang w:bidi="en-US"/>
        </w:rPr>
      </w:pPr>
      <w:bookmarkStart w:id="81" w:name="_Toc68253260"/>
      <w:r>
        <w:rPr>
          <w:rFonts w:ascii="Times New Roman" w:hAnsi="Times New Roman" w:eastAsia="楷体_GB2312"/>
          <w:kern w:val="0"/>
          <w:sz w:val="32"/>
          <w:szCs w:val="32"/>
          <w:lang w:bidi="en-US"/>
        </w:rPr>
        <w:t>第三节  深入推进污染防治</w:t>
      </w:r>
      <w:bookmarkEnd w:id="81"/>
    </w:p>
    <w:p w14:paraId="258CC703">
      <w:pPr>
        <w:ind w:firstLine="640"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以提高环境质量为核心，对标找差，精准施策，靶向施治，持续推进蓝天、碧水、净土保卫战常态化长效化，实现多污染物综合防治和环境治理。</w:t>
      </w:r>
    </w:p>
    <w:p w14:paraId="05C0A8AF">
      <w:pPr>
        <w:ind w:firstLine="643"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持续改善大气环境质量。</w:t>
      </w:r>
      <w:r>
        <w:rPr>
          <w:rFonts w:ascii="Times New Roman" w:hAnsi="Times New Roman" w:eastAsia="仿宋_GB2312" w:cs="Times New Roman"/>
          <w:kern w:val="0"/>
          <w:sz w:val="32"/>
          <w:szCs w:val="32"/>
        </w:rPr>
        <w:t>深入开展“散乱污”企业综合整治，保持控煤、治污、管车、降尘“零容忍”高压态势，严格管控餐饮油烟、成品油气、垃圾秸秆焚烧等污染，实现PM</w:t>
      </w:r>
      <w:r>
        <w:rPr>
          <w:rFonts w:ascii="Times New Roman" w:hAnsi="Times New Roman" w:eastAsia="仿宋_GB2312" w:cs="Times New Roman"/>
          <w:kern w:val="0"/>
          <w:sz w:val="32"/>
          <w:szCs w:val="32"/>
          <w:vertAlign w:val="subscript"/>
        </w:rPr>
        <w:t>2.5</w:t>
      </w:r>
      <w:r>
        <w:rPr>
          <w:rFonts w:ascii="Times New Roman" w:hAnsi="Times New Roman" w:eastAsia="仿宋_GB2312" w:cs="Times New Roman"/>
          <w:kern w:val="0"/>
          <w:sz w:val="32"/>
          <w:szCs w:val="32"/>
        </w:rPr>
        <w:t>和重污染天数“双下降”。加快推动农村清洁取暖和散煤替代。落实企业治污主体责任，强化工业企业深度治理、道路及建筑工地扬尘治理，推动大气环境质量稳定提升。</w:t>
      </w:r>
    </w:p>
    <w:p w14:paraId="1B27D646">
      <w:pPr>
        <w:ind w:firstLine="643"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稳步提升水生态环境质量。</w:t>
      </w:r>
      <w:r>
        <w:rPr>
          <w:rFonts w:ascii="Times New Roman" w:hAnsi="Times New Roman" w:eastAsia="仿宋_GB2312" w:cs="Times New Roman"/>
          <w:kern w:val="0"/>
          <w:sz w:val="32"/>
          <w:szCs w:val="32"/>
        </w:rPr>
        <w:t>严格落实河长制，健全涑水河、伍姓湖排污口常态监管机制，推进饮用水、地下水、流域水、黑臭水、污废水“五水同治”。以国考张留庄断面水质稳定达标为主要目标，狠抓工业污染防治、强化城镇生活污水治理、推进农业农村污染防治、开展入河排污口整治，全面消除城乡黑臭水体。加强开张镇、卿头镇污水处理厂运营管理，加快虞乡镇、蒲州镇、张营镇污水处理站和管网建设，提高农村污水处理率。</w:t>
      </w:r>
    </w:p>
    <w:p w14:paraId="78700209">
      <w:pPr>
        <w:ind w:firstLine="643"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加强土壤环境质量安全保障。</w:t>
      </w:r>
      <w:r>
        <w:rPr>
          <w:rFonts w:ascii="Times New Roman" w:hAnsi="Times New Roman" w:eastAsia="仿宋_GB2312" w:cs="Times New Roman"/>
          <w:kern w:val="0"/>
          <w:sz w:val="32"/>
          <w:szCs w:val="32"/>
        </w:rPr>
        <w:t>实施农药厂、永济市中兴化工有限公司等污染</w:t>
      </w:r>
      <w:r>
        <w:rPr>
          <w:rFonts w:hint="eastAsia" w:ascii="Times New Roman" w:hAnsi="Times New Roman" w:eastAsia="仿宋_GB2312" w:cs="Times New Roman"/>
          <w:kern w:val="0"/>
          <w:sz w:val="32"/>
          <w:szCs w:val="32"/>
        </w:rPr>
        <w:t>企业</w:t>
      </w:r>
      <w:r>
        <w:rPr>
          <w:rFonts w:ascii="Times New Roman" w:hAnsi="Times New Roman" w:eastAsia="仿宋_GB2312" w:cs="Times New Roman"/>
          <w:kern w:val="0"/>
          <w:sz w:val="32"/>
          <w:szCs w:val="32"/>
        </w:rPr>
        <w:t>地块的</w:t>
      </w:r>
      <w:r>
        <w:rPr>
          <w:rFonts w:hint="eastAsia" w:ascii="Times New Roman" w:hAnsi="Times New Roman" w:eastAsia="仿宋_GB2312" w:cs="Times New Roman"/>
          <w:kern w:val="0"/>
          <w:sz w:val="32"/>
          <w:szCs w:val="32"/>
        </w:rPr>
        <w:t>突然环境调查评估，</w:t>
      </w:r>
      <w:r>
        <w:rPr>
          <w:rFonts w:ascii="Times New Roman" w:hAnsi="Times New Roman" w:eastAsia="仿宋_GB2312" w:cs="Times New Roman"/>
          <w:kern w:val="0"/>
          <w:sz w:val="32"/>
          <w:szCs w:val="32"/>
        </w:rPr>
        <w:t>逐步提高污染</w:t>
      </w:r>
      <w:r>
        <w:rPr>
          <w:rFonts w:hint="eastAsia" w:ascii="Times New Roman" w:hAnsi="Times New Roman" w:eastAsia="仿宋_GB2312" w:cs="Times New Roman"/>
          <w:kern w:val="0"/>
          <w:sz w:val="32"/>
          <w:szCs w:val="32"/>
        </w:rPr>
        <w:t>工矿企业地块</w:t>
      </w:r>
      <w:r>
        <w:rPr>
          <w:rFonts w:ascii="Times New Roman" w:hAnsi="Times New Roman" w:eastAsia="仿宋_GB2312" w:cs="Times New Roman"/>
          <w:kern w:val="0"/>
          <w:sz w:val="32"/>
          <w:szCs w:val="32"/>
        </w:rPr>
        <w:t>的利用。强化工业固废综合利用，增强危废、重金属处理能力，严厉打击各类固体废物非法倾倒问题。加强危险废弃物产生、收集、运输、处理等各环节的监管，确保危险废弃物的全部安全处置和零排放。</w:t>
      </w:r>
      <w:r>
        <w:rPr>
          <w:rFonts w:hint="eastAsia" w:ascii="Times New Roman" w:hAnsi="Times New Roman" w:eastAsia="仿宋_GB2312" w:cs="Times New Roman"/>
          <w:kern w:val="0"/>
          <w:sz w:val="32"/>
          <w:szCs w:val="32"/>
        </w:rPr>
        <w:t>积极引入多元化的社会资本，实施全域露天矿山生态修复，以韩阳镇全域土地整治项目为试点，逐步推进我市全域土地综合整治。</w:t>
      </w:r>
    </w:p>
    <w:p w14:paraId="03C4F2C4">
      <w:pPr>
        <w:pStyle w:val="17"/>
        <w:spacing w:beforeLines="50" w:afterLines="50"/>
        <w:ind w:firstLine="0"/>
        <w:jc w:val="center"/>
        <w:outlineLvl w:val="1"/>
        <w:rPr>
          <w:rFonts w:ascii="Times New Roman" w:hAnsi="Times New Roman" w:eastAsia="楷体_GB2312"/>
          <w:kern w:val="0"/>
          <w:sz w:val="32"/>
          <w:szCs w:val="32"/>
          <w:lang w:bidi="en-US"/>
        </w:rPr>
      </w:pPr>
      <w:bookmarkStart w:id="82" w:name="_Toc68253261"/>
      <w:r>
        <w:rPr>
          <w:rFonts w:ascii="Times New Roman" w:hAnsi="Times New Roman" w:eastAsia="楷体_GB2312"/>
          <w:kern w:val="0"/>
          <w:sz w:val="32"/>
          <w:szCs w:val="32"/>
          <w:lang w:bidi="en-US"/>
        </w:rPr>
        <w:t>第四节  加快形成绿色发展和生活方式</w:t>
      </w:r>
      <w:bookmarkEnd w:id="82"/>
    </w:p>
    <w:p w14:paraId="1BBE3E1C">
      <w:pPr>
        <w:ind w:firstLine="640"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落实碳达峰碳中和山西行动，以提高资源能源集约节约利用为切入点，加快推进清洁生产和资源综合利用，推进固废减量化、资源化、再利用，推动形成绿色生产生活方式。</w:t>
      </w:r>
    </w:p>
    <w:p w14:paraId="482A405B">
      <w:pPr>
        <w:ind w:firstLine="643" w:firstLineChars="200"/>
        <w:jc w:val="both"/>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开展碳达峰碳中和行动。</w:t>
      </w:r>
      <w:r>
        <w:rPr>
          <w:rFonts w:hint="eastAsia" w:ascii="Times New Roman" w:hAnsi="Times New Roman" w:eastAsia="仿宋_GB2312" w:cs="Times New Roman"/>
          <w:kern w:val="0"/>
          <w:sz w:val="32"/>
          <w:szCs w:val="32"/>
        </w:rPr>
        <w:t>主动对标“2030、2060”目标，编制碳达峰碳中和行动方案，加快碳排放权交易制度和能力建设。以碳强度控制为主、碳排放总量控制为辅，实施能源消耗总量和强度双控行动。强化能耗控制，实施更加严格的能效和排放标准。创新合同能源管理服务模式，健全效益分享机制。推广能源费用分配制度，确认各用能单位、用能权初始配额，推进用能预算化管理，确保优质增量用能。</w:t>
      </w:r>
    </w:p>
    <w:p w14:paraId="33111B8C">
      <w:pPr>
        <w:ind w:firstLine="643"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推进能源节约利用。</w:t>
      </w:r>
      <w:r>
        <w:rPr>
          <w:rFonts w:ascii="Times New Roman" w:hAnsi="Times New Roman" w:eastAsia="仿宋_GB2312" w:cs="Times New Roman"/>
          <w:kern w:val="0"/>
          <w:sz w:val="32"/>
          <w:szCs w:val="32"/>
        </w:rPr>
        <w:t>全面建立资源高效利用制度，降低能耗、物耗水平，提高废弃资源利用效率。加强工业、建筑、交通运输等重点领域节能降耗，加快工业企业能源管理现代化、高效化，提升工业生产效率和能耗效率。推进建筑业低能耗、零能耗建筑建设试点，实施建筑节能先进标准领跑行动。合理有效配置不同交通运输方式，大力推广节能和新能源汽车。加快垃圾焚烧发电项目的并网运营，提高垃圾回收利用水平。</w:t>
      </w:r>
    </w:p>
    <w:p w14:paraId="3F74BF31">
      <w:pPr>
        <w:ind w:firstLine="643"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推动水资源节约利用。</w:t>
      </w:r>
      <w:r>
        <w:rPr>
          <w:rFonts w:ascii="Times New Roman" w:hAnsi="Times New Roman" w:eastAsia="仿宋_GB2312" w:cs="Times New Roman"/>
          <w:kern w:val="0"/>
          <w:sz w:val="32"/>
          <w:szCs w:val="32"/>
        </w:rPr>
        <w:t>实行最严格的水资源管理制度，充分发挥价格的杠杆作用，提高水资源的利用效率和效益</w:t>
      </w:r>
      <w:r>
        <w:rPr>
          <w:rFonts w:hint="eastAsia" w:ascii="Times New Roman" w:hAnsi="Times New Roman" w:eastAsia="仿宋_GB2312" w:cs="Times New Roman"/>
          <w:kern w:val="0"/>
          <w:sz w:val="32"/>
          <w:szCs w:val="32"/>
        </w:rPr>
        <w:t>，推动地下水超采区综合治理，实施水资源置换工程和关井压采，用黄河客水替换地下水，遏制地下水超采势头</w:t>
      </w:r>
      <w:r>
        <w:rPr>
          <w:rFonts w:ascii="Times New Roman" w:hAnsi="Times New Roman" w:eastAsia="仿宋_GB2312" w:cs="Times New Roman"/>
          <w:kern w:val="0"/>
          <w:sz w:val="32"/>
          <w:szCs w:val="32"/>
        </w:rPr>
        <w:t>。井灌区以发展节水灌溉为主，黄灌区以末级渠系配套为主，不断扩大黄灌面积，积极推进水资源置换项目建设，减少农田灌溉对地下水的开采。</w:t>
      </w:r>
      <w:r>
        <w:rPr>
          <w:rFonts w:hint="eastAsia" w:ascii="Times New Roman" w:hAnsi="Times New Roman" w:eastAsia="仿宋_GB2312" w:cs="Times New Roman"/>
          <w:kern w:val="0"/>
          <w:sz w:val="32"/>
          <w:szCs w:val="32"/>
        </w:rPr>
        <w:t>全力推进中水回用，在工业、城市生活、生态绿化等方面，加大中水回用力度，提高用水效率。</w:t>
      </w:r>
      <w:r>
        <w:rPr>
          <w:rFonts w:ascii="Times New Roman" w:hAnsi="Times New Roman" w:eastAsia="仿宋_GB2312" w:cs="Times New Roman"/>
          <w:kern w:val="0"/>
          <w:sz w:val="32"/>
          <w:szCs w:val="32"/>
        </w:rPr>
        <w:t>推广节水器具的应用，建立重点用水单位监控名录，建设一批节水型示范机关、企业、社区、学校。</w:t>
      </w:r>
    </w:p>
    <w:p w14:paraId="7B51BF63">
      <w:pPr>
        <w:ind w:firstLine="643"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加强土地节约集约利用。</w:t>
      </w:r>
      <w:r>
        <w:rPr>
          <w:rFonts w:ascii="Times New Roman" w:hAnsi="Times New Roman" w:eastAsia="仿宋_GB2312" w:cs="Times New Roman"/>
          <w:kern w:val="0"/>
          <w:sz w:val="32"/>
          <w:szCs w:val="32"/>
        </w:rPr>
        <w:t>加强建设用地管理总量控制与存量盘活，严格</w:t>
      </w:r>
      <w:r>
        <w:rPr>
          <w:rFonts w:hint="eastAsia" w:ascii="Times New Roman" w:hAnsi="Times New Roman" w:eastAsia="仿宋_GB2312" w:cs="Times New Roman"/>
          <w:kern w:val="0"/>
          <w:sz w:val="32"/>
          <w:szCs w:val="32"/>
        </w:rPr>
        <w:t>国土空间</w:t>
      </w:r>
      <w:r>
        <w:rPr>
          <w:rFonts w:ascii="Times New Roman" w:hAnsi="Times New Roman" w:eastAsia="仿宋_GB2312" w:cs="Times New Roman"/>
          <w:kern w:val="0"/>
          <w:sz w:val="32"/>
          <w:szCs w:val="32"/>
        </w:rPr>
        <w:t xml:space="preserve">总体规划实施管理，保障经济社会发展用地，提高土地节约集约利用水平。释放存量建设用地空间，提高存量建设用地在土地供应总量中的比重。建立健全低效用地再开发激励约束机制，鼓励城镇低效用地再开发，推进城乡存量建设用地挖潜利用和高效配置，规范实施城乡建设用地增减挂钩工作。 </w:t>
      </w:r>
    </w:p>
    <w:p w14:paraId="252C6246">
      <w:pPr>
        <w:pStyle w:val="17"/>
        <w:spacing w:beforeLines="50" w:afterLines="50"/>
        <w:ind w:firstLine="0"/>
        <w:jc w:val="both"/>
        <w:outlineLvl w:val="1"/>
        <w:rPr>
          <w:rFonts w:ascii="Times New Roman" w:hAnsi="Times New Roman" w:eastAsia="楷体_GB2312"/>
          <w:kern w:val="0"/>
          <w:sz w:val="32"/>
          <w:szCs w:val="32"/>
          <w:lang w:bidi="en-US"/>
        </w:rPr>
      </w:pPr>
      <w:bookmarkStart w:id="83" w:name="_Toc68253262"/>
      <w:r>
        <w:rPr>
          <w:rFonts w:ascii="Times New Roman" w:hAnsi="Times New Roman" w:eastAsia="楷体_GB2312"/>
          <w:kern w:val="0"/>
          <w:sz w:val="32"/>
          <w:szCs w:val="32"/>
          <w:lang w:bidi="en-US"/>
        </w:rPr>
        <w:t>第五节  健全生态文明制度体系</w:t>
      </w:r>
      <w:bookmarkEnd w:id="83"/>
    </w:p>
    <w:p w14:paraId="71614D0D">
      <w:pPr>
        <w:ind w:firstLine="640"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构建和完善党委领导、政府主导、企业主体、社会组织和公众共同参与的现代环境治理体系，为推动生态环境根本好转、建设美丽永济提供制度保障。</w:t>
      </w:r>
    </w:p>
    <w:p w14:paraId="5AAB5965">
      <w:pPr>
        <w:ind w:firstLine="643"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完善生态评价考核体系。</w:t>
      </w:r>
      <w:r>
        <w:rPr>
          <w:rFonts w:hint="eastAsia" w:ascii="Times New Roman" w:hAnsi="Times New Roman" w:eastAsia="仿宋_GB2312" w:cs="Times New Roman"/>
          <w:kern w:val="0"/>
          <w:sz w:val="32"/>
          <w:szCs w:val="32"/>
        </w:rPr>
        <w:t>持续</w:t>
      </w:r>
      <w:r>
        <w:rPr>
          <w:rFonts w:ascii="Times New Roman" w:hAnsi="Times New Roman" w:eastAsia="仿宋_GB2312" w:cs="Times New Roman"/>
          <w:kern w:val="0"/>
          <w:sz w:val="32"/>
          <w:szCs w:val="32"/>
        </w:rPr>
        <w:t>把资源消耗、环境损害、生态效益等指标纳入经济社会发展评价体系，</w:t>
      </w:r>
      <w:r>
        <w:rPr>
          <w:rFonts w:hint="eastAsia" w:ascii="Times New Roman" w:hAnsi="Times New Roman" w:eastAsia="仿宋_GB2312" w:cs="Times New Roman"/>
          <w:kern w:val="0"/>
          <w:sz w:val="32"/>
          <w:szCs w:val="32"/>
        </w:rPr>
        <w:t>完善</w:t>
      </w:r>
      <w:r>
        <w:rPr>
          <w:rFonts w:ascii="Times New Roman" w:hAnsi="Times New Roman" w:eastAsia="仿宋_GB2312" w:cs="Times New Roman"/>
          <w:kern w:val="0"/>
          <w:sz w:val="32"/>
          <w:szCs w:val="32"/>
        </w:rPr>
        <w:t>体现生态文明要求的考核办法和奖惩制度，形成生态文明建设的长效机制。</w:t>
      </w:r>
      <w:r>
        <w:rPr>
          <w:rFonts w:hint="eastAsia" w:ascii="Times New Roman" w:hAnsi="Times New Roman" w:eastAsia="仿宋_GB2312" w:cs="Times New Roman"/>
          <w:kern w:val="0"/>
          <w:sz w:val="32"/>
          <w:szCs w:val="32"/>
        </w:rPr>
        <w:t>建立科学合理的</w:t>
      </w:r>
      <w:r>
        <w:rPr>
          <w:rFonts w:ascii="Times New Roman" w:hAnsi="Times New Roman" w:eastAsia="仿宋_GB2312" w:cs="Times New Roman"/>
          <w:kern w:val="0"/>
          <w:sz w:val="32"/>
          <w:szCs w:val="32"/>
        </w:rPr>
        <w:t>生态环境考核</w:t>
      </w:r>
      <w:r>
        <w:rPr>
          <w:rFonts w:hint="eastAsia" w:ascii="Times New Roman" w:hAnsi="Times New Roman" w:eastAsia="仿宋_GB2312" w:cs="Times New Roman"/>
          <w:kern w:val="0"/>
          <w:sz w:val="32"/>
          <w:szCs w:val="32"/>
        </w:rPr>
        <w:t>指标体系，</w:t>
      </w:r>
      <w:r>
        <w:rPr>
          <w:rFonts w:ascii="Times New Roman" w:hAnsi="Times New Roman" w:eastAsia="仿宋_GB2312" w:cs="Times New Roman"/>
          <w:kern w:val="0"/>
          <w:sz w:val="32"/>
          <w:szCs w:val="32"/>
        </w:rPr>
        <w:t>并将考核结果作为领导班子调整和领导干部选拔任用、奖励惩戒的重要依据。</w:t>
      </w:r>
    </w:p>
    <w:p w14:paraId="72129268">
      <w:pPr>
        <w:ind w:firstLine="643"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健全绿色发展促进机制。</w:t>
      </w:r>
      <w:r>
        <w:rPr>
          <w:rFonts w:ascii="Times New Roman" w:hAnsi="Times New Roman" w:eastAsia="仿宋_GB2312" w:cs="Times New Roman"/>
          <w:kern w:val="0"/>
          <w:sz w:val="32"/>
          <w:szCs w:val="32"/>
        </w:rPr>
        <w:t>严格落实绿色生产和消费的法律制度和政策，推行源头减量、清洁生产、资源循环、末端治理的生产方式，优先发展节能环保型产业，完善生态旅游发展体系，推动形成资源节约、环境友好、生态安全的工业、农业、服务业体系。探索建立市场导向的绿色技术创新体系，加快构建绿色低碳循环发展的经济体系，以环保倒逼转型。探索发展绿色金融和碳汇交易，丰富绿色金融产品。</w:t>
      </w:r>
    </w:p>
    <w:p w14:paraId="6B192417">
      <w:pPr>
        <w:ind w:firstLine="643"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健全环境治理市场体系。</w:t>
      </w:r>
      <w:r>
        <w:rPr>
          <w:rFonts w:ascii="Times New Roman" w:hAnsi="Times New Roman" w:eastAsia="仿宋_GB2312" w:cs="Times New Roman"/>
          <w:kern w:val="0"/>
          <w:sz w:val="32"/>
          <w:szCs w:val="32"/>
        </w:rPr>
        <w:t>构建规范开放的市场，引导各类资本参与环境治理投资、建设、运行，积极开展园区污染防治第三方治理示范，探索统一规划、统一监测、统一治理的一体化服务模式。探索开展小城镇环境综合治理托管服务试点。对工业污染地块，鼓励采用“环境修复+开发建设”模式。健全生态补偿机制和环境准入机制，适时探索建立市域生态补偿基金，落实生态镇、村创建奖励补助资金政策。严格落实“谁污染、谁付费”政策导向，建立健全“污染者付费+第三方治理”等机制。</w:t>
      </w:r>
    </w:p>
    <w:p w14:paraId="061A03CE">
      <w:pPr>
        <w:jc w:val="both"/>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br w:type="page"/>
      </w:r>
    </w:p>
    <w:p w14:paraId="63063432">
      <w:pPr>
        <w:spacing w:beforeLines="100" w:afterLines="100"/>
        <w:jc w:val="center"/>
        <w:outlineLvl w:val="0"/>
        <w:rPr>
          <w:rFonts w:ascii="Times New Roman" w:hAnsi="Times New Roman" w:eastAsia="黑体" w:cs="Times New Roman"/>
          <w:sz w:val="32"/>
          <w:szCs w:val="32"/>
        </w:rPr>
      </w:pPr>
      <w:bookmarkStart w:id="84" w:name="_Toc68253263"/>
      <w:r>
        <w:rPr>
          <w:rFonts w:ascii="Times New Roman" w:hAnsi="Times New Roman" w:eastAsia="黑体" w:cs="Times New Roman"/>
          <w:sz w:val="32"/>
          <w:szCs w:val="32"/>
        </w:rPr>
        <w:t>第</w:t>
      </w:r>
      <w:r>
        <w:rPr>
          <w:rFonts w:hint="eastAsia" w:ascii="Times New Roman" w:hAnsi="Times New Roman" w:eastAsia="黑体" w:cs="Times New Roman"/>
          <w:sz w:val="32"/>
          <w:szCs w:val="32"/>
        </w:rPr>
        <w:t>八</w:t>
      </w:r>
      <w:r>
        <w:rPr>
          <w:rFonts w:ascii="Times New Roman" w:hAnsi="Times New Roman" w:eastAsia="黑体" w:cs="Times New Roman"/>
          <w:sz w:val="32"/>
          <w:szCs w:val="32"/>
        </w:rPr>
        <w:t>章  全面深化改革</w:t>
      </w:r>
      <w:r>
        <w:rPr>
          <w:rFonts w:hint="eastAsia" w:ascii="Times New Roman" w:hAnsi="Times New Roman" w:eastAsia="黑体" w:cs="Times New Roman"/>
          <w:sz w:val="32"/>
          <w:szCs w:val="32"/>
        </w:rPr>
        <w:t>创新</w:t>
      </w:r>
      <w:r>
        <w:rPr>
          <w:rFonts w:ascii="Times New Roman" w:hAnsi="Times New Roman" w:eastAsia="黑体" w:cs="Times New Roman"/>
          <w:sz w:val="32"/>
          <w:szCs w:val="32"/>
        </w:rPr>
        <w:t>，</w:t>
      </w:r>
      <w:r>
        <w:rPr>
          <w:rFonts w:hint="eastAsia" w:ascii="Times New Roman" w:hAnsi="Times New Roman" w:eastAsia="黑体" w:cs="Times New Roman"/>
          <w:sz w:val="32"/>
          <w:szCs w:val="32"/>
        </w:rPr>
        <w:t>增强发展内生动力和活力</w:t>
      </w:r>
      <w:bookmarkEnd w:id="84"/>
    </w:p>
    <w:p w14:paraId="07E55B43">
      <w:pPr>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坚定不移走好改革开放必由之路，把创新驱动放在高质量</w:t>
      </w:r>
      <w:r>
        <w:rPr>
          <w:rFonts w:ascii="Times New Roman" w:hAnsi="Times New Roman" w:eastAsia="仿宋_GB2312" w:cs="Times New Roman"/>
          <w:sz w:val="32"/>
          <w:szCs w:val="32"/>
        </w:rPr>
        <w:t>转型发展</w:t>
      </w:r>
      <w:r>
        <w:rPr>
          <w:rFonts w:hint="eastAsia" w:ascii="Times New Roman" w:hAnsi="Times New Roman" w:eastAsia="仿宋_GB2312" w:cs="Times New Roman"/>
          <w:sz w:val="32"/>
          <w:szCs w:val="32"/>
        </w:rPr>
        <w:t>全局中</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核心位置，</w:t>
      </w:r>
      <w:r>
        <w:rPr>
          <w:rFonts w:ascii="Times New Roman" w:hAnsi="Times New Roman" w:eastAsia="仿宋_GB2312" w:cs="Times New Roman"/>
          <w:sz w:val="32"/>
          <w:szCs w:val="32"/>
        </w:rPr>
        <w:t>以改革</w:t>
      </w:r>
      <w:r>
        <w:rPr>
          <w:rFonts w:hint="eastAsia" w:ascii="Times New Roman" w:hAnsi="Times New Roman" w:eastAsia="仿宋_GB2312" w:cs="Times New Roman"/>
          <w:sz w:val="32"/>
          <w:szCs w:val="32"/>
        </w:rPr>
        <w:t>创新增强内生动力</w:t>
      </w:r>
      <w:r>
        <w:rPr>
          <w:rFonts w:ascii="Times New Roman" w:hAnsi="Times New Roman" w:eastAsia="仿宋_GB2312" w:cs="Times New Roman"/>
          <w:sz w:val="32"/>
          <w:szCs w:val="32"/>
        </w:rPr>
        <w:t>、以</w:t>
      </w:r>
      <w:r>
        <w:rPr>
          <w:rFonts w:hint="eastAsia" w:ascii="Times New Roman" w:hAnsi="Times New Roman" w:eastAsia="仿宋_GB2312" w:cs="Times New Roman"/>
          <w:sz w:val="32"/>
          <w:szCs w:val="32"/>
        </w:rPr>
        <w:t>扩大</w:t>
      </w:r>
      <w:r>
        <w:rPr>
          <w:rFonts w:ascii="Times New Roman" w:hAnsi="Times New Roman" w:eastAsia="仿宋_GB2312" w:cs="Times New Roman"/>
          <w:sz w:val="32"/>
          <w:szCs w:val="32"/>
        </w:rPr>
        <w:t>开放</w:t>
      </w:r>
      <w:r>
        <w:rPr>
          <w:rFonts w:hint="eastAsia" w:ascii="Times New Roman" w:hAnsi="Times New Roman" w:eastAsia="仿宋_GB2312" w:cs="Times New Roman"/>
          <w:sz w:val="32"/>
          <w:szCs w:val="32"/>
        </w:rPr>
        <w:t>激发转型活力</w:t>
      </w:r>
      <w:r>
        <w:rPr>
          <w:rFonts w:ascii="Times New Roman" w:hAnsi="Times New Roman" w:eastAsia="仿宋_GB2312" w:cs="Times New Roman"/>
          <w:sz w:val="32"/>
          <w:szCs w:val="32"/>
        </w:rPr>
        <w:t>，切实解决发展中存在的深层次体制机制问题，着力构建</w:t>
      </w:r>
      <w:r>
        <w:rPr>
          <w:rFonts w:hint="eastAsia" w:ascii="Times New Roman" w:hAnsi="Times New Roman" w:eastAsia="仿宋_GB2312" w:cs="Times New Roman"/>
          <w:sz w:val="32"/>
          <w:szCs w:val="32"/>
        </w:rPr>
        <w:t>永济高质量发展</w:t>
      </w:r>
      <w:r>
        <w:rPr>
          <w:rFonts w:ascii="Times New Roman" w:hAnsi="Times New Roman" w:eastAsia="仿宋_GB2312" w:cs="Times New Roman"/>
          <w:sz w:val="32"/>
          <w:szCs w:val="32"/>
        </w:rPr>
        <w:t>新格局</w:t>
      </w:r>
      <w:r>
        <w:rPr>
          <w:rFonts w:hint="eastAsia" w:ascii="Times New Roman" w:hAnsi="Times New Roman" w:eastAsia="仿宋_GB2312" w:cs="Times New Roman"/>
          <w:sz w:val="32"/>
          <w:szCs w:val="32"/>
        </w:rPr>
        <w:t>。</w:t>
      </w:r>
    </w:p>
    <w:p w14:paraId="3A868118">
      <w:pPr>
        <w:pStyle w:val="17"/>
        <w:spacing w:beforeLines="50" w:afterLines="50"/>
        <w:ind w:firstLine="0"/>
        <w:jc w:val="center"/>
        <w:outlineLvl w:val="1"/>
        <w:rPr>
          <w:rFonts w:ascii="Times New Roman" w:hAnsi="Times New Roman" w:eastAsia="楷体_GB2312"/>
          <w:kern w:val="0"/>
          <w:sz w:val="32"/>
          <w:szCs w:val="32"/>
          <w:lang w:bidi="en-US"/>
        </w:rPr>
      </w:pPr>
      <w:bookmarkStart w:id="85" w:name="_Toc68253264"/>
      <w:r>
        <w:rPr>
          <w:rFonts w:ascii="Times New Roman" w:hAnsi="Times New Roman" w:eastAsia="楷体_GB2312"/>
          <w:kern w:val="0"/>
          <w:sz w:val="32"/>
          <w:szCs w:val="32"/>
          <w:lang w:bidi="en-US"/>
        </w:rPr>
        <w:t>第一节  深化重点领域改革</w:t>
      </w:r>
      <w:bookmarkEnd w:id="85"/>
    </w:p>
    <w:p w14:paraId="0DBA9A90">
      <w:pPr>
        <w:ind w:firstLine="640" w:firstLineChars="200"/>
        <w:jc w:val="both"/>
        <w:rPr>
          <w:rStyle w:val="29"/>
          <w:rFonts w:ascii="Times New Roman" w:hAnsi="Times New Roman" w:eastAsia="仿宋_GB2312" w:cs="Times New Roman"/>
          <w:sz w:val="32"/>
          <w:szCs w:val="32"/>
        </w:rPr>
      </w:pPr>
      <w:r>
        <w:rPr>
          <w:rStyle w:val="29"/>
          <w:rFonts w:ascii="Times New Roman" w:hAnsi="Times New Roman" w:eastAsia="仿宋_GB2312" w:cs="Times New Roman"/>
          <w:sz w:val="32"/>
          <w:szCs w:val="32"/>
        </w:rPr>
        <w:t>以建设高水平社会主义市场经济体制为牵引，全面承接好中央全面深化改革重大决策部署及省委、运城市委工作安排，推动更多改革挺进运城乃至全省第一方阵。</w:t>
      </w:r>
    </w:p>
    <w:p w14:paraId="7280FCA3">
      <w:pPr>
        <w:ind w:firstLine="643" w:firstLineChars="200"/>
        <w:jc w:val="both"/>
        <w:rPr>
          <w:rStyle w:val="29"/>
          <w:rFonts w:ascii="Times New Roman" w:hAnsi="Times New Roman" w:eastAsia="仿宋_GB2312" w:cs="Times New Roman"/>
          <w:sz w:val="32"/>
          <w:szCs w:val="32"/>
        </w:rPr>
      </w:pPr>
      <w:r>
        <w:rPr>
          <w:rFonts w:ascii="Times New Roman" w:hAnsi="Times New Roman" w:eastAsia="仿宋_GB2312" w:cs="Times New Roman"/>
          <w:b/>
          <w:bCs/>
          <w:sz w:val="32"/>
          <w:szCs w:val="32"/>
        </w:rPr>
        <w:t>全面激发各类市场主体活力。</w:t>
      </w:r>
      <w:r>
        <w:rPr>
          <w:rFonts w:ascii="Times New Roman" w:hAnsi="Times New Roman" w:eastAsia="仿宋_GB2312" w:cs="Times New Roman"/>
          <w:sz w:val="32"/>
          <w:szCs w:val="32"/>
        </w:rPr>
        <w:t>按照“应脱尽脱，分类处置”的原则，在依法依规、公开透明的基础上，有序推进党政机关与所办企业脱钩改革工作。加大国有企业改革力度，加快推动建立现代企业制度，完善公司法人治理结构，激发国有经济活力。全力配合运城国资委，做好永纺、农药厂等破产重组工作。落实激励民营经济发展各项措施，加大奖励兑现力度，强化普惠金融服务，创建全省中小企业高质量发展示范县。</w:t>
      </w:r>
      <w:r>
        <w:rPr>
          <w:rStyle w:val="29"/>
          <w:rFonts w:ascii="Times New Roman" w:hAnsi="Times New Roman" w:eastAsia="仿宋_GB2312" w:cs="Times New Roman"/>
          <w:sz w:val="32"/>
          <w:szCs w:val="32"/>
        </w:rPr>
        <w:t>加强对民营企业家的分类指导、精准服务，构建亲清新型政商关系，为企业发展营造良好环境。实施民营企业家素质提升工程，拓宽企业家战略眼界，弘扬优秀企业家精神。</w:t>
      </w:r>
    </w:p>
    <w:p w14:paraId="695B4538">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深化能源革命综合改革试点。</w:t>
      </w:r>
      <w:r>
        <w:rPr>
          <w:rFonts w:ascii="Times New Roman" w:hAnsi="Times New Roman" w:eastAsia="仿宋_GB2312" w:cs="Times New Roman"/>
          <w:sz w:val="32"/>
          <w:szCs w:val="32"/>
        </w:rPr>
        <w:t>推动蒲洲热电公司创建全国5A级优胜机组，进一步提高机组能效水平，致力打造成为能效指标全国一流的智慧型电厂。实施能源消耗总量和强度“双控”工程，严控煤炭消费增量。统筹整合高耗能企业的余热余压资源和区域用能需求，开展能源梯级利用。开展多能互补试点，鼓励发展屋顶光伏、光伏发电等可再生能源，积极发展生物质能，到2025年，</w:t>
      </w:r>
      <w:r>
        <w:rPr>
          <w:rFonts w:hint="eastAsia" w:ascii="Times New Roman" w:hAnsi="Times New Roman" w:eastAsia="仿宋_GB2312" w:cs="Times New Roman"/>
          <w:sz w:val="32"/>
          <w:szCs w:val="32"/>
        </w:rPr>
        <w:t>平原</w:t>
      </w:r>
      <w:r>
        <w:rPr>
          <w:rFonts w:ascii="Times New Roman" w:hAnsi="Times New Roman" w:eastAsia="仿宋_GB2312" w:cs="Times New Roman"/>
          <w:sz w:val="32"/>
          <w:szCs w:val="32"/>
        </w:rPr>
        <w:t>地区基本实现清洁取暖全覆盖。深化电力市场体制、清洁用能模式、能源价格形成机制等改革。</w:t>
      </w:r>
    </w:p>
    <w:p w14:paraId="7AEE1689">
      <w:pPr>
        <w:ind w:firstLine="643" w:firstLineChars="200"/>
        <w:jc w:val="both"/>
        <w:rPr>
          <w:rStyle w:val="29"/>
          <w:rFonts w:ascii="Times New Roman" w:hAnsi="Times New Roman" w:eastAsia="仿宋_GB2312" w:cs="Times New Roman"/>
          <w:sz w:val="32"/>
          <w:szCs w:val="32"/>
        </w:rPr>
      </w:pPr>
      <w:r>
        <w:rPr>
          <w:rFonts w:ascii="Times New Roman" w:hAnsi="Times New Roman" w:eastAsia="仿宋_GB2312" w:cs="Times New Roman"/>
          <w:b/>
          <w:bCs/>
          <w:sz w:val="32"/>
          <w:szCs w:val="32"/>
        </w:rPr>
        <w:t>推进财政金融体制改革。</w:t>
      </w:r>
      <w:r>
        <w:rPr>
          <w:rStyle w:val="29"/>
          <w:rFonts w:ascii="Times New Roman" w:hAnsi="Times New Roman" w:eastAsia="仿宋_GB2312" w:cs="Times New Roman"/>
          <w:sz w:val="32"/>
          <w:szCs w:val="32"/>
        </w:rPr>
        <w:t>坚决落实过紧日子要求，持续压减一般性支出，最大限度盘活存量资金，重点向产业转型、重大改革、乡村振兴、社会民生等领域倾斜。深化部门预算管理，提高预算编制精准度，加强支出预算执行管理，推进全面预算绩效管理。发挥产业引导基金作用，发展壮大担保机构，破解中小微企业和涉农企业融资难问题。发挥好永济蒲坂振兴股权投资合伙企业的作用，不断壮大基金规模，争取到“十四五”末达到10亿元。</w:t>
      </w:r>
    </w:p>
    <w:p w14:paraId="30B70AF0">
      <w:pPr>
        <w:pStyle w:val="17"/>
        <w:ind w:firstLine="643" w:firstLineChars="200"/>
        <w:jc w:val="both"/>
        <w:outlineLvl w:val="1"/>
        <w:rPr>
          <w:rStyle w:val="29"/>
          <w:rFonts w:ascii="Times New Roman" w:hAnsi="Times New Roman" w:eastAsia="仿宋_GB2312" w:cs="Times New Roman"/>
          <w:sz w:val="32"/>
          <w:szCs w:val="32"/>
        </w:rPr>
      </w:pPr>
      <w:bookmarkStart w:id="86" w:name="_Toc68253265"/>
      <w:r>
        <w:rPr>
          <w:rStyle w:val="29"/>
          <w:rFonts w:hint="eastAsia" w:ascii="Times New Roman" w:hAnsi="Times New Roman" w:eastAsia="仿宋_GB2312" w:cs="Times New Roman"/>
          <w:b/>
          <w:bCs/>
          <w:sz w:val="32"/>
          <w:szCs w:val="32"/>
        </w:rPr>
        <w:t>深化信用体系改革。</w:t>
      </w:r>
      <w:r>
        <w:rPr>
          <w:rStyle w:val="29"/>
          <w:rFonts w:hint="eastAsia" w:ascii="Times New Roman" w:hAnsi="Times New Roman" w:eastAsia="仿宋_GB2312" w:cs="Times New Roman"/>
          <w:sz w:val="32"/>
          <w:szCs w:val="32"/>
        </w:rPr>
        <w:t>推进“双随机、一公开”监管，以加强信用监管为着力点，创新监管理念、监管制度和监管方式，建立健全贯穿市场主体全生命周期，衔接事前、事中、事后全监管环节的新型监管机制，推进“互联网+监管”，提升监管效率。建立健全信用承诺制度、信用信息自愿注册机制、市场主体信用记录机制、失信联合惩戒及信用修复机制，深入开展公共信用综合评价，大力推进信用分级分类监管，着力提升信用监管信息化建设水平，切实加大信用信息安全和市场主体权益保护力度。在政府采购、招标投标、行政审批、市场准入、资质审核等事项中，充分发挥行业组织、第三方信用服务机构作用，为公众监督创造有利条件，整合形成全社会共同参与信用监管的强大合力，营造诚实守信、公平竞争的市场环境。</w:t>
      </w:r>
    </w:p>
    <w:p w14:paraId="51C58B9A">
      <w:pPr>
        <w:pStyle w:val="17"/>
        <w:spacing w:beforeLines="50" w:afterLines="50"/>
        <w:ind w:firstLine="0"/>
        <w:jc w:val="center"/>
        <w:outlineLvl w:val="1"/>
        <w:rPr>
          <w:rFonts w:ascii="Times New Roman" w:hAnsi="Times New Roman" w:eastAsia="楷体_GB2312"/>
          <w:kern w:val="0"/>
          <w:sz w:val="32"/>
          <w:szCs w:val="32"/>
          <w:lang w:bidi="en-US"/>
        </w:rPr>
      </w:pPr>
      <w:r>
        <w:rPr>
          <w:rFonts w:ascii="Times New Roman" w:hAnsi="Times New Roman" w:eastAsia="楷体_GB2312"/>
          <w:kern w:val="0"/>
          <w:sz w:val="32"/>
          <w:szCs w:val="32"/>
          <w:lang w:bidi="en-US"/>
        </w:rPr>
        <w:t>第二节  构建高水平开放格局</w:t>
      </w:r>
      <w:bookmarkEnd w:id="86"/>
    </w:p>
    <w:p w14:paraId="31268054">
      <w:pPr>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充分利用永济承东启西、联通南北的区位优势，主动“走出去”“融进去”，着力构建高水平开放新格局，形成推动发展和转型的内生动力和强大引擎。</w:t>
      </w:r>
    </w:p>
    <w:p w14:paraId="2759E3EE">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全面加强区域合作。</w:t>
      </w:r>
      <w:r>
        <w:rPr>
          <w:rFonts w:ascii="Times New Roman" w:hAnsi="Times New Roman" w:eastAsia="仿宋_GB2312" w:cs="Times New Roman"/>
          <w:sz w:val="32"/>
          <w:szCs w:val="32"/>
        </w:rPr>
        <w:t>主动对接京津冀、长三角、粤港澳大湾区，加大面向沿海地区的招商引资和产业承接力度，推进地方特色产品进入京津冀、长三角、粤港澳市场。深度融入实施《晋陕豫黄河金三角区域合作规划》，主动融入国家“一带一路”和关中平原城市群建设，加强和关中天水经济区、中原经济区的联系，加快完善交通、物流、信息网络体系，建立旅游合作和产业协作发展机制，实现与晋陕豫黄河金三角旅游资源的互通共享，推动商贸、文化、旅游、金融等领域合作。深化与太原都市区合作，探索建设跨区域合作示范带，发展“飞地经济”。支持有优势的机电、汽车零部件、农副产品等企业参加产品展销、产业合作活动，强化市场拓展。</w:t>
      </w:r>
    </w:p>
    <w:p w14:paraId="2C9C8A92">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提升对外开放能级。</w:t>
      </w:r>
      <w:r>
        <w:rPr>
          <w:rFonts w:ascii="Times New Roman" w:hAnsi="Times New Roman" w:eastAsia="仿宋_GB2312" w:cs="Times New Roman"/>
          <w:sz w:val="32"/>
          <w:szCs w:val="32"/>
        </w:rPr>
        <w:t>牢固树立内陆和沿海同处开放一线的理念，深度融入“一带一路”建设，落实外贸发展优惠政策，探索和形成合理有效的外贸增长方式。实施好外贸主体培育工程，大力支持省级出口农产品示范基地建设，扶持培育出口创汇企业，增加农产品出口品种和数量。到2025年，外贸主体达到10家以上，外贸出口额突破1亿美元。积极开展政府间务实交流合作，鼓励各类群团组织和民间组织加强对外交流。支持企业开展境外商标注册、专利申请、产品认证，培育一批自主出口品牌，推动更多的自主品牌商品和传统优势产品进入国际市场。</w:t>
      </w:r>
    </w:p>
    <w:p w14:paraId="08BA82FC">
      <w:pPr>
        <w:ind w:firstLine="643"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加大外资引进力度</w:t>
      </w:r>
      <w:r>
        <w:rPr>
          <w:rFonts w:ascii="Times New Roman" w:hAnsi="Times New Roman" w:eastAsia="仿宋_GB2312" w:cs="Times New Roman"/>
          <w:b/>
          <w:bCs/>
          <w:sz w:val="32"/>
          <w:szCs w:val="32"/>
        </w:rPr>
        <w:t>。</w:t>
      </w:r>
      <w:r>
        <w:rPr>
          <w:rFonts w:ascii="Times New Roman" w:hAnsi="Times New Roman" w:eastAsia="仿宋_GB2312" w:cs="Times New Roman"/>
          <w:sz w:val="32"/>
          <w:szCs w:val="32"/>
        </w:rPr>
        <w:t>全面实施准入前国民待遇加负面清单管理制度，落实好利用外资政策，持续加大重点领域对外开放。创新外资引入方式，把引进外资与产业结构调整结合起来，在机电、新能源汽车、现代农业等领域实现突破。瞄准世界500强企业，发挥主导产业优势，引导外商精准投资，重点引进产业带动性强、富有竞争力、环境友好、有利于产业转型升级的重大投资项目。创新外商投资管理方式，实现投资便利化。建立外商投资服务协调机制，保护外商投资企业合法权益。</w:t>
      </w:r>
    </w:p>
    <w:p w14:paraId="7F1A879B">
      <w:pPr>
        <w:ind w:firstLine="640" w:firstLineChars="200"/>
        <w:jc w:val="both"/>
        <w:rPr>
          <w:rFonts w:ascii="Times New Roman" w:hAnsi="Times New Roman" w:eastAsia="仿宋_GB2312" w:cs="Times New Roman"/>
          <w:sz w:val="32"/>
          <w:szCs w:val="32"/>
        </w:rPr>
      </w:pPr>
    </w:p>
    <w:bookmarkEnd w:id="46"/>
    <w:bookmarkEnd w:id="47"/>
    <w:bookmarkEnd w:id="48"/>
    <w:bookmarkEnd w:id="50"/>
    <w:p w14:paraId="3889FD69">
      <w:pPr>
        <w:pStyle w:val="17"/>
        <w:spacing w:beforeLines="50" w:afterLines="50"/>
        <w:ind w:firstLine="0"/>
        <w:jc w:val="center"/>
        <w:outlineLvl w:val="1"/>
        <w:rPr>
          <w:rFonts w:ascii="Times New Roman" w:hAnsi="Times New Roman" w:eastAsia="楷体_GB2312"/>
          <w:kern w:val="0"/>
          <w:sz w:val="32"/>
          <w:szCs w:val="32"/>
          <w:lang w:bidi="en-US"/>
        </w:rPr>
      </w:pPr>
      <w:bookmarkStart w:id="87" w:name="_Toc14780"/>
      <w:bookmarkStart w:id="88" w:name="_Toc57711634"/>
      <w:bookmarkStart w:id="89" w:name="_Toc23888"/>
      <w:bookmarkStart w:id="90" w:name="_Toc68253266"/>
      <w:bookmarkStart w:id="91" w:name="_Toc67564127"/>
      <w:r>
        <w:rPr>
          <w:rFonts w:ascii="Times New Roman" w:hAnsi="Times New Roman" w:eastAsia="楷体_GB2312"/>
          <w:kern w:val="0"/>
          <w:sz w:val="32"/>
          <w:szCs w:val="32"/>
          <w:lang w:bidi="en-US"/>
        </w:rPr>
        <w:t>第</w:t>
      </w:r>
      <w:r>
        <w:rPr>
          <w:rFonts w:hint="eastAsia" w:ascii="Times New Roman" w:hAnsi="Times New Roman" w:eastAsia="楷体_GB2312"/>
          <w:kern w:val="0"/>
          <w:sz w:val="32"/>
          <w:szCs w:val="32"/>
          <w:lang w:bidi="en-US"/>
        </w:rPr>
        <w:t>三</w:t>
      </w:r>
      <w:r>
        <w:rPr>
          <w:rFonts w:ascii="Times New Roman" w:hAnsi="Times New Roman" w:eastAsia="楷体_GB2312"/>
          <w:kern w:val="0"/>
          <w:sz w:val="32"/>
          <w:szCs w:val="32"/>
          <w:lang w:bidi="en-US"/>
        </w:rPr>
        <w:t>节  打好“六新”攻坚战</w:t>
      </w:r>
      <w:bookmarkEnd w:id="87"/>
      <w:bookmarkEnd w:id="88"/>
      <w:bookmarkEnd w:id="89"/>
      <w:bookmarkEnd w:id="90"/>
      <w:bookmarkEnd w:id="91"/>
    </w:p>
    <w:p w14:paraId="08B67C16">
      <w:pPr>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聚焦新基建、新技术、新材料、新装备、新产品、新业态谋篇布局，把“六新”突破作为“蹚新路”的方向目标、路径要求和战略举措，找准推动“六新”发展的关键着力点，举全市之力坚决打赢打好“六新”攻坚战决胜战。</w:t>
      </w:r>
    </w:p>
    <w:p w14:paraId="1C9329F1">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加快布局新基建。</w:t>
      </w:r>
      <w:r>
        <w:rPr>
          <w:rFonts w:ascii="Times New Roman" w:hAnsi="Times New Roman" w:eastAsia="仿宋_GB2312" w:cs="Times New Roman"/>
          <w:color w:val="000000"/>
          <w:sz w:val="32"/>
          <w:szCs w:val="32"/>
        </w:rPr>
        <w:t>加快新基建规划布局和建设进度，</w:t>
      </w:r>
      <w:r>
        <w:rPr>
          <w:rFonts w:ascii="Times New Roman" w:hAnsi="Times New Roman" w:eastAsia="仿宋_GB2312" w:cs="Times New Roman"/>
          <w:sz w:val="32"/>
          <w:szCs w:val="32"/>
        </w:rPr>
        <w:t>合理统筹利用城市公共资源，以应用需求为导向，加快部署建设5G基础网络，全市城区、镇、村实现5G网络连续覆盖。以示范工程和重大项目为先导，推动建设2-3个5G示范应用场景、</w:t>
      </w:r>
      <w:r>
        <w:rPr>
          <w:rFonts w:ascii="Times New Roman" w:hAnsi="Times New Roman" w:eastAsia="仿宋_GB2312" w:cs="Times New Roman"/>
          <w:color w:val="000000"/>
          <w:sz w:val="32"/>
          <w:szCs w:val="32"/>
        </w:rPr>
        <w:t>1个市级工业互联网公共服务平台、3-5个典型应用项目，</w:t>
      </w:r>
      <w:r>
        <w:rPr>
          <w:rFonts w:ascii="Times New Roman" w:hAnsi="Times New Roman" w:eastAsia="仿宋_GB2312" w:cs="Times New Roman"/>
          <w:sz w:val="32"/>
          <w:szCs w:val="32"/>
        </w:rPr>
        <w:t>5G对相关产业高质量发展的赋能作用明显增强。紧盯5G基站、数据平台、物联网、区块链等，围绕人工智能、新能源汽车充电桩、AI等领域，谋划、储备、实施一批重点项目，充分发挥新基建对新经济、新动能的先行引导作用。</w:t>
      </w:r>
    </w:p>
    <w:p w14:paraId="6DBB0404">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持续攻坚新技术。</w:t>
      </w:r>
      <w:r>
        <w:rPr>
          <w:rFonts w:ascii="Times New Roman" w:hAnsi="Times New Roman" w:eastAsia="仿宋_GB2312" w:cs="Times New Roman"/>
          <w:sz w:val="32"/>
          <w:szCs w:val="32"/>
        </w:rPr>
        <w:t>积极对接省、运城市“111”“1311”“136”等创新工程，紧紧围绕“3+2”产业体系，</w:t>
      </w:r>
      <w:r>
        <w:rPr>
          <w:rFonts w:ascii="Times New Roman" w:hAnsi="Times New Roman" w:eastAsia="仿宋_GB2312" w:cs="Times New Roman"/>
          <w:color w:val="000000"/>
          <w:sz w:val="32"/>
          <w:szCs w:val="32"/>
        </w:rPr>
        <w:t>每年组织实施3-5项技术研发攻关项目，突破机电制造、风电设备制造维修、新能源汽车、农产品精深加工、高端印染等领域关键技术和共性技术瓶颈制约。</w:t>
      </w:r>
      <w:r>
        <w:rPr>
          <w:rFonts w:ascii="Times New Roman" w:hAnsi="Times New Roman" w:eastAsia="仿宋_GB2312" w:cs="Times New Roman"/>
          <w:sz w:val="32"/>
          <w:szCs w:val="32"/>
        </w:rPr>
        <w:t>积极争取重大战略项目和国家级、省级、运城市科技重大专项，开展前沿引领技术、“卡脖子”技术攻关。充分发挥中车永济电机公司、千军铝业、丰喜化机、光府科技、三晋宇航等重点企业技术优势，继续在新技术的研发、引进、应用上持续发力，加快工业技改及“两化”融合力度，不断提升创新引领发展的能力和水平。</w:t>
      </w:r>
    </w:p>
    <w:p w14:paraId="68CDB298">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大力发展新材料。</w:t>
      </w:r>
      <w:r>
        <w:rPr>
          <w:rFonts w:ascii="Times New Roman" w:hAnsi="Times New Roman" w:eastAsia="仿宋_GB2312" w:cs="Times New Roman"/>
          <w:sz w:val="32"/>
          <w:szCs w:val="32"/>
        </w:rPr>
        <w:t>把新材料产业摆在培育壮大战略性新兴产业的突出位置，</w:t>
      </w:r>
      <w:r>
        <w:rPr>
          <w:rFonts w:ascii="Times New Roman" w:hAnsi="Times New Roman" w:eastAsia="仿宋_GB2312" w:cs="Times New Roman"/>
          <w:color w:val="000000"/>
          <w:sz w:val="32"/>
          <w:szCs w:val="32"/>
        </w:rPr>
        <w:t>积极推动新材料生产工艺关键设备开展数字化、智能化应用，</w:t>
      </w:r>
      <w:r>
        <w:rPr>
          <w:rFonts w:ascii="Times New Roman" w:hAnsi="Times New Roman" w:eastAsia="仿宋_GB2312" w:cs="Times New Roman"/>
          <w:sz w:val="32"/>
          <w:szCs w:val="32"/>
        </w:rPr>
        <w:t>深入做好“高、新、专、精”文章，依托光府科技、穿越光电、三晋宇航、蓝科途、华拓铝业等骨干企业，大力发展铝材精深加工产品、军工材料产品、OLED发光材料、锂电池隔膜等，努力向航空航天、耐高温材料、特种材料等尖端领域迈进，把新材料产业打造成新的支柱产业。</w:t>
      </w:r>
    </w:p>
    <w:p w14:paraId="2A4621D4">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积极发展新装备。</w:t>
      </w:r>
      <w:r>
        <w:rPr>
          <w:rFonts w:ascii="Times New Roman" w:hAnsi="Times New Roman" w:eastAsia="仿宋_GB2312" w:cs="Times New Roman"/>
          <w:sz w:val="32"/>
          <w:szCs w:val="32"/>
        </w:rPr>
        <w:t>发挥中车永济电机的技术优势，大力发展高铁电机、风电电机、油田电机、新能源汽车电机等，积极发展配套企业，推动产业链上下游合作，构建电池、电机、电控等关键零部件的配套产业，推动新能源汽车整车产业发展，把永济打造成全省重要的轨道交通装备制造基地。发挥丰喜化机的技术优势，积极开发、生产化工新装备，增强发展后劲。主动挖掘短板装备的迫切需求，重点引进创新团队，在智能机器人、火箭发动机等领域拓展发展空间。</w:t>
      </w:r>
    </w:p>
    <w:p w14:paraId="087497D4">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不断开发新产品。</w:t>
      </w:r>
      <w:r>
        <w:rPr>
          <w:rFonts w:ascii="Times New Roman" w:hAnsi="Times New Roman" w:eastAsia="仿宋_GB2312" w:cs="Times New Roman"/>
          <w:sz w:val="32"/>
          <w:szCs w:val="32"/>
        </w:rPr>
        <w:t>按照工业产品向高精尖迈进、农产品做好“特”“优”文章、文旅产品突出创意创新的要求，积极开发一批科技含量高、品牌附加值高、产业关联度高、市场占有率高的新产品。</w:t>
      </w:r>
      <w:r>
        <w:rPr>
          <w:rFonts w:ascii="Times New Roman" w:hAnsi="Times New Roman" w:eastAsia="仿宋_GB2312" w:cs="Times New Roman"/>
          <w:color w:val="000000"/>
          <w:sz w:val="32"/>
          <w:szCs w:val="32"/>
        </w:rPr>
        <w:t>加快工业新产品研发、转化、制造，发展铝材精深加工、高端电机、新能源汽车零部件、纺织印染包装等终端产品，培育高新技术产品、专精特新产品，提升产品附加值和竞争力。推动发展优质果菜、面粉食品、肉制品、药材药品、饮品酿品等地方特色优势产品，创建驰名商标，形成一批品牌产品、拳头产品。将永济舜帝、黄河、诗歌、爱情文化等融入文化旅游产品体系，通过旅游新产品体现文化内涵和价值。</w:t>
      </w:r>
    </w:p>
    <w:p w14:paraId="4356C8A2">
      <w:pPr>
        <w:spacing w:afterLines="50"/>
        <w:ind w:firstLine="643" w:firstLineChars="200"/>
        <w:jc w:val="both"/>
        <w:rPr>
          <w:rFonts w:ascii="Times New Roman" w:hAnsi="Times New Roman" w:eastAsia="仿宋_GB2312" w:cs="Times New Roman"/>
          <w:color w:val="000000"/>
          <w:spacing w:val="2"/>
          <w:sz w:val="32"/>
          <w:szCs w:val="32"/>
        </w:rPr>
      </w:pPr>
      <w:r>
        <w:rPr>
          <w:rFonts w:ascii="Times New Roman" w:hAnsi="Times New Roman" w:eastAsia="仿宋_GB2312" w:cs="Times New Roman"/>
          <w:b/>
          <w:bCs/>
          <w:sz w:val="32"/>
          <w:szCs w:val="32"/>
        </w:rPr>
        <w:t>全力培育新业态。</w:t>
      </w:r>
      <w:r>
        <w:rPr>
          <w:rFonts w:ascii="Times New Roman" w:hAnsi="Times New Roman" w:eastAsia="仿宋_GB2312" w:cs="Times New Roman"/>
          <w:color w:val="000000"/>
          <w:spacing w:val="2"/>
          <w:sz w:val="32"/>
          <w:szCs w:val="32"/>
        </w:rPr>
        <w:t>积极开展新模式新业态试点示范，鼓励、支持和规范各类新业态创新发展，推动产业融合跨界共赢，形成新的经济增长点。以成功创建国家全域旅游示范区为契机，进一步加快工农文旅康贸产业融合发展，培育发展景观农业、特色民宿等新业态。着力推进数字经济与实体经济、民生服务深度融合，全面建设“数字永济”。大力发展电子商务、文化创意、“互联网+”等新业态，推动跨境电商、电商直播快速发展。积极布局智能物流终端，大力发展智慧物流，提升物流业现代化水平。</w:t>
      </w:r>
    </w:p>
    <w:tbl>
      <w:tblPr>
        <w:tblStyle w:val="19"/>
        <w:tblW w:w="87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14:paraId="402EB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760" w:type="dxa"/>
            <w:vAlign w:val="top"/>
          </w:tcPr>
          <w:p w14:paraId="37AFB4F2">
            <w:pPr>
              <w:jc w:val="both"/>
              <w:rPr>
                <w:rFonts w:ascii="Times New Roman" w:hAnsi="Times New Roman" w:eastAsia="楷体_GB2312" w:cs="Times New Roman"/>
                <w:sz w:val="32"/>
                <w:szCs w:val="32"/>
              </w:rPr>
            </w:pPr>
            <w:r>
              <w:rPr>
                <w:rFonts w:hint="eastAsia" w:ascii="黑体" w:hAnsi="黑体" w:eastAsia="黑体" w:cs="黑体"/>
                <w:sz w:val="28"/>
                <w:szCs w:val="28"/>
              </w:rPr>
              <w:t>专栏12：“六新”重点项目</w:t>
            </w:r>
          </w:p>
        </w:tc>
      </w:tr>
      <w:tr w14:paraId="5A6C3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8760" w:type="dxa"/>
            <w:vAlign w:val="top"/>
          </w:tcPr>
          <w:p w14:paraId="0D687582">
            <w:pPr>
              <w:adjustRightInd w:val="0"/>
              <w:snapToGrid w:val="0"/>
              <w:spacing w:beforeLines="50" w:line="360" w:lineRule="exact"/>
              <w:ind w:firstLine="422" w:firstLineChars="200"/>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新基建。</w:t>
            </w:r>
            <w:r>
              <w:rPr>
                <w:rFonts w:hint="eastAsia" w:ascii="方正小标宋简体" w:hAnsi="方正小标宋简体" w:eastAsia="方正小标宋简体" w:cs="方正小标宋简体"/>
                <w:szCs w:val="21"/>
              </w:rPr>
              <w:t>开发区轨道交通装备双创平台建设项目、畜牧大数据应用示范场暨2400头原种猪核心育种场建设项目、永旺集市科技开发有限公司投资1.8亿元的永旺集市智慧农贸市场、开发区智慧综合平台建设项目、城市充换电站、智慧城市升级扩容建设项目、雪亮工程二期建设项目、综合能源管理中心及分布式光伏发电项目、智慧教育二期工程、永济市工业互联网项目、食品溯源区块链中心、永济市云计算数据中心建设项目等。</w:t>
            </w:r>
          </w:p>
          <w:p w14:paraId="7963EDC9">
            <w:pPr>
              <w:adjustRightInd w:val="0"/>
              <w:snapToGrid w:val="0"/>
              <w:spacing w:line="360" w:lineRule="exact"/>
              <w:ind w:firstLine="422" w:firstLineChars="200"/>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新技术。</w:t>
            </w:r>
            <w:r>
              <w:rPr>
                <w:rFonts w:hint="eastAsia" w:ascii="方正小标宋简体" w:hAnsi="方正小标宋简体" w:eastAsia="方正小标宋简体" w:cs="方正小标宋简体"/>
                <w:szCs w:val="21"/>
              </w:rPr>
              <w:t>轨道交通工程（技术）研发中心建设项目、新能源有轨电车及零部件制造项目、火箭发动机研发生产项目、智能化纺纱工厂建设项目、三晋宇航火箭发动机研发生产项目、中低温煤焦油加氢制清洁燃料技术项目、年产8000万件永磁微特电机项目等。</w:t>
            </w:r>
          </w:p>
          <w:p w14:paraId="62C8AD54">
            <w:pPr>
              <w:adjustRightInd w:val="0"/>
              <w:snapToGrid w:val="0"/>
              <w:spacing w:line="360" w:lineRule="exact"/>
              <w:ind w:firstLine="422" w:firstLineChars="200"/>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新材料。</w:t>
            </w:r>
            <w:r>
              <w:rPr>
                <w:rFonts w:hint="eastAsia" w:ascii="方正小标宋简体" w:hAnsi="方正小标宋简体" w:eastAsia="方正小标宋简体" w:cs="方正小标宋简体"/>
                <w:szCs w:val="21"/>
              </w:rPr>
              <w:t>蓝科途新材料科技有限公司年产五亿平方米锂电池隔膜项目、北京光府科技公司军工高科技产业项目、OLED电致发光材料与器件项目、铝镁锌高铁防护板建设项目、锂离子电池电解液项目、半导体模块及新材料项目、第三代半导体材料项目、石墨烯及负极材料项目</w:t>
            </w:r>
          </w:p>
          <w:p w14:paraId="34BDE85D">
            <w:pPr>
              <w:pStyle w:val="17"/>
              <w:spacing w:line="360" w:lineRule="exact"/>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新装备。</w:t>
            </w:r>
            <w:r>
              <w:rPr>
                <w:rFonts w:hint="eastAsia" w:ascii="方正小标宋简体" w:hAnsi="方正小标宋简体" w:eastAsia="方正小标宋简体" w:cs="方正小标宋简体"/>
                <w:szCs w:val="21"/>
              </w:rPr>
              <w:t>利信年产5万台（套）汽车缸体缸盖生产线项目、贝特机电公司高铁、风电电机配件加工项目、圣源机械公司汽车铸件生产线项目、新能源汽车动力总成项目、中高端汽车电子配套系统项目、新能源汽车底盘悬挂系统项目、新能源电动汽车充电桩（站）生产线项目、阳煤丰喜新能源装备制造项目等</w:t>
            </w:r>
          </w:p>
          <w:p w14:paraId="2DCE52B1">
            <w:pPr>
              <w:pStyle w:val="8"/>
              <w:spacing w:after="0" w:line="360" w:lineRule="exact"/>
              <w:ind w:left="0" w:leftChars="0" w:firstLine="422" w:firstLineChars="200"/>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新产品。</w:t>
            </w:r>
            <w:r>
              <w:rPr>
                <w:rFonts w:hint="eastAsia" w:ascii="方正小标宋简体" w:hAnsi="方正小标宋简体" w:eastAsia="方正小标宋简体" w:cs="方正小标宋简体"/>
                <w:szCs w:val="21"/>
              </w:rPr>
              <w:t>新康迁建年生产15000件封环等电机配件项目、优耐特绝缘材料公司电驱、电源系统生产线技改项目、景晟实业工装模具及燃气壁挂炉研发制造项目、新能源汽车电机控制器（逆变器）项目、精密减速器制造项目、速度传感器生产项目等</w:t>
            </w:r>
          </w:p>
          <w:p w14:paraId="242AEBF8">
            <w:pPr>
              <w:adjustRightInd w:val="0"/>
              <w:snapToGrid w:val="0"/>
              <w:spacing w:afterLines="50" w:line="360" w:lineRule="exact"/>
              <w:ind w:firstLine="422" w:firstLineChars="200"/>
              <w:jc w:val="both"/>
            </w:pPr>
            <w:r>
              <w:rPr>
                <w:rFonts w:hint="eastAsia" w:ascii="方正小标宋简体" w:hAnsi="方正小标宋简体" w:eastAsia="方正小标宋简体" w:cs="方正小标宋简体"/>
                <w:b/>
                <w:szCs w:val="21"/>
              </w:rPr>
              <w:t>新业态。</w:t>
            </w:r>
            <w:r>
              <w:rPr>
                <w:rFonts w:hint="eastAsia" w:ascii="方正小标宋简体" w:hAnsi="方正小标宋简体" w:eastAsia="方正小标宋简体" w:cs="方正小标宋简体"/>
                <w:szCs w:val="21"/>
              </w:rPr>
              <w:t>久鼎公司新建仓储物流管理园区、风力发电机及变流器维修维护基地项目、无人零售生鲜终端设备研发制造项目、新能源汽车动力电池BMS管理系统项目。</w:t>
            </w:r>
          </w:p>
        </w:tc>
      </w:tr>
    </w:tbl>
    <w:p w14:paraId="66FDC726">
      <w:pPr>
        <w:pStyle w:val="17"/>
        <w:spacing w:beforeLines="50" w:afterLines="50"/>
        <w:ind w:firstLine="0"/>
        <w:jc w:val="center"/>
        <w:outlineLvl w:val="1"/>
        <w:rPr>
          <w:rFonts w:ascii="Times New Roman" w:hAnsi="Times New Roman" w:eastAsia="楷体_GB2312"/>
          <w:kern w:val="0"/>
          <w:sz w:val="32"/>
          <w:szCs w:val="32"/>
          <w:lang w:bidi="en-US"/>
        </w:rPr>
      </w:pPr>
      <w:bookmarkStart w:id="92" w:name="_Toc57711640"/>
      <w:bookmarkStart w:id="93" w:name="_Toc12105"/>
      <w:bookmarkStart w:id="94" w:name="_Toc67564128"/>
      <w:bookmarkStart w:id="95" w:name="_Toc68253267"/>
      <w:bookmarkStart w:id="96" w:name="_Toc32336"/>
      <w:bookmarkStart w:id="97" w:name="_Toc57711635"/>
      <w:r>
        <w:rPr>
          <w:rFonts w:ascii="Times New Roman" w:hAnsi="Times New Roman" w:eastAsia="楷体_GB2312"/>
          <w:kern w:val="0"/>
          <w:sz w:val="32"/>
          <w:szCs w:val="32"/>
          <w:lang w:bidi="en-US"/>
        </w:rPr>
        <w:t>第</w:t>
      </w:r>
      <w:r>
        <w:rPr>
          <w:rFonts w:hint="eastAsia" w:ascii="Times New Roman" w:hAnsi="Times New Roman" w:eastAsia="楷体_GB2312"/>
          <w:kern w:val="0"/>
          <w:sz w:val="32"/>
          <w:szCs w:val="32"/>
          <w:lang w:bidi="en-US"/>
        </w:rPr>
        <w:t>四</w:t>
      </w:r>
      <w:r>
        <w:rPr>
          <w:rFonts w:ascii="Times New Roman" w:hAnsi="Times New Roman" w:eastAsia="楷体_GB2312"/>
          <w:kern w:val="0"/>
          <w:sz w:val="32"/>
          <w:szCs w:val="32"/>
          <w:lang w:bidi="en-US"/>
        </w:rPr>
        <w:t xml:space="preserve">节  </w:t>
      </w:r>
      <w:bookmarkEnd w:id="92"/>
      <w:bookmarkEnd w:id="93"/>
      <w:r>
        <w:rPr>
          <w:rFonts w:ascii="Times New Roman" w:hAnsi="Times New Roman" w:eastAsia="楷体_GB2312"/>
          <w:kern w:val="0"/>
          <w:sz w:val="32"/>
          <w:szCs w:val="32"/>
          <w:lang w:bidi="en-US"/>
        </w:rPr>
        <w:t>实施科技创新工程</w:t>
      </w:r>
      <w:bookmarkEnd w:id="94"/>
      <w:bookmarkEnd w:id="95"/>
      <w:bookmarkEnd w:id="96"/>
    </w:p>
    <w:p w14:paraId="5A9A80C2">
      <w:pPr>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强化企业在技术创新中的主体地位，加强创新平台培育力度，大力推动“双创”发展，构建和完善以企业为主体、市场为导向、政产学研深度融合的区域创新体系，引领支撑产业转型升级。</w:t>
      </w:r>
    </w:p>
    <w:p w14:paraId="6D76EFF1">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实施企业技术创新全覆盖工程。</w:t>
      </w:r>
      <w:r>
        <w:rPr>
          <w:rFonts w:ascii="Times New Roman" w:hAnsi="Times New Roman" w:eastAsia="仿宋_GB2312" w:cs="Times New Roman"/>
          <w:sz w:val="32"/>
          <w:szCs w:val="32"/>
        </w:rPr>
        <w:t>推进骨干企业创建企业技术中心、工程研究中心、产业技术创新联盟等高水平创新平台，引导中小企业与高校、科研院所、大企业合作或配套协作，积极组建研发机构。完善企业投入引导激励机制，引导企业建立研发准备金制度。加大对企业研发投入的支持力度，实现规上工业企业研发活动全覆盖，提升规上企业研发标准和水平，推动规上工业企业研发投入增速进入运城第一方阵。力争到2025年，全市企业研发投入占销售收入比重超过5%，在装备制造、新材料、食品加工等重点领域、重点产品方面拥有一批专利权，国家级企业技术中心达到2家左右、省级企业技术中心达到10家左右，高新技术企业达到20家以上。</w:t>
      </w:r>
    </w:p>
    <w:p w14:paraId="1E451F5C">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实施创新平台扩量提质工程。</w:t>
      </w:r>
      <w:r>
        <w:rPr>
          <w:rFonts w:ascii="Times New Roman" w:hAnsi="Times New Roman" w:eastAsia="仿宋_GB2312" w:cs="Times New Roman"/>
          <w:sz w:val="32"/>
          <w:szCs w:val="32"/>
        </w:rPr>
        <w:t>充分发挥中车永济电机公司博士后科研工作站的作用，加快推动千军铝业、丰喜化机、光府科技、三晋宇航等重点企业建立博士后科研工作站，推动清华大学等知名院校聚焦产业发展对关键技术的研发需求，建立研学基地。加强和国内外高端研发机构合作组建创新研发平台，共建电机、风电维修、新能源汽车、高端印染等领域重点实验室，支持轨道交通牵引省级重点实验室建设成为国家级重点实验室。加快建设多元主体投入、市场化机制运作、面向社会开放的新型研发机构，推动有实力的大企业成立企业研究院，探索产业共同体模式。推动整合全市现有技术研发、质量检测资源，加快建设电机产业科研、设计、检测一体化服务机构。力争“十四五”期间，全市新建院士工作站2个、博士工作站5个、省级重点实验室1家、</w:t>
      </w:r>
      <w:r>
        <w:rPr>
          <w:rFonts w:hint="eastAsia" w:ascii="Times New Roman" w:hAnsi="Times New Roman" w:eastAsia="仿宋_GB2312" w:cs="Times New Roman"/>
          <w:sz w:val="32"/>
          <w:szCs w:val="32"/>
        </w:rPr>
        <w:t>省级工程研究中心2家、国家级重点实验室1家、</w:t>
      </w:r>
      <w:r>
        <w:rPr>
          <w:rFonts w:ascii="Times New Roman" w:hAnsi="Times New Roman" w:eastAsia="仿宋_GB2312" w:cs="Times New Roman"/>
          <w:sz w:val="32"/>
          <w:szCs w:val="32"/>
        </w:rPr>
        <w:t>新型研发机构5家以上。</w:t>
      </w:r>
    </w:p>
    <w:p w14:paraId="0011D256">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实施科技成果承接转化工程。</w:t>
      </w:r>
      <w:r>
        <w:rPr>
          <w:rFonts w:ascii="Times New Roman" w:hAnsi="Times New Roman" w:eastAsia="仿宋_GB2312" w:cs="Times New Roman"/>
          <w:sz w:val="32"/>
          <w:szCs w:val="32"/>
        </w:rPr>
        <w:t>围绕全市企业技术需求，开启“订单式”创新成果引进模式，以技术委托开发或联合开发等方式增加企业技术需求。推进“科创飞地”建设，支持龙头企业在创新资源富集地区建设科创中心，形成研发在市外、生产在市内、转化在市内的产业发展模式。聚焦主导产业，推动在机电、新能源汽车、风电维修、高端印染等领域加大中试环节支持力度，依托开发区建设3-5家中试基地、中试生产线。推动与中科院电工研究所、中电科21所、西安微电机研究所等科研机构合作共建机电科研成果转化基地，推动大型电机开发中试基地建设。加强知识产权保护运用，鼓励专利代理机构在我市建立专利服务站。</w:t>
      </w:r>
    </w:p>
    <w:p w14:paraId="4A5FD7C0">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实施全民创新创业工程。</w:t>
      </w:r>
      <w:r>
        <w:rPr>
          <w:rFonts w:ascii="Times New Roman" w:hAnsi="Times New Roman" w:eastAsia="仿宋_GB2312" w:cs="Times New Roman"/>
          <w:sz w:val="32"/>
          <w:szCs w:val="32"/>
        </w:rPr>
        <w:t>按照政府引导，市场化运作模式，推动构建一批全要素、低成本、便利化、开放式众创空间、孵化器、加速器。围绕</w:t>
      </w:r>
      <w:r>
        <w:rPr>
          <w:rFonts w:hint="eastAsia" w:ascii="Times New Roman" w:hAnsi="Times New Roman" w:eastAsia="仿宋_GB2312" w:cs="Times New Roman"/>
          <w:sz w:val="32"/>
          <w:szCs w:val="32"/>
        </w:rPr>
        <w:t>“六强五新”</w:t>
      </w:r>
      <w:r>
        <w:rPr>
          <w:rFonts w:ascii="Times New Roman" w:hAnsi="Times New Roman" w:eastAsia="仿宋_GB2312" w:cs="Times New Roman"/>
          <w:sz w:val="32"/>
          <w:szCs w:val="32"/>
        </w:rPr>
        <w:t>产业体系发展专业孵化器、民营孵化器、异地孵化器等，加快轨道交通双创平台、小企业科技创新孵化中心建设，加强省级创新孵化示范基地、创业示范园区评选认定工作，加大奖补支持力度，提升科技孵化功能。大力培育创新文化，在全社会弘扬崇尚创新、敢为人先的精神，弘扬科学家精神、企业家精神、工匠精神，鼓励我市创新创业主体积极参加国家、省创新创业大赛，营造大众创业、万众创新的良好社会氛围。实施领导干部和公务员、劳动者、青少年科学素质提升行动，全面提升全民创新意识。建立健全创新容错机制，充分激发干事创业的主动性、创造性。</w:t>
      </w:r>
    </w:p>
    <w:p w14:paraId="6401BB4E">
      <w:pPr>
        <w:pStyle w:val="17"/>
        <w:spacing w:beforeLines="50" w:afterLines="50"/>
        <w:ind w:firstLine="0"/>
        <w:jc w:val="center"/>
        <w:outlineLvl w:val="1"/>
        <w:rPr>
          <w:rFonts w:ascii="Times New Roman" w:hAnsi="Times New Roman" w:eastAsia="楷体_GB2312"/>
          <w:kern w:val="0"/>
          <w:sz w:val="32"/>
          <w:szCs w:val="32"/>
          <w:lang w:bidi="en-US"/>
        </w:rPr>
      </w:pPr>
      <w:bookmarkStart w:id="98" w:name="_Toc68253268"/>
      <w:bookmarkStart w:id="99" w:name="_Toc4946"/>
      <w:bookmarkStart w:id="100" w:name="_Toc67564129"/>
      <w:bookmarkStart w:id="101" w:name="_Toc3913"/>
      <w:r>
        <w:rPr>
          <w:rFonts w:ascii="Times New Roman" w:hAnsi="Times New Roman" w:eastAsia="楷体_GB2312"/>
          <w:kern w:val="0"/>
          <w:sz w:val="32"/>
          <w:szCs w:val="32"/>
          <w:lang w:bidi="en-US"/>
        </w:rPr>
        <w:t>第</w:t>
      </w:r>
      <w:r>
        <w:rPr>
          <w:rFonts w:hint="eastAsia" w:ascii="Times New Roman" w:hAnsi="Times New Roman" w:eastAsia="楷体_GB2312"/>
          <w:kern w:val="0"/>
          <w:sz w:val="32"/>
          <w:szCs w:val="32"/>
          <w:lang w:bidi="en-US"/>
        </w:rPr>
        <w:t>五</w:t>
      </w:r>
      <w:r>
        <w:rPr>
          <w:rFonts w:ascii="Times New Roman" w:hAnsi="Times New Roman" w:eastAsia="楷体_GB2312"/>
          <w:kern w:val="0"/>
          <w:sz w:val="32"/>
          <w:szCs w:val="32"/>
          <w:lang w:bidi="en-US"/>
        </w:rPr>
        <w:t xml:space="preserve">节  </w:t>
      </w:r>
      <w:bookmarkEnd w:id="98"/>
      <w:bookmarkEnd w:id="99"/>
      <w:bookmarkEnd w:id="100"/>
      <w:bookmarkEnd w:id="101"/>
      <w:r>
        <w:rPr>
          <w:rFonts w:hint="eastAsia" w:ascii="Times New Roman" w:hAnsi="Times New Roman" w:eastAsia="楷体_GB2312"/>
          <w:kern w:val="0"/>
          <w:sz w:val="32"/>
          <w:szCs w:val="32"/>
          <w:lang w:bidi="en-US"/>
        </w:rPr>
        <w:t>创新人才智力支撑</w:t>
      </w:r>
    </w:p>
    <w:p w14:paraId="0B1BC26E">
      <w:pPr>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牢固树立“抓人才就是抓发展”的工作导向，把握服务我市高质量发展的目标定位，</w:t>
      </w:r>
      <w:r>
        <w:rPr>
          <w:rFonts w:hint="eastAsia" w:ascii="Times New Roman" w:hAnsi="Times New Roman" w:eastAsia="仿宋_GB2312" w:cs="Times New Roman"/>
          <w:color w:val="000000"/>
          <w:sz w:val="32"/>
          <w:szCs w:val="32"/>
        </w:rPr>
        <w:t>全面落实“运才兴运”专项行动，</w:t>
      </w:r>
      <w:r>
        <w:rPr>
          <w:rFonts w:ascii="Times New Roman" w:hAnsi="Times New Roman" w:eastAsia="仿宋_GB2312" w:cs="Times New Roman"/>
          <w:color w:val="000000"/>
          <w:sz w:val="32"/>
          <w:szCs w:val="32"/>
        </w:rPr>
        <w:t>以更加开放、更加灵活、更加优惠的政策引才聚才，努力营造识才、爱才、敬才、用才的良好氛围。</w:t>
      </w:r>
    </w:p>
    <w:p w14:paraId="2EBD42B6">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创优环境引才。</w:t>
      </w:r>
      <w:r>
        <w:rPr>
          <w:rFonts w:ascii="Times New Roman" w:hAnsi="Times New Roman" w:eastAsia="仿宋_GB2312" w:cs="Times New Roman"/>
          <w:sz w:val="32"/>
          <w:szCs w:val="32"/>
        </w:rPr>
        <w:t>深入实施《永济市</w:t>
      </w:r>
      <w:r>
        <w:rPr>
          <w:rFonts w:hint="eastAsia" w:ascii="Times New Roman" w:hAnsi="Times New Roman" w:eastAsia="仿宋_GB2312" w:cs="Times New Roman"/>
          <w:sz w:val="32"/>
          <w:szCs w:val="32"/>
        </w:rPr>
        <w:t>引进高端</w:t>
      </w:r>
      <w:r>
        <w:rPr>
          <w:rFonts w:ascii="Times New Roman" w:hAnsi="Times New Roman" w:eastAsia="仿宋_GB2312" w:cs="Times New Roman"/>
          <w:sz w:val="32"/>
          <w:szCs w:val="32"/>
        </w:rPr>
        <w:t>人才支持</w:t>
      </w:r>
      <w:r>
        <w:rPr>
          <w:rFonts w:hint="eastAsia" w:ascii="Times New Roman" w:hAnsi="Times New Roman" w:eastAsia="仿宋_GB2312" w:cs="Times New Roman"/>
          <w:sz w:val="32"/>
          <w:szCs w:val="32"/>
        </w:rPr>
        <w:t>暂行</w:t>
      </w:r>
      <w:r>
        <w:rPr>
          <w:rFonts w:ascii="Times New Roman" w:hAnsi="Times New Roman" w:eastAsia="仿宋_GB2312" w:cs="Times New Roman"/>
          <w:sz w:val="32"/>
          <w:szCs w:val="32"/>
        </w:rPr>
        <w:t>办法》</w:t>
      </w:r>
      <w:r>
        <w:rPr>
          <w:rFonts w:hint="eastAsia" w:ascii="Times New Roman" w:hAnsi="Times New Roman" w:eastAsia="仿宋_GB2312" w:cs="Times New Roman"/>
          <w:sz w:val="32"/>
          <w:szCs w:val="32"/>
        </w:rPr>
        <w:t>《永济市高素质青年人才支持办法》</w:t>
      </w:r>
      <w:r>
        <w:rPr>
          <w:rFonts w:ascii="Times New Roman" w:hAnsi="Times New Roman" w:eastAsia="仿宋_GB2312" w:cs="Times New Roman"/>
          <w:sz w:val="32"/>
          <w:szCs w:val="32"/>
        </w:rPr>
        <w:t>，落实好</w:t>
      </w:r>
      <w:r>
        <w:rPr>
          <w:rFonts w:hint="eastAsia" w:ascii="Times New Roman" w:hAnsi="Times New Roman" w:eastAsia="仿宋_GB2312" w:cs="Times New Roman"/>
          <w:sz w:val="32"/>
          <w:szCs w:val="32"/>
        </w:rPr>
        <w:t>各项</w:t>
      </w:r>
      <w:r>
        <w:rPr>
          <w:rFonts w:ascii="Times New Roman" w:hAnsi="Times New Roman" w:eastAsia="仿宋_GB2312" w:cs="Times New Roman"/>
          <w:sz w:val="32"/>
          <w:szCs w:val="32"/>
        </w:rPr>
        <w:t>人才激励政策，</w:t>
      </w:r>
      <w:r>
        <w:rPr>
          <w:rFonts w:hint="eastAsia" w:ascii="Times New Roman" w:hAnsi="Times New Roman" w:eastAsia="仿宋_GB2312" w:cs="Times New Roman"/>
          <w:sz w:val="32"/>
          <w:szCs w:val="32"/>
        </w:rPr>
        <w:t>确保“十四五”期间引进</w:t>
      </w:r>
      <w:r>
        <w:rPr>
          <w:rFonts w:ascii="Times New Roman" w:hAnsi="Times New Roman" w:eastAsia="仿宋_GB2312" w:cs="Times New Roman"/>
          <w:sz w:val="32"/>
          <w:szCs w:val="32"/>
        </w:rPr>
        <w:t>硕士、博士等高层次人才</w:t>
      </w:r>
      <w:r>
        <w:rPr>
          <w:rFonts w:hint="eastAsia" w:ascii="Times New Roman" w:hAnsi="Times New Roman" w:eastAsia="仿宋_GB2312" w:cs="Times New Roman"/>
          <w:sz w:val="32"/>
          <w:szCs w:val="32"/>
        </w:rPr>
        <w:t>不少于100名</w:t>
      </w:r>
      <w:r>
        <w:rPr>
          <w:rFonts w:ascii="Times New Roman" w:hAnsi="Times New Roman" w:eastAsia="仿宋_GB2312" w:cs="Times New Roman"/>
          <w:sz w:val="32"/>
          <w:szCs w:val="32"/>
        </w:rPr>
        <w:t>。持续实施永济籍人才“凤还巢”计划，积极引导在外优秀人才回乡创新创业。加快推动永济“人才公寓”建设，打造人才服务品牌，吸引更多的优秀人才来永济创业就业、安居落户。加快推动永济新型智库建设，建立健全永济科技顾问制度，围绕</w:t>
      </w:r>
      <w:r>
        <w:rPr>
          <w:rFonts w:hint="eastAsia" w:ascii="Times New Roman" w:hAnsi="Times New Roman" w:eastAsia="仿宋_GB2312" w:cs="Times New Roman"/>
          <w:sz w:val="32"/>
          <w:szCs w:val="32"/>
        </w:rPr>
        <w:t>“六强五新”</w:t>
      </w:r>
      <w:r>
        <w:rPr>
          <w:rFonts w:ascii="Times New Roman" w:hAnsi="Times New Roman" w:eastAsia="仿宋_GB2312" w:cs="Times New Roman"/>
          <w:sz w:val="32"/>
          <w:szCs w:val="32"/>
        </w:rPr>
        <w:t>产业体系设立专业智库和人才库。充分发挥已有创新平台对高端人才的凝聚作用，加强光府科技院士工作站、企业科研工作站建设，吸引穿越光电、三晋宇航研发团队落户我市，通过平台吸引人才，通过事业成就人才，强化创新平台对人才的“磁吸效应”。</w:t>
      </w:r>
    </w:p>
    <w:p w14:paraId="24D7F4F2">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深化改革育才。</w:t>
      </w:r>
      <w:r>
        <w:rPr>
          <w:rFonts w:ascii="Times New Roman" w:hAnsi="Times New Roman" w:eastAsia="仿宋_GB2312" w:cs="Times New Roman"/>
          <w:sz w:val="32"/>
          <w:szCs w:val="32"/>
        </w:rPr>
        <w:t>抓好“人人持证、技能社会”建设，进一步深化职业教育改革，支持永济职业中专学校、职业培训机构等推行现代学徒制和招生招工一体化，加强同我省职业技术学院的合作对接，通过产教融合、订单式培养，培养一批技能型、实用型人才。推动以“校市企”共建的模式定向培养高素质的应用型技术人才。广泛开展</w:t>
      </w:r>
      <w:r>
        <w:rPr>
          <w:rFonts w:hint="eastAsia" w:ascii="Times New Roman" w:hAnsi="Times New Roman" w:eastAsia="仿宋_GB2312" w:cs="Times New Roman"/>
          <w:sz w:val="32"/>
          <w:szCs w:val="32"/>
        </w:rPr>
        <w:t>“拔尖人才”选拔、</w:t>
      </w:r>
      <w:r>
        <w:rPr>
          <w:rFonts w:ascii="Times New Roman" w:hAnsi="Times New Roman" w:eastAsia="仿宋_GB2312" w:cs="Times New Roman"/>
          <w:sz w:val="32"/>
          <w:szCs w:val="32"/>
        </w:rPr>
        <w:t>“永济工匠”评选、职业技能竞赛、青年创新创业大赛等，加快建立高技能人才培训基地，选择部分企业开展高技能人才评价试点，培养符合本地需求的专业技能型人才。</w:t>
      </w:r>
    </w:p>
    <w:p w14:paraId="788ED511">
      <w:pPr>
        <w:widowControl w:val="0"/>
        <w:wordWrap/>
        <w:adjustRightInd/>
        <w:snapToGrid/>
        <w:spacing w:line="580" w:lineRule="exact"/>
        <w:ind w:left="0" w:leftChars="0" w:right="0" w:firstLine="643"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b/>
          <w:bCs/>
          <w:sz w:val="32"/>
          <w:szCs w:val="32"/>
        </w:rPr>
        <w:t>创新机制用才。</w:t>
      </w:r>
      <w:r>
        <w:rPr>
          <w:rFonts w:ascii="Times New Roman" w:hAnsi="Times New Roman" w:eastAsia="仿宋_GB2312" w:cs="Times New Roman"/>
          <w:sz w:val="32"/>
          <w:szCs w:val="32"/>
        </w:rPr>
        <w:t>坚持“不求所有、但求所用”，加大“柔性用才、项目引才”力度，积极对接黄河金三角、京津冀、省城的科研院所和高校，推行“</w:t>
      </w:r>
      <w:r>
        <w:rPr>
          <w:rFonts w:hint="eastAsia" w:ascii="Times New Roman" w:hAnsi="Times New Roman" w:eastAsia="仿宋_GB2312" w:cs="Times New Roman"/>
          <w:sz w:val="32"/>
          <w:szCs w:val="32"/>
        </w:rPr>
        <w:t>候鸟</w:t>
      </w:r>
      <w:r>
        <w:rPr>
          <w:rFonts w:ascii="Times New Roman" w:hAnsi="Times New Roman" w:eastAsia="仿宋_GB2312" w:cs="Times New Roman"/>
          <w:sz w:val="32"/>
          <w:szCs w:val="32"/>
        </w:rPr>
        <w:t>式”聘任、“双休日”专家、互联网咨询等灵活用才方式。完善人才激励机制，探索对领军人才和创新团队实行年薪制、协议工资、项目工资和股权、期权、分红等多种分配方式，打造激励组合拳，让人才引得进、留得住、发展好。创新评审式、目录式、举荐式、合作式等引进方式，赋予用人单位更大的评价自主权。力争五年内引进高层次人才100人。</w:t>
      </w:r>
    </w:p>
    <w:p w14:paraId="59BF49B4">
      <w:pPr>
        <w:widowControl w:val="0"/>
        <w:wordWrap/>
        <w:adjustRightInd/>
        <w:snapToGrid/>
        <w:spacing w:line="580" w:lineRule="exact"/>
        <w:ind w:left="0" w:leftChars="0" w:right="0" w:firstLine="643"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b/>
          <w:bCs/>
          <w:sz w:val="32"/>
          <w:szCs w:val="32"/>
        </w:rPr>
        <w:t>加强人才服务。</w:t>
      </w:r>
      <w:r>
        <w:rPr>
          <w:rFonts w:ascii="Times New Roman" w:hAnsi="Times New Roman" w:eastAsia="仿宋_GB2312" w:cs="Times New Roman"/>
          <w:sz w:val="32"/>
          <w:szCs w:val="32"/>
        </w:rPr>
        <w:t>开展人才服务质效提升行动，加快推进永济人才服务平台建设，完善人才服务窗口“一站式”运行，建立高层次人才服务专员制度，全面落实省市人才引进、家属安置、子女就业等优惠政策，解决各类人才服务政策落实“最后一公里”问题，全面提升人才服务精细化水平。强化对创新创业的正向引导，加大科技创新奖励，重奖突出贡献的科技人员。</w:t>
      </w:r>
    </w:p>
    <w:bookmarkEnd w:id="97"/>
    <w:p w14:paraId="6A5AD286">
      <w:pPr>
        <w:spacing w:beforeLines="100"/>
        <w:jc w:val="both"/>
        <w:outlineLvl w:val="0"/>
        <w:rPr>
          <w:rFonts w:ascii="Times New Roman" w:hAnsi="Times New Roman" w:eastAsia="黑体" w:cs="Times New Roman"/>
          <w:sz w:val="32"/>
          <w:szCs w:val="32"/>
        </w:rPr>
      </w:pPr>
      <w:bookmarkStart w:id="102" w:name="_Toc15813"/>
      <w:bookmarkStart w:id="103" w:name="_Toc57711670"/>
      <w:bookmarkStart w:id="104" w:name="_Toc67564167"/>
      <w:bookmarkStart w:id="105" w:name="_Toc16319"/>
      <w:r>
        <w:rPr>
          <w:rFonts w:ascii="Times New Roman" w:hAnsi="Times New Roman" w:eastAsia="黑体" w:cs="Times New Roman"/>
          <w:sz w:val="32"/>
          <w:szCs w:val="32"/>
        </w:rPr>
        <w:br w:type="page"/>
      </w:r>
    </w:p>
    <w:p w14:paraId="3E549415">
      <w:pPr>
        <w:spacing w:beforeLines="100" w:afterLines="100"/>
        <w:jc w:val="center"/>
        <w:outlineLvl w:val="0"/>
        <w:rPr>
          <w:rFonts w:ascii="Times New Roman" w:hAnsi="Times New Roman" w:eastAsia="黑体" w:cs="Times New Roman"/>
          <w:spacing w:val="-11"/>
          <w:sz w:val="32"/>
          <w:szCs w:val="32"/>
        </w:rPr>
      </w:pPr>
      <w:bookmarkStart w:id="106" w:name="_Toc68253269"/>
      <w:r>
        <w:rPr>
          <w:rFonts w:hint="eastAsia" w:ascii="Times New Roman" w:hAnsi="Times New Roman" w:eastAsia="黑体" w:cs="Times New Roman"/>
          <w:spacing w:val="-11"/>
          <w:sz w:val="32"/>
          <w:szCs w:val="32"/>
        </w:rPr>
        <w:t>第九章</w:t>
      </w:r>
      <w:r>
        <w:rPr>
          <w:rFonts w:ascii="Times New Roman" w:hAnsi="Times New Roman" w:eastAsia="黑体" w:cs="Times New Roman"/>
          <w:spacing w:val="-11"/>
          <w:sz w:val="32"/>
          <w:szCs w:val="32"/>
        </w:rPr>
        <w:t xml:space="preserve">  </w:t>
      </w:r>
      <w:r>
        <w:rPr>
          <w:rFonts w:hint="eastAsia" w:ascii="Times New Roman" w:hAnsi="Times New Roman" w:eastAsia="黑体" w:cs="Times New Roman"/>
          <w:spacing w:val="-11"/>
          <w:sz w:val="32"/>
          <w:szCs w:val="32"/>
        </w:rPr>
        <w:t>持续增进民生福祉，</w:t>
      </w:r>
      <w:bookmarkEnd w:id="102"/>
      <w:bookmarkEnd w:id="103"/>
      <w:r>
        <w:rPr>
          <w:rFonts w:hint="eastAsia" w:ascii="Times New Roman" w:hAnsi="Times New Roman" w:eastAsia="黑体" w:cs="Times New Roman"/>
          <w:spacing w:val="-11"/>
          <w:sz w:val="32"/>
          <w:szCs w:val="32"/>
        </w:rPr>
        <w:t>创造富裕幸福文明健康高品质生活</w:t>
      </w:r>
      <w:bookmarkEnd w:id="104"/>
      <w:bookmarkEnd w:id="105"/>
      <w:bookmarkEnd w:id="106"/>
    </w:p>
    <w:p w14:paraId="32269312">
      <w:pPr>
        <w:ind w:firstLine="640" w:firstLineChars="200"/>
        <w:jc w:val="both"/>
        <w:rPr>
          <w:rFonts w:ascii="Times New Roman" w:hAnsi="Times New Roman" w:eastAsia="仿宋_GB2312" w:cs="Times New Roman"/>
          <w:kern w:val="0"/>
          <w:sz w:val="32"/>
          <w:szCs w:val="32"/>
        </w:rPr>
      </w:pPr>
      <w:bookmarkStart w:id="107" w:name="_Toc43649353"/>
      <w:bookmarkStart w:id="108" w:name="_Toc43649351"/>
      <w:r>
        <w:rPr>
          <w:rFonts w:ascii="Times New Roman" w:hAnsi="Times New Roman" w:eastAsia="仿宋_GB2312" w:cs="Times New Roman"/>
          <w:kern w:val="0"/>
          <w:sz w:val="32"/>
          <w:szCs w:val="32"/>
        </w:rPr>
        <w:t>坚持以人民为中心的发展思想，围绕“一老一小一青壮”，全力抓好普惠性、基础性、兜底性民生工作，打造全生命周期的一流公共服务体系，让改革发展成果更多更公平惠及全市人民，建设高品质生活的幸福之城、首善之区。</w:t>
      </w:r>
    </w:p>
    <w:p w14:paraId="15EC3CD8">
      <w:pPr>
        <w:pStyle w:val="17"/>
        <w:spacing w:beforeLines="50" w:afterLines="50"/>
        <w:ind w:firstLine="0"/>
        <w:jc w:val="center"/>
        <w:outlineLvl w:val="1"/>
        <w:rPr>
          <w:rFonts w:ascii="Times New Roman" w:hAnsi="Times New Roman" w:eastAsia="楷体_GB2312"/>
          <w:kern w:val="0"/>
          <w:sz w:val="32"/>
          <w:szCs w:val="32"/>
          <w:lang w:bidi="en-US"/>
        </w:rPr>
      </w:pPr>
      <w:bookmarkStart w:id="109" w:name="_Toc57711671"/>
      <w:bookmarkStart w:id="110" w:name="_Toc68253270"/>
      <w:bookmarkStart w:id="111" w:name="_Toc18771"/>
      <w:bookmarkStart w:id="112" w:name="_Toc10553"/>
      <w:bookmarkStart w:id="113" w:name="_Toc67564168"/>
      <w:r>
        <w:rPr>
          <w:rFonts w:ascii="Times New Roman" w:hAnsi="Times New Roman" w:eastAsia="楷体_GB2312"/>
          <w:kern w:val="0"/>
          <w:sz w:val="32"/>
          <w:szCs w:val="32"/>
          <w:lang w:bidi="en-US"/>
        </w:rPr>
        <w:t xml:space="preserve">第一节  </w:t>
      </w:r>
      <w:bookmarkEnd w:id="107"/>
      <w:bookmarkEnd w:id="109"/>
      <w:bookmarkStart w:id="114" w:name="_Toc32690"/>
      <w:r>
        <w:rPr>
          <w:rFonts w:ascii="Times New Roman" w:hAnsi="Times New Roman" w:eastAsia="楷体_GB2312"/>
          <w:kern w:val="0"/>
          <w:sz w:val="32"/>
          <w:szCs w:val="32"/>
          <w:lang w:bidi="en-US"/>
        </w:rPr>
        <w:t>实施技能富民</w:t>
      </w:r>
      <w:r>
        <w:rPr>
          <w:rFonts w:hint="eastAsia" w:ascii="Times New Roman" w:hAnsi="Times New Roman" w:eastAsia="楷体_GB2312"/>
          <w:kern w:val="0"/>
          <w:sz w:val="32"/>
          <w:szCs w:val="32"/>
          <w:lang w:bidi="en-US"/>
        </w:rPr>
        <w:t>工程</w:t>
      </w:r>
      <w:bookmarkEnd w:id="110"/>
      <w:bookmarkEnd w:id="111"/>
      <w:bookmarkEnd w:id="112"/>
      <w:bookmarkEnd w:id="113"/>
    </w:p>
    <w:bookmarkEnd w:id="114"/>
    <w:p w14:paraId="583D5ED1">
      <w:pPr>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深入推进“人人持证、技能社会”基础性战略工程，提高持证率和高技能人才占比率，造就知识型、技能型、创新型劳动者大军，为高质量转型发展提供人才保证和动力源泉。</w:t>
      </w:r>
    </w:p>
    <w:p w14:paraId="4AD477C1">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深入实施职业技能提升工程。</w:t>
      </w:r>
      <w:r>
        <w:rPr>
          <w:rFonts w:ascii="Times New Roman" w:hAnsi="Times New Roman" w:eastAsia="仿宋_GB2312" w:cs="Times New Roman"/>
          <w:sz w:val="32"/>
          <w:szCs w:val="32"/>
        </w:rPr>
        <w:t>开展多层次、多元化职业培训，</w:t>
      </w:r>
      <w:r>
        <w:rPr>
          <w:rFonts w:ascii="Times New Roman" w:hAnsi="Times New Roman" w:eastAsia="仿宋_GB2312" w:cs="Times New Roman"/>
          <w:kern w:val="0"/>
          <w:sz w:val="32"/>
          <w:szCs w:val="32"/>
        </w:rPr>
        <w:t>提升劳动者职业技能水平，</w:t>
      </w:r>
      <w:r>
        <w:rPr>
          <w:rFonts w:ascii="Times New Roman" w:hAnsi="Times New Roman" w:eastAsia="仿宋_GB2312" w:cs="Times New Roman"/>
          <w:sz w:val="32"/>
          <w:szCs w:val="32"/>
        </w:rPr>
        <w:t>以培训促就业、以培训稳就业。运用劳动力“建档立卡”数据信息平台，进一步在“人人持证、技能社会”上提质增效。</w:t>
      </w:r>
      <w:r>
        <w:rPr>
          <w:rFonts w:ascii="Times New Roman" w:hAnsi="Times New Roman" w:eastAsia="仿宋_GB2312" w:cs="Times New Roman"/>
          <w:kern w:val="0"/>
          <w:sz w:val="32"/>
          <w:szCs w:val="32"/>
        </w:rPr>
        <w:t>坚持以训稳岗，对所有适龄劳动力持证情况建档立卡，构建“全劳动周期、全工种门类”职业技能培训体系。健全面向城乡全体劳动者的职业培训体系，落实职业培训和职业技能鉴定补贴政策，大力开展就业技能培训、岗位技能提升培训和创业培训。</w:t>
      </w:r>
      <w:r>
        <w:rPr>
          <w:rFonts w:ascii="Times New Roman" w:hAnsi="Times New Roman" w:eastAsia="仿宋_GB2312" w:cs="Times New Roman"/>
          <w:sz w:val="32"/>
          <w:szCs w:val="32"/>
        </w:rPr>
        <w:t>到2025年，对全市农村建档立卡劳动力普遍进行一次技能培训，力争从业人员持证率达30%以上。</w:t>
      </w:r>
    </w:p>
    <w:p w14:paraId="03DDB16C">
      <w:pPr>
        <w:tabs>
          <w:tab w:val="left" w:pos="943"/>
        </w:tabs>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推动中高端技能人才培养。</w:t>
      </w:r>
      <w:r>
        <w:rPr>
          <w:rFonts w:ascii="Times New Roman" w:hAnsi="Times New Roman" w:eastAsia="仿宋_GB2312" w:cs="Times New Roman"/>
          <w:sz w:val="32"/>
          <w:szCs w:val="32"/>
        </w:rPr>
        <w:t>实施技能人才振兴计划，</w:t>
      </w:r>
      <w:r>
        <w:rPr>
          <w:rFonts w:ascii="Times New Roman" w:hAnsi="Times New Roman" w:eastAsia="仿宋_GB2312" w:cs="Times New Roman"/>
          <w:kern w:val="0"/>
          <w:sz w:val="32"/>
          <w:szCs w:val="32"/>
        </w:rPr>
        <w:t>依托我市职业技能学校，加大技术人才培训力度，扎实推进校企合作，树立“永济技工”品牌。</w:t>
      </w:r>
      <w:r>
        <w:rPr>
          <w:rFonts w:ascii="Times New Roman" w:hAnsi="Times New Roman" w:eastAsia="仿宋_GB2312" w:cs="Times New Roman"/>
          <w:sz w:val="32"/>
          <w:szCs w:val="32"/>
        </w:rPr>
        <w:t>以考证持证为标准，持续深化产教融合、供需对接，开展全民技能分类培训工作，实行订单式、菜单式培训，实施初级-中级-高级梯次培训，造就一支实用型、技能型、创新型中高端技能人才。实施乡土人才“名师带徒”工程，打造乡土人才传承示范基地和大师工作室，吸纳青年人才进入工作室，培育一批乡土技能人才。到2025年，</w:t>
      </w:r>
      <w:r>
        <w:rPr>
          <w:rFonts w:hint="eastAsia" w:ascii="Times New Roman" w:hAnsi="Times New Roman" w:eastAsia="仿宋_GB2312" w:cs="Times New Roman"/>
          <w:sz w:val="32"/>
          <w:szCs w:val="32"/>
        </w:rPr>
        <w:t>完成各类就业技能培训5万人，全市高技能人才总量达到2200人，</w:t>
      </w:r>
      <w:r>
        <w:rPr>
          <w:rFonts w:ascii="Times New Roman" w:hAnsi="Times New Roman" w:eastAsia="仿宋_GB2312" w:cs="Times New Roman"/>
          <w:sz w:val="32"/>
          <w:szCs w:val="32"/>
        </w:rPr>
        <w:t>中高级以上技能人员持证率达到80%左右。</w:t>
      </w:r>
    </w:p>
    <w:p w14:paraId="64D88BDD">
      <w:pPr>
        <w:spacing w:beforeLines="50" w:afterLines="50"/>
        <w:jc w:val="center"/>
        <w:outlineLvl w:val="1"/>
        <w:rPr>
          <w:rFonts w:ascii="Times New Roman" w:hAnsi="Times New Roman" w:eastAsia="楷体_GB2312" w:cs="Times New Roman"/>
          <w:kern w:val="0"/>
          <w:sz w:val="32"/>
          <w:szCs w:val="32"/>
          <w:lang w:bidi="en-US"/>
        </w:rPr>
      </w:pPr>
      <w:bookmarkStart w:id="115" w:name="_Toc68253271"/>
      <w:bookmarkStart w:id="116" w:name="_Toc67564169"/>
      <w:r>
        <w:rPr>
          <w:rFonts w:ascii="Times New Roman" w:hAnsi="Times New Roman" w:eastAsia="楷体_GB2312" w:cs="Times New Roman"/>
          <w:kern w:val="0"/>
          <w:sz w:val="32"/>
          <w:szCs w:val="32"/>
          <w:lang w:bidi="en-US"/>
        </w:rPr>
        <w:t>第二节</w:t>
      </w:r>
      <w:r>
        <w:rPr>
          <w:rFonts w:hint="eastAsia" w:ascii="Times New Roman" w:hAnsi="Times New Roman" w:eastAsia="楷体_GB2312" w:cs="Times New Roman"/>
          <w:kern w:val="0"/>
          <w:sz w:val="32"/>
          <w:szCs w:val="32"/>
          <w:lang w:bidi="en-US"/>
        </w:rPr>
        <w:t xml:space="preserve">  </w:t>
      </w:r>
      <w:r>
        <w:rPr>
          <w:rFonts w:ascii="Times New Roman" w:hAnsi="Times New Roman" w:eastAsia="楷体_GB2312" w:cs="Times New Roman"/>
          <w:kern w:val="0"/>
          <w:sz w:val="32"/>
          <w:szCs w:val="32"/>
          <w:lang w:bidi="en-US"/>
        </w:rPr>
        <w:t>促进高质量充分就业</w:t>
      </w:r>
      <w:bookmarkEnd w:id="115"/>
      <w:bookmarkEnd w:id="116"/>
    </w:p>
    <w:p w14:paraId="16571095">
      <w:pPr>
        <w:ind w:firstLine="640"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坚持把就业增长放在经济社会发展的突出位置，以创业带动就业，加强对新业态就业以及灵活就业的支持，进一步提升就业质量、稳定就业局势。</w:t>
      </w:r>
    </w:p>
    <w:p w14:paraId="5A60F4EF">
      <w:pPr>
        <w:ind w:firstLine="643"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b/>
          <w:bCs/>
          <w:sz w:val="32"/>
          <w:szCs w:val="32"/>
        </w:rPr>
        <w:t>突出做好重点群体就业工作。</w:t>
      </w:r>
      <w:r>
        <w:rPr>
          <w:rFonts w:ascii="Times New Roman" w:hAnsi="Times New Roman" w:eastAsia="仿宋_GB2312" w:cs="Times New Roman"/>
          <w:sz w:val="32"/>
          <w:szCs w:val="32"/>
        </w:rPr>
        <w:t>健全高校毕业生就业工作支持机制，引导高校毕业生、退役军人到城乡基层、中小企业和非公企业就业。</w:t>
      </w:r>
      <w:r>
        <w:rPr>
          <w:rFonts w:ascii="Times New Roman" w:hAnsi="Times New Roman" w:eastAsia="仿宋_GB2312" w:cs="Times New Roman"/>
          <w:kern w:val="0"/>
          <w:sz w:val="32"/>
          <w:szCs w:val="32"/>
        </w:rPr>
        <w:t>建立健全农民工就业工作体系，鼓励农民工就近就地转移。加强就业困难群体的就业援助，采取政府购买公益性岗位等措施，对城镇零就业家庭、困难家庭高校毕业生等实施托底安置，确保城镇零就业家庭动态清零。到2025年，全市新增就业3万人、就业创业培训3000人，城镇</w:t>
      </w:r>
      <w:r>
        <w:rPr>
          <w:rFonts w:hint="eastAsia" w:ascii="Times New Roman" w:hAnsi="Times New Roman" w:eastAsia="仿宋_GB2312" w:cs="Times New Roman"/>
          <w:kern w:val="0"/>
          <w:sz w:val="32"/>
          <w:szCs w:val="32"/>
        </w:rPr>
        <w:t>调查</w:t>
      </w:r>
      <w:r>
        <w:rPr>
          <w:rFonts w:ascii="Times New Roman" w:hAnsi="Times New Roman" w:eastAsia="仿宋_GB2312" w:cs="Times New Roman"/>
          <w:kern w:val="0"/>
          <w:sz w:val="32"/>
          <w:szCs w:val="32"/>
        </w:rPr>
        <w:t>失业率控制在3.8%以内。</w:t>
      </w:r>
    </w:p>
    <w:p w14:paraId="5D9BD18D">
      <w:pPr>
        <w:ind w:firstLine="643"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支持灵活就业和新业态创业就业。</w:t>
      </w:r>
      <w:r>
        <w:rPr>
          <w:rFonts w:ascii="Times New Roman" w:hAnsi="Times New Roman" w:eastAsia="仿宋_GB2312" w:cs="Times New Roman"/>
          <w:kern w:val="0"/>
          <w:sz w:val="32"/>
          <w:szCs w:val="32"/>
        </w:rPr>
        <w:t>多渠道开发就业岗位，合理设定无固定经营场所摊贩管理模式，开辟自由市场、摊点群、夜市等经营网点，引导人民群众灵活就业。积极巩固和培育创业孵化基地、扶贫车间、创业园区等载体，借助电商、微商等新业态新模式开展各类就业创业活动。推动设立返乡创业园，加快构建创业指导、项目开发、注册登记、投资融资、风险评估“一站式”创业服务体系。</w:t>
      </w:r>
    </w:p>
    <w:p w14:paraId="0833EE80">
      <w:pPr>
        <w:ind w:firstLine="643"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构建完善的就业创业服务体系。</w:t>
      </w:r>
      <w:r>
        <w:rPr>
          <w:rFonts w:ascii="Times New Roman" w:hAnsi="Times New Roman" w:eastAsia="仿宋_GB2312" w:cs="Times New Roman"/>
          <w:kern w:val="0"/>
          <w:sz w:val="32"/>
          <w:szCs w:val="32"/>
        </w:rPr>
        <w:t>加强基层公共就业服务机构建设，推动就业信息监测平台和就业信息公共服务平台建设，强化农村公共就业服务功能，构建镇（街道）、社区（村）互联的公共就业服务体系。完善人力资源市场的服务功能，提升市场服务就业的效率和质量。充分发挥协调劳动关系三方机制作用，深入开展和谐劳动关系创建活动，健全劳动关系预测预警体系和突发事件应急处置机制。</w:t>
      </w:r>
    </w:p>
    <w:p w14:paraId="681DA4C9">
      <w:pPr>
        <w:spacing w:beforeLines="50" w:afterLines="50"/>
        <w:jc w:val="center"/>
        <w:outlineLvl w:val="1"/>
        <w:rPr>
          <w:rFonts w:ascii="Times New Roman" w:hAnsi="Times New Roman" w:eastAsia="楷体_GB2312" w:cs="Times New Roman"/>
          <w:kern w:val="0"/>
          <w:sz w:val="32"/>
          <w:szCs w:val="32"/>
          <w:lang w:bidi="en-US"/>
        </w:rPr>
      </w:pPr>
      <w:bookmarkStart w:id="117" w:name="_Toc5722"/>
      <w:bookmarkStart w:id="118" w:name="_Toc57711672"/>
      <w:bookmarkStart w:id="119" w:name="_Toc24128"/>
      <w:bookmarkStart w:id="120" w:name="_Toc67564170"/>
      <w:bookmarkStart w:id="121" w:name="_Toc68253272"/>
      <w:r>
        <w:rPr>
          <w:rFonts w:ascii="Times New Roman" w:hAnsi="Times New Roman" w:eastAsia="楷体_GB2312" w:cs="Times New Roman"/>
          <w:kern w:val="0"/>
          <w:sz w:val="32"/>
          <w:szCs w:val="32"/>
          <w:lang w:bidi="en-US"/>
        </w:rPr>
        <w:t>第三节</w:t>
      </w:r>
      <w:bookmarkEnd w:id="108"/>
      <w:bookmarkEnd w:id="117"/>
      <w:bookmarkEnd w:id="118"/>
      <w:r>
        <w:rPr>
          <w:rFonts w:hint="eastAsia" w:ascii="Times New Roman" w:hAnsi="Times New Roman" w:eastAsia="楷体_GB2312" w:cs="Times New Roman"/>
          <w:kern w:val="0"/>
          <w:sz w:val="32"/>
          <w:szCs w:val="32"/>
          <w:lang w:bidi="en-US"/>
        </w:rPr>
        <w:t xml:space="preserve">  办好人民满意教育</w:t>
      </w:r>
      <w:bookmarkEnd w:id="119"/>
      <w:bookmarkEnd w:id="120"/>
      <w:bookmarkEnd w:id="121"/>
    </w:p>
    <w:p w14:paraId="1825B839">
      <w:pPr>
        <w:ind w:firstLine="640" w:firstLineChars="200"/>
        <w:jc w:val="both"/>
        <w:rPr>
          <w:rFonts w:ascii="仿宋" w:hAnsi="仿宋" w:eastAsia="仿宋" w:cs="仿宋"/>
          <w:sz w:val="32"/>
          <w:szCs w:val="32"/>
        </w:rPr>
      </w:pPr>
      <w:bookmarkStart w:id="122" w:name="_Toc57711673"/>
      <w:bookmarkStart w:id="123" w:name="_Toc7585"/>
      <w:bookmarkStart w:id="124" w:name="_Toc1021"/>
      <w:bookmarkStart w:id="125" w:name="_Toc43649352"/>
      <w:bookmarkStart w:id="126" w:name="_Toc67564171"/>
      <w:bookmarkStart w:id="127" w:name="_Toc68253273"/>
      <w:r>
        <w:rPr>
          <w:rFonts w:hint="eastAsia" w:ascii="仿宋" w:hAnsi="仿宋" w:eastAsia="仿宋" w:cs="仿宋"/>
          <w:sz w:val="32"/>
          <w:szCs w:val="32"/>
        </w:rPr>
        <w:t>全面贯彻党的教育方针，坚持教育优先发展战略，坚持教育公益性原则，深化教育改革，促进教育公平，完善教育保障，努力让每个孩子都能享有公平而有质量的教育。到2025年，构建创新型开放式高质量现代教育体系。</w:t>
      </w:r>
    </w:p>
    <w:p w14:paraId="5927038F">
      <w:pPr>
        <w:ind w:firstLine="643" w:firstLineChars="200"/>
        <w:jc w:val="both"/>
        <w:rPr>
          <w:rFonts w:ascii="仿宋" w:hAnsi="仿宋" w:eastAsia="仿宋" w:cs="仿宋"/>
          <w:sz w:val="32"/>
          <w:szCs w:val="32"/>
        </w:rPr>
      </w:pPr>
      <w:r>
        <w:rPr>
          <w:rFonts w:hint="eastAsia" w:ascii="仿宋" w:hAnsi="仿宋" w:eastAsia="仿宋" w:cs="仿宋"/>
          <w:b/>
          <w:bCs/>
          <w:sz w:val="32"/>
          <w:szCs w:val="32"/>
        </w:rPr>
        <w:t>推动学前教育普惠发展。</w:t>
      </w:r>
      <w:r>
        <w:rPr>
          <w:rFonts w:hint="eastAsia" w:ascii="仿宋" w:hAnsi="仿宋" w:eastAsia="仿宋" w:cs="仿宋"/>
          <w:sz w:val="32"/>
          <w:szCs w:val="32"/>
        </w:rPr>
        <w:t>坚持“政府主导、改革创新、规范管理”的原则，普惠优质发展学前教育，实施镇（街道）中心园达标工程，深化办园模式改革，建成广覆盖、保基本、有质量的学前教育公共服务体系。到2025年，新（改、扩）建13所公办幼儿园，全市一类幼儿园达到20所。大力发展农村学前教育，每个镇（街道）原则上至少办好1所标准化的公办中心园。</w:t>
      </w:r>
    </w:p>
    <w:p w14:paraId="68AD3BAC">
      <w:pPr>
        <w:ind w:firstLine="643" w:firstLineChars="200"/>
        <w:jc w:val="both"/>
        <w:rPr>
          <w:rFonts w:ascii="仿宋" w:hAnsi="仿宋" w:eastAsia="仿宋" w:cs="仿宋"/>
          <w:sz w:val="32"/>
          <w:szCs w:val="32"/>
        </w:rPr>
      </w:pPr>
      <w:r>
        <w:rPr>
          <w:rFonts w:hint="eastAsia" w:ascii="仿宋" w:hAnsi="仿宋" w:eastAsia="仿宋" w:cs="仿宋"/>
          <w:b/>
          <w:bCs/>
          <w:sz w:val="32"/>
          <w:szCs w:val="32"/>
        </w:rPr>
        <w:t>推动义务教育和高中教育优质均衡发展。</w:t>
      </w:r>
      <w:r>
        <w:rPr>
          <w:rFonts w:hint="eastAsia" w:ascii="仿宋" w:hAnsi="仿宋" w:eastAsia="仿宋" w:cs="仿宋"/>
          <w:sz w:val="32"/>
          <w:szCs w:val="32"/>
        </w:rPr>
        <w:t>深化义务教育城乡一体化办学模式改革，提高义务教育优质化、均衡化和普惠水平。坚持就近就便服从就优的原则办好教育，优化学校布局，扩充优质教育资源，投入使用柳宗元小学，搬迁并改扩建北郊小学，在涑北中学和永济三中分别设立初中部，推动农村初中向城区集中。到2025年，每个镇（街道）打造2所高标准的寄宿制学校，实现小学向镇（街道）集中。</w:t>
      </w:r>
      <w:r>
        <w:rPr>
          <w:rFonts w:hint="eastAsia" w:ascii="仿宋" w:hAnsi="仿宋" w:eastAsia="仿宋" w:cs="仿宋"/>
          <w:color w:val="000000"/>
          <w:sz w:val="32"/>
          <w:szCs w:val="32"/>
        </w:rPr>
        <w:t>鼓励高中多样化发展，推进高中特色品牌建设，</w:t>
      </w:r>
      <w:r>
        <w:rPr>
          <w:rFonts w:hint="eastAsia" w:ascii="仿宋" w:hAnsi="仿宋" w:eastAsia="仿宋" w:cs="仿宋"/>
          <w:sz w:val="32"/>
          <w:szCs w:val="32"/>
        </w:rPr>
        <w:t>全面改善提升三所高中办学条件，探索高中与名校联合办学模式，提升高中教育优质化水平。加强运动场地建设，推广和普及校园足球，大力推进全国校园足球试点县工作。积极创建国家数字校园示范校，全力推进智慧校园建设。加强市特殊教育学校建设，保障特殊群体公平接受义务教育。</w:t>
      </w:r>
    </w:p>
    <w:p w14:paraId="481812B9">
      <w:pPr>
        <w:ind w:firstLine="643" w:firstLineChars="200"/>
        <w:jc w:val="both"/>
        <w:rPr>
          <w:rFonts w:ascii="仿宋" w:hAnsi="仿宋" w:eastAsia="仿宋" w:cs="仿宋"/>
          <w:sz w:val="32"/>
          <w:szCs w:val="32"/>
        </w:rPr>
      </w:pPr>
      <w:r>
        <w:rPr>
          <w:rFonts w:hint="eastAsia" w:ascii="仿宋" w:hAnsi="仿宋" w:eastAsia="仿宋" w:cs="仿宋"/>
          <w:b/>
          <w:bCs/>
          <w:sz w:val="32"/>
          <w:szCs w:val="32"/>
        </w:rPr>
        <w:t>加快发展现代职业教育。</w:t>
      </w:r>
      <w:r>
        <w:rPr>
          <w:rFonts w:hint="eastAsia" w:ascii="仿宋" w:hAnsi="仿宋" w:eastAsia="仿宋" w:cs="仿宋"/>
          <w:sz w:val="32"/>
          <w:szCs w:val="32"/>
        </w:rPr>
        <w:t>实施中职改革示范校和产教融合基地建设，紧密对接人才市场和产业发展需求，实施专业设置动态调整机制，建设1个省级高水平实训基地和2个省级高水平重点专业，构建完善现代职业教育和培训体系。多措并举打造“双师型”教师队伍，推动企业工程技术人员和高技能人才担任兼职教师，“双师型”占比达到60％。积极推进“1＋X”证书制度试点工作，与专业建设、课程构建、师资培养有机衔接，高质量完成山西省中等职业教育改革发展示范校建设任务。</w:t>
      </w:r>
    </w:p>
    <w:p w14:paraId="73F8543C">
      <w:pPr>
        <w:ind w:firstLine="643" w:firstLineChars="200"/>
        <w:jc w:val="both"/>
        <w:rPr>
          <w:rFonts w:ascii="仿宋" w:hAnsi="仿宋" w:eastAsia="仿宋" w:cs="仿宋"/>
          <w:sz w:val="32"/>
          <w:szCs w:val="32"/>
        </w:rPr>
      </w:pPr>
      <w:r>
        <w:rPr>
          <w:rFonts w:hint="eastAsia" w:ascii="仿宋" w:hAnsi="仿宋" w:eastAsia="仿宋" w:cs="仿宋"/>
          <w:b/>
          <w:bCs/>
          <w:sz w:val="32"/>
          <w:szCs w:val="32"/>
        </w:rPr>
        <w:t>深入推进教育领域改革。</w:t>
      </w:r>
      <w:r>
        <w:rPr>
          <w:rFonts w:hint="eastAsia" w:ascii="仿宋" w:hAnsi="仿宋" w:eastAsia="仿宋" w:cs="仿宋"/>
          <w:sz w:val="32"/>
          <w:szCs w:val="32"/>
        </w:rPr>
        <w:t>坚持立德树人，加强师德师风建设，健全学校、家庭、社会协同育人机制，重视青少年身体素质和心理健康教育，培养德智体美劳全面发展的社会主义建设者和接班人。推行校长任期制和交流制，积极推进义务教育学校教师交流轮岗工作，巩固中小学、幼儿园教师“县管校聘”管理改革成果。理顺民办中小学党建工作管理体制机制，规范发展民办教育，规范校外培训机构。建立多层次多样化的教师培训体系，用足用好“国培计划”项目，大力实施“市培计划”，促进教师专业发展。积极开展在线教育，构建完善终身学习体系，大力建设学习型社会。</w:t>
      </w:r>
    </w:p>
    <w:p w14:paraId="1B70EE79">
      <w:pPr>
        <w:pStyle w:val="17"/>
        <w:spacing w:beforeLines="50" w:afterLines="50"/>
        <w:ind w:firstLine="0"/>
        <w:jc w:val="center"/>
        <w:outlineLvl w:val="1"/>
        <w:rPr>
          <w:rFonts w:ascii="Times New Roman" w:hAnsi="Times New Roman" w:eastAsia="楷体_GB2312"/>
          <w:kern w:val="0"/>
          <w:sz w:val="32"/>
          <w:szCs w:val="32"/>
          <w:lang w:bidi="en-US"/>
        </w:rPr>
      </w:pPr>
      <w:r>
        <w:rPr>
          <w:rFonts w:ascii="Times New Roman" w:hAnsi="Times New Roman" w:eastAsia="楷体_GB2312"/>
          <w:kern w:val="0"/>
          <w:sz w:val="32"/>
          <w:szCs w:val="32"/>
          <w:lang w:bidi="en-US"/>
        </w:rPr>
        <w:t xml:space="preserve">第四节  </w:t>
      </w:r>
      <w:bookmarkEnd w:id="122"/>
      <w:bookmarkEnd w:id="123"/>
      <w:bookmarkEnd w:id="124"/>
      <w:bookmarkEnd w:id="125"/>
      <w:bookmarkEnd w:id="126"/>
      <w:r>
        <w:rPr>
          <w:rFonts w:hint="eastAsia" w:ascii="Times New Roman" w:hAnsi="Times New Roman" w:eastAsia="楷体_GB2312"/>
          <w:kern w:val="0"/>
          <w:sz w:val="32"/>
          <w:szCs w:val="32"/>
          <w:lang w:bidi="en-US"/>
        </w:rPr>
        <w:t>提升医疗服务水平</w:t>
      </w:r>
      <w:bookmarkEnd w:id="127"/>
    </w:p>
    <w:p w14:paraId="68FBEA80">
      <w:pPr>
        <w:ind w:firstLine="640" w:firstLineChars="200"/>
        <w:jc w:val="both"/>
        <w:rPr>
          <w:rFonts w:ascii="Times New Roman" w:hAnsi="Times New Roman" w:eastAsia="仿宋_GB2312" w:cs="Times New Roman"/>
          <w:kern w:val="0"/>
          <w:sz w:val="32"/>
          <w:szCs w:val="32"/>
        </w:rPr>
      </w:pPr>
      <w:bookmarkStart w:id="128" w:name="_Toc43649354"/>
      <w:r>
        <w:rPr>
          <w:rFonts w:ascii="Times New Roman" w:hAnsi="Times New Roman" w:eastAsia="仿宋_GB2312" w:cs="Times New Roman"/>
          <w:kern w:val="0"/>
          <w:sz w:val="32"/>
          <w:szCs w:val="32"/>
        </w:rPr>
        <w:t>围绕建设“健康永济”的主线，坚持以促健康、转模式、强基层、重保障为着力点，将健康融入所有政策，推进以治病为中心向以人民健康为中心转变，为人民群众提供全方位全周期健康服务。</w:t>
      </w:r>
    </w:p>
    <w:p w14:paraId="3E3C655F">
      <w:pPr>
        <w:pStyle w:val="15"/>
        <w:widowControl w:val="0"/>
        <w:spacing w:before="0" w:beforeAutospacing="0" w:after="0" w:afterAutospacing="0"/>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健全医疗卫生服务体系。</w:t>
      </w:r>
      <w:r>
        <w:rPr>
          <w:rFonts w:ascii="Times New Roman" w:hAnsi="Times New Roman" w:eastAsia="仿宋_GB2312" w:cs="Times New Roman"/>
          <w:sz w:val="32"/>
          <w:szCs w:val="32"/>
        </w:rPr>
        <w:t>加快基本公共卫生健康服务均等化，建立“未病早预防、小病就近看、大病能会诊、慢病有管理、转诊帮对接”的覆盖面广、功能完善的整合型医疗卫生服务体系。完善市、镇、村（社区）三级医疗卫生服务网络，推进镇村两级医疗机构标准化建设，抓好示范村卫生室</w:t>
      </w:r>
      <w:r>
        <w:rPr>
          <w:rFonts w:hint="eastAsia" w:ascii="Times New Roman" w:hAnsi="Times New Roman" w:eastAsia="仿宋_GB2312" w:cs="Times New Roman"/>
          <w:sz w:val="32"/>
          <w:szCs w:val="32"/>
        </w:rPr>
        <w:t>标准化“六统一”</w:t>
      </w:r>
      <w:r>
        <w:rPr>
          <w:rFonts w:ascii="Times New Roman" w:hAnsi="Times New Roman" w:eastAsia="仿宋_GB2312" w:cs="Times New Roman"/>
          <w:sz w:val="32"/>
          <w:szCs w:val="32"/>
        </w:rPr>
        <w:t>建设。坚持预防为主方针，稳步扩展公共卫生服务项目。实施妇女儿童疾病防治和预防伤害行动。推动家庭医生签约服务落地见效。支持将老年康复、老年护理、安宁疗护等延伸到基层医疗卫生机构。深入开展爱国卫生运动，开展全民健康教育，普及健康生活。</w:t>
      </w:r>
    </w:p>
    <w:p w14:paraId="6C6257FE">
      <w:pPr>
        <w:pStyle w:val="15"/>
        <w:widowControl w:val="0"/>
        <w:spacing w:before="0" w:beforeAutospacing="0" w:after="0" w:afterAutospacing="0"/>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提升全市医疗卫生水平。</w:t>
      </w:r>
      <w:r>
        <w:rPr>
          <w:rFonts w:ascii="Times New Roman" w:hAnsi="Times New Roman" w:eastAsia="仿宋_GB2312" w:cs="Times New Roman"/>
          <w:sz w:val="32"/>
          <w:szCs w:val="32"/>
        </w:rPr>
        <w:t>坚持“三医联动”，统筹推进现代医院管理、全民医保、药品供应保障、综合监管。构建科学、有序、便捷的分级诊疗格局，推动医疗集团与三甲医院、专科联盟、远程会诊医疗业务对接。推进市人民医院整体搬迁项目，建设市妇幼保健计划生育服务中心新院（市儿童医院）。到2025年，在全市医疗机构中新建市级临床重点专科10个，争创省级临床重点专科3个。推动我市非公立医疗机构规范发展，组建专业性医院管理集团。</w:t>
      </w:r>
    </w:p>
    <w:p w14:paraId="4D2F203C">
      <w:pPr>
        <w:pStyle w:val="15"/>
        <w:widowControl w:val="0"/>
        <w:spacing w:before="0" w:beforeAutospacing="0" w:after="0" w:afterAutospacing="0"/>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实施中医药振兴工程。</w:t>
      </w:r>
      <w:r>
        <w:rPr>
          <w:rFonts w:ascii="Times New Roman" w:hAnsi="Times New Roman" w:eastAsia="仿宋_GB2312" w:cs="Times New Roman"/>
          <w:sz w:val="32"/>
          <w:szCs w:val="32"/>
        </w:rPr>
        <w:t>以市中医医院为依托，建设完善中医医疗和预防保健服务中心、中医医疗服务体系，合理有序引导社会力量投资兴办中医医疗、预防保健服务机构。强化市中医医院中医特色和优势，力争达到三级医院标准。推动各镇卫生院和社区卫生服务中心打造中医药综合服务区，发挥好中医药的特色优势。到2025年，全市所有基层卫生服务机构具备中医药服务能力。</w:t>
      </w:r>
    </w:p>
    <w:p w14:paraId="5EFDB0FA">
      <w:pPr>
        <w:pStyle w:val="15"/>
        <w:widowControl w:val="0"/>
        <w:spacing w:before="0" w:beforeAutospacing="0" w:after="0" w:afterAutospacing="0"/>
        <w:ind w:firstLine="643" w:firstLineChars="200"/>
        <w:jc w:val="both"/>
        <w:rPr>
          <w:rFonts w:ascii="Times New Roman" w:hAnsi="Times New Roman" w:eastAsia="仿宋_GB2312" w:cs="Times New Roman"/>
          <w:sz w:val="32"/>
          <w:szCs w:val="32"/>
        </w:rPr>
      </w:pPr>
      <w:bookmarkStart w:id="129" w:name="_Toc33780634"/>
      <w:bookmarkStart w:id="130" w:name="_Toc17323"/>
      <w:r>
        <w:rPr>
          <w:rFonts w:ascii="Times New Roman" w:hAnsi="Times New Roman" w:eastAsia="仿宋_GB2312" w:cs="Times New Roman"/>
          <w:b/>
          <w:bCs/>
          <w:sz w:val="32"/>
          <w:szCs w:val="32"/>
        </w:rPr>
        <w:t>深化医疗卫生体制改革。</w:t>
      </w:r>
      <w:r>
        <w:rPr>
          <w:rFonts w:ascii="Times New Roman" w:hAnsi="Times New Roman" w:eastAsia="仿宋_GB2312" w:cs="Times New Roman"/>
          <w:sz w:val="32"/>
          <w:szCs w:val="32"/>
        </w:rPr>
        <w:t>持续推进</w:t>
      </w:r>
      <w:r>
        <w:rPr>
          <w:rFonts w:hint="eastAsia" w:ascii="Times New Roman" w:hAnsi="Times New Roman" w:eastAsia="仿宋_GB2312" w:cs="Times New Roman"/>
          <w:sz w:val="32"/>
          <w:szCs w:val="32"/>
        </w:rPr>
        <w:t>县镇</w:t>
      </w:r>
      <w:r>
        <w:rPr>
          <w:rFonts w:ascii="Times New Roman" w:hAnsi="Times New Roman" w:eastAsia="仿宋_GB2312" w:cs="Times New Roman"/>
          <w:sz w:val="32"/>
          <w:szCs w:val="32"/>
        </w:rPr>
        <w:t>医疗卫生一体化改革，</w:t>
      </w:r>
      <w:r>
        <w:rPr>
          <w:rFonts w:hint="eastAsia" w:ascii="Times New Roman" w:hAnsi="Times New Roman" w:eastAsia="仿宋_GB2312" w:cs="Times New Roman"/>
          <w:sz w:val="32"/>
          <w:szCs w:val="32"/>
        </w:rPr>
        <w:t>推进</w:t>
      </w:r>
      <w:r>
        <w:rPr>
          <w:rFonts w:ascii="Times New Roman" w:hAnsi="Times New Roman" w:eastAsia="仿宋_GB2312" w:cs="Times New Roman"/>
          <w:sz w:val="32"/>
          <w:szCs w:val="32"/>
        </w:rPr>
        <w:t>紧密型市域医共体建设试点。推动镇卫生院对村卫生室实施行政、人员、业务、药品器械、财务、绩效等“六统一”一体化管理。稳定基层医疗卫生人才队伍，提高镇卫生院、行政村医务人员薪酬待遇。</w:t>
      </w:r>
      <w:r>
        <w:rPr>
          <w:rFonts w:hint="eastAsia" w:ascii="Times New Roman" w:hAnsi="Times New Roman" w:eastAsia="仿宋_GB2312" w:cs="Times New Roman"/>
          <w:sz w:val="32"/>
          <w:szCs w:val="32"/>
        </w:rPr>
        <w:t>实施乡村医生素质提升计划，</w:t>
      </w:r>
      <w:r>
        <w:rPr>
          <w:rFonts w:ascii="Times New Roman" w:hAnsi="Times New Roman" w:eastAsia="仿宋_GB2312" w:cs="Times New Roman"/>
          <w:sz w:val="32"/>
          <w:szCs w:val="32"/>
        </w:rPr>
        <w:t>每个行政村选聘一名社群健康助理员，作为村医队伍的补充。深入推进公立医院改革</w:t>
      </w:r>
      <w:bookmarkEnd w:id="129"/>
      <w:bookmarkEnd w:id="130"/>
      <w:r>
        <w:rPr>
          <w:rFonts w:ascii="Times New Roman" w:hAnsi="Times New Roman" w:eastAsia="仿宋_GB2312" w:cs="Times New Roman"/>
          <w:sz w:val="32"/>
          <w:szCs w:val="32"/>
        </w:rPr>
        <w:t>，建立符合行业特点的薪酬制度和现代医院管理制度。</w:t>
      </w:r>
      <w:r>
        <w:rPr>
          <w:rFonts w:hint="eastAsia" w:ascii="Times New Roman" w:hAnsi="Times New Roman" w:eastAsia="仿宋_GB2312" w:cs="Times New Roman"/>
          <w:sz w:val="32"/>
          <w:szCs w:val="32"/>
        </w:rPr>
        <w:t>深入实施药品耗材带量采购制度，以公立医疗机构为集中带量采购主体，鼓励非公立医疗机构、社会药店等积极参与，形成可持续的激励机制，使人民享有高质量、有效率、能负担的医药服务</w:t>
      </w:r>
      <w:r>
        <w:rPr>
          <w:rFonts w:ascii="Times New Roman" w:hAnsi="Times New Roman" w:eastAsia="仿宋_GB2312" w:cs="Times New Roman"/>
          <w:sz w:val="32"/>
          <w:szCs w:val="32"/>
        </w:rPr>
        <w:t>。整合各医院内部信息系统，推进建立利益共同分享、责任共同分担、事业共同发展、技术共同提高的特色智慧医疗。</w:t>
      </w:r>
    </w:p>
    <w:p w14:paraId="0A529CD8">
      <w:pPr>
        <w:pStyle w:val="15"/>
        <w:widowControl w:val="0"/>
        <w:spacing w:before="0" w:beforeAutospacing="0" w:after="0" w:afterAutospacing="0"/>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提升公共卫生应急处置能力。</w:t>
      </w:r>
      <w:r>
        <w:rPr>
          <w:rFonts w:ascii="Times New Roman" w:hAnsi="Times New Roman" w:eastAsia="仿宋_GB2312" w:cs="Times New Roman"/>
          <w:sz w:val="32"/>
          <w:szCs w:val="32"/>
        </w:rPr>
        <w:t>坚持预防为主的方针，从源头消除影响健康的各种隐患。加强疾病预防控制体系建设，完善传染病监测预警机制。强化计划免疫工作，认真落实预防接种措施，0-6岁儿童国家免疫规划接种率保持在95%以上。加大乙肝、艾滋病、结核病等的防治力度。建立健全突发公共卫生事件应急体系，制订和完善各类重大公共卫生事件应急预案，提高现场快速处置能力。加强以流行病学调查、医疗救治等人员为主的应急反应队伍建设，强化应急反应演练、培训。提高卫生应急管理人员专业化水平，增强突发公共卫生事件及突发事件所需基本应急装备、设备保障。</w:t>
      </w:r>
    </w:p>
    <w:p w14:paraId="44D9720B">
      <w:pPr>
        <w:pStyle w:val="15"/>
        <w:widowControl w:val="0"/>
        <w:spacing w:before="0" w:beforeAutospacing="0" w:after="0" w:afterAutospacing="0"/>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构建多元化全民健身服务体系。</w:t>
      </w:r>
      <w:r>
        <w:rPr>
          <w:rFonts w:ascii="Times New Roman" w:hAnsi="Times New Roman" w:eastAsia="仿宋_GB2312" w:cs="Times New Roman"/>
          <w:sz w:val="32"/>
          <w:szCs w:val="32"/>
        </w:rPr>
        <w:t>认真落实全民健身国家战略，</w:t>
      </w:r>
      <w:r>
        <w:rPr>
          <w:rFonts w:hint="eastAsia" w:ascii="Times New Roman" w:hAnsi="Times New Roman" w:eastAsia="仿宋_GB2312" w:cs="Times New Roman"/>
          <w:sz w:val="32"/>
          <w:szCs w:val="32"/>
        </w:rPr>
        <w:t>配齐沿黄旅游公路休闲健身设施，</w:t>
      </w:r>
      <w:r>
        <w:rPr>
          <w:rFonts w:ascii="Times New Roman" w:hAnsi="Times New Roman" w:eastAsia="仿宋_GB2312" w:cs="Times New Roman"/>
          <w:sz w:val="32"/>
          <w:szCs w:val="32"/>
        </w:rPr>
        <w:t>建设中条山南部浅山区健身（登山）步道</w:t>
      </w:r>
      <w:r>
        <w:rPr>
          <w:rFonts w:hint="eastAsia" w:ascii="Times New Roman" w:hAnsi="Times New Roman" w:eastAsia="仿宋_GB2312" w:cs="Times New Roman"/>
          <w:sz w:val="32"/>
          <w:szCs w:val="32"/>
        </w:rPr>
        <w:t>及户外露营营地。</w:t>
      </w:r>
      <w:r>
        <w:rPr>
          <w:rFonts w:ascii="Times New Roman" w:hAnsi="Times New Roman" w:eastAsia="仿宋_GB2312" w:cs="Times New Roman"/>
          <w:sz w:val="32"/>
          <w:szCs w:val="32"/>
        </w:rPr>
        <w:t>推动体育中心“一场三馆”开放运营</w:t>
      </w:r>
      <w:r>
        <w:rPr>
          <w:rFonts w:hint="eastAsia" w:ascii="Times New Roman" w:hAnsi="Times New Roman" w:eastAsia="仿宋_GB2312" w:cs="Times New Roman"/>
          <w:sz w:val="32"/>
          <w:szCs w:val="32"/>
        </w:rPr>
        <w:t>。在中国传统武术</w:t>
      </w:r>
      <w:r>
        <w:rPr>
          <w:rFonts w:ascii="Times New Roman" w:hAnsi="Times New Roman" w:eastAsia="仿宋_GB2312" w:cs="Times New Roman"/>
          <w:sz w:val="32"/>
          <w:szCs w:val="32"/>
        </w:rPr>
        <w:t>形意拳</w:t>
      </w:r>
      <w:r>
        <w:rPr>
          <w:rFonts w:hint="eastAsia" w:ascii="Times New Roman" w:hAnsi="Times New Roman" w:eastAsia="仿宋_GB2312" w:cs="Times New Roman"/>
          <w:sz w:val="32"/>
          <w:szCs w:val="32"/>
        </w:rPr>
        <w:t>创始人姬际可故里改扩建形意拳</w:t>
      </w:r>
      <w:r>
        <w:rPr>
          <w:rFonts w:ascii="Times New Roman" w:hAnsi="Times New Roman" w:eastAsia="仿宋_GB2312" w:cs="Times New Roman"/>
          <w:sz w:val="32"/>
          <w:szCs w:val="32"/>
        </w:rPr>
        <w:t>纪念馆</w:t>
      </w:r>
      <w:r>
        <w:rPr>
          <w:rFonts w:hint="eastAsia" w:ascii="Times New Roman" w:hAnsi="Times New Roman" w:eastAsia="仿宋_GB2312" w:cs="Times New Roman"/>
          <w:sz w:val="32"/>
          <w:szCs w:val="32"/>
        </w:rPr>
        <w:t>，在市区积极发展</w:t>
      </w:r>
      <w:r>
        <w:rPr>
          <w:rFonts w:ascii="Times New Roman" w:hAnsi="Times New Roman" w:eastAsia="仿宋_GB2312" w:cs="Times New Roman"/>
          <w:sz w:val="32"/>
          <w:szCs w:val="32"/>
        </w:rPr>
        <w:t>滑冰</w:t>
      </w:r>
      <w:r>
        <w:rPr>
          <w:rFonts w:hint="eastAsia" w:ascii="Times New Roman" w:hAnsi="Times New Roman" w:eastAsia="仿宋_GB2312" w:cs="Times New Roman"/>
          <w:sz w:val="32"/>
          <w:szCs w:val="32"/>
        </w:rPr>
        <w:t>及冰球运动项目，鼓励社会资本按三星标准建设汽车露营营地。依托五老峰滑翔伞基地，</w:t>
      </w:r>
      <w:r>
        <w:rPr>
          <w:rFonts w:ascii="Times New Roman" w:hAnsi="Times New Roman" w:eastAsia="仿宋_GB2312" w:cs="Times New Roman"/>
          <w:sz w:val="32"/>
          <w:szCs w:val="32"/>
        </w:rPr>
        <w:t>新建五老峰航空运动小镇。建设舜帝山智慧体育公园。建设6个智能化、个性化、互联互通的社区健身中心和街头篮球场等运动场地。</w:t>
      </w:r>
    </w:p>
    <w:bookmarkEnd w:id="128"/>
    <w:p w14:paraId="2064389A">
      <w:pPr>
        <w:pStyle w:val="17"/>
        <w:spacing w:beforeLines="50" w:afterLines="50"/>
        <w:ind w:firstLine="0"/>
        <w:jc w:val="both"/>
        <w:outlineLvl w:val="1"/>
        <w:rPr>
          <w:rFonts w:ascii="Times New Roman" w:hAnsi="Times New Roman" w:eastAsia="楷体_GB2312"/>
          <w:kern w:val="0"/>
          <w:sz w:val="32"/>
          <w:szCs w:val="32"/>
          <w:lang w:bidi="en-US"/>
        </w:rPr>
      </w:pPr>
      <w:bookmarkStart w:id="131" w:name="_Toc57711675"/>
      <w:bookmarkStart w:id="132" w:name="_Toc17506"/>
      <w:bookmarkStart w:id="133" w:name="_Toc43649355"/>
      <w:bookmarkStart w:id="134" w:name="_Toc68253274"/>
      <w:bookmarkStart w:id="135" w:name="_Toc67564172"/>
      <w:bookmarkStart w:id="136" w:name="_Toc14526"/>
      <w:r>
        <w:rPr>
          <w:rFonts w:ascii="Times New Roman" w:hAnsi="Times New Roman" w:eastAsia="楷体_GB2312"/>
          <w:kern w:val="0"/>
          <w:sz w:val="32"/>
          <w:szCs w:val="32"/>
          <w:lang w:bidi="en-US"/>
        </w:rPr>
        <w:t xml:space="preserve">第五节  </w:t>
      </w:r>
      <w:bookmarkEnd w:id="131"/>
      <w:bookmarkEnd w:id="132"/>
      <w:bookmarkEnd w:id="133"/>
      <w:r>
        <w:rPr>
          <w:rFonts w:ascii="Times New Roman" w:hAnsi="Times New Roman" w:eastAsia="楷体_GB2312"/>
          <w:kern w:val="0"/>
          <w:sz w:val="32"/>
          <w:szCs w:val="32"/>
          <w:lang w:bidi="en-US"/>
        </w:rPr>
        <w:t>健全社会保障体系</w:t>
      </w:r>
      <w:bookmarkEnd w:id="134"/>
      <w:bookmarkEnd w:id="135"/>
      <w:bookmarkEnd w:id="136"/>
    </w:p>
    <w:p w14:paraId="0CF308FF">
      <w:pPr>
        <w:ind w:firstLine="640" w:firstLineChars="200"/>
        <w:jc w:val="both"/>
        <w:rPr>
          <w:rFonts w:ascii="Times New Roman" w:hAnsi="Times New Roman" w:eastAsia="仿宋_GB2312" w:cs="Times New Roman"/>
          <w:kern w:val="0"/>
          <w:sz w:val="32"/>
          <w:szCs w:val="32"/>
        </w:rPr>
      </w:pPr>
      <w:bookmarkStart w:id="137" w:name="_Toc21542"/>
      <w:r>
        <w:rPr>
          <w:rFonts w:ascii="Times New Roman" w:hAnsi="Times New Roman" w:eastAsia="仿宋_GB2312" w:cs="Times New Roman"/>
          <w:kern w:val="0"/>
          <w:sz w:val="32"/>
          <w:szCs w:val="32"/>
        </w:rPr>
        <w:t>按照兜底线、织密网、建机制的要求，在稳妥扩面的基础上更加注重质量和效益，努力构建人员范围广覆盖、保障水平多层次、制度办法可衔接、管理服务现代化的全民社会保障体系，织密全市社会保障安全网。</w:t>
      </w:r>
    </w:p>
    <w:p w14:paraId="64239A12">
      <w:pPr>
        <w:pStyle w:val="15"/>
        <w:widowControl w:val="0"/>
        <w:spacing w:before="0" w:beforeAutospacing="0" w:after="0" w:afterAutospacing="0"/>
        <w:ind w:firstLine="643" w:firstLineChars="200"/>
        <w:jc w:val="both"/>
        <w:rPr>
          <w:rFonts w:ascii="Times New Roman" w:hAnsi="Times New Roman" w:eastAsia="仿宋_GB2312" w:cs="Times New Roman"/>
          <w:sz w:val="32"/>
          <w:szCs w:val="32"/>
        </w:rPr>
      </w:pPr>
      <w:bookmarkStart w:id="138" w:name="_Toc33780638"/>
      <w:bookmarkStart w:id="139" w:name="_Toc18879"/>
      <w:r>
        <w:rPr>
          <w:rFonts w:ascii="Times New Roman" w:hAnsi="Times New Roman" w:eastAsia="仿宋_GB2312" w:cs="Times New Roman"/>
          <w:b/>
          <w:bCs/>
          <w:sz w:val="32"/>
          <w:szCs w:val="32"/>
        </w:rPr>
        <w:t>健全城乡社会保险体系。</w:t>
      </w:r>
      <w:r>
        <w:rPr>
          <w:rFonts w:ascii="Times New Roman" w:hAnsi="Times New Roman" w:eastAsia="仿宋_GB2312" w:cs="Times New Roman"/>
          <w:sz w:val="32"/>
          <w:szCs w:val="32"/>
        </w:rPr>
        <w:t>实施全民参保计划，积极推进城乡居民基本养老保险、工伤保险、失业保险、医疗保险等参保扩面工作，完善居民参保动态管理机制，引导和鼓励各类人员及早参保、长期参保和连续参保。多形式、多渠道宣传城乡居民养老保险政策，保证应参尽参，稳步提高城镇居民养老保险待遇水平。完善城乡居民养老保险制度，</w:t>
      </w:r>
      <w:bookmarkEnd w:id="138"/>
      <w:bookmarkEnd w:id="139"/>
      <w:r>
        <w:rPr>
          <w:rFonts w:hint="eastAsia" w:ascii="Times New Roman" w:hAnsi="Times New Roman" w:eastAsia="仿宋_GB2312" w:cs="Times New Roman"/>
          <w:sz w:val="32"/>
          <w:szCs w:val="32"/>
        </w:rPr>
        <w:t>坚持依法参加基本医疗保险，精准扩大参保覆盖面，稳步提升基本医疗保障待遇水平，增强基础性、兜底性保障。稳步推进医保支付方式改革，完善医保协议管理，健全医保基金监管体系，加强医保信息化和法制化建设，提高医保基金使用效率</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到2025年，基本养老保险参保率达到95%以上。</w:t>
      </w:r>
    </w:p>
    <w:p w14:paraId="4E25A756">
      <w:pPr>
        <w:pStyle w:val="15"/>
        <w:widowControl w:val="0"/>
        <w:spacing w:before="0" w:beforeAutospacing="0" w:after="0" w:afterAutospacing="0"/>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kern w:val="2"/>
          <w:sz w:val="32"/>
          <w:szCs w:val="32"/>
        </w:rPr>
        <w:t>完善社会福利救助体系。</w:t>
      </w:r>
      <w:r>
        <w:rPr>
          <w:rFonts w:ascii="Times New Roman" w:hAnsi="Times New Roman" w:eastAsia="仿宋_GB2312" w:cs="Times New Roman"/>
          <w:kern w:val="2"/>
          <w:sz w:val="32"/>
          <w:szCs w:val="32"/>
        </w:rPr>
        <w:t>完善跨部门、多层次、信息共享的低收入家庭经济状况核对机制，建立救助对象及时精准识别机制，建立防范和化解因病致贫返贫长效机制。落实社会救助政策，提高低保和特困人员供养标准，保障好困难群众基本生活。</w:t>
      </w:r>
      <w:r>
        <w:rPr>
          <w:rFonts w:ascii="Times New Roman" w:hAnsi="Times New Roman" w:eastAsia="仿宋_GB2312" w:cs="Times New Roman"/>
          <w:sz w:val="32"/>
          <w:szCs w:val="32"/>
        </w:rPr>
        <w:t>建设儿童福利机构、未成年人保护中心。加强退役军人保障和残疾人救助工作，加快残疾人</w:t>
      </w:r>
      <w:r>
        <w:rPr>
          <w:rFonts w:hint="eastAsia" w:ascii="Times New Roman" w:hAnsi="Times New Roman" w:eastAsia="仿宋_GB2312" w:cs="Times New Roman"/>
          <w:sz w:val="32"/>
          <w:szCs w:val="32"/>
        </w:rPr>
        <w:t>托养</w:t>
      </w:r>
      <w:r>
        <w:rPr>
          <w:rFonts w:ascii="Times New Roman" w:hAnsi="Times New Roman" w:eastAsia="仿宋_GB2312" w:cs="Times New Roman"/>
          <w:sz w:val="32"/>
          <w:szCs w:val="32"/>
        </w:rPr>
        <w:t>中心项目建设，提升残疾预防、康复</w:t>
      </w:r>
      <w:r>
        <w:rPr>
          <w:rFonts w:hint="eastAsia" w:ascii="Times New Roman" w:hAnsi="Times New Roman" w:eastAsia="仿宋_GB2312" w:cs="Times New Roman"/>
          <w:sz w:val="32"/>
          <w:szCs w:val="32"/>
        </w:rPr>
        <w:t>托养</w:t>
      </w:r>
      <w:r>
        <w:rPr>
          <w:rFonts w:ascii="Times New Roman" w:hAnsi="Times New Roman" w:eastAsia="仿宋_GB2312" w:cs="Times New Roman"/>
          <w:sz w:val="32"/>
          <w:szCs w:val="32"/>
        </w:rPr>
        <w:t>等基本公共服务水平。完善政府购买服务机制，加强基层经办能力建设，激励社会组织、慈善力量和志愿者等参与社会救助工作。</w:t>
      </w:r>
    </w:p>
    <w:bookmarkEnd w:id="137"/>
    <w:p w14:paraId="4BECC13D">
      <w:pPr>
        <w:ind w:firstLine="643" w:firstLineChars="200"/>
        <w:jc w:val="both"/>
        <w:rPr>
          <w:rFonts w:ascii="Times New Roman" w:hAnsi="Times New Roman" w:eastAsia="仿宋_GB2312" w:cs="Times New Roman"/>
          <w:sz w:val="32"/>
          <w:szCs w:val="32"/>
        </w:rPr>
      </w:pPr>
      <w:bookmarkStart w:id="140" w:name="_Toc24052"/>
      <w:bookmarkStart w:id="141" w:name="_Toc2881"/>
      <w:bookmarkStart w:id="142" w:name="_Toc23541"/>
      <w:bookmarkStart w:id="143" w:name="_Toc17231"/>
      <w:bookmarkStart w:id="144" w:name="_Toc57711676"/>
      <w:r>
        <w:rPr>
          <w:rFonts w:ascii="Times New Roman" w:hAnsi="Times New Roman" w:eastAsia="仿宋_GB2312" w:cs="Times New Roman"/>
          <w:b/>
          <w:bCs/>
          <w:sz w:val="32"/>
          <w:szCs w:val="32"/>
        </w:rPr>
        <w:t>稳步提高养老保障能力。</w:t>
      </w:r>
      <w:r>
        <w:rPr>
          <w:rFonts w:ascii="Times New Roman" w:hAnsi="Times New Roman" w:eastAsia="仿宋_GB2312" w:cs="Times New Roman"/>
          <w:sz w:val="32"/>
          <w:szCs w:val="32"/>
        </w:rPr>
        <w:t>完善居家养老为基础、社区为依托、机构为补充、医养结合的养老保障体系，努力为老人提供医、护、住、食、娱、学等一站式养老服务。实施城镇养老幸福工程，加强社区养老服务设施布局，推进中心敬老院建设，建设多功能、专业化的社区养老服务设施，探索“物业服务+养老服务模式”“城市社区日间照料中心+延伸服务”模式。实施农村老年人日间照料中心示范工程，探索社会组织、村红白理事协会、养老服务机构等参与农村日间照料中心运行管理，实施连锁运行，连片管理，形成品牌化。推进智慧养老平台服务建设，提升服务质量和水平。</w:t>
      </w:r>
    </w:p>
    <w:p w14:paraId="1393E224">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构建人口均衡发展格局。</w:t>
      </w:r>
      <w:r>
        <w:rPr>
          <w:rFonts w:ascii="Times New Roman" w:hAnsi="Times New Roman" w:eastAsia="仿宋_GB2312" w:cs="Times New Roman"/>
          <w:sz w:val="32"/>
          <w:szCs w:val="32"/>
        </w:rPr>
        <w:t>全面做好人口工作，完善人口发展战略，积极应对人口老龄化，保障妇女儿童权益，健全残疾人权益保障制度，促进人口长期均衡发展。建立完善包括生育支持、幼儿养育、青少年发展、老人赡养、病残照料等在内的家庭发展政策。加快构建“家庭为主、托幼补充、政策引导、普惠优先、安全健康、科学规范”的婴幼儿照护服务供给体系。建立健全妇女全面发展机制，严厉打击针对妇女儿童的违法犯罪行为，统筹推进农村留守妇女儿童关爱和困境儿童保障工作，切实保障妇女儿童合法权益。</w:t>
      </w:r>
    </w:p>
    <w:p w14:paraId="2E2001C1">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升级发展其他基本社会服务。</w:t>
      </w:r>
      <w:r>
        <w:rPr>
          <w:rFonts w:ascii="Times New Roman" w:hAnsi="Times New Roman" w:eastAsia="仿宋_GB2312" w:cs="Times New Roman"/>
          <w:sz w:val="32"/>
          <w:szCs w:val="32"/>
        </w:rPr>
        <w:t>深化殡葬事业改革，加强殡仪馆、公益性公墓等基础设施建设，大倡导节地生态安葬。加强婚姻登记标准化建设，完善网上预约婚姻登记服务，提高婚姻登记管理服务水平。</w:t>
      </w:r>
      <w:r>
        <w:rPr>
          <w:rFonts w:hint="eastAsia" w:ascii="Times New Roman" w:hAnsi="Times New Roman" w:eastAsia="仿宋_GB2312" w:cs="Times New Roman"/>
          <w:sz w:val="32"/>
          <w:szCs w:val="32"/>
        </w:rPr>
        <w:t>加强国防教育，开展“双拥”工作。加强优抚安置工作，</w:t>
      </w:r>
      <w:r>
        <w:rPr>
          <w:rFonts w:ascii="Times New Roman" w:hAnsi="Times New Roman" w:eastAsia="仿宋_GB2312" w:cs="Times New Roman"/>
          <w:sz w:val="32"/>
          <w:szCs w:val="32"/>
        </w:rPr>
        <w:t>健全</w:t>
      </w:r>
      <w:r>
        <w:rPr>
          <w:rFonts w:hint="eastAsia" w:ascii="Times New Roman" w:hAnsi="Times New Roman" w:eastAsia="仿宋_GB2312" w:cs="Times New Roman"/>
          <w:sz w:val="32"/>
          <w:szCs w:val="32"/>
        </w:rPr>
        <w:t>完善</w:t>
      </w:r>
      <w:r>
        <w:rPr>
          <w:rFonts w:ascii="Times New Roman" w:hAnsi="Times New Roman" w:eastAsia="仿宋_GB2312" w:cs="Times New Roman"/>
          <w:sz w:val="32"/>
          <w:szCs w:val="32"/>
        </w:rPr>
        <w:t>退役军人</w:t>
      </w:r>
      <w:r>
        <w:rPr>
          <w:rFonts w:hint="eastAsia" w:ascii="Times New Roman" w:hAnsi="Times New Roman" w:eastAsia="仿宋_GB2312" w:cs="Times New Roman"/>
          <w:sz w:val="32"/>
          <w:szCs w:val="32"/>
        </w:rPr>
        <w:t>服务保障</w:t>
      </w:r>
      <w:r>
        <w:rPr>
          <w:rFonts w:ascii="Times New Roman" w:hAnsi="Times New Roman" w:eastAsia="仿宋_GB2312" w:cs="Times New Roman"/>
          <w:sz w:val="32"/>
          <w:szCs w:val="32"/>
        </w:rPr>
        <w:t>体系。</w:t>
      </w:r>
      <w:r>
        <w:rPr>
          <w:rFonts w:hint="eastAsia" w:ascii="Times New Roman" w:hAnsi="Times New Roman" w:eastAsia="仿宋_GB2312" w:cs="Times New Roman"/>
          <w:sz w:val="32"/>
          <w:szCs w:val="32"/>
        </w:rPr>
        <w:t>持续推进市志、</w:t>
      </w:r>
      <w:r>
        <w:rPr>
          <w:rFonts w:ascii="Times New Roman" w:hAnsi="Times New Roman" w:eastAsia="仿宋_GB2312" w:cs="Times New Roman"/>
          <w:sz w:val="32"/>
          <w:szCs w:val="32"/>
        </w:rPr>
        <w:t>档案、慈善</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事业健康发展。</w:t>
      </w:r>
    </w:p>
    <w:tbl>
      <w:tblPr>
        <w:tblStyle w:val="19"/>
        <w:tblpPr w:leftFromText="180" w:rightFromText="180" w:vertAnchor="text" w:horzAnchor="margin" w:tblpX="108" w:tblpY="272"/>
        <w:tblOverlap w:val="never"/>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14:paraId="2022A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760" w:type="dxa"/>
            <w:vAlign w:val="center"/>
          </w:tcPr>
          <w:p w14:paraId="0C919E9C">
            <w:pPr>
              <w:jc w:val="both"/>
              <w:rPr>
                <w:rFonts w:ascii="Times New Roman" w:hAnsi="Times New Roman" w:eastAsia="宋体" w:cs="Times New Roman"/>
                <w:color w:val="FF0000"/>
                <w:sz w:val="28"/>
                <w:szCs w:val="28"/>
              </w:rPr>
            </w:pPr>
            <w:r>
              <w:rPr>
                <w:rFonts w:hint="eastAsia" w:ascii="Times New Roman" w:hAnsi="Times New Roman" w:eastAsia="黑体" w:cs="Times New Roman"/>
                <w:sz w:val="28"/>
                <w:szCs w:val="28"/>
              </w:rPr>
              <w:t>专栏13：“十四五”社会事业重大工程</w:t>
            </w:r>
          </w:p>
        </w:tc>
      </w:tr>
      <w:tr w14:paraId="6FCCE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5" w:hRule="atLeast"/>
        </w:trPr>
        <w:tc>
          <w:tcPr>
            <w:tcW w:w="8760" w:type="dxa"/>
            <w:vAlign w:val="top"/>
          </w:tcPr>
          <w:p w14:paraId="4E3658C6">
            <w:pPr>
              <w:spacing w:beforeLines="50" w:line="360" w:lineRule="exact"/>
              <w:ind w:firstLine="422" w:firstLineChars="200"/>
              <w:jc w:val="both"/>
              <w:rPr>
                <w:rFonts w:ascii="方正小标宋简体" w:hAnsi="方正小标宋简体" w:eastAsia="方正小标宋简体" w:cs="方正小标宋简体"/>
                <w:color w:val="FF0000"/>
                <w:szCs w:val="21"/>
              </w:rPr>
            </w:pPr>
            <w:r>
              <w:rPr>
                <w:rFonts w:hint="eastAsia" w:ascii="方正小标宋简体" w:hAnsi="方正小标宋简体" w:eastAsia="方正小标宋简体" w:cs="方正小标宋简体"/>
                <w:b/>
                <w:szCs w:val="21"/>
              </w:rPr>
              <w:t>教育提升工程。</w:t>
            </w:r>
            <w:r>
              <w:rPr>
                <w:rFonts w:hint="eastAsia" w:ascii="方正小标宋简体" w:hAnsi="方正小标宋简体" w:eastAsia="方正小标宋简体" w:cs="方正小标宋简体"/>
                <w:szCs w:val="21"/>
              </w:rPr>
              <w:t>13所公办幼儿园新（改、扩）建项目、城西中心校庄子幼儿园改扩建项目、柳宗元小学建设项目、北郊小学改扩建工程、九华山庄小区幼儿园新建项目、吉尔特庄园幼儿园新建项目、小张村幼儿园新建项目、南山华庭小区幼儿园新建项目，舜帝山森林公园小学新建项目、市中医院小学新建项目、滨河花园小学新建项目、银杏小学扩建项目，十二年一贯制学校（北京师范大学永济市附属中学）新建项目、七社路初中学校建设项目、三场一馆北初中学校建设项目，7所镇寄宿制学校新建项目、1所省级高水平实训基地建设项目、智慧校园建设项目。</w:t>
            </w:r>
          </w:p>
          <w:p w14:paraId="03AFD02B">
            <w:pPr>
              <w:pStyle w:val="8"/>
              <w:spacing w:after="0" w:line="360" w:lineRule="exact"/>
              <w:ind w:left="0" w:leftChars="0" w:firstLine="422" w:firstLineChars="200"/>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卫生健康体育提升工程。</w:t>
            </w:r>
            <w:r>
              <w:rPr>
                <w:rFonts w:hint="eastAsia" w:ascii="方正小标宋简体" w:hAnsi="方正小标宋简体" w:eastAsia="方正小标宋简体" w:cs="方正小标宋简体"/>
                <w:szCs w:val="21"/>
              </w:rPr>
              <w:t>市人民医院整体搬迁项目、市妇幼保健计划生育服务中心新院（市儿童医院）建设项目、市“共享中医药”项目、社会心理服务全国试点建设项目、市智慧健康信息平台建设项目、公</w:t>
            </w:r>
            <w:r>
              <w:rPr>
                <w:rFonts w:hint="eastAsia" w:ascii="方正小标宋简体" w:hAnsi="方正小标宋简体" w:eastAsia="方正小标宋简体" w:cs="方正小标宋简体"/>
                <w:szCs w:val="21"/>
                <w:lang w:eastAsia="zh-CN"/>
              </w:rPr>
              <w:t>共</w:t>
            </w:r>
            <w:bookmarkStart w:id="182" w:name="_GoBack"/>
            <w:bookmarkEnd w:id="182"/>
            <w:r>
              <w:rPr>
                <w:rFonts w:hint="eastAsia" w:ascii="方正小标宋简体" w:hAnsi="方正小标宋简体" w:eastAsia="方正小标宋简体" w:cs="方正小标宋简体"/>
                <w:szCs w:val="21"/>
              </w:rPr>
              <w:t>卫生应急指挥平台、永济市中条山南部150公里健身（登山）步道建设项目、姬际可纪念馆、三星级汽车露营地建设项目、五老峰航空运动小镇、舜帝山智慧体育公园、6个智能社区健身中心。</w:t>
            </w:r>
          </w:p>
          <w:p w14:paraId="6D35323A">
            <w:pPr>
              <w:pStyle w:val="17"/>
              <w:spacing w:afterLines="50" w:line="360" w:lineRule="exact"/>
              <w:jc w:val="both"/>
            </w:pPr>
            <w:r>
              <w:rPr>
                <w:rFonts w:hint="eastAsia" w:ascii="方正小标宋简体" w:hAnsi="方正小标宋简体" w:eastAsia="方正小标宋简体" w:cs="方正小标宋简体"/>
                <w:b/>
                <w:szCs w:val="21"/>
              </w:rPr>
              <w:t>养老托幼保障提升工程。</w:t>
            </w:r>
            <w:r>
              <w:rPr>
                <w:rFonts w:hint="eastAsia" w:ascii="方正小标宋简体" w:hAnsi="方正小标宋简体" w:eastAsia="方正小标宋简体" w:cs="方正小标宋简体"/>
                <w:szCs w:val="21"/>
              </w:rPr>
              <w:t>市0-3岁婴幼儿托育服务中心建设项目，韩阳镇公办敬老院建设项目、卿头镇公办敬老院建设项目、老年残疾人“逸养楼”建设项目（2座），22个社区日间照料服务中心建设项目，现有公墓“六化”改造项目、全市7镇公墓地和骨灰存放堂建设项目。</w:t>
            </w:r>
          </w:p>
        </w:tc>
      </w:tr>
      <w:bookmarkEnd w:id="140"/>
      <w:bookmarkEnd w:id="141"/>
      <w:bookmarkEnd w:id="142"/>
      <w:bookmarkEnd w:id="143"/>
      <w:bookmarkEnd w:id="144"/>
    </w:tbl>
    <w:p w14:paraId="06C45B84">
      <w:pPr>
        <w:pStyle w:val="17"/>
        <w:spacing w:beforeLines="50" w:afterLines="50"/>
        <w:ind w:firstLine="0"/>
        <w:jc w:val="center"/>
        <w:outlineLvl w:val="1"/>
        <w:rPr>
          <w:rFonts w:ascii="Times New Roman" w:hAnsi="Times New Roman" w:eastAsia="楷体_GB2312"/>
          <w:kern w:val="0"/>
          <w:sz w:val="32"/>
          <w:szCs w:val="32"/>
          <w:lang w:bidi="en-US"/>
        </w:rPr>
      </w:pPr>
      <w:bookmarkStart w:id="145" w:name="_Toc5732"/>
      <w:bookmarkStart w:id="146" w:name="_Toc67564174"/>
      <w:bookmarkStart w:id="147" w:name="_Toc27315"/>
      <w:bookmarkStart w:id="148" w:name="_Toc32681"/>
      <w:bookmarkStart w:id="149" w:name="_Toc30339"/>
      <w:bookmarkStart w:id="150" w:name="_Toc68253275"/>
      <w:bookmarkStart w:id="151" w:name="_Toc12843"/>
      <w:bookmarkStart w:id="152" w:name="_Toc57711677"/>
      <w:bookmarkStart w:id="153" w:name="_Toc43649357"/>
      <w:bookmarkStart w:id="154" w:name="_Toc450318021"/>
      <w:r>
        <w:rPr>
          <w:rFonts w:ascii="Times New Roman" w:hAnsi="Times New Roman" w:eastAsia="楷体_GB2312"/>
          <w:kern w:val="0"/>
          <w:sz w:val="32"/>
          <w:szCs w:val="32"/>
          <w:lang w:bidi="en-US"/>
        </w:rPr>
        <w:t>第</w:t>
      </w:r>
      <w:r>
        <w:rPr>
          <w:rFonts w:hint="eastAsia" w:ascii="Times New Roman" w:hAnsi="Times New Roman" w:eastAsia="楷体_GB2312"/>
          <w:kern w:val="0"/>
          <w:sz w:val="32"/>
          <w:szCs w:val="32"/>
          <w:lang w:bidi="en-US"/>
        </w:rPr>
        <w:t>六</w:t>
      </w:r>
      <w:r>
        <w:rPr>
          <w:rFonts w:ascii="Times New Roman" w:hAnsi="Times New Roman" w:eastAsia="楷体_GB2312"/>
          <w:kern w:val="0"/>
          <w:sz w:val="32"/>
          <w:szCs w:val="32"/>
          <w:lang w:bidi="en-US"/>
        </w:rPr>
        <w:t>节  加强</w:t>
      </w:r>
      <w:bookmarkEnd w:id="145"/>
      <w:bookmarkEnd w:id="146"/>
      <w:bookmarkEnd w:id="147"/>
      <w:bookmarkEnd w:id="148"/>
      <w:bookmarkEnd w:id="149"/>
      <w:r>
        <w:rPr>
          <w:rFonts w:hint="eastAsia" w:ascii="Times New Roman" w:hAnsi="Times New Roman" w:eastAsia="楷体_GB2312"/>
          <w:kern w:val="0"/>
          <w:sz w:val="32"/>
          <w:szCs w:val="32"/>
          <w:lang w:bidi="en-US"/>
        </w:rPr>
        <w:t>社会综合治理</w:t>
      </w:r>
      <w:bookmarkEnd w:id="150"/>
    </w:p>
    <w:p w14:paraId="09821600">
      <w:pPr>
        <w:pStyle w:val="15"/>
        <w:widowControl w:val="0"/>
        <w:spacing w:before="0" w:beforeAutospacing="0" w:after="0" w:afterAutospacing="0"/>
        <w:ind w:firstLine="640" w:firstLineChars="200"/>
        <w:jc w:val="both"/>
        <w:rPr>
          <w:rFonts w:ascii="Times New Roman" w:hAnsi="Times New Roman" w:eastAsia="仿宋_GB2312" w:cs="Times New Roman"/>
          <w:sz w:val="32"/>
          <w:szCs w:val="32"/>
        </w:rPr>
      </w:pPr>
      <w:bookmarkStart w:id="155" w:name="_Toc12745"/>
      <w:r>
        <w:rPr>
          <w:rFonts w:ascii="Times New Roman" w:hAnsi="Times New Roman" w:eastAsia="仿宋_GB2312" w:cs="Times New Roman"/>
          <w:sz w:val="32"/>
          <w:szCs w:val="32"/>
        </w:rPr>
        <w:t>适应新时代社会治理新形势新要求，推进社区、社会组织、社会工作“三社联动”，统筹结合专项治理、系统治理、综合治理、依法治理和源头治理，完善党委领导、政府负责、群团助推、社会协同、公众参与、法治保障、科技支撑的社会治理体系。</w:t>
      </w:r>
    </w:p>
    <w:bookmarkEnd w:id="155"/>
    <w:p w14:paraId="270A74D3">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深入推进法治建设。</w:t>
      </w:r>
      <w:r>
        <w:rPr>
          <w:rFonts w:ascii="Times New Roman" w:hAnsi="Times New Roman" w:eastAsia="仿宋_GB2312" w:cs="Times New Roman"/>
          <w:sz w:val="32"/>
          <w:szCs w:val="32"/>
        </w:rPr>
        <w:t>深入践行习近平法治思想，</w:t>
      </w:r>
      <w:r>
        <w:rPr>
          <w:rFonts w:hint="eastAsia" w:ascii="Times New Roman" w:hAnsi="Times New Roman" w:eastAsia="仿宋_GB2312" w:cs="Times New Roman"/>
          <w:sz w:val="32"/>
          <w:szCs w:val="32"/>
        </w:rPr>
        <w:t>坚持依法治国、依法执政、依法行政共同推进，</w:t>
      </w:r>
      <w:r>
        <w:rPr>
          <w:rFonts w:ascii="Times New Roman" w:hAnsi="Times New Roman" w:eastAsia="仿宋_GB2312" w:cs="Times New Roman"/>
          <w:sz w:val="32"/>
          <w:szCs w:val="32"/>
        </w:rPr>
        <w:t>坚持法治国家、法治政府、法治社会一体建设，全面落实依法治国基本方略。严格落实“三重一大”决策程序，严格按照审批程序健全项目手续，做到依法决策、合规建设、规范管理。全面完成省级法治</w:t>
      </w:r>
      <w:r>
        <w:rPr>
          <w:rFonts w:hint="eastAsia" w:ascii="Times New Roman" w:hAnsi="Times New Roman" w:eastAsia="仿宋_GB2312" w:cs="Times New Roman"/>
          <w:sz w:val="32"/>
          <w:szCs w:val="32"/>
        </w:rPr>
        <w:t>政府</w:t>
      </w:r>
      <w:r>
        <w:rPr>
          <w:rFonts w:ascii="Times New Roman" w:hAnsi="Times New Roman" w:eastAsia="仿宋_GB2312" w:cs="Times New Roman"/>
          <w:sz w:val="32"/>
          <w:szCs w:val="32"/>
        </w:rPr>
        <w:t>示范县（市）创建工作，争创全国法治</w:t>
      </w:r>
      <w:r>
        <w:rPr>
          <w:rFonts w:hint="eastAsia" w:ascii="Times New Roman" w:hAnsi="Times New Roman" w:eastAsia="仿宋_GB2312" w:cs="Times New Roman"/>
          <w:sz w:val="32"/>
          <w:szCs w:val="32"/>
        </w:rPr>
        <w:t>政府</w:t>
      </w:r>
      <w:r>
        <w:rPr>
          <w:rFonts w:ascii="Times New Roman" w:hAnsi="Times New Roman" w:eastAsia="仿宋_GB2312" w:cs="Times New Roman"/>
          <w:sz w:val="32"/>
          <w:szCs w:val="32"/>
        </w:rPr>
        <w:t>示范县（市）。抓好“七五”普法总结和“八五”普法的规划组织，广泛开展“法律九进”活动。健全完善行政执法监督工作机制，强化行政执法监督。</w:t>
      </w:r>
      <w:r>
        <w:rPr>
          <w:rFonts w:hint="eastAsia" w:ascii="Times New Roman" w:hAnsi="Times New Roman" w:eastAsia="仿宋_GB2312" w:cs="Times New Roman"/>
          <w:sz w:val="32"/>
          <w:szCs w:val="32"/>
        </w:rPr>
        <w:t>推进公共法律服务体系建设，形成覆盖城乡、便捷高效、均等普惠的现代公共法律服务体系</w:t>
      </w:r>
      <w:r>
        <w:rPr>
          <w:rFonts w:ascii="Times New Roman" w:hAnsi="Times New Roman" w:eastAsia="仿宋_GB2312" w:cs="Times New Roman"/>
          <w:sz w:val="32"/>
          <w:szCs w:val="32"/>
        </w:rPr>
        <w:t>。大力弘扬法治精神，不断提高运用法治思维和法治方式深化改革、推动发展、化解矛盾、维护稳定的能力。</w:t>
      </w:r>
    </w:p>
    <w:p w14:paraId="3C075360">
      <w:pPr>
        <w:pStyle w:val="15"/>
        <w:widowControl w:val="0"/>
        <w:spacing w:before="0" w:beforeAutospacing="0" w:after="0" w:afterAutospacing="0"/>
        <w:ind w:firstLine="643"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b/>
          <w:bCs/>
          <w:kern w:val="2"/>
          <w:sz w:val="32"/>
          <w:szCs w:val="32"/>
        </w:rPr>
        <w:t>深入推进平安建设。</w:t>
      </w:r>
      <w:r>
        <w:rPr>
          <w:rFonts w:ascii="Times New Roman" w:hAnsi="Times New Roman" w:eastAsia="仿宋_GB2312" w:cs="Times New Roman"/>
          <w:kern w:val="2"/>
          <w:sz w:val="32"/>
          <w:szCs w:val="32"/>
        </w:rPr>
        <w:t>围绕“深挖根治”总体要求，以“三打三治”为载体，运用好“四个一批”，推进扫黑除恶长效机制建设，巩固和拓展专项斗争成果，构建立体化全方位智能化社会治安防控体系，健全对新型网络犯罪的整治机制。构建立体化社会治安防控体系，做实基层，夯实基础，健全对新型网络犯罪的整体机制，紧盯重点区域、重点行业、重点单位、重点组织、重点人员、重点物品，整治治安突出问题，挤压违法犯罪和乱点乱象滋生空间，确保人民安居乐业、社会安定有序。健全最严格的安全生产责任体系，扎实开展安全生产专项整治行动计划，促进安全生产持续稳定好转。</w:t>
      </w:r>
    </w:p>
    <w:bookmarkEnd w:id="151"/>
    <w:bookmarkEnd w:id="152"/>
    <w:bookmarkEnd w:id="153"/>
    <w:p w14:paraId="058EEE7C">
      <w:pPr>
        <w:ind w:firstLine="643"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深入开展“三零”单位创建。</w:t>
      </w:r>
      <w:r>
        <w:rPr>
          <w:rFonts w:ascii="Times New Roman" w:hAnsi="Times New Roman" w:eastAsia="仿宋_GB2312" w:cs="Times New Roman"/>
          <w:color w:val="000000"/>
          <w:sz w:val="32"/>
          <w:szCs w:val="32"/>
        </w:rPr>
        <w:t>扎实开展“三零”单位创建，按照“落小单元、压实责任、前移关口、工作下沉”的要求，明确村（社区）、企业、单位主体责任，通过查漏洞、补短板、建机制，将各类苗头性、倾向性问题化解在早在小，努力做到矛盾不上交、平安不出事、服务不缺位，推动符合条件的村（社区）、企业、单位比例逐步上升。力争每年打造5个市级示范点、20个县级示范点，以先进典型带动各创建主体落实各项工作措施。</w:t>
      </w:r>
    </w:p>
    <w:tbl>
      <w:tblPr>
        <w:tblStyle w:val="18"/>
        <w:tblpPr w:leftFromText="180" w:rightFromText="180" w:vertAnchor="text" w:horzAnchor="page" w:tblpX="1925" w:tblpY="195"/>
        <w:tblOverlap w:val="never"/>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14:paraId="54FE6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vAlign w:val="top"/>
          </w:tcPr>
          <w:p w14:paraId="17B453BA">
            <w:pPr>
              <w:jc w:val="both"/>
              <w:rPr>
                <w:rFonts w:ascii="Times New Roman" w:hAnsi="Times New Roman" w:eastAsia="楷体_GB2312" w:cs="Times New Roman"/>
                <w:sz w:val="28"/>
                <w:szCs w:val="28"/>
              </w:rPr>
            </w:pPr>
            <w:r>
              <w:rPr>
                <w:rFonts w:hint="eastAsia" w:ascii="Times New Roman" w:hAnsi="Times New Roman" w:eastAsia="黑体" w:cs="Times New Roman"/>
                <w:sz w:val="28"/>
                <w:szCs w:val="28"/>
              </w:rPr>
              <w:t>专栏14：“三零”单位创建工程</w:t>
            </w:r>
          </w:p>
        </w:tc>
      </w:tr>
      <w:tr w14:paraId="41581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vAlign w:val="top"/>
          </w:tcPr>
          <w:p w14:paraId="088A600B">
            <w:pPr>
              <w:spacing w:beforeLines="50" w:line="360" w:lineRule="exact"/>
              <w:ind w:firstLine="422" w:firstLineChars="200"/>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“零上访”单位创建工程。</w:t>
            </w:r>
            <w:r>
              <w:rPr>
                <w:rFonts w:hint="eastAsia" w:ascii="方正小标宋简体" w:hAnsi="方正小标宋简体" w:eastAsia="方正小标宋简体" w:cs="方正小标宋简体"/>
                <w:szCs w:val="21"/>
              </w:rPr>
              <w:t>深入开展重复信访、越级上访、集体上访、非接待场所涉访问题专项治理，努力实现减存量、控增量、防变量。建立义务信访代理制度，打造“群众张嘴、干部跑腿”新型信访通道。巩固和发展网上信访主渠道。严格落实诉访分离制度，健全信访矛盾多元共治机制，整合诉讼服务、仲裁受理、投诉办理、调解调处、法律援助等各方资源力量，推行联合接访模式。</w:t>
            </w:r>
          </w:p>
          <w:p w14:paraId="6FB2F651">
            <w:pPr>
              <w:spacing w:line="360" w:lineRule="exact"/>
              <w:ind w:firstLine="422" w:firstLineChars="200"/>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“零事故”单位创建工程。</w:t>
            </w:r>
            <w:r>
              <w:rPr>
                <w:rFonts w:hint="eastAsia" w:ascii="方正小标宋简体" w:hAnsi="方正小标宋简体" w:eastAsia="方正小标宋简体" w:cs="方正小标宋简体"/>
                <w:szCs w:val="21"/>
              </w:rPr>
              <w:t>压实安全生产党政领导责任、部门监管责任和创建单位主体责任，落实全员责任制、全过程安全责任追溯等制度。全面推进企业分类监管，建立健全本质安全平分类监管制度。严格安全监管执法，持续开展重点行业领域专项整治攻坚行动，全面提升安全生产水平。织密安全生产防控体系，强化双重预防机制建设，形成超前预防、超前治理的格局。</w:t>
            </w:r>
          </w:p>
          <w:p w14:paraId="79D30CF2">
            <w:pPr>
              <w:pStyle w:val="8"/>
              <w:spacing w:afterLines="50" w:line="360" w:lineRule="exact"/>
              <w:ind w:left="0" w:leftChars="0" w:firstLine="422" w:firstLineChars="200"/>
              <w:jc w:val="both"/>
              <w:rPr>
                <w:rFonts w:ascii="Times New Roman" w:hAnsi="Times New Roman" w:cs="Times New Roman"/>
              </w:rPr>
            </w:pPr>
            <w:r>
              <w:rPr>
                <w:rFonts w:hint="eastAsia" w:ascii="方正小标宋简体" w:hAnsi="方正小标宋简体" w:eastAsia="方正小标宋简体" w:cs="方正小标宋简体"/>
                <w:b/>
                <w:szCs w:val="21"/>
              </w:rPr>
              <w:t>“零案件”单位创建工程。</w:t>
            </w:r>
            <w:r>
              <w:rPr>
                <w:rFonts w:hint="eastAsia" w:ascii="方正小标宋简体" w:hAnsi="方正小标宋简体" w:eastAsia="方正小标宋简体" w:cs="方正小标宋简体"/>
                <w:szCs w:val="21"/>
              </w:rPr>
              <w:t>深入推进落实以打促防、打防结合、管防一体、服务为上的预防和打击犯罪新机制。强化街面巡逻防控，实行棋盘式布警、网格化巡逻，切实提高响应速度和处置效率。深入实施城乡社区警务战略，健全城区“一区一警两辅”和农村“一村一辅警”机制，组建专班，加强治保会、巡防员、信息员、网格员、楼巷长等群防群治力量建设。组织指导辖区财政供养的基层服务员和非财政供养的社会团体进网格、入单元，参与群防群治。继续完善联排、联控、联处机制，推行组（社区）、村（居委会）、镇（街道）、市四级调处，深化诉调、检调、公调、政调“五调对接”工作机制，推进基层自治、法制、德治“三治融合”，严防“民转刑”案件和个人极端案件的发生。</w:t>
            </w:r>
          </w:p>
        </w:tc>
      </w:tr>
    </w:tbl>
    <w:p w14:paraId="1F105354">
      <w:pPr>
        <w:pStyle w:val="17"/>
        <w:spacing w:beforeLines="50"/>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构建共建共治共享社会治理新格局。</w:t>
      </w:r>
      <w:r>
        <w:rPr>
          <w:rFonts w:ascii="Times New Roman" w:hAnsi="Times New Roman" w:eastAsia="仿宋_GB2312"/>
          <w:sz w:val="32"/>
          <w:szCs w:val="32"/>
        </w:rPr>
        <w:t>积极推广社会治理“五四”工作机制、“123456”矛盾纠纷多元化解机制、</w:t>
      </w:r>
      <w:r>
        <w:rPr>
          <w:rFonts w:hint="eastAsia" w:ascii="仿宋" w:hAnsi="仿宋" w:eastAsia="仿宋" w:cs="仿宋"/>
          <w:sz w:val="32"/>
          <w:szCs w:val="32"/>
        </w:rPr>
        <w:t>“4433”心理服务机制、</w:t>
      </w:r>
      <w:r>
        <w:rPr>
          <w:rFonts w:ascii="Times New Roman" w:hAnsi="Times New Roman" w:eastAsia="仿宋_GB2312"/>
          <w:sz w:val="32"/>
          <w:szCs w:val="32"/>
        </w:rPr>
        <w:t>“全科网格”管理等办法，建设具有凝聚力、向心力与归属感的新兴社区，构建社会生活共同体。依托市社会治理综合服务中心，高标准实施“雪亮工程”二期建设项目，构建信息化社会治安防控体系。全面梳理基层网格，推进点线网全面融合，构建“全科网格”“全要素网格”，推动基层基础建设水平得到提升。建立社区人群信息、公共设施、服务事项、服务团体清单，推进线下服务向线上服务延伸，实现网格服务精细化。加强信息化建设，充分运用“两微一网一端”</w:t>
      </w:r>
      <w:r>
        <w:rPr>
          <w:rFonts w:ascii="Times New Roman" w:hAnsi="Times New Roman" w:eastAsia="楷体_GB2312"/>
          <w:sz w:val="32"/>
          <w:szCs w:val="32"/>
        </w:rPr>
        <w:t>（微博、微信、官方网站、官方APP客户端）</w:t>
      </w:r>
      <w:r>
        <w:rPr>
          <w:rFonts w:ascii="Times New Roman" w:hAnsi="Times New Roman" w:eastAsia="仿宋_GB2312"/>
          <w:sz w:val="32"/>
          <w:szCs w:val="32"/>
        </w:rPr>
        <w:t>，探索“社会微治理”模式。</w:t>
      </w:r>
    </w:p>
    <w:p w14:paraId="3F7CA6F4">
      <w:pPr>
        <w:ind w:firstLine="643"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健全“三治融合”基层治理体系。</w:t>
      </w:r>
      <w:r>
        <w:rPr>
          <w:rFonts w:ascii="Times New Roman" w:hAnsi="Times New Roman" w:eastAsia="仿宋_GB2312" w:cs="Times New Roman"/>
          <w:kern w:val="0"/>
          <w:sz w:val="32"/>
          <w:szCs w:val="32"/>
        </w:rPr>
        <w:t>推进基层自治、法治、德治相融合发展，努力构建基层社会善治体系。健全基层群众自治制度，加强基层群众自治组织规范化建设。深化村民自治实践，完善和拓展“四议两公开”制度，形成民事民议、民事民办、民事民管的多层次基层协商格局。畅通和规范市场主体、新社会阶层、社会工作者和志愿者参与社会治理的途径，全面提升社区自治能力。加强社会治理领域法治建设，把解决群体性事件等纳入法治化轨道。完善社会、学校、家庭“三位一体”德育网络。</w:t>
      </w:r>
    </w:p>
    <w:p w14:paraId="62699AE1">
      <w:pPr>
        <w:pStyle w:val="15"/>
        <w:widowControl w:val="0"/>
        <w:spacing w:before="0" w:beforeAutospacing="0" w:after="0" w:afterAutospacing="0"/>
        <w:ind w:firstLine="643" w:firstLineChars="200"/>
        <w:jc w:val="both"/>
        <w:rPr>
          <w:rFonts w:ascii="Times New Roman" w:hAnsi="Times New Roman" w:eastAsia="仿宋_GB2312" w:cs="Times New Roman"/>
          <w:kern w:val="2"/>
          <w:sz w:val="32"/>
          <w:szCs w:val="32"/>
        </w:rPr>
      </w:pPr>
      <w:bookmarkStart w:id="156" w:name="_Toc67564176"/>
      <w:bookmarkStart w:id="157" w:name="_Toc22231"/>
      <w:bookmarkStart w:id="158" w:name="_Toc57711679"/>
      <w:bookmarkStart w:id="159" w:name="_Toc22089"/>
      <w:r>
        <w:rPr>
          <w:rFonts w:hint="eastAsia" w:ascii="Times New Roman" w:hAnsi="Times New Roman" w:eastAsia="仿宋_GB2312" w:cs="Times New Roman"/>
          <w:b/>
          <w:bCs/>
          <w:sz w:val="32"/>
          <w:szCs w:val="32"/>
          <w:lang w:bidi="en-US"/>
        </w:rPr>
        <w:t>加强风险防范和应急管理</w:t>
      </w:r>
      <w:bookmarkEnd w:id="156"/>
      <w:bookmarkEnd w:id="157"/>
      <w:r>
        <w:rPr>
          <w:rFonts w:hint="eastAsia" w:ascii="Times New Roman" w:hAnsi="Times New Roman" w:eastAsia="仿宋_GB2312" w:cs="Times New Roman"/>
          <w:b/>
          <w:bCs/>
          <w:sz w:val="32"/>
          <w:szCs w:val="32"/>
          <w:lang w:bidi="en-US"/>
        </w:rPr>
        <w:t>。</w:t>
      </w:r>
      <w:bookmarkEnd w:id="158"/>
      <w:bookmarkEnd w:id="159"/>
      <w:bookmarkStart w:id="160" w:name="_Toc8180"/>
      <w:r>
        <w:rPr>
          <w:rFonts w:ascii="Times New Roman" w:hAnsi="Times New Roman" w:eastAsia="仿宋_GB2312" w:cs="Times New Roman"/>
          <w:sz w:val="32"/>
          <w:szCs w:val="32"/>
        </w:rPr>
        <w:t>全面贯彻总体国家安全观，增强忧患意识、风险意识，强化底线思维，提高风险预知预警预判能力</w:t>
      </w:r>
      <w:bookmarkEnd w:id="160"/>
      <w:r>
        <w:rPr>
          <w:rFonts w:ascii="Times New Roman" w:hAnsi="Times New Roman" w:eastAsia="仿宋_GB2312" w:cs="Times New Roman"/>
          <w:sz w:val="32"/>
          <w:szCs w:val="32"/>
        </w:rPr>
        <w:t>，实现精确预测、精细预警、精准预防。落实国家粮食安全、能源安全、金融安全、生物安全、食品药品安全战略等要求，加强安全风险预警、防控机制和能力建设，做好防范化解重大风险工作。建立健全与国防安全相适应、与经济社会发展相协调、与突发事件应急机制相衔接的国防动员体系，进一步提高应急应战的整体动员能力。</w:t>
      </w:r>
      <w:r>
        <w:rPr>
          <w:rFonts w:ascii="Times New Roman" w:hAnsi="Times New Roman" w:eastAsia="仿宋_GB2312" w:cs="Times New Roman"/>
          <w:kern w:val="2"/>
          <w:sz w:val="32"/>
          <w:szCs w:val="32"/>
        </w:rPr>
        <w:t>创新发展新时代“枫桥经验”，高标准规划建设三级社会矛盾纠纷调处中心，健全完善矛盾纠纷多元化解机制，努力实现矛盾纠纷化解“只跑一地、只进一门、只访一次”，探索市域社会治理现代化试点改革路径。落实“控新治旧”要求，健全完善信访工作机制，加强和改进信访维稳工作。建立健全风险研判、评估和防控机制，加强社会稳定风险评估，强化预测预警预防，有效提高社会治理活动的预见性和实效性。</w:t>
      </w:r>
    </w:p>
    <w:p w14:paraId="4F26E46D">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加强应急管理体系和能力建设。</w:t>
      </w:r>
      <w:r>
        <w:rPr>
          <w:rFonts w:ascii="Times New Roman" w:hAnsi="Times New Roman" w:eastAsia="仿宋_GB2312" w:cs="Times New Roman"/>
          <w:sz w:val="32"/>
          <w:szCs w:val="32"/>
        </w:rPr>
        <w:t>构建统一指挥、专常兼备、反应灵敏、上下联动的应急管理体制，确保应急预案实现全区域、全灾种、全行业、全层级、全过程覆盖。强化各类应急救援队伍的统一指挥协调，加大应急管理和防灾减灾投入，完善统一的应急物资储备体系和采购供应体系。加强应急管理综合行政执法队伍建设，提高监管执法和抢险救援专业化装备水平。统筹推进综合防灾减灾救灾。强化安全责任制考核结果运用，</w:t>
      </w:r>
      <w:r>
        <w:rPr>
          <w:rFonts w:hint="eastAsia" w:ascii="Times New Roman" w:hAnsi="Times New Roman" w:eastAsia="仿宋_GB2312" w:cs="Times New Roman"/>
          <w:sz w:val="32"/>
          <w:szCs w:val="32"/>
        </w:rPr>
        <w:t>加强</w:t>
      </w:r>
      <w:r>
        <w:rPr>
          <w:rFonts w:ascii="Times New Roman" w:hAnsi="Times New Roman" w:eastAsia="仿宋_GB2312" w:cs="Times New Roman"/>
          <w:sz w:val="32"/>
          <w:szCs w:val="32"/>
        </w:rPr>
        <w:t>森林防灭火</w:t>
      </w:r>
      <w:r>
        <w:rPr>
          <w:rFonts w:hint="eastAsia" w:ascii="Times New Roman" w:hAnsi="Times New Roman" w:eastAsia="仿宋_GB2312" w:cs="Times New Roman"/>
          <w:sz w:val="32"/>
          <w:szCs w:val="32"/>
        </w:rPr>
        <w:t>工作，</w:t>
      </w:r>
      <w:r>
        <w:rPr>
          <w:rFonts w:ascii="Times New Roman" w:hAnsi="Times New Roman" w:eastAsia="仿宋_GB2312" w:cs="Times New Roman"/>
          <w:sz w:val="32"/>
          <w:szCs w:val="32"/>
        </w:rPr>
        <w:t>严格落实安全生产“一票否决”。加快应急平台系统建设，提高指挥系统的先进性、智能化。加强消防、气象、地震工作，推动乡村多种形式的消防队伍建设。</w:t>
      </w:r>
    </w:p>
    <w:p w14:paraId="4DB501A4">
      <w:pPr>
        <w:pStyle w:val="15"/>
        <w:widowControl w:val="0"/>
        <w:spacing w:before="0" w:beforeAutospacing="0" w:after="0" w:afterAutospacing="0"/>
        <w:ind w:firstLine="640" w:firstLineChars="200"/>
        <w:jc w:val="both"/>
        <w:rPr>
          <w:rFonts w:ascii="Times New Roman" w:hAnsi="Times New Roman" w:eastAsia="仿宋_GB2312" w:cs="Times New Roman"/>
          <w:kern w:val="2"/>
          <w:sz w:val="32"/>
          <w:szCs w:val="32"/>
        </w:rPr>
      </w:pPr>
    </w:p>
    <w:p w14:paraId="2D117CD0">
      <w:pPr>
        <w:jc w:val="both"/>
        <w:rPr>
          <w:rFonts w:ascii="Times New Roman" w:hAnsi="Times New Roman" w:cs="Times New Roman"/>
        </w:rPr>
      </w:pPr>
      <w:r>
        <w:rPr>
          <w:rFonts w:ascii="Times New Roman" w:hAnsi="Times New Roman" w:cs="Times New Roman"/>
        </w:rPr>
        <w:br w:type="page"/>
      </w:r>
    </w:p>
    <w:bookmarkEnd w:id="154"/>
    <w:p w14:paraId="200FC6B1">
      <w:pPr>
        <w:spacing w:beforeLines="100" w:afterLines="100"/>
        <w:jc w:val="center"/>
        <w:outlineLvl w:val="0"/>
        <w:rPr>
          <w:rFonts w:ascii="Times New Roman" w:hAnsi="Times New Roman" w:eastAsia="黑体" w:cs="Times New Roman"/>
          <w:kern w:val="0"/>
          <w:sz w:val="32"/>
          <w:szCs w:val="32"/>
          <w:lang w:bidi="en-US"/>
        </w:rPr>
      </w:pPr>
      <w:bookmarkStart w:id="161" w:name="_Toc67564177"/>
      <w:bookmarkStart w:id="162" w:name="_Toc815"/>
      <w:bookmarkStart w:id="163" w:name="_Toc26632"/>
      <w:bookmarkStart w:id="164" w:name="_Toc68253276"/>
      <w:r>
        <w:rPr>
          <w:rFonts w:ascii="Times New Roman" w:hAnsi="Times New Roman" w:eastAsia="黑体" w:cs="Times New Roman"/>
          <w:kern w:val="0"/>
          <w:sz w:val="32"/>
          <w:szCs w:val="32"/>
          <w:lang w:bidi="en-US"/>
        </w:rPr>
        <w:t xml:space="preserve">第十章  </w:t>
      </w:r>
      <w:r>
        <w:rPr>
          <w:rFonts w:hint="eastAsia" w:ascii="Times New Roman" w:hAnsi="Times New Roman" w:eastAsia="黑体" w:cs="Times New Roman"/>
          <w:kern w:val="0"/>
          <w:sz w:val="32"/>
          <w:szCs w:val="32"/>
          <w:lang w:bidi="en-US"/>
        </w:rPr>
        <w:t>全面加强党的建设</w:t>
      </w:r>
      <w:r>
        <w:rPr>
          <w:rFonts w:ascii="Times New Roman" w:hAnsi="Times New Roman" w:eastAsia="黑体" w:cs="Times New Roman"/>
          <w:kern w:val="0"/>
          <w:sz w:val="32"/>
          <w:szCs w:val="32"/>
          <w:lang w:bidi="en-US"/>
        </w:rPr>
        <w:t>，筑牢高质量转型发展根本保证</w:t>
      </w:r>
      <w:bookmarkEnd w:id="161"/>
      <w:bookmarkEnd w:id="162"/>
      <w:bookmarkEnd w:id="163"/>
      <w:bookmarkEnd w:id="164"/>
    </w:p>
    <w:p w14:paraId="2C52F31B">
      <w:pPr>
        <w:pStyle w:val="15"/>
        <w:widowControl w:val="0"/>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实现“十四五”规划和二〇三五年远景目标，必须坚持党的全面领导，把党总揽全局、协调各方的根本要求贯彻到各项工作中，深化做好经济工作的“五个根本”规律性认识，提高贯彻新发展理念、构建新发展格局的能力水平，在新的起点上凝聚形成推动转型发展的强大合力。</w:t>
      </w:r>
      <w:bookmarkStart w:id="165" w:name="_Toc450318019"/>
    </w:p>
    <w:p w14:paraId="30A75CA3">
      <w:pPr>
        <w:spacing w:beforeLines="50" w:afterLines="50"/>
        <w:jc w:val="center"/>
        <w:outlineLvl w:val="1"/>
        <w:rPr>
          <w:rFonts w:ascii="Times New Roman" w:hAnsi="Times New Roman" w:eastAsia="楷体_GB2312" w:cs="Times New Roman"/>
          <w:kern w:val="0"/>
          <w:sz w:val="32"/>
          <w:szCs w:val="32"/>
          <w:lang w:bidi="en-US"/>
        </w:rPr>
      </w:pPr>
      <w:bookmarkStart w:id="166" w:name="_Toc67564178"/>
      <w:bookmarkStart w:id="167" w:name="_Toc68253277"/>
      <w:bookmarkStart w:id="168" w:name="_Toc16700"/>
      <w:bookmarkStart w:id="169" w:name="_Toc486"/>
      <w:bookmarkStart w:id="170" w:name="_Toc21307"/>
      <w:r>
        <w:rPr>
          <w:rFonts w:ascii="Times New Roman" w:hAnsi="Times New Roman" w:eastAsia="楷体_GB2312" w:cs="Times New Roman"/>
          <w:kern w:val="0"/>
          <w:sz w:val="32"/>
          <w:szCs w:val="32"/>
          <w:lang w:bidi="en-US"/>
        </w:rPr>
        <w:t>第一节</w:t>
      </w:r>
      <w:bookmarkEnd w:id="166"/>
      <w:r>
        <w:rPr>
          <w:rFonts w:hint="eastAsia" w:ascii="Times New Roman" w:hAnsi="Times New Roman" w:eastAsia="楷体_GB2312" w:cs="Times New Roman"/>
          <w:kern w:val="0"/>
          <w:sz w:val="32"/>
          <w:szCs w:val="32"/>
          <w:lang w:bidi="en-US"/>
        </w:rPr>
        <w:t xml:space="preserve">  加强党的政治建设</w:t>
      </w:r>
      <w:bookmarkEnd w:id="167"/>
    </w:p>
    <w:p w14:paraId="3CE66AFA">
      <w:pPr>
        <w:ind w:firstLine="640" w:firstLineChars="200"/>
        <w:jc w:val="both"/>
        <w:rPr>
          <w:rFonts w:ascii="Times New Roman" w:hAnsi="Times New Roman" w:eastAsia="仿宋_GB2312" w:cs="Times New Roman"/>
          <w:kern w:val="0"/>
          <w:sz w:val="32"/>
          <w:szCs w:val="32"/>
          <w:lang w:bidi="en-US"/>
        </w:rPr>
      </w:pPr>
      <w:r>
        <w:rPr>
          <w:rFonts w:hint="eastAsia" w:ascii="Times New Roman" w:hAnsi="Times New Roman" w:eastAsia="仿宋_GB2312" w:cs="Times New Roman"/>
          <w:kern w:val="0"/>
          <w:sz w:val="32"/>
          <w:szCs w:val="32"/>
          <w:lang w:bidi="en-US"/>
        </w:rPr>
        <w:t>坚持把党的政治建设摆在首位，持续深入学习习近平新时代中国特色社会主义思想，不断增强政治判断力、政治领悟力、政治执行力。坚持不懈推动“不忘初心、牢记使命”主题教育常态化长效化，深入开展党史学习教育和中国共产党成立100周年系列庆祝活动，引导全市党员干部增强“四个意识”、坚定“四个自信”、做到“两个维护”，始终在思想上、政治上、行动上同以习近平同志为核心的党中央保持高度一致。</w:t>
      </w:r>
      <w:r>
        <w:rPr>
          <w:rFonts w:ascii="Times New Roman" w:hAnsi="Times New Roman" w:eastAsia="仿宋_GB2312" w:cs="Times New Roman"/>
          <w:kern w:val="0"/>
          <w:sz w:val="32"/>
          <w:szCs w:val="32"/>
          <w:lang w:bidi="en-US"/>
        </w:rPr>
        <w:t>持续巩固深化“不忘初心、牢记使命”主题教育成果，教育引导广大党员干部坚定共产主义远大理想和中国特色社会主义共同理想，坚守“两袖清风、事业有成”的价值追求，把对初心使命的坚守转化为开拓创新、锐意进取的精气神和埋头苦干、真抓实干的原动力。健全完善党组织、党员和领导干部联系服务群众长效机制。</w:t>
      </w:r>
    </w:p>
    <w:p w14:paraId="1B3BC1E2">
      <w:pPr>
        <w:spacing w:beforeLines="50" w:afterLines="50"/>
        <w:jc w:val="center"/>
        <w:outlineLvl w:val="1"/>
        <w:rPr>
          <w:rFonts w:ascii="Times New Roman" w:hAnsi="Times New Roman" w:eastAsia="楷体_GB2312" w:cs="Times New Roman"/>
          <w:kern w:val="0"/>
          <w:sz w:val="32"/>
          <w:szCs w:val="32"/>
          <w:lang w:bidi="en-US"/>
        </w:rPr>
      </w:pPr>
      <w:bookmarkStart w:id="171" w:name="_Toc68253278"/>
      <w:bookmarkStart w:id="172" w:name="_Toc67564179"/>
      <w:r>
        <w:rPr>
          <w:rFonts w:ascii="Times New Roman" w:hAnsi="Times New Roman" w:eastAsia="楷体_GB2312" w:cs="Times New Roman"/>
          <w:kern w:val="0"/>
          <w:sz w:val="32"/>
          <w:szCs w:val="32"/>
          <w:lang w:bidi="en-US"/>
        </w:rPr>
        <w:t>第二节</w:t>
      </w:r>
      <w:r>
        <w:rPr>
          <w:rFonts w:hint="eastAsia" w:ascii="Times New Roman" w:hAnsi="Times New Roman" w:eastAsia="楷体_GB2312" w:cs="Times New Roman"/>
          <w:kern w:val="0"/>
          <w:sz w:val="32"/>
          <w:szCs w:val="32"/>
          <w:lang w:bidi="en-US"/>
        </w:rPr>
        <w:t xml:space="preserve">  加强基层组织建设</w:t>
      </w:r>
      <w:bookmarkEnd w:id="171"/>
    </w:p>
    <w:p w14:paraId="6AB4D700">
      <w:pPr>
        <w:ind w:firstLine="640" w:firstLineChars="200"/>
        <w:jc w:val="both"/>
        <w:rPr>
          <w:rFonts w:ascii="Times New Roman" w:hAnsi="Times New Roman" w:eastAsia="仿宋_GB2312" w:cs="Times New Roman"/>
          <w:kern w:val="0"/>
          <w:sz w:val="32"/>
          <w:szCs w:val="32"/>
          <w:lang w:bidi="en-US"/>
        </w:rPr>
      </w:pPr>
      <w:r>
        <w:rPr>
          <w:rFonts w:hint="eastAsia" w:ascii="Times New Roman" w:hAnsi="Times New Roman" w:eastAsia="仿宋_GB2312" w:cs="Times New Roman"/>
          <w:kern w:val="0"/>
          <w:sz w:val="32"/>
          <w:szCs w:val="32"/>
          <w:lang w:bidi="en-US"/>
        </w:rPr>
        <w:t>坚持以政治建设为统领，以组织力提升为关键，统筹抓好农村、城市、非公和社会组织等各领域基层组织建设，全力做好农村“两委”换届，推进基层党建工作全面进步、全面过硬。扎实推进“整乡推进、整县提升”行动计划和非公“三整一提升”（整园建强、整楼推进、整线突破、全面提升）专项行动，壮大农村集体经济，创建党建示范县。提高发展党员质量，加强党员教育管理，严肃党内政治生活，加强党性锤炼，引导广大党员做到“一句誓言、一生做答”。</w:t>
      </w:r>
    </w:p>
    <w:bookmarkEnd w:id="165"/>
    <w:bookmarkEnd w:id="168"/>
    <w:bookmarkEnd w:id="169"/>
    <w:bookmarkEnd w:id="170"/>
    <w:bookmarkEnd w:id="172"/>
    <w:p w14:paraId="677C2B51">
      <w:pPr>
        <w:spacing w:beforeLines="50" w:afterLines="50"/>
        <w:jc w:val="center"/>
        <w:outlineLvl w:val="1"/>
        <w:rPr>
          <w:rFonts w:ascii="Times New Roman" w:hAnsi="Times New Roman" w:eastAsia="楷体_GB2312" w:cs="Times New Roman"/>
          <w:kern w:val="0"/>
          <w:sz w:val="32"/>
          <w:szCs w:val="32"/>
          <w:lang w:bidi="en-US"/>
        </w:rPr>
      </w:pPr>
      <w:bookmarkStart w:id="173" w:name="_Toc68253279"/>
      <w:bookmarkStart w:id="174" w:name="_Toc23713"/>
      <w:r>
        <w:rPr>
          <w:rFonts w:hint="eastAsia" w:ascii="Times New Roman" w:hAnsi="Times New Roman" w:eastAsia="楷体_GB2312" w:cs="Times New Roman"/>
          <w:kern w:val="0"/>
          <w:sz w:val="32"/>
          <w:szCs w:val="32"/>
          <w:lang w:bidi="en-US"/>
        </w:rPr>
        <w:t>第三节  加强干部队伍建设</w:t>
      </w:r>
      <w:bookmarkEnd w:id="173"/>
    </w:p>
    <w:p w14:paraId="31374AC8">
      <w:pPr>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建立常态化培养选拔机制，树立实干用人导向，推动形成年轻干部到基层锻炼、在基层成长、从基层选拔的良性循环。深化改革干部考核工作，营造“以结果论英雄”的浓厚氛围。</w:t>
      </w:r>
      <w:r>
        <w:rPr>
          <w:rFonts w:ascii="Times New Roman" w:hAnsi="Times New Roman" w:eastAsia="仿宋_GB2312" w:cs="Times New Roman"/>
          <w:sz w:val="32"/>
          <w:szCs w:val="32"/>
        </w:rPr>
        <w:t>抓好优秀年轻干部的选拔、培养和使用，提高各级领导干部驾驭新时代经济建设的能力和专业化水平，推动广大党员干部干在实处、走在前列、挺立潮头、争创一流。</w:t>
      </w:r>
      <w:r>
        <w:rPr>
          <w:rFonts w:hint="eastAsia" w:ascii="Times New Roman" w:hAnsi="Times New Roman" w:eastAsia="仿宋_GB2312" w:cs="Times New Roman"/>
          <w:sz w:val="32"/>
          <w:szCs w:val="32"/>
        </w:rPr>
        <w:t>健全干部从严管理和激励保护机制，最大限度调动干部积极性、主动性、创造性。建立健全干部容错机制，认真落实“三个区分开来”要求，为改革者负责、为担当者担当、为实干者撑腰，激发干部干事创业激情。建立干部交流轮岗机制，强化干部多岗位历练，增强干部适应时代发展的能力，努力建设一支忠诚干净担当的高素质专业化干部队伍。</w:t>
      </w:r>
    </w:p>
    <w:p w14:paraId="696A25EC">
      <w:pPr>
        <w:spacing w:beforeLines="50" w:afterLines="50"/>
        <w:jc w:val="both"/>
        <w:outlineLvl w:val="1"/>
        <w:rPr>
          <w:rFonts w:ascii="Times New Roman" w:hAnsi="Times New Roman" w:eastAsia="楷体_GB2312" w:cs="Times New Roman"/>
          <w:kern w:val="0"/>
          <w:sz w:val="32"/>
          <w:szCs w:val="32"/>
          <w:lang w:bidi="en-US"/>
        </w:rPr>
      </w:pPr>
      <w:bookmarkStart w:id="175" w:name="_Toc68253280"/>
      <w:r>
        <w:rPr>
          <w:rFonts w:hint="eastAsia" w:ascii="Times New Roman" w:hAnsi="Times New Roman" w:eastAsia="楷体_GB2312" w:cs="Times New Roman"/>
          <w:kern w:val="0"/>
          <w:sz w:val="32"/>
          <w:szCs w:val="32"/>
          <w:lang w:bidi="en-US"/>
        </w:rPr>
        <w:t>第四节  加强党风廉政建设</w:t>
      </w:r>
      <w:bookmarkEnd w:id="175"/>
    </w:p>
    <w:p w14:paraId="39689157">
      <w:pPr>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健全全面从严治党</w:t>
      </w:r>
      <w:r>
        <w:rPr>
          <w:rFonts w:hint="eastAsia" w:ascii="Times New Roman" w:hAnsi="Times New Roman" w:eastAsia="仿宋_GB2312" w:cs="Times New Roman"/>
          <w:sz w:val="32"/>
          <w:szCs w:val="32"/>
          <w:lang w:eastAsia="zh-CN"/>
        </w:rPr>
        <w:t>主体</w:t>
      </w:r>
      <w:r>
        <w:rPr>
          <w:rFonts w:ascii="Times New Roman" w:hAnsi="Times New Roman" w:eastAsia="仿宋_GB2312" w:cs="Times New Roman"/>
          <w:sz w:val="32"/>
          <w:szCs w:val="32"/>
        </w:rPr>
        <w:t>责任制度，强化党委（党组）主体责任、党委书记第一责任人和纪检监察机关监督责任，把真管真严、敢管敢严、长管长严贯穿于管党治党全过程。强化政治监督，深化政治巡察，严明党的政治纪律和政治规矩，确保党中央重大决策部署及省、运城市重大工作举措落实落地。</w:t>
      </w:r>
      <w:r>
        <w:rPr>
          <w:rFonts w:hint="eastAsia" w:ascii="Times New Roman" w:hAnsi="Times New Roman" w:eastAsia="仿宋_GB2312" w:cs="Times New Roman"/>
          <w:sz w:val="32"/>
          <w:szCs w:val="32"/>
        </w:rPr>
        <w:t>坚持“严”的主基调不动摇，压实各级党组织全面从严治党的政治责任，一体推进“三不”机制，真正做到真管真严、敢管敢严、长管长严。认真践行运用“四种形态”，抓早、抓小、抓苗头，防微杜渐，切实维护纪律的权威性和严肃性。加大对违反中央八项规定精神的查处力度，坚决防止“四风”反弹。紧盯群众身边腐败问题，加大对违纪违法案件的查处力度，始终保持正风肃纪反腐高压态势。做好巡视整改后半篇文章，进一步发挥巡察利剑作用，五年内实现巡察对象全覆盖，切实以反腐实际成效取信于民。</w:t>
      </w:r>
    </w:p>
    <w:p w14:paraId="71F4DBA5">
      <w:pPr>
        <w:spacing w:beforeLines="50" w:afterLines="50"/>
        <w:jc w:val="center"/>
        <w:outlineLvl w:val="1"/>
        <w:rPr>
          <w:rFonts w:ascii="Times New Roman" w:hAnsi="Times New Roman" w:eastAsia="楷体_GB2312" w:cs="Times New Roman"/>
          <w:kern w:val="0"/>
          <w:sz w:val="32"/>
          <w:szCs w:val="32"/>
          <w:lang w:bidi="en-US"/>
        </w:rPr>
      </w:pPr>
      <w:bookmarkStart w:id="176" w:name="_Toc68253281"/>
      <w:r>
        <w:rPr>
          <w:rFonts w:hint="eastAsia" w:ascii="Times New Roman" w:hAnsi="Times New Roman" w:eastAsia="楷体_GB2312" w:cs="Times New Roman"/>
          <w:kern w:val="0"/>
          <w:sz w:val="32"/>
          <w:szCs w:val="32"/>
          <w:lang w:bidi="en-US"/>
        </w:rPr>
        <w:t>第五节  加强民主政治建设</w:t>
      </w:r>
      <w:bookmarkEnd w:id="176"/>
    </w:p>
    <w:p w14:paraId="6E3EAAA0">
      <w:pPr>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坚持总揽全局、协调各方，推动人大、政府、政协依照法律和章程独立负责、协调一致地开展工作。</w:t>
      </w:r>
      <w:r>
        <w:rPr>
          <w:rFonts w:ascii="Times New Roman" w:hAnsi="Times New Roman" w:eastAsia="仿宋_GB2312" w:cs="Times New Roman"/>
          <w:sz w:val="32"/>
          <w:szCs w:val="32"/>
        </w:rPr>
        <w:t>坚持和完善人民代表大会制度，健全人大对“一府一委两院”的监督制度。深化预算审查监督重点拓展改革，加强人大及其常委会自身建设，更好服务大局和中心工作。加强和改进新时代人民政协工作，完善专门协商机构制度，健全发扬民主和增进团结相互贯通、建言资政和凝聚共识双向发力的程序机制。</w:t>
      </w:r>
      <w:r>
        <w:rPr>
          <w:rFonts w:hint="eastAsia" w:ascii="Times New Roman" w:hAnsi="Times New Roman" w:eastAsia="仿宋_GB2312" w:cs="Times New Roman"/>
          <w:sz w:val="32"/>
          <w:szCs w:val="32"/>
        </w:rPr>
        <w:t>强化政治引领，切实抓好党管武装、老干部和“工青妇”工作，进一步凝聚发展合力。认真做好宣传思想工作，自觉承担起举旗帜、聚民心、育新人、兴文化、展形象的使命任务。</w:t>
      </w:r>
      <w:r>
        <w:rPr>
          <w:rFonts w:ascii="Times New Roman" w:hAnsi="Times New Roman" w:eastAsia="仿宋_GB2312" w:cs="Times New Roman"/>
          <w:sz w:val="32"/>
          <w:szCs w:val="32"/>
        </w:rPr>
        <w:t>坚持党委统一领导、统战部门牵头协调、有关方面各负其责的大统战工作格局，支持民主党派、工商联和无党派人士履行职能，推动民族团结进步创建工作，提高宗教工作法治化水平，加强新</w:t>
      </w:r>
      <w:r>
        <w:rPr>
          <w:rFonts w:hint="eastAsia" w:ascii="Times New Roman" w:hAnsi="Times New Roman" w:eastAsia="仿宋_GB2312" w:cs="Times New Roman"/>
          <w:sz w:val="32"/>
          <w:szCs w:val="32"/>
        </w:rPr>
        <w:t>时代</w:t>
      </w:r>
      <w:r>
        <w:rPr>
          <w:rFonts w:ascii="Times New Roman" w:hAnsi="Times New Roman" w:eastAsia="仿宋_GB2312" w:cs="Times New Roman"/>
          <w:sz w:val="32"/>
          <w:szCs w:val="32"/>
        </w:rPr>
        <w:t>下党外知识分子和新的</w:t>
      </w:r>
      <w:r>
        <w:rPr>
          <w:rFonts w:hint="eastAsia" w:ascii="Times New Roman" w:hAnsi="Times New Roman" w:eastAsia="仿宋_GB2312" w:cs="Times New Roman"/>
          <w:sz w:val="32"/>
          <w:szCs w:val="32"/>
        </w:rPr>
        <w:t>社会</w:t>
      </w:r>
      <w:r>
        <w:rPr>
          <w:rFonts w:ascii="Times New Roman" w:hAnsi="Times New Roman" w:eastAsia="仿宋_GB2312" w:cs="Times New Roman"/>
          <w:sz w:val="32"/>
          <w:szCs w:val="32"/>
        </w:rPr>
        <w:t>阶层人士</w:t>
      </w:r>
      <w:r>
        <w:rPr>
          <w:rFonts w:hint="eastAsia" w:ascii="Times New Roman" w:hAnsi="Times New Roman" w:eastAsia="仿宋_GB2312" w:cs="Times New Roman"/>
          <w:sz w:val="32"/>
          <w:szCs w:val="32"/>
        </w:rPr>
        <w:t>统战</w:t>
      </w:r>
      <w:r>
        <w:rPr>
          <w:rFonts w:ascii="Times New Roman" w:hAnsi="Times New Roman" w:eastAsia="仿宋_GB2312" w:cs="Times New Roman"/>
          <w:sz w:val="32"/>
          <w:szCs w:val="32"/>
        </w:rPr>
        <w:t>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加强工会、共青团、妇联等群团组织建设</w:t>
      </w:r>
      <w:r>
        <w:rPr>
          <w:rFonts w:hint="eastAsia" w:ascii="Times New Roman" w:hAnsi="Times New Roman" w:eastAsia="仿宋_GB2312" w:cs="Times New Roman"/>
          <w:sz w:val="32"/>
          <w:szCs w:val="32"/>
        </w:rPr>
        <w:t>，最大限度地凝聚和调动一切有利于永济发展的积极因素，形成万众一心、共谋发展的良好局面。</w:t>
      </w:r>
    </w:p>
    <w:bookmarkEnd w:id="174"/>
    <w:p w14:paraId="53D544C1">
      <w:pPr>
        <w:spacing w:beforeLines="50" w:afterLines="50"/>
        <w:jc w:val="center"/>
        <w:outlineLvl w:val="1"/>
        <w:rPr>
          <w:rFonts w:ascii="Times New Roman" w:hAnsi="Times New Roman" w:eastAsia="楷体_GB2312" w:cs="Times New Roman"/>
          <w:kern w:val="0"/>
          <w:sz w:val="32"/>
          <w:szCs w:val="32"/>
          <w:lang w:bidi="en-US"/>
        </w:rPr>
      </w:pPr>
      <w:bookmarkStart w:id="177" w:name="_Toc28729"/>
      <w:bookmarkStart w:id="178" w:name="_Toc30637"/>
      <w:bookmarkStart w:id="179" w:name="_Toc1190"/>
      <w:bookmarkStart w:id="180" w:name="_Toc68253282"/>
      <w:bookmarkStart w:id="181" w:name="_Toc67564181"/>
      <w:r>
        <w:rPr>
          <w:rFonts w:ascii="Times New Roman" w:hAnsi="Times New Roman" w:eastAsia="楷体_GB2312" w:cs="Times New Roman"/>
          <w:kern w:val="0"/>
          <w:sz w:val="32"/>
          <w:szCs w:val="32"/>
          <w:lang w:bidi="en-US"/>
        </w:rPr>
        <w:t>第</w:t>
      </w:r>
      <w:r>
        <w:rPr>
          <w:rFonts w:hint="eastAsia" w:ascii="Times New Roman" w:hAnsi="Times New Roman" w:eastAsia="楷体_GB2312" w:cs="Times New Roman"/>
          <w:kern w:val="0"/>
          <w:sz w:val="32"/>
          <w:szCs w:val="32"/>
          <w:lang w:bidi="en-US"/>
        </w:rPr>
        <w:t>六</w:t>
      </w:r>
      <w:r>
        <w:rPr>
          <w:rFonts w:ascii="Times New Roman" w:hAnsi="Times New Roman" w:eastAsia="楷体_GB2312" w:cs="Times New Roman"/>
          <w:kern w:val="0"/>
          <w:sz w:val="32"/>
          <w:szCs w:val="32"/>
          <w:lang w:bidi="en-US"/>
        </w:rPr>
        <w:t>节  健全规划实施机制</w:t>
      </w:r>
      <w:bookmarkEnd w:id="177"/>
      <w:bookmarkEnd w:id="178"/>
      <w:bookmarkEnd w:id="179"/>
      <w:bookmarkEnd w:id="180"/>
      <w:bookmarkEnd w:id="181"/>
    </w:p>
    <w:p w14:paraId="59524AF0">
      <w:pPr>
        <w:pStyle w:val="15"/>
        <w:widowControl w:val="0"/>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加强统一领导、协调各方，调控引导社会资源，合理配置公共资源，有效引导社会预期，形成推进规划实施的强大合力。建立以国民经济和社会发展总体规划为统领，以国土空间规划为基础，以专项规划为支撑，共同组成定位准确、边界清晰、功能互补、统一衔接的规划体系。市直有关部门同步编制一批重点专项规划，明确目标任务，谋划实施项目，保证《纲要》确定的战略重点落到实处。建立健全规划落实的监督考核评估机制，细化分解规划《纲要》确定的发展目标、主要目标和战略任务，明确牵头单位和工作责任。加强各类规划统一管理，跟踪监测规划实施进程。开展规划实施的中期评估和总结评估，鼓励开展第三方评估。完善规划实施监督考核机制，将规划实施情况纳入考核评价体系。</w:t>
      </w:r>
    </w:p>
    <w:p w14:paraId="00439E6D">
      <w:pPr>
        <w:pStyle w:val="15"/>
        <w:widowControl w:val="0"/>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奋力蹚出一条永济特色转型发展新路，是进入新发展阶段永济面临的一场新的伟大革命，是“十四五”时期全市人民为之奋斗的宏伟目标。我们要更加紧密地团结在以习近平同志为核心的党中央周围，始终牢记习近平总书记的教诲和嘱托，在省委、运城市委坚强领导下，坚定转型信念，保持战略定力，齐心协力、奋发有为，攻坚克难、敢于胜利，乘势而上奋力书写永济践行新时代中国特色社会主义新篇章！</w:t>
      </w:r>
    </w:p>
    <w:p w14:paraId="49B332E1">
      <w:pPr>
        <w:jc w:val="both"/>
        <w:rPr>
          <w:rFonts w:ascii="Times New Roman" w:hAnsi="Times New Roman" w:eastAsia="仿宋_GB2312" w:cs="Times New Roman"/>
          <w:sz w:val="32"/>
          <w:szCs w:val="32"/>
        </w:rPr>
      </w:pPr>
    </w:p>
    <w:p w14:paraId="0AD1DE33">
      <w:pPr>
        <w:jc w:val="both"/>
        <w:rPr>
          <w:rFonts w:ascii="Times New Roman" w:hAnsi="Times New Roman" w:eastAsia="仿宋_GB2312" w:cs="Times New Roman"/>
          <w:sz w:val="32"/>
          <w:szCs w:val="32"/>
        </w:rPr>
      </w:pPr>
    </w:p>
    <w:p w14:paraId="35CD4728">
      <w:pPr>
        <w:jc w:val="both"/>
        <w:rPr>
          <w:rFonts w:ascii="Times New Roman" w:hAnsi="Times New Roman" w:eastAsia="仿宋_GB2312" w:cs="Times New Roman"/>
          <w:sz w:val="32"/>
          <w:szCs w:val="32"/>
        </w:rPr>
      </w:pPr>
    </w:p>
    <w:p w14:paraId="0BBAC7B9">
      <w:pPr>
        <w:jc w:val="both"/>
        <w:rPr>
          <w:rFonts w:ascii="Times New Roman" w:hAnsi="Times New Roman" w:eastAsia="仿宋_GB2312" w:cs="Times New Roman"/>
          <w:sz w:val="32"/>
          <w:szCs w:val="32"/>
        </w:rPr>
      </w:pPr>
    </w:p>
    <w:p w14:paraId="515C9EE9">
      <w:pPr>
        <w:jc w:val="both"/>
        <w:rPr>
          <w:rFonts w:ascii="Times New Roman" w:hAnsi="Times New Roman" w:eastAsia="仿宋_GB2312" w:cs="Times New Roman"/>
          <w:sz w:val="32"/>
          <w:szCs w:val="32"/>
        </w:rPr>
      </w:pPr>
    </w:p>
    <w:p w14:paraId="4919BB17">
      <w:pPr>
        <w:jc w:val="both"/>
        <w:rPr>
          <w:rFonts w:ascii="Times New Roman" w:hAnsi="Times New Roman" w:eastAsia="仿宋_GB2312" w:cs="Times New Roman"/>
          <w:sz w:val="32"/>
          <w:szCs w:val="32"/>
        </w:rPr>
      </w:pPr>
    </w:p>
    <w:p w14:paraId="78ABEB44">
      <w:pPr>
        <w:jc w:val="both"/>
        <w:rPr>
          <w:rFonts w:ascii="Times New Roman" w:hAnsi="Times New Roman" w:eastAsia="仿宋_GB2312" w:cs="Times New Roman"/>
          <w:sz w:val="32"/>
          <w:szCs w:val="32"/>
        </w:rPr>
      </w:pPr>
    </w:p>
    <w:p w14:paraId="06F4E04D">
      <w:pPr>
        <w:jc w:val="both"/>
        <w:rPr>
          <w:rFonts w:ascii="Times New Roman" w:hAnsi="Times New Roman" w:eastAsia="仿宋_GB2312" w:cs="Times New Roman"/>
          <w:sz w:val="32"/>
          <w:szCs w:val="32"/>
        </w:rPr>
      </w:pPr>
    </w:p>
    <w:p w14:paraId="399FFFC6">
      <w:pPr>
        <w:jc w:val="both"/>
        <w:rPr>
          <w:rFonts w:ascii="Times New Roman" w:hAnsi="Times New Roman" w:eastAsia="仿宋_GB2312" w:cs="Times New Roman"/>
          <w:sz w:val="32"/>
          <w:szCs w:val="32"/>
        </w:rPr>
      </w:pPr>
    </w:p>
    <w:p w14:paraId="6A1EB5E9">
      <w:pPr>
        <w:jc w:val="both"/>
        <w:rPr>
          <w:rFonts w:ascii="Times New Roman" w:hAnsi="Times New Roman" w:eastAsia="仿宋_GB2312" w:cs="Times New Roman"/>
          <w:sz w:val="32"/>
          <w:szCs w:val="32"/>
        </w:rPr>
      </w:pPr>
    </w:p>
    <w:p w14:paraId="298DAE8D">
      <w:pPr>
        <w:jc w:val="both"/>
        <w:rPr>
          <w:rFonts w:ascii="Times New Roman" w:hAnsi="Times New Roman" w:eastAsia="仿宋_GB2312" w:cs="Times New Roman"/>
          <w:sz w:val="32"/>
          <w:szCs w:val="32"/>
        </w:rPr>
      </w:pPr>
    </w:p>
    <w:p w14:paraId="0B2439AB">
      <w:pPr>
        <w:jc w:val="both"/>
        <w:rPr>
          <w:rFonts w:ascii="Times New Roman" w:hAnsi="Times New Roman" w:eastAsia="仿宋_GB2312" w:cs="Times New Roman"/>
          <w:sz w:val="32"/>
          <w:szCs w:val="32"/>
        </w:rPr>
      </w:pPr>
    </w:p>
    <w:p w14:paraId="6B86A5DF">
      <w:pPr>
        <w:jc w:val="both"/>
        <w:rPr>
          <w:rFonts w:ascii="Times New Roman" w:hAnsi="Times New Roman" w:eastAsia="仿宋_GB2312" w:cs="Times New Roman"/>
          <w:sz w:val="32"/>
          <w:szCs w:val="32"/>
        </w:rPr>
      </w:pPr>
    </w:p>
    <w:p w14:paraId="23929892">
      <w:pPr>
        <w:jc w:val="both"/>
        <w:rPr>
          <w:rFonts w:ascii="Times New Roman" w:hAnsi="Times New Roman" w:eastAsia="仿宋_GB2312" w:cs="Times New Roman"/>
          <w:sz w:val="32"/>
          <w:szCs w:val="32"/>
        </w:rPr>
      </w:pPr>
    </w:p>
    <w:p w14:paraId="44B1EAFA">
      <w:pPr>
        <w:jc w:val="both"/>
        <w:rPr>
          <w:rFonts w:ascii="Times New Roman" w:hAnsi="Times New Roman" w:eastAsia="仿宋_GB2312" w:cs="Times New Roman"/>
          <w:sz w:val="32"/>
          <w:szCs w:val="32"/>
        </w:rPr>
      </w:pPr>
    </w:p>
    <w:p w14:paraId="75A7F339">
      <w:pPr>
        <w:jc w:val="both"/>
        <w:rPr>
          <w:rFonts w:ascii="Times New Roman" w:hAnsi="Times New Roman" w:eastAsia="仿宋_GB2312" w:cs="Times New Roman"/>
          <w:sz w:val="32"/>
          <w:szCs w:val="32"/>
        </w:rPr>
      </w:pPr>
    </w:p>
    <w:p w14:paraId="4FC447BE">
      <w:pPr>
        <w:jc w:val="both"/>
        <w:rPr>
          <w:rFonts w:ascii="Times New Roman" w:hAnsi="Times New Roman" w:eastAsia="仿宋_GB2312" w:cs="Times New Roman"/>
          <w:sz w:val="32"/>
          <w:szCs w:val="32"/>
        </w:rPr>
      </w:pPr>
    </w:p>
    <w:p w14:paraId="1A5C896E">
      <w:pPr>
        <w:jc w:val="both"/>
        <w:rPr>
          <w:rFonts w:ascii="Times New Roman" w:hAnsi="Times New Roman" w:eastAsia="仿宋_GB2312" w:cs="Times New Roman"/>
          <w:sz w:val="32"/>
          <w:szCs w:val="32"/>
        </w:rPr>
      </w:pPr>
    </w:p>
    <w:p w14:paraId="5F1CF04E">
      <w:pPr>
        <w:jc w:val="both"/>
        <w:rPr>
          <w:rFonts w:ascii="Times New Roman" w:hAnsi="Times New Roman" w:eastAsia="仿宋_GB2312" w:cs="Times New Roman"/>
          <w:sz w:val="32"/>
          <w:szCs w:val="32"/>
        </w:rPr>
      </w:pPr>
    </w:p>
    <w:p w14:paraId="4DA886B8">
      <w:pPr>
        <w:jc w:val="both"/>
        <w:rPr>
          <w:rFonts w:ascii="Times New Roman" w:hAnsi="Times New Roman" w:eastAsia="仿宋_GB2312" w:cs="Times New Roman"/>
          <w:sz w:val="32"/>
          <w:szCs w:val="32"/>
        </w:rPr>
      </w:pPr>
    </w:p>
    <w:p w14:paraId="068AFB8B">
      <w:pPr>
        <w:jc w:val="both"/>
        <w:rPr>
          <w:rFonts w:ascii="Times New Roman" w:hAnsi="Times New Roman" w:eastAsia="仿宋_GB2312" w:cs="Times New Roman"/>
          <w:sz w:val="32"/>
          <w:szCs w:val="32"/>
        </w:rPr>
      </w:pPr>
    </w:p>
    <w:p w14:paraId="08A93CD1">
      <w:pPr>
        <w:jc w:val="both"/>
        <w:rPr>
          <w:rFonts w:ascii="Times New Roman" w:hAnsi="Times New Roman" w:eastAsia="仿宋_GB2312" w:cs="Times New Roman"/>
          <w:sz w:val="32"/>
          <w:szCs w:val="32"/>
        </w:rPr>
      </w:pPr>
    </w:p>
    <w:p w14:paraId="5E5130B1">
      <w:pPr>
        <w:jc w:val="both"/>
        <w:rPr>
          <w:rFonts w:ascii="Times New Roman" w:hAnsi="Times New Roman" w:eastAsia="仿宋_GB2312" w:cs="Times New Roman"/>
          <w:sz w:val="32"/>
          <w:szCs w:val="32"/>
        </w:rPr>
      </w:pPr>
    </w:p>
    <w:p w14:paraId="7C8A91F2">
      <w:pPr>
        <w:jc w:val="both"/>
        <w:rPr>
          <w:rFonts w:ascii="Times New Roman" w:hAnsi="Times New Roman" w:eastAsia="仿宋_GB2312" w:cs="Times New Roman"/>
          <w:sz w:val="32"/>
          <w:szCs w:val="32"/>
        </w:rPr>
      </w:pPr>
    </w:p>
    <w:p w14:paraId="16A726C3">
      <w:pPr>
        <w:jc w:val="both"/>
        <w:rPr>
          <w:rFonts w:ascii="Times New Roman" w:hAnsi="Times New Roman" w:eastAsia="仿宋_GB2312" w:cs="Times New Roman"/>
          <w:sz w:val="32"/>
          <w:szCs w:val="32"/>
        </w:rPr>
      </w:pPr>
    </w:p>
    <w:tbl>
      <w:tblPr>
        <w:tblStyle w:val="19"/>
        <w:tblW w:w="8674"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674"/>
      </w:tblGrid>
      <w:tr w14:paraId="07D9E08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0" w:hRule="atLeast"/>
          <w:jc w:val="center"/>
        </w:trPr>
        <w:tc>
          <w:tcPr>
            <w:tcW w:w="8674" w:type="dxa"/>
            <w:tcBorders>
              <w:tl2br w:val="nil"/>
              <w:tr2bl w:val="nil"/>
            </w:tcBorders>
            <w:vAlign w:val="center"/>
          </w:tcPr>
          <w:p w14:paraId="7444B7EC">
            <w:pPr>
              <w:widowControl w:val="0"/>
              <w:wordWrap/>
              <w:adjustRightInd/>
              <w:snapToGrid/>
              <w:spacing w:beforeAutospacing="0" w:after="109" w:afterLines="30" w:afterAutospacing="0" w:line="580" w:lineRule="exact"/>
              <w:ind w:left="-105" w:leftChars="-50" w:right="-105" w:rightChars="-50" w:firstLine="0" w:firstLineChars="0"/>
              <w:jc w:val="both"/>
              <w:textAlignment w:val="auto"/>
              <w:outlineLvl w:val="9"/>
              <w:rPr>
                <w:rFonts w:hint="eastAsia" w:ascii="方正行楷简体" w:hAnsi="方正行楷简体" w:eastAsia="方正行楷简体" w:cs="方正行楷简体"/>
                <w:color w:val="auto"/>
                <w:sz w:val="30"/>
                <w:szCs w:val="30"/>
                <w:lang w:val="en-US" w:eastAsia="zh-CN"/>
              </w:rPr>
            </w:pPr>
            <w:r>
              <w:rPr>
                <w:rFonts w:hint="eastAsia" w:ascii="方正行楷简体" w:hAnsi="方正行楷简体" w:eastAsia="方正行楷简体" w:cs="方正行楷简体"/>
                <w:color w:val="auto"/>
                <w:sz w:val="30"/>
                <w:szCs w:val="30"/>
                <w:lang w:eastAsia="zh-CN"/>
              </w:rPr>
              <w:t>永济市七届人大一次会议秘书处</w:t>
            </w:r>
            <w:r>
              <w:rPr>
                <w:rFonts w:hint="eastAsia" w:ascii="方正行楷简体" w:hAnsi="方正行楷简体" w:eastAsia="方正行楷简体" w:cs="方正行楷简体"/>
                <w:color w:val="auto"/>
                <w:sz w:val="30"/>
                <w:szCs w:val="30"/>
                <w:lang w:val="en-US" w:eastAsia="zh-CN"/>
              </w:rPr>
              <w:t xml:space="preserve">             </w:t>
            </w:r>
            <w:r>
              <w:rPr>
                <w:rFonts w:hint="default" w:ascii="Times New Roman" w:hAnsi="Times New Roman" w:eastAsia="方正行楷简体" w:cs="Times New Roman"/>
                <w:color w:val="auto"/>
                <w:sz w:val="30"/>
                <w:szCs w:val="30"/>
                <w:lang w:val="en-US" w:eastAsia="zh-CN"/>
              </w:rPr>
              <w:t>202</w:t>
            </w:r>
            <w:r>
              <w:rPr>
                <w:rFonts w:hint="eastAsia" w:ascii="Times New Roman" w:hAnsi="Times New Roman" w:eastAsia="方正行楷简体" w:cs="Times New Roman"/>
                <w:color w:val="auto"/>
                <w:sz w:val="30"/>
                <w:szCs w:val="30"/>
                <w:lang w:val="en-US" w:eastAsia="zh-CN"/>
              </w:rPr>
              <w:t>1</w:t>
            </w:r>
            <w:r>
              <w:rPr>
                <w:rFonts w:hint="eastAsia" w:ascii="方正行楷简体" w:hAnsi="方正行楷简体" w:eastAsia="方正行楷简体" w:cs="方正行楷简体"/>
                <w:color w:val="auto"/>
                <w:sz w:val="30"/>
                <w:szCs w:val="30"/>
                <w:lang w:val="en-US" w:eastAsia="zh-CN"/>
              </w:rPr>
              <w:t>年</w:t>
            </w:r>
            <w:r>
              <w:rPr>
                <w:rFonts w:hint="default" w:ascii="Times New Roman" w:hAnsi="Times New Roman" w:eastAsia="方正行楷简体" w:cs="Times New Roman"/>
                <w:color w:val="auto"/>
                <w:sz w:val="30"/>
                <w:szCs w:val="30"/>
                <w:lang w:val="en-US" w:eastAsia="zh-CN"/>
              </w:rPr>
              <w:t>4</w:t>
            </w:r>
            <w:r>
              <w:rPr>
                <w:rFonts w:hint="eastAsia" w:ascii="方正行楷简体" w:hAnsi="方正行楷简体" w:eastAsia="方正行楷简体" w:cs="方正行楷简体"/>
                <w:color w:val="auto"/>
                <w:sz w:val="30"/>
                <w:szCs w:val="30"/>
                <w:lang w:val="en-US" w:eastAsia="zh-CN"/>
              </w:rPr>
              <w:t>月</w:t>
            </w:r>
            <w:r>
              <w:rPr>
                <w:rFonts w:hint="default" w:ascii="Times New Roman" w:hAnsi="Times New Roman" w:eastAsia="方正行楷简体" w:cs="Times New Roman"/>
                <w:color w:val="auto"/>
                <w:sz w:val="30"/>
                <w:szCs w:val="30"/>
                <w:lang w:val="en-US" w:eastAsia="zh-CN"/>
              </w:rPr>
              <w:t>7</w:t>
            </w:r>
            <w:r>
              <w:rPr>
                <w:rFonts w:hint="eastAsia" w:ascii="方正行楷简体" w:hAnsi="方正行楷简体" w:eastAsia="方正行楷简体" w:cs="方正行楷简体"/>
                <w:color w:val="auto"/>
                <w:sz w:val="30"/>
                <w:szCs w:val="30"/>
                <w:lang w:val="en-US" w:eastAsia="zh-CN"/>
              </w:rPr>
              <w:t>日印</w:t>
            </w:r>
          </w:p>
        </w:tc>
      </w:tr>
    </w:tbl>
    <w:p w14:paraId="65E50ED0">
      <w:pPr>
        <w:widowControl w:val="0"/>
        <w:wordWrap/>
        <w:adjustRightInd/>
        <w:snapToGrid/>
        <w:spacing w:line="240" w:lineRule="exact"/>
        <w:ind w:left="0" w:leftChars="0" w:right="0" w:firstLine="0" w:firstLineChars="0"/>
        <w:jc w:val="both"/>
        <w:textAlignment w:val="auto"/>
        <w:outlineLvl w:val="9"/>
        <w:rPr>
          <w:rFonts w:ascii="Times New Roman" w:hAnsi="Times New Roman" w:eastAsia="仿宋_GB2312" w:cs="Times New Roman"/>
          <w:sz w:val="32"/>
          <w:szCs w:val="32"/>
        </w:rPr>
      </w:pPr>
    </w:p>
    <w:sectPr>
      <w:footerReference r:id="rId4" w:type="default"/>
      <w:pgSz w:w="11906" w:h="16838"/>
      <w:pgMar w:top="1984" w:right="1474" w:bottom="1814" w:left="1474" w:header="851" w:footer="992" w:gutter="0"/>
      <w:pgNumType w:start="1"/>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行楷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7924E">
    <w:pPr>
      <w:pStyle w:val="11"/>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8E7F878">
                          <w:pPr>
                            <w:pStyle w:val="11"/>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12zcYNMBAAClAwAADgAAAAAAAAABACAAAAAeAQAA&#10;ZHJzL2Uyb0RvYy54bWxQSwUGAAAAAAYABgBZAQAAYwUAAAAA&#10;">
              <v:fill on="f" focussize="0,0"/>
              <v:stroke on="f"/>
              <v:imagedata o:title=""/>
              <o:lock v:ext="edit" aspectratio="f"/>
              <v:textbox inset="0mm,0mm,0mm,0mm" style="mso-fit-shape-to-text:t;">
                <w:txbxContent>
                  <w:p w14:paraId="58E7F878">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A9A46">
    <w:pPr>
      <w:pStyle w:val="11"/>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Quad Arrow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EB5EA2A">
                          <w:pPr>
                            <w:pStyle w:val="1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Quad Arrow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uWcbTFAQAAowMAAA4AAAAAAAAAAQAgAAAAHgEAAGRycy9lMm9Eb2MueG1s&#10;UEsFBgAAAAAGAAYAWQEAAFUFAAAAAA==&#10;">
              <v:fill on="f" focussize="0,0"/>
              <v:stroke on="f"/>
              <v:imagedata o:title=""/>
              <o:lock v:ext="edit" aspectratio="f"/>
              <v:textbox inset="0mm,0mm,0mm,0mm" style="mso-fit-shape-to-text:t;">
                <w:txbxContent>
                  <w:p w14:paraId="4EB5EA2A">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yODgyNzdkN2MyZDVmNzM0NmYxMTZhZWYwNjljOTcifQ=="/>
  </w:docVars>
  <w:rsids>
    <w:rsidRoot w:val="005C405E"/>
    <w:rsid w:val="0000292E"/>
    <w:rsid w:val="00007442"/>
    <w:rsid w:val="00017C9B"/>
    <w:rsid w:val="0003148B"/>
    <w:rsid w:val="00032B9F"/>
    <w:rsid w:val="000343DF"/>
    <w:rsid w:val="00052F9E"/>
    <w:rsid w:val="000604E9"/>
    <w:rsid w:val="000615F2"/>
    <w:rsid w:val="000627C8"/>
    <w:rsid w:val="00067A28"/>
    <w:rsid w:val="00072B2D"/>
    <w:rsid w:val="00076E2F"/>
    <w:rsid w:val="00085473"/>
    <w:rsid w:val="00087364"/>
    <w:rsid w:val="0009621D"/>
    <w:rsid w:val="00097464"/>
    <w:rsid w:val="000A6A2C"/>
    <w:rsid w:val="000C28BC"/>
    <w:rsid w:val="000C323C"/>
    <w:rsid w:val="000C3526"/>
    <w:rsid w:val="000C39F9"/>
    <w:rsid w:val="000C3F0E"/>
    <w:rsid w:val="000D49BF"/>
    <w:rsid w:val="000D6B1E"/>
    <w:rsid w:val="000E0090"/>
    <w:rsid w:val="000E1399"/>
    <w:rsid w:val="000E170C"/>
    <w:rsid w:val="000E1E02"/>
    <w:rsid w:val="000E47EE"/>
    <w:rsid w:val="000E5DC7"/>
    <w:rsid w:val="000E7A3E"/>
    <w:rsid w:val="000F20C6"/>
    <w:rsid w:val="00101122"/>
    <w:rsid w:val="0010269D"/>
    <w:rsid w:val="001209D6"/>
    <w:rsid w:val="00130D22"/>
    <w:rsid w:val="00130E07"/>
    <w:rsid w:val="00133E95"/>
    <w:rsid w:val="00135D3F"/>
    <w:rsid w:val="0014269B"/>
    <w:rsid w:val="001446A1"/>
    <w:rsid w:val="0015132B"/>
    <w:rsid w:val="001602A1"/>
    <w:rsid w:val="0016207E"/>
    <w:rsid w:val="001808EF"/>
    <w:rsid w:val="001A085E"/>
    <w:rsid w:val="001A582F"/>
    <w:rsid w:val="001A5E74"/>
    <w:rsid w:val="001A7C5A"/>
    <w:rsid w:val="001B31B8"/>
    <w:rsid w:val="001C0986"/>
    <w:rsid w:val="001C6DA9"/>
    <w:rsid w:val="001D2B4B"/>
    <w:rsid w:val="001D7B91"/>
    <w:rsid w:val="001E1226"/>
    <w:rsid w:val="001F01EE"/>
    <w:rsid w:val="001F1DED"/>
    <w:rsid w:val="001F6FCB"/>
    <w:rsid w:val="00204992"/>
    <w:rsid w:val="00216196"/>
    <w:rsid w:val="002167FE"/>
    <w:rsid w:val="00217952"/>
    <w:rsid w:val="002304F6"/>
    <w:rsid w:val="0023586D"/>
    <w:rsid w:val="00244A9C"/>
    <w:rsid w:val="00245E0B"/>
    <w:rsid w:val="00251879"/>
    <w:rsid w:val="00253E67"/>
    <w:rsid w:val="0025541A"/>
    <w:rsid w:val="00260707"/>
    <w:rsid w:val="00262199"/>
    <w:rsid w:val="00262798"/>
    <w:rsid w:val="00264DB4"/>
    <w:rsid w:val="0026624A"/>
    <w:rsid w:val="00266AFD"/>
    <w:rsid w:val="00270F4E"/>
    <w:rsid w:val="00271C08"/>
    <w:rsid w:val="00274AD5"/>
    <w:rsid w:val="00281920"/>
    <w:rsid w:val="00285BB3"/>
    <w:rsid w:val="0029480C"/>
    <w:rsid w:val="002A1E9C"/>
    <w:rsid w:val="002A405B"/>
    <w:rsid w:val="002A7712"/>
    <w:rsid w:val="002C2BCD"/>
    <w:rsid w:val="002C74D7"/>
    <w:rsid w:val="002D29D8"/>
    <w:rsid w:val="002D5600"/>
    <w:rsid w:val="002D6F9F"/>
    <w:rsid w:val="002D7F1C"/>
    <w:rsid w:val="002E7BA6"/>
    <w:rsid w:val="002F3ABE"/>
    <w:rsid w:val="00313939"/>
    <w:rsid w:val="0031700F"/>
    <w:rsid w:val="003337E2"/>
    <w:rsid w:val="00334632"/>
    <w:rsid w:val="00342BD5"/>
    <w:rsid w:val="00354415"/>
    <w:rsid w:val="003569D3"/>
    <w:rsid w:val="0036005D"/>
    <w:rsid w:val="00361DCC"/>
    <w:rsid w:val="00365F3A"/>
    <w:rsid w:val="00366099"/>
    <w:rsid w:val="003671FD"/>
    <w:rsid w:val="00370EEA"/>
    <w:rsid w:val="00371C27"/>
    <w:rsid w:val="00375120"/>
    <w:rsid w:val="00381C39"/>
    <w:rsid w:val="00391168"/>
    <w:rsid w:val="003954AD"/>
    <w:rsid w:val="003A1671"/>
    <w:rsid w:val="003B52D4"/>
    <w:rsid w:val="003B54A0"/>
    <w:rsid w:val="003C0D55"/>
    <w:rsid w:val="003C4391"/>
    <w:rsid w:val="003C737C"/>
    <w:rsid w:val="003C796C"/>
    <w:rsid w:val="003C7D6E"/>
    <w:rsid w:val="003D22F8"/>
    <w:rsid w:val="003E0CFD"/>
    <w:rsid w:val="003E28B6"/>
    <w:rsid w:val="003E2ABC"/>
    <w:rsid w:val="003E31B3"/>
    <w:rsid w:val="003E3F78"/>
    <w:rsid w:val="003E7D69"/>
    <w:rsid w:val="003F5700"/>
    <w:rsid w:val="00403775"/>
    <w:rsid w:val="0041050F"/>
    <w:rsid w:val="004109F2"/>
    <w:rsid w:val="00412193"/>
    <w:rsid w:val="0041699D"/>
    <w:rsid w:val="00424529"/>
    <w:rsid w:val="00450104"/>
    <w:rsid w:val="00451787"/>
    <w:rsid w:val="0046171F"/>
    <w:rsid w:val="00465624"/>
    <w:rsid w:val="004758CB"/>
    <w:rsid w:val="00485866"/>
    <w:rsid w:val="00485AD5"/>
    <w:rsid w:val="00486074"/>
    <w:rsid w:val="004910A3"/>
    <w:rsid w:val="004A0EE9"/>
    <w:rsid w:val="004A584E"/>
    <w:rsid w:val="004B02D3"/>
    <w:rsid w:val="004C11B8"/>
    <w:rsid w:val="004D5657"/>
    <w:rsid w:val="004D5F5A"/>
    <w:rsid w:val="004D5FDD"/>
    <w:rsid w:val="004D7E01"/>
    <w:rsid w:val="004E058E"/>
    <w:rsid w:val="004E3895"/>
    <w:rsid w:val="004E56A2"/>
    <w:rsid w:val="00510315"/>
    <w:rsid w:val="0051708E"/>
    <w:rsid w:val="00524FD6"/>
    <w:rsid w:val="00532749"/>
    <w:rsid w:val="00534458"/>
    <w:rsid w:val="00535923"/>
    <w:rsid w:val="00547051"/>
    <w:rsid w:val="00547F05"/>
    <w:rsid w:val="00550E8E"/>
    <w:rsid w:val="005527D3"/>
    <w:rsid w:val="00565257"/>
    <w:rsid w:val="00565C5C"/>
    <w:rsid w:val="0056746E"/>
    <w:rsid w:val="00570777"/>
    <w:rsid w:val="00573286"/>
    <w:rsid w:val="005852EF"/>
    <w:rsid w:val="00586868"/>
    <w:rsid w:val="00592EB8"/>
    <w:rsid w:val="00594782"/>
    <w:rsid w:val="005C405E"/>
    <w:rsid w:val="005C68C1"/>
    <w:rsid w:val="005D0132"/>
    <w:rsid w:val="005D2A2D"/>
    <w:rsid w:val="005D672C"/>
    <w:rsid w:val="005F064C"/>
    <w:rsid w:val="005F7A6B"/>
    <w:rsid w:val="00605CBC"/>
    <w:rsid w:val="006176A7"/>
    <w:rsid w:val="00624749"/>
    <w:rsid w:val="00624A8E"/>
    <w:rsid w:val="00626B60"/>
    <w:rsid w:val="00632BA8"/>
    <w:rsid w:val="00634D53"/>
    <w:rsid w:val="00637C37"/>
    <w:rsid w:val="00642BCB"/>
    <w:rsid w:val="00643400"/>
    <w:rsid w:val="006466BA"/>
    <w:rsid w:val="0064774C"/>
    <w:rsid w:val="00650F33"/>
    <w:rsid w:val="006522BD"/>
    <w:rsid w:val="00656160"/>
    <w:rsid w:val="00657989"/>
    <w:rsid w:val="00665167"/>
    <w:rsid w:val="00667ED9"/>
    <w:rsid w:val="006702C4"/>
    <w:rsid w:val="00670E5A"/>
    <w:rsid w:val="00672E38"/>
    <w:rsid w:val="00673299"/>
    <w:rsid w:val="00680CDB"/>
    <w:rsid w:val="00685CF3"/>
    <w:rsid w:val="00696ACA"/>
    <w:rsid w:val="006A0608"/>
    <w:rsid w:val="006B01D7"/>
    <w:rsid w:val="006B5F9C"/>
    <w:rsid w:val="006B62D1"/>
    <w:rsid w:val="006B6972"/>
    <w:rsid w:val="006B7403"/>
    <w:rsid w:val="006C329D"/>
    <w:rsid w:val="006C4C82"/>
    <w:rsid w:val="006C562C"/>
    <w:rsid w:val="006D2217"/>
    <w:rsid w:val="006E055C"/>
    <w:rsid w:val="006F07A0"/>
    <w:rsid w:val="006F5281"/>
    <w:rsid w:val="0070016C"/>
    <w:rsid w:val="00701E73"/>
    <w:rsid w:val="00703985"/>
    <w:rsid w:val="00726EB4"/>
    <w:rsid w:val="0072765F"/>
    <w:rsid w:val="0073320F"/>
    <w:rsid w:val="00736EE0"/>
    <w:rsid w:val="007371FB"/>
    <w:rsid w:val="0074087D"/>
    <w:rsid w:val="007413AA"/>
    <w:rsid w:val="00742846"/>
    <w:rsid w:val="00744684"/>
    <w:rsid w:val="00744834"/>
    <w:rsid w:val="007456C7"/>
    <w:rsid w:val="00766AC8"/>
    <w:rsid w:val="00790C81"/>
    <w:rsid w:val="0079709F"/>
    <w:rsid w:val="0079746A"/>
    <w:rsid w:val="007A3F98"/>
    <w:rsid w:val="007B686E"/>
    <w:rsid w:val="007F79C3"/>
    <w:rsid w:val="00804F2C"/>
    <w:rsid w:val="00805CED"/>
    <w:rsid w:val="0082348B"/>
    <w:rsid w:val="008341DE"/>
    <w:rsid w:val="0084152D"/>
    <w:rsid w:val="00843F2D"/>
    <w:rsid w:val="008440C5"/>
    <w:rsid w:val="00852C54"/>
    <w:rsid w:val="00855302"/>
    <w:rsid w:val="00855F6D"/>
    <w:rsid w:val="00857770"/>
    <w:rsid w:val="00861179"/>
    <w:rsid w:val="00870706"/>
    <w:rsid w:val="00872361"/>
    <w:rsid w:val="008768DF"/>
    <w:rsid w:val="008823C6"/>
    <w:rsid w:val="008828E5"/>
    <w:rsid w:val="008849E7"/>
    <w:rsid w:val="00891D7B"/>
    <w:rsid w:val="00891EC8"/>
    <w:rsid w:val="00895865"/>
    <w:rsid w:val="00895DE5"/>
    <w:rsid w:val="008A53C7"/>
    <w:rsid w:val="008C187C"/>
    <w:rsid w:val="008D1471"/>
    <w:rsid w:val="008D7995"/>
    <w:rsid w:val="008E47AB"/>
    <w:rsid w:val="008E5DA4"/>
    <w:rsid w:val="008E6771"/>
    <w:rsid w:val="008F3D34"/>
    <w:rsid w:val="008F6D48"/>
    <w:rsid w:val="009062C9"/>
    <w:rsid w:val="009116DD"/>
    <w:rsid w:val="00914C29"/>
    <w:rsid w:val="00914E9C"/>
    <w:rsid w:val="009201C5"/>
    <w:rsid w:val="0093094D"/>
    <w:rsid w:val="0093188A"/>
    <w:rsid w:val="009341B6"/>
    <w:rsid w:val="00940D8B"/>
    <w:rsid w:val="00941FEA"/>
    <w:rsid w:val="00943A11"/>
    <w:rsid w:val="0094463E"/>
    <w:rsid w:val="00950A5A"/>
    <w:rsid w:val="00953A6E"/>
    <w:rsid w:val="00953F59"/>
    <w:rsid w:val="0096215F"/>
    <w:rsid w:val="009622D9"/>
    <w:rsid w:val="009623FF"/>
    <w:rsid w:val="00964BDD"/>
    <w:rsid w:val="00976291"/>
    <w:rsid w:val="00987FEA"/>
    <w:rsid w:val="009A281C"/>
    <w:rsid w:val="009A3001"/>
    <w:rsid w:val="009A4F65"/>
    <w:rsid w:val="009A6E98"/>
    <w:rsid w:val="009B111D"/>
    <w:rsid w:val="009B286C"/>
    <w:rsid w:val="009C36F9"/>
    <w:rsid w:val="009D56AF"/>
    <w:rsid w:val="009E0022"/>
    <w:rsid w:val="009E6DC5"/>
    <w:rsid w:val="009F1542"/>
    <w:rsid w:val="009F3945"/>
    <w:rsid w:val="00A003A6"/>
    <w:rsid w:val="00A0162C"/>
    <w:rsid w:val="00A1080C"/>
    <w:rsid w:val="00A218F1"/>
    <w:rsid w:val="00A233B9"/>
    <w:rsid w:val="00A32468"/>
    <w:rsid w:val="00A33F6A"/>
    <w:rsid w:val="00A37CBE"/>
    <w:rsid w:val="00A50925"/>
    <w:rsid w:val="00A51189"/>
    <w:rsid w:val="00A55B19"/>
    <w:rsid w:val="00A5634B"/>
    <w:rsid w:val="00A64E30"/>
    <w:rsid w:val="00A67647"/>
    <w:rsid w:val="00A704B3"/>
    <w:rsid w:val="00A71AE2"/>
    <w:rsid w:val="00A73C7E"/>
    <w:rsid w:val="00A84854"/>
    <w:rsid w:val="00A84B63"/>
    <w:rsid w:val="00A931F1"/>
    <w:rsid w:val="00A94D0E"/>
    <w:rsid w:val="00A95195"/>
    <w:rsid w:val="00AA2161"/>
    <w:rsid w:val="00AA6669"/>
    <w:rsid w:val="00AB27F2"/>
    <w:rsid w:val="00AB2BCE"/>
    <w:rsid w:val="00AB6CEA"/>
    <w:rsid w:val="00AC00CA"/>
    <w:rsid w:val="00AC17B9"/>
    <w:rsid w:val="00AC1C6C"/>
    <w:rsid w:val="00AC4954"/>
    <w:rsid w:val="00AC7E83"/>
    <w:rsid w:val="00AD2778"/>
    <w:rsid w:val="00AD3192"/>
    <w:rsid w:val="00AD3C15"/>
    <w:rsid w:val="00AD4057"/>
    <w:rsid w:val="00AE4AFA"/>
    <w:rsid w:val="00AE67B1"/>
    <w:rsid w:val="00AF3272"/>
    <w:rsid w:val="00AF779C"/>
    <w:rsid w:val="00B0326A"/>
    <w:rsid w:val="00B05350"/>
    <w:rsid w:val="00B07CC0"/>
    <w:rsid w:val="00B10641"/>
    <w:rsid w:val="00B1757B"/>
    <w:rsid w:val="00B17887"/>
    <w:rsid w:val="00B2114D"/>
    <w:rsid w:val="00B252DD"/>
    <w:rsid w:val="00B44EEB"/>
    <w:rsid w:val="00B51D79"/>
    <w:rsid w:val="00B52609"/>
    <w:rsid w:val="00B57D6E"/>
    <w:rsid w:val="00B6462D"/>
    <w:rsid w:val="00B75307"/>
    <w:rsid w:val="00B806D5"/>
    <w:rsid w:val="00B84AD1"/>
    <w:rsid w:val="00B96ADE"/>
    <w:rsid w:val="00BA1D74"/>
    <w:rsid w:val="00BA2A23"/>
    <w:rsid w:val="00BC1305"/>
    <w:rsid w:val="00BC55F4"/>
    <w:rsid w:val="00BD0E1A"/>
    <w:rsid w:val="00BD19A8"/>
    <w:rsid w:val="00BD246E"/>
    <w:rsid w:val="00BD44B3"/>
    <w:rsid w:val="00BE26CD"/>
    <w:rsid w:val="00BF3B41"/>
    <w:rsid w:val="00C06258"/>
    <w:rsid w:val="00C13A9B"/>
    <w:rsid w:val="00C21493"/>
    <w:rsid w:val="00C22774"/>
    <w:rsid w:val="00C31285"/>
    <w:rsid w:val="00C33596"/>
    <w:rsid w:val="00C44967"/>
    <w:rsid w:val="00C47AA2"/>
    <w:rsid w:val="00C52C38"/>
    <w:rsid w:val="00C53A52"/>
    <w:rsid w:val="00C54C8D"/>
    <w:rsid w:val="00C5536F"/>
    <w:rsid w:val="00C647DE"/>
    <w:rsid w:val="00C67EF3"/>
    <w:rsid w:val="00C75088"/>
    <w:rsid w:val="00C768BF"/>
    <w:rsid w:val="00C80BF6"/>
    <w:rsid w:val="00C8496C"/>
    <w:rsid w:val="00C856E8"/>
    <w:rsid w:val="00C96176"/>
    <w:rsid w:val="00CA1441"/>
    <w:rsid w:val="00CB737F"/>
    <w:rsid w:val="00CC000B"/>
    <w:rsid w:val="00CE3CF1"/>
    <w:rsid w:val="00CE68C4"/>
    <w:rsid w:val="00D0172F"/>
    <w:rsid w:val="00D053B0"/>
    <w:rsid w:val="00D1591B"/>
    <w:rsid w:val="00D178D0"/>
    <w:rsid w:val="00D17BB2"/>
    <w:rsid w:val="00D2766B"/>
    <w:rsid w:val="00D27D93"/>
    <w:rsid w:val="00D421E6"/>
    <w:rsid w:val="00D51BBF"/>
    <w:rsid w:val="00D569BA"/>
    <w:rsid w:val="00D61585"/>
    <w:rsid w:val="00D6159B"/>
    <w:rsid w:val="00D65946"/>
    <w:rsid w:val="00D679E2"/>
    <w:rsid w:val="00D71528"/>
    <w:rsid w:val="00D761FF"/>
    <w:rsid w:val="00D80497"/>
    <w:rsid w:val="00D93BA3"/>
    <w:rsid w:val="00DA52C6"/>
    <w:rsid w:val="00DB628C"/>
    <w:rsid w:val="00DE3335"/>
    <w:rsid w:val="00DE3ACF"/>
    <w:rsid w:val="00DE40FA"/>
    <w:rsid w:val="00DF03BC"/>
    <w:rsid w:val="00DF5632"/>
    <w:rsid w:val="00E05182"/>
    <w:rsid w:val="00E05F75"/>
    <w:rsid w:val="00E07ED6"/>
    <w:rsid w:val="00E10C20"/>
    <w:rsid w:val="00E133C5"/>
    <w:rsid w:val="00E1791A"/>
    <w:rsid w:val="00E257EB"/>
    <w:rsid w:val="00E3133D"/>
    <w:rsid w:val="00E32E9C"/>
    <w:rsid w:val="00E40745"/>
    <w:rsid w:val="00E440B5"/>
    <w:rsid w:val="00E5095A"/>
    <w:rsid w:val="00E50CE3"/>
    <w:rsid w:val="00E60E5C"/>
    <w:rsid w:val="00E72879"/>
    <w:rsid w:val="00E73C2C"/>
    <w:rsid w:val="00E941D1"/>
    <w:rsid w:val="00EA40A9"/>
    <w:rsid w:val="00EB1963"/>
    <w:rsid w:val="00EB4FFE"/>
    <w:rsid w:val="00EC51D6"/>
    <w:rsid w:val="00ED369D"/>
    <w:rsid w:val="00EE3070"/>
    <w:rsid w:val="00EF1C0B"/>
    <w:rsid w:val="00EF4EBC"/>
    <w:rsid w:val="00EF7348"/>
    <w:rsid w:val="00F02D90"/>
    <w:rsid w:val="00F07C75"/>
    <w:rsid w:val="00F07E07"/>
    <w:rsid w:val="00F31373"/>
    <w:rsid w:val="00F43002"/>
    <w:rsid w:val="00F5231E"/>
    <w:rsid w:val="00F54335"/>
    <w:rsid w:val="00F61A1F"/>
    <w:rsid w:val="00F71721"/>
    <w:rsid w:val="00F719AD"/>
    <w:rsid w:val="00F7507E"/>
    <w:rsid w:val="00F80FAC"/>
    <w:rsid w:val="00F902F9"/>
    <w:rsid w:val="00FA6BFC"/>
    <w:rsid w:val="00FB0ACC"/>
    <w:rsid w:val="00FB5ECD"/>
    <w:rsid w:val="00FB749A"/>
    <w:rsid w:val="00FB7A0A"/>
    <w:rsid w:val="00FC04BD"/>
    <w:rsid w:val="00FC7E22"/>
    <w:rsid w:val="00FD58C5"/>
    <w:rsid w:val="00FF166B"/>
    <w:rsid w:val="00FF4180"/>
    <w:rsid w:val="00FF65F6"/>
    <w:rsid w:val="00FF7C3C"/>
    <w:rsid w:val="010A6637"/>
    <w:rsid w:val="0121553F"/>
    <w:rsid w:val="01274393"/>
    <w:rsid w:val="01557E40"/>
    <w:rsid w:val="0168526C"/>
    <w:rsid w:val="01993166"/>
    <w:rsid w:val="01DF585C"/>
    <w:rsid w:val="022C694A"/>
    <w:rsid w:val="024C1288"/>
    <w:rsid w:val="02893AD8"/>
    <w:rsid w:val="02F016E2"/>
    <w:rsid w:val="02F238B4"/>
    <w:rsid w:val="03120A25"/>
    <w:rsid w:val="03222976"/>
    <w:rsid w:val="03467894"/>
    <w:rsid w:val="03AB5C66"/>
    <w:rsid w:val="03B0781E"/>
    <w:rsid w:val="03FA638B"/>
    <w:rsid w:val="04046ED1"/>
    <w:rsid w:val="042411AE"/>
    <w:rsid w:val="044D3653"/>
    <w:rsid w:val="045E6198"/>
    <w:rsid w:val="04C660F3"/>
    <w:rsid w:val="05050102"/>
    <w:rsid w:val="050B78FE"/>
    <w:rsid w:val="05403A8A"/>
    <w:rsid w:val="05636FB7"/>
    <w:rsid w:val="058B734F"/>
    <w:rsid w:val="05E2356B"/>
    <w:rsid w:val="05F47574"/>
    <w:rsid w:val="06581140"/>
    <w:rsid w:val="065F49A4"/>
    <w:rsid w:val="068C17DB"/>
    <w:rsid w:val="06D71292"/>
    <w:rsid w:val="074109A5"/>
    <w:rsid w:val="077F084F"/>
    <w:rsid w:val="07A961FB"/>
    <w:rsid w:val="07DD2889"/>
    <w:rsid w:val="07E01D61"/>
    <w:rsid w:val="08141A4A"/>
    <w:rsid w:val="086449C3"/>
    <w:rsid w:val="091751E1"/>
    <w:rsid w:val="093355A0"/>
    <w:rsid w:val="09423094"/>
    <w:rsid w:val="09450C60"/>
    <w:rsid w:val="099C66BC"/>
    <w:rsid w:val="09B16B9A"/>
    <w:rsid w:val="09C4033F"/>
    <w:rsid w:val="0A023C39"/>
    <w:rsid w:val="0A3849CA"/>
    <w:rsid w:val="0A4F3E21"/>
    <w:rsid w:val="0A6065E3"/>
    <w:rsid w:val="0AE252CF"/>
    <w:rsid w:val="0B0F3BE8"/>
    <w:rsid w:val="0B2C5836"/>
    <w:rsid w:val="0B427FDD"/>
    <w:rsid w:val="0B6033A5"/>
    <w:rsid w:val="0BA15AE4"/>
    <w:rsid w:val="0BD56720"/>
    <w:rsid w:val="0CB44A0B"/>
    <w:rsid w:val="0CB91A4C"/>
    <w:rsid w:val="0CF853ED"/>
    <w:rsid w:val="0D2B6013"/>
    <w:rsid w:val="0D9C113C"/>
    <w:rsid w:val="0DFB38B7"/>
    <w:rsid w:val="0E0450E8"/>
    <w:rsid w:val="0E4876DF"/>
    <w:rsid w:val="0E8142CF"/>
    <w:rsid w:val="0E9E26FA"/>
    <w:rsid w:val="0EA16DF2"/>
    <w:rsid w:val="0EDD36E7"/>
    <w:rsid w:val="0F424496"/>
    <w:rsid w:val="0F7910BC"/>
    <w:rsid w:val="0F98160E"/>
    <w:rsid w:val="0F985129"/>
    <w:rsid w:val="0FFB5E6A"/>
    <w:rsid w:val="109C32A8"/>
    <w:rsid w:val="10CB4EDF"/>
    <w:rsid w:val="10FC07AC"/>
    <w:rsid w:val="113037E0"/>
    <w:rsid w:val="118220BA"/>
    <w:rsid w:val="119960F8"/>
    <w:rsid w:val="11DD54CA"/>
    <w:rsid w:val="11DF17CB"/>
    <w:rsid w:val="11EA0ABE"/>
    <w:rsid w:val="123A420B"/>
    <w:rsid w:val="126E20D1"/>
    <w:rsid w:val="126F3C06"/>
    <w:rsid w:val="13055516"/>
    <w:rsid w:val="13221AD1"/>
    <w:rsid w:val="134E176E"/>
    <w:rsid w:val="13947B43"/>
    <w:rsid w:val="13E85C57"/>
    <w:rsid w:val="14284562"/>
    <w:rsid w:val="1470066F"/>
    <w:rsid w:val="149B3484"/>
    <w:rsid w:val="14EB2F01"/>
    <w:rsid w:val="15157DE9"/>
    <w:rsid w:val="15452A6A"/>
    <w:rsid w:val="15557E47"/>
    <w:rsid w:val="15DB28A2"/>
    <w:rsid w:val="164F6272"/>
    <w:rsid w:val="16860B46"/>
    <w:rsid w:val="16912762"/>
    <w:rsid w:val="16E12FA0"/>
    <w:rsid w:val="171D0C40"/>
    <w:rsid w:val="173A1865"/>
    <w:rsid w:val="17B83D63"/>
    <w:rsid w:val="17FB0399"/>
    <w:rsid w:val="17FD4001"/>
    <w:rsid w:val="19280C90"/>
    <w:rsid w:val="19591E6C"/>
    <w:rsid w:val="19A74BCE"/>
    <w:rsid w:val="19BF20A3"/>
    <w:rsid w:val="19ED29BF"/>
    <w:rsid w:val="19EE0FD6"/>
    <w:rsid w:val="1A282C70"/>
    <w:rsid w:val="1A4A06DB"/>
    <w:rsid w:val="1A88468D"/>
    <w:rsid w:val="1A941BC8"/>
    <w:rsid w:val="1A9E7CA6"/>
    <w:rsid w:val="1B531791"/>
    <w:rsid w:val="1B7E4AFC"/>
    <w:rsid w:val="1B9C0C1A"/>
    <w:rsid w:val="1BB83DF2"/>
    <w:rsid w:val="1BCD2AFD"/>
    <w:rsid w:val="1C0306C2"/>
    <w:rsid w:val="1C593B00"/>
    <w:rsid w:val="1C684CA1"/>
    <w:rsid w:val="1CAA32C1"/>
    <w:rsid w:val="1D267B01"/>
    <w:rsid w:val="1DB5018D"/>
    <w:rsid w:val="1DBA7F42"/>
    <w:rsid w:val="1DDF5DC6"/>
    <w:rsid w:val="1E1F17C5"/>
    <w:rsid w:val="1E357935"/>
    <w:rsid w:val="1F125EE2"/>
    <w:rsid w:val="1F186F03"/>
    <w:rsid w:val="1FD35C8F"/>
    <w:rsid w:val="20105768"/>
    <w:rsid w:val="20136771"/>
    <w:rsid w:val="201E1C9A"/>
    <w:rsid w:val="206D22D4"/>
    <w:rsid w:val="20CC7043"/>
    <w:rsid w:val="20DD4B67"/>
    <w:rsid w:val="21257D51"/>
    <w:rsid w:val="212878EB"/>
    <w:rsid w:val="213E7D69"/>
    <w:rsid w:val="21636ABC"/>
    <w:rsid w:val="21DA1D13"/>
    <w:rsid w:val="222931E1"/>
    <w:rsid w:val="22925E0F"/>
    <w:rsid w:val="22CB476C"/>
    <w:rsid w:val="22FB1AB1"/>
    <w:rsid w:val="232A4988"/>
    <w:rsid w:val="234A4BE9"/>
    <w:rsid w:val="23E56827"/>
    <w:rsid w:val="24060421"/>
    <w:rsid w:val="24461189"/>
    <w:rsid w:val="248F69E6"/>
    <w:rsid w:val="249C774D"/>
    <w:rsid w:val="24A15B46"/>
    <w:rsid w:val="24A62AF7"/>
    <w:rsid w:val="251907B5"/>
    <w:rsid w:val="263D547A"/>
    <w:rsid w:val="26B363DB"/>
    <w:rsid w:val="26B7377F"/>
    <w:rsid w:val="26D41A8E"/>
    <w:rsid w:val="281F17C5"/>
    <w:rsid w:val="28800173"/>
    <w:rsid w:val="28800186"/>
    <w:rsid w:val="28B40BAA"/>
    <w:rsid w:val="28B814E3"/>
    <w:rsid w:val="28E10630"/>
    <w:rsid w:val="29422F54"/>
    <w:rsid w:val="29427E2F"/>
    <w:rsid w:val="297A1079"/>
    <w:rsid w:val="297B3A81"/>
    <w:rsid w:val="2999333D"/>
    <w:rsid w:val="29A56364"/>
    <w:rsid w:val="29BF4212"/>
    <w:rsid w:val="2A0C54E9"/>
    <w:rsid w:val="2A177F25"/>
    <w:rsid w:val="2A4F1560"/>
    <w:rsid w:val="2A56295D"/>
    <w:rsid w:val="2A6B17D5"/>
    <w:rsid w:val="2AA8721D"/>
    <w:rsid w:val="2B4C5A38"/>
    <w:rsid w:val="2B555810"/>
    <w:rsid w:val="2B7160E7"/>
    <w:rsid w:val="2B8063CB"/>
    <w:rsid w:val="2BEB5CDE"/>
    <w:rsid w:val="2C3E11FE"/>
    <w:rsid w:val="2C4823F2"/>
    <w:rsid w:val="2C53519C"/>
    <w:rsid w:val="2C59663D"/>
    <w:rsid w:val="2CCC713E"/>
    <w:rsid w:val="2CF3014D"/>
    <w:rsid w:val="2D2A0FE2"/>
    <w:rsid w:val="2D456EC7"/>
    <w:rsid w:val="2D5214F3"/>
    <w:rsid w:val="2D527BC0"/>
    <w:rsid w:val="2D6323F2"/>
    <w:rsid w:val="2E375A58"/>
    <w:rsid w:val="2E5633BD"/>
    <w:rsid w:val="2F1E0C7D"/>
    <w:rsid w:val="2F33052C"/>
    <w:rsid w:val="2F6168FB"/>
    <w:rsid w:val="2F992462"/>
    <w:rsid w:val="30416DB0"/>
    <w:rsid w:val="306200F9"/>
    <w:rsid w:val="307770C3"/>
    <w:rsid w:val="308F0EAB"/>
    <w:rsid w:val="30941033"/>
    <w:rsid w:val="30A469A7"/>
    <w:rsid w:val="30A609A3"/>
    <w:rsid w:val="30DE0D1D"/>
    <w:rsid w:val="30DE4C16"/>
    <w:rsid w:val="30E67F15"/>
    <w:rsid w:val="30E77F48"/>
    <w:rsid w:val="31084929"/>
    <w:rsid w:val="312252F1"/>
    <w:rsid w:val="313A2FFA"/>
    <w:rsid w:val="313F24E9"/>
    <w:rsid w:val="314A10A6"/>
    <w:rsid w:val="31592DC6"/>
    <w:rsid w:val="31864561"/>
    <w:rsid w:val="31E426B1"/>
    <w:rsid w:val="322F0EDB"/>
    <w:rsid w:val="324D5880"/>
    <w:rsid w:val="32565582"/>
    <w:rsid w:val="32690F41"/>
    <w:rsid w:val="328C2540"/>
    <w:rsid w:val="32CB7944"/>
    <w:rsid w:val="32F668BF"/>
    <w:rsid w:val="33610EDC"/>
    <w:rsid w:val="33CC360F"/>
    <w:rsid w:val="33FC1D33"/>
    <w:rsid w:val="340E01EB"/>
    <w:rsid w:val="34204736"/>
    <w:rsid w:val="342D157E"/>
    <w:rsid w:val="34634C28"/>
    <w:rsid w:val="347A7C7B"/>
    <w:rsid w:val="34897EA0"/>
    <w:rsid w:val="349B4A7E"/>
    <w:rsid w:val="34B504AC"/>
    <w:rsid w:val="34F05035"/>
    <w:rsid w:val="35080BCB"/>
    <w:rsid w:val="351A6D3F"/>
    <w:rsid w:val="352213DC"/>
    <w:rsid w:val="353E6BAA"/>
    <w:rsid w:val="357064C8"/>
    <w:rsid w:val="35AB0F4D"/>
    <w:rsid w:val="35B25D23"/>
    <w:rsid w:val="35C24E75"/>
    <w:rsid w:val="35DC789C"/>
    <w:rsid w:val="360D0F3A"/>
    <w:rsid w:val="361223E7"/>
    <w:rsid w:val="3619573D"/>
    <w:rsid w:val="362B08D7"/>
    <w:rsid w:val="363C7C62"/>
    <w:rsid w:val="36504325"/>
    <w:rsid w:val="36BC481B"/>
    <w:rsid w:val="36D76536"/>
    <w:rsid w:val="373E27B9"/>
    <w:rsid w:val="37C97058"/>
    <w:rsid w:val="37CB7597"/>
    <w:rsid w:val="37ED6BFE"/>
    <w:rsid w:val="382032AB"/>
    <w:rsid w:val="38237DC2"/>
    <w:rsid w:val="3858477C"/>
    <w:rsid w:val="38A94817"/>
    <w:rsid w:val="38CF3612"/>
    <w:rsid w:val="38E232C3"/>
    <w:rsid w:val="38E621A6"/>
    <w:rsid w:val="38F94F48"/>
    <w:rsid w:val="38FA2CD5"/>
    <w:rsid w:val="39206F1D"/>
    <w:rsid w:val="39736F1C"/>
    <w:rsid w:val="397655C9"/>
    <w:rsid w:val="39CD54B7"/>
    <w:rsid w:val="39D95790"/>
    <w:rsid w:val="39D97E99"/>
    <w:rsid w:val="39F61927"/>
    <w:rsid w:val="3A105CC1"/>
    <w:rsid w:val="3A5C724C"/>
    <w:rsid w:val="3A6B57CE"/>
    <w:rsid w:val="3A6F1208"/>
    <w:rsid w:val="3A8E16B2"/>
    <w:rsid w:val="3B4945F0"/>
    <w:rsid w:val="3B4B3434"/>
    <w:rsid w:val="3B5E5A80"/>
    <w:rsid w:val="3B991DCC"/>
    <w:rsid w:val="3BC829DC"/>
    <w:rsid w:val="3BCC3D63"/>
    <w:rsid w:val="3C6E4D41"/>
    <w:rsid w:val="3C8B50A4"/>
    <w:rsid w:val="3C8C139C"/>
    <w:rsid w:val="3CED08FA"/>
    <w:rsid w:val="3CFF36BB"/>
    <w:rsid w:val="3D91534D"/>
    <w:rsid w:val="3DA206C4"/>
    <w:rsid w:val="3DBB77AD"/>
    <w:rsid w:val="3E013DC1"/>
    <w:rsid w:val="3EA71769"/>
    <w:rsid w:val="3EE71C76"/>
    <w:rsid w:val="3F26076E"/>
    <w:rsid w:val="3F5E71D6"/>
    <w:rsid w:val="3F7E610D"/>
    <w:rsid w:val="3F876734"/>
    <w:rsid w:val="3FFB400E"/>
    <w:rsid w:val="402B209C"/>
    <w:rsid w:val="4037737C"/>
    <w:rsid w:val="403816FE"/>
    <w:rsid w:val="405C13E9"/>
    <w:rsid w:val="40751F6A"/>
    <w:rsid w:val="407C6D83"/>
    <w:rsid w:val="40917591"/>
    <w:rsid w:val="40C82B26"/>
    <w:rsid w:val="416F05C5"/>
    <w:rsid w:val="41A43253"/>
    <w:rsid w:val="41BB65C9"/>
    <w:rsid w:val="4223118B"/>
    <w:rsid w:val="42C65481"/>
    <w:rsid w:val="43321617"/>
    <w:rsid w:val="43350FB5"/>
    <w:rsid w:val="43BB67F1"/>
    <w:rsid w:val="441C576F"/>
    <w:rsid w:val="447721F5"/>
    <w:rsid w:val="447F17AF"/>
    <w:rsid w:val="44824C2D"/>
    <w:rsid w:val="44B83B97"/>
    <w:rsid w:val="44CF761D"/>
    <w:rsid w:val="44E7252E"/>
    <w:rsid w:val="44FF42DA"/>
    <w:rsid w:val="454F7049"/>
    <w:rsid w:val="45727EF7"/>
    <w:rsid w:val="45826574"/>
    <w:rsid w:val="458F508B"/>
    <w:rsid w:val="459C4752"/>
    <w:rsid w:val="45BD3F19"/>
    <w:rsid w:val="46027012"/>
    <w:rsid w:val="461A6E71"/>
    <w:rsid w:val="461F5E61"/>
    <w:rsid w:val="468514AB"/>
    <w:rsid w:val="4692414E"/>
    <w:rsid w:val="46977188"/>
    <w:rsid w:val="46BB478A"/>
    <w:rsid w:val="47236FB3"/>
    <w:rsid w:val="474C7A9E"/>
    <w:rsid w:val="476A6D2B"/>
    <w:rsid w:val="47730E90"/>
    <w:rsid w:val="47B53DAE"/>
    <w:rsid w:val="47BD12FB"/>
    <w:rsid w:val="47F61738"/>
    <w:rsid w:val="48350FDC"/>
    <w:rsid w:val="48396410"/>
    <w:rsid w:val="48791E42"/>
    <w:rsid w:val="48811677"/>
    <w:rsid w:val="488D6EE4"/>
    <w:rsid w:val="48CC3898"/>
    <w:rsid w:val="48D211BA"/>
    <w:rsid w:val="48D21AC8"/>
    <w:rsid w:val="490A7E9B"/>
    <w:rsid w:val="491C6645"/>
    <w:rsid w:val="498E6CF1"/>
    <w:rsid w:val="49B61C22"/>
    <w:rsid w:val="49CE5E64"/>
    <w:rsid w:val="49D408CE"/>
    <w:rsid w:val="4A26194F"/>
    <w:rsid w:val="4A3840A5"/>
    <w:rsid w:val="4A7012B6"/>
    <w:rsid w:val="4A82645F"/>
    <w:rsid w:val="4AB86838"/>
    <w:rsid w:val="4B104AD1"/>
    <w:rsid w:val="4B30179C"/>
    <w:rsid w:val="4B3B09B8"/>
    <w:rsid w:val="4BAF51DA"/>
    <w:rsid w:val="4BB252C9"/>
    <w:rsid w:val="4BB578EA"/>
    <w:rsid w:val="4BCA7ADB"/>
    <w:rsid w:val="4BD23F14"/>
    <w:rsid w:val="4BD81261"/>
    <w:rsid w:val="4C6A5444"/>
    <w:rsid w:val="4C874372"/>
    <w:rsid w:val="4D8C40F6"/>
    <w:rsid w:val="4DDD68DF"/>
    <w:rsid w:val="4E11450B"/>
    <w:rsid w:val="4E89162F"/>
    <w:rsid w:val="4E9D36C0"/>
    <w:rsid w:val="4EF24725"/>
    <w:rsid w:val="4F0902D5"/>
    <w:rsid w:val="4F312AD4"/>
    <w:rsid w:val="4F3A1AB8"/>
    <w:rsid w:val="4F672D01"/>
    <w:rsid w:val="50026C6A"/>
    <w:rsid w:val="501B1D6C"/>
    <w:rsid w:val="50671B33"/>
    <w:rsid w:val="506947F6"/>
    <w:rsid w:val="509D07D8"/>
    <w:rsid w:val="510A5E1F"/>
    <w:rsid w:val="510A78D6"/>
    <w:rsid w:val="512646A7"/>
    <w:rsid w:val="512D6E43"/>
    <w:rsid w:val="51C57D91"/>
    <w:rsid w:val="51CF7860"/>
    <w:rsid w:val="51D64921"/>
    <w:rsid w:val="51EE7590"/>
    <w:rsid w:val="529B52EE"/>
    <w:rsid w:val="529D6D59"/>
    <w:rsid w:val="52DA0A1A"/>
    <w:rsid w:val="535544ED"/>
    <w:rsid w:val="537A26BE"/>
    <w:rsid w:val="539C7FFB"/>
    <w:rsid w:val="53FB1AE5"/>
    <w:rsid w:val="540A2EEF"/>
    <w:rsid w:val="541C1263"/>
    <w:rsid w:val="547122A1"/>
    <w:rsid w:val="548527F6"/>
    <w:rsid w:val="54DE5061"/>
    <w:rsid w:val="54F56110"/>
    <w:rsid w:val="552C63D0"/>
    <w:rsid w:val="555A5F82"/>
    <w:rsid w:val="56464272"/>
    <w:rsid w:val="566E3BA9"/>
    <w:rsid w:val="56867A75"/>
    <w:rsid w:val="56D4070B"/>
    <w:rsid w:val="56D40A6B"/>
    <w:rsid w:val="56F54DB0"/>
    <w:rsid w:val="57031675"/>
    <w:rsid w:val="573D140C"/>
    <w:rsid w:val="573E5AC5"/>
    <w:rsid w:val="57521B48"/>
    <w:rsid w:val="57F6575D"/>
    <w:rsid w:val="582D3B6C"/>
    <w:rsid w:val="586F6637"/>
    <w:rsid w:val="589D18CE"/>
    <w:rsid w:val="58E029CA"/>
    <w:rsid w:val="58FE5703"/>
    <w:rsid w:val="59235E3B"/>
    <w:rsid w:val="596D4DFF"/>
    <w:rsid w:val="599D299F"/>
    <w:rsid w:val="59C9743C"/>
    <w:rsid w:val="59F1317A"/>
    <w:rsid w:val="5A6A7471"/>
    <w:rsid w:val="5AF34F6C"/>
    <w:rsid w:val="5AF47301"/>
    <w:rsid w:val="5B2559FA"/>
    <w:rsid w:val="5B3F3CE0"/>
    <w:rsid w:val="5B764DB1"/>
    <w:rsid w:val="5B8C2F6F"/>
    <w:rsid w:val="5B8F3322"/>
    <w:rsid w:val="5BD130E2"/>
    <w:rsid w:val="5BE6385F"/>
    <w:rsid w:val="5BEF6C0A"/>
    <w:rsid w:val="5C2D4649"/>
    <w:rsid w:val="5C3E0049"/>
    <w:rsid w:val="5C4C5754"/>
    <w:rsid w:val="5CAE0261"/>
    <w:rsid w:val="5CF109D0"/>
    <w:rsid w:val="5D0D28B2"/>
    <w:rsid w:val="5D760089"/>
    <w:rsid w:val="5DAE681E"/>
    <w:rsid w:val="5E0C5EE9"/>
    <w:rsid w:val="5E340AAB"/>
    <w:rsid w:val="5E34193B"/>
    <w:rsid w:val="5E9E3AFC"/>
    <w:rsid w:val="5ED8775D"/>
    <w:rsid w:val="5EEE696A"/>
    <w:rsid w:val="5F0A2FCE"/>
    <w:rsid w:val="5F383902"/>
    <w:rsid w:val="5F5852FA"/>
    <w:rsid w:val="5F5F1769"/>
    <w:rsid w:val="5FB6184D"/>
    <w:rsid w:val="5FF579B1"/>
    <w:rsid w:val="60140FC9"/>
    <w:rsid w:val="605E6C4E"/>
    <w:rsid w:val="60873576"/>
    <w:rsid w:val="60D6615C"/>
    <w:rsid w:val="60E67311"/>
    <w:rsid w:val="60FB76BE"/>
    <w:rsid w:val="6129549B"/>
    <w:rsid w:val="61345698"/>
    <w:rsid w:val="6151037C"/>
    <w:rsid w:val="61CD3FA3"/>
    <w:rsid w:val="61EB20DE"/>
    <w:rsid w:val="6211405C"/>
    <w:rsid w:val="62236A04"/>
    <w:rsid w:val="6271795C"/>
    <w:rsid w:val="627261B9"/>
    <w:rsid w:val="62871FD5"/>
    <w:rsid w:val="629872AB"/>
    <w:rsid w:val="62AB6EEF"/>
    <w:rsid w:val="62D51A1D"/>
    <w:rsid w:val="62E7796F"/>
    <w:rsid w:val="630D0FE7"/>
    <w:rsid w:val="637B4988"/>
    <w:rsid w:val="63B41F64"/>
    <w:rsid w:val="63C45C84"/>
    <w:rsid w:val="63C868B0"/>
    <w:rsid w:val="63FC7708"/>
    <w:rsid w:val="64086DDD"/>
    <w:rsid w:val="642055BC"/>
    <w:rsid w:val="65290CC8"/>
    <w:rsid w:val="652E2E27"/>
    <w:rsid w:val="65765555"/>
    <w:rsid w:val="658214F9"/>
    <w:rsid w:val="66161BA1"/>
    <w:rsid w:val="66703EBC"/>
    <w:rsid w:val="66CC1D57"/>
    <w:rsid w:val="67701E12"/>
    <w:rsid w:val="67BC3C4B"/>
    <w:rsid w:val="67EF2E25"/>
    <w:rsid w:val="684A3185"/>
    <w:rsid w:val="686B4FA7"/>
    <w:rsid w:val="68822E03"/>
    <w:rsid w:val="689C3DC9"/>
    <w:rsid w:val="68B02A2C"/>
    <w:rsid w:val="68BD4EBB"/>
    <w:rsid w:val="692E3570"/>
    <w:rsid w:val="69830C63"/>
    <w:rsid w:val="69996515"/>
    <w:rsid w:val="69CB1DD1"/>
    <w:rsid w:val="6A0721B4"/>
    <w:rsid w:val="6A32002D"/>
    <w:rsid w:val="6ABD2CE3"/>
    <w:rsid w:val="6ACB2459"/>
    <w:rsid w:val="6AE57625"/>
    <w:rsid w:val="6AEF0923"/>
    <w:rsid w:val="6B221D19"/>
    <w:rsid w:val="6B2618A8"/>
    <w:rsid w:val="6B387692"/>
    <w:rsid w:val="6B4C2E35"/>
    <w:rsid w:val="6B5A3FDE"/>
    <w:rsid w:val="6BCF52BC"/>
    <w:rsid w:val="6C5E01B0"/>
    <w:rsid w:val="6CAD115B"/>
    <w:rsid w:val="6D274CEB"/>
    <w:rsid w:val="6D334009"/>
    <w:rsid w:val="6D4C5FCA"/>
    <w:rsid w:val="6D811D93"/>
    <w:rsid w:val="6D97766A"/>
    <w:rsid w:val="6DD72DEA"/>
    <w:rsid w:val="6DF828AD"/>
    <w:rsid w:val="6E103D76"/>
    <w:rsid w:val="6E125050"/>
    <w:rsid w:val="6E4B1094"/>
    <w:rsid w:val="6E513CA0"/>
    <w:rsid w:val="6E5A514C"/>
    <w:rsid w:val="6E757532"/>
    <w:rsid w:val="6E834B81"/>
    <w:rsid w:val="6E8A2527"/>
    <w:rsid w:val="6EA52D21"/>
    <w:rsid w:val="6EB559AC"/>
    <w:rsid w:val="6F9A1C11"/>
    <w:rsid w:val="6FD241DF"/>
    <w:rsid w:val="6FE16082"/>
    <w:rsid w:val="6FF26D4E"/>
    <w:rsid w:val="6FFB01D0"/>
    <w:rsid w:val="703D030D"/>
    <w:rsid w:val="704C7C58"/>
    <w:rsid w:val="70816FEB"/>
    <w:rsid w:val="70856271"/>
    <w:rsid w:val="7092633B"/>
    <w:rsid w:val="70B00770"/>
    <w:rsid w:val="70F40655"/>
    <w:rsid w:val="70F66F47"/>
    <w:rsid w:val="710143E3"/>
    <w:rsid w:val="7148397C"/>
    <w:rsid w:val="718B25C3"/>
    <w:rsid w:val="71BA5594"/>
    <w:rsid w:val="71DD6317"/>
    <w:rsid w:val="721B1A5E"/>
    <w:rsid w:val="72646BB1"/>
    <w:rsid w:val="72BE1D82"/>
    <w:rsid w:val="73317A81"/>
    <w:rsid w:val="73465284"/>
    <w:rsid w:val="73565FFB"/>
    <w:rsid w:val="7385590D"/>
    <w:rsid w:val="74310A31"/>
    <w:rsid w:val="743720CC"/>
    <w:rsid w:val="744A2B05"/>
    <w:rsid w:val="74576830"/>
    <w:rsid w:val="745C1654"/>
    <w:rsid w:val="74641BCA"/>
    <w:rsid w:val="74934192"/>
    <w:rsid w:val="74EA1E4A"/>
    <w:rsid w:val="74F40234"/>
    <w:rsid w:val="74FC1E94"/>
    <w:rsid w:val="751665B7"/>
    <w:rsid w:val="75DA3893"/>
    <w:rsid w:val="7623181E"/>
    <w:rsid w:val="76635824"/>
    <w:rsid w:val="76A059D3"/>
    <w:rsid w:val="76E94666"/>
    <w:rsid w:val="76F30374"/>
    <w:rsid w:val="773A3F8C"/>
    <w:rsid w:val="77F52853"/>
    <w:rsid w:val="7805406E"/>
    <w:rsid w:val="785070D8"/>
    <w:rsid w:val="786E2E7B"/>
    <w:rsid w:val="78830F2E"/>
    <w:rsid w:val="78B61727"/>
    <w:rsid w:val="78C52A73"/>
    <w:rsid w:val="799D48BF"/>
    <w:rsid w:val="79BE6A93"/>
    <w:rsid w:val="79CA45D9"/>
    <w:rsid w:val="7A327D24"/>
    <w:rsid w:val="7A447657"/>
    <w:rsid w:val="7A86197D"/>
    <w:rsid w:val="7A976885"/>
    <w:rsid w:val="7AC250D7"/>
    <w:rsid w:val="7AD00C67"/>
    <w:rsid w:val="7AEB00F1"/>
    <w:rsid w:val="7AF347C7"/>
    <w:rsid w:val="7B092410"/>
    <w:rsid w:val="7B4A637C"/>
    <w:rsid w:val="7B5A0F6F"/>
    <w:rsid w:val="7BAC6FB6"/>
    <w:rsid w:val="7BCD454E"/>
    <w:rsid w:val="7BD12676"/>
    <w:rsid w:val="7C6E4D8B"/>
    <w:rsid w:val="7C9372FD"/>
    <w:rsid w:val="7C9C3CA2"/>
    <w:rsid w:val="7CEE588D"/>
    <w:rsid w:val="7D287169"/>
    <w:rsid w:val="7D565228"/>
    <w:rsid w:val="7D611BB2"/>
    <w:rsid w:val="7D7D3CE5"/>
    <w:rsid w:val="7D807E6C"/>
    <w:rsid w:val="7D9079C5"/>
    <w:rsid w:val="7E012249"/>
    <w:rsid w:val="7E2D3DC9"/>
    <w:rsid w:val="7E826089"/>
    <w:rsid w:val="7E9A7975"/>
    <w:rsid w:val="7ED36888"/>
    <w:rsid w:val="7EED75DD"/>
    <w:rsid w:val="7EFA2B5B"/>
    <w:rsid w:val="7F01427C"/>
    <w:rsid w:val="7F8C11A2"/>
    <w:rsid w:val="7FB5341B"/>
    <w:rsid w:val="7FBE31EB"/>
    <w:rsid w:val="7FC77688"/>
    <w:rsid w:val="7FC94C88"/>
    <w:rsid w:val="7FD11D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9"/>
    <w:pPr>
      <w:widowControl w:val="0"/>
      <w:adjustRightInd/>
      <w:snapToGrid/>
      <w:spacing w:beforeAutospacing="1" w:after="100" w:afterAutospacing="1"/>
      <w:outlineLvl w:val="0"/>
    </w:pPr>
    <w:rPr>
      <w:rFonts w:hint="eastAsia" w:ascii="宋体" w:hAnsi="宋体" w:eastAsia="宋体" w:cs="Times New Roman"/>
      <w:b/>
      <w:kern w:val="44"/>
      <w:sz w:val="48"/>
      <w:szCs w:val="48"/>
    </w:rPr>
  </w:style>
  <w:style w:type="paragraph" w:styleId="3">
    <w:name w:val="heading 2"/>
    <w:basedOn w:val="1"/>
    <w:next w:val="1"/>
    <w:unhideWhenUsed/>
    <w:qFormat/>
    <w:uiPriority w:val="0"/>
    <w:pPr>
      <w:keepNext/>
      <w:ind w:firstLine="640" w:firstLineChars="200"/>
      <w:outlineLvl w:val="1"/>
    </w:pPr>
    <w:rPr>
      <w:rFonts w:hint="eastAsia" w:ascii="仿宋_GB2312" w:hAnsi="宋体" w:eastAsia="仿宋_GB2312"/>
      <w:sz w:val="32"/>
    </w:rPr>
  </w:style>
  <w:style w:type="paragraph" w:styleId="4">
    <w:name w:val="heading 3"/>
    <w:basedOn w:val="1"/>
    <w:next w:val="1"/>
    <w:unhideWhenUsed/>
    <w:qFormat/>
    <w:uiPriority w:val="9"/>
    <w:pPr>
      <w:keepNext/>
      <w:keepLines/>
      <w:spacing w:line="413" w:lineRule="auto"/>
      <w:outlineLvl w:val="2"/>
    </w:pPr>
    <w:rPr>
      <w:b/>
      <w:sz w:val="32"/>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style>
  <w:style w:type="paragraph" w:styleId="6">
    <w:name w:val="Document Map"/>
    <w:basedOn w:val="1"/>
    <w:link w:val="34"/>
    <w:unhideWhenUsed/>
    <w:qFormat/>
    <w:uiPriority w:val="99"/>
    <w:rPr>
      <w:rFonts w:ascii="宋体" w:eastAsia="宋体"/>
      <w:sz w:val="18"/>
      <w:szCs w:val="18"/>
    </w:rPr>
  </w:style>
  <w:style w:type="paragraph" w:styleId="7">
    <w:name w:val="Body Text"/>
    <w:basedOn w:val="1"/>
    <w:next w:val="1"/>
    <w:qFormat/>
    <w:uiPriority w:val="0"/>
    <w:pPr>
      <w:spacing w:after="120"/>
    </w:pPr>
    <w:rPr>
      <w:rFonts w:ascii="Times New Roman" w:hAnsi="Times New Roman" w:cs="Times New Roman"/>
    </w:rPr>
  </w:style>
  <w:style w:type="paragraph" w:styleId="8">
    <w:name w:val="Body Text Indent"/>
    <w:basedOn w:val="1"/>
    <w:next w:val="9"/>
    <w:unhideWhenUsed/>
    <w:qFormat/>
    <w:uiPriority w:val="99"/>
    <w:pPr>
      <w:spacing w:after="120"/>
      <w:ind w:left="420" w:leftChars="200"/>
    </w:pPr>
  </w:style>
  <w:style w:type="paragraph" w:styleId="9">
    <w:name w:val="Body Text First Indent 2"/>
    <w:basedOn w:val="8"/>
    <w:next w:val="1"/>
    <w:unhideWhenUsed/>
    <w:qFormat/>
    <w:uiPriority w:val="99"/>
    <w:pPr>
      <w:ind w:firstLine="420" w:firstLineChars="200"/>
    </w:pPr>
  </w:style>
  <w:style w:type="paragraph" w:styleId="10">
    <w:name w:val="Balloon Text"/>
    <w:basedOn w:val="1"/>
    <w:link w:val="33"/>
    <w:unhideWhenUsed/>
    <w:qFormat/>
    <w:uiPriority w:val="99"/>
    <w:rPr>
      <w:sz w:val="18"/>
      <w:szCs w:val="18"/>
    </w:rPr>
  </w:style>
  <w:style w:type="paragraph" w:styleId="11">
    <w:name w:val="footer"/>
    <w:basedOn w:val="1"/>
    <w:link w:val="31"/>
    <w:unhideWhenUsed/>
    <w:qFormat/>
    <w:uiPriority w:val="99"/>
    <w:pPr>
      <w:tabs>
        <w:tab w:val="center" w:pos="4153"/>
        <w:tab w:val="right" w:pos="8306"/>
      </w:tabs>
      <w:snapToGrid w:val="0"/>
      <w:jc w:val="left"/>
    </w:pPr>
    <w:rPr>
      <w:sz w:val="18"/>
      <w:szCs w:val="18"/>
    </w:rPr>
  </w:style>
  <w:style w:type="paragraph" w:styleId="12">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right" w:leader="dot" w:pos="8296"/>
      </w:tabs>
    </w:pPr>
    <w:rPr>
      <w:rFonts w:ascii="黑体" w:hAnsi="黑体" w:eastAsia="黑体" w:cs="Times New Roman"/>
      <w:kern w:val="0"/>
      <w:sz w:val="30"/>
      <w:szCs w:val="30"/>
      <w:lang w:bidi="en-US"/>
    </w:rPr>
  </w:style>
  <w:style w:type="paragraph" w:styleId="14">
    <w:name w:val="toc 2"/>
    <w:basedOn w:val="1"/>
    <w:next w:val="1"/>
    <w:qFormat/>
    <w:uiPriority w:val="39"/>
    <w:pPr>
      <w:ind w:left="420" w:leftChars="200"/>
    </w:pPr>
  </w:style>
  <w:style w:type="paragraph" w:styleId="15">
    <w:name w:val="Normal (Web)"/>
    <w:basedOn w:val="1"/>
    <w:next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qFormat/>
    <w:uiPriority w:val="10"/>
    <w:pPr>
      <w:spacing w:before="240" w:after="60"/>
      <w:jc w:val="center"/>
      <w:outlineLvl w:val="0"/>
    </w:pPr>
    <w:rPr>
      <w:rFonts w:ascii="Calibri Light" w:hAnsi="Calibri Light"/>
      <w:b/>
      <w:bCs/>
      <w:kern w:val="28"/>
      <w:sz w:val="32"/>
      <w:szCs w:val="32"/>
    </w:rPr>
  </w:style>
  <w:style w:type="paragraph" w:styleId="17">
    <w:name w:val="Body Text First Indent"/>
    <w:basedOn w:val="7"/>
    <w:next w:val="8"/>
    <w:qFormat/>
    <w:uiPriority w:val="0"/>
    <w:pPr>
      <w:spacing w:after="0"/>
      <w:ind w:firstLine="420"/>
    </w:pPr>
    <w:rPr>
      <w:rFonts w:ascii="Calibri" w:hAnsi="Calibri" w:eastAsia="宋体"/>
    </w:rPr>
  </w:style>
  <w:style w:type="table" w:styleId="19">
    <w:name w:val="Table Grid"/>
    <w:basedOn w:val="1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Strong"/>
    <w:basedOn w:val="20"/>
    <w:qFormat/>
    <w:uiPriority w:val="0"/>
    <w:rPr>
      <w:b/>
    </w:rPr>
  </w:style>
  <w:style w:type="character" w:styleId="22">
    <w:name w:val="Hyperlink"/>
    <w:basedOn w:val="20"/>
    <w:unhideWhenUsed/>
    <w:qFormat/>
    <w:uiPriority w:val="99"/>
    <w:rPr>
      <w:color w:val="0000FF"/>
      <w:u w:val="single"/>
    </w:rPr>
  </w:style>
  <w:style w:type="paragraph" w:customStyle="1" w:styleId="23">
    <w:name w:val="正文缩进1"/>
    <w:basedOn w:val="1"/>
    <w:qFormat/>
    <w:uiPriority w:val="0"/>
    <w:pPr>
      <w:ind w:firstLine="420" w:firstLineChars="200"/>
    </w:pPr>
    <w:rPr>
      <w:rFonts w:ascii="Times New Roman" w:hAnsi="Times New Roman" w:eastAsia="宋体" w:cs="Times New Roman"/>
      <w:szCs w:val="24"/>
    </w:rPr>
  </w:style>
  <w:style w:type="paragraph" w:customStyle="1" w:styleId="24">
    <w:name w:val="Body text|1"/>
    <w:basedOn w:val="1"/>
    <w:qFormat/>
    <w:uiPriority w:val="0"/>
    <w:pPr>
      <w:spacing w:line="456" w:lineRule="auto"/>
      <w:ind w:firstLine="400"/>
      <w:jc w:val="left"/>
    </w:pPr>
    <w:rPr>
      <w:rFonts w:ascii="宋体" w:hAnsi="宋体" w:eastAsia="宋体" w:cs="宋体"/>
      <w:sz w:val="28"/>
      <w:szCs w:val="28"/>
      <w:lang w:val="zh-TW" w:eastAsia="zh-TW" w:bidi="zh-TW"/>
    </w:rPr>
  </w:style>
  <w:style w:type="paragraph" w:customStyle="1" w:styleId="25">
    <w:name w:val="Body text|2"/>
    <w:basedOn w:val="1"/>
    <w:qFormat/>
    <w:uiPriority w:val="0"/>
    <w:pPr>
      <w:spacing w:line="608" w:lineRule="exact"/>
      <w:ind w:firstLine="660"/>
      <w:jc w:val="left"/>
    </w:pPr>
    <w:rPr>
      <w:rFonts w:ascii="宋体" w:hAnsi="宋体" w:eastAsia="宋体" w:cs="宋体"/>
      <w:sz w:val="32"/>
      <w:szCs w:val="32"/>
      <w:lang w:val="zh-TW" w:eastAsia="zh-TW" w:bidi="zh-TW"/>
    </w:rPr>
  </w:style>
  <w:style w:type="paragraph" w:customStyle="1" w:styleId="26">
    <w:name w:val="目录 31"/>
    <w:basedOn w:val="1"/>
    <w:next w:val="1"/>
    <w:qFormat/>
    <w:uiPriority w:val="0"/>
    <w:pPr>
      <w:ind w:left="840" w:leftChars="400"/>
    </w:pPr>
  </w:style>
  <w:style w:type="paragraph" w:customStyle="1" w:styleId="27">
    <w:name w:val="WPSOffice手动目录 1"/>
    <w:qFormat/>
    <w:uiPriority w:val="0"/>
    <w:rPr>
      <w:rFonts w:ascii="Times New Roman" w:hAnsi="Times New Roman" w:eastAsia="宋体" w:cs="Times New Roman"/>
      <w:lang w:val="en-US" w:eastAsia="zh-CN" w:bidi="ar-SA"/>
    </w:rPr>
  </w:style>
  <w:style w:type="paragraph" w:customStyle="1" w:styleId="28">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9">
    <w:name w:val="NormalCharacter"/>
    <w:semiHidden/>
    <w:qFormat/>
    <w:uiPriority w:val="0"/>
    <w:rPr>
      <w:rFonts w:ascii="Calibri" w:hAnsi="Calibri" w:eastAsia="宋体" w:cs="黑体"/>
      <w:kern w:val="2"/>
      <w:sz w:val="21"/>
      <w:szCs w:val="22"/>
      <w:lang w:val="en-US" w:eastAsia="zh-CN" w:bidi="ar-SA"/>
    </w:rPr>
  </w:style>
  <w:style w:type="character" w:customStyle="1" w:styleId="30">
    <w:name w:val="页眉 Char"/>
    <w:basedOn w:val="20"/>
    <w:link w:val="12"/>
    <w:semiHidden/>
    <w:qFormat/>
    <w:uiPriority w:val="99"/>
    <w:rPr>
      <w:sz w:val="18"/>
      <w:szCs w:val="18"/>
    </w:rPr>
  </w:style>
  <w:style w:type="character" w:customStyle="1" w:styleId="31">
    <w:name w:val="页脚 Char"/>
    <w:basedOn w:val="20"/>
    <w:link w:val="11"/>
    <w:semiHidden/>
    <w:qFormat/>
    <w:uiPriority w:val="99"/>
    <w:rPr>
      <w:sz w:val="18"/>
      <w:szCs w:val="18"/>
    </w:rPr>
  </w:style>
  <w:style w:type="character" w:customStyle="1" w:styleId="32">
    <w:name w:val="bjh-p"/>
    <w:qFormat/>
    <w:uiPriority w:val="99"/>
  </w:style>
  <w:style w:type="character" w:customStyle="1" w:styleId="33">
    <w:name w:val="批注框文本 Char"/>
    <w:basedOn w:val="20"/>
    <w:link w:val="10"/>
    <w:semiHidden/>
    <w:qFormat/>
    <w:uiPriority w:val="99"/>
    <w:rPr>
      <w:rFonts w:ascii="Calibri" w:hAnsi="Calibri" w:eastAsia="宋体" w:cs="黑体"/>
      <w:kern w:val="2"/>
      <w:sz w:val="18"/>
      <w:szCs w:val="18"/>
    </w:rPr>
  </w:style>
  <w:style w:type="character" w:customStyle="1" w:styleId="34">
    <w:name w:val="文档结构图 Char"/>
    <w:basedOn w:val="20"/>
    <w:link w:val="6"/>
    <w:semiHidden/>
    <w:qFormat/>
    <w:uiPriority w:val="99"/>
    <w:rPr>
      <w:rFonts w:ascii="宋体" w:hAnsi="Calibri" w:cs="黑体"/>
      <w:kern w:val="2"/>
      <w:sz w:val="18"/>
      <w:szCs w:val="18"/>
    </w:rPr>
  </w:style>
  <w:style w:type="character" w:customStyle="1" w:styleId="35">
    <w:name w:val="font11"/>
    <w:basedOn w:val="20"/>
    <w:qFormat/>
    <w:uiPriority w:val="0"/>
    <w:rPr>
      <w:rFonts w:hint="default" w:ascii="Times New Roman" w:hAnsi="Times New Roman" w:cs="Times New Roman"/>
      <w:color w:val="000000"/>
      <w:sz w:val="20"/>
      <w:szCs w:val="20"/>
      <w:u w:val="none"/>
    </w:rPr>
  </w:style>
  <w:style w:type="character" w:customStyle="1" w:styleId="36">
    <w:name w:val="font31"/>
    <w:qFormat/>
    <w:uiPriority w:val="0"/>
    <w:rPr>
      <w:rFonts w:hint="eastAsia" w:ascii="宋体" w:hAnsi="宋体" w:eastAsia="宋体" w:cs="宋体"/>
      <w:color w:val="000000"/>
      <w:sz w:val="18"/>
      <w:szCs w:val="18"/>
      <w:u w:val="none"/>
    </w:rPr>
  </w:style>
  <w:style w:type="character" w:customStyle="1" w:styleId="37">
    <w:name w:val="font01"/>
    <w:qFormat/>
    <w:uiPriority w:val="0"/>
    <w:rPr>
      <w:rFonts w:hint="default" w:ascii="Times New Roman" w:hAnsi="Times New Roman" w:cs="Times New Roman"/>
      <w:color w:val="000000"/>
      <w:sz w:val="18"/>
      <w:szCs w:val="18"/>
      <w:u w:val="none"/>
    </w:rPr>
  </w:style>
  <w:style w:type="character" w:customStyle="1" w:styleId="38">
    <w:name w:val="font51"/>
    <w:qFormat/>
    <w:uiPriority w:val="0"/>
    <w:rPr>
      <w:rFonts w:hint="eastAsia" w:ascii="黑体" w:hAnsi="宋体" w:eastAsia="黑体" w:cs="黑体"/>
      <w:color w:val="000000"/>
      <w:sz w:val="18"/>
      <w:szCs w:val="18"/>
      <w:u w:val="none"/>
    </w:rPr>
  </w:style>
  <w:style w:type="character" w:customStyle="1" w:styleId="39">
    <w:name w:val="font41"/>
    <w:qFormat/>
    <w:uiPriority w:val="0"/>
    <w:rPr>
      <w:rFonts w:hint="default" w:ascii="Times New Roman" w:hAnsi="Times New Roman" w:cs="Times New Roman"/>
      <w:color w:val="000000"/>
      <w:sz w:val="18"/>
      <w:szCs w:val="18"/>
      <w:u w:val="none"/>
    </w:rPr>
  </w:style>
  <w:style w:type="character" w:customStyle="1" w:styleId="40">
    <w:name w:val="font221"/>
    <w:basedOn w:val="20"/>
    <w:qFormat/>
    <w:uiPriority w:val="0"/>
    <w:rPr>
      <w:rFonts w:hint="eastAsia" w:ascii="宋体" w:hAnsi="宋体" w:eastAsia="宋体" w:cs="宋体"/>
      <w:b/>
      <w:color w:val="000000"/>
      <w:sz w:val="20"/>
      <w:szCs w:val="20"/>
      <w:u w:val="none"/>
    </w:rPr>
  </w:style>
  <w:style w:type="character" w:customStyle="1" w:styleId="41">
    <w:name w:val="font321"/>
    <w:basedOn w:val="20"/>
    <w:qFormat/>
    <w:uiPriority w:val="0"/>
    <w:rPr>
      <w:rFonts w:hint="eastAsia" w:ascii="宋体" w:hAnsi="宋体" w:eastAsia="宋体" w:cs="宋体"/>
      <w:color w:val="000000"/>
      <w:sz w:val="21"/>
      <w:szCs w:val="21"/>
      <w:u w:val="none"/>
    </w:rPr>
  </w:style>
  <w:style w:type="character" w:customStyle="1" w:styleId="42">
    <w:name w:val="font141"/>
    <w:basedOn w:val="20"/>
    <w:qFormat/>
    <w:uiPriority w:val="0"/>
    <w:rPr>
      <w:rFonts w:hint="eastAsia" w:ascii="宋体" w:hAnsi="宋体" w:eastAsia="宋体" w:cs="宋体"/>
      <w:color w:val="000000"/>
      <w:sz w:val="21"/>
      <w:szCs w:val="21"/>
      <w:u w:val="none"/>
    </w:rPr>
  </w:style>
  <w:style w:type="character" w:customStyle="1" w:styleId="43">
    <w:name w:val="font151"/>
    <w:basedOn w:val="20"/>
    <w:qFormat/>
    <w:uiPriority w:val="0"/>
    <w:rPr>
      <w:rFonts w:hint="default" w:ascii="Times New Roman" w:hAnsi="Times New Roman" w:cs="Times New Roman"/>
      <w:color w:val="000000"/>
      <w:sz w:val="21"/>
      <w:szCs w:val="21"/>
      <w:u w:val="none"/>
    </w:rPr>
  </w:style>
  <w:style w:type="character" w:customStyle="1" w:styleId="44">
    <w:name w:val="font341"/>
    <w:basedOn w:val="2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128</Pages>
  <Words>3873</Words>
  <Characters>4036</Characters>
  <Lines>53</Lines>
  <Paragraphs>144</Paragraphs>
  <TotalTime>10</TotalTime>
  <ScaleCrop>false</ScaleCrop>
  <LinksUpToDate>false</LinksUpToDate>
  <CharactersWithSpaces>4224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2020-10-07T08:59:00Z</dcterms:created>
  <dc:creator>lenovo</dc:creator>
  <cp:lastModifiedBy>稻香</cp:lastModifiedBy>
  <cp:lastPrinted>2021-03-25T03:32:00Z</cp:lastPrinted>
  <dcterms:modified xsi:type="dcterms:W3CDTF">2025-01-03T01:56:06Z</dcterms:modified>
  <dc:title>永济市七届人大一次会议文件（16）</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3E72B486E6974F81835748C2391E878A</vt:lpwstr>
  </property>
  <property fmtid="{D5CDD505-2E9C-101B-9397-08002B2CF9AE}" pid="4" name="KSOTemplateDocerSaveRecord">
    <vt:lpwstr>eyJoZGlkIjoiNzhmZGVhMTc3MzNiMGRlYjZmYTU1YWFhMTdmZjZlZjUiLCJ1c2VySWQiOiIxMDU5NzEzNTc5In0=</vt:lpwstr>
  </property>
</Properties>
</file>