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057A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公文小标宋" w:hAnsi="方正公文小标宋" w:eastAsia="方正公文小标宋" w:cs="方正公文小标宋"/>
          <w:b/>
          <w:bCs/>
          <w:kern w:val="0"/>
          <w:sz w:val="44"/>
          <w:szCs w:val="44"/>
          <w:highlight w:val="none"/>
          <w:lang w:val="en-US" w:eastAsia="zh-CN"/>
        </w:rPr>
      </w:pPr>
    </w:p>
    <w:p w14:paraId="743678C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公文小标宋" w:hAnsi="方正公文小标宋" w:eastAsia="方正公文小标宋" w:cs="方正公文小标宋"/>
          <w:b/>
          <w:bCs/>
          <w:kern w:val="0"/>
          <w:sz w:val="44"/>
          <w:szCs w:val="44"/>
          <w:highlight w:val="none"/>
          <w:lang w:val="en-US" w:eastAsia="zh-CN"/>
        </w:rPr>
      </w:pPr>
    </w:p>
    <w:p w14:paraId="7E2FD17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方正公文小标宋" w:hAnsi="方正公文小标宋" w:eastAsia="方正公文小标宋" w:cs="方正公文小标宋"/>
          <w:b/>
          <w:bCs/>
          <w:kern w:val="0"/>
          <w:sz w:val="44"/>
          <w:szCs w:val="44"/>
          <w:highlight w:val="none"/>
          <w:lang w:val="en-US" w:eastAsia="zh-CN"/>
        </w:rPr>
      </w:pPr>
      <w:bookmarkStart w:id="0" w:name="_Toc12673"/>
      <w:bookmarkStart w:id="1" w:name="_Toc8946"/>
      <w:r>
        <w:rPr>
          <w:rFonts w:hint="eastAsia" w:ascii="方正公文小标宋" w:hAnsi="方正公文小标宋" w:eastAsia="方正公文小标宋" w:cs="方正公文小标宋"/>
          <w:b/>
          <w:bCs/>
          <w:kern w:val="0"/>
          <w:sz w:val="44"/>
          <w:szCs w:val="44"/>
          <w:highlight w:val="none"/>
          <w:lang w:val="en-US" w:eastAsia="zh-CN"/>
        </w:rPr>
        <w:t>永济市市容环卫中心</w:t>
      </w:r>
    </w:p>
    <w:p w14:paraId="17DB7C7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方正公文小标宋" w:hAnsi="方正公文小标宋" w:eastAsia="方正公文小标宋" w:cs="方正公文小标宋"/>
          <w:b/>
          <w:bCs/>
          <w:kern w:val="0"/>
          <w:sz w:val="44"/>
          <w:szCs w:val="44"/>
          <w:highlight w:val="none"/>
          <w:lang w:eastAsia="zh-CN"/>
        </w:rPr>
      </w:pPr>
      <w:r>
        <w:rPr>
          <w:rFonts w:hint="eastAsia" w:ascii="方正公文小标宋" w:hAnsi="方正公文小标宋" w:eastAsia="方正公文小标宋" w:cs="方正公文小标宋"/>
          <w:b/>
          <w:bCs/>
          <w:kern w:val="0"/>
          <w:sz w:val="44"/>
          <w:szCs w:val="44"/>
          <w:highlight w:val="none"/>
          <w:lang w:val="en-US" w:eastAsia="zh-CN"/>
        </w:rPr>
        <w:t>2023年度整体支出</w:t>
      </w:r>
      <w:bookmarkEnd w:id="0"/>
      <w:bookmarkEnd w:id="1"/>
      <w:bookmarkStart w:id="2" w:name="_Toc1354"/>
      <w:bookmarkStart w:id="3" w:name="_Toc26205"/>
      <w:r>
        <w:rPr>
          <w:rFonts w:hint="eastAsia" w:ascii="方正公文小标宋" w:hAnsi="方正公文小标宋" w:eastAsia="方正公文小标宋" w:cs="方正公文小标宋"/>
          <w:b/>
          <w:bCs/>
          <w:kern w:val="0"/>
          <w:sz w:val="44"/>
          <w:szCs w:val="44"/>
          <w:highlight w:val="none"/>
        </w:rPr>
        <w:t>绩效</w:t>
      </w:r>
      <w:r>
        <w:rPr>
          <w:rFonts w:hint="eastAsia" w:ascii="方正公文小标宋" w:hAnsi="方正公文小标宋" w:eastAsia="方正公文小标宋" w:cs="方正公文小标宋"/>
          <w:b/>
          <w:bCs/>
          <w:kern w:val="0"/>
          <w:sz w:val="44"/>
          <w:szCs w:val="44"/>
          <w:highlight w:val="none"/>
          <w:lang w:val="en-US" w:eastAsia="zh-CN"/>
        </w:rPr>
        <w:t>评价</w:t>
      </w:r>
      <w:bookmarkEnd w:id="2"/>
      <w:r>
        <w:rPr>
          <w:rFonts w:hint="eastAsia" w:ascii="方正公文小标宋" w:hAnsi="方正公文小标宋" w:eastAsia="方正公文小标宋" w:cs="方正公文小标宋"/>
          <w:b/>
          <w:bCs/>
          <w:kern w:val="0"/>
          <w:sz w:val="44"/>
          <w:szCs w:val="44"/>
          <w:highlight w:val="none"/>
          <w:lang w:val="en-US" w:eastAsia="zh-CN"/>
        </w:rPr>
        <w:t>报告</w:t>
      </w:r>
      <w:bookmarkEnd w:id="3"/>
    </w:p>
    <w:p w14:paraId="5EE61798">
      <w:pPr>
        <w:ind w:leftChars="100" w:right="225" w:rightChars="107"/>
        <w:jc w:val="center"/>
        <w:outlineLvl w:val="9"/>
        <w:rPr>
          <w:rFonts w:hint="eastAsia" w:ascii="仿宋" w:hAnsi="仿宋" w:eastAsia="仿宋" w:cs="仿宋"/>
          <w:b/>
          <w:bCs/>
          <w:spacing w:val="16"/>
          <w:sz w:val="32"/>
          <w:szCs w:val="32"/>
          <w:lang w:val="en-US" w:eastAsia="zh-CN"/>
        </w:rPr>
      </w:pPr>
      <w:r>
        <w:rPr>
          <w:rFonts w:hint="eastAsia" w:ascii="仿宋" w:hAnsi="仿宋" w:eastAsia="仿宋" w:cs="仿宋"/>
          <w:b/>
          <w:bCs/>
          <w:spacing w:val="16"/>
          <w:sz w:val="32"/>
          <w:szCs w:val="32"/>
          <w:lang w:val="en-US" w:eastAsia="zh-CN"/>
        </w:rPr>
        <w:t>晋广和绩评〔2024〕0010号</w:t>
      </w:r>
    </w:p>
    <w:p w14:paraId="3E581482">
      <w:pPr>
        <w:outlineLvl w:val="9"/>
        <w:rPr>
          <w:rFonts w:hint="eastAsia" w:ascii="宋体" w:hAnsi="宋体" w:eastAsia="宋体" w:cs="宋体"/>
          <w:b/>
          <w:bCs/>
          <w:kern w:val="0"/>
          <w:sz w:val="32"/>
          <w:szCs w:val="32"/>
          <w:highlight w:val="none"/>
        </w:rPr>
      </w:pPr>
    </w:p>
    <w:p w14:paraId="59B3FF52">
      <w:pPr>
        <w:outlineLvl w:val="9"/>
        <w:rPr>
          <w:rFonts w:hint="eastAsia" w:ascii="宋体" w:hAnsi="宋体" w:eastAsia="宋体" w:cs="宋体"/>
          <w:b/>
          <w:bCs/>
          <w:kern w:val="0"/>
          <w:sz w:val="32"/>
          <w:szCs w:val="32"/>
          <w:highlight w:val="none"/>
        </w:rPr>
      </w:pPr>
    </w:p>
    <w:p w14:paraId="79C4CEB2">
      <w:pPr>
        <w:outlineLvl w:val="9"/>
        <w:rPr>
          <w:rFonts w:hint="eastAsia" w:ascii="宋体" w:hAnsi="宋体" w:eastAsia="宋体" w:cs="宋体"/>
          <w:b/>
          <w:bCs/>
          <w:kern w:val="0"/>
          <w:sz w:val="32"/>
          <w:szCs w:val="32"/>
          <w:highlight w:val="none"/>
        </w:rPr>
      </w:pPr>
    </w:p>
    <w:p w14:paraId="07C2CDA6">
      <w:pPr>
        <w:pStyle w:val="7"/>
        <w:outlineLvl w:val="9"/>
        <w:rPr>
          <w:rFonts w:hint="eastAsia"/>
        </w:rPr>
      </w:pPr>
    </w:p>
    <w:p w14:paraId="472F2405">
      <w:pPr>
        <w:pStyle w:val="2"/>
        <w:outlineLvl w:val="9"/>
        <w:rPr>
          <w:rFonts w:hint="eastAsia"/>
        </w:rPr>
      </w:pP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00"/>
      </w:tblGrid>
      <w:tr w14:paraId="335A0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500" w:type="dxa"/>
            <w:tcBorders>
              <w:tl2br w:val="nil"/>
              <w:tr2bl w:val="nil"/>
            </w:tcBorders>
            <w:noWrap w:val="0"/>
            <w:vAlign w:val="top"/>
          </w:tcPr>
          <w:p w14:paraId="14B2F5A1">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left"/>
              <w:textAlignment w:val="auto"/>
              <w:outlineLvl w:val="9"/>
              <w:rPr>
                <w:rFonts w:hint="default" w:ascii="仿宋" w:hAnsi="仿宋" w:eastAsia="仿宋" w:cs="仿宋"/>
                <w:b/>
                <w:sz w:val="32"/>
                <w:szCs w:val="32"/>
                <w:highlight w:val="none"/>
                <w:lang w:val="en-US" w:eastAsia="zh-CN"/>
              </w:rPr>
            </w:pPr>
            <w:r>
              <w:rPr>
                <w:rFonts w:hint="eastAsia" w:ascii="仿宋" w:hAnsi="仿宋" w:eastAsia="仿宋" w:cs="仿宋"/>
                <w:b/>
                <w:sz w:val="32"/>
                <w:szCs w:val="32"/>
                <w:highlight w:val="none"/>
                <w:lang w:val="en-US" w:eastAsia="zh-CN"/>
              </w:rPr>
              <w:t>项目</w:t>
            </w:r>
            <w:r>
              <w:rPr>
                <w:rFonts w:hint="eastAsia" w:ascii="仿宋" w:hAnsi="仿宋" w:eastAsia="仿宋" w:cs="仿宋"/>
                <w:b/>
                <w:sz w:val="32"/>
                <w:szCs w:val="32"/>
                <w:highlight w:val="none"/>
              </w:rPr>
              <w:t>单位：永济市</w:t>
            </w:r>
            <w:r>
              <w:rPr>
                <w:rFonts w:hint="eastAsia" w:ascii="仿宋" w:hAnsi="仿宋" w:eastAsia="仿宋" w:cs="仿宋"/>
                <w:b/>
                <w:sz w:val="32"/>
                <w:szCs w:val="32"/>
                <w:highlight w:val="none"/>
                <w:lang w:val="en-US" w:eastAsia="zh-CN"/>
              </w:rPr>
              <w:t>市容环卫中心</w:t>
            </w:r>
          </w:p>
          <w:p w14:paraId="027B5D08">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left"/>
              <w:textAlignment w:val="auto"/>
              <w:outlineLvl w:val="9"/>
              <w:rPr>
                <w:rFonts w:hint="eastAsia" w:ascii="仿宋" w:hAnsi="仿宋" w:eastAsia="仿宋" w:cs="仿宋"/>
                <w:b/>
                <w:sz w:val="32"/>
                <w:szCs w:val="32"/>
                <w:highlight w:val="none"/>
              </w:rPr>
            </w:pPr>
            <w:r>
              <w:rPr>
                <w:rFonts w:hint="eastAsia" w:ascii="仿宋" w:hAnsi="仿宋" w:eastAsia="仿宋" w:cs="仿宋"/>
                <w:b/>
                <w:sz w:val="32"/>
                <w:szCs w:val="32"/>
                <w:highlight w:val="none"/>
              </w:rPr>
              <w:t>委托单位：</w:t>
            </w:r>
            <w:r>
              <w:rPr>
                <w:rFonts w:hint="eastAsia" w:ascii="仿宋" w:hAnsi="仿宋" w:eastAsia="仿宋" w:cs="仿宋"/>
                <w:b/>
                <w:sz w:val="32"/>
                <w:szCs w:val="32"/>
                <w:highlight w:val="none"/>
                <w:lang w:val="en-US" w:eastAsia="zh-CN"/>
              </w:rPr>
              <w:t>永济市</w:t>
            </w:r>
            <w:r>
              <w:rPr>
                <w:rFonts w:hint="eastAsia" w:ascii="仿宋" w:hAnsi="仿宋" w:eastAsia="仿宋" w:cs="仿宋"/>
                <w:b/>
                <w:sz w:val="32"/>
                <w:szCs w:val="32"/>
                <w:highlight w:val="none"/>
              </w:rPr>
              <w:t>财政局</w:t>
            </w:r>
          </w:p>
          <w:p w14:paraId="0ABD7307">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left"/>
              <w:textAlignment w:val="auto"/>
              <w:outlineLvl w:val="9"/>
              <w:rPr>
                <w:rFonts w:hint="eastAsia" w:ascii="仿宋" w:hAnsi="仿宋" w:eastAsia="仿宋" w:cs="仿宋"/>
                <w:b/>
                <w:sz w:val="32"/>
                <w:szCs w:val="32"/>
                <w:highlight w:val="none"/>
                <w:lang w:val="en-US" w:eastAsia="zh-CN"/>
              </w:rPr>
            </w:pPr>
            <w:r>
              <w:rPr>
                <w:rFonts w:hint="eastAsia" w:ascii="仿宋" w:hAnsi="仿宋" w:eastAsia="仿宋" w:cs="仿宋"/>
                <w:b/>
                <w:sz w:val="32"/>
                <w:szCs w:val="32"/>
                <w:highlight w:val="none"/>
                <w:lang w:val="en-US" w:eastAsia="zh-CN"/>
              </w:rPr>
              <w:t>评价机构：山西广和会计师事务所有限公司</w:t>
            </w:r>
          </w:p>
          <w:p w14:paraId="3A87A747">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left"/>
              <w:textAlignment w:val="auto"/>
              <w:outlineLvl w:val="9"/>
              <w:rPr>
                <w:rFonts w:hint="default" w:eastAsia="仿宋"/>
                <w:sz w:val="32"/>
                <w:szCs w:val="32"/>
                <w:lang w:val="en-US" w:eastAsia="zh-CN"/>
              </w:rPr>
            </w:pPr>
            <w:r>
              <w:rPr>
                <w:rFonts w:hint="eastAsia" w:ascii="仿宋" w:hAnsi="仿宋" w:eastAsia="仿宋" w:cs="仿宋"/>
                <w:b/>
                <w:sz w:val="32"/>
                <w:szCs w:val="32"/>
                <w:highlight w:val="none"/>
                <w:lang w:val="en-US" w:eastAsia="zh-CN"/>
              </w:rPr>
              <w:t>主 评 人：吴亚鹏</w:t>
            </w:r>
          </w:p>
        </w:tc>
      </w:tr>
    </w:tbl>
    <w:p w14:paraId="7DAE9E88">
      <w:pPr>
        <w:ind w:left="1602" w:leftChars="200" w:right="225" w:rightChars="107" w:hanging="1182" w:hangingChars="368"/>
        <w:jc w:val="left"/>
        <w:outlineLvl w:val="9"/>
        <w:rPr>
          <w:rFonts w:hint="eastAsia" w:ascii="宋体" w:hAnsi="宋体" w:eastAsia="宋体" w:cs="宋体"/>
          <w:b/>
          <w:sz w:val="32"/>
          <w:szCs w:val="32"/>
          <w:highlight w:val="none"/>
        </w:rPr>
      </w:pPr>
    </w:p>
    <w:p w14:paraId="626DA3CC">
      <w:pPr>
        <w:jc w:val="left"/>
        <w:outlineLvl w:val="9"/>
        <w:rPr>
          <w:rFonts w:hint="eastAsia" w:ascii="宋体" w:hAnsi="宋体" w:eastAsia="宋体" w:cs="宋体"/>
          <w:b/>
          <w:sz w:val="32"/>
          <w:szCs w:val="28"/>
          <w:highlight w:val="none"/>
        </w:rPr>
      </w:pPr>
    </w:p>
    <w:p w14:paraId="5A71C137">
      <w:pPr>
        <w:pStyle w:val="2"/>
        <w:outlineLvl w:val="9"/>
        <w:rPr>
          <w:rFonts w:hint="eastAsia"/>
          <w:highlight w:val="none"/>
        </w:rPr>
      </w:pPr>
    </w:p>
    <w:p w14:paraId="25445AF9">
      <w:pPr>
        <w:pStyle w:val="2"/>
        <w:outlineLvl w:val="9"/>
        <w:rPr>
          <w:rFonts w:hint="eastAsia"/>
        </w:rPr>
      </w:pPr>
    </w:p>
    <w:p w14:paraId="22C71D1D">
      <w:pPr>
        <w:pStyle w:val="2"/>
        <w:jc w:val="center"/>
        <w:outlineLvl w:val="9"/>
        <w:rPr>
          <w:rFonts w:hint="eastAsia" w:ascii="宋体" w:hAnsi="宋体" w:eastAsia="宋体" w:cs="宋体"/>
          <w:sz w:val="22"/>
          <w:highlight w:val="none"/>
        </w:rPr>
      </w:pPr>
    </w:p>
    <w:p w14:paraId="5787EB36">
      <w:pPr>
        <w:jc w:val="center"/>
        <w:outlineLvl w:val="9"/>
        <w:rPr>
          <w:rFonts w:hint="eastAsia" w:ascii="黑体" w:hAnsi="黑体" w:eastAsia="黑体" w:cs="黑体"/>
          <w:sz w:val="32"/>
          <w:szCs w:val="32"/>
        </w:rPr>
      </w:pPr>
      <w:r>
        <w:rPr>
          <w:rFonts w:hint="eastAsia" w:ascii="黑体" w:hAnsi="黑体" w:eastAsia="黑体" w:cs="黑体"/>
          <w:b/>
          <w:sz w:val="32"/>
          <w:szCs w:val="32"/>
          <w:highlight w:val="none"/>
        </w:rPr>
        <w:t>202</w:t>
      </w:r>
      <w:r>
        <w:rPr>
          <w:rFonts w:hint="eastAsia" w:ascii="黑体" w:hAnsi="黑体" w:eastAsia="黑体" w:cs="黑体"/>
          <w:b/>
          <w:sz w:val="32"/>
          <w:szCs w:val="32"/>
          <w:highlight w:val="none"/>
          <w:lang w:val="en-US" w:eastAsia="zh-CN"/>
        </w:rPr>
        <w:t>4</w:t>
      </w:r>
      <w:r>
        <w:rPr>
          <w:rFonts w:hint="eastAsia" w:ascii="黑体" w:hAnsi="黑体" w:eastAsia="黑体" w:cs="黑体"/>
          <w:b/>
          <w:sz w:val="32"/>
          <w:szCs w:val="32"/>
          <w:highlight w:val="none"/>
        </w:rPr>
        <w:t>年</w:t>
      </w:r>
      <w:r>
        <w:rPr>
          <w:rFonts w:hint="eastAsia" w:ascii="黑体" w:hAnsi="黑体" w:eastAsia="黑体" w:cs="黑体"/>
          <w:b/>
          <w:sz w:val="32"/>
          <w:szCs w:val="32"/>
          <w:highlight w:val="none"/>
          <w:lang w:val="en-US" w:eastAsia="zh-CN"/>
        </w:rPr>
        <w:t>10</w:t>
      </w:r>
      <w:r>
        <w:rPr>
          <w:rFonts w:hint="eastAsia" w:ascii="黑体" w:hAnsi="黑体" w:eastAsia="黑体" w:cs="黑体"/>
          <w:b/>
          <w:sz w:val="32"/>
          <w:szCs w:val="32"/>
          <w:highlight w:val="none"/>
        </w:rPr>
        <w:t>月</w:t>
      </w:r>
    </w:p>
    <w:p w14:paraId="1C2F78DD">
      <w:pPr>
        <w:jc w:val="center"/>
        <w:outlineLvl w:val="9"/>
        <w:rPr>
          <w:rFonts w:hint="eastAsia" w:ascii="仿宋" w:hAnsi="仿宋" w:eastAsia="仿宋" w:cs="仿宋"/>
          <w:b/>
          <w:bCs/>
          <w:sz w:val="32"/>
          <w:szCs w:val="40"/>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548091D">
      <w:pPr>
        <w:pStyle w:val="2"/>
        <w:rPr>
          <w:rFonts w:hint="eastAsia"/>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imes New Roman"/>
          <w:kern w:val="2"/>
          <w:sz w:val="21"/>
          <w:szCs w:val="24"/>
          <w:lang w:val="en-US" w:eastAsia="zh-CN" w:bidi="ar-SA"/>
        </w:rPr>
        <w:id w:val="147478963"/>
        <w15:color w:val="DBDBDB"/>
        <w:docPartObj>
          <w:docPartGallery w:val="Table of Contents"/>
          <w:docPartUnique/>
        </w:docPartObj>
      </w:sdtPr>
      <w:sdtEndPr>
        <w:rPr>
          <w:rFonts w:hint="eastAsia" w:ascii="仿宋_GB2312" w:hAnsi="Times New Roman" w:eastAsia="仿宋_GB2312" w:cs="Times New Roman"/>
          <w:b/>
          <w:kern w:val="2"/>
          <w:sz w:val="30"/>
          <w:szCs w:val="24"/>
          <w:lang w:val="en-US" w:eastAsia="zh-CN" w:bidi="ar-SA"/>
        </w:rPr>
      </w:sdtEndPr>
      <w:sdtContent>
        <w:p w14:paraId="6EAA30D1">
          <w:pPr>
            <w:pStyle w:val="10"/>
            <w:keepNext w:val="0"/>
            <w:keepLines w:val="0"/>
            <w:pageBreakBefore w:val="0"/>
            <w:widowControl w:val="0"/>
            <w:tabs>
              <w:tab w:val="right" w:leader="dot" w:pos="8306"/>
            </w:tabs>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目  录</w:t>
          </w:r>
        </w:p>
        <w:p w14:paraId="33634BFA">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bCs/>
              <w:sz w:val="24"/>
              <w:szCs w:val="24"/>
            </w:rPr>
          </w:pPr>
          <w:r>
            <w:rPr>
              <w:rFonts w:hint="eastAsia" w:ascii="仿宋" w:hAnsi="仿宋" w:eastAsia="仿宋" w:cs="仿宋"/>
              <w:b/>
              <w:bCs/>
              <w:sz w:val="24"/>
              <w:szCs w:val="24"/>
            </w:rPr>
            <w:t>摘  要</w:t>
          </w:r>
          <w:r>
            <w:rPr>
              <w:rFonts w:hint="eastAsia" w:ascii="仿宋" w:hAnsi="仿宋" w:eastAsia="仿宋" w:cs="仿宋"/>
              <w:b/>
              <w:bCs/>
              <w:sz w:val="24"/>
              <w:szCs w:val="24"/>
            </w:rPr>
            <w:tab/>
          </w:r>
          <w:r>
            <w:rPr>
              <w:rFonts w:hint="eastAsia" w:ascii="仿宋" w:hAnsi="仿宋" w:eastAsia="仿宋" w:cs="仿宋"/>
              <w:b/>
              <w:bCs/>
              <w:sz w:val="24"/>
              <w:szCs w:val="24"/>
            </w:rPr>
            <w:t>1</w:t>
          </w:r>
        </w:p>
        <w:p w14:paraId="2CAE9CB1">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永济市</w:t>
          </w:r>
          <w:r>
            <w:rPr>
              <w:rFonts w:hint="eastAsia" w:ascii="仿宋" w:hAnsi="仿宋" w:eastAsia="仿宋" w:cs="仿宋"/>
              <w:b/>
              <w:bCs/>
              <w:sz w:val="24"/>
              <w:szCs w:val="24"/>
              <w:lang w:val="en-US" w:eastAsia="zh-CN"/>
            </w:rPr>
            <w:t>市容环卫中心</w:t>
          </w:r>
          <w:r>
            <w:rPr>
              <w:rFonts w:hint="eastAsia" w:ascii="仿宋" w:hAnsi="仿宋" w:eastAsia="仿宋" w:cs="仿宋"/>
              <w:b/>
              <w:bCs/>
              <w:sz w:val="24"/>
              <w:szCs w:val="24"/>
            </w:rPr>
            <w:t>202</w:t>
          </w: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年度整体支出绩效评价报告</w:t>
          </w:r>
          <w:r>
            <w:rPr>
              <w:rFonts w:hint="eastAsia" w:ascii="仿宋" w:hAnsi="仿宋" w:eastAsia="仿宋" w:cs="仿宋"/>
              <w:b/>
              <w:bCs/>
              <w:sz w:val="24"/>
              <w:szCs w:val="24"/>
            </w:rPr>
            <w:tab/>
          </w:r>
          <w:r>
            <w:rPr>
              <w:rFonts w:hint="eastAsia" w:ascii="仿宋" w:hAnsi="仿宋" w:eastAsia="仿宋" w:cs="仿宋"/>
              <w:b/>
              <w:bCs/>
              <w:sz w:val="24"/>
              <w:szCs w:val="24"/>
              <w:lang w:val="en-US" w:eastAsia="zh-CN"/>
            </w:rPr>
            <w:t>5</w:t>
          </w:r>
        </w:p>
        <w:p w14:paraId="58C20C7F">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一、部门基本情况</w:t>
          </w:r>
          <w:r>
            <w:rPr>
              <w:rFonts w:hint="eastAsia" w:ascii="仿宋" w:hAnsi="仿宋" w:eastAsia="仿宋" w:cs="仿宋"/>
              <w:b/>
              <w:bCs/>
              <w:sz w:val="24"/>
              <w:szCs w:val="24"/>
            </w:rPr>
            <w:tab/>
          </w:r>
          <w:r>
            <w:rPr>
              <w:rFonts w:hint="eastAsia" w:ascii="仿宋" w:hAnsi="仿宋" w:eastAsia="仿宋" w:cs="仿宋"/>
              <w:b/>
              <w:bCs/>
              <w:sz w:val="24"/>
              <w:szCs w:val="24"/>
              <w:lang w:val="en-US" w:eastAsia="zh-CN"/>
            </w:rPr>
            <w:t>5</w:t>
          </w:r>
        </w:p>
        <w:p w14:paraId="4F02C992">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（一）部门概况</w:t>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5</w:t>
          </w:r>
        </w:p>
        <w:p w14:paraId="493048C4">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（二）部门预算批复及整体支出情况</w:t>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8</w:t>
          </w:r>
        </w:p>
        <w:p w14:paraId="7D454FC0">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（三）部门整体绩效目标</w:t>
          </w:r>
          <w:r>
            <w:rPr>
              <w:rFonts w:hint="eastAsia" w:ascii="仿宋" w:hAnsi="仿宋" w:eastAsia="仿宋" w:cs="仿宋"/>
              <w:b w:val="0"/>
              <w:bCs w:val="0"/>
              <w:sz w:val="24"/>
              <w:szCs w:val="24"/>
            </w:rPr>
            <w:tab/>
          </w:r>
          <w:r>
            <w:rPr>
              <w:rFonts w:hint="eastAsia" w:ascii="仿宋" w:hAnsi="仿宋" w:eastAsia="仿宋" w:cs="仿宋"/>
              <w:b w:val="0"/>
              <w:bCs w:val="0"/>
              <w:sz w:val="24"/>
              <w:szCs w:val="24"/>
            </w:rPr>
            <w:t>1</w:t>
          </w:r>
          <w:r>
            <w:rPr>
              <w:rFonts w:hint="eastAsia" w:ascii="仿宋" w:hAnsi="仿宋" w:eastAsia="仿宋" w:cs="仿宋"/>
              <w:b w:val="0"/>
              <w:bCs w:val="0"/>
              <w:sz w:val="24"/>
              <w:szCs w:val="24"/>
              <w:lang w:val="en-US" w:eastAsia="zh-CN"/>
            </w:rPr>
            <w:t>5</w:t>
          </w:r>
        </w:p>
        <w:p w14:paraId="1594929F">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val="0"/>
              <w:bCs w:val="0"/>
              <w:sz w:val="24"/>
              <w:szCs w:val="24"/>
              <w:lang w:eastAsia="zh-CN"/>
            </w:rPr>
          </w:pPr>
          <w:r>
            <w:rPr>
              <w:rFonts w:hint="eastAsia" w:ascii="仿宋" w:hAnsi="仿宋" w:eastAsia="仿宋" w:cs="仿宋"/>
              <w:b/>
              <w:bCs/>
              <w:sz w:val="24"/>
              <w:szCs w:val="24"/>
            </w:rPr>
            <w:t>二、</w:t>
          </w:r>
          <w:r>
            <w:rPr>
              <w:rFonts w:hint="eastAsia" w:ascii="仿宋" w:hAnsi="仿宋" w:eastAsia="仿宋" w:cs="仿宋"/>
              <w:b/>
              <w:bCs/>
              <w:sz w:val="24"/>
              <w:szCs w:val="24"/>
              <w:lang w:val="en-US" w:eastAsia="zh-CN"/>
            </w:rPr>
            <w:t>绩效</w:t>
          </w:r>
          <w:r>
            <w:rPr>
              <w:rFonts w:hint="eastAsia" w:ascii="仿宋" w:hAnsi="仿宋" w:eastAsia="仿宋" w:cs="仿宋"/>
              <w:b/>
              <w:bCs/>
              <w:sz w:val="24"/>
              <w:szCs w:val="24"/>
            </w:rPr>
            <w:t>评价工作</w:t>
          </w:r>
          <w:r>
            <w:rPr>
              <w:rFonts w:hint="eastAsia" w:ascii="仿宋" w:hAnsi="仿宋" w:eastAsia="仿宋" w:cs="仿宋"/>
              <w:b/>
              <w:bCs/>
              <w:sz w:val="24"/>
              <w:szCs w:val="24"/>
              <w:lang w:val="en-US" w:eastAsia="zh-CN"/>
            </w:rPr>
            <w:t>开展</w:t>
          </w:r>
          <w:r>
            <w:rPr>
              <w:rFonts w:hint="eastAsia" w:ascii="仿宋" w:hAnsi="仿宋" w:eastAsia="仿宋" w:cs="仿宋"/>
              <w:b/>
              <w:bCs/>
              <w:sz w:val="24"/>
              <w:szCs w:val="24"/>
            </w:rPr>
            <w:t>情况</w:t>
          </w:r>
          <w:r>
            <w:rPr>
              <w:rFonts w:hint="eastAsia" w:ascii="仿宋" w:hAnsi="仿宋" w:eastAsia="仿宋" w:cs="仿宋"/>
              <w:b/>
              <w:bCs/>
              <w:sz w:val="24"/>
              <w:szCs w:val="24"/>
            </w:rPr>
            <w:tab/>
          </w:r>
          <w:r>
            <w:rPr>
              <w:rFonts w:hint="eastAsia" w:ascii="仿宋" w:hAnsi="仿宋" w:eastAsia="仿宋" w:cs="仿宋"/>
              <w:b/>
              <w:bCs/>
              <w:sz w:val="24"/>
              <w:szCs w:val="24"/>
            </w:rPr>
            <w:t>1</w:t>
          </w:r>
          <w:r>
            <w:rPr>
              <w:rFonts w:hint="eastAsia" w:ascii="仿宋" w:hAnsi="仿宋" w:eastAsia="仿宋" w:cs="仿宋"/>
              <w:b/>
              <w:bCs/>
              <w:sz w:val="24"/>
              <w:szCs w:val="24"/>
              <w:lang w:val="en-US" w:eastAsia="zh-CN"/>
            </w:rPr>
            <w:t>6</w:t>
          </w:r>
        </w:p>
        <w:p w14:paraId="75FCEFCA">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（一）绩效评价的目的和依据</w:t>
          </w:r>
          <w:r>
            <w:rPr>
              <w:rFonts w:hint="eastAsia" w:ascii="仿宋" w:hAnsi="仿宋" w:eastAsia="仿宋" w:cs="仿宋"/>
              <w:b w:val="0"/>
              <w:bCs w:val="0"/>
              <w:sz w:val="24"/>
              <w:szCs w:val="24"/>
            </w:rPr>
            <w:tab/>
          </w:r>
          <w:r>
            <w:rPr>
              <w:rFonts w:hint="eastAsia" w:ascii="仿宋" w:hAnsi="仿宋" w:eastAsia="仿宋" w:cs="仿宋"/>
              <w:b w:val="0"/>
              <w:bCs w:val="0"/>
              <w:sz w:val="24"/>
              <w:szCs w:val="24"/>
            </w:rPr>
            <w:t>1</w:t>
          </w:r>
          <w:r>
            <w:rPr>
              <w:rFonts w:hint="eastAsia" w:ascii="仿宋" w:hAnsi="仿宋" w:eastAsia="仿宋" w:cs="仿宋"/>
              <w:b w:val="0"/>
              <w:bCs w:val="0"/>
              <w:sz w:val="24"/>
              <w:szCs w:val="24"/>
              <w:lang w:val="en-US" w:eastAsia="zh-CN"/>
            </w:rPr>
            <w:t>6</w:t>
          </w:r>
        </w:p>
        <w:p w14:paraId="2DC75B59">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（二）绩效评价的对象和范围</w:t>
          </w:r>
          <w:r>
            <w:rPr>
              <w:rFonts w:hint="eastAsia" w:ascii="仿宋" w:hAnsi="仿宋" w:eastAsia="仿宋" w:cs="仿宋"/>
              <w:b w:val="0"/>
              <w:bCs w:val="0"/>
              <w:sz w:val="24"/>
              <w:szCs w:val="24"/>
            </w:rPr>
            <w:tab/>
          </w:r>
          <w:r>
            <w:rPr>
              <w:rFonts w:hint="eastAsia" w:ascii="仿宋" w:hAnsi="仿宋" w:eastAsia="仿宋" w:cs="仿宋"/>
              <w:b w:val="0"/>
              <w:bCs w:val="0"/>
              <w:sz w:val="24"/>
              <w:szCs w:val="24"/>
            </w:rPr>
            <w:t>1</w:t>
          </w:r>
          <w:r>
            <w:rPr>
              <w:rFonts w:hint="eastAsia" w:ascii="仿宋" w:hAnsi="仿宋" w:eastAsia="仿宋" w:cs="仿宋"/>
              <w:b w:val="0"/>
              <w:bCs w:val="0"/>
              <w:sz w:val="24"/>
              <w:szCs w:val="24"/>
              <w:lang w:val="en-US" w:eastAsia="zh-CN"/>
            </w:rPr>
            <w:t>8</w:t>
          </w:r>
        </w:p>
        <w:p w14:paraId="6ADAB363">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（三）绩效评价</w:t>
          </w:r>
          <w:r>
            <w:rPr>
              <w:rFonts w:hint="eastAsia" w:ascii="仿宋" w:hAnsi="仿宋" w:eastAsia="仿宋" w:cs="仿宋"/>
              <w:b w:val="0"/>
              <w:bCs w:val="0"/>
              <w:sz w:val="24"/>
              <w:szCs w:val="24"/>
              <w:lang w:val="en-US" w:eastAsia="zh-CN"/>
            </w:rPr>
            <w:t>的</w:t>
          </w:r>
          <w:r>
            <w:rPr>
              <w:rFonts w:hint="eastAsia" w:ascii="仿宋" w:hAnsi="仿宋" w:eastAsia="仿宋" w:cs="仿宋"/>
              <w:b w:val="0"/>
              <w:bCs w:val="0"/>
              <w:sz w:val="24"/>
              <w:szCs w:val="24"/>
            </w:rPr>
            <w:t>原则</w:t>
          </w:r>
          <w:r>
            <w:rPr>
              <w:rFonts w:hint="eastAsia" w:ascii="仿宋" w:hAnsi="仿宋" w:eastAsia="仿宋" w:cs="仿宋"/>
              <w:b w:val="0"/>
              <w:bCs w:val="0"/>
              <w:sz w:val="24"/>
              <w:szCs w:val="24"/>
              <w:lang w:val="en-US" w:eastAsia="zh-CN"/>
            </w:rPr>
            <w:t>和方法</w:t>
          </w:r>
          <w:r>
            <w:rPr>
              <w:rFonts w:hint="eastAsia" w:ascii="仿宋" w:hAnsi="仿宋" w:eastAsia="仿宋" w:cs="仿宋"/>
              <w:b w:val="0"/>
              <w:bCs w:val="0"/>
              <w:sz w:val="24"/>
              <w:szCs w:val="24"/>
            </w:rPr>
            <w:tab/>
          </w:r>
          <w:r>
            <w:rPr>
              <w:rFonts w:hint="eastAsia" w:ascii="仿宋" w:hAnsi="仿宋" w:eastAsia="仿宋" w:cs="仿宋"/>
              <w:b w:val="0"/>
              <w:bCs w:val="0"/>
              <w:sz w:val="24"/>
              <w:szCs w:val="24"/>
            </w:rPr>
            <w:t>1</w:t>
          </w:r>
          <w:r>
            <w:rPr>
              <w:rFonts w:hint="eastAsia" w:ascii="仿宋" w:hAnsi="仿宋" w:eastAsia="仿宋" w:cs="仿宋"/>
              <w:b w:val="0"/>
              <w:bCs w:val="0"/>
              <w:sz w:val="24"/>
              <w:szCs w:val="24"/>
              <w:lang w:val="en-US" w:eastAsia="zh-CN"/>
            </w:rPr>
            <w:t>8</w:t>
          </w:r>
        </w:p>
        <w:p w14:paraId="75769BBC">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（四）绩效评价的</w:t>
          </w:r>
          <w:r>
            <w:rPr>
              <w:rFonts w:hint="eastAsia" w:ascii="仿宋" w:hAnsi="仿宋" w:eastAsia="仿宋" w:cs="仿宋"/>
              <w:b w:val="0"/>
              <w:bCs w:val="0"/>
              <w:sz w:val="24"/>
              <w:szCs w:val="24"/>
              <w:lang w:val="en-US" w:eastAsia="zh-CN"/>
            </w:rPr>
            <w:t>指标体系</w:t>
          </w:r>
          <w:bookmarkStart w:id="114" w:name="_GoBack"/>
          <w:bookmarkEnd w:id="114"/>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19</w:t>
          </w:r>
        </w:p>
        <w:p w14:paraId="472369E7">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w:t>
          </w:r>
          <w:r>
            <w:rPr>
              <w:rFonts w:hint="eastAsia" w:ascii="仿宋" w:hAnsi="仿宋" w:eastAsia="仿宋" w:cs="仿宋"/>
              <w:b w:val="0"/>
              <w:bCs w:val="0"/>
              <w:sz w:val="24"/>
              <w:szCs w:val="24"/>
              <w:lang w:val="en-US" w:eastAsia="zh-CN"/>
            </w:rPr>
            <w:t>五</w:t>
          </w:r>
          <w:r>
            <w:rPr>
              <w:rFonts w:hint="eastAsia" w:ascii="仿宋" w:hAnsi="仿宋" w:eastAsia="仿宋" w:cs="仿宋"/>
              <w:b w:val="0"/>
              <w:bCs w:val="0"/>
              <w:sz w:val="24"/>
              <w:szCs w:val="24"/>
            </w:rPr>
            <w:t>）</w:t>
          </w:r>
          <w:r>
            <w:rPr>
              <w:rFonts w:hint="eastAsia" w:ascii="仿宋" w:hAnsi="仿宋" w:eastAsia="仿宋" w:cs="仿宋"/>
              <w:b w:val="0"/>
              <w:bCs w:val="0"/>
              <w:sz w:val="24"/>
              <w:szCs w:val="24"/>
              <w:lang w:val="en-US" w:eastAsia="zh-CN"/>
            </w:rPr>
            <w:t>分值评级</w:t>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21</w:t>
          </w:r>
        </w:p>
        <w:p w14:paraId="72AD36C7">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w:t>
          </w:r>
          <w:r>
            <w:rPr>
              <w:rFonts w:hint="eastAsia" w:ascii="仿宋" w:hAnsi="仿宋" w:eastAsia="仿宋" w:cs="仿宋"/>
              <w:b w:val="0"/>
              <w:bCs w:val="0"/>
              <w:sz w:val="24"/>
              <w:szCs w:val="24"/>
              <w:lang w:val="en-US" w:eastAsia="zh-CN"/>
            </w:rPr>
            <w:t>六</w:t>
          </w:r>
          <w:r>
            <w:rPr>
              <w:rFonts w:hint="eastAsia" w:ascii="仿宋" w:hAnsi="仿宋" w:eastAsia="仿宋" w:cs="仿宋"/>
              <w:b w:val="0"/>
              <w:bCs w:val="0"/>
              <w:sz w:val="24"/>
              <w:szCs w:val="24"/>
            </w:rPr>
            <w:t>）组织及实施</w:t>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21</w:t>
          </w:r>
        </w:p>
        <w:p w14:paraId="7ED77508">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三、</w:t>
          </w:r>
          <w:r>
            <w:rPr>
              <w:rFonts w:hint="eastAsia" w:ascii="仿宋" w:hAnsi="仿宋" w:eastAsia="仿宋" w:cs="仿宋"/>
              <w:b/>
              <w:bCs/>
              <w:sz w:val="24"/>
              <w:szCs w:val="24"/>
              <w:lang w:val="en-US" w:eastAsia="zh-CN"/>
            </w:rPr>
            <w:t>综合评价情况及评价结论</w:t>
          </w:r>
          <w:r>
            <w:rPr>
              <w:rFonts w:hint="eastAsia" w:ascii="仿宋" w:hAnsi="仿宋" w:eastAsia="仿宋" w:cs="仿宋"/>
              <w:b/>
              <w:bCs/>
              <w:sz w:val="24"/>
              <w:szCs w:val="24"/>
            </w:rPr>
            <w:tab/>
          </w:r>
          <w:r>
            <w:rPr>
              <w:rFonts w:hint="eastAsia" w:ascii="仿宋" w:hAnsi="仿宋" w:eastAsia="仿宋" w:cs="仿宋"/>
              <w:b/>
              <w:bCs/>
              <w:sz w:val="24"/>
              <w:szCs w:val="24"/>
              <w:lang w:val="en-US" w:eastAsia="zh-CN"/>
            </w:rPr>
            <w:t>23</w:t>
          </w:r>
        </w:p>
        <w:p w14:paraId="6BD5FAC4">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（一）</w:t>
          </w:r>
          <w:r>
            <w:rPr>
              <w:rFonts w:hint="eastAsia" w:ascii="仿宋" w:hAnsi="仿宋" w:eastAsia="仿宋" w:cs="仿宋"/>
              <w:b w:val="0"/>
              <w:bCs w:val="0"/>
              <w:sz w:val="24"/>
              <w:szCs w:val="24"/>
              <w:lang w:val="en-US" w:eastAsia="zh-CN"/>
            </w:rPr>
            <w:t>综合评价情况</w:t>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23</w:t>
          </w:r>
        </w:p>
        <w:p w14:paraId="79DDF72B">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（二）</w:t>
          </w:r>
          <w:r>
            <w:rPr>
              <w:rFonts w:hint="eastAsia" w:ascii="仿宋" w:hAnsi="仿宋" w:eastAsia="仿宋" w:cs="仿宋"/>
              <w:b w:val="0"/>
              <w:bCs w:val="0"/>
              <w:sz w:val="24"/>
              <w:szCs w:val="24"/>
              <w:lang w:val="en-US" w:eastAsia="zh-CN"/>
            </w:rPr>
            <w:t>评价结论</w:t>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23</w:t>
          </w:r>
        </w:p>
        <w:p w14:paraId="640280D4">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rPr>
            <w:t>四、绩效评价指标分析情况</w:t>
          </w:r>
          <w:r>
            <w:rPr>
              <w:rFonts w:hint="eastAsia" w:ascii="仿宋" w:hAnsi="仿宋" w:eastAsia="仿宋" w:cs="仿宋"/>
              <w:b/>
              <w:bCs/>
              <w:sz w:val="24"/>
              <w:szCs w:val="24"/>
            </w:rPr>
            <w:tab/>
          </w:r>
          <w:r>
            <w:rPr>
              <w:rFonts w:hint="eastAsia" w:ascii="仿宋" w:hAnsi="仿宋" w:eastAsia="仿宋" w:cs="仿宋"/>
              <w:b/>
              <w:bCs/>
              <w:sz w:val="24"/>
              <w:szCs w:val="24"/>
              <w:lang w:val="en-US" w:eastAsia="zh-CN"/>
            </w:rPr>
            <w:t>24</w:t>
          </w:r>
        </w:p>
        <w:p w14:paraId="1B8E945C">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（一）</w:t>
          </w:r>
          <w:r>
            <w:rPr>
              <w:rFonts w:hint="eastAsia" w:ascii="仿宋" w:hAnsi="仿宋" w:eastAsia="仿宋" w:cs="仿宋"/>
              <w:b w:val="0"/>
              <w:bCs w:val="0"/>
              <w:sz w:val="24"/>
              <w:szCs w:val="24"/>
              <w:lang w:val="en-US" w:eastAsia="zh-CN"/>
            </w:rPr>
            <w:t>履职效能</w:t>
          </w:r>
          <w:r>
            <w:rPr>
              <w:rFonts w:hint="eastAsia" w:ascii="仿宋" w:hAnsi="仿宋" w:eastAsia="仿宋" w:cs="仿宋"/>
              <w:b w:val="0"/>
              <w:bCs w:val="0"/>
              <w:sz w:val="24"/>
              <w:szCs w:val="24"/>
            </w:rPr>
            <w:tab/>
          </w:r>
          <w:r>
            <w:rPr>
              <w:rFonts w:hint="eastAsia" w:ascii="仿宋" w:hAnsi="仿宋" w:eastAsia="仿宋" w:cs="仿宋"/>
              <w:b w:val="0"/>
              <w:bCs w:val="0"/>
              <w:sz w:val="24"/>
              <w:szCs w:val="24"/>
            </w:rPr>
            <w:t>2</w:t>
          </w:r>
          <w:r>
            <w:rPr>
              <w:rFonts w:hint="eastAsia" w:ascii="仿宋" w:hAnsi="仿宋" w:eastAsia="仿宋" w:cs="仿宋"/>
              <w:b w:val="0"/>
              <w:bCs w:val="0"/>
              <w:sz w:val="24"/>
              <w:szCs w:val="24"/>
              <w:lang w:val="en-US" w:eastAsia="zh-CN"/>
            </w:rPr>
            <w:t>4</w:t>
          </w:r>
        </w:p>
        <w:p w14:paraId="5A0556E9">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（二）</w:t>
          </w:r>
          <w:r>
            <w:rPr>
              <w:rFonts w:hint="eastAsia" w:ascii="仿宋" w:hAnsi="仿宋" w:eastAsia="仿宋" w:cs="仿宋"/>
              <w:b w:val="0"/>
              <w:bCs w:val="0"/>
              <w:sz w:val="24"/>
              <w:szCs w:val="24"/>
              <w:lang w:val="en-US" w:eastAsia="zh-CN"/>
            </w:rPr>
            <w:t>管理效率</w:t>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28</w:t>
          </w:r>
        </w:p>
        <w:p w14:paraId="024B7D2D">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ind w:firstLine="480" w:firstLineChars="200"/>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rPr>
            <w:t>（三）</w:t>
          </w:r>
          <w:r>
            <w:rPr>
              <w:rFonts w:hint="eastAsia" w:ascii="仿宋" w:hAnsi="仿宋" w:eastAsia="仿宋" w:cs="仿宋"/>
              <w:b w:val="0"/>
              <w:bCs w:val="0"/>
              <w:sz w:val="24"/>
              <w:szCs w:val="24"/>
              <w:lang w:val="en-US" w:eastAsia="zh-CN"/>
            </w:rPr>
            <w:t>社会效应</w:t>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37</w:t>
          </w:r>
        </w:p>
        <w:p w14:paraId="33DF87FB">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ind w:firstLine="480" w:firstLineChars="200"/>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rPr>
            <w:t>（四）</w:t>
          </w:r>
          <w:r>
            <w:rPr>
              <w:rFonts w:hint="eastAsia" w:ascii="仿宋" w:hAnsi="仿宋" w:eastAsia="仿宋" w:cs="仿宋"/>
              <w:b w:val="0"/>
              <w:bCs w:val="0"/>
              <w:sz w:val="24"/>
              <w:szCs w:val="24"/>
              <w:lang w:val="en-US" w:eastAsia="zh-CN"/>
            </w:rPr>
            <w:t>可持续性</w:t>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43</w:t>
          </w:r>
        </w:p>
        <w:p w14:paraId="41CBFE93">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val="0"/>
              <w:bCs w:val="0"/>
              <w:sz w:val="24"/>
              <w:szCs w:val="24"/>
              <w:lang w:eastAsia="zh-CN"/>
            </w:rPr>
          </w:pPr>
          <w:r>
            <w:rPr>
              <w:rFonts w:hint="eastAsia" w:ascii="仿宋" w:hAnsi="仿宋" w:eastAsia="仿宋" w:cs="仿宋"/>
              <w:b/>
              <w:bCs/>
              <w:sz w:val="24"/>
              <w:szCs w:val="24"/>
            </w:rPr>
            <w:t>五、</w:t>
          </w:r>
          <w:r>
            <w:rPr>
              <w:rFonts w:hint="eastAsia" w:ascii="仿宋" w:hAnsi="仿宋" w:eastAsia="仿宋" w:cs="仿宋"/>
              <w:b/>
              <w:bCs/>
              <w:sz w:val="24"/>
              <w:szCs w:val="24"/>
              <w:lang w:val="en-US" w:eastAsia="zh-CN"/>
            </w:rPr>
            <w:t>主要经验及做法</w:t>
          </w:r>
          <w:r>
            <w:rPr>
              <w:rFonts w:hint="eastAsia" w:ascii="仿宋" w:hAnsi="仿宋" w:eastAsia="仿宋" w:cs="仿宋"/>
              <w:b/>
              <w:bCs/>
              <w:sz w:val="24"/>
              <w:szCs w:val="24"/>
            </w:rPr>
            <w:tab/>
          </w:r>
          <w:r>
            <w:rPr>
              <w:rFonts w:hint="eastAsia" w:ascii="仿宋" w:hAnsi="仿宋" w:eastAsia="仿宋" w:cs="仿宋"/>
              <w:b/>
              <w:bCs/>
              <w:sz w:val="24"/>
              <w:szCs w:val="24"/>
              <w:lang w:val="en-US" w:eastAsia="zh-CN"/>
            </w:rPr>
            <w:t>46</w:t>
          </w:r>
        </w:p>
        <w:p w14:paraId="2CA32BE4">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六、存在的问题及</w:t>
          </w:r>
          <w:r>
            <w:rPr>
              <w:rFonts w:hint="eastAsia" w:ascii="仿宋" w:hAnsi="仿宋" w:eastAsia="仿宋" w:cs="仿宋"/>
              <w:b/>
              <w:bCs/>
              <w:sz w:val="24"/>
              <w:szCs w:val="24"/>
              <w:lang w:val="en-US" w:eastAsia="zh-CN"/>
            </w:rPr>
            <w:t>原因分析</w:t>
          </w:r>
          <w:r>
            <w:rPr>
              <w:rFonts w:hint="eastAsia" w:ascii="仿宋" w:hAnsi="仿宋" w:eastAsia="仿宋" w:cs="仿宋"/>
              <w:b/>
              <w:bCs/>
              <w:sz w:val="24"/>
              <w:szCs w:val="24"/>
            </w:rPr>
            <w:tab/>
          </w:r>
          <w:r>
            <w:rPr>
              <w:rFonts w:hint="eastAsia" w:ascii="仿宋" w:hAnsi="仿宋" w:eastAsia="仿宋" w:cs="仿宋"/>
              <w:b/>
              <w:bCs/>
              <w:sz w:val="24"/>
              <w:szCs w:val="24"/>
              <w:lang w:val="en-US" w:eastAsia="zh-CN"/>
            </w:rPr>
            <w:t>47</w:t>
          </w:r>
        </w:p>
        <w:p w14:paraId="73198243">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val="en-US" w:eastAsia="zh-CN"/>
            </w:rPr>
            <w:t>七</w:t>
          </w:r>
          <w:r>
            <w:rPr>
              <w:rFonts w:hint="eastAsia" w:ascii="仿宋" w:hAnsi="仿宋" w:eastAsia="仿宋" w:cs="仿宋"/>
              <w:b/>
              <w:bCs/>
              <w:sz w:val="24"/>
              <w:szCs w:val="24"/>
            </w:rPr>
            <w:t>、</w:t>
          </w:r>
          <w:r>
            <w:rPr>
              <w:rFonts w:hint="eastAsia" w:ascii="仿宋" w:hAnsi="仿宋" w:eastAsia="仿宋" w:cs="仿宋"/>
              <w:b/>
              <w:bCs/>
              <w:sz w:val="24"/>
              <w:szCs w:val="24"/>
              <w:lang w:val="en-US" w:eastAsia="zh-CN"/>
            </w:rPr>
            <w:t>有关建议</w:t>
          </w:r>
          <w:r>
            <w:rPr>
              <w:rFonts w:hint="eastAsia" w:ascii="仿宋" w:hAnsi="仿宋" w:eastAsia="仿宋" w:cs="仿宋"/>
              <w:b/>
              <w:bCs/>
              <w:sz w:val="24"/>
              <w:szCs w:val="24"/>
            </w:rPr>
            <w:tab/>
          </w:r>
          <w:r>
            <w:rPr>
              <w:rFonts w:hint="eastAsia" w:ascii="仿宋" w:hAnsi="仿宋" w:eastAsia="仿宋" w:cs="仿宋"/>
              <w:b/>
              <w:bCs/>
              <w:sz w:val="24"/>
              <w:szCs w:val="24"/>
              <w:lang w:val="en-US" w:eastAsia="zh-CN"/>
            </w:rPr>
            <w:t>47</w:t>
          </w:r>
        </w:p>
        <w:p w14:paraId="192061AB">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val="0"/>
              <w:bCs w:val="0"/>
              <w:sz w:val="24"/>
              <w:szCs w:val="24"/>
              <w:lang w:eastAsia="zh-CN"/>
            </w:rPr>
          </w:pPr>
          <w:r>
            <w:rPr>
              <w:rFonts w:hint="eastAsia" w:ascii="仿宋" w:hAnsi="仿宋" w:eastAsia="仿宋" w:cs="仿宋"/>
              <w:b/>
              <w:bCs/>
              <w:sz w:val="24"/>
              <w:szCs w:val="24"/>
            </w:rPr>
            <w:t>八、绩效评价结果应用建议</w:t>
          </w:r>
          <w:r>
            <w:rPr>
              <w:rFonts w:hint="eastAsia" w:ascii="仿宋" w:hAnsi="仿宋" w:eastAsia="仿宋" w:cs="仿宋"/>
              <w:b/>
              <w:bCs/>
              <w:sz w:val="24"/>
              <w:szCs w:val="24"/>
            </w:rPr>
            <w:tab/>
          </w:r>
          <w:r>
            <w:rPr>
              <w:rFonts w:hint="eastAsia" w:ascii="仿宋" w:hAnsi="仿宋" w:eastAsia="仿宋" w:cs="仿宋"/>
              <w:b/>
              <w:bCs/>
              <w:sz w:val="24"/>
              <w:szCs w:val="24"/>
              <w:lang w:val="en-US" w:eastAsia="zh-CN"/>
            </w:rPr>
            <w:t>48</w:t>
          </w:r>
        </w:p>
        <w:p w14:paraId="41697DA2">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rPr>
            <w:t>附件1：绩效评价指标</w:t>
          </w:r>
          <w:r>
            <w:rPr>
              <w:rFonts w:hint="eastAsia" w:ascii="仿宋" w:hAnsi="仿宋" w:eastAsia="仿宋" w:cs="仿宋"/>
              <w:b/>
              <w:bCs/>
              <w:sz w:val="24"/>
              <w:szCs w:val="24"/>
              <w:lang w:val="en-US" w:eastAsia="zh-CN"/>
            </w:rPr>
            <w:t>体系</w:t>
          </w:r>
          <w:r>
            <w:rPr>
              <w:rFonts w:hint="eastAsia" w:ascii="仿宋" w:hAnsi="仿宋" w:eastAsia="仿宋" w:cs="仿宋"/>
              <w:b/>
              <w:bCs/>
              <w:sz w:val="24"/>
              <w:szCs w:val="24"/>
            </w:rPr>
            <w:tab/>
          </w:r>
          <w:r>
            <w:rPr>
              <w:rFonts w:hint="eastAsia" w:ascii="仿宋" w:hAnsi="仿宋" w:eastAsia="仿宋" w:cs="仿宋"/>
              <w:b/>
              <w:bCs/>
              <w:sz w:val="24"/>
              <w:szCs w:val="24"/>
              <w:lang w:val="en-US" w:eastAsia="zh-CN"/>
            </w:rPr>
            <w:t>50</w:t>
          </w:r>
        </w:p>
        <w:p w14:paraId="3B71C2B9">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rPr>
            <w:t>附件</w:t>
          </w:r>
          <w:r>
            <w:rPr>
              <w:rFonts w:hint="eastAsia" w:ascii="仿宋" w:hAnsi="仿宋" w:eastAsia="仿宋" w:cs="仿宋"/>
              <w:b/>
              <w:bCs/>
              <w:sz w:val="24"/>
              <w:szCs w:val="24"/>
              <w:lang w:val="en-US" w:eastAsia="zh-CN"/>
            </w:rPr>
            <w:t>2</w:t>
          </w:r>
          <w:r>
            <w:rPr>
              <w:rFonts w:hint="eastAsia" w:ascii="仿宋" w:hAnsi="仿宋" w:eastAsia="仿宋" w:cs="仿宋"/>
              <w:b/>
              <w:bCs/>
              <w:sz w:val="24"/>
              <w:szCs w:val="24"/>
            </w:rPr>
            <w:t>：绩效评价指标评分表</w:t>
          </w:r>
          <w:r>
            <w:rPr>
              <w:rFonts w:hint="eastAsia" w:ascii="仿宋" w:hAnsi="仿宋" w:eastAsia="仿宋" w:cs="仿宋"/>
              <w:b/>
              <w:bCs/>
              <w:sz w:val="24"/>
              <w:szCs w:val="24"/>
            </w:rPr>
            <w:tab/>
          </w:r>
          <w:r>
            <w:rPr>
              <w:rFonts w:hint="eastAsia" w:ascii="仿宋" w:hAnsi="仿宋" w:eastAsia="仿宋" w:cs="仿宋"/>
              <w:b/>
              <w:bCs/>
              <w:sz w:val="24"/>
              <w:szCs w:val="24"/>
              <w:lang w:val="en-US" w:eastAsia="zh-CN"/>
            </w:rPr>
            <w:t>59</w:t>
          </w:r>
        </w:p>
        <w:p w14:paraId="6055CBFA">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rPr>
            <w:t>附件</w:t>
          </w: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w:t>
          </w:r>
          <w:r>
            <w:rPr>
              <w:rFonts w:hint="eastAsia" w:ascii="仿宋" w:hAnsi="仿宋" w:eastAsia="仿宋" w:cs="仿宋"/>
              <w:b/>
              <w:bCs/>
              <w:sz w:val="24"/>
              <w:szCs w:val="24"/>
              <w:lang w:val="en-US" w:eastAsia="zh-CN"/>
            </w:rPr>
            <w:t>反映绩效的照片</w:t>
          </w:r>
          <w:r>
            <w:rPr>
              <w:rFonts w:hint="eastAsia" w:ascii="仿宋" w:hAnsi="仿宋" w:eastAsia="仿宋" w:cs="仿宋"/>
              <w:b/>
              <w:bCs/>
              <w:sz w:val="24"/>
              <w:szCs w:val="24"/>
            </w:rPr>
            <w:tab/>
          </w:r>
          <w:r>
            <w:rPr>
              <w:rFonts w:hint="eastAsia" w:ascii="仿宋" w:hAnsi="仿宋" w:eastAsia="仿宋" w:cs="仿宋"/>
              <w:b/>
              <w:bCs/>
              <w:sz w:val="24"/>
              <w:szCs w:val="24"/>
              <w:lang w:val="en-US" w:eastAsia="zh-CN"/>
            </w:rPr>
            <w:t>60</w:t>
          </w:r>
        </w:p>
        <w:p w14:paraId="0AB2D2AC">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rPr>
            <w:t>附件</w:t>
          </w:r>
          <w:r>
            <w:rPr>
              <w:rFonts w:hint="eastAsia" w:ascii="仿宋" w:hAnsi="仿宋" w:eastAsia="仿宋" w:cs="仿宋"/>
              <w:b/>
              <w:bCs/>
              <w:sz w:val="24"/>
              <w:szCs w:val="24"/>
              <w:lang w:val="en-US" w:eastAsia="zh-CN"/>
            </w:rPr>
            <w:t>4</w:t>
          </w:r>
          <w:r>
            <w:rPr>
              <w:rFonts w:hint="eastAsia" w:ascii="仿宋" w:hAnsi="仿宋" w:eastAsia="仿宋" w:cs="仿宋"/>
              <w:b/>
              <w:bCs/>
              <w:sz w:val="24"/>
              <w:szCs w:val="24"/>
            </w:rPr>
            <w:t>：</w:t>
          </w:r>
          <w:r>
            <w:rPr>
              <w:rFonts w:hint="eastAsia" w:ascii="仿宋" w:hAnsi="仿宋" w:eastAsia="仿宋" w:cs="仿宋"/>
              <w:b/>
              <w:bCs/>
              <w:sz w:val="24"/>
              <w:szCs w:val="24"/>
              <w:lang w:val="en-US" w:eastAsia="zh-CN"/>
            </w:rPr>
            <w:t>调查问卷分析报告</w:t>
          </w:r>
          <w:r>
            <w:rPr>
              <w:rFonts w:hint="eastAsia" w:ascii="仿宋" w:hAnsi="仿宋" w:eastAsia="仿宋" w:cs="仿宋"/>
              <w:b/>
              <w:bCs/>
              <w:sz w:val="24"/>
              <w:szCs w:val="24"/>
            </w:rPr>
            <w:tab/>
          </w:r>
          <w:r>
            <w:rPr>
              <w:rFonts w:hint="eastAsia" w:ascii="仿宋" w:hAnsi="仿宋" w:eastAsia="仿宋" w:cs="仿宋"/>
              <w:b/>
              <w:bCs/>
              <w:sz w:val="24"/>
              <w:szCs w:val="24"/>
              <w:lang w:val="en-US" w:eastAsia="zh-CN"/>
            </w:rPr>
            <w:t>64</w:t>
          </w:r>
        </w:p>
        <w:p w14:paraId="34977DC8">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rPr>
            <w:t>附件</w:t>
          </w:r>
          <w:r>
            <w:rPr>
              <w:rFonts w:hint="eastAsia" w:ascii="仿宋" w:hAnsi="仿宋" w:eastAsia="仿宋" w:cs="仿宋"/>
              <w:b/>
              <w:bCs/>
              <w:sz w:val="24"/>
              <w:szCs w:val="24"/>
              <w:lang w:val="en-US" w:eastAsia="zh-CN"/>
            </w:rPr>
            <w:t>5</w:t>
          </w:r>
          <w:r>
            <w:rPr>
              <w:rFonts w:hint="eastAsia" w:ascii="仿宋" w:hAnsi="仿宋" w:eastAsia="仿宋" w:cs="仿宋"/>
              <w:b/>
              <w:bCs/>
              <w:sz w:val="24"/>
              <w:szCs w:val="24"/>
            </w:rPr>
            <w:t>：</w:t>
          </w:r>
          <w:r>
            <w:rPr>
              <w:rFonts w:hint="eastAsia" w:ascii="仿宋" w:hAnsi="仿宋" w:eastAsia="仿宋" w:cs="仿宋"/>
              <w:b/>
              <w:bCs/>
              <w:sz w:val="24"/>
              <w:szCs w:val="24"/>
              <w:lang w:val="en-US" w:eastAsia="zh-CN"/>
            </w:rPr>
            <w:t>基础数据采集表</w:t>
          </w:r>
          <w:r>
            <w:rPr>
              <w:rFonts w:hint="eastAsia" w:ascii="仿宋" w:hAnsi="仿宋" w:eastAsia="仿宋" w:cs="仿宋"/>
              <w:b/>
              <w:bCs/>
              <w:sz w:val="24"/>
              <w:szCs w:val="24"/>
            </w:rPr>
            <w:tab/>
          </w:r>
          <w:r>
            <w:rPr>
              <w:rFonts w:hint="eastAsia" w:ascii="仿宋" w:hAnsi="仿宋" w:eastAsia="仿宋" w:cs="仿宋"/>
              <w:b/>
              <w:bCs/>
              <w:sz w:val="24"/>
              <w:szCs w:val="24"/>
              <w:lang w:val="en-US" w:eastAsia="zh-CN"/>
            </w:rPr>
            <w:t>66</w:t>
          </w:r>
        </w:p>
        <w:p w14:paraId="13473976">
          <w:pPr>
            <w:pStyle w:val="10"/>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rPr>
            <w:t>附件</w:t>
          </w:r>
          <w:r>
            <w:rPr>
              <w:rFonts w:hint="eastAsia" w:ascii="仿宋" w:hAnsi="仿宋" w:eastAsia="仿宋" w:cs="仿宋"/>
              <w:b/>
              <w:bCs/>
              <w:sz w:val="24"/>
              <w:szCs w:val="24"/>
              <w:lang w:val="en-US" w:eastAsia="zh-CN"/>
            </w:rPr>
            <w:t>6</w:t>
          </w:r>
          <w:r>
            <w:rPr>
              <w:rFonts w:hint="eastAsia" w:ascii="仿宋" w:hAnsi="仿宋" w:eastAsia="仿宋" w:cs="仿宋"/>
              <w:b/>
              <w:bCs/>
              <w:sz w:val="24"/>
              <w:szCs w:val="24"/>
            </w:rPr>
            <w:t>：</w:t>
          </w:r>
          <w:r>
            <w:rPr>
              <w:rFonts w:hint="eastAsia" w:ascii="仿宋" w:hAnsi="仿宋" w:eastAsia="仿宋" w:cs="仿宋"/>
              <w:b/>
              <w:bCs/>
              <w:sz w:val="24"/>
              <w:szCs w:val="24"/>
              <w:lang w:val="en-US" w:eastAsia="zh-CN"/>
            </w:rPr>
            <w:t>部门整体支出合规性检查</w:t>
          </w:r>
          <w:r>
            <w:rPr>
              <w:rFonts w:hint="eastAsia" w:ascii="仿宋" w:hAnsi="仿宋" w:eastAsia="仿宋" w:cs="仿宋"/>
              <w:b/>
              <w:bCs/>
              <w:sz w:val="24"/>
              <w:szCs w:val="24"/>
            </w:rPr>
            <w:tab/>
          </w:r>
          <w:r>
            <w:rPr>
              <w:rFonts w:hint="eastAsia" w:ascii="仿宋" w:hAnsi="仿宋" w:eastAsia="仿宋" w:cs="仿宋"/>
              <w:b/>
              <w:bCs/>
              <w:sz w:val="24"/>
              <w:szCs w:val="24"/>
              <w:lang w:val="en-US" w:eastAsia="zh-CN"/>
            </w:rPr>
            <w:t>67</w:t>
          </w:r>
        </w:p>
        <w:p w14:paraId="4EB937A7">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Content>
    </w:sdt>
    <w:p w14:paraId="384BD0FB">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仿宋" w:hAnsi="仿宋" w:eastAsia="仿宋" w:cs="仿宋"/>
          <w:b/>
          <w:bCs/>
          <w:sz w:val="32"/>
          <w:szCs w:val="32"/>
          <w:lang w:val="en-US" w:eastAsia="zh-CN"/>
        </w:rPr>
      </w:pPr>
      <w:bookmarkStart w:id="4" w:name="_Toc10375"/>
      <w:r>
        <w:rPr>
          <w:rFonts w:hint="eastAsia" w:ascii="仿宋" w:hAnsi="仿宋" w:eastAsia="仿宋" w:cs="仿宋"/>
          <w:b/>
          <w:bCs/>
          <w:sz w:val="32"/>
          <w:szCs w:val="32"/>
          <w:lang w:val="en-US" w:eastAsia="zh-CN"/>
        </w:rPr>
        <w:t>摘  要</w:t>
      </w:r>
      <w:bookmarkEnd w:id="4"/>
    </w:p>
    <w:p w14:paraId="03B29BC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highlight w:val="none"/>
          <w:lang w:val="en-US" w:eastAsia="zh-CN"/>
        </w:rPr>
      </w:pPr>
      <w:bookmarkStart w:id="5" w:name="_Toc3191_WPSOffice_Level1"/>
      <w:bookmarkStart w:id="6" w:name="_Toc1130_WPSOffice_Level1"/>
      <w:bookmarkStart w:id="7" w:name="_Toc13429_WPSOffice_Level1"/>
      <w:bookmarkStart w:id="8" w:name="_Toc12898_WPSOffice_Level1"/>
      <w:bookmarkStart w:id="9" w:name="_Toc21200_WPSOffice_Level1"/>
      <w:bookmarkStart w:id="10" w:name="_Toc10379_WPSOffice_Level1"/>
      <w:bookmarkStart w:id="11" w:name="_Toc25652_WPSOffice_Level1"/>
      <w:bookmarkStart w:id="12" w:name="_Toc10139_WPSOffice_Level1"/>
      <w:bookmarkStart w:id="13" w:name="_Toc17584_WPSOffice_Level1"/>
      <w:bookmarkStart w:id="14" w:name="_Toc31436_WPSOffice_Level1"/>
      <w:r>
        <w:rPr>
          <w:rFonts w:hint="eastAsia" w:ascii="仿宋" w:hAnsi="仿宋" w:eastAsia="仿宋" w:cs="仿宋"/>
          <w:b/>
          <w:bCs/>
          <w:sz w:val="28"/>
          <w:szCs w:val="28"/>
          <w:highlight w:val="none"/>
          <w:lang w:val="en-US" w:eastAsia="zh-CN"/>
        </w:rPr>
        <w:t>一、</w:t>
      </w:r>
      <w:bookmarkEnd w:id="5"/>
      <w:bookmarkEnd w:id="6"/>
      <w:bookmarkEnd w:id="7"/>
      <w:bookmarkEnd w:id="8"/>
      <w:bookmarkEnd w:id="9"/>
      <w:bookmarkEnd w:id="10"/>
      <w:bookmarkEnd w:id="11"/>
      <w:bookmarkEnd w:id="12"/>
      <w:bookmarkEnd w:id="13"/>
      <w:r>
        <w:rPr>
          <w:rFonts w:hint="eastAsia" w:ascii="仿宋" w:hAnsi="仿宋" w:eastAsia="仿宋" w:cs="仿宋"/>
          <w:b/>
          <w:bCs/>
          <w:sz w:val="28"/>
          <w:szCs w:val="28"/>
          <w:highlight w:val="none"/>
          <w:lang w:val="en-US" w:eastAsia="zh-CN"/>
        </w:rPr>
        <w:t>整体概况</w:t>
      </w:r>
      <w:bookmarkEnd w:id="14"/>
    </w:p>
    <w:p w14:paraId="47F2C9E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highlight w:val="none"/>
          <w:lang w:val="en-US" w:eastAsia="zh-CN"/>
        </w:rPr>
      </w:pPr>
      <w:bookmarkStart w:id="15" w:name="_Toc5536_WPSOffice_Level2"/>
      <w:r>
        <w:rPr>
          <w:rFonts w:hint="eastAsia" w:ascii="仿宋" w:hAnsi="仿宋" w:eastAsia="仿宋" w:cs="仿宋"/>
          <w:b/>
          <w:bCs/>
          <w:sz w:val="28"/>
          <w:szCs w:val="28"/>
          <w:highlight w:val="none"/>
          <w:lang w:val="en-US" w:eastAsia="zh-CN"/>
        </w:rPr>
        <w:t>（一）部门简介</w:t>
      </w:r>
      <w:bookmarkEnd w:id="15"/>
    </w:p>
    <w:p w14:paraId="358E8FE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trike w:val="0"/>
          <w:dstrike w:val="0"/>
          <w:sz w:val="28"/>
          <w:szCs w:val="28"/>
          <w:highlight w:val="none"/>
          <w:lang w:val="en-US" w:eastAsia="zh-CN"/>
        </w:rPr>
        <w:t>永济市市容环卫中心是永济市住房保障和城乡建设管理局下属事业单位，股级建制；统一社会信用代码：12141081408360157C；住所：永济市康乐路51号</w:t>
      </w:r>
      <w:r>
        <w:rPr>
          <w:rFonts w:hint="eastAsia" w:ascii="仿宋" w:hAnsi="仿宋" w:eastAsia="仿宋" w:cs="仿宋"/>
          <w:sz w:val="28"/>
          <w:szCs w:val="28"/>
          <w:highlight w:val="none"/>
          <w:lang w:val="en-US" w:eastAsia="zh-CN"/>
        </w:rPr>
        <w:t>。内设机构有：办公室、财务科、质检科、收费科、党建办、清运队、清扫一队、清扫二队、清扫三队、清扫四队、清扫五队。</w:t>
      </w:r>
    </w:p>
    <w:p w14:paraId="729FE02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lang w:val="en-US" w:eastAsia="zh-CN"/>
        </w:rPr>
        <w:t>永济市市容环卫中心</w:t>
      </w:r>
      <w:r>
        <w:rPr>
          <w:rFonts w:hint="eastAsia" w:ascii="仿宋" w:hAnsi="仿宋" w:eastAsia="仿宋" w:cs="仿宋"/>
          <w:kern w:val="2"/>
          <w:sz w:val="28"/>
          <w:szCs w:val="28"/>
          <w:highlight w:val="none"/>
          <w:lang w:val="en-US" w:eastAsia="zh-CN" w:bidi="ar-SA"/>
        </w:rPr>
        <w:t>核定差额事业编制13名，实有在编人员37人，其中23人借调至其他单位。临时环卫人员共647人，其中机关人员10人，清运机扫队94人，环卫工人及公厕管理员等543人。</w:t>
      </w:r>
    </w:p>
    <w:p w14:paraId="1B5B9B09">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outlineLvl w:val="1"/>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（二）部门整体绩效目标</w:t>
      </w:r>
    </w:p>
    <w:p w14:paraId="472A4E81">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0"/>
        <w:rPr>
          <w:rFonts w:hint="eastAsia" w:ascii="仿宋" w:hAnsi="仿宋" w:eastAsia="仿宋" w:cs="仿宋"/>
          <w:b/>
          <w:bCs w:val="0"/>
          <w:sz w:val="28"/>
          <w:szCs w:val="28"/>
          <w:highlight w:val="none"/>
          <w:lang w:val="en-US" w:eastAsia="zh-CN"/>
        </w:rPr>
      </w:pPr>
      <w:r>
        <w:rPr>
          <w:rFonts w:hint="eastAsia" w:ascii="仿宋" w:hAnsi="仿宋" w:eastAsia="仿宋" w:cs="仿宋"/>
          <w:b/>
          <w:bCs w:val="0"/>
          <w:sz w:val="28"/>
          <w:szCs w:val="28"/>
          <w:highlight w:val="none"/>
          <w:lang w:val="en-US" w:eastAsia="zh-CN"/>
        </w:rPr>
        <w:t>1.总体目标</w:t>
      </w:r>
    </w:p>
    <w:p w14:paraId="41A2C6C0">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市容环卫中心的总体目标是：贯彻落实城市市容环境卫生方面的方针政策、法律法规；负责城区主次干道、小街小巷等清扫保洁和城区机关单位、街道、家属区、生活垃圾分类收集、转运工作；负责城区公共卫生间、垃圾中转站及各类环卫设施的建设、运营、维护和管理工作；负责城区生活垃圾分类的相关工作；负责城区餐厨垃圾收集转运和处置工作；负责城区粪便垃圾收集转运和处置工作；负责生活垃圾无害化处置及生活垃圾焚烧发电运行的监管工作；承担城区生活垃圾、餐厨垃圾和粪便垃圾等特许经营企业的合同履约、考核评价相关工作；负责受理有关市容环境卫生的投诉和举报；完成市住建局交办的其他任务。为建设“魅力永济”作出应有的贡献。</w:t>
      </w:r>
    </w:p>
    <w:p w14:paraId="26D32E7F">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0"/>
        <w:rPr>
          <w:rFonts w:hint="eastAsia" w:ascii="仿宋" w:hAnsi="仿宋" w:eastAsia="仿宋" w:cs="仿宋"/>
          <w:sz w:val="28"/>
          <w:szCs w:val="28"/>
          <w:highlight w:val="none"/>
          <w:lang w:val="en-US" w:eastAsia="zh-CN"/>
        </w:rPr>
      </w:pPr>
      <w:r>
        <w:rPr>
          <w:rFonts w:hint="eastAsia" w:ascii="仿宋" w:hAnsi="仿宋" w:eastAsia="仿宋" w:cs="仿宋"/>
          <w:b/>
          <w:bCs w:val="0"/>
          <w:sz w:val="28"/>
          <w:szCs w:val="28"/>
          <w:highlight w:val="none"/>
          <w:lang w:val="en-US" w:eastAsia="zh-CN"/>
        </w:rPr>
        <w:t>2.年度任务</w:t>
      </w:r>
    </w:p>
    <w:p w14:paraId="75400BA2">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w:t>
      </w:r>
      <w:r>
        <w:rPr>
          <w:rFonts w:hint="eastAsia" w:ascii="仿宋" w:hAnsi="仿宋" w:eastAsia="仿宋" w:cs="仿宋"/>
          <w:strike w:val="0"/>
          <w:dstrike w:val="0"/>
          <w:sz w:val="28"/>
          <w:szCs w:val="28"/>
          <w:highlight w:val="none"/>
          <w:lang w:val="en-US" w:eastAsia="zh-CN"/>
        </w:rPr>
        <w:t>日常清扫保洁、冲洗降尘、清运垃圾：对永济市区385.29万㎡的作业区域，按照“机扫、人保、冲洗”三位一体的模式进行清扫保洁；每天对城区内28余条主次街道进行冲洗降尘；清理街道抛洒，清运无主垃圾、生活垃圾、餐厨垃圾等</w:t>
      </w:r>
      <w:r>
        <w:rPr>
          <w:rFonts w:hint="eastAsia" w:ascii="仿宋" w:hAnsi="仿宋" w:eastAsia="仿宋" w:cs="仿宋"/>
          <w:sz w:val="28"/>
          <w:szCs w:val="28"/>
          <w:highlight w:val="none"/>
          <w:lang w:val="en-US" w:eastAsia="zh-CN"/>
        </w:rPr>
        <w:t>。</w:t>
      </w:r>
    </w:p>
    <w:p w14:paraId="5E051AD6">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（2）开展垃圾分类投放点建设工作，举行垃圾分类宣传活动。</w:t>
      </w:r>
    </w:p>
    <w:p w14:paraId="7ADF9671">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（3）按时完成政府工作报告中新建10座公厕的建设任务。</w:t>
      </w:r>
    </w:p>
    <w:p w14:paraId="0F10269B">
      <w:pPr>
        <w:ind w:firstLine="560" w:firstLineChars="200"/>
        <w:outlineLvl w:val="0"/>
        <w:rPr>
          <w:rFonts w:hint="eastAsia" w:ascii="仿宋" w:hAnsi="仿宋" w:eastAsia="仿宋" w:cs="仿宋"/>
          <w:strike w:val="0"/>
          <w:dstrike w:val="0"/>
          <w:sz w:val="28"/>
          <w:szCs w:val="28"/>
          <w:highlight w:val="none"/>
          <w:lang w:val="en-US" w:eastAsia="zh-CN"/>
        </w:rPr>
      </w:pPr>
      <w:r>
        <w:rPr>
          <w:rFonts w:hint="eastAsia" w:ascii="仿宋" w:hAnsi="仿宋" w:eastAsia="仿宋" w:cs="仿宋"/>
          <w:strike w:val="0"/>
          <w:dstrike w:val="0"/>
          <w:sz w:val="28"/>
          <w:szCs w:val="28"/>
          <w:highlight w:val="none"/>
          <w:lang w:val="en-US" w:eastAsia="zh-CN"/>
        </w:rPr>
        <w:t>（4）驿站、公厕、中转站管理：对辖区33座驿站、公厕及4座中转站进行日常管理，实行“四净三无两通一明一香”标准。</w:t>
      </w:r>
    </w:p>
    <w:p w14:paraId="062ECEDB">
      <w:pPr>
        <w:ind w:firstLine="560" w:firstLineChars="200"/>
        <w:outlineLvl w:val="0"/>
        <w:rPr>
          <w:rFonts w:hint="default" w:ascii="仿宋" w:hAnsi="仿宋" w:eastAsia="仿宋" w:cs="仿宋"/>
          <w:strike w:val="0"/>
          <w:dstrike w:val="0"/>
          <w:sz w:val="28"/>
          <w:szCs w:val="28"/>
          <w:highlight w:val="none"/>
          <w:lang w:val="en-US" w:eastAsia="zh-CN"/>
        </w:rPr>
      </w:pPr>
      <w:r>
        <w:rPr>
          <w:rFonts w:hint="eastAsia" w:ascii="仿宋" w:hAnsi="仿宋" w:eastAsia="仿宋" w:cs="仿宋"/>
          <w:strike w:val="0"/>
          <w:dstrike w:val="0"/>
          <w:sz w:val="28"/>
          <w:szCs w:val="28"/>
          <w:highlight w:val="none"/>
          <w:lang w:val="en-US" w:eastAsia="zh-CN"/>
        </w:rPr>
        <w:t>（5）垃圾处置费征收：开展垃圾处置费收费人员的管理培训，以自主缴费为主、供水部门代收为辅的方式征收垃圾处置费。</w:t>
      </w:r>
    </w:p>
    <w:p w14:paraId="635B6D7B">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trike w:val="0"/>
          <w:dstrike w:val="0"/>
          <w:sz w:val="28"/>
          <w:szCs w:val="28"/>
          <w:highlight w:val="none"/>
          <w:lang w:val="en-US" w:eastAsia="zh-CN"/>
        </w:rPr>
        <w:t>（6）其他工作：处理信访投诉，按规定开展党建工作等。</w:t>
      </w:r>
    </w:p>
    <w:p w14:paraId="1BA438B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（三）主要经验及做法</w:t>
      </w:r>
    </w:p>
    <w:p w14:paraId="4CD432AF">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trike w:val="0"/>
          <w:dstrike w:val="0"/>
          <w:sz w:val="28"/>
          <w:szCs w:val="28"/>
          <w:highlight w:val="none"/>
          <w:lang w:val="en-US" w:eastAsia="zh-CN"/>
        </w:rPr>
      </w:pPr>
      <w:r>
        <w:rPr>
          <w:rFonts w:hint="eastAsia" w:ascii="仿宋" w:hAnsi="仿宋" w:eastAsia="仿宋" w:cs="仿宋"/>
          <w:b w:val="0"/>
          <w:bCs w:val="0"/>
          <w:strike w:val="0"/>
          <w:dstrike w:val="0"/>
          <w:sz w:val="28"/>
          <w:szCs w:val="28"/>
          <w:highlight w:val="none"/>
          <w:lang w:val="en-US" w:eastAsia="zh-CN"/>
        </w:rPr>
        <w:t>永济市市容环卫中心实行精细化管理，巧用“加减乘除”工作法，使城区市容环境卫生进一步提质增效。</w:t>
      </w:r>
    </w:p>
    <w:p w14:paraId="5C31E1E8">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trike w:val="0"/>
          <w:dstrike w:val="0"/>
          <w:sz w:val="28"/>
          <w:szCs w:val="28"/>
          <w:highlight w:val="none"/>
          <w:lang w:val="en-US" w:eastAsia="zh-CN"/>
        </w:rPr>
      </w:pPr>
      <w:r>
        <w:rPr>
          <w:rFonts w:hint="eastAsia" w:ascii="仿宋" w:hAnsi="仿宋" w:eastAsia="仿宋" w:cs="仿宋"/>
          <w:b w:val="0"/>
          <w:bCs w:val="0"/>
          <w:strike w:val="0"/>
          <w:dstrike w:val="0"/>
          <w:sz w:val="28"/>
          <w:szCs w:val="28"/>
          <w:highlight w:val="none"/>
          <w:lang w:val="en-US" w:eastAsia="zh-CN"/>
        </w:rPr>
        <w:t>机械清扫与人工保洁做“加”法：实施“一街一策”“错时”作业方式，城区街道全天候清扫、保洁，生活垃圾及街道漂浮物由“日产日清”到“随有随清、随脏随扫”，实现“机扫、人保、冲洗”三位一体作业方式。</w:t>
      </w:r>
    </w:p>
    <w:p w14:paraId="17C1D0C4">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trike w:val="0"/>
          <w:dstrike w:val="0"/>
          <w:sz w:val="28"/>
          <w:szCs w:val="28"/>
          <w:highlight w:val="none"/>
          <w:lang w:val="en-US" w:eastAsia="zh-CN"/>
        </w:rPr>
      </w:pPr>
      <w:r>
        <w:rPr>
          <w:rFonts w:hint="eastAsia" w:ascii="仿宋" w:hAnsi="仿宋" w:eastAsia="仿宋" w:cs="仿宋"/>
          <w:b w:val="0"/>
          <w:bCs w:val="0"/>
          <w:strike w:val="0"/>
          <w:dstrike w:val="0"/>
          <w:sz w:val="28"/>
          <w:szCs w:val="28"/>
          <w:highlight w:val="none"/>
          <w:lang w:val="en-US" w:eastAsia="zh-CN"/>
        </w:rPr>
        <w:t>分类收集与焚烧发电做“减”法：在城区企事业单位、住宅小区、中小学校设置生活垃圾分类收集点，对沿街商户生活垃圾、餐厨垃圾施行分类收集。实现生活垃圾的无害化、减量化、资源化利用。</w:t>
      </w:r>
    </w:p>
    <w:p w14:paraId="777AB89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trike w:val="0"/>
          <w:dstrike w:val="0"/>
          <w:sz w:val="28"/>
          <w:szCs w:val="28"/>
          <w:highlight w:val="none"/>
          <w:lang w:val="en-US" w:eastAsia="zh-CN"/>
        </w:rPr>
      </w:pPr>
      <w:r>
        <w:rPr>
          <w:rFonts w:hint="eastAsia" w:ascii="仿宋" w:hAnsi="仿宋" w:eastAsia="仿宋" w:cs="仿宋"/>
          <w:b w:val="0"/>
          <w:bCs w:val="0"/>
          <w:strike w:val="0"/>
          <w:dstrike w:val="0"/>
          <w:sz w:val="28"/>
          <w:szCs w:val="28"/>
          <w:highlight w:val="none"/>
          <w:lang w:val="en-US" w:eastAsia="zh-CN"/>
        </w:rPr>
        <w:t>网格管理与集中整治做“乘”法：对城区各街道实行网格化管理，五大片区既独立管理又密切配合。不定期从各片区抽调环卫工人对新开道路、城乡结合部、背街小巷、雨后泥沙、积尘落叶进行集中整治，2023年累计清理街道抛洒1000余次，清理无主垃圾约1100余吨，冲洗路面达5000余万平方米，达到了整治完成一处、巩固一处、常态化管理一处的工作标准。</w:t>
      </w:r>
    </w:p>
    <w:p w14:paraId="66205D23">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trike w:val="0"/>
          <w:dstrike w:val="0"/>
          <w:sz w:val="28"/>
          <w:szCs w:val="28"/>
          <w:highlight w:val="none"/>
          <w:lang w:val="en-US" w:eastAsia="zh-CN"/>
        </w:rPr>
      </w:pPr>
      <w:r>
        <w:rPr>
          <w:rFonts w:hint="eastAsia" w:ascii="仿宋" w:hAnsi="仿宋" w:eastAsia="仿宋" w:cs="仿宋"/>
          <w:b w:val="0"/>
          <w:bCs w:val="0"/>
          <w:strike w:val="0"/>
          <w:dstrike w:val="0"/>
          <w:sz w:val="28"/>
          <w:szCs w:val="28"/>
          <w:highlight w:val="none"/>
          <w:lang w:val="en-US" w:eastAsia="zh-CN"/>
        </w:rPr>
        <w:t>提高待遇与缩短时长做“除”法：近年来，环卫工人薪资待遇逐步提高，环卫工人的生活得到有效保障。同时该中心根据不同季节、不同街道等特点，合理调整作业时间，有效保障环卫工人的合法权益。</w:t>
      </w:r>
    </w:p>
    <w:p w14:paraId="4D8DE7D8">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（四）部门整体收支情况</w:t>
      </w:r>
    </w:p>
    <w:p w14:paraId="764E67D8">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trike w:val="0"/>
          <w:dstrike w:val="0"/>
          <w:sz w:val="28"/>
          <w:szCs w:val="28"/>
          <w:highlight w:val="none"/>
          <w:lang w:val="en-US" w:eastAsia="zh-CN"/>
        </w:rPr>
      </w:pPr>
      <w:r>
        <w:rPr>
          <w:rFonts w:hint="eastAsia" w:ascii="仿宋" w:hAnsi="仿宋" w:eastAsia="仿宋" w:cs="仿宋"/>
          <w:b w:val="0"/>
          <w:bCs w:val="0"/>
          <w:strike w:val="0"/>
          <w:dstrike w:val="0"/>
          <w:sz w:val="28"/>
          <w:szCs w:val="28"/>
          <w:highlight w:val="none"/>
          <w:lang w:val="en-US" w:eastAsia="zh-CN"/>
        </w:rPr>
        <w:t>永济市市容环卫中心2023年部门预算为2,042.26万元。其中：基本支出420.74万元，项目支出1,621.52万元。调整后共收入2,191.42万元。永济市市容环卫中心2023年共支出2,191.42万元，其中：基本支出449.97万元，项目支出1,741.45万元。</w:t>
      </w:r>
    </w:p>
    <w:p w14:paraId="20372F6F">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二、评价结论</w:t>
      </w:r>
    </w:p>
    <w:p w14:paraId="6C61187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永济市市容环卫中心2023年度整体支出绩效总得分为91.94分，绩效评级为“优”。具体得分情况见下表：</w:t>
      </w:r>
    </w:p>
    <w:p w14:paraId="25DC638A">
      <w:pPr>
        <w:pStyle w:val="18"/>
        <w:framePr w:wrap="auto" w:vAnchor="margin" w:hAnchor="text" w:yAlign="inline"/>
        <w:adjustRightInd w:val="0"/>
        <w:snapToGrid w:val="0"/>
        <w:spacing w:line="560" w:lineRule="exact"/>
        <w:ind w:firstLine="0"/>
        <w:jc w:val="center"/>
        <w:rPr>
          <w:rFonts w:hint="eastAsia" w:ascii="仿宋" w:hAnsi="仿宋" w:eastAsia="仿宋" w:cs="仿宋"/>
          <w:b/>
          <w:bCs/>
          <w:color w:val="auto"/>
          <w:szCs w:val="24"/>
          <w:lang w:val="zh-TW"/>
        </w:rPr>
      </w:pPr>
      <w:r>
        <w:rPr>
          <w:rFonts w:hint="eastAsia" w:ascii="仿宋" w:hAnsi="仿宋" w:eastAsia="仿宋" w:cs="仿宋"/>
          <w:b/>
          <w:bCs/>
          <w:color w:val="auto"/>
          <w:szCs w:val="24"/>
          <w:lang w:val="zh-TW"/>
        </w:rPr>
        <w:t xml:space="preserve">  </w:t>
      </w:r>
      <w:r>
        <w:rPr>
          <w:rFonts w:hint="eastAsia" w:ascii="仿宋" w:hAnsi="仿宋" w:eastAsia="仿宋" w:cs="仿宋"/>
          <w:b/>
          <w:bCs/>
          <w:color w:val="auto"/>
          <w:szCs w:val="24"/>
          <w:lang w:val="zh-TW" w:eastAsia="zh-TW"/>
        </w:rPr>
        <w:t>项目绩效评价得分表</w:t>
      </w:r>
    </w:p>
    <w:tbl>
      <w:tblPr>
        <w:tblStyle w:val="12"/>
        <w:tblW w:w="4998" w:type="pct"/>
        <w:tblInd w:w="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9"/>
        <w:gridCol w:w="1419"/>
        <w:gridCol w:w="1419"/>
        <w:gridCol w:w="1419"/>
        <w:gridCol w:w="1419"/>
        <w:gridCol w:w="1424"/>
      </w:tblGrid>
      <w:tr w14:paraId="77FCA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blHeader/>
        </w:trPr>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11B38">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spacing w:val="75"/>
                <w:kern w:val="0"/>
                <w:sz w:val="24"/>
                <w:szCs w:val="24"/>
                <w:highlight w:val="none"/>
                <w:u w:val="none"/>
                <w:fitText w:val="630" w:id="1989220045"/>
                <w:lang w:val="en-US" w:eastAsia="zh-CN" w:bidi="ar"/>
              </w:rPr>
              <w:t>指</w:t>
            </w:r>
            <w:r>
              <w:rPr>
                <w:rFonts w:hint="eastAsia" w:ascii="仿宋" w:hAnsi="仿宋" w:eastAsia="仿宋" w:cs="仿宋"/>
                <w:b/>
                <w:bCs/>
                <w:i w:val="0"/>
                <w:iCs w:val="0"/>
                <w:color w:val="000000"/>
                <w:spacing w:val="0"/>
                <w:kern w:val="0"/>
                <w:sz w:val="24"/>
                <w:szCs w:val="24"/>
                <w:highlight w:val="none"/>
                <w:u w:val="none"/>
                <w:fitText w:val="630" w:id="1989220045"/>
                <w:lang w:val="en-US" w:eastAsia="zh-CN" w:bidi="ar"/>
              </w:rPr>
              <w:t>标</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2DD03">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sz w:val="24"/>
                <w:szCs w:val="24"/>
                <w:highlight w:val="none"/>
                <w:u w:val="none"/>
                <w:lang w:val="en-US" w:eastAsia="zh-CN"/>
              </w:rPr>
              <w:t>部门决策</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28DFF">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sz w:val="24"/>
                <w:szCs w:val="24"/>
                <w:highlight w:val="none"/>
                <w:u w:val="none"/>
                <w:lang w:val="en-US" w:eastAsia="zh-CN"/>
              </w:rPr>
              <w:t>部门管理</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77F3D">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sz w:val="24"/>
                <w:szCs w:val="24"/>
                <w:highlight w:val="none"/>
                <w:u w:val="none"/>
                <w:lang w:val="en-US" w:eastAsia="zh-CN"/>
              </w:rPr>
              <w:t>部门产出</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018D7">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sz w:val="24"/>
                <w:szCs w:val="24"/>
                <w:highlight w:val="none"/>
                <w:u w:val="none"/>
                <w:lang w:val="en-US" w:eastAsia="zh-CN"/>
              </w:rPr>
              <w:t>部门效果</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A309D">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spacing w:val="75"/>
                <w:kern w:val="0"/>
                <w:sz w:val="24"/>
                <w:szCs w:val="24"/>
                <w:highlight w:val="none"/>
                <w:u w:val="none"/>
                <w:fitText w:val="630" w:id="447749727"/>
                <w:lang w:val="en-US" w:eastAsia="zh-CN" w:bidi="ar"/>
              </w:rPr>
              <w:t>合</w:t>
            </w:r>
            <w:r>
              <w:rPr>
                <w:rFonts w:hint="eastAsia" w:ascii="仿宋" w:hAnsi="仿宋" w:eastAsia="仿宋" w:cs="仿宋"/>
                <w:b/>
                <w:bCs/>
                <w:i w:val="0"/>
                <w:iCs w:val="0"/>
                <w:color w:val="000000"/>
                <w:spacing w:val="0"/>
                <w:kern w:val="0"/>
                <w:sz w:val="24"/>
                <w:szCs w:val="24"/>
                <w:highlight w:val="none"/>
                <w:u w:val="none"/>
                <w:fitText w:val="630" w:id="447749727"/>
                <w:lang w:val="en-US" w:eastAsia="zh-CN" w:bidi="ar"/>
              </w:rPr>
              <w:t>计</w:t>
            </w:r>
          </w:p>
        </w:tc>
      </w:tr>
      <w:tr w14:paraId="2F465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F563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pacing w:val="75"/>
                <w:kern w:val="0"/>
                <w:sz w:val="24"/>
                <w:szCs w:val="24"/>
                <w:highlight w:val="none"/>
                <w:u w:val="none"/>
                <w:fitText w:val="630" w:id="747045581"/>
                <w:lang w:val="en-US" w:eastAsia="zh-CN"/>
              </w:rPr>
              <w:t>分</w:t>
            </w:r>
            <w:r>
              <w:rPr>
                <w:rFonts w:hint="eastAsia" w:ascii="仿宋" w:hAnsi="仿宋" w:eastAsia="仿宋" w:cs="仿宋"/>
                <w:i w:val="0"/>
                <w:iCs w:val="0"/>
                <w:color w:val="000000"/>
                <w:spacing w:val="0"/>
                <w:kern w:val="0"/>
                <w:sz w:val="24"/>
                <w:szCs w:val="24"/>
                <w:highlight w:val="none"/>
                <w:u w:val="none"/>
                <w:fitText w:val="630" w:id="747045581"/>
                <w:lang w:val="en-US" w:eastAsia="zh-CN"/>
              </w:rPr>
              <w:t>值</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26BDA">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571B9">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AAA29">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00A09">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15.00</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AAC04">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100.00</w:t>
            </w:r>
          </w:p>
        </w:tc>
      </w:tr>
      <w:tr w14:paraId="7D51F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AACF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pacing w:val="75"/>
                <w:kern w:val="0"/>
                <w:sz w:val="24"/>
                <w:szCs w:val="24"/>
                <w:highlight w:val="none"/>
                <w:u w:val="none"/>
                <w:fitText w:val="630" w:id="2034715739"/>
                <w:lang w:val="en-US" w:eastAsia="zh-CN"/>
              </w:rPr>
              <w:t>得</w:t>
            </w:r>
            <w:r>
              <w:rPr>
                <w:rFonts w:hint="eastAsia" w:ascii="仿宋" w:hAnsi="仿宋" w:eastAsia="仿宋" w:cs="仿宋"/>
                <w:i w:val="0"/>
                <w:iCs w:val="0"/>
                <w:color w:val="000000"/>
                <w:spacing w:val="0"/>
                <w:kern w:val="0"/>
                <w:sz w:val="24"/>
                <w:szCs w:val="24"/>
                <w:highlight w:val="none"/>
                <w:u w:val="none"/>
                <w:fitText w:val="630" w:id="2034715739"/>
                <w:lang w:val="en-US" w:eastAsia="zh-CN"/>
              </w:rPr>
              <w:t>分</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ED301">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14.86</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AEDFA">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33.99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C6AE4">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28.38</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7DFB7">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14.53</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150A0">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91.94</w:t>
            </w:r>
          </w:p>
        </w:tc>
      </w:tr>
      <w:tr w14:paraId="2A84E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A3B2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得分率</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513FE">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99.07%</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7B23C">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84.98%</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5FD6B">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94.60%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416E1">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96.87%</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5B06">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91.94%</w:t>
            </w:r>
          </w:p>
        </w:tc>
      </w:tr>
    </w:tbl>
    <w:p w14:paraId="4032F9EA">
      <w:pPr>
        <w:pStyle w:val="19"/>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9"/>
        <w:rPr>
          <w:rFonts w:hint="eastAsia" w:ascii="仿宋" w:hAnsi="仿宋" w:eastAsia="仿宋" w:cs="仿宋"/>
          <w:b/>
        </w:rPr>
      </w:pPr>
      <w:r>
        <w:rPr>
          <w:rFonts w:hint="eastAsia" w:ascii="仿宋" w:hAnsi="仿宋" w:eastAsia="仿宋" w:cs="仿宋"/>
          <w:b/>
          <w:lang w:val="en-US" w:eastAsia="zh-CN"/>
        </w:rPr>
        <w:t>三</w:t>
      </w:r>
      <w:r>
        <w:rPr>
          <w:rFonts w:hint="eastAsia" w:ascii="仿宋" w:hAnsi="仿宋" w:eastAsia="仿宋" w:cs="仿宋"/>
          <w:b/>
        </w:rPr>
        <w:t>、存在的主要问题及改进意见</w:t>
      </w:r>
    </w:p>
    <w:p w14:paraId="7464518D">
      <w:pPr>
        <w:pStyle w:val="19"/>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0"/>
        <w:rPr>
          <w:rFonts w:hint="eastAsia" w:ascii="仿宋" w:hAnsi="仿宋" w:eastAsia="仿宋" w:cs="仿宋"/>
          <w:b/>
          <w:highlight w:val="none"/>
          <w:lang w:val="en-US" w:eastAsia="zh-CN"/>
        </w:rPr>
      </w:pPr>
      <w:r>
        <w:rPr>
          <w:rFonts w:hint="eastAsia" w:ascii="仿宋" w:hAnsi="仿宋" w:eastAsia="仿宋" w:cs="仿宋"/>
          <w:b/>
          <w:highlight w:val="none"/>
          <w:lang w:eastAsia="zh-CN"/>
        </w:rPr>
        <w:t>（</w:t>
      </w:r>
      <w:r>
        <w:rPr>
          <w:rFonts w:hint="eastAsia" w:ascii="仿宋" w:hAnsi="仿宋" w:eastAsia="仿宋" w:cs="仿宋"/>
          <w:b/>
          <w:highlight w:val="none"/>
          <w:lang w:val="en-US" w:eastAsia="zh-CN"/>
        </w:rPr>
        <w:t>一</w:t>
      </w:r>
      <w:r>
        <w:rPr>
          <w:rFonts w:hint="eastAsia" w:ascii="仿宋" w:hAnsi="仿宋" w:eastAsia="仿宋" w:cs="仿宋"/>
          <w:b/>
          <w:highlight w:val="none"/>
          <w:lang w:eastAsia="zh-CN"/>
        </w:rPr>
        <w:t>）</w:t>
      </w:r>
      <w:r>
        <w:rPr>
          <w:rFonts w:hint="eastAsia" w:ascii="仿宋" w:hAnsi="仿宋" w:eastAsia="仿宋" w:cs="仿宋"/>
          <w:b/>
          <w:highlight w:val="none"/>
        </w:rPr>
        <w:t>存在的问题</w:t>
      </w:r>
    </w:p>
    <w:p w14:paraId="52F5E022">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1.在职人员超编制</w:t>
      </w:r>
    </w:p>
    <w:p w14:paraId="5EB9B4E7">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永济市市容环卫中心事业编制数13名，实有在编人员37人，其中23人借调至其他单位，导致在职人员控制率为284.62%。</w:t>
      </w:r>
    </w:p>
    <w:p w14:paraId="3A564087">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永济市市容环卫中心共有临时环卫人员647人，因路段等级不清晰，保洁等级不明确，不能准确的核定各区域应配置的环卫人员数量。</w:t>
      </w:r>
    </w:p>
    <w:p w14:paraId="4681C46C">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bCs/>
          <w:sz w:val="28"/>
          <w:szCs w:val="28"/>
          <w:highlight w:val="none"/>
          <w:lang w:val="en-US" w:eastAsia="zh-CN"/>
        </w:rPr>
        <w:t>2.资产管理不规范</w:t>
      </w:r>
    </w:p>
    <w:p w14:paraId="0FECB84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永济市市容环卫中心的固定资产台账中部分资产品牌型号、使用人及管理人不明确，不利于管理。</w:t>
      </w:r>
    </w:p>
    <w:p w14:paraId="78F18645">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bCs/>
          <w:sz w:val="28"/>
          <w:szCs w:val="28"/>
          <w:highlight w:val="none"/>
          <w:lang w:val="en-US" w:eastAsia="zh-CN"/>
        </w:rPr>
        <w:t>3.非税收入管理不规范</w:t>
      </w:r>
    </w:p>
    <w:p w14:paraId="4EB9340F">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永济市市容环卫中心</w:t>
      </w:r>
      <w:r>
        <w:rPr>
          <w:rFonts w:hint="eastAsia" w:ascii="仿宋" w:hAnsi="仿宋" w:eastAsia="仿宋" w:cs="仿宋"/>
          <w:b w:val="0"/>
          <w:bCs w:val="0"/>
          <w:kern w:val="2"/>
          <w:sz w:val="28"/>
          <w:szCs w:val="28"/>
          <w:highlight w:val="none"/>
          <w:lang w:val="en-US" w:eastAsia="zh-CN" w:bidi="ar-SA"/>
        </w:rPr>
        <w:t>建立了生活垃圾处理费征收台账，但该台账数据不准确，不能完整的体现出应收费金额、已收费金额等信息。</w:t>
      </w:r>
    </w:p>
    <w:p w14:paraId="1363ABE3">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（二）有关建议</w:t>
      </w:r>
    </w:p>
    <w:p w14:paraId="1B73F61F">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0"/>
          <w:sz w:val="28"/>
          <w:szCs w:val="28"/>
          <w:highlight w:val="none"/>
          <w:lang w:val="en-US" w:eastAsia="zh-CN"/>
        </w:rPr>
      </w:pPr>
      <w:r>
        <w:rPr>
          <w:rFonts w:hint="eastAsia" w:ascii="仿宋" w:hAnsi="仿宋" w:eastAsia="仿宋" w:cs="仿宋"/>
          <w:b/>
          <w:bCs/>
          <w:kern w:val="0"/>
          <w:sz w:val="28"/>
          <w:szCs w:val="28"/>
          <w:highlight w:val="none"/>
          <w:lang w:val="en-US" w:eastAsia="zh-CN"/>
        </w:rPr>
        <w:t>1.控制在编人数，明确临时人员配置标准</w:t>
      </w:r>
    </w:p>
    <w:p w14:paraId="752C55E7">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永济市市容环卫中心应协调相关部门，控制本部门在职人员数量；应按照《中华人民共和国城镇建设行业标准：城市道路清扫面积测算方法(CJ/T 277-2008)》等方法，测算服务区内的清扫面积；按照《都市环境卫生质量原则》划分道路等级和保洁等级；参考《城镇市容环境卫生劳动定额》及行业水平，结合路段实际情况，明确临时环卫人员的人均打扫面积及人数配置。</w:t>
      </w:r>
    </w:p>
    <w:p w14:paraId="1EB24360">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0"/>
          <w:sz w:val="28"/>
          <w:szCs w:val="28"/>
          <w:highlight w:val="none"/>
          <w:lang w:val="en-US" w:eastAsia="zh-CN"/>
        </w:rPr>
      </w:pPr>
      <w:r>
        <w:rPr>
          <w:rFonts w:hint="eastAsia" w:ascii="仿宋" w:hAnsi="仿宋" w:eastAsia="仿宋" w:cs="仿宋"/>
          <w:b/>
          <w:bCs/>
          <w:kern w:val="0"/>
          <w:sz w:val="28"/>
          <w:szCs w:val="28"/>
          <w:highlight w:val="none"/>
          <w:lang w:val="en-US" w:eastAsia="zh-CN"/>
        </w:rPr>
        <w:t>2.加强内控管理</w:t>
      </w:r>
    </w:p>
    <w:p w14:paraId="0C664A43">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b w:val="0"/>
          <w:bCs w:val="0"/>
          <w:kern w:val="0"/>
          <w:sz w:val="28"/>
          <w:szCs w:val="28"/>
          <w:highlight w:val="none"/>
          <w:lang w:val="en-US" w:eastAsia="zh-CN"/>
        </w:rPr>
        <w:t>建议永济市市容环卫中心补充固定资产台账信息，对固定资产进行清查；</w:t>
      </w:r>
      <w:r>
        <w:rPr>
          <w:rFonts w:hint="eastAsia" w:ascii="仿宋" w:hAnsi="仿宋" w:eastAsia="仿宋" w:cs="仿宋"/>
          <w:b w:val="0"/>
          <w:bCs w:val="0"/>
          <w:kern w:val="2"/>
          <w:sz w:val="28"/>
          <w:szCs w:val="28"/>
          <w:highlight w:val="none"/>
          <w:lang w:val="en-US" w:eastAsia="zh-CN" w:bidi="ar-SA"/>
        </w:rPr>
        <w:t>完善生活垃圾处理费征收台账，定期清查整理应收费户数等相关数据</w:t>
      </w:r>
      <w:r>
        <w:rPr>
          <w:rFonts w:hint="eastAsia" w:ascii="仿宋" w:hAnsi="仿宋" w:eastAsia="仿宋" w:cs="仿宋"/>
          <w:b w:val="0"/>
          <w:bCs w:val="0"/>
          <w:kern w:val="0"/>
          <w:sz w:val="28"/>
          <w:szCs w:val="28"/>
          <w:highlight w:val="none"/>
          <w:lang w:val="en-US" w:eastAsia="zh-CN"/>
        </w:rPr>
        <w:t>。</w:t>
      </w:r>
    </w:p>
    <w:p w14:paraId="5AA00A66">
      <w:pPr>
        <w:pStyle w:val="2"/>
        <w:jc w:val="left"/>
        <w:outlineLvl w:val="9"/>
        <w:rPr>
          <w:rFonts w:hint="eastAsia" w:ascii="仿宋" w:hAnsi="仿宋" w:eastAsia="仿宋" w:cs="仿宋"/>
          <w:b/>
          <w:bCs/>
          <w:sz w:val="28"/>
          <w:szCs w:val="28"/>
          <w:lang w:val="en-US" w:eastAsia="zh-CN"/>
        </w:rPr>
      </w:pPr>
    </w:p>
    <w:p w14:paraId="5942C2CC">
      <w:pPr>
        <w:pStyle w:val="2"/>
        <w:jc w:val="left"/>
        <w:outlineLvl w:val="0"/>
        <w:rPr>
          <w:rFonts w:hint="eastAsia"/>
          <w:b/>
          <w:bCs/>
          <w:sz w:val="28"/>
          <w:szCs w:val="28"/>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54B20C5D">
      <w:pPr>
        <w:jc w:val="center"/>
        <w:outlineLvl w:val="0"/>
        <w:rPr>
          <w:rFonts w:hint="default" w:ascii="仿宋" w:hAnsi="仿宋" w:eastAsia="仿宋" w:cs="仿宋"/>
          <w:b/>
          <w:bCs/>
          <w:sz w:val="32"/>
          <w:szCs w:val="32"/>
          <w:highlight w:val="none"/>
          <w:lang w:val="en-US" w:eastAsia="zh-CN"/>
        </w:rPr>
      </w:pPr>
      <w:bookmarkStart w:id="16" w:name="_Toc29812"/>
      <w:r>
        <w:rPr>
          <w:rFonts w:hint="eastAsia" w:ascii="仿宋" w:hAnsi="仿宋" w:eastAsia="仿宋" w:cs="仿宋"/>
          <w:b/>
          <w:bCs/>
          <w:sz w:val="32"/>
          <w:szCs w:val="32"/>
          <w:highlight w:val="none"/>
          <w:lang w:val="en-US" w:eastAsia="zh-CN"/>
        </w:rPr>
        <w:t>永济市市容环卫中心</w:t>
      </w:r>
      <w:r>
        <w:rPr>
          <w:rFonts w:hint="eastAsia" w:ascii="仿宋" w:hAnsi="仿宋" w:eastAsia="仿宋" w:cs="仿宋"/>
          <w:b/>
          <w:bCs/>
          <w:sz w:val="32"/>
          <w:szCs w:val="32"/>
          <w:highlight w:val="none"/>
        </w:rPr>
        <w:t>202</w:t>
      </w:r>
      <w:r>
        <w:rPr>
          <w:rFonts w:hint="eastAsia" w:ascii="仿宋" w:hAnsi="仿宋" w:eastAsia="仿宋" w:cs="仿宋"/>
          <w:b/>
          <w:bCs/>
          <w:sz w:val="32"/>
          <w:szCs w:val="32"/>
          <w:highlight w:val="none"/>
          <w:lang w:val="en-US" w:eastAsia="zh-CN"/>
        </w:rPr>
        <w:t>3</w:t>
      </w:r>
      <w:r>
        <w:rPr>
          <w:rFonts w:hint="eastAsia" w:ascii="仿宋" w:hAnsi="仿宋" w:eastAsia="仿宋" w:cs="仿宋"/>
          <w:b/>
          <w:bCs/>
          <w:sz w:val="32"/>
          <w:szCs w:val="32"/>
          <w:highlight w:val="none"/>
        </w:rPr>
        <w:t>年度整体支出</w:t>
      </w:r>
    </w:p>
    <w:p w14:paraId="5C111F01">
      <w:pPr>
        <w:jc w:val="center"/>
        <w:outlineLvl w:val="0"/>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rPr>
        <w:t>绩效评价</w:t>
      </w:r>
      <w:r>
        <w:rPr>
          <w:rFonts w:hint="eastAsia" w:ascii="仿宋" w:hAnsi="仿宋" w:eastAsia="仿宋" w:cs="仿宋"/>
          <w:b/>
          <w:bCs/>
          <w:sz w:val="32"/>
          <w:szCs w:val="32"/>
          <w:highlight w:val="none"/>
          <w:lang w:val="en-US" w:eastAsia="zh-CN"/>
        </w:rPr>
        <w:t>报告</w:t>
      </w:r>
      <w:bookmarkEnd w:id="16"/>
    </w:p>
    <w:p w14:paraId="282A88FF">
      <w:pPr>
        <w:pStyle w:val="2"/>
        <w:keepNext w:val="0"/>
        <w:keepLines w:val="0"/>
        <w:pageBreakBefore w:val="0"/>
        <w:widowControl w:val="0"/>
        <w:kinsoku/>
        <w:wordWrap/>
        <w:overflowPunct/>
        <w:topLinePunct w:val="0"/>
        <w:autoSpaceDE/>
        <w:autoSpaceDN/>
        <w:bidi w:val="0"/>
        <w:adjustRightInd/>
        <w:snapToGrid/>
        <w:spacing w:after="120"/>
        <w:jc w:val="right"/>
        <w:textAlignment w:val="auto"/>
        <w:rPr>
          <w:rFonts w:hint="eastAsia" w:ascii="仿宋" w:hAnsi="仿宋" w:eastAsia="仿宋" w:cs="仿宋"/>
          <w:b/>
          <w:bCs/>
          <w:sz w:val="28"/>
          <w:szCs w:val="36"/>
          <w:highlight w:val="none"/>
        </w:rPr>
      </w:pPr>
      <w:r>
        <w:rPr>
          <w:rFonts w:hint="eastAsia" w:ascii="仿宋" w:hAnsi="仿宋" w:eastAsia="仿宋" w:cs="仿宋"/>
          <w:b/>
          <w:bCs/>
          <w:sz w:val="28"/>
          <w:szCs w:val="36"/>
          <w:highlight w:val="none"/>
        </w:rPr>
        <w:t>晋广和绩评〔202</w:t>
      </w:r>
      <w:r>
        <w:rPr>
          <w:rFonts w:hint="eastAsia" w:ascii="仿宋" w:hAnsi="仿宋" w:eastAsia="仿宋" w:cs="仿宋"/>
          <w:b/>
          <w:bCs/>
          <w:sz w:val="28"/>
          <w:szCs w:val="36"/>
          <w:highlight w:val="none"/>
          <w:lang w:val="en-US" w:eastAsia="zh-CN"/>
        </w:rPr>
        <w:t>4</w:t>
      </w:r>
      <w:r>
        <w:rPr>
          <w:rFonts w:hint="eastAsia" w:ascii="仿宋" w:hAnsi="仿宋" w:eastAsia="仿宋" w:cs="仿宋"/>
          <w:b/>
          <w:bCs/>
          <w:sz w:val="28"/>
          <w:szCs w:val="36"/>
          <w:highlight w:val="none"/>
        </w:rPr>
        <w:t>〕00</w:t>
      </w:r>
      <w:r>
        <w:rPr>
          <w:rFonts w:hint="eastAsia" w:ascii="仿宋" w:hAnsi="仿宋" w:eastAsia="仿宋" w:cs="仿宋"/>
          <w:b/>
          <w:bCs/>
          <w:sz w:val="28"/>
          <w:szCs w:val="36"/>
          <w:highlight w:val="none"/>
          <w:lang w:val="en-US" w:eastAsia="zh-CN"/>
        </w:rPr>
        <w:t>10</w:t>
      </w:r>
      <w:r>
        <w:rPr>
          <w:rFonts w:hint="eastAsia" w:ascii="仿宋" w:hAnsi="仿宋" w:eastAsia="仿宋" w:cs="仿宋"/>
          <w:b/>
          <w:bCs/>
          <w:sz w:val="28"/>
          <w:szCs w:val="36"/>
          <w:highlight w:val="none"/>
        </w:rPr>
        <w:t>号</w:t>
      </w:r>
    </w:p>
    <w:p w14:paraId="29C3E07B">
      <w:pPr>
        <w:pStyle w:val="2"/>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eastAsia" w:ascii="仿宋" w:hAnsi="仿宋" w:eastAsia="仿宋" w:cs="仿宋"/>
          <w:sz w:val="28"/>
          <w:szCs w:val="36"/>
          <w:highlight w:val="none"/>
          <w:lang w:val="en-US" w:eastAsia="zh-CN"/>
        </w:rPr>
      </w:pPr>
      <w:r>
        <w:rPr>
          <w:rFonts w:hint="eastAsia" w:ascii="仿宋" w:hAnsi="仿宋" w:eastAsia="仿宋" w:cs="仿宋"/>
          <w:sz w:val="28"/>
          <w:szCs w:val="28"/>
          <w:highlight w:val="none"/>
        </w:rPr>
        <w:t>为落实全面实施预算绩效管理，提高财政资源配置效率和使用效益，增强政府公信力和执行力。根据永济市财政局《202</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年重点绩效评价实施方案》（永财绩〔202</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号）文件的要求，山西广和会计师事务所有限公司接受永济市财政局委托，对</w:t>
      </w:r>
      <w:r>
        <w:rPr>
          <w:rFonts w:hint="eastAsia" w:ascii="仿宋" w:hAnsi="仿宋" w:eastAsia="仿宋" w:cs="仿宋"/>
          <w:sz w:val="28"/>
          <w:szCs w:val="28"/>
          <w:highlight w:val="none"/>
          <w:lang w:val="en-US" w:eastAsia="zh-CN"/>
        </w:rPr>
        <w:t>永济市市容环卫中心2023年</w:t>
      </w:r>
      <w:r>
        <w:rPr>
          <w:rFonts w:hint="eastAsia" w:ascii="仿宋" w:hAnsi="仿宋" w:eastAsia="仿宋" w:cs="仿宋"/>
          <w:sz w:val="28"/>
          <w:szCs w:val="28"/>
          <w:highlight w:val="none"/>
        </w:rPr>
        <w:t>整体支出进行绩效评价。评价结果为</w:t>
      </w:r>
      <w:r>
        <w:rPr>
          <w:rFonts w:hint="eastAsia" w:ascii="仿宋" w:hAnsi="仿宋" w:eastAsia="仿宋" w:cs="仿宋"/>
          <w:sz w:val="28"/>
          <w:szCs w:val="28"/>
          <w:highlight w:val="none"/>
          <w:u w:val="none"/>
          <w:lang w:val="en-US" w:eastAsia="zh-CN"/>
        </w:rPr>
        <w:t>91.94</w:t>
      </w:r>
      <w:r>
        <w:rPr>
          <w:rFonts w:hint="eastAsia" w:ascii="仿宋" w:hAnsi="仿宋" w:eastAsia="仿宋" w:cs="仿宋"/>
          <w:sz w:val="28"/>
          <w:szCs w:val="28"/>
          <w:highlight w:val="none"/>
        </w:rPr>
        <w:t>分。有关情况如下：</w:t>
      </w:r>
    </w:p>
    <w:p w14:paraId="67B982C8">
      <w:pPr>
        <w:pStyle w:val="2"/>
        <w:keepNext w:val="0"/>
        <w:keepLines w:val="0"/>
        <w:pageBreakBefore w:val="0"/>
        <w:widowControl w:val="0"/>
        <w:kinsoku/>
        <w:wordWrap/>
        <w:overflowPunct/>
        <w:topLinePunct w:val="0"/>
        <w:autoSpaceDE/>
        <w:autoSpaceDN/>
        <w:bidi w:val="0"/>
        <w:spacing w:line="560" w:lineRule="exact"/>
        <w:ind w:firstLine="562" w:firstLineChars="200"/>
        <w:textAlignment w:val="auto"/>
        <w:outlineLvl w:val="0"/>
        <w:rPr>
          <w:rFonts w:hint="eastAsia" w:ascii="仿宋" w:hAnsi="仿宋" w:eastAsia="仿宋" w:cs="仿宋"/>
          <w:b/>
          <w:bCs/>
          <w:sz w:val="28"/>
          <w:szCs w:val="36"/>
          <w:highlight w:val="none"/>
          <w:lang w:val="en-US" w:eastAsia="zh-CN"/>
        </w:rPr>
      </w:pPr>
      <w:bookmarkStart w:id="17" w:name="_Toc19328"/>
      <w:r>
        <w:rPr>
          <w:rFonts w:hint="eastAsia" w:ascii="仿宋" w:hAnsi="仿宋" w:eastAsia="仿宋" w:cs="仿宋"/>
          <w:b/>
          <w:bCs/>
          <w:sz w:val="28"/>
          <w:szCs w:val="36"/>
          <w:highlight w:val="none"/>
          <w:lang w:val="en-US" w:eastAsia="zh-CN"/>
        </w:rPr>
        <w:t>一、部门基本情况</w:t>
      </w:r>
      <w:bookmarkEnd w:id="17"/>
    </w:p>
    <w:p w14:paraId="00120456">
      <w:pPr>
        <w:pStyle w:val="2"/>
        <w:keepNext w:val="0"/>
        <w:keepLines w:val="0"/>
        <w:pageBreakBefore w:val="0"/>
        <w:widowControl w:val="0"/>
        <w:kinsoku/>
        <w:wordWrap/>
        <w:overflowPunct/>
        <w:topLinePunct w:val="0"/>
        <w:autoSpaceDE/>
        <w:autoSpaceDN/>
        <w:bidi w:val="0"/>
        <w:spacing w:line="560" w:lineRule="exact"/>
        <w:textAlignment w:val="auto"/>
        <w:outlineLvl w:val="1"/>
        <w:rPr>
          <w:rFonts w:hint="eastAsia" w:ascii="仿宋" w:hAnsi="仿宋" w:eastAsia="仿宋" w:cs="仿宋"/>
          <w:b/>
          <w:bCs/>
          <w:sz w:val="28"/>
          <w:szCs w:val="36"/>
          <w:highlight w:val="none"/>
          <w:lang w:val="en-US" w:eastAsia="zh-CN"/>
        </w:rPr>
      </w:pPr>
      <w:r>
        <w:rPr>
          <w:rFonts w:hint="eastAsia" w:ascii="仿宋" w:hAnsi="仿宋" w:eastAsia="仿宋" w:cs="仿宋"/>
          <w:b/>
          <w:bCs/>
          <w:sz w:val="28"/>
          <w:szCs w:val="36"/>
          <w:highlight w:val="none"/>
          <w:lang w:val="en-US" w:eastAsia="zh-CN"/>
        </w:rPr>
        <w:t xml:space="preserve">    </w:t>
      </w:r>
      <w:bookmarkStart w:id="18" w:name="_Toc28754"/>
      <w:r>
        <w:rPr>
          <w:rFonts w:hint="eastAsia" w:ascii="仿宋" w:hAnsi="仿宋" w:eastAsia="仿宋" w:cs="仿宋"/>
          <w:b/>
          <w:bCs/>
          <w:sz w:val="28"/>
          <w:szCs w:val="36"/>
          <w:highlight w:val="none"/>
          <w:lang w:val="en-US" w:eastAsia="zh-CN"/>
        </w:rPr>
        <w:t>（一）部门概况</w:t>
      </w:r>
      <w:bookmarkEnd w:id="18"/>
    </w:p>
    <w:p w14:paraId="5F6A12C8">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560" w:firstLineChars="200"/>
        <w:textAlignment w:val="auto"/>
        <w:rPr>
          <w:rFonts w:hint="eastAsia" w:ascii="仿宋" w:hAnsi="仿宋" w:eastAsia="仿宋" w:cs="仿宋"/>
          <w:strike w:val="0"/>
          <w:dstrike w:val="0"/>
          <w:sz w:val="28"/>
          <w:szCs w:val="28"/>
          <w:highlight w:val="none"/>
          <w:lang w:val="en-US" w:eastAsia="zh-CN"/>
        </w:rPr>
      </w:pPr>
      <w:bookmarkStart w:id="19" w:name="_Toc13485"/>
      <w:r>
        <w:rPr>
          <w:rFonts w:hint="eastAsia" w:ascii="仿宋" w:hAnsi="仿宋" w:eastAsia="仿宋" w:cs="仿宋"/>
          <w:strike w:val="0"/>
          <w:dstrike w:val="0"/>
          <w:sz w:val="28"/>
          <w:szCs w:val="28"/>
          <w:highlight w:val="none"/>
          <w:lang w:val="en-US" w:eastAsia="zh-CN"/>
        </w:rPr>
        <w:t>永济市市容环卫中心是永济市住房保障和城乡建设管理局下属事业单位，股级建制；统一社会信用代码：12141081408360157C；住所：永济市康乐路51号；经费来源：财政补助；举办单位：永济市住房保障和城乡建设管理局。</w:t>
      </w:r>
    </w:p>
    <w:p w14:paraId="4532BA7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1.部门的主要职责</w:t>
      </w:r>
    </w:p>
    <w:p w14:paraId="5E48AC7E">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1"/>
        <w:rPr>
          <w:rFonts w:hint="eastAsia" w:ascii="仿宋" w:hAnsi="仿宋" w:eastAsia="仿宋" w:cs="仿宋"/>
          <w:sz w:val="28"/>
          <w:szCs w:val="28"/>
          <w:highlight w:val="none"/>
          <w:lang w:eastAsia="zh-CN"/>
        </w:rPr>
      </w:pPr>
      <w:r>
        <w:rPr>
          <w:rFonts w:hint="eastAsia" w:ascii="仿宋" w:hAnsi="仿宋" w:eastAsia="仿宋" w:cs="仿宋"/>
          <w:strike w:val="0"/>
          <w:dstrike w:val="0"/>
          <w:sz w:val="28"/>
          <w:szCs w:val="28"/>
          <w:highlight w:val="none"/>
          <w:lang w:val="en-US" w:eastAsia="zh-CN"/>
        </w:rPr>
        <w:t>贯彻落实城市市容环境卫生方面的方针政策、法律法规；负责城区主次干道、小街小巷等清扫保洁和城区机关单位、街道、家属区、生活垃圾分类收集、转运工作；负责城区公共卫生间、垃圾中转站及各类环卫设施的建设、运营、维护和管理工作；负责城区生活垃圾分类的相关工作；负责城区餐厨垃圾收集转运和处置工作；负责城区粪便垃圾收集转运和处置工作；负责生活垃圾无害化处置及生活垃圾焚烧发电运行的监管工作；承担城区生活垃圾、餐厨垃圾和粪便垃圾等特许经营企业的合同履约、考核评价相关工作；负责受理有关市容环境卫生的投诉和举报；完成市住建局交办的其他任务</w:t>
      </w:r>
      <w:r>
        <w:rPr>
          <w:rFonts w:hint="eastAsia" w:ascii="仿宋" w:hAnsi="仿宋" w:eastAsia="仿宋" w:cs="仿宋"/>
          <w:sz w:val="28"/>
          <w:szCs w:val="28"/>
          <w:highlight w:val="none"/>
          <w:lang w:eastAsia="zh-CN"/>
        </w:rPr>
        <w:t>。</w:t>
      </w:r>
    </w:p>
    <w:p w14:paraId="02636C71">
      <w:pPr>
        <w:pStyle w:val="2"/>
        <w:keepNext w:val="0"/>
        <w:keepLines w:val="0"/>
        <w:pageBreakBefore w:val="0"/>
        <w:numPr>
          <w:ilvl w:val="0"/>
          <w:numId w:val="0"/>
        </w:numPr>
        <w:kinsoku/>
        <w:wordWrap/>
        <w:overflowPunct/>
        <w:topLinePunct w:val="0"/>
        <w:autoSpaceDE/>
        <w:autoSpaceDN/>
        <w:bidi w:val="0"/>
        <w:spacing w:line="560" w:lineRule="exact"/>
        <w:ind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2.部门组织机构及人员情况</w:t>
      </w:r>
    </w:p>
    <w:p w14:paraId="6B02C879">
      <w:pPr>
        <w:pStyle w:val="2"/>
        <w:ind w:firstLine="56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永济市市容环卫中心内设机构：办公室、财务科、质检科、收费科、党建办、清运队、清扫一队、清扫二队、清扫三队、清扫四队、清扫五队。</w:t>
      </w:r>
    </w:p>
    <w:p w14:paraId="25FC1859">
      <w:pPr>
        <w:pStyle w:val="4"/>
        <w:keepNext w:val="0"/>
        <w:keepLines w:val="0"/>
        <w:pageBreakBefore w:val="0"/>
        <w:widowControl w:val="0"/>
        <w:kinsoku/>
        <w:wordWrap/>
        <w:overflowPunct/>
        <w:topLinePunct w:val="0"/>
        <w:autoSpaceDE/>
        <w:autoSpaceDN/>
        <w:bidi w:val="0"/>
        <w:adjustRightInd/>
        <w:snapToGrid/>
        <w:ind w:left="0" w:leftChars="0" w:firstLine="560" w:firstLineChars="200"/>
        <w:jc w:val="left"/>
        <w:textAlignment w:val="auto"/>
        <w:rPr>
          <w:rFonts w:hint="default"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lang w:val="en-US" w:eastAsia="zh-CN"/>
        </w:rPr>
        <w:t>永济市市容环卫中心</w:t>
      </w:r>
      <w:r>
        <w:rPr>
          <w:rFonts w:hint="eastAsia" w:ascii="仿宋" w:hAnsi="仿宋" w:eastAsia="仿宋" w:cs="仿宋"/>
          <w:kern w:val="2"/>
          <w:sz w:val="28"/>
          <w:szCs w:val="28"/>
          <w:highlight w:val="none"/>
          <w:lang w:val="en-US" w:eastAsia="zh-CN" w:bidi="ar-SA"/>
        </w:rPr>
        <w:t>核定差额事业编制13名，实有在编人员37人，其中23人借调至其他单位。在编人员配置情况详见下表。</w:t>
      </w:r>
    </w:p>
    <w:tbl>
      <w:tblPr>
        <w:tblStyle w:val="12"/>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75"/>
        <w:gridCol w:w="2144"/>
      </w:tblGrid>
      <w:tr w14:paraId="1615F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AA21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在编人员配置</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9BA1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人数</w:t>
            </w:r>
          </w:p>
        </w:tc>
      </w:tr>
      <w:tr w14:paraId="6139C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2261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机关领导</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9CB5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w:t>
            </w:r>
          </w:p>
        </w:tc>
      </w:tr>
      <w:tr w14:paraId="25AB1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30FF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办公室</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6EB4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2BC37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FDA2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财务科</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7928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w:t>
            </w:r>
          </w:p>
        </w:tc>
      </w:tr>
      <w:tr w14:paraId="3732E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0608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质检科</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F58A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w:t>
            </w:r>
          </w:p>
        </w:tc>
      </w:tr>
      <w:tr w14:paraId="06C44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419F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收费科</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E59B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w:t>
            </w:r>
          </w:p>
        </w:tc>
      </w:tr>
      <w:tr w14:paraId="7B6A7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D4AE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党建办</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4DDF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0</w:t>
            </w:r>
          </w:p>
        </w:tc>
      </w:tr>
      <w:tr w14:paraId="03964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1562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清运队</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373E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w:t>
            </w:r>
          </w:p>
        </w:tc>
      </w:tr>
      <w:tr w14:paraId="7AFD9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EEE1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清扫队</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ED50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w:t>
            </w:r>
          </w:p>
        </w:tc>
      </w:tr>
      <w:tr w14:paraId="41288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24C1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借调人员</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969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23</w:t>
            </w:r>
          </w:p>
        </w:tc>
      </w:tr>
      <w:tr w14:paraId="6E8D7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E3AE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合计</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EBFF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37</w:t>
            </w:r>
          </w:p>
        </w:tc>
      </w:tr>
    </w:tbl>
    <w:p w14:paraId="64A5CE60">
      <w:pPr>
        <w:pStyle w:val="4"/>
        <w:keepNext w:val="0"/>
        <w:keepLines w:val="0"/>
        <w:pageBreakBefore w:val="0"/>
        <w:widowControl w:val="0"/>
        <w:kinsoku/>
        <w:wordWrap/>
        <w:overflowPunct/>
        <w:topLinePunct w:val="0"/>
        <w:autoSpaceDE/>
        <w:autoSpaceDN/>
        <w:bidi w:val="0"/>
        <w:adjustRightInd/>
        <w:snapToGrid/>
        <w:ind w:left="0" w:leftChars="0" w:firstLine="560" w:firstLineChars="200"/>
        <w:jc w:val="left"/>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永济市市容环卫中心临时环卫人员共647人，其中机关人员10人，清运机扫队94人，环卫工人及公厕管理员等543人。清运机扫队、环卫工人及公厕管理员配置见下表。</w:t>
      </w:r>
    </w:p>
    <w:tbl>
      <w:tblPr>
        <w:tblStyle w:val="12"/>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75"/>
        <w:gridCol w:w="2144"/>
      </w:tblGrid>
      <w:tr w14:paraId="45274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ADE6">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清运机扫队人员配置</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9B3B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人数</w:t>
            </w:r>
          </w:p>
        </w:tc>
      </w:tr>
      <w:tr w14:paraId="622B1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67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副队长</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1DA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3A4A2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72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司机</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9C32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48</w:t>
            </w:r>
          </w:p>
        </w:tc>
      </w:tr>
      <w:tr w14:paraId="63F0C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194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修理工</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48B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6105D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E285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质检司机</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0EF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402F4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C457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装卸工</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53F3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r>
      <w:tr w14:paraId="47C2C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FF5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中转站操作工</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363E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10</w:t>
            </w:r>
          </w:p>
        </w:tc>
      </w:tr>
      <w:tr w14:paraId="17286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jc w:val="center"/>
        </w:trPr>
        <w:tc>
          <w:tcPr>
            <w:tcW w:w="3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C85B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合计</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58937">
            <w:pPr>
              <w:keepNext w:val="0"/>
              <w:keepLines w:val="0"/>
              <w:widowControl/>
              <w:suppressLineNumbers w:val="0"/>
              <w:jc w:val="center"/>
              <w:textAlignment w:val="center"/>
              <w:rPr>
                <w:rFonts w:hint="default" w:ascii="仿宋" w:hAnsi="仿宋" w:eastAsia="仿宋" w:cs="仿宋"/>
                <w:b w:val="0"/>
                <w:bCs w:val="0"/>
                <w:i w:val="0"/>
                <w:iCs w:val="0"/>
                <w:color w:val="000000"/>
                <w:sz w:val="24"/>
                <w:szCs w:val="24"/>
                <w:u w:val="none"/>
                <w:lang w:val="en-US"/>
              </w:rPr>
            </w:pPr>
            <w:r>
              <w:rPr>
                <w:rFonts w:hint="eastAsia" w:ascii="仿宋" w:hAnsi="仿宋" w:eastAsia="仿宋" w:cs="仿宋"/>
                <w:b w:val="0"/>
                <w:bCs w:val="0"/>
                <w:i w:val="0"/>
                <w:iCs w:val="0"/>
                <w:color w:val="000000"/>
                <w:kern w:val="0"/>
                <w:sz w:val="24"/>
                <w:szCs w:val="24"/>
                <w:u w:val="none"/>
                <w:lang w:val="en-US" w:eastAsia="zh-CN" w:bidi="ar"/>
              </w:rPr>
              <w:t>94</w:t>
            </w:r>
          </w:p>
        </w:tc>
      </w:tr>
    </w:tbl>
    <w:p w14:paraId="3F9101EA">
      <w:pPr>
        <w:jc w:val="center"/>
        <w:rPr>
          <w:rFonts w:hint="eastAsia" w:ascii="仿宋" w:hAnsi="仿宋" w:eastAsia="仿宋" w:cs="仿宋"/>
          <w:b/>
          <w:bCs/>
          <w:color w:val="auto"/>
          <w:sz w:val="28"/>
          <w:szCs w:val="28"/>
          <w:highlight w:val="none"/>
          <w:lang w:val="en-US" w:eastAsia="zh-CN"/>
        </w:rPr>
      </w:pPr>
    </w:p>
    <w:p w14:paraId="7F3471CE">
      <w:pPr>
        <w:pStyle w:val="4"/>
        <w:rPr>
          <w:rFonts w:hint="eastAsia"/>
          <w:lang w:val="en-US" w:eastAsia="zh-CN"/>
        </w:rPr>
      </w:pPr>
    </w:p>
    <w:p w14:paraId="6C8ACF1A">
      <w:pPr>
        <w:rPr>
          <w:rFonts w:hint="eastAsia"/>
          <w:lang w:val="en-US" w:eastAsia="zh-CN"/>
        </w:rPr>
      </w:pPr>
    </w:p>
    <w:p w14:paraId="6F2DDCAD">
      <w:pPr>
        <w:pStyle w:val="2"/>
        <w:rPr>
          <w:rFonts w:hint="eastAsia"/>
          <w:lang w:val="en-US" w:eastAsia="zh-CN"/>
        </w:rPr>
      </w:pPr>
    </w:p>
    <w:tbl>
      <w:tblPr>
        <w:tblStyle w:val="12"/>
        <w:tblW w:w="5222" w:type="pct"/>
        <w:tblInd w:w="-1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86"/>
        <w:gridCol w:w="1408"/>
        <w:gridCol w:w="1359"/>
        <w:gridCol w:w="1213"/>
        <w:gridCol w:w="1297"/>
        <w:gridCol w:w="1200"/>
        <w:gridCol w:w="1139"/>
      </w:tblGrid>
      <w:tr w14:paraId="5E1F2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D2EF7">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环卫工人及公厕管理员明细表</w:t>
            </w:r>
          </w:p>
        </w:tc>
      </w:tr>
      <w:tr w14:paraId="6A175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blHeader/>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F790A">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区域</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3A635">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清扫一队</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BC0F4">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清扫二队</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D686E">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清扫三队</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6F2DB">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清扫四队</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58EC5">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清扫五队</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96C06">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总人数</w:t>
            </w:r>
          </w:p>
        </w:tc>
      </w:tr>
      <w:tr w14:paraId="384B9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6B0AD">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公厕</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F2BD1">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AE1B3">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FD3AD">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BF43D">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FE24E">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0415B">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35</w:t>
            </w:r>
          </w:p>
        </w:tc>
      </w:tr>
      <w:tr w14:paraId="576B6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BED63">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管理员</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6CEA3">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FDB5B">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C2E82">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F67B0">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AF8D7">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C4231">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42</w:t>
            </w:r>
          </w:p>
        </w:tc>
      </w:tr>
      <w:tr w14:paraId="05495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B70A1">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舜都大道</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52C02">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31</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04E42">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6D192">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42</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B504B">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8410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EB241">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73</w:t>
            </w:r>
          </w:p>
        </w:tc>
      </w:tr>
      <w:tr w14:paraId="3455D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92C3B">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西厢路</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D4D0B">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EDF80">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18</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25E37">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81771">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28EB2">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4A788">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28</w:t>
            </w:r>
          </w:p>
        </w:tc>
      </w:tr>
      <w:tr w14:paraId="67DC6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D2418">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富强西街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D1CA6">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AB7EE">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14</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A0735">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9C4C2">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41790">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14</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A7CB6">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28</w:t>
            </w:r>
          </w:p>
        </w:tc>
      </w:tr>
      <w:tr w14:paraId="2025F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AC32C">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富强东街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A38C0">
            <w:pPr>
              <w:keepNext w:val="0"/>
              <w:keepLines w:val="0"/>
              <w:pageBreakBefore w:val="0"/>
              <w:kinsoku/>
              <w:wordWrap/>
              <w:overflowPunct/>
              <w:topLinePunct w:val="0"/>
              <w:autoSpaceDE/>
              <w:autoSpaceDN/>
              <w:bidi w:val="0"/>
              <w:adjustRightInd/>
              <w:snapToGrid/>
              <w:spacing w:line="120" w:lineRule="atLeast"/>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6958B">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kern w:val="0"/>
                <w:sz w:val="24"/>
                <w:szCs w:val="24"/>
                <w:u w:val="none"/>
                <w:lang w:val="en-US" w:eastAsia="zh-CN" w:bidi="ar"/>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77656">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DC95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7D363">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kern w:val="0"/>
                <w:sz w:val="24"/>
                <w:szCs w:val="24"/>
                <w:u w:val="none"/>
                <w:lang w:val="en-US" w:eastAsia="zh-CN" w:bidi="ar"/>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C96E9">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r>
      <w:tr w14:paraId="4408F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9D22">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河东大道</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51460">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8F4A7">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55DE4">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8EEE7">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49E12">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16</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46D83">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26</w:t>
            </w:r>
          </w:p>
        </w:tc>
      </w:tr>
      <w:tr w14:paraId="04B52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66693">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康乐路</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C8421">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21DD1">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14</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BAC83">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BDA3E">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E8EAE">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F1F85">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16</w:t>
            </w:r>
          </w:p>
        </w:tc>
      </w:tr>
      <w:tr w14:paraId="3DE5C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22E27">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市府西街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97AC">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099DA">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6162">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0CF9A">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5EFE6">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E52D4">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r>
      <w:tr w14:paraId="6EDCE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26D10">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市府东街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887AD">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AE9C9">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200CA">
            <w:pPr>
              <w:keepNext w:val="0"/>
              <w:keepLines w:val="0"/>
              <w:pageBreakBefore w:val="0"/>
              <w:kinsoku/>
              <w:wordWrap/>
              <w:overflowPunct/>
              <w:topLinePunct w:val="0"/>
              <w:autoSpaceDE/>
              <w:autoSpaceDN/>
              <w:bidi w:val="0"/>
              <w:adjustRightInd/>
              <w:snapToGrid/>
              <w:spacing w:line="120" w:lineRule="atLeast"/>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912C5">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kern w:val="0"/>
                <w:sz w:val="24"/>
                <w:szCs w:val="24"/>
                <w:u w:val="none"/>
                <w:lang w:val="en-US" w:eastAsia="zh-CN" w:bidi="ar"/>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BFF62">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84565">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r>
      <w:tr w14:paraId="288DB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FD256">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涑水西街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EC9B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1681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FF20A">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0EF31">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20</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F3561">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A070">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20</w:t>
            </w:r>
          </w:p>
        </w:tc>
      </w:tr>
      <w:tr w14:paraId="206D9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A5104">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涑水东街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02902">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86B2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5C34">
            <w:pPr>
              <w:keepNext w:val="0"/>
              <w:keepLines w:val="0"/>
              <w:pageBreakBefore w:val="0"/>
              <w:kinsoku/>
              <w:wordWrap/>
              <w:overflowPunct/>
              <w:topLinePunct w:val="0"/>
              <w:autoSpaceDE/>
              <w:autoSpaceDN/>
              <w:bidi w:val="0"/>
              <w:adjustRightInd/>
              <w:snapToGrid/>
              <w:spacing w:line="120" w:lineRule="atLeast"/>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C8868">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kern w:val="0"/>
                <w:sz w:val="24"/>
                <w:szCs w:val="24"/>
                <w:u w:val="none"/>
                <w:lang w:val="en-US" w:eastAsia="zh-CN" w:bidi="ar"/>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E2410">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EEC00">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w:t>
            </w:r>
          </w:p>
        </w:tc>
      </w:tr>
      <w:tr w14:paraId="1055E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99A77">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东环路</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B1342">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74A7B">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619C">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D68ED">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50818">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69C19">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19</w:t>
            </w:r>
          </w:p>
        </w:tc>
      </w:tr>
      <w:tr w14:paraId="2B7FA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20EAA">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银杏西街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08CE7">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A98B5">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14</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EF2D">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2FF79">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E540B">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DD67">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14</w:t>
            </w:r>
          </w:p>
        </w:tc>
      </w:tr>
      <w:tr w14:paraId="6E163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2FBAD">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银杏东街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DCC31">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14</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2DFE1">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A158">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E29BE">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DD94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6554A">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14</w:t>
            </w:r>
          </w:p>
        </w:tc>
      </w:tr>
      <w:tr w14:paraId="5CFC6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0EA50">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迎宾路</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A806E">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F02B9">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8B0CB">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2C651">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BF3CB">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C8F3">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18</w:t>
            </w:r>
          </w:p>
        </w:tc>
      </w:tr>
      <w:tr w14:paraId="17A92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407C7">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西延</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AC63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4AE21">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75D4D">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C6D54">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463D1">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AA40A">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r>
      <w:tr w14:paraId="3AC54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C748E">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东延</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7609F">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81B9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1757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35BCC">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CF55">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ECC7E">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14:paraId="3D8E6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83378">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条山东街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E7E25">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10A36">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AEA91">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BE03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67AC">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A4B9D">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r>
      <w:tr w14:paraId="471A9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E384">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条山西街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8302A">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7F3AA">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F408A">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08055">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C341C">
            <w:pPr>
              <w:keepNext w:val="0"/>
              <w:keepLines w:val="0"/>
              <w:pageBreakBefore w:val="0"/>
              <w:kinsoku/>
              <w:wordWrap/>
              <w:overflowPunct/>
              <w:topLinePunct w:val="0"/>
              <w:autoSpaceDE/>
              <w:autoSpaceDN/>
              <w:bidi w:val="0"/>
              <w:adjustRightInd/>
              <w:snapToGrid/>
              <w:spacing w:line="120" w:lineRule="atLeast"/>
              <w:jc w:val="center"/>
              <w:rPr>
                <w:rFonts w:hint="default" w:ascii="仿宋" w:hAnsi="仿宋" w:eastAsia="仿宋" w:cs="仿宋"/>
                <w:i w:val="0"/>
                <w:iCs w:val="0"/>
                <w:color w:val="000000"/>
                <w:sz w:val="24"/>
                <w:szCs w:val="24"/>
                <w:u w:val="none"/>
                <w:lang w:val="en-US" w:eastAsia="zh-CN"/>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90D58">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14</w:t>
            </w:r>
          </w:p>
        </w:tc>
      </w:tr>
      <w:tr w14:paraId="40280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52A02">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电机大街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0E7A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7A7F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386D5">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9B365">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456CB">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14</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2F609">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14</w:t>
            </w:r>
          </w:p>
        </w:tc>
      </w:tr>
      <w:tr w14:paraId="00F72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348F8">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黄河大道</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3B570">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254E6">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D788">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A355E">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D14CC">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CCCD1">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14</w:t>
            </w:r>
          </w:p>
        </w:tc>
      </w:tr>
      <w:tr w14:paraId="0179C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897A8">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迎新东街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15611">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BD409">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5A7DD">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E4DC3">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3D815">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AB2A7">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2BFA7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AD93A">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振兴西街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99874">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AB52A">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798E">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E92AB">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C23D3">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5CAE5">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r>
      <w:tr w14:paraId="00095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25DA9">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迎新西街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09644">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kern w:val="2"/>
                <w:sz w:val="24"/>
                <w:szCs w:val="24"/>
                <w:u w:val="none"/>
                <w:lang w:val="en-US" w:eastAsia="zh-CN" w:bidi="ar-SA"/>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40C2D">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kern w:val="2"/>
                <w:sz w:val="24"/>
                <w:szCs w:val="24"/>
                <w:u w:val="none"/>
                <w:lang w:val="en-US" w:eastAsia="zh-CN" w:bidi="ar-SA"/>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5B4AA">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kern w:val="2"/>
                <w:sz w:val="24"/>
                <w:szCs w:val="24"/>
                <w:u w:val="none"/>
                <w:lang w:val="en-US" w:eastAsia="zh-CN" w:bidi="ar-SA"/>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5F20F">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398A6">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kern w:val="2"/>
                <w:sz w:val="24"/>
                <w:szCs w:val="24"/>
                <w:u w:val="none"/>
                <w:lang w:val="en-US" w:eastAsia="zh-CN" w:bidi="ar-SA"/>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79570">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4</w:t>
            </w:r>
          </w:p>
        </w:tc>
      </w:tr>
      <w:tr w14:paraId="6D9D7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6FB07">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电机支路</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66C8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8F429">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D8042">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732AB">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BF83E">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204C3">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r>
      <w:tr w14:paraId="4DC16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7E9B">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柳宗元路</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036D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56711">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1E066">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70CAC">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3B294">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6B351">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274B9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FB606">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东丰路</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93547">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59770">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A0578">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C0E9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8D220">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E6510">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12</w:t>
            </w:r>
          </w:p>
        </w:tc>
      </w:tr>
      <w:tr w14:paraId="06485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BD1EE">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东外环</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FD33">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98578">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0D667">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1BEAB">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31069">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3D1D9">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r>
      <w:tr w14:paraId="590F4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4BE47">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御园路</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2F206">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E21A5">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BA427">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62F36">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E0758">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8B0FF">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14:paraId="65B31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26316">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兴业街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FBFE0">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0C834">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8C15C">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34B9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E7B53">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0C0CA">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14:paraId="41008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357D9">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滨河东街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26F78">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BC40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A22CB">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A61DD">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22A50">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4DCF0">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4C05B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0F7DA">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滨河西街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20882">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5ADB3">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42165">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88849">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785CB">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45238">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274BC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DA16E">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青年路</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72C8E">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3C7D2">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4B957">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C92A0">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4F1C2">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66765">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0179E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421AE">
            <w:pPr>
              <w:keepNext w:val="0"/>
              <w:keepLines w:val="0"/>
              <w:pageBreakBefore w:val="0"/>
              <w:widowControl/>
              <w:suppressLineNumbers w:val="0"/>
              <w:kinsoku/>
              <w:wordWrap/>
              <w:overflowPunct/>
              <w:topLinePunct w:val="0"/>
              <w:autoSpaceDE/>
              <w:autoSpaceDN/>
              <w:bidi w:val="0"/>
              <w:adjustRightInd/>
              <w:snapToGrid/>
              <w:spacing w:line="120" w:lineRule="atLeas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振兴东街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BE24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A48CF">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920C9">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EAB21">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6B704">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67523">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14:paraId="1686A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7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4131E">
            <w:pPr>
              <w:keepNext w:val="0"/>
              <w:keepLines w:val="0"/>
              <w:pageBreakBefore w:val="0"/>
              <w:kinsoku/>
              <w:wordWrap/>
              <w:overflowPunct/>
              <w:topLinePunct w:val="0"/>
              <w:autoSpaceDE/>
              <w:autoSpaceDN/>
              <w:bidi w:val="0"/>
              <w:adjustRightInd/>
              <w:snapToGrid/>
              <w:spacing w:line="120" w:lineRule="atLeast"/>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合计</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B7C44">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5DD48">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F42B1">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4299E">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DD487">
            <w:pPr>
              <w:keepNext w:val="0"/>
              <w:keepLines w:val="0"/>
              <w:pageBreakBefore w:val="0"/>
              <w:kinsoku/>
              <w:wordWrap/>
              <w:overflowPunct/>
              <w:topLinePunct w:val="0"/>
              <w:autoSpaceDE/>
              <w:autoSpaceDN/>
              <w:bidi w:val="0"/>
              <w:adjustRightInd/>
              <w:snapToGrid/>
              <w:spacing w:line="120" w:lineRule="atLeast"/>
              <w:jc w:val="center"/>
              <w:rPr>
                <w:rFonts w:hint="eastAsia" w:ascii="仿宋" w:hAnsi="仿宋" w:eastAsia="仿宋" w:cs="仿宋"/>
                <w:i w:val="0"/>
                <w:iCs w:val="0"/>
                <w:color w:val="000000"/>
                <w:sz w:val="24"/>
                <w:szCs w:val="24"/>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B4921">
            <w:pPr>
              <w:keepNext w:val="0"/>
              <w:keepLines w:val="0"/>
              <w:pageBreakBefore w:val="0"/>
              <w:widowControl/>
              <w:suppressLineNumbers w:val="0"/>
              <w:kinsoku/>
              <w:wordWrap/>
              <w:overflowPunct/>
              <w:topLinePunct w:val="0"/>
              <w:autoSpaceDE/>
              <w:autoSpaceDN/>
              <w:bidi w:val="0"/>
              <w:adjustRightInd/>
              <w:snapToGrid/>
              <w:spacing w:line="120" w:lineRule="atLeast"/>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543</w:t>
            </w:r>
          </w:p>
        </w:tc>
      </w:tr>
    </w:tbl>
    <w:p w14:paraId="4F7A33C9">
      <w:pPr>
        <w:ind w:firstLine="691"/>
        <w:outlineLvl w:val="0"/>
        <w:rPr>
          <w:rFonts w:hint="eastAsia" w:ascii="仿宋" w:hAnsi="仿宋" w:eastAsia="仿宋" w:cs="仿宋"/>
          <w:b/>
          <w:bCs w:val="0"/>
          <w:sz w:val="28"/>
          <w:szCs w:val="28"/>
          <w:highlight w:val="none"/>
          <w:lang w:val="en-US" w:eastAsia="zh-CN"/>
        </w:rPr>
      </w:pPr>
    </w:p>
    <w:p w14:paraId="57BFD7F1">
      <w:pPr>
        <w:ind w:firstLine="691"/>
        <w:outlineLvl w:val="0"/>
        <w:rPr>
          <w:rFonts w:hint="default"/>
          <w:highlight w:val="none"/>
          <w:lang w:val="en-US" w:eastAsia="zh-CN"/>
        </w:rPr>
      </w:pPr>
      <w:r>
        <w:rPr>
          <w:rFonts w:hint="eastAsia" w:ascii="仿宋" w:hAnsi="仿宋" w:eastAsia="仿宋" w:cs="仿宋"/>
          <w:b/>
          <w:bCs w:val="0"/>
          <w:sz w:val="28"/>
          <w:szCs w:val="28"/>
          <w:highlight w:val="none"/>
          <w:lang w:val="en-US" w:eastAsia="zh-CN"/>
        </w:rPr>
        <w:t>3.日常工作任务</w:t>
      </w:r>
    </w:p>
    <w:p w14:paraId="69937A05">
      <w:pPr>
        <w:ind w:firstLine="560" w:firstLineChars="200"/>
        <w:outlineLvl w:val="0"/>
        <w:rPr>
          <w:rFonts w:hint="default" w:ascii="仿宋" w:hAnsi="仿宋" w:eastAsia="仿宋" w:cs="仿宋"/>
          <w:strike w:val="0"/>
          <w:dstrike w:val="0"/>
          <w:sz w:val="28"/>
          <w:szCs w:val="28"/>
          <w:highlight w:val="none"/>
          <w:lang w:val="en-US" w:eastAsia="zh-CN"/>
        </w:rPr>
      </w:pPr>
      <w:r>
        <w:rPr>
          <w:rFonts w:hint="eastAsia" w:ascii="仿宋" w:hAnsi="仿宋" w:eastAsia="仿宋" w:cs="仿宋"/>
          <w:strike w:val="0"/>
          <w:dstrike w:val="0"/>
          <w:sz w:val="28"/>
          <w:szCs w:val="28"/>
          <w:highlight w:val="none"/>
          <w:lang w:val="en-US" w:eastAsia="zh-CN"/>
        </w:rPr>
        <w:t>（1）日常清扫保洁、冲洗降尘、清运垃圾：对永济市区385.29万㎡的作业区域，按照“机扫、人保、冲洗”三位一体的模式进行清扫保洁；每天对城区内28余条主次街道进行冲洗降尘；清理街道抛洒，清运无主垃圾、生活垃圾、餐厨垃圾等。</w:t>
      </w:r>
    </w:p>
    <w:p w14:paraId="756D6919">
      <w:pPr>
        <w:ind w:firstLine="560" w:firstLineChars="200"/>
        <w:outlineLvl w:val="0"/>
        <w:rPr>
          <w:rFonts w:hint="eastAsia" w:ascii="仿宋" w:hAnsi="仿宋" w:eastAsia="仿宋" w:cs="仿宋"/>
          <w:strike w:val="0"/>
          <w:dstrike w:val="0"/>
          <w:sz w:val="28"/>
          <w:szCs w:val="28"/>
          <w:highlight w:val="none"/>
          <w:lang w:val="en-US" w:eastAsia="zh-CN"/>
        </w:rPr>
      </w:pPr>
      <w:r>
        <w:rPr>
          <w:rFonts w:hint="eastAsia" w:ascii="仿宋" w:hAnsi="仿宋" w:eastAsia="仿宋" w:cs="仿宋"/>
          <w:strike w:val="0"/>
          <w:dstrike w:val="0"/>
          <w:sz w:val="28"/>
          <w:szCs w:val="28"/>
          <w:highlight w:val="none"/>
          <w:lang w:val="en-US" w:eastAsia="zh-CN"/>
        </w:rPr>
        <w:t>（2）驿站、公厕、中转站管理：对辖区33座驿站、公厕及4座中转站进行日常管理，实行“四净三无两通一明一香”标准。</w:t>
      </w:r>
    </w:p>
    <w:p w14:paraId="2970292D">
      <w:pPr>
        <w:ind w:firstLine="560" w:firstLineChars="200"/>
        <w:outlineLvl w:val="0"/>
        <w:rPr>
          <w:rFonts w:hint="default" w:ascii="仿宋" w:hAnsi="仿宋" w:eastAsia="仿宋" w:cs="仿宋"/>
          <w:strike w:val="0"/>
          <w:dstrike w:val="0"/>
          <w:sz w:val="28"/>
          <w:szCs w:val="28"/>
          <w:highlight w:val="none"/>
          <w:lang w:val="en-US" w:eastAsia="zh-CN"/>
        </w:rPr>
      </w:pPr>
      <w:r>
        <w:rPr>
          <w:rFonts w:hint="eastAsia" w:ascii="仿宋" w:hAnsi="仿宋" w:eastAsia="仿宋" w:cs="仿宋"/>
          <w:strike w:val="0"/>
          <w:dstrike w:val="0"/>
          <w:sz w:val="28"/>
          <w:szCs w:val="28"/>
          <w:highlight w:val="none"/>
          <w:lang w:val="en-US" w:eastAsia="zh-CN"/>
        </w:rPr>
        <w:t>（3）垃圾处置费征收：开展垃圾处置费收费人员的管理培训，以自主缴费为主、供水部门代收为辅的方式征收垃圾处置费。</w:t>
      </w:r>
    </w:p>
    <w:p w14:paraId="7F2C3B96">
      <w:pPr>
        <w:ind w:firstLine="560" w:firstLineChars="200"/>
        <w:outlineLvl w:val="0"/>
        <w:rPr>
          <w:rFonts w:hint="eastAsia" w:ascii="仿宋" w:hAnsi="仿宋" w:eastAsia="仿宋" w:cs="仿宋"/>
          <w:sz w:val="28"/>
          <w:szCs w:val="28"/>
          <w:highlight w:val="none"/>
          <w:lang w:val="en-US" w:eastAsia="zh-CN"/>
        </w:rPr>
      </w:pPr>
      <w:r>
        <w:rPr>
          <w:rFonts w:hint="eastAsia" w:ascii="仿宋" w:hAnsi="仿宋" w:eastAsia="仿宋" w:cs="仿宋"/>
          <w:strike w:val="0"/>
          <w:dstrike w:val="0"/>
          <w:sz w:val="28"/>
          <w:szCs w:val="28"/>
          <w:highlight w:val="none"/>
          <w:lang w:val="en-US" w:eastAsia="zh-CN"/>
        </w:rPr>
        <w:t>（4）其他工作：处理信访投诉，按规定开展党建工作等。</w:t>
      </w:r>
    </w:p>
    <w:p w14:paraId="45B50AA7">
      <w:pPr>
        <w:keepNext w:val="0"/>
        <w:keepLines w:val="0"/>
        <w:pageBreakBefore w:val="0"/>
        <w:widowControl w:val="0"/>
        <w:kinsoku/>
        <w:wordWrap/>
        <w:overflowPunct/>
        <w:topLinePunct w:val="0"/>
        <w:autoSpaceDE/>
        <w:autoSpaceDN/>
        <w:bidi w:val="0"/>
        <w:spacing w:line="560" w:lineRule="exact"/>
        <w:ind w:firstLine="562" w:firstLineChars="200"/>
        <w:textAlignment w:val="auto"/>
        <w:outlineLvl w:val="1"/>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（二）部门预算批复及整体支出情况</w:t>
      </w:r>
      <w:bookmarkEnd w:id="19"/>
    </w:p>
    <w:p w14:paraId="71FE46F9">
      <w:pPr>
        <w:pStyle w:val="2"/>
        <w:keepNext w:val="0"/>
        <w:keepLines w:val="0"/>
        <w:pageBreakBefore w:val="0"/>
        <w:kinsoku/>
        <w:wordWrap/>
        <w:overflowPunct/>
        <w:topLinePunct w:val="0"/>
        <w:autoSpaceDE/>
        <w:autoSpaceDN/>
        <w:bidi w:val="0"/>
        <w:spacing w:line="560" w:lineRule="exact"/>
        <w:ind w:firstLine="562"/>
        <w:textAlignment w:val="auto"/>
        <w:rPr>
          <w:rFonts w:hint="eastAsia" w:ascii="仿宋" w:hAnsi="仿宋" w:eastAsia="仿宋" w:cs="仿宋"/>
          <w:b/>
          <w:bCs/>
          <w:color w:val="000000"/>
          <w:kern w:val="0"/>
          <w:sz w:val="28"/>
          <w:szCs w:val="28"/>
          <w:highlight w:val="none"/>
          <w:shd w:val="clear" w:color="auto" w:fill="FFFFFF"/>
          <w:lang w:val="en-US" w:eastAsia="zh-CN"/>
        </w:rPr>
      </w:pPr>
      <w:bookmarkStart w:id="20" w:name="_Toc32021"/>
      <w:r>
        <w:rPr>
          <w:rFonts w:hint="eastAsia" w:ascii="仿宋" w:hAnsi="仿宋" w:eastAsia="仿宋" w:cs="仿宋"/>
          <w:b/>
          <w:bCs/>
          <w:color w:val="000000"/>
          <w:kern w:val="0"/>
          <w:sz w:val="28"/>
          <w:szCs w:val="28"/>
          <w:highlight w:val="none"/>
          <w:shd w:val="clear" w:color="auto" w:fill="FFFFFF"/>
          <w:lang w:val="en-US" w:eastAsia="zh-CN"/>
        </w:rPr>
        <w:t>1.预算批复情况</w:t>
      </w:r>
    </w:p>
    <w:p w14:paraId="613FCE1B">
      <w:pPr>
        <w:pStyle w:val="2"/>
        <w:ind w:firstLine="562"/>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永济市市容环卫中心2023年部门预算为2,042.26万元。其中：基本支出420.74万元，项目支出1,621.52万元。</w:t>
      </w:r>
    </w:p>
    <w:p w14:paraId="7EA54AEE">
      <w:pPr>
        <w:pStyle w:val="2"/>
        <w:keepNext w:val="0"/>
        <w:keepLines w:val="0"/>
        <w:pageBreakBefore w:val="0"/>
        <w:kinsoku/>
        <w:wordWrap/>
        <w:overflowPunct/>
        <w:topLinePunct w:val="0"/>
        <w:autoSpaceDE/>
        <w:autoSpaceDN/>
        <w:bidi w:val="0"/>
        <w:spacing w:line="560" w:lineRule="exact"/>
        <w:ind w:firstLine="562"/>
        <w:textAlignment w:val="auto"/>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bCs/>
          <w:color w:val="000000"/>
          <w:kern w:val="0"/>
          <w:sz w:val="28"/>
          <w:szCs w:val="28"/>
          <w:highlight w:val="none"/>
          <w:shd w:val="clear" w:color="auto" w:fill="FFFFFF"/>
          <w:lang w:val="en-US" w:eastAsia="zh-CN"/>
        </w:rPr>
        <w:t>2.预算资金下达情况</w:t>
      </w:r>
    </w:p>
    <w:p w14:paraId="54113C4B">
      <w:pPr>
        <w:pStyle w:val="2"/>
        <w:ind w:firstLine="562"/>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永济市市容环卫中心2023年共收入2,191.42万元，其中：年初预算批复2,042.26万元，追加预算149.16万元。详见下表。</w:t>
      </w:r>
    </w:p>
    <w:tbl>
      <w:tblPr>
        <w:tblStyle w:val="12"/>
        <w:tblW w:w="424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796"/>
        <w:gridCol w:w="2376"/>
        <w:gridCol w:w="1176"/>
        <w:gridCol w:w="1896"/>
      </w:tblGrid>
      <w:tr w14:paraId="42545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blHeader/>
        </w:trPr>
        <w:tc>
          <w:tcPr>
            <w:tcW w:w="1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EBC77">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资金文号</w:t>
            </w:r>
          </w:p>
        </w:tc>
        <w:tc>
          <w:tcPr>
            <w:tcW w:w="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698C1">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用途</w:t>
            </w:r>
          </w:p>
        </w:tc>
        <w:tc>
          <w:tcPr>
            <w:tcW w:w="1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35280">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类型</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201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 xml:space="preserve"> 金额 </w:t>
            </w:r>
          </w:p>
        </w:tc>
      </w:tr>
      <w:tr w14:paraId="4A444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EEEC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永财字〔2023〕2号</w:t>
            </w:r>
          </w:p>
        </w:tc>
        <w:tc>
          <w:tcPr>
            <w:tcW w:w="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CF05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人员类项目</w:t>
            </w:r>
          </w:p>
        </w:tc>
        <w:tc>
          <w:tcPr>
            <w:tcW w:w="1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6066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基本支出</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584C9">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4,207,145.00 </w:t>
            </w:r>
          </w:p>
        </w:tc>
      </w:tr>
      <w:tr w14:paraId="6ACC9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F5C0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永财预〔2023〕049号</w:t>
            </w:r>
          </w:p>
        </w:tc>
        <w:tc>
          <w:tcPr>
            <w:tcW w:w="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89D2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人员类项目</w:t>
            </w:r>
          </w:p>
        </w:tc>
        <w:tc>
          <w:tcPr>
            <w:tcW w:w="1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530B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基本支出</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BC526">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48,215.00 </w:t>
            </w:r>
          </w:p>
        </w:tc>
      </w:tr>
      <w:tr w14:paraId="3E63E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8738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永财预指〔2023〕006号</w:t>
            </w:r>
          </w:p>
        </w:tc>
        <w:tc>
          <w:tcPr>
            <w:tcW w:w="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09CE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人员类项目</w:t>
            </w:r>
          </w:p>
        </w:tc>
        <w:tc>
          <w:tcPr>
            <w:tcW w:w="1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7679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基本支出</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B8998">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76,938.80 </w:t>
            </w:r>
          </w:p>
        </w:tc>
      </w:tr>
      <w:tr w14:paraId="4EE54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C0E6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永财预指〔2023〕082号</w:t>
            </w:r>
          </w:p>
        </w:tc>
        <w:tc>
          <w:tcPr>
            <w:tcW w:w="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2946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人员类项目</w:t>
            </w:r>
          </w:p>
        </w:tc>
        <w:tc>
          <w:tcPr>
            <w:tcW w:w="1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528B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基本支出</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DD9B6">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167,427.38 </w:t>
            </w:r>
          </w:p>
        </w:tc>
      </w:tr>
      <w:tr w14:paraId="7499E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BB23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永财字〔2023〕2号</w:t>
            </w:r>
          </w:p>
        </w:tc>
        <w:tc>
          <w:tcPr>
            <w:tcW w:w="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48A4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城市维护费</w:t>
            </w:r>
          </w:p>
        </w:tc>
        <w:tc>
          <w:tcPr>
            <w:tcW w:w="1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B771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项目支出</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3AF4F">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16,080,000.00 </w:t>
            </w:r>
          </w:p>
        </w:tc>
      </w:tr>
      <w:tr w14:paraId="4B788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0DA9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永财字〔2023〕2号</w:t>
            </w:r>
          </w:p>
        </w:tc>
        <w:tc>
          <w:tcPr>
            <w:tcW w:w="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B13B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新建驿站内部设施</w:t>
            </w:r>
          </w:p>
        </w:tc>
        <w:tc>
          <w:tcPr>
            <w:tcW w:w="1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D815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项目支出</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B7105">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99,242.00 </w:t>
            </w:r>
          </w:p>
        </w:tc>
      </w:tr>
      <w:tr w14:paraId="6D965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BF0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永财字〔2023〕2号</w:t>
            </w:r>
          </w:p>
        </w:tc>
        <w:tc>
          <w:tcPr>
            <w:tcW w:w="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AFB2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遗属补助</w:t>
            </w:r>
          </w:p>
        </w:tc>
        <w:tc>
          <w:tcPr>
            <w:tcW w:w="1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31DA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项目支出</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042EC">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35,232.00 </w:t>
            </w:r>
          </w:p>
        </w:tc>
      </w:tr>
      <w:tr w14:paraId="0B92E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0222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永财预指〔2023〕160号</w:t>
            </w:r>
          </w:p>
        </w:tc>
        <w:tc>
          <w:tcPr>
            <w:tcW w:w="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76B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追加环卫工人员工资</w:t>
            </w:r>
          </w:p>
        </w:tc>
        <w:tc>
          <w:tcPr>
            <w:tcW w:w="1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AB28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项目支出</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64101">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1,200,000.00 </w:t>
            </w:r>
          </w:p>
        </w:tc>
      </w:tr>
      <w:tr w14:paraId="1CEC8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D75E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合计</w:t>
            </w:r>
          </w:p>
        </w:tc>
        <w:tc>
          <w:tcPr>
            <w:tcW w:w="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1AD4F">
            <w:pPr>
              <w:jc w:val="right"/>
              <w:rPr>
                <w:rFonts w:hint="eastAsia" w:ascii="仿宋" w:hAnsi="仿宋" w:eastAsia="仿宋" w:cs="仿宋"/>
                <w:i w:val="0"/>
                <w:iCs w:val="0"/>
                <w:color w:val="000000"/>
                <w:sz w:val="24"/>
                <w:szCs w:val="24"/>
                <w:highlight w:val="none"/>
                <w:u w:val="none"/>
              </w:rPr>
            </w:pPr>
          </w:p>
        </w:tc>
        <w:tc>
          <w:tcPr>
            <w:tcW w:w="1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BAA7A">
            <w:pPr>
              <w:jc w:val="right"/>
              <w:rPr>
                <w:rFonts w:hint="eastAsia" w:ascii="仿宋" w:hAnsi="仿宋" w:eastAsia="仿宋" w:cs="仿宋"/>
                <w:i w:val="0"/>
                <w:iCs w:val="0"/>
                <w:color w:val="000000"/>
                <w:sz w:val="24"/>
                <w:szCs w:val="24"/>
                <w:highlight w:val="none"/>
                <w:u w:val="none"/>
              </w:rPr>
            </w:pP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9310D">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21,914,200.18 </w:t>
            </w:r>
          </w:p>
        </w:tc>
      </w:tr>
    </w:tbl>
    <w:p w14:paraId="7BAC5CCC">
      <w:pPr>
        <w:keepNext w:val="0"/>
        <w:keepLines w:val="0"/>
        <w:pageBreakBefore w:val="0"/>
        <w:widowControl/>
        <w:numPr>
          <w:ilvl w:val="0"/>
          <w:numId w:val="0"/>
        </w:numPr>
        <w:kinsoku/>
        <w:wordWrap/>
        <w:overflowPunct/>
        <w:topLinePunct w:val="0"/>
        <w:autoSpaceDE/>
        <w:autoSpaceDN/>
        <w:bidi w:val="0"/>
        <w:snapToGrid w:val="0"/>
        <w:spacing w:line="560" w:lineRule="exact"/>
        <w:ind w:firstLine="562" w:firstLineChars="200"/>
        <w:textAlignment w:val="auto"/>
        <w:rPr>
          <w:rFonts w:hint="eastAsia" w:ascii="仿宋" w:hAnsi="仿宋" w:eastAsia="仿宋" w:cs="仿宋"/>
          <w:b/>
          <w:bCs/>
          <w:color w:val="000000"/>
          <w:kern w:val="0"/>
          <w:sz w:val="28"/>
          <w:szCs w:val="28"/>
          <w:highlight w:val="none"/>
          <w:shd w:val="clear" w:color="auto" w:fill="FFFFFF"/>
          <w:lang w:eastAsia="zh-CN"/>
        </w:rPr>
      </w:pPr>
      <w:r>
        <w:rPr>
          <w:rFonts w:hint="eastAsia" w:ascii="仿宋" w:hAnsi="仿宋" w:eastAsia="仿宋" w:cs="仿宋"/>
          <w:b/>
          <w:bCs/>
          <w:color w:val="000000"/>
          <w:kern w:val="0"/>
          <w:sz w:val="28"/>
          <w:szCs w:val="28"/>
          <w:highlight w:val="none"/>
          <w:shd w:val="clear" w:color="auto" w:fill="FFFFFF"/>
          <w:lang w:val="en-US" w:eastAsia="zh-CN"/>
        </w:rPr>
        <w:t>3.2023年</w:t>
      </w:r>
      <w:r>
        <w:rPr>
          <w:rFonts w:hint="eastAsia" w:ascii="仿宋" w:hAnsi="仿宋" w:eastAsia="仿宋" w:cs="仿宋"/>
          <w:b/>
          <w:bCs/>
          <w:color w:val="000000"/>
          <w:kern w:val="0"/>
          <w:sz w:val="28"/>
          <w:szCs w:val="28"/>
          <w:highlight w:val="none"/>
          <w:shd w:val="clear" w:color="auto" w:fill="FFFFFF"/>
          <w:lang w:eastAsia="zh-CN"/>
        </w:rPr>
        <w:t>整体</w:t>
      </w:r>
      <w:r>
        <w:rPr>
          <w:rFonts w:hint="eastAsia" w:ascii="仿宋" w:hAnsi="仿宋" w:eastAsia="仿宋" w:cs="仿宋"/>
          <w:b/>
          <w:bCs/>
          <w:color w:val="000000"/>
          <w:kern w:val="0"/>
          <w:sz w:val="28"/>
          <w:szCs w:val="28"/>
          <w:highlight w:val="none"/>
          <w:shd w:val="clear" w:color="auto" w:fill="FFFFFF"/>
        </w:rPr>
        <w:t>支出情况</w:t>
      </w:r>
    </w:p>
    <w:p w14:paraId="34E5D296">
      <w:pPr>
        <w:pStyle w:val="2"/>
        <w:ind w:firstLine="562"/>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永济市市容环卫中心2023年共支出2,191.42万元，其中：基本支出449.97万元，项目支出1,741.45万元。详见下表。</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945"/>
        <w:gridCol w:w="1839"/>
        <w:gridCol w:w="1860"/>
        <w:gridCol w:w="1875"/>
      </w:tblGrid>
      <w:tr w14:paraId="0FB82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88A0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D172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 基本支出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9435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 项目支出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9336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p>
        </w:tc>
      </w:tr>
      <w:tr w14:paraId="28390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88E4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一、工资福利支出</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93CA5">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4,208,557.00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0C429">
            <w:pPr>
              <w:jc w:val="right"/>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sz w:val="24"/>
                <w:szCs w:val="24"/>
                <w:u w:val="none"/>
                <w:lang w:val="en-US" w:eastAsia="zh-CN"/>
              </w:rPr>
              <w:t xml:space="preserve">13,080,000.00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D2C1A">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17,288,557.00 </w:t>
            </w:r>
          </w:p>
        </w:tc>
      </w:tr>
      <w:tr w14:paraId="73B5D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D8C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基本工资</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FDA22">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1,659,047.00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04524">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C6C64">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1,659,047.00 </w:t>
            </w:r>
          </w:p>
        </w:tc>
      </w:tr>
      <w:tr w14:paraId="7AE4F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E5B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津贴补贴</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3789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192,584.00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84776">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72004">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192,584.00 </w:t>
            </w:r>
          </w:p>
        </w:tc>
      </w:tr>
      <w:tr w14:paraId="60A18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EBB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奖金</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662B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134,236.00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13A0C">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5AB7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134,236.00 </w:t>
            </w:r>
          </w:p>
        </w:tc>
      </w:tr>
      <w:tr w14:paraId="686B6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2D6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绩效工资</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E19F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1,064,637.00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38F27">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B9759">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1,064,637.00 </w:t>
            </w:r>
          </w:p>
        </w:tc>
      </w:tr>
      <w:tr w14:paraId="11A5D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F3D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基本养老保险缴费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B6DB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446,562.00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9CE0C">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E6C4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446,562.00 </w:t>
            </w:r>
          </w:p>
        </w:tc>
      </w:tr>
      <w:tr w14:paraId="055FE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2D9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职业年金缴费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8D25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223,281.00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16753">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74864">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223,281.00 </w:t>
            </w:r>
          </w:p>
        </w:tc>
      </w:tr>
      <w:tr w14:paraId="4CBD7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A5D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职工基本医疗保险缴费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1A055">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181,416.00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F34D9">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F05D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181,416.00 </w:t>
            </w:r>
          </w:p>
        </w:tc>
      </w:tr>
      <w:tr w14:paraId="691F2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28E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其他社会保障缴费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456F4">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27,693.00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60124">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110DA">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27,693.00 </w:t>
            </w:r>
          </w:p>
        </w:tc>
      </w:tr>
      <w:tr w14:paraId="0A260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8C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住房公积金</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2B1D9">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279,101.00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D7E01">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D9C0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279,101.00 </w:t>
            </w:r>
          </w:p>
        </w:tc>
      </w:tr>
      <w:tr w14:paraId="2E055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28F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其他工资福利支出</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519B0">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4F52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13,080,000.00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80B96">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13,080,000.00 </w:t>
            </w:r>
          </w:p>
        </w:tc>
      </w:tr>
      <w:tr w14:paraId="2F1CF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112C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二、商品和服务支出</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840AB">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57F44">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4,200,000.00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3E011">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4,200,000.00 </w:t>
            </w:r>
          </w:p>
        </w:tc>
      </w:tr>
      <w:tr w14:paraId="21FCC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CCA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办公费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A3336">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31DA8">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21,000.00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E9599">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21,000.00 </w:t>
            </w:r>
          </w:p>
        </w:tc>
      </w:tr>
      <w:tr w14:paraId="61EC2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B54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印刷费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46A82">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D0C4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16,860.00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6CCE5">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16,860.00 </w:t>
            </w:r>
          </w:p>
        </w:tc>
      </w:tr>
      <w:tr w14:paraId="6D67E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9C7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36D0E">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FE09">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80,000.00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2AC25">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80,000.00 </w:t>
            </w:r>
          </w:p>
        </w:tc>
      </w:tr>
      <w:tr w14:paraId="76A90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A92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DD732">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BECB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109,637.00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F2EA3">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109,637.00 </w:t>
            </w:r>
          </w:p>
        </w:tc>
      </w:tr>
      <w:tr w14:paraId="50D4B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158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邮电费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A606D">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5717">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11,840.00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09662">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11,840.00 </w:t>
            </w:r>
          </w:p>
        </w:tc>
      </w:tr>
      <w:tr w14:paraId="06530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E1A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差旅费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281DB">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1E6A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412.00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777A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412.00 </w:t>
            </w:r>
          </w:p>
        </w:tc>
      </w:tr>
      <w:tr w14:paraId="4F373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8AB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维修（护）费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AD55C">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1730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143,941.00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F90C6">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143,941.00 </w:t>
            </w:r>
          </w:p>
        </w:tc>
      </w:tr>
      <w:tr w14:paraId="6D890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327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租赁费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5E6AF">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164B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19,150.00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36618">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19,150.00 </w:t>
            </w:r>
          </w:p>
        </w:tc>
      </w:tr>
      <w:tr w14:paraId="19D5E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BD8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专用材料费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C8C38">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9C249">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320,000.00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D1EC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320,000.00 </w:t>
            </w:r>
          </w:p>
        </w:tc>
      </w:tr>
      <w:tr w14:paraId="0B193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90E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专用燃料费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D43D9">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02E2">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1,900,000.00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D68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1,900,000.00 </w:t>
            </w:r>
          </w:p>
        </w:tc>
      </w:tr>
      <w:tr w14:paraId="22827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5D4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劳务费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650D1">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E8F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22,000.00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4ACC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22,000.00 </w:t>
            </w:r>
          </w:p>
        </w:tc>
      </w:tr>
      <w:tr w14:paraId="7B6F3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E24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工会经费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A4ED5">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EECC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20,890.00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240EA">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20,890.00 </w:t>
            </w:r>
          </w:p>
        </w:tc>
      </w:tr>
      <w:tr w14:paraId="3983C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74D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福利费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7E478">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15945">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154,330.00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A90C4">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154,330.00 </w:t>
            </w:r>
          </w:p>
        </w:tc>
      </w:tr>
      <w:tr w14:paraId="6A5B1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142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其他交通费用</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77A92">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31D34">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1,300,000.00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77514">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1,300,000.00 </w:t>
            </w:r>
          </w:p>
        </w:tc>
      </w:tr>
      <w:tr w14:paraId="455DA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538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其他商品和服务支出</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247D4">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D54F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79,940.00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74487">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79,940.00 </w:t>
            </w:r>
          </w:p>
        </w:tc>
      </w:tr>
      <w:tr w14:paraId="41E55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021A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三、对个人和家庭的补助</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F5326">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291,169.18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89CEF">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35,232.00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C22FE">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326,401.18 </w:t>
            </w:r>
          </w:p>
        </w:tc>
      </w:tr>
      <w:tr w14:paraId="233C7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91D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退休费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E8CE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212,070.38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2A16">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8DE66">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212,070.38 </w:t>
            </w:r>
          </w:p>
        </w:tc>
      </w:tr>
      <w:tr w14:paraId="26D5F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4A5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抚恤金</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4F9F2">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76,938.80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2ABC">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28B09">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76,938.80 </w:t>
            </w:r>
          </w:p>
        </w:tc>
      </w:tr>
      <w:tr w14:paraId="3DEB0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AAE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生活补助</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23438">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BACA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35,232.00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F63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35,232.00 </w:t>
            </w:r>
          </w:p>
        </w:tc>
      </w:tr>
      <w:tr w14:paraId="1037E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9E8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医疗费补助</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24AB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2,160.00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C877C">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D38C0">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2,160.00 </w:t>
            </w:r>
          </w:p>
        </w:tc>
      </w:tr>
      <w:tr w14:paraId="358BF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6CCB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四、资本性支出</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E9343">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2337D">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99,242.00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45304">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99,242.00 </w:t>
            </w:r>
          </w:p>
        </w:tc>
      </w:tr>
      <w:tr w14:paraId="0D0FE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C21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办公设备购置</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4D9AD">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D3BC0">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53,852.00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F06D0">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53,852.00 </w:t>
            </w:r>
          </w:p>
        </w:tc>
      </w:tr>
      <w:tr w14:paraId="5D82F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7FE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专用设备购置</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13C7A">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C1233">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45,390.00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99377">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45,390.00 </w:t>
            </w:r>
          </w:p>
        </w:tc>
      </w:tr>
      <w:tr w14:paraId="4F0A6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24BA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合计</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EA8C2">
            <w:pPr>
              <w:keepNext w:val="0"/>
              <w:keepLines w:val="0"/>
              <w:widowControl/>
              <w:suppressLineNumbers w:val="0"/>
              <w:jc w:val="righ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 4,499,726.18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5A402">
            <w:pPr>
              <w:keepNext w:val="0"/>
              <w:keepLines w:val="0"/>
              <w:widowControl/>
              <w:suppressLineNumbers w:val="0"/>
              <w:jc w:val="righ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17,414,474.00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67CCB">
            <w:pPr>
              <w:keepNext w:val="0"/>
              <w:keepLines w:val="0"/>
              <w:widowControl/>
              <w:suppressLineNumbers w:val="0"/>
              <w:jc w:val="righ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21,914,200.18 </w:t>
            </w:r>
          </w:p>
        </w:tc>
      </w:tr>
    </w:tbl>
    <w:p w14:paraId="7868D50B">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firstLine="562" w:firstLineChars="200"/>
        <w:textAlignment w:val="auto"/>
        <w:rPr>
          <w:rFonts w:hint="eastAsia" w:ascii="仿宋" w:hAnsi="仿宋" w:eastAsia="仿宋" w:cs="仿宋"/>
          <w:b/>
          <w:bCs/>
          <w:color w:val="000000"/>
          <w:kern w:val="0"/>
          <w:sz w:val="28"/>
          <w:szCs w:val="28"/>
          <w:highlight w:val="none"/>
          <w:shd w:val="clear" w:color="auto" w:fill="FFFFFF"/>
          <w:lang w:eastAsia="zh-CN"/>
        </w:rPr>
      </w:pPr>
      <w:r>
        <w:rPr>
          <w:rFonts w:hint="eastAsia" w:ascii="仿宋" w:hAnsi="仿宋" w:eastAsia="仿宋" w:cs="仿宋"/>
          <w:b/>
          <w:bCs/>
          <w:color w:val="000000"/>
          <w:kern w:val="0"/>
          <w:sz w:val="28"/>
          <w:szCs w:val="28"/>
          <w:highlight w:val="none"/>
          <w:shd w:val="clear" w:color="auto" w:fill="FFFFFF"/>
          <w:lang w:val="en-US" w:eastAsia="zh-CN"/>
        </w:rPr>
        <w:t>4.年末结转结余资金</w:t>
      </w:r>
      <w:r>
        <w:rPr>
          <w:rFonts w:hint="eastAsia" w:ascii="仿宋" w:hAnsi="仿宋" w:eastAsia="仿宋" w:cs="仿宋"/>
          <w:b/>
          <w:bCs/>
          <w:color w:val="000000"/>
          <w:kern w:val="0"/>
          <w:sz w:val="28"/>
          <w:szCs w:val="28"/>
          <w:highlight w:val="none"/>
          <w:shd w:val="clear" w:color="auto" w:fill="FFFFFF"/>
        </w:rPr>
        <w:t>情况</w:t>
      </w:r>
    </w:p>
    <w:p w14:paraId="1FA6AEF4">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color w:val="000000"/>
          <w:kern w:val="0"/>
          <w:sz w:val="28"/>
          <w:szCs w:val="28"/>
          <w:highlight w:val="none"/>
          <w:shd w:val="clear" w:color="auto" w:fill="FFFFFF"/>
          <w:lang w:val="en-US" w:eastAsia="zh-CN"/>
        </w:rPr>
      </w:pPr>
      <w:r>
        <w:rPr>
          <w:rFonts w:hint="eastAsia" w:ascii="仿宋" w:hAnsi="仿宋" w:eastAsia="仿宋" w:cs="仿宋"/>
          <w:sz w:val="28"/>
          <w:szCs w:val="28"/>
          <w:highlight w:val="none"/>
          <w:lang w:val="en-US" w:eastAsia="zh-CN"/>
        </w:rPr>
        <w:t>永济</w:t>
      </w:r>
      <w:r>
        <w:rPr>
          <w:rFonts w:hint="eastAsia" w:ascii="仿宋" w:hAnsi="仿宋" w:eastAsia="仿宋" w:cs="仿宋"/>
          <w:color w:val="000000"/>
          <w:kern w:val="0"/>
          <w:sz w:val="28"/>
          <w:szCs w:val="28"/>
          <w:highlight w:val="none"/>
          <w:shd w:val="clear" w:color="auto" w:fill="FFFFFF"/>
          <w:lang w:val="en-US" w:eastAsia="zh-CN"/>
        </w:rPr>
        <w:t>市市容环卫中心2023年预算</w:t>
      </w:r>
      <w:r>
        <w:rPr>
          <w:rFonts w:hint="eastAsia" w:ascii="仿宋" w:hAnsi="仿宋" w:eastAsia="仿宋" w:cs="仿宋"/>
          <w:b w:val="0"/>
          <w:bCs w:val="0"/>
          <w:color w:val="000000"/>
          <w:kern w:val="0"/>
          <w:sz w:val="28"/>
          <w:szCs w:val="28"/>
          <w:highlight w:val="none"/>
          <w:shd w:val="clear" w:color="auto" w:fill="FFFFFF"/>
          <w:lang w:val="en-US" w:eastAsia="zh-CN"/>
        </w:rPr>
        <w:t>2,042.26</w:t>
      </w:r>
      <w:r>
        <w:rPr>
          <w:rFonts w:hint="eastAsia" w:ascii="仿宋" w:hAnsi="仿宋" w:eastAsia="仿宋" w:cs="仿宋"/>
          <w:color w:val="000000"/>
          <w:kern w:val="0"/>
          <w:sz w:val="28"/>
          <w:szCs w:val="28"/>
          <w:highlight w:val="none"/>
          <w:shd w:val="clear" w:color="auto" w:fill="FFFFFF"/>
          <w:lang w:val="en-US" w:eastAsia="zh-CN"/>
        </w:rPr>
        <w:t>万元，调整后决算收入2,191.42万元，决算支出2,191.42万元，年末无结余资金。</w:t>
      </w:r>
    </w:p>
    <w:p w14:paraId="646824A4">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firstLine="562" w:firstLineChars="200"/>
        <w:textAlignment w:val="auto"/>
        <w:rPr>
          <w:rFonts w:hint="default" w:ascii="仿宋" w:hAnsi="仿宋" w:eastAsia="仿宋" w:cs="仿宋"/>
          <w:b/>
          <w:bCs/>
          <w:color w:val="000000"/>
          <w:kern w:val="0"/>
          <w:sz w:val="28"/>
          <w:szCs w:val="28"/>
          <w:highlight w:val="none"/>
          <w:shd w:val="clear" w:color="auto" w:fill="FFFFFF"/>
          <w:lang w:val="en-US" w:eastAsia="zh-CN"/>
        </w:rPr>
      </w:pPr>
      <w:r>
        <w:rPr>
          <w:rFonts w:hint="eastAsia" w:ascii="仿宋" w:hAnsi="仿宋" w:eastAsia="仿宋" w:cs="仿宋"/>
          <w:b/>
          <w:bCs/>
          <w:color w:val="000000"/>
          <w:kern w:val="0"/>
          <w:sz w:val="28"/>
          <w:szCs w:val="28"/>
          <w:highlight w:val="none"/>
          <w:shd w:val="clear" w:color="auto" w:fill="FFFFFF"/>
          <w:lang w:val="en-US" w:eastAsia="zh-CN"/>
        </w:rPr>
        <w:t>5.财务收支分析</w:t>
      </w:r>
    </w:p>
    <w:p w14:paraId="5E063676">
      <w:pPr>
        <w:bidi w:val="0"/>
        <w:ind w:firstLine="560" w:firstLineChars="200"/>
        <w:rPr>
          <w:rFonts w:hint="eastAsia" w:ascii="仿宋" w:hAnsi="仿宋" w:eastAsia="仿宋" w:cs="仿宋"/>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永济市市容环卫中心2022年度共支出2.013.08万元，</w:t>
      </w:r>
      <w:r>
        <w:rPr>
          <w:rFonts w:hint="eastAsia" w:ascii="仿宋" w:hAnsi="仿宋" w:eastAsia="仿宋" w:cs="仿宋"/>
          <w:color w:val="000000"/>
          <w:kern w:val="0"/>
          <w:sz w:val="28"/>
          <w:szCs w:val="28"/>
          <w:highlight w:val="none"/>
          <w:shd w:val="clear" w:color="auto" w:fill="FFFFFF"/>
        </w:rPr>
        <w:t>20</w:t>
      </w:r>
      <w:r>
        <w:rPr>
          <w:rFonts w:hint="eastAsia" w:ascii="仿宋" w:hAnsi="仿宋" w:eastAsia="仿宋" w:cs="仿宋"/>
          <w:color w:val="000000"/>
          <w:kern w:val="0"/>
          <w:sz w:val="28"/>
          <w:szCs w:val="28"/>
          <w:highlight w:val="none"/>
          <w:shd w:val="clear" w:color="auto" w:fill="FFFFFF"/>
          <w:lang w:val="en-US" w:eastAsia="zh-CN"/>
        </w:rPr>
        <w:t>23</w:t>
      </w:r>
      <w:r>
        <w:rPr>
          <w:rFonts w:hint="eastAsia" w:ascii="仿宋" w:hAnsi="仿宋" w:eastAsia="仿宋" w:cs="仿宋"/>
          <w:color w:val="000000"/>
          <w:kern w:val="0"/>
          <w:sz w:val="28"/>
          <w:szCs w:val="28"/>
          <w:highlight w:val="none"/>
          <w:shd w:val="clear" w:color="auto" w:fill="FFFFFF"/>
        </w:rPr>
        <w:t>年度</w:t>
      </w:r>
      <w:r>
        <w:rPr>
          <w:rFonts w:hint="eastAsia" w:ascii="仿宋" w:hAnsi="仿宋" w:eastAsia="仿宋" w:cs="仿宋"/>
          <w:color w:val="000000"/>
          <w:kern w:val="0"/>
          <w:sz w:val="28"/>
          <w:szCs w:val="28"/>
          <w:highlight w:val="none"/>
          <w:shd w:val="clear" w:color="auto" w:fill="FFFFFF"/>
          <w:lang w:val="en-US" w:eastAsia="zh-CN"/>
        </w:rPr>
        <w:t>共支出2,191.42万元，增加178.34万元。近两年支出变动情况详见下表。</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72"/>
        <w:gridCol w:w="1757"/>
        <w:gridCol w:w="1808"/>
        <w:gridCol w:w="1544"/>
        <w:gridCol w:w="1138"/>
      </w:tblGrid>
      <w:tr w14:paraId="3B142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90ACA">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项目</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F2C95">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 xml:space="preserve"> 2022年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7D5DF">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 xml:space="preserve"> 2023年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A5388">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 xml:space="preserve"> 增减金额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EA48D">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变动率</w:t>
            </w:r>
          </w:p>
        </w:tc>
      </w:tr>
      <w:tr w14:paraId="719CE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EB2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基本工资</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E969A">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1,803,802.00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6C62">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1,659,047.00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AEDF5">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-144,755.00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40B02">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-8.02%</w:t>
            </w:r>
          </w:p>
        </w:tc>
      </w:tr>
      <w:tr w14:paraId="55FCF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1F1F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津贴补贴</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3F79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206,752.00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8D28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192,584.00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C7E2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-14,168.00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1588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-6.85%</w:t>
            </w:r>
          </w:p>
        </w:tc>
      </w:tr>
      <w:tr w14:paraId="553DB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EC31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奖金</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BBDD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129,141.00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71922">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134,236.00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65F73">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5,095.00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B2C3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3.95%</w:t>
            </w:r>
          </w:p>
        </w:tc>
      </w:tr>
      <w:tr w14:paraId="69063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B9E6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绩效工资</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D5CA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935,460.00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8FFA7">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1,064,637.00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A5CD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129,177.00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E211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13.81%</w:t>
            </w:r>
          </w:p>
        </w:tc>
      </w:tr>
      <w:tr w14:paraId="396DB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E55A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基本养老保险</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25C8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426,189.60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9D865">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446,562.00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AEBDB">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20,372.40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FAECA">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4.78%</w:t>
            </w:r>
          </w:p>
        </w:tc>
      </w:tr>
      <w:tr w14:paraId="3B406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93FC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职业年金缴费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ABD3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213,094.80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FEAB7">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223,281.00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29A66">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10,186.20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84346">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4.78%</w:t>
            </w:r>
          </w:p>
        </w:tc>
      </w:tr>
      <w:tr w14:paraId="03ADE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5CFA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职工基本医疗保险</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9A3A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173,139.53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89957">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181,416.00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2C3B0">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8,276.47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65CE0">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4.78%</w:t>
            </w:r>
          </w:p>
        </w:tc>
      </w:tr>
      <w:tr w14:paraId="0ACC7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A5CE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其他社会保障</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642D2">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26,997.17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FA92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27,693.00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B18F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695.83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E1E12">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2.58%</w:t>
            </w:r>
          </w:p>
        </w:tc>
      </w:tr>
      <w:tr w14:paraId="055B8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65B9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住房公积金</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4DA2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213,094.80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928B7">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279,101.00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4F196">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66,006.20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46ED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30.98%</w:t>
            </w:r>
          </w:p>
        </w:tc>
      </w:tr>
      <w:tr w14:paraId="36D72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FF12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退休费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92166">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105,280.00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08FA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212,070.38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4C4E4">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106,790.38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ECF2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101.43%</w:t>
            </w:r>
          </w:p>
        </w:tc>
      </w:tr>
      <w:tr w14:paraId="39E8D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35D6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抚恤金</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BE77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C0C7A">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76,938.80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2D6B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76,938.80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3AAC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p>
        </w:tc>
      </w:tr>
      <w:tr w14:paraId="1D0F6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52C2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医疗费补助</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BA4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2,088.00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0D5D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2,160.00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E1F03">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72.00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F7D5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3.45%</w:t>
            </w:r>
          </w:p>
        </w:tc>
      </w:tr>
      <w:tr w14:paraId="36AE2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F7F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生活补助</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CE1D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35,232.00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0885">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35,232.00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51DD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7D8E4">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0.00%</w:t>
            </w:r>
          </w:p>
        </w:tc>
      </w:tr>
      <w:tr w14:paraId="7CDBE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5B18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其他工资福利支出</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D7D77">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11,481,896.75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ABDF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13,080,000.00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DAD70">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1,598,103.25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52440">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13.92%</w:t>
            </w:r>
          </w:p>
        </w:tc>
      </w:tr>
      <w:tr w14:paraId="72057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D4FB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办公费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1BBC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17,300.00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20AAB">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21,000.00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6F3CA">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3,700.00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FAD77">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21.39%</w:t>
            </w:r>
          </w:p>
        </w:tc>
      </w:tr>
      <w:tr w14:paraId="49DB0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22BC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印刷费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4D4C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47,790.00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9F2D3">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16,860.00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D0F12">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-30,930.00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FDF64">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-64.72%</w:t>
            </w:r>
          </w:p>
        </w:tc>
      </w:tr>
      <w:tr w14:paraId="44815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F6DD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799A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68,168.00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F4C8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80,000.00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06CB4">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11,832.00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48B2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17.36%</w:t>
            </w:r>
          </w:p>
        </w:tc>
      </w:tr>
      <w:tr w14:paraId="7219C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3E75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E1E6B">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124,643.89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5EBB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109,637.00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653F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-15,006.89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1D16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-12.04%</w:t>
            </w:r>
          </w:p>
        </w:tc>
      </w:tr>
      <w:tr w14:paraId="7BF9F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C175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邮电费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404D3">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9,610.00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842C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11,840.00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35A2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2,230.00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446E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23.20%</w:t>
            </w:r>
          </w:p>
        </w:tc>
      </w:tr>
      <w:tr w14:paraId="5D10C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9DD0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差旅费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2BF52">
            <w:pPr>
              <w:rPr>
                <w:rFonts w:hint="eastAsia" w:ascii="仿宋" w:hAnsi="仿宋" w:eastAsia="仿宋" w:cs="仿宋"/>
                <w:i w:val="0"/>
                <w:iCs w:val="0"/>
                <w:color w:val="000000"/>
                <w:sz w:val="21"/>
                <w:szCs w:val="21"/>
                <w:highlight w:val="none"/>
                <w:u w:val="none"/>
              </w:rPr>
            </w:pP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C6B46">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412.00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2150B">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412.00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37EE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p>
        </w:tc>
      </w:tr>
      <w:tr w14:paraId="411E1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826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维修（护）费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01ED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433,346.79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D7366">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143,941.00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DE8C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-289,405.79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3B6A3">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-66.78%</w:t>
            </w:r>
          </w:p>
        </w:tc>
      </w:tr>
      <w:tr w14:paraId="5F175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616F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租赁费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58E12">
            <w:pPr>
              <w:rPr>
                <w:rFonts w:hint="eastAsia" w:ascii="仿宋" w:hAnsi="仿宋" w:eastAsia="仿宋" w:cs="仿宋"/>
                <w:i w:val="0"/>
                <w:iCs w:val="0"/>
                <w:color w:val="000000"/>
                <w:sz w:val="21"/>
                <w:szCs w:val="21"/>
                <w:highlight w:val="none"/>
                <w:u w:val="none"/>
              </w:rPr>
            </w:pP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BAB6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19,150.00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AEF0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19,150.00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BAEA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p>
        </w:tc>
      </w:tr>
      <w:tr w14:paraId="45CE4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D856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专用材料费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776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300,000.00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1A1A6">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320,000.00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70143">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20,000.00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C97C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6.67%</w:t>
            </w:r>
          </w:p>
        </w:tc>
      </w:tr>
      <w:tr w14:paraId="0F88B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7FAD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专用燃料费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5BBE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2,028,000.00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F0CA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1,900,000.00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B6A0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-128,000.00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B9E37">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-6.31%</w:t>
            </w:r>
          </w:p>
        </w:tc>
      </w:tr>
      <w:tr w14:paraId="7D90C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EB8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劳务费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0D8A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6,560.00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B227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22,000.00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25A93">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15,440.00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67796">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235.37%</w:t>
            </w:r>
          </w:p>
        </w:tc>
      </w:tr>
      <w:tr w14:paraId="536E4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842B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工会经费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CFBCA">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19,199.00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51FAB">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20,890.00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06980">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1,691.00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993C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8.81%</w:t>
            </w:r>
          </w:p>
        </w:tc>
      </w:tr>
      <w:tr w14:paraId="024A9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1A96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福利费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68E87">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16,922.00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E8100">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154,330.00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A44B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137,408.00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DA4F6">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812.01%</w:t>
            </w:r>
          </w:p>
        </w:tc>
      </w:tr>
      <w:tr w14:paraId="5CBEA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2833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其他交通费用</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B3D8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1,199,999.00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0475B">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1,300,000.00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FA39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100,001.00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064C0">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8.33%</w:t>
            </w:r>
          </w:p>
        </w:tc>
      </w:tr>
      <w:tr w14:paraId="0E3A1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DB0B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其他商品和服务支出</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5C567">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75,392.53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1CDD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79,940.00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4E50B">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4,547.47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2B8C0">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6.03%</w:t>
            </w:r>
          </w:p>
        </w:tc>
      </w:tr>
      <w:tr w14:paraId="4ECDE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8C2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办公设备购置</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02AC7">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1,990.00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5F81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53,852.00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8FE6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51,862.00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E156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2606.13%</w:t>
            </w:r>
          </w:p>
        </w:tc>
      </w:tr>
      <w:tr w14:paraId="3B434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7F01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专用设备购置</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0693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22,580.00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536A7">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45,390.00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AE5FA">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22,810.00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0B234">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101.02%</w:t>
            </w:r>
          </w:p>
        </w:tc>
      </w:tr>
      <w:tr w14:paraId="1C0DC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970B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其他</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E9BC5">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7,128.42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D40E5">
            <w:pPr>
              <w:rPr>
                <w:rFonts w:hint="eastAsia" w:ascii="仿宋" w:hAnsi="仿宋" w:eastAsia="仿宋" w:cs="仿宋"/>
                <w:i w:val="0"/>
                <w:iCs w:val="0"/>
                <w:color w:val="000000"/>
                <w:sz w:val="21"/>
                <w:szCs w:val="21"/>
                <w:highlight w:val="none"/>
                <w:u w:val="none"/>
              </w:rPr>
            </w:pP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C202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-7,128.42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E5927">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-100.00%</w:t>
            </w:r>
          </w:p>
        </w:tc>
      </w:tr>
      <w:tr w14:paraId="45F02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4AC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合计</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9A18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20,130,797.28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9E246">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21,914,200.18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D0A80">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1,783,402.90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D9AA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8.86%</w:t>
            </w:r>
          </w:p>
        </w:tc>
      </w:tr>
    </w:tbl>
    <w:p w14:paraId="1304D3B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经查看永济市市容环卫中心整体支出情况，部门的大项支出主要为：环卫人员工资、环卫车辆燃油及维修保养费，占部门整体支出的74.29%；其中：环卫人员工资1,308.00万元，占比59.69%；环卫车辆燃油费及维修保养费320.00万元，占比14.6%。以下为上述三项费用的具体情况。</w:t>
      </w:r>
    </w:p>
    <w:p w14:paraId="6FFEDAB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（1）环卫人员工资</w:t>
      </w:r>
    </w:p>
    <w:p w14:paraId="718181F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①工资标准</w:t>
      </w:r>
    </w:p>
    <w:p w14:paraId="7BD8CD0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依据运城市委办公室 运城市人民政府《关于落实环卫工人等低收入群体收入增长机制的工作方案》的通知，自2023年5月起，环卫人员基础工资调整为1,880元/月。工龄工资依据本部门会议纪要设立。</w:t>
      </w:r>
    </w:p>
    <w:tbl>
      <w:tblPr>
        <w:tblStyle w:val="12"/>
        <w:tblW w:w="511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66"/>
        <w:gridCol w:w="1424"/>
        <w:gridCol w:w="2021"/>
        <w:gridCol w:w="1751"/>
        <w:gridCol w:w="1359"/>
      </w:tblGrid>
      <w:tr w14:paraId="48F0A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162C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人员类型</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0129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基础工资</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D6A1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工龄工资</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578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绩效、全勤工资</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57E3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人均年工资</w:t>
            </w:r>
          </w:p>
        </w:tc>
      </w:tr>
      <w:tr w14:paraId="457AA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A227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清扫工</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0A7C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1880元/月</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5392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50元/年</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ADFB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300元/月</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B6E48">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26,760.00 </w:t>
            </w:r>
          </w:p>
        </w:tc>
      </w:tr>
      <w:tr w14:paraId="0A717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2834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装卸工</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4C3B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1880元/月</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D13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50元/年</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90E9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300元/月</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3DBF0">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26,760.00 </w:t>
            </w:r>
          </w:p>
        </w:tc>
      </w:tr>
      <w:tr w14:paraId="5B076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163F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公厕保洁员</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3B10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1880元/月</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8AFD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50元/年</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7A4D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300元/月</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9E020">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26,760.00 </w:t>
            </w:r>
          </w:p>
        </w:tc>
      </w:tr>
      <w:tr w14:paraId="1A5F3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A215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清扫队的临时管理员（5年以下）</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7551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1800元/月</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8C1F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50元/年</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1C09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300元/月</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75825">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25,800.00 </w:t>
            </w:r>
          </w:p>
        </w:tc>
      </w:tr>
      <w:tr w14:paraId="2B46A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871D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清扫队的临时管理员（5年以上）</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702E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2100元/月</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8F35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50元/年</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6DD6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500元/月</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BBC66">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31,800.00 </w:t>
            </w:r>
          </w:p>
        </w:tc>
      </w:tr>
      <w:tr w14:paraId="574DE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C759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队长、副队长的临时管理员</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29AD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2200元/月</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07A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50元/年</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0478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500元/月</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8AA2A">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33,000.00 </w:t>
            </w:r>
          </w:p>
        </w:tc>
      </w:tr>
      <w:tr w14:paraId="0D47A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FEB0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C1司机</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AC66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1800元/月</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E5DD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2-3年100元/年，3-5年200元/年，5年以上300元/年</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3E54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300元/月</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F18D8">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27,600.00 </w:t>
            </w:r>
          </w:p>
        </w:tc>
      </w:tr>
      <w:tr w14:paraId="57DB7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4E5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B2及以上司机</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D146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2500元/月</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A18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2-3年100元/年，3-5年200元/年，5年以上300元/年</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9CCD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300元/月</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BBD57">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36,000.00 </w:t>
            </w:r>
          </w:p>
        </w:tc>
      </w:tr>
    </w:tbl>
    <w:p w14:paraId="481E808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②人员控制率</w:t>
      </w:r>
    </w:p>
    <w:p w14:paraId="1C38A716">
      <w:pPr>
        <w:pStyle w:val="4"/>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永济市市容环卫中心的服务面积为385.29万㎡，环卫工人466人，人均清扫面积为8,267.93㎡。</w:t>
      </w:r>
    </w:p>
    <w:p w14:paraId="7B2C4BCB">
      <w:pPr>
        <w:pStyle w:val="4"/>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根据明细表计算，舜都大道清扫面积68.92万㎡，配备环卫工人73人，人均清扫面积为9,441㎡；西厢路清扫面积12.9万㎡，配备环卫工人28人，人均清扫面积4,607㎡；河东大道清扫面积44万㎡，配备环卫工人26人，人均清扫面积16,923㎡。人均清扫面积不均衡。</w:t>
      </w:r>
    </w:p>
    <w:p w14:paraId="6B1ED145">
      <w:pPr>
        <w:pStyle w:val="4"/>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永济市市容环卫中心应按照《中华人民共和国城镇建设行业标准：城市道路清扫面积测算方法(CJ/T 277-2008)》等方法，测算服务区内的清扫面积；按照《都市环境卫生质量原则》划分道路等级和保洁等级；参考《城镇市容环境卫生劳动定额》及行业水平，结合路段实际情况，核定人均打扫面积及人数配置。</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57"/>
        <w:gridCol w:w="2136"/>
        <w:gridCol w:w="1762"/>
        <w:gridCol w:w="1764"/>
      </w:tblGrid>
      <w:tr w14:paraId="5E18E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89C7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区域</w:t>
            </w:r>
          </w:p>
        </w:tc>
        <w:tc>
          <w:tcPr>
            <w:tcW w:w="1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76615">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清扫面积㎡</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BE8D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清扫人数</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D056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人均面积㎡</w:t>
            </w:r>
          </w:p>
        </w:tc>
      </w:tr>
      <w:tr w14:paraId="4C166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AEF7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管理员</w:t>
            </w:r>
          </w:p>
        </w:tc>
        <w:tc>
          <w:tcPr>
            <w:tcW w:w="1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B0E4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巡查面积385万㎡</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4A0E6">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42</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121D6">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9.17万㎡</w:t>
            </w:r>
          </w:p>
        </w:tc>
      </w:tr>
      <w:tr w14:paraId="1B5B1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6A8D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舜都大道</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F37DD">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689,230.00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5B515">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73</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36BF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9,441.00</w:t>
            </w:r>
          </w:p>
        </w:tc>
      </w:tr>
      <w:tr w14:paraId="5AA4E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850D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西厢路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A4CAC">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129,000.00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3D276">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28</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BA4A9">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4,607.00</w:t>
            </w:r>
          </w:p>
        </w:tc>
      </w:tr>
      <w:tr w14:paraId="79A83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9CB7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富强西街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97BE4">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112,000.00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885D6">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28</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F02E6">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4,000.00</w:t>
            </w:r>
          </w:p>
        </w:tc>
      </w:tr>
      <w:tr w14:paraId="6301E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A6BF9">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富强东街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FA998">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50,225.00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4785C">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1338E">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5,022.00</w:t>
            </w:r>
          </w:p>
        </w:tc>
      </w:tr>
      <w:tr w14:paraId="2F194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88DF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河东大道</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E567F">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440,000.00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72697">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26</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66257">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16,923.00</w:t>
            </w:r>
          </w:p>
        </w:tc>
      </w:tr>
      <w:tr w14:paraId="07D2B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3167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康乐路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8C3D3">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58,000.00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70C12">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6590B">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3,625.00</w:t>
            </w:r>
          </w:p>
        </w:tc>
      </w:tr>
      <w:tr w14:paraId="606A8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57A0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市府西街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44ACF">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125,000.00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5836B">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A361A">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5,681.00</w:t>
            </w:r>
          </w:p>
        </w:tc>
      </w:tr>
      <w:tr w14:paraId="09787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76CB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涑水西街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1213">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222,000.00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B940F">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B9DA0">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10,090.00</w:t>
            </w:r>
          </w:p>
        </w:tc>
      </w:tr>
      <w:tr w14:paraId="76D04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B80C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东环路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013C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43,200.00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3EED5">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19</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1B51A">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2,273.00</w:t>
            </w:r>
          </w:p>
        </w:tc>
      </w:tr>
      <w:tr w14:paraId="350F4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BAF3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银杏西街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FFE08">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60,000.00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11FD3">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0FF5C">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4,285.00</w:t>
            </w:r>
          </w:p>
        </w:tc>
      </w:tr>
      <w:tr w14:paraId="225C3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ED05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银杏东街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5D37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37,800.00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BD7AC">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381C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2,700.00</w:t>
            </w:r>
          </w:p>
        </w:tc>
      </w:tr>
      <w:tr w14:paraId="6C109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5ACE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迎宾路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1CB24">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58,560.00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DCEBA">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18</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944C4">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3,253.00</w:t>
            </w:r>
          </w:p>
        </w:tc>
      </w:tr>
      <w:tr w14:paraId="492D0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6F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涑水东街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58433">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117,000.00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FBE00">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19816">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7,312.00</w:t>
            </w:r>
          </w:p>
        </w:tc>
      </w:tr>
      <w:tr w14:paraId="04994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55FE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西延</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85BAE">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372,000.00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A357F">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DAB65">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23,250.00</w:t>
            </w:r>
          </w:p>
        </w:tc>
      </w:tr>
      <w:tr w14:paraId="4F216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F10E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东延</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EBD71">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235,200.00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FE56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15</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4A58">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15,680.00</w:t>
            </w:r>
          </w:p>
        </w:tc>
      </w:tr>
      <w:tr w14:paraId="4714B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323A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条山东街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BCB58">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88,140.00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15E7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C314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6,295.00</w:t>
            </w:r>
          </w:p>
        </w:tc>
      </w:tr>
      <w:tr w14:paraId="69CD2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E97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条山西街（含电机大街）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B10BF">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140,000.00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2260E">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28</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F5742">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5,000.00</w:t>
            </w:r>
          </w:p>
        </w:tc>
      </w:tr>
      <w:tr w14:paraId="5B206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B894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市府东街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D2AD1">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41,600.00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4AE9F">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F01B6">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3,466.00</w:t>
            </w:r>
          </w:p>
        </w:tc>
      </w:tr>
      <w:tr w14:paraId="61A91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23BC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黄河大道</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2FA11">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280,000.00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9E323">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A770E">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20,000.00</w:t>
            </w:r>
          </w:p>
        </w:tc>
      </w:tr>
      <w:tr w14:paraId="4FB42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6805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迎新东街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DD261">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40,500.00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15829">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CCA48">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5,062.00</w:t>
            </w:r>
          </w:p>
        </w:tc>
      </w:tr>
      <w:tr w14:paraId="2F88E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AE3B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振兴街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B34E2">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248,000.00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E06B6">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6D969">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22,545.00</w:t>
            </w:r>
          </w:p>
        </w:tc>
      </w:tr>
      <w:tr w14:paraId="656AB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DA43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电机支路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97503">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2FFF1">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E1E37">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2,444.00</w:t>
            </w:r>
          </w:p>
        </w:tc>
      </w:tr>
      <w:tr w14:paraId="6C5AC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478B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东丰路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39795">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31,900.00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730DB">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E9B47">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2,658.00</w:t>
            </w:r>
          </w:p>
        </w:tc>
      </w:tr>
      <w:tr w14:paraId="639EB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B47F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迎新西街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E1323">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51B54">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F96E4">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2,250.00</w:t>
            </w:r>
          </w:p>
        </w:tc>
      </w:tr>
      <w:tr w14:paraId="780CC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70E9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东外环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E943">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102,500.00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45C01">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0CA9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14,642.00</w:t>
            </w:r>
          </w:p>
        </w:tc>
      </w:tr>
      <w:tr w14:paraId="03C5A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6515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御园路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7227">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F669E">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08684">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5,500.00</w:t>
            </w:r>
          </w:p>
        </w:tc>
      </w:tr>
      <w:tr w14:paraId="3FF99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EEEF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兴业街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2A65E">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05006">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81170">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5,333.00</w:t>
            </w:r>
          </w:p>
        </w:tc>
      </w:tr>
      <w:tr w14:paraId="1AEB0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3C68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滨河东街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FF05E">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F4B82">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6C0F2">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12,000.00</w:t>
            </w:r>
          </w:p>
        </w:tc>
      </w:tr>
      <w:tr w14:paraId="33078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66A9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滨河西街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B27AF">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CAA89">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706D4">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12,000.00</w:t>
            </w:r>
          </w:p>
        </w:tc>
      </w:tr>
      <w:tr w14:paraId="6AFE5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072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青年路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95B9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7,500.00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EB338">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E7FDC">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7,500.00</w:t>
            </w:r>
          </w:p>
        </w:tc>
      </w:tr>
      <w:tr w14:paraId="65CBC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92A71">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合计</w:t>
            </w:r>
          </w:p>
        </w:tc>
        <w:tc>
          <w:tcPr>
            <w:tcW w:w="1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749C3">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3,852,855.00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596FD">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545</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F60E2">
            <w:pPr>
              <w:jc w:val="center"/>
              <w:rPr>
                <w:rFonts w:hint="eastAsia" w:ascii="仿宋" w:hAnsi="仿宋" w:eastAsia="仿宋" w:cs="仿宋"/>
                <w:i w:val="0"/>
                <w:iCs w:val="0"/>
                <w:color w:val="000000"/>
                <w:sz w:val="24"/>
                <w:szCs w:val="24"/>
                <w:u w:val="none"/>
              </w:rPr>
            </w:pPr>
          </w:p>
        </w:tc>
      </w:tr>
    </w:tbl>
    <w:p w14:paraId="453ACB2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（2）燃油及维修保养费</w:t>
      </w:r>
    </w:p>
    <w:p w14:paraId="3C140B6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通过政府采购，与永济市舜都大道北郊加油站有限公司签订车辆加油服务采购合同，与永济市迅通达汽车服务有限公司签订车辆维修和保养服务采购合同，按月结算费用。下表为永济市市容环卫中心车辆明细及状态。</w:t>
      </w:r>
    </w:p>
    <w:p w14:paraId="022A6F4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经查看各月加油及维修保养记录台账，永济市市容环卫中心应按照车牌号设置加油维修台账，便于定期对车辆状态进行评估；如某辆车维修费过高，应考虑报废或更换。</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45"/>
        <w:gridCol w:w="1986"/>
        <w:gridCol w:w="1609"/>
        <w:gridCol w:w="1273"/>
        <w:gridCol w:w="1406"/>
      </w:tblGrid>
      <w:tr w14:paraId="315F7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blHeader/>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8D93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车辆名称</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60DF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环卫内部车牌</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63B8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购置时间</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DDE9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使用年限</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4F76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能源类型</w:t>
            </w:r>
          </w:p>
        </w:tc>
      </w:tr>
      <w:tr w14:paraId="661CB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230C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庆铃皮卡</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6A6E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环卫058</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0B39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2008.05</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9D1C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16</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FAF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78B74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5EDB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大勾臂车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CACA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环卫001</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2C54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2015.12</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06FF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9</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3F4A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柴油</w:t>
            </w:r>
          </w:p>
        </w:tc>
      </w:tr>
      <w:tr w14:paraId="7D83A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1C38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大勾臂车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DDE9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环卫002</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5E23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2015.12</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2F2D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9</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BD4D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柴油</w:t>
            </w:r>
          </w:p>
        </w:tc>
      </w:tr>
      <w:tr w14:paraId="6C404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76D8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大勾臂车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17B4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环卫003</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7A1B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2015.12</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DC2F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9</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81B5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柴油</w:t>
            </w:r>
          </w:p>
        </w:tc>
      </w:tr>
      <w:tr w14:paraId="0CE55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996D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大勾臂车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B2F8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环卫005</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4187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2015.12</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3934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9</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6D88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柴油</w:t>
            </w:r>
          </w:p>
        </w:tc>
      </w:tr>
      <w:tr w14:paraId="12ACF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BEDF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雾炮车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1DD4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环卫061</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8657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2018.12</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F285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6</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7977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柴油</w:t>
            </w:r>
          </w:p>
        </w:tc>
      </w:tr>
      <w:tr w14:paraId="19122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E924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雾炮车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1E7C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环卫062</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CB3C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2018.12</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A285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6</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4D7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柴油</w:t>
            </w:r>
          </w:p>
        </w:tc>
      </w:tr>
      <w:tr w14:paraId="56BBB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5EA4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高压清洗车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3EB5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环卫051</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E2D3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2015.12</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E8F9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9</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B098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柴油</w:t>
            </w:r>
          </w:p>
        </w:tc>
      </w:tr>
      <w:tr w14:paraId="3A6AC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E5D0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东风冲洗车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2EF8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冲洗002</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C0CB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2018.04</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D0AE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DBE3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43E48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5A11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海德餐厨车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AD55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环卫019</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B03F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2019.08</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2DCE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8B93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465C9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C64D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福龙马餐厨车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B14A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环卫041</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B167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1D6E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B9B5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54FE5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16B4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福田自卸车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654B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环卫033</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CCD8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2013.10 </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3B15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B330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54DB5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1E90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福田自卸车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EC37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环卫035</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B77B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2013.10 </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4B38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1E5C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26C17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BA68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福田自卸车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502D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环卫036</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D924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2013.10 </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C90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7E20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1C4C5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0149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福田自卸车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7C9D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环卫038</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6FC9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2013.10 </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80B8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9032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5CBAE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DFB9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福田自卸车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1217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环卫039</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A013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2013.10 </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7E2C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F703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0070D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87DE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福田自卸车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4373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环卫040</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C77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2013.10 </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5134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043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1CEBB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1C98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5吨福龙马压缩车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3BED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环卫012</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DFA8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7039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427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50F34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4FAC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5吨福龙马压缩车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F9D3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环卫011</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1570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4D80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7571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444D8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4DC3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5吨福龙马压缩车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3C46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环卫010</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7493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C8D1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2350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33909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805D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5吨福龙马压缩车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A667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环卫009</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92B6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2013.07</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8DCC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6716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3550D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767C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5吨福龙马压缩车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7A24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环卫008</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C00E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2013.07</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6BE5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BFE3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0C729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4383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8吨福龙马压缩车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E77C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环卫006</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890F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3BFF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5487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59E1B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8F02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 福田3吨压缩车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CBC06">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B4F7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2017.08</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3BFE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1645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42EDC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557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 福田3吨压缩车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B30FF">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FC91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2017.08</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A7C9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FFAD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63AB2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8E32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东风3吨压缩车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1465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环卫018</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6D44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2015.12</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F40E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2322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0B7C4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267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东风3吨压缩车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9AEF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环卫016</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5D01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2015.12</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C204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54E5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6758A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7903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东风3吨压缩车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E27F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环卫049</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D81C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2020.06</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1BB9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8F53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21C79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09AC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东风3吨压缩车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A7E6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环卫050</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3B2A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2020.06</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D933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2A58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37D32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538B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东风3吨压缩车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E207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环卫048</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042F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2020.06</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B6C6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C498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2896F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344A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东风3吨压缩车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5511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环卫015</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D3A6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2018.04</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5A78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0064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3C20E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DDEA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东风3吨压缩车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19AB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环卫013</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24C5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2010.04</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EDDA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14</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E6E8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66F2C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EEA3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道路养护车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67F6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道路养护车001</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271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2015.12</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7094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32AC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柴油/汽油</w:t>
            </w:r>
          </w:p>
        </w:tc>
      </w:tr>
      <w:tr w14:paraId="1176A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A9CB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庆铃巡查车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BAE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环卫059</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7170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2016.03</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BACD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376D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0C05D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9603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庆铃巡查车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7DD0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环卫060</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780C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2016.03</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B0F9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4609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47AD5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1FF7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A605A">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2327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2020.06</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459A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8681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5C08F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3A0D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福龙马小勾臂车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E8B9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环卫022</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F1F0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08F6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B255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3AD31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412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福龙马小勾臂车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A78A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环卫023</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8C57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978D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4643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5E9D6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65B0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福龙马小勾臂车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B826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环卫025</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6956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B2E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E743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30B12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3CDD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海德小勾臂车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5CA8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环卫026</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2655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2016.01</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646B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1D1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6E731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2C5E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海德小勾臂车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06E8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环卫028</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626B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2016.01</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0219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1306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618D8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516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海德小勾臂车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19E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环卫029</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4F1E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2016.01</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D30C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6FA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5571E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F508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EFBEA">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260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2020.05</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6464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6CF4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5F8B1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ABF5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6A03B">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E060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2020.05</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BC6B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0240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408F2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D469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29D8F">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3FBC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2020.05</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2966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8D0A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71342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7144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3C30E">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CF0F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2020.05</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2592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C96F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14997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C16C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6D8CC">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34CB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2019.12</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F031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BE5B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35F71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29A1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7B56F">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F80F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2019.05</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99FC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4A86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49004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20EE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C8139">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F37A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2020.05</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FF4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D6E0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0DB1F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BE1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DCAF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环卫032</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D691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2016.04</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68BE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FEDE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591C4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403B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3719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环卫031</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0F76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2018.04</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1F7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5AAF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0B1C1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D6C8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海德小勾臂车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68A7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环卫030</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073F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2016.01</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90A3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C441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01259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E878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中型勾臂车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E013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环卫020</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1794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2018.04</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602E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82DC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0D80A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F56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中联洗扫车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1D7F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环卫045</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C81E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2020.04</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5FFD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A046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73765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0EDA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中联洗扫车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C4C6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环卫043</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8667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2020.04</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67E8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F056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06DF7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1DA8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福龙马扫落叶车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C74D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环卫046</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7C35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01F8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AF92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303C1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7C76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吸污车</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84A8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环卫043</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F76B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2017.12</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06EA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0ECF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66057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E1D7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小型扫路机</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C5C9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小扫车001</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F9E4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2016.01</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D0EE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D309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5D835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6D5B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小型扫路机</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C52D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小扫车002</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45D8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2016.01</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5728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E9F2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5D441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D24D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小型扫路机</w:t>
            </w:r>
          </w:p>
        </w:tc>
        <w:tc>
          <w:tcPr>
            <w:tcW w:w="1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1590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小扫车003</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730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2016.01</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86C8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9842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bl>
    <w:p w14:paraId="5DDEA2E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（三）部门整体绩效目标</w:t>
      </w:r>
      <w:bookmarkEnd w:id="20"/>
    </w:p>
    <w:p w14:paraId="116A7BFB">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0"/>
        <w:rPr>
          <w:rFonts w:hint="eastAsia" w:ascii="仿宋" w:hAnsi="仿宋" w:eastAsia="仿宋" w:cs="仿宋"/>
          <w:b/>
          <w:bCs w:val="0"/>
          <w:sz w:val="28"/>
          <w:szCs w:val="28"/>
          <w:highlight w:val="none"/>
          <w:lang w:val="en-US" w:eastAsia="zh-CN"/>
        </w:rPr>
      </w:pPr>
      <w:bookmarkStart w:id="21" w:name="_Toc6565"/>
      <w:r>
        <w:rPr>
          <w:rFonts w:hint="eastAsia" w:ascii="仿宋" w:hAnsi="仿宋" w:eastAsia="仿宋" w:cs="仿宋"/>
          <w:b/>
          <w:bCs w:val="0"/>
          <w:sz w:val="28"/>
          <w:szCs w:val="28"/>
          <w:highlight w:val="none"/>
          <w:lang w:val="en-US" w:eastAsia="zh-CN"/>
        </w:rPr>
        <w:t>1.总体目标</w:t>
      </w:r>
    </w:p>
    <w:p w14:paraId="6679EDE3">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市容环卫中心的总体目标是：贯彻落实城市市容环境卫生方面的方针政策、法律法规；负责城区主次干道、小街小巷等清扫保洁和城区机关单位、街道、家属区、生活垃圾分类收集、转运工作；负责城区公共卫生间、垃圾中转站及各类环卫设施的建设、运营、维护和管理工作；负责城区生活垃圾分类的相关工作；负责城区餐厨垃圾收集转运和处置工作；负责城区粪便垃圾收集转运和处置工作；负责生活垃圾无害化处置及生活垃圾焚烧发电运行的监管工作；承担城区生活垃圾、餐厨垃圾和粪便垃圾等特许经营企业的合同履约、考核评价相关工作；负责受理有关市容环境卫生的投诉和举报；完成市住建局交办的其他任务。为建设“魅力永济”作出应有的贡献。</w:t>
      </w:r>
    </w:p>
    <w:p w14:paraId="428E22A5">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0"/>
        <w:rPr>
          <w:rFonts w:hint="eastAsia" w:ascii="仿宋" w:hAnsi="仿宋" w:eastAsia="仿宋" w:cs="仿宋"/>
          <w:sz w:val="28"/>
          <w:szCs w:val="28"/>
          <w:highlight w:val="none"/>
          <w:lang w:val="en-US" w:eastAsia="zh-CN"/>
        </w:rPr>
      </w:pPr>
      <w:r>
        <w:rPr>
          <w:rFonts w:hint="eastAsia" w:ascii="仿宋" w:hAnsi="仿宋" w:eastAsia="仿宋" w:cs="仿宋"/>
          <w:b/>
          <w:bCs w:val="0"/>
          <w:sz w:val="28"/>
          <w:szCs w:val="28"/>
          <w:highlight w:val="none"/>
          <w:lang w:val="en-US" w:eastAsia="zh-CN"/>
        </w:rPr>
        <w:t>2.年度任务</w:t>
      </w:r>
    </w:p>
    <w:p w14:paraId="508C71F5">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w:t>
      </w:r>
      <w:r>
        <w:rPr>
          <w:rFonts w:hint="eastAsia" w:ascii="仿宋" w:hAnsi="仿宋" w:eastAsia="仿宋" w:cs="仿宋"/>
          <w:strike w:val="0"/>
          <w:dstrike w:val="0"/>
          <w:sz w:val="28"/>
          <w:szCs w:val="28"/>
          <w:highlight w:val="none"/>
          <w:lang w:val="en-US" w:eastAsia="zh-CN"/>
        </w:rPr>
        <w:t>日常清扫保洁、冲洗降尘、清运垃圾：对永济市区385.29万㎡的作业区域，按照“机扫、人保、冲洗”三位一体的模式进行清扫保洁；每天对城区内28余条主次街道进行冲洗降尘；清理街道抛洒，清运无主垃圾、生活垃圾、餐厨垃圾等</w:t>
      </w:r>
      <w:r>
        <w:rPr>
          <w:rFonts w:hint="eastAsia" w:ascii="仿宋" w:hAnsi="仿宋" w:eastAsia="仿宋" w:cs="仿宋"/>
          <w:sz w:val="28"/>
          <w:szCs w:val="28"/>
          <w:highlight w:val="none"/>
          <w:lang w:val="en-US" w:eastAsia="zh-CN"/>
        </w:rPr>
        <w:t>。</w:t>
      </w:r>
    </w:p>
    <w:p w14:paraId="3ED1B678">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（2）开展垃圾分类投放点建设工作，举行垃圾分类宣传活动。</w:t>
      </w:r>
    </w:p>
    <w:p w14:paraId="456D5599">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（3）按时完成政府工作报告中新建10座公厕的建设任务。</w:t>
      </w:r>
    </w:p>
    <w:p w14:paraId="20F79D74">
      <w:pPr>
        <w:ind w:firstLine="560" w:firstLineChars="200"/>
        <w:outlineLvl w:val="0"/>
        <w:rPr>
          <w:rFonts w:hint="eastAsia" w:ascii="仿宋" w:hAnsi="仿宋" w:eastAsia="仿宋" w:cs="仿宋"/>
          <w:strike w:val="0"/>
          <w:dstrike w:val="0"/>
          <w:sz w:val="28"/>
          <w:szCs w:val="28"/>
          <w:highlight w:val="none"/>
          <w:lang w:val="en-US" w:eastAsia="zh-CN"/>
        </w:rPr>
      </w:pPr>
      <w:r>
        <w:rPr>
          <w:rFonts w:hint="eastAsia" w:ascii="仿宋" w:hAnsi="仿宋" w:eastAsia="仿宋" w:cs="仿宋"/>
          <w:strike w:val="0"/>
          <w:dstrike w:val="0"/>
          <w:sz w:val="28"/>
          <w:szCs w:val="28"/>
          <w:highlight w:val="none"/>
          <w:lang w:val="en-US" w:eastAsia="zh-CN"/>
        </w:rPr>
        <w:t>（4）驿站、公厕、中转站管理：对辖区33座驿站、公厕及4座中转站进行日常管理，实行“四净三无两通一明一香”标准。</w:t>
      </w:r>
    </w:p>
    <w:p w14:paraId="28B42256">
      <w:pPr>
        <w:ind w:firstLine="560" w:firstLineChars="200"/>
        <w:outlineLvl w:val="0"/>
        <w:rPr>
          <w:rFonts w:hint="default" w:ascii="仿宋" w:hAnsi="仿宋" w:eastAsia="仿宋" w:cs="仿宋"/>
          <w:strike w:val="0"/>
          <w:dstrike w:val="0"/>
          <w:sz w:val="28"/>
          <w:szCs w:val="28"/>
          <w:highlight w:val="none"/>
          <w:lang w:val="en-US" w:eastAsia="zh-CN"/>
        </w:rPr>
      </w:pPr>
      <w:r>
        <w:rPr>
          <w:rFonts w:hint="eastAsia" w:ascii="仿宋" w:hAnsi="仿宋" w:eastAsia="仿宋" w:cs="仿宋"/>
          <w:strike w:val="0"/>
          <w:dstrike w:val="0"/>
          <w:sz w:val="28"/>
          <w:szCs w:val="28"/>
          <w:highlight w:val="none"/>
          <w:lang w:val="en-US" w:eastAsia="zh-CN"/>
        </w:rPr>
        <w:t>（5）垃圾处置费征收：开展垃圾处置费收费人员的管理培训，以自主缴费为主、供水部门代收为辅的方式征收垃圾处置费。</w:t>
      </w:r>
    </w:p>
    <w:p w14:paraId="015842F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70" w:leftChars="0" w:firstLine="560" w:firstLineChars="0"/>
        <w:textAlignment w:val="auto"/>
        <w:rPr>
          <w:rFonts w:hint="eastAsia" w:ascii="仿宋" w:hAnsi="仿宋" w:eastAsia="仿宋" w:cs="仿宋"/>
          <w:sz w:val="28"/>
          <w:szCs w:val="28"/>
          <w:highlight w:val="none"/>
          <w:lang w:val="en-US" w:eastAsia="zh-CN"/>
        </w:rPr>
      </w:pPr>
      <w:r>
        <w:rPr>
          <w:rFonts w:hint="eastAsia" w:ascii="仿宋" w:hAnsi="仿宋" w:eastAsia="仿宋" w:cs="仿宋"/>
          <w:strike w:val="0"/>
          <w:dstrike w:val="0"/>
          <w:sz w:val="28"/>
          <w:szCs w:val="28"/>
          <w:highlight w:val="none"/>
          <w:lang w:val="en-US" w:eastAsia="zh-CN"/>
        </w:rPr>
        <w:t>（6）其他工作：处理信访投诉，按规定开展党建工作等</w:t>
      </w:r>
      <w:r>
        <w:rPr>
          <w:rFonts w:hint="eastAsia" w:ascii="仿宋" w:hAnsi="仿宋" w:eastAsia="仿宋" w:cs="仿宋"/>
          <w:sz w:val="28"/>
          <w:szCs w:val="28"/>
          <w:highlight w:val="none"/>
          <w:lang w:val="en-US" w:eastAsia="zh-CN"/>
        </w:rPr>
        <w:t>。</w:t>
      </w:r>
    </w:p>
    <w:p w14:paraId="03218ACB">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二、绩效评价工作开展情况</w:t>
      </w:r>
      <w:bookmarkEnd w:id="21"/>
    </w:p>
    <w:p w14:paraId="3E1E101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sz w:val="28"/>
          <w:szCs w:val="28"/>
          <w:highlight w:val="none"/>
          <w:lang w:eastAsia="zh-CN"/>
        </w:rPr>
      </w:pPr>
      <w:bookmarkStart w:id="22" w:name="_Toc9883_WPSOffice_Level2"/>
      <w:bookmarkStart w:id="23" w:name="_Toc23113"/>
      <w:bookmarkStart w:id="24" w:name="_Toc664_WPSOffice_Level2"/>
      <w:bookmarkStart w:id="25" w:name="_Toc23969_WPSOffice_Level2"/>
      <w:bookmarkStart w:id="26" w:name="_Toc3613_WPSOffice_Level2"/>
      <w:bookmarkStart w:id="27" w:name="_Toc12"/>
      <w:bookmarkStart w:id="28" w:name="_Toc8672_WPSOffice_Level2"/>
      <w:r>
        <w:rPr>
          <w:rFonts w:hint="eastAsia" w:ascii="仿宋" w:hAnsi="仿宋" w:eastAsia="仿宋" w:cs="仿宋"/>
          <w:b/>
          <w:sz w:val="28"/>
          <w:szCs w:val="28"/>
          <w:highlight w:val="none"/>
          <w:lang w:eastAsia="zh-CN"/>
        </w:rPr>
        <w:t>（一）绩效评价的目的和依据</w:t>
      </w:r>
      <w:bookmarkEnd w:id="22"/>
      <w:bookmarkEnd w:id="23"/>
      <w:bookmarkEnd w:id="24"/>
      <w:bookmarkEnd w:id="25"/>
      <w:bookmarkEnd w:id="26"/>
      <w:bookmarkEnd w:id="27"/>
      <w:bookmarkEnd w:id="28"/>
    </w:p>
    <w:p w14:paraId="32E1E419">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9"/>
        <w:rPr>
          <w:rFonts w:hint="eastAsia" w:ascii="仿宋" w:hAnsi="仿宋" w:eastAsia="仿宋" w:cs="仿宋"/>
          <w:b/>
          <w:bCs w:val="0"/>
          <w:sz w:val="28"/>
          <w:szCs w:val="28"/>
          <w:highlight w:val="none"/>
          <w:lang w:val="en-US" w:eastAsia="zh-CN"/>
        </w:rPr>
      </w:pPr>
      <w:bookmarkStart w:id="29" w:name="_Toc30571"/>
      <w:r>
        <w:rPr>
          <w:rFonts w:hint="eastAsia" w:ascii="仿宋" w:hAnsi="仿宋" w:eastAsia="仿宋" w:cs="仿宋"/>
          <w:b/>
          <w:bCs w:val="0"/>
          <w:sz w:val="28"/>
          <w:szCs w:val="28"/>
          <w:highlight w:val="none"/>
          <w:lang w:val="en-US" w:eastAsia="zh-CN"/>
        </w:rPr>
        <w:t>1.绩效评价的目的</w:t>
      </w:r>
      <w:bookmarkEnd w:id="29"/>
    </w:p>
    <w:p w14:paraId="2B415AC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eastAsia="zh-CN"/>
        </w:rPr>
      </w:pPr>
      <w:bookmarkStart w:id="30" w:name="_Toc17120"/>
      <w:r>
        <w:rPr>
          <w:rFonts w:hint="eastAsia" w:ascii="仿宋" w:hAnsi="仿宋" w:eastAsia="仿宋" w:cs="仿宋"/>
          <w:sz w:val="28"/>
          <w:szCs w:val="28"/>
          <w:highlight w:val="none"/>
          <w:lang w:val="en-US" w:eastAsia="zh-CN"/>
        </w:rPr>
        <w:t>财政支出绩效评价旨在通过评价改善预算部门的财政支出管理，提高财政资金使用效益，强化支出责任和效率意识，优化资源配置及提高公共服务水平。本次绩效评价根据《中华人民共和国预算法》《中共中央 国务院关于全面实施预算绩效管理的意见》《财政部关于印发〈项目支出绩效评价管理办法〉的通知》(财预〔2020〕10号）、《永济市财政局2024年重点绩效评价实施方案》（永财绩〔2024〕2号）等文件的相关规定，客观、公正、全面地评价永济市市容环卫中心2023年度整体支出情况，总结经验，发现问题，并提出改进的相关措施和建议</w:t>
      </w:r>
      <w:r>
        <w:rPr>
          <w:rFonts w:hint="eastAsia" w:ascii="仿宋" w:hAnsi="仿宋" w:eastAsia="仿宋" w:cs="仿宋"/>
          <w:sz w:val="28"/>
          <w:szCs w:val="28"/>
          <w:highlight w:val="none"/>
          <w:lang w:eastAsia="zh-CN"/>
        </w:rPr>
        <w:t>。</w:t>
      </w:r>
    </w:p>
    <w:p w14:paraId="619224ED">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9"/>
        <w:rPr>
          <w:rFonts w:hint="eastAsia" w:ascii="仿宋" w:hAnsi="仿宋" w:eastAsia="仿宋" w:cs="仿宋"/>
          <w:b/>
          <w:bCs w:val="0"/>
          <w:sz w:val="28"/>
          <w:szCs w:val="28"/>
          <w:highlight w:val="none"/>
          <w:lang w:eastAsia="zh-CN"/>
        </w:rPr>
      </w:pPr>
      <w:r>
        <w:rPr>
          <w:rFonts w:hint="eastAsia" w:ascii="仿宋" w:hAnsi="仿宋" w:eastAsia="仿宋" w:cs="仿宋"/>
          <w:b/>
          <w:bCs w:val="0"/>
          <w:sz w:val="28"/>
          <w:szCs w:val="28"/>
          <w:highlight w:val="none"/>
          <w:lang w:eastAsia="zh-CN"/>
        </w:rPr>
        <w:t>2.绩效评价依据</w:t>
      </w:r>
      <w:bookmarkEnd w:id="30"/>
    </w:p>
    <w:p w14:paraId="75DA1B5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绩效评价依据包括但不限于：</w:t>
      </w:r>
    </w:p>
    <w:p w14:paraId="6D7306EA">
      <w:pPr>
        <w:spacing w:line="360" w:lineRule="auto"/>
        <w:ind w:firstLine="560" w:firstLineChars="200"/>
        <w:rPr>
          <w:rFonts w:hint="eastAsia" w:ascii="仿宋" w:hAnsi="仿宋" w:eastAsia="仿宋" w:cs="仿宋"/>
          <w:sz w:val="28"/>
          <w:szCs w:val="28"/>
          <w:highlight w:val="none"/>
        </w:rPr>
      </w:pPr>
      <w:bookmarkStart w:id="31" w:name="_Toc2248_WPSOffice_Level2"/>
      <w:bookmarkStart w:id="32" w:name="_Toc4125_WPSOffice_Level2"/>
      <w:bookmarkStart w:id="33" w:name="_Toc21066_WPSOffice_Level2"/>
      <w:bookmarkStart w:id="34" w:name="_Toc4672_WPSOffice_Level2"/>
      <w:bookmarkStart w:id="35" w:name="_Toc61_WPSOffice_Level2"/>
      <w:bookmarkStart w:id="36" w:name="_Toc69"/>
      <w:bookmarkStart w:id="37" w:name="_Toc11872"/>
      <w:r>
        <w:rPr>
          <w:rFonts w:hint="eastAsia" w:ascii="仿宋" w:hAnsi="仿宋" w:eastAsia="仿宋" w:cs="仿宋"/>
          <w:sz w:val="28"/>
          <w:szCs w:val="28"/>
          <w:highlight w:val="none"/>
        </w:rPr>
        <w:t>（1）《中华人民共和国预算法（2018年修正）》</w:t>
      </w:r>
    </w:p>
    <w:p w14:paraId="78E7AD9F">
      <w:pPr>
        <w:spacing w:line="360" w:lineRule="auto"/>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2）中共中央 国务院关于全面实施预算绩效管理的意见（中发</w:t>
      </w:r>
      <w:r>
        <w:rPr>
          <w:rFonts w:hint="eastAsia" w:ascii="仿宋" w:hAnsi="仿宋" w:eastAsia="仿宋" w:cs="仿宋"/>
          <w:sz w:val="28"/>
          <w:szCs w:val="28"/>
          <w:highlight w:val="none"/>
          <w:u w:val="none"/>
          <w:lang w:eastAsia="zh-CN"/>
        </w:rPr>
        <w:t>〔20</w:t>
      </w:r>
      <w:r>
        <w:rPr>
          <w:rFonts w:hint="eastAsia" w:ascii="仿宋" w:hAnsi="仿宋" w:eastAsia="仿宋" w:cs="仿宋"/>
          <w:sz w:val="28"/>
          <w:szCs w:val="28"/>
          <w:highlight w:val="none"/>
          <w:u w:val="none"/>
          <w:lang w:val="en-US" w:eastAsia="zh-CN"/>
        </w:rPr>
        <w:t>18</w:t>
      </w:r>
      <w:r>
        <w:rPr>
          <w:rFonts w:hint="eastAsia" w:ascii="仿宋" w:hAnsi="仿宋" w:eastAsia="仿宋" w:cs="仿宋"/>
          <w:sz w:val="28"/>
          <w:szCs w:val="28"/>
          <w:highlight w:val="none"/>
          <w:u w:val="none"/>
          <w:lang w:eastAsia="zh-CN"/>
        </w:rPr>
        <w:t>〕</w:t>
      </w:r>
      <w:r>
        <w:rPr>
          <w:rFonts w:hint="eastAsia" w:ascii="仿宋" w:hAnsi="仿宋" w:eastAsia="仿宋" w:cs="仿宋"/>
          <w:sz w:val="28"/>
          <w:szCs w:val="28"/>
          <w:highlight w:val="none"/>
          <w:lang w:val="en-US" w:eastAsia="zh-CN"/>
        </w:rPr>
        <w:t>34号）</w:t>
      </w:r>
    </w:p>
    <w:p w14:paraId="1A3D4333">
      <w:pPr>
        <w:spacing w:line="360" w:lineRule="auto"/>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（3）财政部关于贯彻落实《中共中央 国务院关于全面实施预算绩效管理的意见》的通知（财预</w:t>
      </w:r>
      <w:r>
        <w:rPr>
          <w:rFonts w:hint="eastAsia" w:ascii="仿宋" w:hAnsi="仿宋" w:eastAsia="仿宋" w:cs="仿宋"/>
          <w:sz w:val="28"/>
          <w:szCs w:val="28"/>
          <w:highlight w:val="none"/>
          <w:u w:val="none"/>
          <w:lang w:eastAsia="zh-CN"/>
        </w:rPr>
        <w:t>〔20</w:t>
      </w:r>
      <w:r>
        <w:rPr>
          <w:rFonts w:hint="eastAsia" w:ascii="仿宋" w:hAnsi="仿宋" w:eastAsia="仿宋" w:cs="仿宋"/>
          <w:sz w:val="28"/>
          <w:szCs w:val="28"/>
          <w:highlight w:val="none"/>
          <w:u w:val="none"/>
          <w:lang w:val="en-US" w:eastAsia="zh-CN"/>
        </w:rPr>
        <w:t>18</w:t>
      </w:r>
      <w:r>
        <w:rPr>
          <w:rFonts w:hint="eastAsia" w:ascii="仿宋" w:hAnsi="仿宋" w:eastAsia="仿宋" w:cs="仿宋"/>
          <w:sz w:val="28"/>
          <w:szCs w:val="28"/>
          <w:highlight w:val="none"/>
          <w:u w:val="none"/>
          <w:lang w:eastAsia="zh-CN"/>
        </w:rPr>
        <w:t>〕</w:t>
      </w:r>
      <w:r>
        <w:rPr>
          <w:rFonts w:hint="eastAsia" w:ascii="仿宋" w:hAnsi="仿宋" w:eastAsia="仿宋" w:cs="仿宋"/>
          <w:sz w:val="28"/>
          <w:szCs w:val="28"/>
          <w:highlight w:val="none"/>
          <w:lang w:val="en-US" w:eastAsia="zh-CN"/>
        </w:rPr>
        <w:t>167号）</w:t>
      </w:r>
    </w:p>
    <w:p w14:paraId="0CE18194">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《关于印发</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项目支出绩效评价管理办法</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的通知》（财预〔2020〕10号）</w:t>
      </w:r>
    </w:p>
    <w:p w14:paraId="357EF050">
      <w:pPr>
        <w:spacing w:line="360" w:lineRule="auto"/>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中华人民共和国政府信息公开条例</w:t>
      </w:r>
      <w:r>
        <w:rPr>
          <w:rFonts w:hint="eastAsia" w:ascii="仿宋" w:hAnsi="仿宋" w:eastAsia="仿宋" w:cs="仿宋"/>
          <w:sz w:val="28"/>
          <w:szCs w:val="28"/>
          <w:highlight w:val="none"/>
          <w:lang w:eastAsia="zh-CN"/>
        </w:rPr>
        <w:t>》（中华人民共和国国务院令第</w:t>
      </w:r>
      <w:r>
        <w:rPr>
          <w:rFonts w:hint="eastAsia" w:ascii="仿宋" w:hAnsi="仿宋" w:eastAsia="仿宋" w:cs="仿宋"/>
          <w:sz w:val="28"/>
          <w:szCs w:val="28"/>
          <w:highlight w:val="none"/>
          <w:lang w:val="en-US" w:eastAsia="zh-CN"/>
        </w:rPr>
        <w:t>492号）</w:t>
      </w:r>
    </w:p>
    <w:p w14:paraId="22B736E2">
      <w:pPr>
        <w:spacing w:line="360" w:lineRule="auto"/>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rPr>
        <w:t>） 财政部关于印发《地方预决算公开操作规程》的通知</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财预〔2016〕143号</w:t>
      </w:r>
      <w:r>
        <w:rPr>
          <w:rFonts w:hint="eastAsia" w:ascii="仿宋" w:hAnsi="仿宋" w:eastAsia="仿宋" w:cs="仿宋"/>
          <w:sz w:val="28"/>
          <w:szCs w:val="28"/>
          <w:highlight w:val="none"/>
          <w:lang w:eastAsia="zh-CN"/>
        </w:rPr>
        <w:t>）</w:t>
      </w:r>
    </w:p>
    <w:p w14:paraId="384D44DA">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rPr>
        <w:t>）中国注册会计师协会关于印发《会计师事务所财政支出绩效评价业务指引》的通知（会协〔2016〕10号）</w:t>
      </w:r>
    </w:p>
    <w:p w14:paraId="15C36FA2">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rPr>
        <w:t>）《中国注册会计师执业准则</w:t>
      </w:r>
      <w:r>
        <w:rPr>
          <w:rFonts w:hint="eastAsia" w:ascii="仿宋" w:hAnsi="仿宋" w:eastAsia="仿宋" w:cs="仿宋"/>
          <w:sz w:val="28"/>
          <w:szCs w:val="28"/>
          <w:highlight w:val="none"/>
          <w:u w:val="none"/>
        </w:rPr>
        <w:t>》</w:t>
      </w:r>
    </w:p>
    <w:p w14:paraId="181BEEC1">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9</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事业单位会计制度</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及</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事业单位会计准则</w:t>
      </w:r>
      <w:r>
        <w:rPr>
          <w:rFonts w:hint="eastAsia" w:ascii="仿宋" w:hAnsi="仿宋" w:eastAsia="仿宋" w:cs="仿宋"/>
          <w:sz w:val="28"/>
          <w:szCs w:val="28"/>
          <w:highlight w:val="none"/>
        </w:rPr>
        <w:t>》</w:t>
      </w:r>
    </w:p>
    <w:p w14:paraId="2EEAE607">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eastAsia" w:ascii="仿宋" w:hAnsi="仿宋" w:eastAsia="仿宋" w:cs="仿宋"/>
          <w:sz w:val="28"/>
          <w:szCs w:val="28"/>
          <w:highlight w:val="none"/>
          <w:lang w:val="en-US" w:eastAsia="zh-CN"/>
        </w:rPr>
        <w:t>0</w:t>
      </w:r>
      <w:r>
        <w:rPr>
          <w:rFonts w:hint="eastAsia" w:ascii="仿宋" w:hAnsi="仿宋" w:eastAsia="仿宋" w:cs="仿宋"/>
          <w:sz w:val="28"/>
          <w:szCs w:val="28"/>
          <w:highlight w:val="none"/>
        </w:rPr>
        <w:t>）《财政部关于加强专项资金财政财务管理与监督的通知》</w:t>
      </w:r>
    </w:p>
    <w:p w14:paraId="179C63D4">
      <w:pPr>
        <w:spacing w:line="360" w:lineRule="auto"/>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（1</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）《政府非税收入管理办法》</w:t>
      </w:r>
      <w:r>
        <w:rPr>
          <w:rFonts w:hint="eastAsia" w:ascii="仿宋" w:hAnsi="仿宋" w:eastAsia="仿宋" w:cs="仿宋"/>
          <w:sz w:val="28"/>
          <w:szCs w:val="28"/>
          <w:highlight w:val="none"/>
          <w:lang w:eastAsia="zh-CN"/>
        </w:rPr>
        <w:t>（财税〔</w:t>
      </w:r>
      <w:r>
        <w:rPr>
          <w:rFonts w:hint="eastAsia" w:ascii="仿宋" w:hAnsi="仿宋" w:eastAsia="仿宋" w:cs="仿宋"/>
          <w:sz w:val="28"/>
          <w:szCs w:val="28"/>
          <w:highlight w:val="none"/>
          <w:lang w:val="en-US" w:eastAsia="zh-CN"/>
        </w:rPr>
        <w:t>2016</w:t>
      </w:r>
      <w:r>
        <w:rPr>
          <w:rFonts w:hint="eastAsia" w:ascii="仿宋" w:hAnsi="仿宋" w:eastAsia="仿宋" w:cs="仿宋"/>
          <w:sz w:val="28"/>
          <w:szCs w:val="28"/>
          <w:highlight w:val="none"/>
          <w:lang w:eastAsia="zh-CN"/>
        </w:rPr>
        <w:t>〕33号）</w:t>
      </w:r>
    </w:p>
    <w:p w14:paraId="5DA347F1">
      <w:pPr>
        <w:spacing w:line="360" w:lineRule="auto"/>
        <w:ind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（1</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永济市</w:t>
      </w:r>
      <w:r>
        <w:rPr>
          <w:rFonts w:hint="eastAsia" w:ascii="仿宋" w:hAnsi="仿宋" w:eastAsia="仿宋" w:cs="仿宋"/>
          <w:sz w:val="28"/>
          <w:szCs w:val="28"/>
          <w:highlight w:val="none"/>
        </w:rPr>
        <w:t>行政单位资产配置标准》（永财</w:t>
      </w:r>
      <w:r>
        <w:rPr>
          <w:rFonts w:hint="eastAsia" w:ascii="仿宋" w:hAnsi="仿宋" w:eastAsia="仿宋" w:cs="仿宋"/>
          <w:sz w:val="28"/>
          <w:szCs w:val="28"/>
          <w:highlight w:val="none"/>
          <w:lang w:val="en-US" w:eastAsia="zh-CN"/>
        </w:rPr>
        <w:t>资</w:t>
      </w:r>
      <w:r>
        <w:rPr>
          <w:rFonts w:hint="eastAsia" w:ascii="仿宋" w:hAnsi="仿宋" w:eastAsia="仿宋" w:cs="仿宋"/>
          <w:sz w:val="28"/>
          <w:szCs w:val="28"/>
          <w:highlight w:val="none"/>
        </w:rPr>
        <w:t>字〔20</w:t>
      </w:r>
      <w:r>
        <w:rPr>
          <w:rFonts w:hint="eastAsia" w:ascii="仿宋" w:hAnsi="仿宋" w:eastAsia="仿宋" w:cs="仿宋"/>
          <w:sz w:val="28"/>
          <w:szCs w:val="28"/>
          <w:highlight w:val="none"/>
          <w:lang w:val="en-US" w:eastAsia="zh-CN"/>
        </w:rPr>
        <w:t>22</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rPr>
        <w:t>号）</w:t>
      </w:r>
    </w:p>
    <w:p w14:paraId="5FBE0097">
      <w:pPr>
        <w:spacing w:line="360" w:lineRule="auto"/>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13</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《永济市财政局2024年重点绩效评价实施方案》（永财绩〔2024〕2号）</w:t>
      </w:r>
    </w:p>
    <w:p w14:paraId="60DD4489">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1"/>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14）</w:t>
      </w:r>
      <w:r>
        <w:rPr>
          <w:rFonts w:hint="eastAsia" w:ascii="仿宋" w:hAnsi="仿宋" w:eastAsia="仿宋" w:cs="仿宋"/>
          <w:b w:val="0"/>
          <w:bCs w:val="0"/>
          <w:kern w:val="2"/>
          <w:sz w:val="28"/>
          <w:szCs w:val="28"/>
          <w:highlight w:val="none"/>
          <w:lang w:val="en-US" w:eastAsia="zh-CN" w:bidi="ar-SA"/>
        </w:rPr>
        <w:t>《中华人民共和国城镇建设行业标准：城市道路清扫面积测算方法(CJ/T 277-2008)》</w:t>
      </w:r>
    </w:p>
    <w:p w14:paraId="4F7A59FC">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1"/>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（15）《都市环境卫生质量原则》（建城〔1997〕21号）</w:t>
      </w:r>
    </w:p>
    <w:p w14:paraId="5028EFAB">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1"/>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（16）《城镇市容环境卫生劳动定额》</w:t>
      </w:r>
    </w:p>
    <w:p w14:paraId="024ECCE1">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1"/>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17</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其他有关的法律、法规规章、政策文件</w:t>
      </w:r>
    </w:p>
    <w:p w14:paraId="0BFF64D6">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1"/>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lang w:eastAsia="zh-CN"/>
        </w:rPr>
        <w:t>（二）绩效评价的对象和范围</w:t>
      </w:r>
      <w:bookmarkEnd w:id="31"/>
      <w:bookmarkEnd w:id="32"/>
      <w:bookmarkEnd w:id="33"/>
      <w:bookmarkEnd w:id="34"/>
      <w:bookmarkEnd w:id="35"/>
      <w:bookmarkEnd w:id="36"/>
      <w:bookmarkEnd w:id="37"/>
    </w:p>
    <w:p w14:paraId="2048FACC">
      <w:pPr>
        <w:keepNext w:val="0"/>
        <w:keepLines w:val="0"/>
        <w:pageBreakBefore w:val="0"/>
        <w:widowControl w:val="0"/>
        <w:kinsoku/>
        <w:wordWrap/>
        <w:overflowPunct/>
        <w:topLinePunct w:val="0"/>
        <w:autoSpaceDE/>
        <w:autoSpaceDN/>
        <w:bidi w:val="0"/>
        <w:adjustRightInd/>
        <w:snapToGrid/>
        <w:spacing w:line="560" w:lineRule="exact"/>
        <w:ind w:firstLine="691" w:firstLineChars="246"/>
        <w:textAlignment w:val="auto"/>
        <w:outlineLvl w:val="0"/>
        <w:rPr>
          <w:rFonts w:hint="eastAsia" w:ascii="仿宋" w:hAnsi="仿宋" w:eastAsia="仿宋" w:cs="仿宋"/>
          <w:b/>
          <w:bCs/>
          <w:sz w:val="28"/>
          <w:szCs w:val="28"/>
          <w:highlight w:val="none"/>
        </w:rPr>
      </w:pPr>
      <w:bookmarkStart w:id="38" w:name="_Toc7670"/>
      <w:bookmarkStart w:id="39" w:name="_Toc28224"/>
      <w:r>
        <w:rPr>
          <w:rFonts w:hint="eastAsia" w:ascii="仿宋" w:hAnsi="仿宋" w:eastAsia="仿宋" w:cs="仿宋"/>
          <w:b/>
          <w:bCs/>
          <w:sz w:val="28"/>
          <w:szCs w:val="28"/>
          <w:highlight w:val="none"/>
        </w:rPr>
        <w:t>1</w:t>
      </w:r>
      <w:r>
        <w:rPr>
          <w:rFonts w:hint="eastAsia" w:ascii="仿宋" w:hAnsi="仿宋" w:eastAsia="仿宋" w:cs="仿宋"/>
          <w:b/>
          <w:bCs/>
          <w:sz w:val="28"/>
          <w:szCs w:val="28"/>
          <w:highlight w:val="none"/>
          <w:lang w:val="en-US" w:eastAsia="zh-CN"/>
        </w:rPr>
        <w:t>.</w:t>
      </w:r>
      <w:r>
        <w:rPr>
          <w:rFonts w:hint="eastAsia" w:ascii="仿宋" w:hAnsi="仿宋" w:eastAsia="仿宋" w:cs="仿宋"/>
          <w:b/>
          <w:bCs/>
          <w:sz w:val="28"/>
          <w:szCs w:val="28"/>
          <w:highlight w:val="none"/>
        </w:rPr>
        <w:t>绩效评价对象</w:t>
      </w:r>
    </w:p>
    <w:p w14:paraId="577FE37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本次绩效评价对象为</w:t>
      </w:r>
      <w:r>
        <w:rPr>
          <w:rFonts w:hint="eastAsia" w:ascii="仿宋" w:hAnsi="仿宋" w:eastAsia="仿宋" w:cs="仿宋"/>
          <w:sz w:val="28"/>
          <w:szCs w:val="28"/>
          <w:highlight w:val="none"/>
          <w:lang w:val="en-US" w:eastAsia="zh-CN"/>
        </w:rPr>
        <w:t>永济市市容环卫中心2023年度</w:t>
      </w:r>
      <w:r>
        <w:rPr>
          <w:rFonts w:hint="eastAsia" w:ascii="仿宋" w:hAnsi="仿宋" w:eastAsia="仿宋" w:cs="仿宋"/>
          <w:sz w:val="28"/>
          <w:szCs w:val="28"/>
          <w:highlight w:val="none"/>
        </w:rPr>
        <w:t>整体支出</w:t>
      </w:r>
      <w:r>
        <w:rPr>
          <w:rFonts w:hint="eastAsia" w:ascii="仿宋" w:hAnsi="仿宋" w:eastAsia="仿宋" w:cs="仿宋"/>
          <w:sz w:val="28"/>
          <w:szCs w:val="28"/>
          <w:highlight w:val="none"/>
          <w:lang w:eastAsia="zh-CN"/>
        </w:rPr>
        <w:t>，金额</w:t>
      </w:r>
      <w:r>
        <w:rPr>
          <w:rFonts w:hint="eastAsia" w:ascii="仿宋" w:hAnsi="仿宋" w:eastAsia="仿宋" w:cs="仿宋"/>
          <w:b w:val="0"/>
          <w:bCs w:val="0"/>
          <w:color w:val="000000"/>
          <w:kern w:val="0"/>
          <w:sz w:val="28"/>
          <w:szCs w:val="28"/>
          <w:highlight w:val="none"/>
          <w:shd w:val="clear" w:color="auto" w:fill="FFFFFF"/>
          <w:lang w:val="en-US" w:eastAsia="zh-CN"/>
        </w:rPr>
        <w:t>2,191.42</w:t>
      </w:r>
      <w:r>
        <w:rPr>
          <w:rFonts w:hint="eastAsia" w:ascii="仿宋" w:hAnsi="仿宋" w:eastAsia="仿宋" w:cs="仿宋"/>
          <w:sz w:val="28"/>
          <w:szCs w:val="28"/>
          <w:highlight w:val="none"/>
          <w:lang w:val="en-US" w:eastAsia="zh-CN"/>
        </w:rPr>
        <w:t>万元。其中：</w:t>
      </w:r>
      <w:r>
        <w:rPr>
          <w:rFonts w:hint="eastAsia" w:ascii="仿宋" w:hAnsi="仿宋" w:eastAsia="仿宋" w:cs="仿宋"/>
          <w:b w:val="0"/>
          <w:bCs w:val="0"/>
          <w:color w:val="000000"/>
          <w:kern w:val="0"/>
          <w:sz w:val="28"/>
          <w:szCs w:val="28"/>
          <w:highlight w:val="none"/>
          <w:shd w:val="clear" w:color="auto" w:fill="FFFFFF"/>
          <w:lang w:val="en-US" w:eastAsia="zh-CN"/>
        </w:rPr>
        <w:t>基本支出449.97万元，项目支出1,741.45万元</w:t>
      </w:r>
      <w:r>
        <w:rPr>
          <w:rFonts w:hint="eastAsia" w:ascii="仿宋" w:hAnsi="仿宋" w:eastAsia="仿宋" w:cs="仿宋"/>
          <w:sz w:val="28"/>
          <w:szCs w:val="28"/>
          <w:highlight w:val="none"/>
          <w:lang w:val="en-US" w:eastAsia="zh-CN"/>
        </w:rPr>
        <w:t>。</w:t>
      </w:r>
    </w:p>
    <w:p w14:paraId="72DF75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2.</w:t>
      </w:r>
      <w:r>
        <w:rPr>
          <w:rFonts w:hint="eastAsia" w:ascii="仿宋" w:hAnsi="仿宋" w:eastAsia="仿宋" w:cs="仿宋"/>
          <w:b/>
          <w:bCs/>
          <w:sz w:val="28"/>
          <w:szCs w:val="28"/>
          <w:highlight w:val="none"/>
        </w:rPr>
        <w:t>绩效评价范围</w:t>
      </w:r>
    </w:p>
    <w:p w14:paraId="5314102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    在获取永济市市容环卫中心整体支出目标设定、预算配置、预算执行及管理、资产管理、基本职责履行情况及效益、相关项目实施情况及后期运行情况等基本资料的基础上，通过对所收集相关资料的分析，结合相关政策文件，利用指标体系对永济市市容环卫中心整体支出项目进行绩效评价。</w:t>
      </w:r>
    </w:p>
    <w:p w14:paraId="0F85FD8A">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1"/>
        <w:rPr>
          <w:rFonts w:hint="eastAsia" w:ascii="仿宋" w:hAnsi="仿宋" w:eastAsia="仿宋" w:cs="仿宋"/>
          <w:b w:val="0"/>
          <w:bCs w:val="0"/>
          <w:sz w:val="28"/>
          <w:szCs w:val="28"/>
          <w:highlight w:val="none"/>
          <w:lang w:val="en-US" w:eastAsia="zh-CN"/>
        </w:rPr>
      </w:pPr>
      <w:r>
        <w:rPr>
          <w:rFonts w:hint="eastAsia" w:ascii="仿宋" w:hAnsi="仿宋" w:eastAsia="仿宋" w:cs="仿宋"/>
          <w:b/>
          <w:bCs/>
          <w:sz w:val="28"/>
          <w:szCs w:val="28"/>
          <w:highlight w:val="none"/>
        </w:rPr>
        <w:t>（</w:t>
      </w:r>
      <w:r>
        <w:rPr>
          <w:rFonts w:hint="eastAsia" w:ascii="仿宋" w:hAnsi="仿宋" w:eastAsia="仿宋" w:cs="仿宋"/>
          <w:b/>
          <w:bCs/>
          <w:sz w:val="28"/>
          <w:szCs w:val="28"/>
          <w:highlight w:val="none"/>
          <w:lang w:eastAsia="zh-CN"/>
        </w:rPr>
        <w:t>三</w:t>
      </w:r>
      <w:r>
        <w:rPr>
          <w:rFonts w:hint="eastAsia" w:ascii="仿宋" w:hAnsi="仿宋" w:eastAsia="仿宋" w:cs="仿宋"/>
          <w:b/>
          <w:bCs/>
          <w:sz w:val="28"/>
          <w:szCs w:val="28"/>
          <w:highlight w:val="none"/>
        </w:rPr>
        <w:t>）绩效评价原则</w:t>
      </w:r>
      <w:bookmarkEnd w:id="38"/>
      <w:bookmarkEnd w:id="39"/>
      <w:r>
        <w:rPr>
          <w:rFonts w:hint="eastAsia" w:ascii="仿宋" w:hAnsi="仿宋" w:eastAsia="仿宋" w:cs="仿宋"/>
          <w:b/>
          <w:bCs/>
          <w:sz w:val="28"/>
          <w:szCs w:val="28"/>
          <w:highlight w:val="none"/>
          <w:lang w:val="en-US" w:eastAsia="zh-CN"/>
        </w:rPr>
        <w:t>和方法</w:t>
      </w:r>
    </w:p>
    <w:p w14:paraId="2701371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rPr>
        <w:t>1.</w:t>
      </w:r>
      <w:r>
        <w:rPr>
          <w:rFonts w:hint="eastAsia" w:ascii="仿宋" w:hAnsi="仿宋" w:eastAsia="仿宋" w:cs="仿宋"/>
          <w:b/>
          <w:bCs/>
          <w:sz w:val="28"/>
          <w:szCs w:val="28"/>
          <w:highlight w:val="none"/>
          <w:lang w:val="en-US" w:eastAsia="zh-CN"/>
        </w:rPr>
        <w:t>绩效评价原则</w:t>
      </w:r>
    </w:p>
    <w:p w14:paraId="52CAE0F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b w:val="0"/>
          <w:bCs w:val="0"/>
          <w:sz w:val="28"/>
          <w:szCs w:val="28"/>
          <w:highlight w:val="none"/>
          <w:lang w:eastAsia="zh-CN"/>
        </w:rPr>
        <w:t>（</w:t>
      </w:r>
      <w:r>
        <w:rPr>
          <w:rFonts w:hint="eastAsia" w:ascii="仿宋" w:hAnsi="仿宋" w:eastAsia="仿宋" w:cs="仿宋"/>
          <w:b w:val="0"/>
          <w:bCs w:val="0"/>
          <w:sz w:val="28"/>
          <w:szCs w:val="28"/>
          <w:highlight w:val="none"/>
          <w:lang w:val="en-US" w:eastAsia="zh-CN"/>
        </w:rPr>
        <w:t>1</w:t>
      </w:r>
      <w:r>
        <w:rPr>
          <w:rFonts w:hint="eastAsia" w:ascii="仿宋" w:hAnsi="仿宋" w:eastAsia="仿宋" w:cs="仿宋"/>
          <w:b w:val="0"/>
          <w:bCs w:val="0"/>
          <w:sz w:val="28"/>
          <w:szCs w:val="28"/>
          <w:highlight w:val="none"/>
          <w:lang w:eastAsia="zh-CN"/>
        </w:rPr>
        <w:t>）</w:t>
      </w:r>
      <w:r>
        <w:rPr>
          <w:rFonts w:hint="eastAsia" w:ascii="仿宋" w:hAnsi="仿宋" w:eastAsia="仿宋" w:cs="仿宋"/>
          <w:b w:val="0"/>
          <w:bCs w:val="0"/>
          <w:sz w:val="28"/>
          <w:szCs w:val="28"/>
          <w:highlight w:val="none"/>
        </w:rPr>
        <w:t>科学规范原则。</w:t>
      </w:r>
      <w:r>
        <w:rPr>
          <w:rFonts w:hint="eastAsia" w:ascii="仿宋" w:hAnsi="仿宋" w:eastAsia="仿宋" w:cs="仿宋"/>
          <w:sz w:val="28"/>
          <w:szCs w:val="28"/>
          <w:highlight w:val="none"/>
        </w:rPr>
        <w:t>严格执行绩效评价准备阶段、绩效评价实施阶段、撰写和提交绩效评价报告阶段要求的各项程序，按照科学可行的要求，采用定量与定性分析相结合的方法。</w:t>
      </w:r>
    </w:p>
    <w:p w14:paraId="1E749DE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b w:val="0"/>
          <w:bCs w:val="0"/>
          <w:sz w:val="28"/>
          <w:szCs w:val="28"/>
          <w:highlight w:val="none"/>
          <w:lang w:eastAsia="zh-CN"/>
        </w:rPr>
        <w:t>（</w:t>
      </w:r>
      <w:r>
        <w:rPr>
          <w:rFonts w:hint="eastAsia" w:ascii="仿宋" w:hAnsi="仿宋" w:eastAsia="仿宋" w:cs="仿宋"/>
          <w:b w:val="0"/>
          <w:bCs w:val="0"/>
          <w:sz w:val="28"/>
          <w:szCs w:val="28"/>
          <w:highlight w:val="none"/>
          <w:lang w:val="en-US" w:eastAsia="zh-CN"/>
        </w:rPr>
        <w:t>2</w:t>
      </w:r>
      <w:r>
        <w:rPr>
          <w:rFonts w:hint="eastAsia" w:ascii="仿宋" w:hAnsi="仿宋" w:eastAsia="仿宋" w:cs="仿宋"/>
          <w:b w:val="0"/>
          <w:bCs w:val="0"/>
          <w:sz w:val="28"/>
          <w:szCs w:val="28"/>
          <w:highlight w:val="none"/>
          <w:lang w:eastAsia="zh-CN"/>
        </w:rPr>
        <w:t>）</w:t>
      </w:r>
      <w:r>
        <w:rPr>
          <w:rFonts w:hint="eastAsia" w:ascii="仿宋" w:hAnsi="仿宋" w:eastAsia="仿宋" w:cs="仿宋"/>
          <w:b w:val="0"/>
          <w:bCs w:val="0"/>
          <w:sz w:val="28"/>
          <w:szCs w:val="28"/>
          <w:highlight w:val="none"/>
        </w:rPr>
        <w:t>公正公开原则。</w:t>
      </w:r>
      <w:r>
        <w:rPr>
          <w:rFonts w:hint="eastAsia" w:ascii="仿宋" w:hAnsi="仿宋" w:eastAsia="仿宋" w:cs="仿宋"/>
          <w:sz w:val="28"/>
          <w:szCs w:val="28"/>
          <w:highlight w:val="none"/>
        </w:rPr>
        <w:t>绩效评价应当符合真实、客观、公正的要求，依法公开并接受监督。</w:t>
      </w:r>
    </w:p>
    <w:p w14:paraId="2CB5A94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b w:val="0"/>
          <w:bCs w:val="0"/>
          <w:sz w:val="28"/>
          <w:szCs w:val="28"/>
          <w:highlight w:val="none"/>
          <w:lang w:eastAsia="zh-CN"/>
        </w:rPr>
        <w:t>（</w:t>
      </w:r>
      <w:r>
        <w:rPr>
          <w:rFonts w:hint="eastAsia" w:ascii="仿宋" w:hAnsi="仿宋" w:eastAsia="仿宋" w:cs="仿宋"/>
          <w:b w:val="0"/>
          <w:bCs w:val="0"/>
          <w:sz w:val="28"/>
          <w:szCs w:val="28"/>
          <w:highlight w:val="none"/>
          <w:lang w:val="en-US" w:eastAsia="zh-CN"/>
        </w:rPr>
        <w:t>3</w:t>
      </w:r>
      <w:r>
        <w:rPr>
          <w:rFonts w:hint="eastAsia" w:ascii="仿宋" w:hAnsi="仿宋" w:eastAsia="仿宋" w:cs="仿宋"/>
          <w:b w:val="0"/>
          <w:bCs w:val="0"/>
          <w:sz w:val="28"/>
          <w:szCs w:val="28"/>
          <w:highlight w:val="none"/>
          <w:lang w:eastAsia="zh-CN"/>
        </w:rPr>
        <w:t>）</w:t>
      </w:r>
      <w:r>
        <w:rPr>
          <w:rFonts w:hint="eastAsia" w:ascii="仿宋" w:hAnsi="仿宋" w:eastAsia="仿宋" w:cs="仿宋"/>
          <w:b w:val="0"/>
          <w:bCs w:val="0"/>
          <w:sz w:val="28"/>
          <w:szCs w:val="28"/>
          <w:highlight w:val="none"/>
        </w:rPr>
        <w:t>分级分类原则。</w:t>
      </w:r>
      <w:r>
        <w:rPr>
          <w:rFonts w:hint="eastAsia" w:ascii="仿宋" w:hAnsi="仿宋" w:eastAsia="仿宋" w:cs="仿宋"/>
          <w:sz w:val="28"/>
          <w:szCs w:val="28"/>
          <w:highlight w:val="none"/>
        </w:rPr>
        <w:t>绩效评价由各级财政部门、各预算部门根据评价对象的特点分类组织实施。</w:t>
      </w:r>
    </w:p>
    <w:p w14:paraId="657CE1C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b w:val="0"/>
          <w:bCs w:val="0"/>
          <w:sz w:val="28"/>
          <w:szCs w:val="28"/>
          <w:highlight w:val="none"/>
          <w:lang w:eastAsia="zh-CN"/>
        </w:rPr>
        <w:t>（</w:t>
      </w:r>
      <w:r>
        <w:rPr>
          <w:rFonts w:hint="eastAsia" w:ascii="仿宋" w:hAnsi="仿宋" w:eastAsia="仿宋" w:cs="仿宋"/>
          <w:b w:val="0"/>
          <w:bCs w:val="0"/>
          <w:sz w:val="28"/>
          <w:szCs w:val="28"/>
          <w:highlight w:val="none"/>
          <w:lang w:val="en-US" w:eastAsia="zh-CN"/>
        </w:rPr>
        <w:t>4</w:t>
      </w:r>
      <w:r>
        <w:rPr>
          <w:rFonts w:hint="eastAsia" w:ascii="仿宋" w:hAnsi="仿宋" w:eastAsia="仿宋" w:cs="仿宋"/>
          <w:b w:val="0"/>
          <w:bCs w:val="0"/>
          <w:sz w:val="28"/>
          <w:szCs w:val="28"/>
          <w:highlight w:val="none"/>
          <w:lang w:eastAsia="zh-CN"/>
        </w:rPr>
        <w:t>）</w:t>
      </w:r>
      <w:r>
        <w:rPr>
          <w:rFonts w:hint="eastAsia" w:ascii="仿宋" w:hAnsi="仿宋" w:eastAsia="仿宋" w:cs="仿宋"/>
          <w:b w:val="0"/>
          <w:bCs w:val="0"/>
          <w:sz w:val="28"/>
          <w:szCs w:val="28"/>
          <w:highlight w:val="none"/>
        </w:rPr>
        <w:t>绩效相关原则。</w:t>
      </w:r>
      <w:r>
        <w:rPr>
          <w:rFonts w:hint="eastAsia" w:ascii="仿宋" w:hAnsi="仿宋" w:eastAsia="仿宋" w:cs="仿宋"/>
          <w:sz w:val="28"/>
          <w:szCs w:val="28"/>
          <w:highlight w:val="none"/>
        </w:rPr>
        <w:t>绩效评价应当针对</w:t>
      </w:r>
      <w:r>
        <w:rPr>
          <w:rFonts w:hint="eastAsia" w:ascii="仿宋" w:hAnsi="仿宋" w:eastAsia="仿宋" w:cs="仿宋"/>
          <w:sz w:val="28"/>
          <w:szCs w:val="28"/>
          <w:highlight w:val="none"/>
          <w:lang w:eastAsia="zh-CN"/>
        </w:rPr>
        <w:t>部门</w:t>
      </w:r>
      <w:r>
        <w:rPr>
          <w:rFonts w:hint="eastAsia" w:ascii="仿宋" w:hAnsi="仿宋" w:eastAsia="仿宋" w:cs="仿宋"/>
          <w:sz w:val="28"/>
          <w:szCs w:val="28"/>
          <w:highlight w:val="none"/>
        </w:rPr>
        <w:t>具体支出及其产出绩效进行，运用科学合理的绩效评价指标、评价标准和评价方法</w:t>
      </w:r>
      <w:r>
        <w:rPr>
          <w:rFonts w:hint="eastAsia" w:ascii="仿宋" w:hAnsi="仿宋" w:eastAsia="仿宋" w:cs="仿宋"/>
          <w:sz w:val="28"/>
          <w:szCs w:val="28"/>
          <w:highlight w:val="none"/>
          <w:lang w:eastAsia="zh-CN"/>
        </w:rPr>
        <w:t>，对支出的经济性、效率性和效益性进行客观、公正的评价，</w:t>
      </w:r>
      <w:r>
        <w:rPr>
          <w:rFonts w:hint="eastAsia" w:ascii="仿宋" w:hAnsi="仿宋" w:eastAsia="仿宋" w:cs="仿宋"/>
          <w:sz w:val="28"/>
          <w:szCs w:val="28"/>
          <w:highlight w:val="none"/>
        </w:rPr>
        <w:t>评价结果应当清晰反映支出和产出绩效之间的紧密对应关系</w:t>
      </w:r>
      <w:r>
        <w:rPr>
          <w:rFonts w:hint="eastAsia" w:ascii="仿宋" w:hAnsi="仿宋" w:eastAsia="仿宋" w:cs="仿宋"/>
          <w:kern w:val="2"/>
          <w:sz w:val="28"/>
          <w:szCs w:val="28"/>
          <w:lang w:val="en-US" w:eastAsia="zh-CN" w:bidi="ar-SA"/>
        </w:rPr>
        <w:t>。</w:t>
      </w:r>
    </w:p>
    <w:p w14:paraId="6C6A786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sz w:val="28"/>
          <w:szCs w:val="28"/>
          <w:highlight w:val="none"/>
          <w:lang w:eastAsia="zh-CN"/>
        </w:rPr>
      </w:pPr>
      <w:r>
        <w:rPr>
          <w:rFonts w:hint="eastAsia" w:ascii="仿宋" w:hAnsi="仿宋" w:eastAsia="仿宋" w:cs="仿宋"/>
          <w:sz w:val="28"/>
          <w:szCs w:val="28"/>
          <w:highlight w:val="none"/>
          <w:lang w:val="en-US" w:eastAsia="zh-CN"/>
        </w:rPr>
        <w:t xml:space="preserve"> </w:t>
      </w:r>
      <w:bookmarkStart w:id="40" w:name="_Toc4043_WPSOffice_Level2"/>
      <w:bookmarkStart w:id="41" w:name="_Toc12523"/>
      <w:bookmarkStart w:id="42" w:name="_Toc32137"/>
      <w:bookmarkStart w:id="43" w:name="_Toc30027_WPSOffice_Level2"/>
      <w:bookmarkStart w:id="44" w:name="_Toc10410_WPSOffice_Level2"/>
      <w:r>
        <w:rPr>
          <w:rFonts w:hint="eastAsia" w:ascii="仿宋" w:hAnsi="仿宋" w:eastAsia="仿宋" w:cs="仿宋"/>
          <w:b/>
          <w:bCs w:val="0"/>
          <w:sz w:val="28"/>
          <w:szCs w:val="28"/>
          <w:highlight w:val="none"/>
          <w:lang w:val="en-US" w:eastAsia="zh-CN"/>
        </w:rPr>
        <w:t>2.</w:t>
      </w:r>
      <w:r>
        <w:rPr>
          <w:rFonts w:hint="eastAsia" w:ascii="仿宋" w:hAnsi="仿宋" w:eastAsia="仿宋" w:cs="仿宋"/>
          <w:b/>
          <w:bCs w:val="0"/>
          <w:sz w:val="28"/>
          <w:szCs w:val="28"/>
          <w:highlight w:val="none"/>
          <w:lang w:eastAsia="zh-CN"/>
        </w:rPr>
        <w:t>绩效评价的方法</w:t>
      </w:r>
      <w:bookmarkEnd w:id="40"/>
      <w:bookmarkEnd w:id="41"/>
      <w:bookmarkEnd w:id="42"/>
      <w:bookmarkEnd w:id="43"/>
      <w:bookmarkEnd w:id="44"/>
    </w:p>
    <w:p w14:paraId="164841B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kern w:val="0"/>
          <w:sz w:val="28"/>
          <w:szCs w:val="28"/>
          <w:highlight w:val="none"/>
          <w:lang w:val="en-US" w:eastAsia="zh-CN"/>
        </w:rPr>
      </w:pPr>
      <w:bookmarkStart w:id="45" w:name="_Toc5235"/>
      <w:bookmarkStart w:id="46" w:name="_Toc30579_WPSOffice_Level2"/>
      <w:bookmarkStart w:id="47" w:name="_Toc380"/>
      <w:r>
        <w:rPr>
          <w:rFonts w:hint="eastAsia" w:ascii="仿宋" w:hAnsi="仿宋" w:eastAsia="仿宋" w:cs="仿宋"/>
          <w:b w:val="0"/>
          <w:bCs w:val="0"/>
          <w:kern w:val="0"/>
          <w:sz w:val="28"/>
          <w:szCs w:val="28"/>
          <w:highlight w:val="none"/>
          <w:lang w:val="en-US" w:eastAsia="zh-CN"/>
        </w:rPr>
        <w:t>（1）成本效益分析法。</w:t>
      </w:r>
      <w:r>
        <w:rPr>
          <w:rFonts w:hint="eastAsia" w:ascii="仿宋" w:hAnsi="仿宋" w:eastAsia="仿宋" w:cs="仿宋"/>
          <w:kern w:val="0"/>
          <w:sz w:val="28"/>
          <w:szCs w:val="28"/>
          <w:highlight w:val="none"/>
          <w:lang w:val="en-US" w:eastAsia="zh-CN"/>
        </w:rPr>
        <w:t>是指将一定时期内总成本与总效益进行对比分析，以评价绩效目标实现程度。结合预算支出确定的目标，比较支出所产生的效益和付出的成本，评价绩效目标的合理性。</w:t>
      </w:r>
    </w:p>
    <w:p w14:paraId="22260E6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（2）比较法。</w:t>
      </w:r>
      <w:r>
        <w:rPr>
          <w:rFonts w:hint="eastAsia" w:ascii="仿宋" w:hAnsi="仿宋" w:eastAsia="仿宋" w:cs="仿宋"/>
          <w:kern w:val="0"/>
          <w:sz w:val="28"/>
          <w:szCs w:val="28"/>
          <w:highlight w:val="none"/>
          <w:lang w:val="en-US" w:eastAsia="zh-CN"/>
        </w:rPr>
        <w:t>依据永济市财政局下达的年度预算，对照部门实际支出情况，比较实际支出内容与预算批复内容的差异，深入分析原因；依据相关政策文件，评价整体支出是否按照规定执行；依据资金预算文件和会计凭证，评价资金到位及使用情况；结合预算支出确定的目标，将整体支出绩效目标与支出实际效果对比，分析判断整体支出目标的实现情况；将整体支出预期收益与实施效益数据对比，结合问卷调查情况，评价部门整体支出效益实现程度。</w:t>
      </w:r>
    </w:p>
    <w:p w14:paraId="1F585DD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（3）因素分析法。</w:t>
      </w:r>
      <w:r>
        <w:rPr>
          <w:rFonts w:hint="eastAsia" w:ascii="仿宋" w:hAnsi="仿宋" w:eastAsia="仿宋" w:cs="仿宋"/>
          <w:kern w:val="0"/>
          <w:sz w:val="28"/>
          <w:szCs w:val="28"/>
          <w:highlight w:val="none"/>
          <w:lang w:val="en-US" w:eastAsia="zh-CN"/>
        </w:rPr>
        <w:t>是指通过综合分析影响绩效目标实现、实施效果的内外因素，计算投入产出比的方法。</w:t>
      </w:r>
    </w:p>
    <w:p w14:paraId="125F04F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（4）综合指数评价法。</w:t>
      </w:r>
      <w:r>
        <w:rPr>
          <w:rFonts w:hint="eastAsia" w:ascii="仿宋" w:hAnsi="仿宋" w:eastAsia="仿宋" w:cs="仿宋"/>
          <w:kern w:val="0"/>
          <w:sz w:val="28"/>
          <w:szCs w:val="28"/>
          <w:highlight w:val="none"/>
          <w:lang w:val="en-US" w:eastAsia="zh-CN"/>
        </w:rPr>
        <w:t>结合</w:t>
      </w:r>
      <w:r>
        <w:rPr>
          <w:rFonts w:hint="eastAsia" w:ascii="仿宋" w:hAnsi="仿宋" w:eastAsia="仿宋" w:cs="仿宋"/>
          <w:sz w:val="28"/>
          <w:szCs w:val="28"/>
          <w:highlight w:val="none"/>
          <w:lang w:val="en-US" w:eastAsia="zh-CN"/>
        </w:rPr>
        <w:t>永济市市容环卫中心</w:t>
      </w:r>
      <w:r>
        <w:rPr>
          <w:rFonts w:hint="eastAsia" w:ascii="仿宋" w:hAnsi="仿宋" w:eastAsia="仿宋" w:cs="仿宋"/>
          <w:kern w:val="0"/>
          <w:sz w:val="28"/>
          <w:szCs w:val="28"/>
          <w:highlight w:val="none"/>
          <w:lang w:val="en-US" w:eastAsia="zh-CN"/>
        </w:rPr>
        <w:t xml:space="preserve">的基本情况，搜集整理国家及省市县出台的相关政策法规，包括基本背景、业务流程等方面，制定科学合理的评价指标体系及评价标准。然后根据各项绩效指标的实际水平，对照评价标准值，分别计算各项指标评价得分，再按照设定的各项指标权数计算出综合评价得分，分析评价绩效目标实现情况的评价方法。 </w:t>
      </w:r>
    </w:p>
    <w:p w14:paraId="597140F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（5）公众评判法。</w:t>
      </w:r>
      <w:r>
        <w:rPr>
          <w:rFonts w:hint="eastAsia" w:ascii="仿宋" w:hAnsi="仿宋" w:eastAsia="仿宋" w:cs="仿宋"/>
          <w:kern w:val="0"/>
          <w:sz w:val="28"/>
          <w:szCs w:val="28"/>
          <w:highlight w:val="none"/>
          <w:lang w:val="en-US" w:eastAsia="zh-CN"/>
        </w:rPr>
        <w:t>通过现场调查、访谈、问卷调查等方式，着重对产出、效果、满意度情况进行详细了解，获取定性与定量评价依据。</w:t>
      </w:r>
    </w:p>
    <w:bookmarkEnd w:id="45"/>
    <w:bookmarkEnd w:id="46"/>
    <w:bookmarkEnd w:id="47"/>
    <w:p w14:paraId="1F791EF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highlight w:val="none"/>
          <w:lang w:eastAsia="zh-CN"/>
        </w:rPr>
      </w:pPr>
      <w:bookmarkStart w:id="48" w:name="_Toc5379"/>
      <w:bookmarkStart w:id="49" w:name="_Toc9883_WPSOffice_Level1"/>
      <w:bookmarkStart w:id="50" w:name="_Toc20505"/>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四</w:t>
      </w: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rPr>
        <w:t>绩效评价</w:t>
      </w:r>
      <w:r>
        <w:rPr>
          <w:rFonts w:hint="eastAsia" w:ascii="仿宋" w:hAnsi="仿宋" w:eastAsia="仿宋" w:cs="仿宋"/>
          <w:b/>
          <w:sz w:val="28"/>
          <w:szCs w:val="28"/>
          <w:highlight w:val="none"/>
          <w:lang w:val="en-US" w:eastAsia="zh-CN"/>
        </w:rPr>
        <w:t>的</w:t>
      </w:r>
      <w:r>
        <w:rPr>
          <w:rFonts w:hint="eastAsia" w:ascii="仿宋" w:hAnsi="仿宋" w:eastAsia="仿宋" w:cs="仿宋"/>
          <w:b/>
          <w:sz w:val="28"/>
          <w:szCs w:val="28"/>
          <w:highlight w:val="none"/>
        </w:rPr>
        <w:t>指标</w:t>
      </w:r>
      <w:r>
        <w:rPr>
          <w:rFonts w:hint="eastAsia" w:ascii="仿宋" w:hAnsi="仿宋" w:eastAsia="仿宋" w:cs="仿宋"/>
          <w:b/>
          <w:sz w:val="28"/>
          <w:szCs w:val="28"/>
          <w:highlight w:val="none"/>
          <w:lang w:eastAsia="zh-CN"/>
        </w:rPr>
        <w:t>体系</w:t>
      </w:r>
      <w:bookmarkEnd w:id="48"/>
      <w:bookmarkEnd w:id="49"/>
      <w:bookmarkEnd w:id="50"/>
      <w:bookmarkStart w:id="51" w:name="_Toc514670444"/>
      <w:bookmarkStart w:id="52" w:name="_Toc28008"/>
    </w:p>
    <w:bookmarkEnd w:id="51"/>
    <w:bookmarkEnd w:id="52"/>
    <w:p w14:paraId="6C5EC25F">
      <w:pPr>
        <w:pStyle w:val="2"/>
        <w:keepNext w:val="0"/>
        <w:keepLines w:val="0"/>
        <w:pageBreakBefore w:val="0"/>
        <w:widowControl w:val="0"/>
        <w:tabs>
          <w:tab w:val="left" w:pos="3150"/>
        </w:tabs>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sz w:val="28"/>
          <w:szCs w:val="28"/>
          <w:highlight w:val="none"/>
          <w:lang w:eastAsia="zh-CN"/>
        </w:rPr>
      </w:pPr>
      <w:bookmarkStart w:id="53" w:name="_Toc3772"/>
      <w:bookmarkStart w:id="54" w:name="_Toc29424_WPSOffice_Level2"/>
      <w:bookmarkStart w:id="55" w:name="_Toc21590_WPSOffice_Level2"/>
      <w:bookmarkStart w:id="56" w:name="_Toc22551_WPSOffice_Level2"/>
      <w:bookmarkStart w:id="57" w:name="_Toc17239_WPSOffice_Level2"/>
      <w:bookmarkStart w:id="58" w:name="_Toc7482_WPSOffice_Level2"/>
      <w:bookmarkStart w:id="59" w:name="_Toc15428_WPSOffice_Level2"/>
      <w:bookmarkStart w:id="60" w:name="_Toc23754_WPSOffice_Level2"/>
      <w:r>
        <w:rPr>
          <w:rFonts w:hint="eastAsia" w:ascii="仿宋" w:hAnsi="仿宋" w:eastAsia="仿宋" w:cs="仿宋"/>
          <w:b/>
          <w:bCs/>
          <w:sz w:val="28"/>
          <w:szCs w:val="28"/>
          <w:highlight w:val="none"/>
          <w:lang w:val="en-US" w:eastAsia="zh-CN"/>
        </w:rPr>
        <w:t>1.</w:t>
      </w:r>
      <w:r>
        <w:rPr>
          <w:rFonts w:hint="eastAsia" w:ascii="仿宋" w:hAnsi="仿宋" w:eastAsia="仿宋" w:cs="仿宋"/>
          <w:b/>
          <w:bCs/>
          <w:sz w:val="28"/>
          <w:szCs w:val="28"/>
          <w:highlight w:val="none"/>
          <w:lang w:eastAsia="zh-CN"/>
        </w:rPr>
        <w:t>指标体系设计的总体思路</w:t>
      </w:r>
      <w:bookmarkEnd w:id="53"/>
    </w:p>
    <w:p w14:paraId="6AD5668E">
      <w:pPr>
        <w:pStyle w:val="2"/>
        <w:keepNext w:val="0"/>
        <w:keepLines w:val="0"/>
        <w:pageBreakBefore w:val="0"/>
        <w:widowControl w:val="0"/>
        <w:tabs>
          <w:tab w:val="left" w:pos="3150"/>
        </w:tabs>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根据绩效评价的基本原理、原则和项目特点，结合绩效目标，参考《项目支出绩效评价管理办法》（财预〔2020〕10号）和</w:t>
      </w:r>
      <w:r>
        <w:rPr>
          <w:rFonts w:hint="eastAsia" w:ascii="仿宋" w:hAnsi="仿宋" w:eastAsia="仿宋" w:cs="仿宋"/>
          <w:sz w:val="28"/>
          <w:szCs w:val="28"/>
          <w:highlight w:val="none"/>
          <w:lang w:val="en-US" w:eastAsia="zh-CN"/>
        </w:rPr>
        <w:t>《永济市财政局2024年重点绩效评价实施方案》（永财绩〔2024〕2号）</w:t>
      </w:r>
      <w:r>
        <w:rPr>
          <w:rFonts w:hint="eastAsia" w:ascii="仿宋" w:hAnsi="仿宋" w:eastAsia="仿宋" w:cs="仿宋"/>
          <w:sz w:val="28"/>
          <w:szCs w:val="28"/>
          <w:highlight w:val="none"/>
          <w:lang w:eastAsia="zh-CN"/>
        </w:rPr>
        <w:t>等相关文件规定，按照“</w:t>
      </w:r>
      <w:r>
        <w:rPr>
          <w:rFonts w:hint="eastAsia" w:ascii="仿宋" w:hAnsi="仿宋" w:eastAsia="仿宋" w:cs="仿宋"/>
          <w:sz w:val="28"/>
          <w:szCs w:val="28"/>
          <w:highlight w:val="none"/>
          <w:lang w:val="en-US" w:eastAsia="zh-CN"/>
        </w:rPr>
        <w:t>部门决策-部门管理-部门产出-部门效果</w:t>
      </w:r>
      <w:r>
        <w:rPr>
          <w:rFonts w:hint="eastAsia" w:ascii="仿宋" w:hAnsi="仿宋" w:eastAsia="仿宋" w:cs="仿宋"/>
          <w:sz w:val="28"/>
          <w:szCs w:val="28"/>
          <w:highlight w:val="none"/>
          <w:lang w:eastAsia="zh-CN"/>
        </w:rPr>
        <w:t>”的逻辑思路对绩效目标进行分解，结合计划标准、通用标准、历史标准等制定指标目标值，形成永济市</w:t>
      </w:r>
      <w:r>
        <w:rPr>
          <w:rFonts w:hint="eastAsia" w:ascii="仿宋" w:hAnsi="仿宋" w:eastAsia="仿宋" w:cs="仿宋"/>
          <w:sz w:val="28"/>
          <w:szCs w:val="28"/>
          <w:highlight w:val="none"/>
          <w:lang w:val="en-US" w:eastAsia="zh-CN"/>
        </w:rPr>
        <w:t>市容环卫中心</w:t>
      </w:r>
      <w:r>
        <w:rPr>
          <w:rFonts w:hint="eastAsia" w:ascii="仿宋" w:hAnsi="仿宋" w:eastAsia="仿宋" w:cs="仿宋"/>
          <w:sz w:val="28"/>
          <w:szCs w:val="28"/>
          <w:highlight w:val="none"/>
          <w:lang w:eastAsia="zh-CN"/>
        </w:rPr>
        <w:t>202</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lang w:eastAsia="zh-CN"/>
        </w:rPr>
        <w:t>年度整体支出绩效评价指标评分体系。</w:t>
      </w:r>
    </w:p>
    <w:p w14:paraId="2EBB215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sz w:val="28"/>
          <w:szCs w:val="28"/>
          <w:highlight w:val="none"/>
        </w:rPr>
      </w:pPr>
      <w:bookmarkStart w:id="61" w:name="_Toc27819"/>
      <w:bookmarkStart w:id="62" w:name="_Toc28029"/>
      <w:r>
        <w:rPr>
          <w:rFonts w:hint="eastAsia" w:ascii="仿宋" w:hAnsi="仿宋" w:eastAsia="仿宋" w:cs="仿宋"/>
          <w:b/>
          <w:bCs/>
          <w:sz w:val="28"/>
          <w:szCs w:val="28"/>
          <w:highlight w:val="none"/>
          <w:lang w:val="en-US" w:eastAsia="zh-CN"/>
        </w:rPr>
        <w:t>2.</w:t>
      </w:r>
      <w:r>
        <w:rPr>
          <w:rFonts w:hint="eastAsia" w:ascii="仿宋" w:hAnsi="仿宋" w:eastAsia="仿宋" w:cs="仿宋"/>
          <w:b/>
          <w:bCs/>
          <w:sz w:val="28"/>
          <w:szCs w:val="28"/>
          <w:highlight w:val="none"/>
        </w:rPr>
        <w:t>评价指标设置</w:t>
      </w:r>
      <w:bookmarkEnd w:id="61"/>
      <w:bookmarkEnd w:id="62"/>
    </w:p>
    <w:p w14:paraId="6316E29B">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根据绩效评价的基本原理、原则，按照</w:t>
      </w:r>
      <w:r>
        <w:rPr>
          <w:rFonts w:hint="eastAsia" w:ascii="仿宋" w:hAnsi="仿宋" w:eastAsia="仿宋" w:cs="仿宋"/>
          <w:sz w:val="28"/>
          <w:szCs w:val="28"/>
          <w:highlight w:val="none"/>
          <w:lang w:val="en-US" w:eastAsia="zh-CN"/>
        </w:rPr>
        <w:t>《永济市财政局2024年重点绩效评价实施方案》（永财绩〔2024〕2号）</w:t>
      </w:r>
      <w:r>
        <w:rPr>
          <w:rFonts w:hint="eastAsia" w:ascii="仿宋" w:hAnsi="仿宋" w:eastAsia="仿宋" w:cs="仿宋"/>
          <w:b w:val="0"/>
          <w:bCs w:val="0"/>
          <w:sz w:val="28"/>
          <w:szCs w:val="28"/>
          <w:highlight w:val="none"/>
          <w:lang w:val="en-US" w:eastAsia="zh-CN"/>
        </w:rPr>
        <w:t>文件要求，结合永济市市容环卫中心的实际情况，评价组从部门的部门决策、部门管理、部门产出、部门效果四方面设计指标体系进行评价，评价指标体系分为4个一级指标，14个二级指标，25个三级指标，具体指标见下表：</w:t>
      </w:r>
    </w:p>
    <w:p w14:paraId="5C566B08">
      <w:pPr>
        <w:pStyle w:val="2"/>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绩效评价指标体系</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1"/>
        <w:gridCol w:w="2229"/>
        <w:gridCol w:w="4102"/>
        <w:gridCol w:w="777"/>
      </w:tblGrid>
      <w:tr w14:paraId="68221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blHeader/>
        </w:trPr>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848F7">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一级指标</w:t>
            </w:r>
          </w:p>
        </w:tc>
        <w:tc>
          <w:tcPr>
            <w:tcW w:w="1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42BA8">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二级指标</w:t>
            </w: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C1A24">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三级指标</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1830A">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权重</w:t>
            </w:r>
          </w:p>
        </w:tc>
      </w:tr>
      <w:tr w14:paraId="345A2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38AD45">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部门决策</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（15分）</w:t>
            </w:r>
          </w:p>
        </w:tc>
        <w:tc>
          <w:tcPr>
            <w:tcW w:w="130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32C13">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目标设定</w:t>
            </w: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604A3">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绩效目标合理性</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796E">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29C12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52511">
            <w:pPr>
              <w:spacing w:line="240" w:lineRule="auto"/>
              <w:jc w:val="center"/>
              <w:rPr>
                <w:rFonts w:hint="eastAsia" w:ascii="仿宋" w:hAnsi="仿宋" w:eastAsia="仿宋" w:cs="仿宋"/>
                <w:i w:val="0"/>
                <w:iCs w:val="0"/>
                <w:color w:val="000000"/>
                <w:sz w:val="21"/>
                <w:szCs w:val="21"/>
                <w:highlight w:val="none"/>
                <w:u w:val="none"/>
              </w:rPr>
            </w:pPr>
          </w:p>
        </w:tc>
        <w:tc>
          <w:tcPr>
            <w:tcW w:w="13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D3EB">
            <w:pPr>
              <w:spacing w:line="240" w:lineRule="auto"/>
              <w:jc w:val="left"/>
              <w:rPr>
                <w:rFonts w:hint="eastAsia" w:ascii="仿宋" w:hAnsi="仿宋" w:eastAsia="仿宋" w:cs="仿宋"/>
                <w:i w:val="0"/>
                <w:iCs w:val="0"/>
                <w:color w:val="000000"/>
                <w:sz w:val="21"/>
                <w:szCs w:val="21"/>
                <w:highlight w:val="none"/>
                <w:u w:val="none"/>
              </w:rPr>
            </w:pP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3FEBA">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绩效指标明确性</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FFFAE">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37FF0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DA654">
            <w:pPr>
              <w:spacing w:line="240" w:lineRule="auto"/>
              <w:jc w:val="center"/>
              <w:rPr>
                <w:rFonts w:hint="eastAsia" w:ascii="仿宋" w:hAnsi="仿宋" w:eastAsia="仿宋" w:cs="仿宋"/>
                <w:i w:val="0"/>
                <w:iCs w:val="0"/>
                <w:color w:val="000000"/>
                <w:sz w:val="21"/>
                <w:szCs w:val="21"/>
                <w:highlight w:val="none"/>
                <w:u w:val="none"/>
              </w:rPr>
            </w:pPr>
          </w:p>
        </w:tc>
        <w:tc>
          <w:tcPr>
            <w:tcW w:w="130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2AEFF">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预算配置</w:t>
            </w: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2E794">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预算编制科学性</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F00E">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r>
      <w:tr w14:paraId="6C5D0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AFFD4">
            <w:pPr>
              <w:spacing w:line="240" w:lineRule="auto"/>
              <w:jc w:val="center"/>
              <w:rPr>
                <w:rFonts w:hint="eastAsia" w:ascii="仿宋" w:hAnsi="仿宋" w:eastAsia="仿宋" w:cs="仿宋"/>
                <w:i w:val="0"/>
                <w:iCs w:val="0"/>
                <w:color w:val="000000"/>
                <w:sz w:val="21"/>
                <w:szCs w:val="21"/>
                <w:highlight w:val="none"/>
                <w:u w:val="none"/>
              </w:rPr>
            </w:pPr>
          </w:p>
        </w:tc>
        <w:tc>
          <w:tcPr>
            <w:tcW w:w="13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21BE0">
            <w:pPr>
              <w:spacing w:line="240" w:lineRule="auto"/>
              <w:jc w:val="left"/>
              <w:rPr>
                <w:rFonts w:hint="eastAsia" w:ascii="仿宋" w:hAnsi="仿宋" w:eastAsia="仿宋" w:cs="仿宋"/>
                <w:i w:val="0"/>
                <w:iCs w:val="0"/>
                <w:color w:val="000000"/>
                <w:sz w:val="21"/>
                <w:szCs w:val="21"/>
                <w:highlight w:val="none"/>
                <w:u w:val="none"/>
              </w:rPr>
            </w:pP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11E3">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预算配置合理性</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ADF85">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r>
      <w:tr w14:paraId="252A7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CA78D6">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部门管理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（40分）</w:t>
            </w:r>
          </w:p>
        </w:tc>
        <w:tc>
          <w:tcPr>
            <w:tcW w:w="13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DEB95F">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预算管理</w:t>
            </w: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D27C7">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预算执行管理</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C8FA1">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r>
      <w:tr w14:paraId="4B891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BA830">
            <w:pPr>
              <w:spacing w:line="240" w:lineRule="auto"/>
              <w:jc w:val="center"/>
              <w:rPr>
                <w:rFonts w:hint="eastAsia" w:ascii="仿宋" w:hAnsi="仿宋" w:eastAsia="仿宋" w:cs="仿宋"/>
                <w:i w:val="0"/>
                <w:iCs w:val="0"/>
                <w:color w:val="000000"/>
                <w:sz w:val="21"/>
                <w:szCs w:val="21"/>
                <w:highlight w:val="none"/>
                <w:u w:val="none"/>
              </w:rPr>
            </w:pPr>
          </w:p>
        </w:tc>
        <w:tc>
          <w:tcPr>
            <w:tcW w:w="1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972EE">
            <w:pPr>
              <w:spacing w:line="240" w:lineRule="auto"/>
              <w:jc w:val="left"/>
              <w:rPr>
                <w:rFonts w:hint="eastAsia" w:ascii="仿宋" w:hAnsi="仿宋" w:eastAsia="仿宋" w:cs="仿宋"/>
                <w:i w:val="0"/>
                <w:iCs w:val="0"/>
                <w:color w:val="000000"/>
                <w:sz w:val="21"/>
                <w:szCs w:val="21"/>
                <w:highlight w:val="none"/>
                <w:u w:val="none"/>
              </w:rPr>
            </w:pP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CABFC">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预算绩效管理</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AAB4E">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r>
      <w:tr w14:paraId="0FA94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5307F">
            <w:pPr>
              <w:spacing w:line="240" w:lineRule="auto"/>
              <w:jc w:val="center"/>
              <w:rPr>
                <w:rFonts w:hint="eastAsia" w:ascii="仿宋" w:hAnsi="仿宋" w:eastAsia="仿宋" w:cs="仿宋"/>
                <w:i w:val="0"/>
                <w:iCs w:val="0"/>
                <w:color w:val="000000"/>
                <w:sz w:val="21"/>
                <w:szCs w:val="21"/>
                <w:highlight w:val="none"/>
                <w:u w:val="none"/>
              </w:rPr>
            </w:pPr>
          </w:p>
        </w:tc>
        <w:tc>
          <w:tcPr>
            <w:tcW w:w="13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78CE4A">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收支管理</w:t>
            </w: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B2ED4">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收支管理规范性</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775DB">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r>
      <w:tr w14:paraId="6840C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1D22F">
            <w:pPr>
              <w:spacing w:line="240" w:lineRule="auto"/>
              <w:jc w:val="center"/>
              <w:rPr>
                <w:rFonts w:hint="eastAsia" w:ascii="仿宋" w:hAnsi="仿宋" w:eastAsia="仿宋" w:cs="仿宋"/>
                <w:i w:val="0"/>
                <w:iCs w:val="0"/>
                <w:color w:val="000000"/>
                <w:sz w:val="21"/>
                <w:szCs w:val="21"/>
                <w:highlight w:val="none"/>
                <w:u w:val="none"/>
              </w:rPr>
            </w:pPr>
          </w:p>
        </w:tc>
        <w:tc>
          <w:tcPr>
            <w:tcW w:w="1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605DD">
            <w:pPr>
              <w:spacing w:line="240" w:lineRule="auto"/>
              <w:jc w:val="left"/>
              <w:rPr>
                <w:rFonts w:hint="eastAsia" w:ascii="仿宋" w:hAnsi="仿宋" w:eastAsia="仿宋" w:cs="仿宋"/>
                <w:i w:val="0"/>
                <w:iCs w:val="0"/>
                <w:color w:val="000000"/>
                <w:sz w:val="21"/>
                <w:szCs w:val="21"/>
                <w:highlight w:val="none"/>
                <w:u w:val="none"/>
              </w:rPr>
            </w:pP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5DB5A">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支出结构合理性</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A7AA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r>
      <w:tr w14:paraId="6EF0A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41209">
            <w:pPr>
              <w:spacing w:line="240" w:lineRule="auto"/>
              <w:jc w:val="center"/>
              <w:rPr>
                <w:rFonts w:hint="eastAsia" w:ascii="仿宋" w:hAnsi="仿宋" w:eastAsia="仿宋" w:cs="仿宋"/>
                <w:i w:val="0"/>
                <w:iCs w:val="0"/>
                <w:color w:val="000000"/>
                <w:sz w:val="21"/>
                <w:szCs w:val="21"/>
                <w:highlight w:val="none"/>
                <w:u w:val="none"/>
              </w:rPr>
            </w:pPr>
          </w:p>
        </w:tc>
        <w:tc>
          <w:tcPr>
            <w:tcW w:w="130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D9749">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资产管理</w:t>
            </w: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AB4A">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资产管理规范性</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6F574">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5ACCD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3FA53">
            <w:pPr>
              <w:spacing w:line="240" w:lineRule="auto"/>
              <w:jc w:val="center"/>
              <w:rPr>
                <w:rFonts w:hint="eastAsia" w:ascii="仿宋" w:hAnsi="仿宋" w:eastAsia="仿宋" w:cs="仿宋"/>
                <w:i w:val="0"/>
                <w:iCs w:val="0"/>
                <w:color w:val="000000"/>
                <w:sz w:val="21"/>
                <w:szCs w:val="21"/>
                <w:highlight w:val="none"/>
                <w:u w:val="none"/>
              </w:rPr>
            </w:pPr>
          </w:p>
        </w:tc>
        <w:tc>
          <w:tcPr>
            <w:tcW w:w="13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A3908">
            <w:pPr>
              <w:spacing w:line="240" w:lineRule="auto"/>
              <w:jc w:val="left"/>
              <w:rPr>
                <w:rFonts w:hint="eastAsia" w:ascii="仿宋" w:hAnsi="仿宋" w:eastAsia="仿宋" w:cs="仿宋"/>
                <w:i w:val="0"/>
                <w:iCs w:val="0"/>
                <w:color w:val="000000"/>
                <w:sz w:val="21"/>
                <w:szCs w:val="21"/>
                <w:highlight w:val="none"/>
                <w:u w:val="none"/>
              </w:rPr>
            </w:pP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1C288">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固定资产利用率</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8050D">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26636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1646F">
            <w:pPr>
              <w:spacing w:line="240" w:lineRule="auto"/>
              <w:jc w:val="center"/>
              <w:rPr>
                <w:rFonts w:hint="eastAsia" w:ascii="仿宋" w:hAnsi="仿宋" w:eastAsia="仿宋" w:cs="仿宋"/>
                <w:i w:val="0"/>
                <w:iCs w:val="0"/>
                <w:color w:val="000000"/>
                <w:sz w:val="21"/>
                <w:szCs w:val="21"/>
                <w:highlight w:val="none"/>
                <w:u w:val="none"/>
              </w:rPr>
            </w:pPr>
          </w:p>
        </w:tc>
        <w:tc>
          <w:tcPr>
            <w:tcW w:w="13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3C154D">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其他管理</w:t>
            </w: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F523">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人员管理</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E0EF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0EDF0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9EAC9">
            <w:pPr>
              <w:spacing w:line="240" w:lineRule="auto"/>
              <w:jc w:val="center"/>
              <w:rPr>
                <w:rFonts w:hint="eastAsia" w:ascii="仿宋" w:hAnsi="仿宋" w:eastAsia="仿宋" w:cs="仿宋"/>
                <w:i w:val="0"/>
                <w:iCs w:val="0"/>
                <w:color w:val="000000"/>
                <w:sz w:val="21"/>
                <w:szCs w:val="21"/>
                <w:highlight w:val="none"/>
                <w:u w:val="none"/>
              </w:rPr>
            </w:pPr>
          </w:p>
        </w:tc>
        <w:tc>
          <w:tcPr>
            <w:tcW w:w="1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A51CC">
            <w:pPr>
              <w:spacing w:line="240" w:lineRule="auto"/>
              <w:jc w:val="left"/>
              <w:rPr>
                <w:rFonts w:hint="eastAsia" w:ascii="仿宋" w:hAnsi="仿宋" w:eastAsia="仿宋" w:cs="仿宋"/>
                <w:i w:val="0"/>
                <w:iCs w:val="0"/>
                <w:color w:val="000000"/>
                <w:sz w:val="21"/>
                <w:szCs w:val="21"/>
                <w:highlight w:val="none"/>
                <w:u w:val="none"/>
              </w:rPr>
            </w:pP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30DBB">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政府采购管理</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BD82F">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6CC86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9760D">
            <w:pPr>
              <w:spacing w:line="240" w:lineRule="auto"/>
              <w:jc w:val="center"/>
              <w:rPr>
                <w:rFonts w:hint="eastAsia" w:ascii="仿宋" w:hAnsi="仿宋" w:eastAsia="仿宋" w:cs="仿宋"/>
                <w:i w:val="0"/>
                <w:iCs w:val="0"/>
                <w:color w:val="000000"/>
                <w:sz w:val="21"/>
                <w:szCs w:val="21"/>
                <w:highlight w:val="none"/>
                <w:u w:val="none"/>
              </w:rPr>
            </w:pPr>
          </w:p>
        </w:tc>
        <w:tc>
          <w:tcPr>
            <w:tcW w:w="1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8E95E">
            <w:pPr>
              <w:spacing w:line="240" w:lineRule="auto"/>
              <w:jc w:val="left"/>
              <w:rPr>
                <w:rFonts w:hint="eastAsia" w:ascii="仿宋" w:hAnsi="仿宋" w:eastAsia="仿宋" w:cs="仿宋"/>
                <w:i w:val="0"/>
                <w:iCs w:val="0"/>
                <w:color w:val="000000"/>
                <w:sz w:val="21"/>
                <w:szCs w:val="21"/>
                <w:highlight w:val="none"/>
                <w:u w:val="none"/>
              </w:rPr>
            </w:pP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BA037">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信息公开</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F3CDA">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353E7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2737E">
            <w:pPr>
              <w:spacing w:line="240" w:lineRule="auto"/>
              <w:jc w:val="center"/>
              <w:rPr>
                <w:rFonts w:hint="eastAsia" w:ascii="仿宋" w:hAnsi="仿宋" w:eastAsia="仿宋" w:cs="仿宋"/>
                <w:i w:val="0"/>
                <w:iCs w:val="0"/>
                <w:color w:val="000000"/>
                <w:sz w:val="21"/>
                <w:szCs w:val="21"/>
                <w:highlight w:val="none"/>
                <w:u w:val="none"/>
              </w:rPr>
            </w:pPr>
          </w:p>
        </w:tc>
        <w:tc>
          <w:tcPr>
            <w:tcW w:w="1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23F98">
            <w:pPr>
              <w:spacing w:line="240" w:lineRule="auto"/>
              <w:jc w:val="left"/>
              <w:rPr>
                <w:rFonts w:hint="eastAsia" w:ascii="仿宋" w:hAnsi="仿宋" w:eastAsia="仿宋" w:cs="仿宋"/>
                <w:i w:val="0"/>
                <w:iCs w:val="0"/>
                <w:color w:val="000000"/>
                <w:sz w:val="21"/>
                <w:szCs w:val="21"/>
                <w:highlight w:val="none"/>
                <w:u w:val="none"/>
              </w:rPr>
            </w:pP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197A1">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资金监管</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28DC7">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A96A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B3F34D">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部门产出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（30分）</w:t>
            </w:r>
          </w:p>
        </w:tc>
        <w:tc>
          <w:tcPr>
            <w:tcW w:w="13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0E5191">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目标任务实现程度</w:t>
            </w:r>
          </w:p>
        </w:tc>
        <w:tc>
          <w:tcPr>
            <w:tcW w:w="2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53257">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环卫职责贯彻执行情况</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002F2">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19220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C594D">
            <w:pPr>
              <w:spacing w:line="240" w:lineRule="auto"/>
              <w:jc w:val="center"/>
              <w:rPr>
                <w:rFonts w:hint="eastAsia" w:ascii="仿宋" w:hAnsi="仿宋" w:eastAsia="仿宋" w:cs="仿宋"/>
                <w:i w:val="0"/>
                <w:iCs w:val="0"/>
                <w:color w:val="000000"/>
                <w:sz w:val="21"/>
                <w:szCs w:val="21"/>
                <w:highlight w:val="none"/>
                <w:u w:val="none"/>
              </w:rPr>
            </w:pPr>
          </w:p>
        </w:tc>
        <w:tc>
          <w:tcPr>
            <w:tcW w:w="1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1F6F1">
            <w:pPr>
              <w:spacing w:line="240" w:lineRule="auto"/>
              <w:jc w:val="left"/>
              <w:rPr>
                <w:rFonts w:hint="eastAsia" w:ascii="仿宋" w:hAnsi="仿宋" w:eastAsia="仿宋" w:cs="仿宋"/>
                <w:i w:val="0"/>
                <w:iCs w:val="0"/>
                <w:color w:val="000000"/>
                <w:sz w:val="21"/>
                <w:szCs w:val="21"/>
                <w:highlight w:val="none"/>
                <w:u w:val="none"/>
              </w:rPr>
            </w:pPr>
          </w:p>
        </w:tc>
        <w:tc>
          <w:tcPr>
            <w:tcW w:w="2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1C8F6">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清扫保洁、公厕、垃圾清运工作执行情况</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48D4C">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1579C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EF92C">
            <w:pPr>
              <w:spacing w:line="240" w:lineRule="auto"/>
              <w:jc w:val="center"/>
              <w:rPr>
                <w:rFonts w:hint="eastAsia" w:ascii="仿宋" w:hAnsi="仿宋" w:eastAsia="仿宋" w:cs="仿宋"/>
                <w:i w:val="0"/>
                <w:iCs w:val="0"/>
                <w:color w:val="000000"/>
                <w:sz w:val="21"/>
                <w:szCs w:val="21"/>
                <w:highlight w:val="none"/>
                <w:u w:val="none"/>
              </w:rPr>
            </w:pPr>
          </w:p>
        </w:tc>
        <w:tc>
          <w:tcPr>
            <w:tcW w:w="1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9D473">
            <w:pPr>
              <w:spacing w:line="240" w:lineRule="auto"/>
              <w:jc w:val="left"/>
              <w:rPr>
                <w:rFonts w:hint="eastAsia" w:ascii="仿宋" w:hAnsi="仿宋" w:eastAsia="仿宋" w:cs="仿宋"/>
                <w:i w:val="0"/>
                <w:iCs w:val="0"/>
                <w:color w:val="000000"/>
                <w:sz w:val="21"/>
                <w:szCs w:val="21"/>
                <w:highlight w:val="none"/>
                <w:u w:val="none"/>
              </w:rPr>
            </w:pPr>
          </w:p>
        </w:tc>
        <w:tc>
          <w:tcPr>
            <w:tcW w:w="2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49F9F">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生活垃圾处理费征收工作执行情况</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9E60B">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270A4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A47E4">
            <w:pPr>
              <w:spacing w:line="240" w:lineRule="auto"/>
              <w:jc w:val="center"/>
              <w:rPr>
                <w:rFonts w:hint="eastAsia" w:ascii="仿宋" w:hAnsi="仿宋" w:eastAsia="仿宋" w:cs="仿宋"/>
                <w:i w:val="0"/>
                <w:iCs w:val="0"/>
                <w:color w:val="000000"/>
                <w:sz w:val="21"/>
                <w:szCs w:val="21"/>
                <w:highlight w:val="none"/>
                <w:u w:val="none"/>
              </w:rPr>
            </w:pPr>
          </w:p>
        </w:tc>
        <w:tc>
          <w:tcPr>
            <w:tcW w:w="1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5FDC6">
            <w:pPr>
              <w:spacing w:line="240" w:lineRule="auto"/>
              <w:jc w:val="left"/>
              <w:rPr>
                <w:rFonts w:hint="eastAsia" w:ascii="仿宋" w:hAnsi="仿宋" w:eastAsia="仿宋" w:cs="仿宋"/>
                <w:i w:val="0"/>
                <w:iCs w:val="0"/>
                <w:color w:val="000000"/>
                <w:sz w:val="21"/>
                <w:szCs w:val="21"/>
                <w:highlight w:val="none"/>
                <w:u w:val="none"/>
              </w:rPr>
            </w:pP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E4A4">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其他工作执行情况</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C92DF">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D1FB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8B72D">
            <w:pPr>
              <w:spacing w:line="240" w:lineRule="auto"/>
              <w:jc w:val="center"/>
              <w:rPr>
                <w:rFonts w:hint="eastAsia" w:ascii="仿宋" w:hAnsi="仿宋" w:eastAsia="仿宋" w:cs="仿宋"/>
                <w:i w:val="0"/>
                <w:iCs w:val="0"/>
                <w:color w:val="000000"/>
                <w:sz w:val="21"/>
                <w:szCs w:val="21"/>
                <w:highlight w:val="none"/>
                <w:u w:val="none"/>
              </w:rPr>
            </w:pPr>
          </w:p>
        </w:tc>
        <w:tc>
          <w:tcPr>
            <w:tcW w:w="1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92E59">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目标任务完成质量</w:t>
            </w: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52710">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业务质量达标情况</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C8A3E">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r>
      <w:tr w14:paraId="310A9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5B632">
            <w:pPr>
              <w:spacing w:line="240" w:lineRule="auto"/>
              <w:jc w:val="center"/>
              <w:rPr>
                <w:rFonts w:hint="eastAsia" w:ascii="仿宋" w:hAnsi="仿宋" w:eastAsia="仿宋" w:cs="仿宋"/>
                <w:i w:val="0"/>
                <w:iCs w:val="0"/>
                <w:color w:val="000000"/>
                <w:sz w:val="21"/>
                <w:szCs w:val="21"/>
                <w:highlight w:val="none"/>
                <w:u w:val="none"/>
              </w:rPr>
            </w:pPr>
          </w:p>
        </w:tc>
        <w:tc>
          <w:tcPr>
            <w:tcW w:w="1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F1DE8">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目标任务完成及时性</w:t>
            </w: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DECEC">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业务完成及时情况</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CD1B4">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r>
      <w:tr w14:paraId="6BADB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850CE">
            <w:pPr>
              <w:spacing w:line="240" w:lineRule="auto"/>
              <w:jc w:val="center"/>
              <w:rPr>
                <w:rFonts w:hint="eastAsia" w:ascii="仿宋" w:hAnsi="仿宋" w:eastAsia="仿宋" w:cs="仿宋"/>
                <w:i w:val="0"/>
                <w:iCs w:val="0"/>
                <w:color w:val="000000"/>
                <w:sz w:val="21"/>
                <w:szCs w:val="21"/>
                <w:highlight w:val="none"/>
                <w:u w:val="none"/>
              </w:rPr>
            </w:pPr>
          </w:p>
        </w:tc>
        <w:tc>
          <w:tcPr>
            <w:tcW w:w="1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3BC97">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运行成本控制有效性</w:t>
            </w: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62BDD">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成本控制情况</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59CCB">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r>
      <w:tr w14:paraId="7CEDB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A4F0C2">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部门效果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（15分）</w:t>
            </w:r>
          </w:p>
        </w:tc>
        <w:tc>
          <w:tcPr>
            <w:tcW w:w="1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A90EC">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社会效益</w:t>
            </w: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209A9">
            <w:pPr>
              <w:keepNext w:val="0"/>
              <w:keepLines w:val="0"/>
              <w:widowControl/>
              <w:suppressLineNumbers w:val="0"/>
              <w:spacing w:line="240" w:lineRule="auto"/>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对政府形象和社会发展的贡献程度</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9DA18">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r>
      <w:tr w14:paraId="0BCEF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4067C">
            <w:pPr>
              <w:spacing w:line="240" w:lineRule="auto"/>
              <w:jc w:val="center"/>
              <w:rPr>
                <w:rFonts w:hint="eastAsia" w:ascii="仿宋" w:hAnsi="仿宋" w:eastAsia="仿宋" w:cs="仿宋"/>
                <w:i w:val="0"/>
                <w:iCs w:val="0"/>
                <w:color w:val="000000"/>
                <w:sz w:val="21"/>
                <w:szCs w:val="21"/>
                <w:highlight w:val="none"/>
                <w:u w:val="none"/>
              </w:rPr>
            </w:pPr>
          </w:p>
        </w:tc>
        <w:tc>
          <w:tcPr>
            <w:tcW w:w="1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3BB1B">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生态效益</w:t>
            </w: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68ED">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对生态环境的影响</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7BFDC">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r>
      <w:tr w14:paraId="059C3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9646A">
            <w:pPr>
              <w:spacing w:line="240" w:lineRule="auto"/>
              <w:jc w:val="center"/>
              <w:rPr>
                <w:rFonts w:hint="eastAsia" w:ascii="仿宋" w:hAnsi="仿宋" w:eastAsia="仿宋" w:cs="仿宋"/>
                <w:i w:val="0"/>
                <w:iCs w:val="0"/>
                <w:color w:val="000000"/>
                <w:sz w:val="21"/>
                <w:szCs w:val="21"/>
                <w:highlight w:val="none"/>
                <w:u w:val="none"/>
              </w:rPr>
            </w:pPr>
          </w:p>
        </w:tc>
        <w:tc>
          <w:tcPr>
            <w:tcW w:w="1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8D256">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可持续性</w:t>
            </w:r>
          </w:p>
        </w:tc>
        <w:tc>
          <w:tcPr>
            <w:tcW w:w="2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2CB6F">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工作创新可持续影响</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94FE5">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17598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867F7">
            <w:pPr>
              <w:spacing w:line="240" w:lineRule="auto"/>
              <w:jc w:val="center"/>
              <w:rPr>
                <w:rFonts w:hint="eastAsia" w:ascii="仿宋" w:hAnsi="仿宋" w:eastAsia="仿宋" w:cs="仿宋"/>
                <w:i w:val="0"/>
                <w:iCs w:val="0"/>
                <w:color w:val="000000"/>
                <w:sz w:val="21"/>
                <w:szCs w:val="21"/>
                <w:highlight w:val="none"/>
                <w:u w:val="none"/>
              </w:rPr>
            </w:pPr>
          </w:p>
        </w:tc>
        <w:tc>
          <w:tcPr>
            <w:tcW w:w="1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38576">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社会满意</w:t>
            </w: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13329">
            <w:pPr>
              <w:keepNext w:val="0"/>
              <w:keepLines w:val="0"/>
              <w:widowControl/>
              <w:suppressLineNumbers w:val="0"/>
              <w:spacing w:line="240" w:lineRule="auto"/>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受益群体满意度</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0B67">
            <w:pPr>
              <w:keepNext w:val="0"/>
              <w:keepLines w:val="0"/>
              <w:widowControl/>
              <w:suppressLineNumbers w:val="0"/>
              <w:spacing w:line="240" w:lineRule="auto"/>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673E3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AD03B">
            <w:pPr>
              <w:spacing w:line="240" w:lineRule="auto"/>
              <w:jc w:val="center"/>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合计</w:t>
            </w:r>
          </w:p>
        </w:tc>
        <w:tc>
          <w:tcPr>
            <w:tcW w:w="1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6F8E0">
            <w:pPr>
              <w:keepNext w:val="0"/>
              <w:keepLines w:val="0"/>
              <w:widowControl/>
              <w:suppressLineNumbers w:val="0"/>
              <w:spacing w:line="240" w:lineRule="auto"/>
              <w:jc w:val="left"/>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2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B3E5">
            <w:pPr>
              <w:keepNext w:val="0"/>
              <w:keepLines w:val="0"/>
              <w:widowControl/>
              <w:suppressLineNumbers w:val="0"/>
              <w:spacing w:line="240" w:lineRule="auto"/>
              <w:jc w:val="left"/>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81FBD">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100</w:t>
            </w:r>
          </w:p>
        </w:tc>
      </w:tr>
    </w:tbl>
    <w:p w14:paraId="1C24E25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highlight w:val="yellow"/>
        </w:rPr>
      </w:pPr>
      <w:r>
        <w:rPr>
          <w:rFonts w:hint="eastAsia" w:ascii="仿宋" w:hAnsi="仿宋" w:eastAsia="仿宋" w:cs="仿宋"/>
          <w:sz w:val="28"/>
          <w:szCs w:val="28"/>
          <w:highlight w:val="none"/>
        </w:rPr>
        <w:t>具体评价指标解释、评分依据、评分标准见附件1。</w:t>
      </w:r>
    </w:p>
    <w:p w14:paraId="5A0E5E2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仿宋" w:hAnsi="仿宋" w:eastAsia="仿宋" w:cs="仿宋"/>
          <w:b w:val="0"/>
          <w:bCs w:val="0"/>
          <w:sz w:val="28"/>
          <w:szCs w:val="28"/>
          <w:highlight w:val="none"/>
        </w:rPr>
      </w:pPr>
      <w:r>
        <w:rPr>
          <w:rFonts w:hint="eastAsia" w:ascii="仿宋" w:hAnsi="仿宋" w:eastAsia="仿宋" w:cs="仿宋"/>
          <w:b/>
          <w:bCs/>
          <w:sz w:val="28"/>
          <w:szCs w:val="28"/>
          <w:highlight w:val="none"/>
          <w:lang w:val="en-US" w:eastAsia="zh-CN"/>
        </w:rPr>
        <w:t>（五）</w:t>
      </w:r>
      <w:r>
        <w:rPr>
          <w:rFonts w:hint="eastAsia" w:ascii="仿宋" w:hAnsi="仿宋" w:eastAsia="仿宋" w:cs="仿宋"/>
          <w:b/>
          <w:bCs/>
          <w:sz w:val="28"/>
          <w:szCs w:val="28"/>
          <w:highlight w:val="none"/>
        </w:rPr>
        <w:t>分值评级</w:t>
      </w:r>
      <w:bookmarkEnd w:id="54"/>
      <w:bookmarkEnd w:id="55"/>
      <w:bookmarkEnd w:id="56"/>
      <w:bookmarkEnd w:id="57"/>
      <w:bookmarkEnd w:id="58"/>
      <w:bookmarkEnd w:id="59"/>
      <w:bookmarkEnd w:id="60"/>
    </w:p>
    <w:p w14:paraId="44BE4B5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项目评价结果分为优、良、中、差四个档次，根据评价分值，确定评价对象对应的档次。具体分值与档次见</w:t>
      </w:r>
      <w:r>
        <w:rPr>
          <w:rFonts w:hint="eastAsia" w:ascii="仿宋" w:hAnsi="仿宋" w:eastAsia="仿宋" w:cs="仿宋"/>
          <w:sz w:val="28"/>
          <w:szCs w:val="28"/>
          <w:highlight w:val="none"/>
          <w:lang w:val="en-US" w:eastAsia="zh-CN"/>
        </w:rPr>
        <w:t>下</w:t>
      </w:r>
      <w:r>
        <w:rPr>
          <w:rFonts w:hint="eastAsia" w:ascii="仿宋" w:hAnsi="仿宋" w:eastAsia="仿宋" w:cs="仿宋"/>
          <w:sz w:val="28"/>
          <w:szCs w:val="28"/>
          <w:highlight w:val="none"/>
        </w:rPr>
        <w:t>表：</w:t>
      </w:r>
    </w:p>
    <w:p w14:paraId="2A948F06">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b/>
          <w:bCs/>
          <w:highlight w:val="none"/>
          <w:lang w:val="en-US"/>
        </w:rPr>
      </w:pPr>
      <w:r>
        <w:rPr>
          <w:rFonts w:hint="eastAsia" w:ascii="仿宋" w:hAnsi="仿宋" w:eastAsia="仿宋" w:cs="仿宋"/>
          <w:b/>
          <w:bCs/>
          <w:color w:val="000000"/>
          <w:kern w:val="0"/>
          <w:sz w:val="28"/>
          <w:szCs w:val="28"/>
          <w:highlight w:val="none"/>
          <w:shd w:val="clear" w:color="auto" w:fill="FFFFFF"/>
          <w:lang w:val="en-US" w:eastAsia="zh-CN"/>
        </w:rPr>
        <w:t>评价分值与评价等级表</w:t>
      </w:r>
    </w:p>
    <w:tbl>
      <w:tblPr>
        <w:tblStyle w:val="12"/>
        <w:tblW w:w="8440" w:type="dxa"/>
        <w:tblInd w:w="0" w:type="dxa"/>
        <w:shd w:val="clear" w:color="auto" w:fill="auto"/>
        <w:tblLayout w:type="fixed"/>
        <w:tblCellMar>
          <w:top w:w="0" w:type="dxa"/>
          <w:left w:w="0" w:type="dxa"/>
          <w:bottom w:w="0" w:type="dxa"/>
          <w:right w:w="0" w:type="dxa"/>
        </w:tblCellMar>
      </w:tblPr>
      <w:tblGrid>
        <w:gridCol w:w="1688"/>
        <w:gridCol w:w="1429"/>
        <w:gridCol w:w="1947"/>
        <w:gridCol w:w="1833"/>
        <w:gridCol w:w="1543"/>
      </w:tblGrid>
      <w:tr w14:paraId="71FA2BC5">
        <w:tblPrEx>
          <w:shd w:val="clear" w:color="auto" w:fill="auto"/>
          <w:tblCellMar>
            <w:top w:w="0" w:type="dxa"/>
            <w:left w:w="0" w:type="dxa"/>
            <w:bottom w:w="0" w:type="dxa"/>
            <w:right w:w="0" w:type="dxa"/>
          </w:tblCellMar>
        </w:tblPrEx>
        <w:trPr>
          <w:trHeight w:val="465" w:hRule="atLeast"/>
          <w:tblHeader/>
        </w:trPr>
        <w:tc>
          <w:tcPr>
            <w:tcW w:w="16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DC3489">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等级</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8E7D6A">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优</w:t>
            </w:r>
          </w:p>
        </w:tc>
        <w:tc>
          <w:tcPr>
            <w:tcW w:w="19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B56C15">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良</w:t>
            </w:r>
          </w:p>
        </w:tc>
        <w:tc>
          <w:tcPr>
            <w:tcW w:w="18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80DA28">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中</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BF66B9">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差</w:t>
            </w:r>
          </w:p>
        </w:tc>
      </w:tr>
      <w:tr w14:paraId="7E5EB420">
        <w:tblPrEx>
          <w:tblCellMar>
            <w:top w:w="0" w:type="dxa"/>
            <w:left w:w="0" w:type="dxa"/>
            <w:bottom w:w="0" w:type="dxa"/>
            <w:right w:w="0" w:type="dxa"/>
          </w:tblCellMar>
        </w:tblPrEx>
        <w:trPr>
          <w:trHeight w:val="477" w:hRule="atLeast"/>
          <w:tblHeader/>
        </w:trPr>
        <w:tc>
          <w:tcPr>
            <w:tcW w:w="16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AE615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分值</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694D3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≥90</w:t>
            </w:r>
          </w:p>
        </w:tc>
        <w:tc>
          <w:tcPr>
            <w:tcW w:w="19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196D6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90＜分值≥80</w:t>
            </w:r>
          </w:p>
        </w:tc>
        <w:tc>
          <w:tcPr>
            <w:tcW w:w="18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487A6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80＜分值≥60</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4D626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60＜分值</w:t>
            </w:r>
          </w:p>
        </w:tc>
      </w:tr>
    </w:tbl>
    <w:p w14:paraId="0B910D4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w:t>
      </w:r>
      <w:r>
        <w:rPr>
          <w:rFonts w:hint="eastAsia" w:ascii="仿宋" w:hAnsi="仿宋" w:eastAsia="仿宋" w:cs="仿宋"/>
          <w:b/>
          <w:bCs/>
          <w:sz w:val="28"/>
          <w:szCs w:val="28"/>
          <w:highlight w:val="none"/>
          <w:lang w:val="en-US" w:eastAsia="zh-CN"/>
        </w:rPr>
        <w:t>六</w:t>
      </w:r>
      <w:r>
        <w:rPr>
          <w:rFonts w:hint="eastAsia" w:ascii="仿宋" w:hAnsi="仿宋" w:eastAsia="仿宋" w:cs="仿宋"/>
          <w:b/>
          <w:bCs/>
          <w:sz w:val="28"/>
          <w:szCs w:val="28"/>
          <w:highlight w:val="none"/>
        </w:rPr>
        <w:t>）评价的组织及实施</w:t>
      </w:r>
    </w:p>
    <w:p w14:paraId="6AA4BB6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highlight w:val="none"/>
        </w:rPr>
      </w:pPr>
      <w:bookmarkStart w:id="63" w:name="_Toc28969_WPSOffice_Level3"/>
      <w:r>
        <w:rPr>
          <w:rFonts w:hint="eastAsia" w:ascii="仿宋" w:hAnsi="仿宋" w:eastAsia="仿宋" w:cs="仿宋"/>
          <w:b/>
          <w:bCs/>
          <w:sz w:val="28"/>
          <w:szCs w:val="28"/>
          <w:highlight w:val="none"/>
        </w:rPr>
        <w:t>1.人员分工</w:t>
      </w:r>
      <w:bookmarkEnd w:id="63"/>
    </w:p>
    <w:p w14:paraId="34934AD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根据</w:t>
      </w:r>
      <w:r>
        <w:rPr>
          <w:rFonts w:hint="eastAsia" w:ascii="仿宋" w:hAnsi="仿宋" w:eastAsia="仿宋" w:cs="仿宋"/>
          <w:sz w:val="28"/>
          <w:szCs w:val="28"/>
          <w:highlight w:val="none"/>
          <w:lang w:val="en-US" w:eastAsia="zh-CN"/>
        </w:rPr>
        <w:t>永济市市容环卫中心2023年度整体支出的</w:t>
      </w:r>
      <w:r>
        <w:rPr>
          <w:rFonts w:hint="eastAsia" w:ascii="仿宋" w:hAnsi="仿宋" w:eastAsia="仿宋" w:cs="仿宋"/>
          <w:sz w:val="28"/>
          <w:szCs w:val="28"/>
          <w:highlight w:val="none"/>
        </w:rPr>
        <w:t>情况，成立绩效评价工作组。本次绩效评价工作组成员名单见</w:t>
      </w:r>
      <w:r>
        <w:rPr>
          <w:rFonts w:hint="eastAsia" w:ascii="仿宋" w:hAnsi="仿宋" w:eastAsia="仿宋" w:cs="仿宋"/>
          <w:sz w:val="28"/>
          <w:szCs w:val="28"/>
          <w:highlight w:val="none"/>
          <w:lang w:val="en-US" w:eastAsia="zh-CN"/>
        </w:rPr>
        <w:t>下</w:t>
      </w:r>
      <w:r>
        <w:rPr>
          <w:rFonts w:hint="eastAsia" w:ascii="仿宋" w:hAnsi="仿宋" w:eastAsia="仿宋" w:cs="仿宋"/>
          <w:sz w:val="28"/>
          <w:szCs w:val="28"/>
          <w:highlight w:val="none"/>
        </w:rPr>
        <w:t>表：</w:t>
      </w:r>
    </w:p>
    <w:p w14:paraId="50F89FDF">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highlight w:val="none"/>
          <w:lang w:val="en-US"/>
        </w:rPr>
      </w:pPr>
      <w:r>
        <w:rPr>
          <w:rFonts w:hint="eastAsia" w:ascii="仿宋" w:hAnsi="仿宋" w:eastAsia="仿宋" w:cs="仿宋"/>
          <w:b/>
          <w:bCs/>
          <w:color w:val="000000"/>
          <w:kern w:val="0"/>
          <w:sz w:val="28"/>
          <w:szCs w:val="28"/>
          <w:highlight w:val="none"/>
          <w:shd w:val="clear" w:color="auto" w:fill="FFFFFF"/>
          <w:lang w:val="en-US" w:eastAsia="zh-CN"/>
        </w:rPr>
        <w:t>评价组成员分工表</w:t>
      </w:r>
    </w:p>
    <w:tbl>
      <w:tblPr>
        <w:tblStyle w:val="12"/>
        <w:tblW w:w="8880" w:type="dxa"/>
        <w:tblInd w:w="108" w:type="dxa"/>
        <w:tblLayout w:type="fixed"/>
        <w:tblCellMar>
          <w:top w:w="0" w:type="dxa"/>
          <w:left w:w="108" w:type="dxa"/>
          <w:bottom w:w="0" w:type="dxa"/>
          <w:right w:w="108" w:type="dxa"/>
        </w:tblCellMar>
      </w:tblPr>
      <w:tblGrid>
        <w:gridCol w:w="851"/>
        <w:gridCol w:w="992"/>
        <w:gridCol w:w="1323"/>
        <w:gridCol w:w="1512"/>
        <w:gridCol w:w="4202"/>
      </w:tblGrid>
      <w:tr w14:paraId="75BC955B">
        <w:tblPrEx>
          <w:tblCellMar>
            <w:top w:w="0" w:type="dxa"/>
            <w:left w:w="108" w:type="dxa"/>
            <w:bottom w:w="0" w:type="dxa"/>
            <w:right w:w="108" w:type="dxa"/>
          </w:tblCellMar>
        </w:tblPrEx>
        <w:trPr>
          <w:trHeight w:val="680" w:hRule="atLeast"/>
          <w:tblHeader/>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A7B41A5">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序号</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CE577C1">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姓  名</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CBC0A03">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在本项目中担任职责</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8715CA6">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技术职称</w:t>
            </w: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079340A">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工作内容</w:t>
            </w:r>
          </w:p>
        </w:tc>
      </w:tr>
      <w:tr w14:paraId="0EC76C32">
        <w:tblPrEx>
          <w:tblCellMar>
            <w:top w:w="0" w:type="dxa"/>
            <w:left w:w="108" w:type="dxa"/>
            <w:bottom w:w="0" w:type="dxa"/>
            <w:right w:w="108" w:type="dxa"/>
          </w:tblCellMar>
        </w:tblPrEx>
        <w:trPr>
          <w:trHeight w:val="680" w:hRule="atLeast"/>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809CD06">
            <w:pPr>
              <w:widowControl/>
              <w:jc w:val="center"/>
              <w:rPr>
                <w:rFonts w:ascii="仿宋" w:hAnsi="仿宋" w:eastAsia="仿宋" w:cs="宋体"/>
                <w:kern w:val="0"/>
                <w:sz w:val="22"/>
                <w:szCs w:val="22"/>
              </w:rPr>
            </w:pPr>
            <w:r>
              <w:rPr>
                <w:rFonts w:hint="eastAsia" w:ascii="仿宋" w:hAnsi="仿宋" w:eastAsia="仿宋" w:cs="宋体"/>
                <w:kern w:val="0"/>
                <w:sz w:val="22"/>
                <w:szCs w:val="22"/>
              </w:rPr>
              <w:t>1</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33CE42">
            <w:pPr>
              <w:widowControl/>
              <w:jc w:val="center"/>
              <w:rPr>
                <w:rFonts w:ascii="仿宋" w:hAnsi="仿宋" w:eastAsia="仿宋" w:cs="宋体"/>
                <w:kern w:val="0"/>
                <w:sz w:val="22"/>
                <w:szCs w:val="22"/>
              </w:rPr>
            </w:pPr>
            <w:r>
              <w:rPr>
                <w:rFonts w:hint="eastAsia" w:ascii="仿宋" w:hAnsi="仿宋" w:eastAsia="仿宋" w:cs="宋体"/>
                <w:kern w:val="0"/>
                <w:sz w:val="22"/>
                <w:szCs w:val="22"/>
              </w:rPr>
              <w:t>陈创存</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87CE814">
            <w:pPr>
              <w:widowControl/>
              <w:jc w:val="center"/>
              <w:rPr>
                <w:rFonts w:ascii="仿宋" w:hAnsi="仿宋" w:eastAsia="仿宋" w:cs="宋体"/>
                <w:kern w:val="0"/>
                <w:sz w:val="22"/>
                <w:szCs w:val="22"/>
              </w:rPr>
            </w:pPr>
            <w:r>
              <w:rPr>
                <w:rFonts w:hint="eastAsia" w:ascii="仿宋" w:hAnsi="仿宋" w:eastAsia="仿宋" w:cs="宋体"/>
                <w:kern w:val="0"/>
                <w:sz w:val="22"/>
                <w:szCs w:val="22"/>
              </w:rPr>
              <w:t>质量控制复核人</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56605CE">
            <w:pPr>
              <w:widowControl/>
              <w:jc w:val="center"/>
              <w:rPr>
                <w:rFonts w:ascii="仿宋" w:hAnsi="仿宋" w:eastAsia="仿宋" w:cs="宋体"/>
                <w:kern w:val="0"/>
                <w:sz w:val="22"/>
                <w:szCs w:val="22"/>
              </w:rPr>
            </w:pPr>
            <w:r>
              <w:rPr>
                <w:rFonts w:hint="eastAsia" w:ascii="仿宋" w:hAnsi="仿宋" w:eastAsia="仿宋" w:cs="宋体"/>
                <w:kern w:val="0"/>
                <w:sz w:val="22"/>
                <w:szCs w:val="22"/>
              </w:rPr>
              <w:t>注册会计师、评估师</w:t>
            </w: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47B40FE">
            <w:pPr>
              <w:widowControl/>
              <w:jc w:val="left"/>
              <w:rPr>
                <w:rFonts w:ascii="仿宋" w:hAnsi="仿宋" w:eastAsia="仿宋" w:cs="宋体"/>
                <w:kern w:val="0"/>
                <w:sz w:val="22"/>
                <w:szCs w:val="22"/>
              </w:rPr>
            </w:pPr>
            <w:r>
              <w:rPr>
                <w:rFonts w:hint="eastAsia" w:ascii="仿宋" w:hAnsi="仿宋" w:eastAsia="仿宋" w:cs="宋体"/>
                <w:kern w:val="0"/>
                <w:sz w:val="22"/>
                <w:szCs w:val="22"/>
              </w:rPr>
              <w:t>协调沟通，参与制定实施方案，修改绩效评价报告，督导项目进度和项目质量。</w:t>
            </w:r>
          </w:p>
        </w:tc>
      </w:tr>
      <w:tr w14:paraId="13B38AC8">
        <w:tblPrEx>
          <w:tblCellMar>
            <w:top w:w="0" w:type="dxa"/>
            <w:left w:w="108" w:type="dxa"/>
            <w:bottom w:w="0" w:type="dxa"/>
            <w:right w:w="108" w:type="dxa"/>
          </w:tblCellMar>
        </w:tblPrEx>
        <w:trPr>
          <w:trHeight w:val="680" w:hRule="atLeast"/>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AC56287">
            <w:pPr>
              <w:widowControl/>
              <w:jc w:val="center"/>
              <w:rPr>
                <w:rFonts w:ascii="仿宋" w:hAnsi="仿宋" w:eastAsia="仿宋" w:cs="宋体"/>
                <w:kern w:val="0"/>
                <w:sz w:val="22"/>
                <w:szCs w:val="22"/>
              </w:rPr>
            </w:pPr>
            <w:r>
              <w:rPr>
                <w:rFonts w:hint="eastAsia" w:ascii="仿宋" w:hAnsi="仿宋" w:eastAsia="仿宋" w:cs="宋体"/>
                <w:kern w:val="0"/>
                <w:sz w:val="22"/>
                <w:szCs w:val="22"/>
              </w:rPr>
              <w:t>2</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59B13F">
            <w:pPr>
              <w:widowControl/>
              <w:jc w:val="center"/>
              <w:rPr>
                <w:rFonts w:ascii="仿宋" w:hAnsi="仿宋" w:eastAsia="仿宋" w:cs="宋体"/>
                <w:kern w:val="0"/>
                <w:sz w:val="22"/>
                <w:szCs w:val="22"/>
              </w:rPr>
            </w:pPr>
            <w:r>
              <w:rPr>
                <w:rFonts w:hint="eastAsia" w:ascii="仿宋" w:hAnsi="仿宋" w:eastAsia="仿宋" w:cs="宋体"/>
                <w:kern w:val="0"/>
                <w:sz w:val="22"/>
                <w:szCs w:val="22"/>
              </w:rPr>
              <w:t>阴文平</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64AFE27">
            <w:pPr>
              <w:widowControl/>
              <w:jc w:val="center"/>
              <w:rPr>
                <w:rFonts w:ascii="仿宋" w:hAnsi="仿宋" w:eastAsia="仿宋" w:cs="宋体"/>
                <w:kern w:val="0"/>
                <w:sz w:val="22"/>
                <w:szCs w:val="22"/>
              </w:rPr>
            </w:pPr>
            <w:r>
              <w:rPr>
                <w:rFonts w:hint="eastAsia" w:ascii="仿宋" w:hAnsi="仿宋" w:eastAsia="仿宋" w:cs="宋体"/>
                <w:kern w:val="0"/>
                <w:sz w:val="22"/>
                <w:szCs w:val="22"/>
              </w:rPr>
              <w:t>二级复核人</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DEBD15">
            <w:pPr>
              <w:widowControl/>
              <w:jc w:val="center"/>
              <w:rPr>
                <w:rFonts w:ascii="仿宋" w:hAnsi="仿宋" w:eastAsia="仿宋" w:cs="宋体"/>
                <w:kern w:val="0"/>
                <w:sz w:val="22"/>
                <w:szCs w:val="22"/>
              </w:rPr>
            </w:pPr>
            <w:r>
              <w:rPr>
                <w:rFonts w:hint="eastAsia" w:ascii="仿宋" w:hAnsi="仿宋" w:eastAsia="仿宋" w:cs="宋体"/>
                <w:kern w:val="0"/>
                <w:sz w:val="22"/>
                <w:szCs w:val="22"/>
              </w:rPr>
              <w:t>注册会计师、山西注协领军人才</w:t>
            </w: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53F3BD1">
            <w:pPr>
              <w:widowControl/>
              <w:jc w:val="left"/>
              <w:rPr>
                <w:rFonts w:ascii="仿宋" w:hAnsi="仿宋" w:eastAsia="仿宋" w:cs="宋体"/>
                <w:kern w:val="0"/>
                <w:sz w:val="22"/>
                <w:szCs w:val="22"/>
              </w:rPr>
            </w:pPr>
            <w:r>
              <w:rPr>
                <w:rFonts w:hint="eastAsia" w:ascii="仿宋" w:hAnsi="仿宋" w:eastAsia="仿宋" w:cs="宋体"/>
                <w:kern w:val="0"/>
                <w:sz w:val="22"/>
                <w:szCs w:val="22"/>
              </w:rPr>
              <w:t>参与制定实施方案，督促各小组按照时间进度执行业务，参与总报告修改，审核总报告。</w:t>
            </w:r>
          </w:p>
        </w:tc>
      </w:tr>
      <w:tr w14:paraId="62369B5E">
        <w:tblPrEx>
          <w:tblCellMar>
            <w:top w:w="0" w:type="dxa"/>
            <w:left w:w="108" w:type="dxa"/>
            <w:bottom w:w="0" w:type="dxa"/>
            <w:right w:w="108" w:type="dxa"/>
          </w:tblCellMar>
        </w:tblPrEx>
        <w:trPr>
          <w:trHeight w:val="680" w:hRule="atLeast"/>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3C698EE">
            <w:pPr>
              <w:widowControl/>
              <w:jc w:val="center"/>
              <w:rPr>
                <w:rFonts w:hint="eastAsia" w:ascii="仿宋" w:hAnsi="仿宋" w:eastAsia="仿宋" w:cs="宋体"/>
                <w:kern w:val="0"/>
                <w:sz w:val="22"/>
                <w:szCs w:val="22"/>
                <w:lang w:val="en-US" w:eastAsia="zh-CN"/>
              </w:rPr>
            </w:pPr>
            <w:r>
              <w:rPr>
                <w:rFonts w:hint="eastAsia" w:ascii="仿宋" w:hAnsi="仿宋" w:eastAsia="仿宋" w:cs="宋体"/>
                <w:kern w:val="0"/>
                <w:sz w:val="22"/>
                <w:szCs w:val="22"/>
                <w:lang w:val="en-US" w:eastAsia="zh-CN"/>
              </w:rPr>
              <w:t>3</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25F4DE">
            <w:pPr>
              <w:widowControl/>
              <w:jc w:val="center"/>
              <w:rPr>
                <w:rFonts w:hint="eastAsia" w:ascii="仿宋" w:hAnsi="仿宋" w:eastAsia="仿宋" w:cs="宋体"/>
                <w:color w:val="000000"/>
                <w:kern w:val="0"/>
                <w:sz w:val="22"/>
                <w:szCs w:val="22"/>
                <w:lang w:eastAsia="zh-CN"/>
              </w:rPr>
            </w:pPr>
            <w:r>
              <w:rPr>
                <w:rFonts w:hint="eastAsia" w:ascii="仿宋" w:hAnsi="仿宋" w:eastAsia="仿宋" w:cs="宋体"/>
                <w:color w:val="000000"/>
                <w:kern w:val="0"/>
                <w:sz w:val="22"/>
                <w:szCs w:val="22"/>
                <w:lang w:val="en-US" w:eastAsia="zh-CN"/>
              </w:rPr>
              <w:t xml:space="preserve">薛丽芳 </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2423202">
            <w:pPr>
              <w:widowControl/>
              <w:jc w:val="center"/>
              <w:rPr>
                <w:rFonts w:hint="eastAsia" w:ascii="仿宋" w:hAnsi="仿宋" w:eastAsia="仿宋" w:cs="宋体"/>
                <w:color w:val="000000"/>
                <w:kern w:val="0"/>
                <w:sz w:val="22"/>
                <w:szCs w:val="22"/>
                <w:lang w:eastAsia="zh-CN"/>
              </w:rPr>
            </w:pPr>
            <w:r>
              <w:rPr>
                <w:rFonts w:hint="eastAsia" w:ascii="仿宋" w:hAnsi="仿宋" w:eastAsia="仿宋" w:cs="宋体"/>
                <w:color w:val="000000"/>
                <w:kern w:val="0"/>
                <w:sz w:val="22"/>
                <w:szCs w:val="22"/>
              </w:rPr>
              <w:t>绩效评价组成员</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BB72C2">
            <w:pPr>
              <w:widowControl/>
              <w:jc w:val="center"/>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lang w:val="en-US" w:eastAsia="zh-CN"/>
              </w:rPr>
              <w:t>注册会计师</w:t>
            </w: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4C453F9">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参与制定实施方案</w:t>
            </w:r>
            <w:r>
              <w:rPr>
                <w:rFonts w:hint="eastAsia" w:ascii="仿宋" w:hAnsi="仿宋" w:eastAsia="仿宋" w:cs="宋体"/>
                <w:color w:val="000000"/>
                <w:kern w:val="0"/>
                <w:sz w:val="22"/>
                <w:szCs w:val="22"/>
                <w:lang w:eastAsia="zh-CN"/>
              </w:rPr>
              <w:t>、现场绩效评价及</w:t>
            </w:r>
            <w:r>
              <w:rPr>
                <w:rFonts w:hint="eastAsia" w:ascii="仿宋" w:hAnsi="仿宋" w:eastAsia="仿宋" w:cs="宋体"/>
                <w:color w:val="000000"/>
                <w:kern w:val="0"/>
                <w:sz w:val="22"/>
                <w:szCs w:val="22"/>
              </w:rPr>
              <w:t>总报告</w:t>
            </w:r>
            <w:r>
              <w:rPr>
                <w:rFonts w:hint="eastAsia" w:ascii="仿宋" w:hAnsi="仿宋" w:eastAsia="仿宋" w:cs="宋体"/>
                <w:color w:val="000000"/>
                <w:kern w:val="0"/>
                <w:sz w:val="22"/>
                <w:szCs w:val="22"/>
                <w:lang w:eastAsia="zh-CN"/>
              </w:rPr>
              <w:t>撰写</w:t>
            </w:r>
            <w:r>
              <w:rPr>
                <w:rFonts w:hint="eastAsia" w:ascii="仿宋" w:hAnsi="仿宋" w:eastAsia="仿宋" w:cs="宋体"/>
                <w:color w:val="000000"/>
                <w:kern w:val="0"/>
                <w:sz w:val="22"/>
                <w:szCs w:val="22"/>
              </w:rPr>
              <w:t>。</w:t>
            </w:r>
          </w:p>
        </w:tc>
      </w:tr>
      <w:tr w14:paraId="47844D20">
        <w:tblPrEx>
          <w:tblCellMar>
            <w:top w:w="0" w:type="dxa"/>
            <w:left w:w="108" w:type="dxa"/>
            <w:bottom w:w="0" w:type="dxa"/>
            <w:right w:w="108" w:type="dxa"/>
          </w:tblCellMar>
        </w:tblPrEx>
        <w:trPr>
          <w:trHeight w:val="680" w:hRule="atLeast"/>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9A621C1">
            <w:pPr>
              <w:widowControl/>
              <w:jc w:val="center"/>
              <w:rPr>
                <w:rFonts w:hint="default" w:ascii="仿宋" w:hAnsi="仿宋" w:eastAsia="仿宋" w:cs="宋体"/>
                <w:kern w:val="0"/>
                <w:sz w:val="22"/>
                <w:szCs w:val="22"/>
                <w:lang w:val="en-US" w:eastAsia="zh-CN"/>
              </w:rPr>
            </w:pPr>
            <w:r>
              <w:rPr>
                <w:rFonts w:hint="eastAsia" w:ascii="仿宋" w:hAnsi="仿宋" w:eastAsia="仿宋" w:cs="宋体"/>
                <w:kern w:val="0"/>
                <w:sz w:val="22"/>
                <w:szCs w:val="22"/>
                <w:lang w:val="en-US" w:eastAsia="zh-CN"/>
              </w:rPr>
              <w:t>4</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B0E3759">
            <w:pPr>
              <w:widowControl/>
              <w:jc w:val="center"/>
              <w:rPr>
                <w:rFonts w:hint="eastAsia" w:ascii="仿宋" w:hAnsi="仿宋" w:eastAsia="仿宋" w:cs="宋体"/>
                <w:color w:val="000000"/>
                <w:kern w:val="0"/>
                <w:sz w:val="22"/>
                <w:szCs w:val="22"/>
                <w:lang w:eastAsia="zh-CN"/>
              </w:rPr>
            </w:pPr>
            <w:r>
              <w:rPr>
                <w:rFonts w:hint="eastAsia" w:ascii="仿宋" w:hAnsi="仿宋" w:eastAsia="仿宋" w:cs="宋体"/>
                <w:color w:val="000000"/>
                <w:kern w:val="0"/>
                <w:sz w:val="22"/>
                <w:szCs w:val="22"/>
                <w:lang w:eastAsia="zh-CN"/>
              </w:rPr>
              <w:t>马国霞</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4E7239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绩效评价组</w:t>
            </w:r>
            <w:r>
              <w:rPr>
                <w:rFonts w:hint="eastAsia" w:ascii="仿宋" w:hAnsi="仿宋" w:eastAsia="仿宋" w:cs="宋体"/>
                <w:color w:val="000000"/>
                <w:kern w:val="0"/>
                <w:sz w:val="22"/>
                <w:szCs w:val="22"/>
                <w:lang w:eastAsia="zh-CN"/>
              </w:rPr>
              <w:t>成员</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E8BCA60">
            <w:pPr>
              <w:widowControl/>
              <w:jc w:val="center"/>
              <w:rPr>
                <w:rFonts w:hint="eastAsia" w:ascii="仿宋" w:hAnsi="仿宋" w:eastAsia="仿宋" w:cs="宋体"/>
                <w:color w:val="000000"/>
                <w:kern w:val="0"/>
                <w:sz w:val="22"/>
                <w:szCs w:val="22"/>
                <w:lang w:eastAsia="zh-CN"/>
              </w:rPr>
            </w:pPr>
            <w:r>
              <w:rPr>
                <w:rFonts w:hint="eastAsia" w:ascii="仿宋" w:hAnsi="仿宋" w:eastAsia="仿宋" w:cs="宋体"/>
                <w:color w:val="000000"/>
                <w:kern w:val="0"/>
                <w:sz w:val="22"/>
                <w:szCs w:val="22"/>
                <w:lang w:val="en-US" w:eastAsia="zh-CN"/>
              </w:rPr>
              <w:t>中级会计师</w:t>
            </w: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2B105AC">
            <w:pPr>
              <w:widowControl/>
              <w:jc w:val="left"/>
              <w:rPr>
                <w:rFonts w:hint="eastAsia" w:ascii="仿宋" w:hAnsi="仿宋" w:eastAsia="仿宋" w:cs="宋体"/>
                <w:color w:val="000000"/>
                <w:kern w:val="0"/>
                <w:sz w:val="22"/>
                <w:szCs w:val="22"/>
                <w:lang w:eastAsia="zh-CN"/>
              </w:rPr>
            </w:pPr>
            <w:r>
              <w:rPr>
                <w:rFonts w:hint="eastAsia" w:ascii="仿宋" w:hAnsi="仿宋" w:eastAsia="仿宋" w:cs="宋体"/>
                <w:color w:val="000000"/>
                <w:kern w:val="0"/>
                <w:sz w:val="22"/>
                <w:szCs w:val="22"/>
                <w:lang w:eastAsia="zh-CN"/>
              </w:rPr>
              <w:t>协助</w:t>
            </w:r>
            <w:r>
              <w:rPr>
                <w:rFonts w:hint="eastAsia" w:ascii="仿宋" w:hAnsi="仿宋" w:eastAsia="仿宋" w:cs="宋体"/>
                <w:color w:val="000000"/>
                <w:kern w:val="0"/>
                <w:sz w:val="22"/>
                <w:szCs w:val="22"/>
              </w:rPr>
              <w:t>制定实施方案</w:t>
            </w:r>
            <w:r>
              <w:rPr>
                <w:rFonts w:hint="eastAsia" w:ascii="仿宋" w:hAnsi="仿宋" w:eastAsia="仿宋" w:cs="宋体"/>
                <w:color w:val="000000"/>
                <w:kern w:val="0"/>
                <w:sz w:val="22"/>
                <w:szCs w:val="22"/>
                <w:lang w:eastAsia="zh-CN"/>
              </w:rPr>
              <w:t>、指标设计、撰写报告，现场绩效评价、问卷调查</w:t>
            </w:r>
            <w:r>
              <w:rPr>
                <w:rFonts w:hint="eastAsia" w:ascii="仿宋" w:hAnsi="仿宋" w:eastAsia="仿宋" w:cs="宋体"/>
                <w:color w:val="000000"/>
                <w:kern w:val="0"/>
                <w:sz w:val="22"/>
                <w:szCs w:val="22"/>
              </w:rPr>
              <w:t>。</w:t>
            </w:r>
          </w:p>
        </w:tc>
      </w:tr>
      <w:tr w14:paraId="4DA00F29">
        <w:tblPrEx>
          <w:tblCellMar>
            <w:top w:w="0" w:type="dxa"/>
            <w:left w:w="108" w:type="dxa"/>
            <w:bottom w:w="0" w:type="dxa"/>
            <w:right w:w="108" w:type="dxa"/>
          </w:tblCellMar>
        </w:tblPrEx>
        <w:trPr>
          <w:trHeight w:val="680" w:hRule="atLeast"/>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2BEBFBE">
            <w:pPr>
              <w:widowControl/>
              <w:jc w:val="center"/>
              <w:rPr>
                <w:rFonts w:hint="default" w:ascii="仿宋" w:hAnsi="仿宋" w:eastAsia="仿宋" w:cs="宋体"/>
                <w:kern w:val="0"/>
                <w:sz w:val="22"/>
                <w:szCs w:val="22"/>
                <w:lang w:val="en-US" w:eastAsia="zh-CN"/>
              </w:rPr>
            </w:pPr>
            <w:r>
              <w:rPr>
                <w:rFonts w:hint="eastAsia" w:ascii="仿宋" w:hAnsi="仿宋" w:eastAsia="仿宋" w:cs="宋体"/>
                <w:kern w:val="0"/>
                <w:sz w:val="22"/>
                <w:szCs w:val="22"/>
                <w:lang w:val="en-US" w:eastAsia="zh-CN"/>
              </w:rPr>
              <w:t>5</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2EBB329">
            <w:pPr>
              <w:widowControl/>
              <w:jc w:val="center"/>
              <w:rPr>
                <w:rFonts w:hint="eastAsia" w:ascii="仿宋" w:hAnsi="仿宋" w:eastAsia="仿宋" w:cs="宋体"/>
                <w:color w:val="000000"/>
                <w:kern w:val="0"/>
                <w:sz w:val="22"/>
                <w:szCs w:val="22"/>
                <w:lang w:eastAsia="zh-CN"/>
              </w:rPr>
            </w:pPr>
            <w:r>
              <w:rPr>
                <w:rFonts w:hint="eastAsia" w:ascii="仿宋" w:hAnsi="仿宋" w:eastAsia="仿宋" w:cs="宋体"/>
                <w:color w:val="000000"/>
                <w:kern w:val="0"/>
                <w:sz w:val="22"/>
                <w:szCs w:val="22"/>
                <w:lang w:val="en-US" w:eastAsia="zh-CN"/>
              </w:rPr>
              <w:t>吴亚鹏</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8C5268F">
            <w:pPr>
              <w:widowControl/>
              <w:jc w:val="center"/>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lang w:val="en-US" w:eastAsia="zh-CN"/>
              </w:rPr>
              <w:t>项目主评人</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E243897">
            <w:pPr>
              <w:widowControl/>
              <w:jc w:val="center"/>
              <w:rPr>
                <w:rFonts w:ascii="仿宋" w:hAnsi="仿宋" w:eastAsia="仿宋" w:cs="宋体"/>
                <w:color w:val="000000"/>
                <w:kern w:val="0"/>
                <w:sz w:val="22"/>
                <w:szCs w:val="22"/>
              </w:rPr>
            </w:pP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C448BBB">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参与制定实施方案</w:t>
            </w:r>
            <w:r>
              <w:rPr>
                <w:rFonts w:hint="eastAsia" w:ascii="仿宋" w:hAnsi="仿宋" w:eastAsia="仿宋" w:cs="宋体"/>
                <w:color w:val="000000"/>
                <w:kern w:val="0"/>
                <w:sz w:val="22"/>
                <w:szCs w:val="22"/>
                <w:lang w:eastAsia="zh-CN"/>
              </w:rPr>
              <w:t>、现场绩效评价及</w:t>
            </w:r>
            <w:r>
              <w:rPr>
                <w:rFonts w:hint="eastAsia" w:ascii="仿宋" w:hAnsi="仿宋" w:eastAsia="仿宋" w:cs="宋体"/>
                <w:color w:val="000000"/>
                <w:kern w:val="0"/>
                <w:sz w:val="22"/>
                <w:szCs w:val="22"/>
              </w:rPr>
              <w:t>总报告</w:t>
            </w:r>
            <w:r>
              <w:rPr>
                <w:rFonts w:hint="eastAsia" w:ascii="仿宋" w:hAnsi="仿宋" w:eastAsia="仿宋" w:cs="宋体"/>
                <w:color w:val="000000"/>
                <w:kern w:val="0"/>
                <w:sz w:val="22"/>
                <w:szCs w:val="22"/>
                <w:lang w:eastAsia="zh-CN"/>
              </w:rPr>
              <w:t>撰写</w:t>
            </w:r>
            <w:r>
              <w:rPr>
                <w:rFonts w:hint="eastAsia" w:ascii="仿宋" w:hAnsi="仿宋" w:eastAsia="仿宋" w:cs="宋体"/>
                <w:color w:val="000000"/>
                <w:kern w:val="0"/>
                <w:sz w:val="22"/>
                <w:szCs w:val="22"/>
              </w:rPr>
              <w:t>。</w:t>
            </w:r>
          </w:p>
        </w:tc>
      </w:tr>
      <w:tr w14:paraId="680D06E7">
        <w:tblPrEx>
          <w:tblCellMar>
            <w:top w:w="0" w:type="dxa"/>
            <w:left w:w="108" w:type="dxa"/>
            <w:bottom w:w="0" w:type="dxa"/>
            <w:right w:w="108" w:type="dxa"/>
          </w:tblCellMar>
        </w:tblPrEx>
        <w:trPr>
          <w:trHeight w:val="680" w:hRule="atLeast"/>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744A1CA">
            <w:pPr>
              <w:widowControl/>
              <w:jc w:val="center"/>
              <w:rPr>
                <w:rFonts w:hint="default" w:ascii="仿宋" w:hAnsi="仿宋" w:eastAsia="仿宋" w:cs="宋体"/>
                <w:kern w:val="0"/>
                <w:sz w:val="22"/>
                <w:szCs w:val="22"/>
                <w:lang w:val="en-US" w:eastAsia="zh-CN"/>
              </w:rPr>
            </w:pPr>
            <w:r>
              <w:rPr>
                <w:rFonts w:hint="eastAsia" w:ascii="仿宋" w:hAnsi="仿宋" w:eastAsia="仿宋" w:cs="宋体"/>
                <w:kern w:val="0"/>
                <w:sz w:val="22"/>
                <w:szCs w:val="22"/>
                <w:lang w:val="en-US" w:eastAsia="zh-CN"/>
              </w:rPr>
              <w:t>6</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AF66956">
            <w:pPr>
              <w:widowControl/>
              <w:jc w:val="center"/>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lang w:val="en-US" w:eastAsia="zh-CN"/>
              </w:rPr>
              <w:t>张小兰</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FD8F2B6">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绩效评价组</w:t>
            </w:r>
            <w:r>
              <w:rPr>
                <w:rFonts w:hint="eastAsia" w:ascii="仿宋" w:hAnsi="仿宋" w:eastAsia="仿宋" w:cs="宋体"/>
                <w:color w:val="000000"/>
                <w:kern w:val="0"/>
                <w:sz w:val="22"/>
                <w:szCs w:val="22"/>
                <w:lang w:eastAsia="zh-CN"/>
              </w:rPr>
              <w:t>成员</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D83382">
            <w:pPr>
              <w:widowControl/>
              <w:jc w:val="center"/>
              <w:rPr>
                <w:rFonts w:hint="eastAsia" w:ascii="仿宋" w:hAnsi="仿宋" w:eastAsia="仿宋" w:cs="宋体"/>
                <w:color w:val="000000"/>
                <w:kern w:val="0"/>
                <w:sz w:val="22"/>
                <w:szCs w:val="22"/>
                <w:lang w:eastAsia="zh-CN"/>
              </w:rPr>
            </w:pP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FD17422">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lang w:eastAsia="zh-CN"/>
              </w:rPr>
              <w:t>协助</w:t>
            </w:r>
            <w:r>
              <w:rPr>
                <w:rFonts w:hint="eastAsia" w:ascii="仿宋" w:hAnsi="仿宋" w:eastAsia="仿宋" w:cs="宋体"/>
                <w:color w:val="000000"/>
                <w:kern w:val="0"/>
                <w:sz w:val="22"/>
                <w:szCs w:val="22"/>
              </w:rPr>
              <w:t>制定实施方案</w:t>
            </w:r>
            <w:r>
              <w:rPr>
                <w:rFonts w:hint="eastAsia" w:ascii="仿宋" w:hAnsi="仿宋" w:eastAsia="仿宋" w:cs="宋体"/>
                <w:color w:val="000000"/>
                <w:kern w:val="0"/>
                <w:sz w:val="22"/>
                <w:szCs w:val="22"/>
                <w:lang w:eastAsia="zh-CN"/>
              </w:rPr>
              <w:t>、指标设计、撰写报告，现场绩效评价、问卷调查</w:t>
            </w:r>
            <w:r>
              <w:rPr>
                <w:rFonts w:hint="eastAsia" w:ascii="仿宋" w:hAnsi="仿宋" w:eastAsia="仿宋" w:cs="宋体"/>
                <w:color w:val="000000"/>
                <w:kern w:val="0"/>
                <w:sz w:val="22"/>
                <w:szCs w:val="22"/>
              </w:rPr>
              <w:t>。</w:t>
            </w:r>
          </w:p>
        </w:tc>
      </w:tr>
    </w:tbl>
    <w:p w14:paraId="5D75D06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highlight w:val="none"/>
        </w:rPr>
      </w:pPr>
      <w:bookmarkStart w:id="64" w:name="_Toc26280_WPSOffice_Level3"/>
      <w:r>
        <w:rPr>
          <w:rFonts w:hint="eastAsia" w:ascii="仿宋" w:hAnsi="仿宋" w:eastAsia="仿宋" w:cs="仿宋"/>
          <w:b/>
          <w:bCs/>
          <w:sz w:val="28"/>
          <w:szCs w:val="28"/>
          <w:highlight w:val="none"/>
        </w:rPr>
        <w:t>2.评价时间及主要工作进程安排</w:t>
      </w:r>
      <w:bookmarkEnd w:id="64"/>
    </w:p>
    <w:p w14:paraId="2561EF8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绩效评价工作分为评价准备阶段、评价实施阶段和评价报告撰写阶段。</w:t>
      </w:r>
    </w:p>
    <w:p w14:paraId="212F5EE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highlight w:val="none"/>
        </w:rPr>
      </w:pPr>
      <w:r>
        <w:rPr>
          <w:rFonts w:hint="eastAsia" w:ascii="仿宋" w:hAnsi="仿宋" w:eastAsia="仿宋" w:cs="仿宋"/>
          <w:b/>
          <w:bCs/>
          <w:sz w:val="28"/>
          <w:szCs w:val="28"/>
          <w:highlight w:val="none"/>
          <w:lang w:val="en-US" w:eastAsia="zh-CN"/>
        </w:rPr>
        <w:t>（1）</w:t>
      </w:r>
      <w:r>
        <w:rPr>
          <w:rFonts w:hint="eastAsia" w:ascii="仿宋" w:hAnsi="仿宋" w:eastAsia="仿宋" w:cs="仿宋"/>
          <w:b/>
          <w:bCs/>
          <w:sz w:val="28"/>
          <w:szCs w:val="28"/>
          <w:highlight w:val="none"/>
        </w:rPr>
        <w:t>评价准备阶段</w:t>
      </w:r>
    </w:p>
    <w:p w14:paraId="36DCAA0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制定绩效评价实施方案。评价小组研读了相关文件，并与</w:t>
      </w:r>
      <w:r>
        <w:rPr>
          <w:rFonts w:hint="eastAsia" w:ascii="仿宋" w:hAnsi="仿宋" w:eastAsia="仿宋" w:cs="仿宋"/>
          <w:sz w:val="28"/>
          <w:szCs w:val="28"/>
          <w:highlight w:val="none"/>
          <w:lang w:val="en-US" w:eastAsia="zh-CN"/>
        </w:rPr>
        <w:t>永济市市容环卫中心</w:t>
      </w:r>
      <w:r>
        <w:rPr>
          <w:rFonts w:hint="eastAsia" w:ascii="仿宋" w:hAnsi="仿宋" w:eastAsia="仿宋" w:cs="仿宋"/>
          <w:sz w:val="28"/>
          <w:szCs w:val="28"/>
          <w:highlight w:val="none"/>
        </w:rPr>
        <w:t>人员就</w:t>
      </w:r>
      <w:r>
        <w:rPr>
          <w:rFonts w:hint="eastAsia" w:ascii="仿宋" w:hAnsi="仿宋" w:eastAsia="仿宋" w:cs="仿宋"/>
          <w:sz w:val="28"/>
          <w:szCs w:val="28"/>
          <w:highlight w:val="none"/>
          <w:lang w:eastAsia="zh-CN"/>
        </w:rPr>
        <w:t>单位情况、</w:t>
      </w:r>
      <w:r>
        <w:rPr>
          <w:rFonts w:hint="eastAsia" w:ascii="仿宋" w:hAnsi="仿宋" w:eastAsia="仿宋" w:cs="仿宋"/>
          <w:sz w:val="28"/>
          <w:szCs w:val="28"/>
          <w:highlight w:val="none"/>
        </w:rPr>
        <w:t>项目具体实施情况进行了解，并进一步查阅相关资料。评价小组内部研讨后，</w:t>
      </w:r>
      <w:r>
        <w:rPr>
          <w:rFonts w:hint="eastAsia" w:ascii="仿宋" w:hAnsi="仿宋" w:eastAsia="仿宋" w:cs="仿宋"/>
          <w:sz w:val="28"/>
          <w:szCs w:val="28"/>
          <w:highlight w:val="none"/>
          <w:lang w:eastAsia="zh-CN"/>
        </w:rPr>
        <w:t>拟</w:t>
      </w:r>
      <w:r>
        <w:rPr>
          <w:rFonts w:hint="eastAsia" w:ascii="仿宋" w:hAnsi="仿宋" w:eastAsia="仿宋" w:cs="仿宋"/>
          <w:sz w:val="28"/>
          <w:szCs w:val="28"/>
          <w:highlight w:val="none"/>
        </w:rPr>
        <w:t>定工作方案、指标体系、调查问卷及访谈内容，</w:t>
      </w:r>
      <w:r>
        <w:rPr>
          <w:rFonts w:hint="eastAsia" w:ascii="仿宋" w:hAnsi="仿宋" w:eastAsia="仿宋" w:cs="仿宋"/>
          <w:sz w:val="28"/>
          <w:szCs w:val="28"/>
          <w:highlight w:val="none"/>
          <w:lang w:val="en-US" w:eastAsia="zh-CN"/>
        </w:rPr>
        <w:t>报永济市财政局绩效管理股，永济市财政局绩效管理股组织局机关相关部门业务股室和专家</w:t>
      </w:r>
      <w:r>
        <w:rPr>
          <w:rFonts w:hint="eastAsia" w:ascii="仿宋" w:hAnsi="仿宋" w:eastAsia="仿宋" w:cs="仿宋"/>
          <w:sz w:val="28"/>
          <w:szCs w:val="28"/>
          <w:highlight w:val="none"/>
          <w:lang w:eastAsia="zh-CN"/>
        </w:rPr>
        <w:t>审核，审核后</w:t>
      </w:r>
      <w:r>
        <w:rPr>
          <w:rFonts w:hint="eastAsia" w:ascii="仿宋" w:hAnsi="仿宋" w:eastAsia="仿宋" w:cs="仿宋"/>
          <w:sz w:val="28"/>
          <w:szCs w:val="28"/>
          <w:highlight w:val="none"/>
        </w:rPr>
        <w:t>根据审核论证意见对方案和指标进行修改并完善，确定绩效评价方案、指标体系、调查问卷及访谈内容。</w:t>
      </w:r>
    </w:p>
    <w:p w14:paraId="37415CD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（2）</w:t>
      </w:r>
      <w:r>
        <w:rPr>
          <w:rFonts w:hint="eastAsia" w:ascii="仿宋" w:hAnsi="仿宋" w:eastAsia="仿宋" w:cs="仿宋"/>
          <w:b/>
          <w:bCs/>
          <w:sz w:val="28"/>
          <w:szCs w:val="28"/>
          <w:highlight w:val="none"/>
        </w:rPr>
        <w:t>评价实施阶段</w:t>
      </w:r>
    </w:p>
    <w:p w14:paraId="02DC7FE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根据确定的绩效评价方案，评价小组将绩效评价实施方案、需要准备的资料清单等发至</w:t>
      </w:r>
      <w:r>
        <w:rPr>
          <w:rFonts w:hint="eastAsia" w:ascii="仿宋" w:hAnsi="仿宋" w:eastAsia="仿宋" w:cs="仿宋"/>
          <w:sz w:val="28"/>
          <w:szCs w:val="28"/>
          <w:highlight w:val="none"/>
          <w:lang w:eastAsia="zh-CN"/>
        </w:rPr>
        <w:t>被评价部门</w:t>
      </w:r>
      <w:r>
        <w:rPr>
          <w:rFonts w:hint="eastAsia" w:ascii="仿宋" w:hAnsi="仿宋" w:eastAsia="仿宋" w:cs="仿宋"/>
          <w:sz w:val="28"/>
          <w:szCs w:val="28"/>
          <w:highlight w:val="none"/>
        </w:rPr>
        <w:t>，并要求</w:t>
      </w:r>
      <w:r>
        <w:rPr>
          <w:rFonts w:hint="eastAsia" w:ascii="仿宋" w:hAnsi="仿宋" w:eastAsia="仿宋" w:cs="仿宋"/>
          <w:sz w:val="28"/>
          <w:szCs w:val="28"/>
          <w:highlight w:val="none"/>
          <w:lang w:eastAsia="zh-CN"/>
        </w:rPr>
        <w:t>被评价部门</w:t>
      </w:r>
      <w:r>
        <w:rPr>
          <w:rFonts w:hint="eastAsia" w:ascii="仿宋" w:hAnsi="仿宋" w:eastAsia="仿宋" w:cs="仿宋"/>
          <w:sz w:val="28"/>
          <w:szCs w:val="28"/>
          <w:highlight w:val="none"/>
        </w:rPr>
        <w:t>按照方案要求编写绩效自评报告、提供相关电子资料及纸质资料。</w:t>
      </w:r>
    </w:p>
    <w:p w14:paraId="2671E01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首先，由评价小组组长根据访谈大纲，约谈项目负责人，完成访谈工作；</w:t>
      </w:r>
      <w:r>
        <w:rPr>
          <w:rFonts w:hint="eastAsia" w:ascii="仿宋" w:hAnsi="仿宋" w:eastAsia="仿宋" w:cs="仿宋"/>
          <w:sz w:val="28"/>
          <w:szCs w:val="28"/>
          <w:highlight w:val="none"/>
          <w:lang w:eastAsia="zh-CN"/>
        </w:rPr>
        <w:t>第二，</w:t>
      </w:r>
      <w:r>
        <w:rPr>
          <w:rFonts w:hint="eastAsia" w:ascii="仿宋" w:hAnsi="仿宋" w:eastAsia="仿宋" w:cs="仿宋"/>
          <w:sz w:val="28"/>
          <w:szCs w:val="28"/>
          <w:highlight w:val="none"/>
        </w:rPr>
        <w:t>组织评价小组人员对</w:t>
      </w:r>
      <w:r>
        <w:rPr>
          <w:rFonts w:hint="eastAsia" w:ascii="仿宋" w:hAnsi="仿宋" w:eastAsia="仿宋" w:cs="仿宋"/>
          <w:sz w:val="28"/>
          <w:szCs w:val="28"/>
          <w:highlight w:val="none"/>
          <w:lang w:eastAsia="zh-CN"/>
        </w:rPr>
        <w:t>被评价部门</w:t>
      </w:r>
      <w:r>
        <w:rPr>
          <w:rFonts w:hint="eastAsia" w:ascii="仿宋" w:hAnsi="仿宋" w:eastAsia="仿宋" w:cs="仿宋"/>
          <w:sz w:val="28"/>
          <w:szCs w:val="28"/>
          <w:highlight w:val="none"/>
        </w:rPr>
        <w:t>提供的资料进行审核，重点对</w:t>
      </w:r>
      <w:r>
        <w:rPr>
          <w:rFonts w:hint="eastAsia" w:ascii="仿宋" w:hAnsi="仿宋" w:eastAsia="仿宋" w:cs="仿宋"/>
          <w:sz w:val="28"/>
          <w:szCs w:val="28"/>
          <w:highlight w:val="none"/>
          <w:lang w:eastAsia="zh-CN"/>
        </w:rPr>
        <w:t>部门的目标设定、预算执行及管理、资产管理、职责履行、相关项目资料</w:t>
      </w:r>
      <w:r>
        <w:rPr>
          <w:rFonts w:hint="eastAsia" w:ascii="仿宋" w:hAnsi="仿宋" w:eastAsia="仿宋" w:cs="仿宋"/>
          <w:sz w:val="28"/>
          <w:szCs w:val="28"/>
          <w:highlight w:val="none"/>
        </w:rPr>
        <w:t>等进行复核，</w:t>
      </w:r>
      <w:r>
        <w:rPr>
          <w:rFonts w:hint="eastAsia" w:ascii="仿宋" w:hAnsi="仿宋" w:eastAsia="仿宋" w:cs="仿宋"/>
          <w:sz w:val="28"/>
          <w:szCs w:val="28"/>
          <w:highlight w:val="none"/>
          <w:lang w:eastAsia="zh-CN"/>
        </w:rPr>
        <w:t>并实地勘察部门工作完成情况、项目实施情况</w:t>
      </w:r>
      <w:r>
        <w:rPr>
          <w:rFonts w:hint="eastAsia" w:ascii="仿宋" w:hAnsi="仿宋" w:eastAsia="仿宋" w:cs="仿宋"/>
          <w:sz w:val="28"/>
          <w:szCs w:val="28"/>
          <w:highlight w:val="none"/>
        </w:rPr>
        <w:t>；第三，评价组</w:t>
      </w:r>
      <w:r>
        <w:rPr>
          <w:rFonts w:hint="eastAsia" w:ascii="仿宋" w:hAnsi="仿宋" w:eastAsia="仿宋" w:cs="仿宋"/>
          <w:sz w:val="28"/>
          <w:szCs w:val="28"/>
          <w:highlight w:val="none"/>
          <w:lang w:val="en-US" w:eastAsia="zh-CN"/>
        </w:rPr>
        <w:t>对永济市市容环卫中心履职所针对的受益群体</w:t>
      </w:r>
      <w:r>
        <w:rPr>
          <w:rFonts w:hint="eastAsia" w:ascii="仿宋" w:hAnsi="仿宋" w:eastAsia="仿宋" w:cs="仿宋"/>
          <w:sz w:val="28"/>
          <w:szCs w:val="28"/>
          <w:highlight w:val="none"/>
        </w:rPr>
        <w:t>进行问卷调查。</w:t>
      </w:r>
    </w:p>
    <w:p w14:paraId="0976A27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评价组根据搜集和整理的相关数据及实地核查情况，按照评价标准，对各项指标进行初步计算和打分。</w:t>
      </w:r>
    </w:p>
    <w:p w14:paraId="497CF65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 xml:space="preserve"> </w:t>
      </w:r>
      <w:r>
        <w:rPr>
          <w:rFonts w:hint="eastAsia" w:ascii="仿宋" w:hAnsi="仿宋" w:eastAsia="仿宋" w:cs="仿宋"/>
          <w:b/>
          <w:bCs/>
          <w:sz w:val="28"/>
          <w:szCs w:val="28"/>
          <w:highlight w:val="none"/>
          <w:lang w:eastAsia="zh-CN"/>
        </w:rPr>
        <w:t>（</w:t>
      </w:r>
      <w:r>
        <w:rPr>
          <w:rFonts w:hint="eastAsia" w:ascii="仿宋" w:hAnsi="仿宋" w:eastAsia="仿宋" w:cs="仿宋"/>
          <w:b/>
          <w:bCs/>
          <w:sz w:val="28"/>
          <w:szCs w:val="28"/>
          <w:highlight w:val="none"/>
          <w:lang w:val="en-US" w:eastAsia="zh-CN"/>
        </w:rPr>
        <w:t>3</w:t>
      </w:r>
      <w:r>
        <w:rPr>
          <w:rFonts w:hint="eastAsia" w:ascii="仿宋" w:hAnsi="仿宋" w:eastAsia="仿宋" w:cs="仿宋"/>
          <w:b/>
          <w:bCs/>
          <w:sz w:val="28"/>
          <w:szCs w:val="28"/>
          <w:highlight w:val="none"/>
          <w:lang w:eastAsia="zh-CN"/>
        </w:rPr>
        <w:t>）</w:t>
      </w:r>
      <w:r>
        <w:rPr>
          <w:rFonts w:hint="eastAsia" w:ascii="仿宋" w:hAnsi="仿宋" w:eastAsia="仿宋" w:cs="仿宋"/>
          <w:b/>
          <w:bCs/>
          <w:i w:val="0"/>
          <w:iCs w:val="0"/>
          <w:sz w:val="28"/>
          <w:szCs w:val="28"/>
          <w:highlight w:val="none"/>
        </w:rPr>
        <w:t>报告撰写提交阶段</w:t>
      </w:r>
    </w:p>
    <w:p w14:paraId="7D4B802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评价组整理、综合分析</w:t>
      </w:r>
      <w:r>
        <w:rPr>
          <w:rFonts w:hint="eastAsia" w:ascii="仿宋" w:hAnsi="仿宋" w:eastAsia="仿宋" w:cs="仿宋"/>
          <w:sz w:val="28"/>
          <w:szCs w:val="28"/>
          <w:highlight w:val="none"/>
          <w:lang w:eastAsia="zh-CN"/>
        </w:rPr>
        <w:t>部门</w:t>
      </w:r>
      <w:r>
        <w:rPr>
          <w:rFonts w:hint="eastAsia" w:ascii="仿宋" w:hAnsi="仿宋" w:eastAsia="仿宋" w:cs="仿宋"/>
          <w:sz w:val="28"/>
          <w:szCs w:val="28"/>
          <w:highlight w:val="none"/>
        </w:rPr>
        <w:t>相关信息，根据评价指标体系、评价标准和评价方法，对评价对象的绩效情况进行全面</w:t>
      </w:r>
      <w:r>
        <w:rPr>
          <w:rFonts w:hint="eastAsia" w:ascii="仿宋" w:hAnsi="仿宋" w:eastAsia="仿宋" w:cs="仿宋"/>
          <w:sz w:val="28"/>
          <w:szCs w:val="28"/>
          <w:highlight w:val="none"/>
          <w:lang w:eastAsia="zh-CN"/>
        </w:rPr>
        <w:t>的</w:t>
      </w:r>
      <w:r>
        <w:rPr>
          <w:rFonts w:hint="eastAsia" w:ascii="仿宋" w:hAnsi="仿宋" w:eastAsia="仿宋" w:cs="仿宋"/>
          <w:sz w:val="28"/>
          <w:szCs w:val="28"/>
          <w:highlight w:val="none"/>
        </w:rPr>
        <w:t>定量、定性分析和综合评价，并提炼结论撰写绩效评价报告，提交</w:t>
      </w:r>
      <w:r>
        <w:rPr>
          <w:rFonts w:hint="eastAsia" w:ascii="仿宋" w:hAnsi="仿宋" w:eastAsia="仿宋" w:cs="仿宋"/>
          <w:sz w:val="28"/>
          <w:szCs w:val="28"/>
          <w:highlight w:val="none"/>
          <w:lang w:val="en-US" w:eastAsia="zh-CN"/>
        </w:rPr>
        <w:t>永济市财政局绩效管理股</w:t>
      </w:r>
      <w:r>
        <w:rPr>
          <w:rFonts w:hint="eastAsia" w:ascii="仿宋" w:hAnsi="仿宋" w:eastAsia="仿宋" w:cs="仿宋"/>
          <w:sz w:val="28"/>
          <w:szCs w:val="28"/>
          <w:highlight w:val="none"/>
        </w:rPr>
        <w:t>，根据</w:t>
      </w:r>
      <w:r>
        <w:rPr>
          <w:rFonts w:hint="eastAsia" w:ascii="仿宋" w:hAnsi="仿宋" w:eastAsia="仿宋" w:cs="仿宋"/>
          <w:sz w:val="28"/>
          <w:szCs w:val="28"/>
          <w:highlight w:val="none"/>
          <w:lang w:val="en-US" w:eastAsia="zh-CN"/>
        </w:rPr>
        <w:t>永济市</w:t>
      </w:r>
      <w:r>
        <w:rPr>
          <w:rFonts w:hint="eastAsia" w:ascii="仿宋" w:hAnsi="仿宋" w:eastAsia="仿宋" w:cs="仿宋"/>
          <w:sz w:val="28"/>
          <w:szCs w:val="28"/>
          <w:highlight w:val="none"/>
          <w:lang w:eastAsia="zh-CN"/>
        </w:rPr>
        <w:t>财政局</w:t>
      </w:r>
      <w:r>
        <w:rPr>
          <w:rFonts w:hint="eastAsia" w:ascii="仿宋" w:hAnsi="仿宋" w:eastAsia="仿宋" w:cs="仿宋"/>
          <w:sz w:val="28"/>
          <w:szCs w:val="28"/>
          <w:highlight w:val="none"/>
        </w:rPr>
        <w:t>专家审核意见修改绩效评价报告</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并提交正式绩效评价报告</w:t>
      </w:r>
      <w:r>
        <w:rPr>
          <w:rFonts w:hint="eastAsia" w:ascii="仿宋" w:hAnsi="仿宋" w:eastAsia="仿宋" w:cs="仿宋"/>
          <w:sz w:val="28"/>
          <w:szCs w:val="28"/>
          <w:highlight w:val="none"/>
          <w:lang w:eastAsia="zh-CN"/>
        </w:rPr>
        <w:t>。</w:t>
      </w:r>
    </w:p>
    <w:p w14:paraId="2C215AFB">
      <w:pPr>
        <w:keepNext w:val="0"/>
        <w:keepLines w:val="0"/>
        <w:pageBreakBefore w:val="0"/>
        <w:widowControl w:val="0"/>
        <w:kinsoku/>
        <w:wordWrap/>
        <w:overflowPunct/>
        <w:topLinePunct w:val="0"/>
        <w:autoSpaceDE/>
        <w:autoSpaceDN/>
        <w:bidi w:val="0"/>
        <w:adjustRightInd w:val="0"/>
        <w:snapToGrid w:val="0"/>
        <w:spacing w:line="600" w:lineRule="atLeast"/>
        <w:ind w:firstLine="562" w:firstLineChars="200"/>
        <w:textAlignment w:val="auto"/>
        <w:outlineLvl w:val="0"/>
        <w:rPr>
          <w:rFonts w:hint="eastAsia" w:ascii="仿宋" w:hAnsi="仿宋" w:eastAsia="仿宋" w:cs="仿宋"/>
          <w:b/>
          <w:color w:val="auto"/>
          <w:sz w:val="28"/>
          <w:szCs w:val="28"/>
          <w:highlight w:val="none"/>
          <w:lang w:val="en-US" w:eastAsia="zh-CN"/>
        </w:rPr>
      </w:pPr>
      <w:bookmarkStart w:id="65" w:name="_Toc27150"/>
      <w:bookmarkStart w:id="66" w:name="_Toc13521"/>
      <w:bookmarkStart w:id="67" w:name="_Toc7148"/>
      <w:bookmarkStart w:id="68" w:name="_Toc16626"/>
      <w:r>
        <w:rPr>
          <w:rFonts w:hint="eastAsia" w:ascii="仿宋" w:hAnsi="仿宋" w:eastAsia="仿宋" w:cs="仿宋"/>
          <w:b/>
          <w:color w:val="auto"/>
          <w:sz w:val="28"/>
          <w:szCs w:val="28"/>
          <w:highlight w:val="none"/>
        </w:rPr>
        <w:t>三、</w:t>
      </w:r>
      <w:r>
        <w:rPr>
          <w:rFonts w:hint="eastAsia" w:ascii="仿宋" w:hAnsi="仿宋" w:eastAsia="仿宋" w:cs="仿宋"/>
          <w:b/>
          <w:color w:val="auto"/>
          <w:sz w:val="28"/>
          <w:szCs w:val="28"/>
          <w:highlight w:val="none"/>
          <w:lang w:val="en-US" w:eastAsia="zh-CN"/>
        </w:rPr>
        <w:t>综合评价情况及评价结论</w:t>
      </w:r>
      <w:bookmarkEnd w:id="65"/>
      <w:bookmarkEnd w:id="66"/>
      <w:bookmarkEnd w:id="67"/>
      <w:bookmarkEnd w:id="68"/>
    </w:p>
    <w:p w14:paraId="2DD004D5">
      <w:pPr>
        <w:pStyle w:val="19"/>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1"/>
        <w:rPr>
          <w:rFonts w:hint="eastAsia" w:ascii="仿宋" w:hAnsi="仿宋" w:eastAsia="仿宋" w:cs="仿宋"/>
          <w:b/>
          <w:highlight w:val="none"/>
          <w:lang w:val="en-US"/>
        </w:rPr>
      </w:pPr>
      <w:bookmarkStart w:id="69" w:name="_Toc17532"/>
      <w:r>
        <w:rPr>
          <w:rFonts w:hint="eastAsia" w:ascii="仿宋" w:hAnsi="仿宋" w:eastAsia="仿宋" w:cs="仿宋"/>
          <w:b/>
          <w:highlight w:val="none"/>
        </w:rPr>
        <w:t>（一）</w:t>
      </w:r>
      <w:r>
        <w:rPr>
          <w:rFonts w:hint="eastAsia" w:ascii="仿宋" w:hAnsi="仿宋" w:eastAsia="仿宋" w:cs="仿宋"/>
          <w:b/>
          <w:highlight w:val="none"/>
          <w:lang w:val="en-US" w:eastAsia="zh-CN"/>
        </w:rPr>
        <w:t>综合</w:t>
      </w:r>
      <w:r>
        <w:rPr>
          <w:rFonts w:hint="eastAsia" w:ascii="仿宋" w:hAnsi="仿宋" w:eastAsia="仿宋" w:cs="仿宋"/>
          <w:b/>
          <w:highlight w:val="none"/>
        </w:rPr>
        <w:t>评</w:t>
      </w:r>
      <w:r>
        <w:rPr>
          <w:rFonts w:hint="eastAsia" w:ascii="仿宋" w:hAnsi="仿宋" w:eastAsia="仿宋" w:cs="仿宋"/>
          <w:b/>
          <w:highlight w:val="none"/>
          <w:lang w:val="en-US" w:eastAsia="zh-CN"/>
        </w:rPr>
        <w:t>价情况</w:t>
      </w:r>
    </w:p>
    <w:p w14:paraId="0CFE149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绩效评价项目组通过数据采集、现场核查、问卷调查、重点访谈、汇总分析等程序，依据相关文件和经审定的评价指标体系及评分标准，对永济市市容环卫中心2023年度整体支出绩效进行客观评价，最终结果为：总得分为91.94分，绩效评级为“优”，各指标详细打分情况见附件2。</w:t>
      </w:r>
    </w:p>
    <w:p w14:paraId="40D8DEE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具体得分情况见下表：</w:t>
      </w:r>
    </w:p>
    <w:p w14:paraId="2DF260F9">
      <w:pPr>
        <w:pStyle w:val="18"/>
        <w:keepNext w:val="0"/>
        <w:keepLines w:val="0"/>
        <w:pageBreakBefore w:val="0"/>
        <w:framePr w:wrap="auto" w:vAnchor="margin" w:hAnchor="text" w:yAlign="inline"/>
        <w:widowControl w:val="0"/>
        <w:kinsoku/>
        <w:wordWrap/>
        <w:overflowPunct/>
        <w:topLinePunct w:val="0"/>
        <w:autoSpaceDE/>
        <w:autoSpaceDN/>
        <w:bidi w:val="0"/>
        <w:adjustRightInd w:val="0"/>
        <w:snapToGrid w:val="0"/>
        <w:spacing w:line="560" w:lineRule="exact"/>
        <w:ind w:firstLine="0"/>
        <w:jc w:val="center"/>
        <w:textAlignment w:val="auto"/>
        <w:rPr>
          <w:rFonts w:hint="eastAsia" w:ascii="仿宋" w:hAnsi="仿宋" w:eastAsia="仿宋" w:cs="仿宋"/>
          <w:b/>
          <w:bCs/>
          <w:color w:val="auto"/>
          <w:szCs w:val="24"/>
          <w:highlight w:val="none"/>
          <w:lang w:val="zh-TW"/>
        </w:rPr>
      </w:pPr>
      <w:r>
        <w:rPr>
          <w:rFonts w:hint="eastAsia" w:ascii="仿宋" w:hAnsi="仿宋" w:eastAsia="仿宋" w:cs="仿宋"/>
          <w:b/>
          <w:bCs/>
          <w:color w:val="auto"/>
          <w:szCs w:val="24"/>
          <w:highlight w:val="none"/>
          <w:lang w:val="zh-TW" w:eastAsia="zh-TW"/>
        </w:rPr>
        <w:t>项目绩效评价得分表</w:t>
      </w:r>
    </w:p>
    <w:tbl>
      <w:tblPr>
        <w:tblStyle w:val="12"/>
        <w:tblW w:w="4998" w:type="pct"/>
        <w:tblInd w:w="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9"/>
        <w:gridCol w:w="1419"/>
        <w:gridCol w:w="1419"/>
        <w:gridCol w:w="1419"/>
        <w:gridCol w:w="1419"/>
        <w:gridCol w:w="1424"/>
      </w:tblGrid>
      <w:tr w14:paraId="7751B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blHeader/>
        </w:trPr>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FAD13">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spacing w:val="75"/>
                <w:kern w:val="0"/>
                <w:sz w:val="24"/>
                <w:szCs w:val="24"/>
                <w:highlight w:val="none"/>
                <w:u w:val="none"/>
                <w:fitText w:val="630" w:id="1852901197"/>
                <w:lang w:val="en-US" w:eastAsia="zh-CN" w:bidi="ar"/>
              </w:rPr>
              <w:t>指</w:t>
            </w:r>
            <w:r>
              <w:rPr>
                <w:rFonts w:hint="eastAsia" w:ascii="仿宋" w:hAnsi="仿宋" w:eastAsia="仿宋" w:cs="仿宋"/>
                <w:b/>
                <w:bCs/>
                <w:i w:val="0"/>
                <w:iCs w:val="0"/>
                <w:color w:val="000000"/>
                <w:spacing w:val="0"/>
                <w:kern w:val="0"/>
                <w:sz w:val="24"/>
                <w:szCs w:val="24"/>
                <w:highlight w:val="none"/>
                <w:u w:val="none"/>
                <w:fitText w:val="630" w:id="1852901197"/>
                <w:lang w:val="en-US" w:eastAsia="zh-CN" w:bidi="ar"/>
              </w:rPr>
              <w:t>标</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671DD">
            <w:pPr>
              <w:keepNext w:val="0"/>
              <w:keepLines w:val="0"/>
              <w:widowControl/>
              <w:suppressLineNumbers w:val="0"/>
              <w:jc w:val="center"/>
              <w:textAlignment w:val="center"/>
              <w:rPr>
                <w:rFonts w:hint="default"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sz w:val="24"/>
                <w:szCs w:val="24"/>
                <w:highlight w:val="none"/>
                <w:u w:val="none"/>
                <w:lang w:val="en-US" w:eastAsia="zh-CN"/>
              </w:rPr>
              <w:t>部门决策</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BA27C">
            <w:pPr>
              <w:keepNext w:val="0"/>
              <w:keepLines w:val="0"/>
              <w:widowControl/>
              <w:suppressLineNumbers w:val="0"/>
              <w:jc w:val="center"/>
              <w:textAlignment w:val="center"/>
              <w:rPr>
                <w:rFonts w:hint="default"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sz w:val="24"/>
                <w:szCs w:val="24"/>
                <w:highlight w:val="none"/>
                <w:u w:val="none"/>
                <w:lang w:val="en-US" w:eastAsia="zh-CN"/>
              </w:rPr>
              <w:t>部门管理</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F8C20">
            <w:pPr>
              <w:keepNext w:val="0"/>
              <w:keepLines w:val="0"/>
              <w:widowControl/>
              <w:suppressLineNumbers w:val="0"/>
              <w:jc w:val="center"/>
              <w:textAlignment w:val="center"/>
              <w:rPr>
                <w:rFonts w:hint="default"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sz w:val="24"/>
                <w:szCs w:val="24"/>
                <w:highlight w:val="none"/>
                <w:u w:val="none"/>
                <w:lang w:val="en-US" w:eastAsia="zh-CN"/>
              </w:rPr>
              <w:t>部门产出</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AF834">
            <w:pPr>
              <w:keepNext w:val="0"/>
              <w:keepLines w:val="0"/>
              <w:widowControl/>
              <w:suppressLineNumbers w:val="0"/>
              <w:jc w:val="center"/>
              <w:textAlignment w:val="center"/>
              <w:rPr>
                <w:rFonts w:hint="default"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sz w:val="24"/>
                <w:szCs w:val="24"/>
                <w:highlight w:val="none"/>
                <w:u w:val="none"/>
                <w:lang w:val="en-US" w:eastAsia="zh-CN"/>
              </w:rPr>
              <w:t>部门效果</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B97CD">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spacing w:val="75"/>
                <w:kern w:val="0"/>
                <w:sz w:val="24"/>
                <w:szCs w:val="24"/>
                <w:highlight w:val="none"/>
                <w:u w:val="none"/>
                <w:fitText w:val="630" w:id="413735214"/>
                <w:lang w:val="en-US" w:eastAsia="zh-CN" w:bidi="ar"/>
              </w:rPr>
              <w:t>合</w:t>
            </w:r>
            <w:r>
              <w:rPr>
                <w:rFonts w:hint="eastAsia" w:ascii="仿宋" w:hAnsi="仿宋" w:eastAsia="仿宋" w:cs="仿宋"/>
                <w:b/>
                <w:bCs/>
                <w:i w:val="0"/>
                <w:iCs w:val="0"/>
                <w:color w:val="000000"/>
                <w:spacing w:val="0"/>
                <w:kern w:val="0"/>
                <w:sz w:val="24"/>
                <w:szCs w:val="24"/>
                <w:highlight w:val="none"/>
                <w:u w:val="none"/>
                <w:fitText w:val="630" w:id="413735214"/>
                <w:lang w:val="en-US" w:eastAsia="zh-CN" w:bidi="ar"/>
              </w:rPr>
              <w:t>计</w:t>
            </w:r>
          </w:p>
        </w:tc>
      </w:tr>
      <w:tr w14:paraId="43C49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5003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pacing w:val="75"/>
                <w:kern w:val="0"/>
                <w:sz w:val="24"/>
                <w:szCs w:val="24"/>
                <w:highlight w:val="none"/>
                <w:u w:val="none"/>
                <w:fitText w:val="630" w:id="1433238164"/>
                <w:lang w:val="en-US" w:eastAsia="zh-CN"/>
              </w:rPr>
              <w:t>分</w:t>
            </w:r>
            <w:r>
              <w:rPr>
                <w:rFonts w:hint="eastAsia" w:ascii="仿宋" w:hAnsi="仿宋" w:eastAsia="仿宋" w:cs="仿宋"/>
                <w:i w:val="0"/>
                <w:iCs w:val="0"/>
                <w:color w:val="000000"/>
                <w:spacing w:val="0"/>
                <w:kern w:val="0"/>
                <w:sz w:val="24"/>
                <w:szCs w:val="24"/>
                <w:highlight w:val="none"/>
                <w:u w:val="none"/>
                <w:fitText w:val="630" w:id="1433238164"/>
                <w:lang w:val="en-US" w:eastAsia="zh-CN"/>
              </w:rPr>
              <w:t>值</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072E7">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3E3D4">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49506">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9C7F3">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15.00</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B1522">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100.00</w:t>
            </w:r>
          </w:p>
        </w:tc>
      </w:tr>
      <w:tr w14:paraId="16951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0B65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pacing w:val="75"/>
                <w:kern w:val="0"/>
                <w:sz w:val="24"/>
                <w:szCs w:val="24"/>
                <w:highlight w:val="none"/>
                <w:u w:val="none"/>
                <w:fitText w:val="630" w:id="1745362436"/>
                <w:lang w:val="en-US" w:eastAsia="zh-CN"/>
              </w:rPr>
              <w:t>得</w:t>
            </w:r>
            <w:r>
              <w:rPr>
                <w:rFonts w:hint="eastAsia" w:ascii="仿宋" w:hAnsi="仿宋" w:eastAsia="仿宋" w:cs="仿宋"/>
                <w:i w:val="0"/>
                <w:iCs w:val="0"/>
                <w:color w:val="000000"/>
                <w:spacing w:val="0"/>
                <w:kern w:val="0"/>
                <w:sz w:val="24"/>
                <w:szCs w:val="24"/>
                <w:highlight w:val="none"/>
                <w:u w:val="none"/>
                <w:fitText w:val="630" w:id="1745362436"/>
                <w:lang w:val="en-US" w:eastAsia="zh-CN"/>
              </w:rPr>
              <w:t>分</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9FA40">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14.86</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0EE84">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33.99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3AEFF">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28.38</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222BF">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14.53</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C9E10">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91.94</w:t>
            </w:r>
          </w:p>
        </w:tc>
      </w:tr>
      <w:tr w14:paraId="22029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1963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得分率</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F2BC7">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99.07%</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6F12D">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84.98%</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43F5A">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94.60%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DA57D">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96.87%</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CA385">
            <w:pPr>
              <w:keepNext w:val="0"/>
              <w:keepLines w:val="0"/>
              <w:pageBreakBefore w:val="0"/>
              <w:widowControl/>
              <w:suppressLineNumbers w:val="0"/>
              <w:kinsoku/>
              <w:wordWrap/>
              <w:overflowPunct/>
              <w:topLinePunct w:val="0"/>
              <w:autoSpaceDE/>
              <w:autoSpaceDN/>
              <w:bidi w:val="0"/>
              <w:adjustRightInd/>
              <w:snapToGrid/>
              <w:ind w:right="210" w:rightChars="100"/>
              <w:jc w:val="right"/>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91.94%</w:t>
            </w:r>
          </w:p>
        </w:tc>
      </w:tr>
    </w:tbl>
    <w:p w14:paraId="41EAABE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（二）评价结论</w:t>
      </w:r>
    </w:p>
    <w:p w14:paraId="72B4016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经过对永济市市容环卫中心2023年度整体支出从部门决策、部门管理、部门产出、部门效果方面进行综合评价，得出以下结论：</w:t>
      </w:r>
    </w:p>
    <w:p w14:paraId="3AF54CC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1.永济市市容环卫中心工作目标设定合理，依据充分，与部门履职相关联，通过对本年主要工作完成情况进行评分，该部门目标任务实现程度良好，履职数量、履职时效、履职质量均符合管理要求，基础管理良好，但存在在职人员超编制情况。</w:t>
      </w:r>
    </w:p>
    <w:p w14:paraId="0EC68A5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2.从管理效率方面看，预算编制合理，收支范围及方向均有相应法律法规依据。在财务管理方面，资金的使用及拨付符合资金管理办法，资金的拨付有完整的审批程序和手续，重大开支均经过集体决策，资金支出方向符合部门预算批复的用途。在资产管理方面，固定资产保存完整、处置规范，账务管理合规，账实相符；但存在管理人及使用人不明确的问题。</w:t>
      </w:r>
    </w:p>
    <w:p w14:paraId="1FE2916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3.在社会效应方面，永济市市容环卫中心通过履行职责，基本达到了应有效果；在可持续性方面，永济市市容环卫中心对部分机制进行了改革创新，提升了环卫工作效率和效果，群众反响较好。</w:t>
      </w:r>
    </w:p>
    <w:bookmarkEnd w:id="69"/>
    <w:p w14:paraId="14EE21FE">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0"/>
        <w:rPr>
          <w:rFonts w:hint="eastAsia" w:ascii="仿宋" w:hAnsi="仿宋" w:eastAsia="仿宋" w:cs="仿宋"/>
          <w:b/>
          <w:sz w:val="28"/>
          <w:szCs w:val="28"/>
          <w:highlight w:val="none"/>
        </w:rPr>
      </w:pPr>
      <w:r>
        <w:rPr>
          <w:rFonts w:hint="eastAsia" w:ascii="仿宋" w:hAnsi="仿宋" w:eastAsia="仿宋" w:cs="仿宋"/>
          <w:b/>
          <w:sz w:val="28"/>
          <w:szCs w:val="28"/>
          <w:highlight w:val="none"/>
          <w:lang w:eastAsia="zh-CN"/>
        </w:rPr>
        <w:t>四、</w:t>
      </w:r>
      <w:r>
        <w:rPr>
          <w:rFonts w:hint="eastAsia" w:ascii="仿宋" w:hAnsi="仿宋" w:eastAsia="仿宋" w:cs="仿宋"/>
          <w:b/>
          <w:sz w:val="28"/>
          <w:szCs w:val="28"/>
          <w:highlight w:val="none"/>
        </w:rPr>
        <w:t>绩效评价指标分析情况</w:t>
      </w:r>
    </w:p>
    <w:p w14:paraId="3EFE9C6E">
      <w:pPr>
        <w:pStyle w:val="2"/>
        <w:keepNext w:val="0"/>
        <w:keepLines w:val="0"/>
        <w:pageBreakBefore w:val="0"/>
        <w:widowControl w:val="0"/>
        <w:numPr>
          <w:ilvl w:val="0"/>
          <w:numId w:val="0"/>
        </w:numPr>
        <w:kinsoku/>
        <w:wordWrap/>
        <w:overflowPunct/>
        <w:topLinePunct w:val="0"/>
        <w:autoSpaceDE/>
        <w:autoSpaceDN/>
        <w:bidi w:val="0"/>
        <w:spacing w:line="560" w:lineRule="exact"/>
        <w:ind w:firstLine="562" w:firstLineChars="200"/>
        <w:textAlignment w:val="auto"/>
        <w:outlineLvl w:val="1"/>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（一）部门决策</w:t>
      </w:r>
    </w:p>
    <w:p w14:paraId="53BBDACA">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履职效能从目标设定、预算配置两个方面进行分析，共设置两个二级指标四个三级指标。履职效能分值15分，实际得分14.86分，得分率99.07%。各分项指标得分情况如下表所示：</w:t>
      </w:r>
    </w:p>
    <w:p w14:paraId="11197BEA">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highlight w:val="none"/>
          <w:lang w:val="en-US" w:eastAsia="zh-CN"/>
        </w:rPr>
      </w:pPr>
      <w:r>
        <w:rPr>
          <w:rFonts w:hint="eastAsia" w:ascii="仿宋" w:hAnsi="仿宋" w:eastAsia="仿宋" w:cs="仿宋"/>
          <w:sz w:val="28"/>
          <w:szCs w:val="28"/>
          <w:highlight w:val="none"/>
          <w:lang w:val="en-US" w:eastAsia="zh-CN"/>
        </w:rPr>
        <w:t>履职效能得分情况表</w:t>
      </w:r>
    </w:p>
    <w:tbl>
      <w:tblPr>
        <w:tblStyle w:val="12"/>
        <w:tblW w:w="4995" w:type="pct"/>
        <w:jc w:val="center"/>
        <w:shd w:val="clear" w:color="auto" w:fill="auto"/>
        <w:tblLayout w:type="autofit"/>
        <w:tblCellMar>
          <w:top w:w="0" w:type="dxa"/>
          <w:left w:w="0" w:type="dxa"/>
          <w:bottom w:w="0" w:type="dxa"/>
          <w:right w:w="0" w:type="dxa"/>
        </w:tblCellMar>
      </w:tblPr>
      <w:tblGrid>
        <w:gridCol w:w="1517"/>
        <w:gridCol w:w="3469"/>
        <w:gridCol w:w="1118"/>
        <w:gridCol w:w="922"/>
        <w:gridCol w:w="1290"/>
      </w:tblGrid>
      <w:tr w14:paraId="173FE66F">
        <w:tblPrEx>
          <w:tblCellMar>
            <w:top w:w="0" w:type="dxa"/>
            <w:left w:w="0" w:type="dxa"/>
            <w:bottom w:w="0" w:type="dxa"/>
            <w:right w:w="0" w:type="dxa"/>
          </w:tblCellMar>
        </w:tblPrEx>
        <w:trPr>
          <w:trHeight w:val="403" w:hRule="atLeast"/>
          <w:tblHeader/>
          <w:jc w:val="center"/>
        </w:trPr>
        <w:tc>
          <w:tcPr>
            <w:tcW w:w="912"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81FBAD8">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二级指标</w:t>
            </w:r>
          </w:p>
        </w:tc>
        <w:tc>
          <w:tcPr>
            <w:tcW w:w="208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EA7018B">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三级指标</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0506FE9">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权重</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723765A">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 xml:space="preserve"> 得分 </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F462B63">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得分率</w:t>
            </w:r>
          </w:p>
        </w:tc>
      </w:tr>
      <w:tr w14:paraId="0AD46D9C">
        <w:tblPrEx>
          <w:shd w:val="clear" w:color="auto" w:fill="auto"/>
          <w:tblCellMar>
            <w:top w:w="0" w:type="dxa"/>
            <w:left w:w="0" w:type="dxa"/>
            <w:bottom w:w="0" w:type="dxa"/>
            <w:right w:w="0" w:type="dxa"/>
          </w:tblCellMar>
        </w:tblPrEx>
        <w:trPr>
          <w:trHeight w:val="400" w:hRule="atLeast"/>
          <w:jc w:val="center"/>
        </w:trPr>
        <w:tc>
          <w:tcPr>
            <w:tcW w:w="912" w:type="pct"/>
            <w:vMerge w:val="restart"/>
            <w:tcBorders>
              <w:top w:val="single" w:color="000000" w:sz="4" w:space="0"/>
              <w:left w:val="single" w:color="000000" w:sz="4" w:space="0"/>
              <w:right w:val="single" w:color="000000" w:sz="4" w:space="0"/>
            </w:tcBorders>
            <w:shd w:val="clear" w:color="auto" w:fill="auto"/>
            <w:tcMar>
              <w:top w:w="9" w:type="dxa"/>
              <w:left w:w="9" w:type="dxa"/>
              <w:right w:w="9" w:type="dxa"/>
            </w:tcMar>
            <w:vAlign w:val="center"/>
          </w:tcPr>
          <w:p w14:paraId="6513A4CD">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A1工作目标</w:t>
            </w:r>
          </w:p>
        </w:tc>
        <w:tc>
          <w:tcPr>
            <w:tcW w:w="208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283541D">
            <w:pPr>
              <w:keepNext w:val="0"/>
              <w:keepLines w:val="0"/>
              <w:widowControl/>
              <w:suppressLineNumbers w:val="0"/>
              <w:jc w:val="left"/>
              <w:textAlignment w:val="center"/>
              <w:rPr>
                <w:rFonts w:hint="default"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A1-1绩效目标合理性</w:t>
            </w:r>
          </w:p>
        </w:tc>
        <w:tc>
          <w:tcPr>
            <w:tcW w:w="67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6BA7CA9">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3</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08BB1981">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3</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A082270">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226DBE88">
        <w:tblPrEx>
          <w:shd w:val="clear" w:color="auto" w:fill="auto"/>
          <w:tblCellMar>
            <w:top w:w="0" w:type="dxa"/>
            <w:left w:w="0" w:type="dxa"/>
            <w:bottom w:w="0" w:type="dxa"/>
            <w:right w:w="0" w:type="dxa"/>
          </w:tblCellMar>
        </w:tblPrEx>
        <w:trPr>
          <w:trHeight w:val="400" w:hRule="atLeast"/>
          <w:jc w:val="center"/>
        </w:trPr>
        <w:tc>
          <w:tcPr>
            <w:tcW w:w="912" w:type="pct"/>
            <w:vMerge w:val="continue"/>
            <w:tcBorders>
              <w:left w:val="single" w:color="000000" w:sz="4" w:space="0"/>
              <w:right w:val="single" w:color="000000" w:sz="4" w:space="0"/>
            </w:tcBorders>
            <w:shd w:val="clear" w:color="auto" w:fill="auto"/>
            <w:tcMar>
              <w:top w:w="9" w:type="dxa"/>
              <w:left w:w="9" w:type="dxa"/>
              <w:right w:w="9" w:type="dxa"/>
            </w:tcMar>
            <w:vAlign w:val="center"/>
          </w:tcPr>
          <w:p w14:paraId="51B7BDEA">
            <w:pPr>
              <w:jc w:val="center"/>
              <w:rPr>
                <w:rFonts w:hint="eastAsia" w:ascii="仿宋" w:hAnsi="仿宋" w:eastAsia="仿宋" w:cs="仿宋"/>
                <w:i w:val="0"/>
                <w:color w:val="000000"/>
                <w:kern w:val="0"/>
                <w:sz w:val="24"/>
                <w:szCs w:val="24"/>
                <w:highlight w:val="none"/>
                <w:u w:val="none"/>
                <w:lang w:val="en-US" w:eastAsia="zh-CN" w:bidi="ar"/>
              </w:rPr>
            </w:pPr>
          </w:p>
        </w:tc>
        <w:tc>
          <w:tcPr>
            <w:tcW w:w="208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8447C82">
            <w:pPr>
              <w:keepNext w:val="0"/>
              <w:keepLines w:val="0"/>
              <w:widowControl/>
              <w:suppressLineNumbers w:val="0"/>
              <w:jc w:val="left"/>
              <w:textAlignment w:val="center"/>
              <w:rPr>
                <w:rFonts w:hint="default"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A1-2绩效指标明确性</w:t>
            </w:r>
          </w:p>
        </w:tc>
        <w:tc>
          <w:tcPr>
            <w:tcW w:w="67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C22AAEA">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59E3CDF">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93A724C">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0ABE7DDB">
        <w:tblPrEx>
          <w:shd w:val="clear" w:color="auto" w:fill="auto"/>
          <w:tblCellMar>
            <w:top w:w="0" w:type="dxa"/>
            <w:left w:w="0" w:type="dxa"/>
            <w:bottom w:w="0" w:type="dxa"/>
            <w:right w:w="0" w:type="dxa"/>
          </w:tblCellMar>
        </w:tblPrEx>
        <w:trPr>
          <w:trHeight w:val="400" w:hRule="atLeast"/>
          <w:jc w:val="center"/>
        </w:trPr>
        <w:tc>
          <w:tcPr>
            <w:tcW w:w="912"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6F97579">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208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89B8BE4">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小计</w:t>
            </w:r>
          </w:p>
        </w:tc>
        <w:tc>
          <w:tcPr>
            <w:tcW w:w="67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DFC1967">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5</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45FD544">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5</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2DA2F8A">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4A8310D6">
        <w:tblPrEx>
          <w:shd w:val="clear" w:color="auto" w:fill="auto"/>
          <w:tblCellMar>
            <w:top w:w="0" w:type="dxa"/>
            <w:left w:w="0" w:type="dxa"/>
            <w:bottom w:w="0" w:type="dxa"/>
            <w:right w:w="0" w:type="dxa"/>
          </w:tblCellMar>
        </w:tblPrEx>
        <w:trPr>
          <w:trHeight w:val="400" w:hRule="atLeast"/>
          <w:jc w:val="center"/>
        </w:trPr>
        <w:tc>
          <w:tcPr>
            <w:tcW w:w="912"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A1391A8">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rPr>
            </w:pPr>
            <w:r>
              <w:rPr>
                <w:rFonts w:hint="eastAsia" w:ascii="仿宋" w:hAnsi="仿宋" w:eastAsia="仿宋" w:cs="仿宋"/>
                <w:i w:val="0"/>
                <w:color w:val="000000"/>
                <w:kern w:val="0"/>
                <w:sz w:val="24"/>
                <w:szCs w:val="24"/>
                <w:highlight w:val="none"/>
                <w:u w:val="none"/>
                <w:lang w:val="en-US" w:eastAsia="zh-CN" w:bidi="ar"/>
              </w:rPr>
              <w:t>A2基础管理</w:t>
            </w:r>
          </w:p>
        </w:tc>
        <w:tc>
          <w:tcPr>
            <w:tcW w:w="208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2B103E3">
            <w:pPr>
              <w:keepNext w:val="0"/>
              <w:keepLines w:val="0"/>
              <w:widowControl/>
              <w:suppressLineNumbers w:val="0"/>
              <w:jc w:val="left"/>
              <w:textAlignment w:val="center"/>
              <w:rPr>
                <w:rFonts w:hint="default" w:ascii="仿宋" w:hAnsi="仿宋" w:eastAsia="仿宋" w:cs="仿宋"/>
                <w:i w:val="0"/>
                <w:color w:val="000000"/>
                <w:sz w:val="24"/>
                <w:szCs w:val="24"/>
                <w:highlight w:val="none"/>
                <w:u w:val="none"/>
                <w:lang w:val="en-US"/>
              </w:rPr>
            </w:pPr>
            <w:r>
              <w:rPr>
                <w:rFonts w:hint="eastAsia" w:ascii="仿宋" w:hAnsi="仿宋" w:eastAsia="仿宋" w:cs="仿宋"/>
                <w:i w:val="0"/>
                <w:iCs w:val="0"/>
                <w:color w:val="000000"/>
                <w:kern w:val="0"/>
                <w:sz w:val="24"/>
                <w:szCs w:val="24"/>
                <w:u w:val="none"/>
                <w:lang w:val="en-US" w:eastAsia="zh-CN" w:bidi="ar"/>
              </w:rPr>
              <w:t>A2-1预算编制科学性</w:t>
            </w:r>
          </w:p>
        </w:tc>
        <w:tc>
          <w:tcPr>
            <w:tcW w:w="67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002756E">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4</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AC922FC">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4</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0A9776CC">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sz w:val="24"/>
                <w:szCs w:val="24"/>
                <w:highlight w:val="none"/>
                <w:u w:val="none"/>
                <w:lang w:val="en-US" w:eastAsia="zh-CN"/>
              </w:rPr>
              <w:t>100.00%</w:t>
            </w:r>
          </w:p>
        </w:tc>
      </w:tr>
      <w:tr w14:paraId="439A50F8">
        <w:tblPrEx>
          <w:tblCellMar>
            <w:top w:w="0" w:type="dxa"/>
            <w:left w:w="0" w:type="dxa"/>
            <w:bottom w:w="0" w:type="dxa"/>
            <w:right w:w="0" w:type="dxa"/>
          </w:tblCellMar>
        </w:tblPrEx>
        <w:trPr>
          <w:trHeight w:val="400" w:hRule="atLeast"/>
          <w:jc w:val="center"/>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A7250F3">
            <w:pPr>
              <w:jc w:val="center"/>
              <w:rPr>
                <w:rFonts w:hint="eastAsia" w:ascii="仿宋" w:hAnsi="仿宋" w:eastAsia="仿宋" w:cs="仿宋"/>
                <w:i w:val="0"/>
                <w:color w:val="000000"/>
                <w:sz w:val="24"/>
                <w:szCs w:val="24"/>
                <w:highlight w:val="none"/>
                <w:u w:val="none"/>
              </w:rPr>
            </w:pPr>
          </w:p>
        </w:tc>
        <w:tc>
          <w:tcPr>
            <w:tcW w:w="208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6E347DA">
            <w:pPr>
              <w:keepNext w:val="0"/>
              <w:keepLines w:val="0"/>
              <w:widowControl/>
              <w:suppressLineNumbers w:val="0"/>
              <w:jc w:val="left"/>
              <w:textAlignment w:val="center"/>
              <w:rPr>
                <w:rFonts w:hint="default" w:ascii="仿宋" w:hAnsi="仿宋" w:eastAsia="仿宋" w:cs="仿宋"/>
                <w:i w:val="0"/>
                <w:color w:val="000000"/>
                <w:sz w:val="24"/>
                <w:szCs w:val="24"/>
                <w:highlight w:val="none"/>
                <w:u w:val="none"/>
                <w:lang w:val="en-US"/>
              </w:rPr>
            </w:pPr>
            <w:r>
              <w:rPr>
                <w:rFonts w:hint="eastAsia" w:ascii="仿宋" w:hAnsi="仿宋" w:eastAsia="仿宋" w:cs="仿宋"/>
                <w:i w:val="0"/>
                <w:iCs w:val="0"/>
                <w:color w:val="000000"/>
                <w:kern w:val="0"/>
                <w:sz w:val="24"/>
                <w:szCs w:val="24"/>
                <w:u w:val="none"/>
                <w:lang w:val="en-US" w:eastAsia="zh-CN" w:bidi="ar"/>
              </w:rPr>
              <w:t>A2-2预算配置合理性</w:t>
            </w:r>
          </w:p>
        </w:tc>
        <w:tc>
          <w:tcPr>
            <w:tcW w:w="67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6C47569">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6</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31EED70">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5.86</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59C1202">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97.67%</w:t>
            </w:r>
          </w:p>
        </w:tc>
      </w:tr>
      <w:tr w14:paraId="0AC759A1">
        <w:tblPrEx>
          <w:shd w:val="clear" w:color="auto" w:fill="auto"/>
          <w:tblCellMar>
            <w:top w:w="0" w:type="dxa"/>
            <w:left w:w="0" w:type="dxa"/>
            <w:bottom w:w="0" w:type="dxa"/>
            <w:right w:w="0" w:type="dxa"/>
          </w:tblCellMar>
        </w:tblPrEx>
        <w:trPr>
          <w:trHeight w:val="400" w:hRule="atLeast"/>
          <w:jc w:val="center"/>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588EE37">
            <w:pPr>
              <w:jc w:val="center"/>
              <w:rPr>
                <w:rFonts w:hint="eastAsia" w:ascii="仿宋" w:hAnsi="仿宋" w:eastAsia="仿宋" w:cs="仿宋"/>
                <w:i w:val="0"/>
                <w:color w:val="000000"/>
                <w:sz w:val="24"/>
                <w:szCs w:val="24"/>
                <w:highlight w:val="none"/>
                <w:u w:val="none"/>
              </w:rPr>
            </w:pPr>
          </w:p>
        </w:tc>
        <w:tc>
          <w:tcPr>
            <w:tcW w:w="208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9D2D69B">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小计</w:t>
            </w:r>
          </w:p>
        </w:tc>
        <w:tc>
          <w:tcPr>
            <w:tcW w:w="67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28631EE">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w:t>
            </w: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B03901F">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9.86</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26915CE">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98.60%</w:t>
            </w:r>
          </w:p>
        </w:tc>
      </w:tr>
      <w:tr w14:paraId="3CEBE338">
        <w:tblPrEx>
          <w:shd w:val="clear" w:color="auto" w:fill="auto"/>
          <w:tblCellMar>
            <w:top w:w="0" w:type="dxa"/>
            <w:left w:w="0" w:type="dxa"/>
            <w:bottom w:w="0" w:type="dxa"/>
            <w:right w:w="0" w:type="dxa"/>
          </w:tblCellMar>
        </w:tblPrEx>
        <w:trPr>
          <w:trHeight w:val="400" w:hRule="atLeast"/>
          <w:jc w:val="center"/>
        </w:trPr>
        <w:tc>
          <w:tcPr>
            <w:tcW w:w="2997"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3E95596">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合计</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8061564">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15</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CA9846D">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14.86</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E3F649C">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99.07%</w:t>
            </w:r>
          </w:p>
        </w:tc>
      </w:tr>
    </w:tbl>
    <w:p w14:paraId="7FC8E62F">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highlight w:val="none"/>
          <w:lang w:val="en-US" w:eastAsia="zh-CN"/>
        </w:rPr>
        <w:t>1</w:t>
      </w:r>
      <w:r>
        <w:rPr>
          <w:rFonts w:hint="eastAsia" w:ascii="仿宋" w:hAnsi="仿宋" w:eastAsia="仿宋" w:cs="仿宋"/>
          <w:b/>
          <w:bCs/>
          <w:sz w:val="28"/>
          <w:szCs w:val="28"/>
          <w:highlight w:val="none"/>
          <w:lang w:val="en-US" w:eastAsia="zh-CN"/>
        </w:rPr>
        <w:t>.A1目标设定,权重5分，得分5分</w:t>
      </w:r>
    </w:p>
    <w:p w14:paraId="5C9DF7E0">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（1）A1-1绩效目标合理性</w:t>
      </w:r>
    </w:p>
    <w:p w14:paraId="57BCDA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永济市市容环卫中心设定的绩效目标是：①</w:t>
      </w:r>
      <w:r>
        <w:rPr>
          <w:rFonts w:hint="eastAsia" w:ascii="仿宋" w:hAnsi="仿宋" w:eastAsia="仿宋" w:cs="仿宋"/>
          <w:b w:val="0"/>
          <w:bCs w:val="0"/>
          <w:kern w:val="0"/>
          <w:sz w:val="28"/>
          <w:szCs w:val="28"/>
          <w:highlight w:val="none"/>
          <w:lang w:val="en-US" w:eastAsia="zh-CN" w:bidi="ar-SA"/>
        </w:rPr>
        <w:t>完成全市各街道的清扫保洁和垃圾清运，110家企事业单位和80余个住宅小区的垃圾清运，10万平方米绿化带和3万多个树坑的清掏，1000余个果皮箱及98个垃圾箱体的擦洗；②开展垃圾分类投放点建设工作，举行垃圾分类宣传活动；③按时完成政府工作报告中新建10座公厕的建设任务；④对辖区33座驿站、公厕及4座中转站进行日常管理，达到“四净三无两通一明一香”标准；⑤按时完成垃圾处置费征收工作；⑥按照要求做好党建工作：开展主题党日活动、廉政教育学习等；⑦及时办理“12345”信访投诉，接待市民来访及时反馈</w:t>
      </w:r>
      <w:r>
        <w:rPr>
          <w:rFonts w:hint="eastAsia" w:ascii="仿宋" w:hAnsi="仿宋" w:eastAsia="仿宋" w:cs="仿宋"/>
          <w:b w:val="0"/>
          <w:bCs w:val="0"/>
          <w:sz w:val="28"/>
          <w:szCs w:val="36"/>
          <w:lang w:val="en-US" w:eastAsia="zh-CN"/>
        </w:rPr>
        <w:t>。通过常态化开展卫生整治，为建设“魅力永济”作出贡献。</w:t>
      </w:r>
    </w:p>
    <w:p w14:paraId="5E2531D9">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 xml:space="preserve">永济市市容环卫中心设定的工作目标是依据部门职责所设立的，符合国家法律法规、经济和社会发展规划要求，年度任务与部门《三定方案》职责或《政府工作报告》安排及其他相关文件下达的任务相关联，具有充分的法规依据。部门设定的预期产出效益为完成全市各街道的清扫保洁、垃圾清运等，常态化开展卫生整治，为城市建设作出贡献，符合正常业绩水平。依据评分标准，部门设定的整体绩效目标依据充分，得1分；设定的预期产出效益符合正常业绩水平，得1分；设定的绩效目标与部门履职、年度工作任务相符，得1分；绩效目标合理性指标权重3分，得分3分。      </w:t>
      </w:r>
    </w:p>
    <w:p w14:paraId="46F1E088">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（2）A1-2绩效指标明确性</w:t>
      </w:r>
    </w:p>
    <w:p w14:paraId="778E6B58">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70" w:leftChars="0" w:firstLine="560" w:firstLineChars="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永济市市容环卫中心设定的绩效指标具体如下：</w:t>
      </w:r>
    </w:p>
    <w:p w14:paraId="7EDC3EC1">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70" w:leftChars="0" w:firstLine="560" w:firstLineChars="0"/>
        <w:textAlignment w:val="auto"/>
        <w:rPr>
          <w:rFonts w:hint="eastAsia" w:ascii="仿宋" w:hAnsi="仿宋" w:eastAsia="仿宋" w:cs="仿宋"/>
          <w:b w:val="0"/>
          <w:bCs w:val="0"/>
          <w:sz w:val="28"/>
          <w:szCs w:val="36"/>
          <w:lang w:val="en-US" w:eastAsia="zh-CN"/>
        </w:rPr>
      </w:pPr>
    </w:p>
    <w:p w14:paraId="6EDF9E2C">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70" w:leftChars="0" w:firstLine="560" w:firstLineChars="0"/>
        <w:textAlignment w:val="auto"/>
        <w:rPr>
          <w:rFonts w:hint="eastAsia" w:ascii="仿宋" w:hAnsi="仿宋" w:eastAsia="仿宋" w:cs="仿宋"/>
          <w:b w:val="0"/>
          <w:bCs w:val="0"/>
          <w:sz w:val="28"/>
          <w:szCs w:val="36"/>
          <w:lang w:val="en-US" w:eastAsia="zh-CN"/>
        </w:rPr>
      </w:pPr>
    </w:p>
    <w:tbl>
      <w:tblPr>
        <w:tblStyle w:val="13"/>
        <w:tblW w:w="0" w:type="auto"/>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453"/>
        <w:gridCol w:w="1453"/>
        <w:gridCol w:w="4480"/>
      </w:tblGrid>
      <w:tr w14:paraId="0B1D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30" w:type="dxa"/>
            <w:vAlign w:val="center"/>
          </w:tcPr>
          <w:p w14:paraId="332B41E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一级指标</w:t>
            </w:r>
          </w:p>
        </w:tc>
        <w:tc>
          <w:tcPr>
            <w:tcW w:w="1453" w:type="dxa"/>
            <w:vAlign w:val="center"/>
          </w:tcPr>
          <w:p w14:paraId="549D220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二级指标</w:t>
            </w:r>
          </w:p>
        </w:tc>
        <w:tc>
          <w:tcPr>
            <w:tcW w:w="1453" w:type="dxa"/>
            <w:vAlign w:val="center"/>
          </w:tcPr>
          <w:p w14:paraId="31F0384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三级指标</w:t>
            </w:r>
          </w:p>
        </w:tc>
        <w:tc>
          <w:tcPr>
            <w:tcW w:w="4480" w:type="dxa"/>
            <w:vAlign w:val="center"/>
          </w:tcPr>
          <w:p w14:paraId="2D4323D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指标值</w:t>
            </w:r>
          </w:p>
        </w:tc>
      </w:tr>
      <w:tr w14:paraId="2895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Merge w:val="restart"/>
            <w:vAlign w:val="center"/>
          </w:tcPr>
          <w:p w14:paraId="5443517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产出指标</w:t>
            </w:r>
          </w:p>
        </w:tc>
        <w:tc>
          <w:tcPr>
            <w:tcW w:w="1453" w:type="dxa"/>
            <w:vMerge w:val="restart"/>
            <w:vAlign w:val="center"/>
          </w:tcPr>
          <w:p w14:paraId="2F6614B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数量指标</w:t>
            </w:r>
          </w:p>
        </w:tc>
        <w:tc>
          <w:tcPr>
            <w:tcW w:w="1453" w:type="dxa"/>
            <w:vAlign w:val="center"/>
          </w:tcPr>
          <w:p w14:paraId="4307AB5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主城区街道的清扫保洁</w:t>
            </w:r>
          </w:p>
        </w:tc>
        <w:tc>
          <w:tcPr>
            <w:tcW w:w="4480" w:type="dxa"/>
            <w:vAlign w:val="center"/>
          </w:tcPr>
          <w:p w14:paraId="2EAA0D6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清扫保洁面积覆盖385.29万㎡，包括清掏绿化带和树坑，擦洗果皮箱和垃圾箱体</w:t>
            </w:r>
          </w:p>
        </w:tc>
      </w:tr>
      <w:tr w14:paraId="043F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Merge w:val="continue"/>
            <w:vAlign w:val="center"/>
          </w:tcPr>
          <w:p w14:paraId="219FC6D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p>
        </w:tc>
        <w:tc>
          <w:tcPr>
            <w:tcW w:w="1453" w:type="dxa"/>
            <w:vMerge w:val="continue"/>
            <w:vAlign w:val="center"/>
          </w:tcPr>
          <w:p w14:paraId="42DDEE0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p>
        </w:tc>
        <w:tc>
          <w:tcPr>
            <w:tcW w:w="1453" w:type="dxa"/>
            <w:vAlign w:val="center"/>
          </w:tcPr>
          <w:p w14:paraId="1F840BF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主城区的垃圾清运</w:t>
            </w:r>
          </w:p>
        </w:tc>
        <w:tc>
          <w:tcPr>
            <w:tcW w:w="4480" w:type="dxa"/>
            <w:vAlign w:val="center"/>
          </w:tcPr>
          <w:p w14:paraId="255A53E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110家单位和80余个住宅小区、绿化带及树坑、果皮箱及垃圾箱的垃圾清运。</w:t>
            </w:r>
          </w:p>
        </w:tc>
      </w:tr>
      <w:tr w14:paraId="7D61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Merge w:val="continue"/>
            <w:vAlign w:val="center"/>
          </w:tcPr>
          <w:p w14:paraId="400B40E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p>
        </w:tc>
        <w:tc>
          <w:tcPr>
            <w:tcW w:w="1453" w:type="dxa"/>
            <w:vMerge w:val="continue"/>
            <w:vAlign w:val="center"/>
          </w:tcPr>
          <w:p w14:paraId="5D8AFAE4">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p>
        </w:tc>
        <w:tc>
          <w:tcPr>
            <w:tcW w:w="1453" w:type="dxa"/>
            <w:vAlign w:val="center"/>
          </w:tcPr>
          <w:p w14:paraId="79D7A62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驿站公厕、垃圾中转站的管理</w:t>
            </w:r>
          </w:p>
        </w:tc>
        <w:tc>
          <w:tcPr>
            <w:tcW w:w="4480" w:type="dxa"/>
            <w:vAlign w:val="center"/>
          </w:tcPr>
          <w:p w14:paraId="0F8F8A1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对33座驿站公厕、4座中转站进行日常管理保洁</w:t>
            </w:r>
          </w:p>
        </w:tc>
      </w:tr>
      <w:tr w14:paraId="1418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Merge w:val="continue"/>
            <w:vAlign w:val="center"/>
          </w:tcPr>
          <w:p w14:paraId="5A6BBE3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p>
        </w:tc>
        <w:tc>
          <w:tcPr>
            <w:tcW w:w="1453" w:type="dxa"/>
            <w:vMerge w:val="continue"/>
            <w:vAlign w:val="center"/>
          </w:tcPr>
          <w:p w14:paraId="6CDDBAA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p>
        </w:tc>
        <w:tc>
          <w:tcPr>
            <w:tcW w:w="1453" w:type="dxa"/>
            <w:vAlign w:val="center"/>
          </w:tcPr>
          <w:p w14:paraId="57835FA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垃圾处置费征收</w:t>
            </w:r>
          </w:p>
        </w:tc>
        <w:tc>
          <w:tcPr>
            <w:tcW w:w="4480" w:type="dxa"/>
            <w:vAlign w:val="center"/>
          </w:tcPr>
          <w:p w14:paraId="74A20BA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100%征收</w:t>
            </w:r>
          </w:p>
        </w:tc>
      </w:tr>
      <w:tr w14:paraId="37A8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Merge w:val="continue"/>
            <w:vAlign w:val="center"/>
          </w:tcPr>
          <w:p w14:paraId="11F5D5A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p>
        </w:tc>
        <w:tc>
          <w:tcPr>
            <w:tcW w:w="1453" w:type="dxa"/>
            <w:vMerge w:val="restart"/>
            <w:vAlign w:val="center"/>
          </w:tcPr>
          <w:p w14:paraId="2AECA01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质量指标</w:t>
            </w:r>
          </w:p>
        </w:tc>
        <w:tc>
          <w:tcPr>
            <w:tcW w:w="1453" w:type="dxa"/>
            <w:vAlign w:val="center"/>
          </w:tcPr>
          <w:p w14:paraId="33B50EB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清扫保洁标准</w:t>
            </w:r>
          </w:p>
        </w:tc>
        <w:tc>
          <w:tcPr>
            <w:tcW w:w="4480" w:type="dxa"/>
            <w:vAlign w:val="center"/>
          </w:tcPr>
          <w:p w14:paraId="59833EA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路面达到“六无、六净”标准，（六无：无烟头纸屑、无砂石尘土、无污水、无瓜皮果核、无垃圾、无砖头瓦块；六净：路面净，下水口净，人行道净，树坑墙根净，绿化带净，垃圾容器净）</w:t>
            </w:r>
          </w:p>
        </w:tc>
      </w:tr>
      <w:tr w14:paraId="214A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Merge w:val="continue"/>
            <w:vAlign w:val="center"/>
          </w:tcPr>
          <w:p w14:paraId="1312855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p>
        </w:tc>
        <w:tc>
          <w:tcPr>
            <w:tcW w:w="1453" w:type="dxa"/>
            <w:vMerge w:val="continue"/>
            <w:vAlign w:val="center"/>
          </w:tcPr>
          <w:p w14:paraId="48584A3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p>
        </w:tc>
        <w:tc>
          <w:tcPr>
            <w:tcW w:w="1453" w:type="dxa"/>
            <w:vAlign w:val="center"/>
          </w:tcPr>
          <w:p w14:paraId="3BB31B6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垃圾清运标准</w:t>
            </w:r>
          </w:p>
        </w:tc>
        <w:tc>
          <w:tcPr>
            <w:tcW w:w="4480" w:type="dxa"/>
            <w:vAlign w:val="center"/>
          </w:tcPr>
          <w:p w14:paraId="290D0EE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“日产日清，夜产夜清、不漏点，不甩点”；“三净六无”；三净：箱体净、周边地面净、设施净，六无：无抛撒、无积存、无满溢、无暴露、无燃烧、无污水</w:t>
            </w:r>
          </w:p>
        </w:tc>
      </w:tr>
      <w:tr w14:paraId="0CCF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Merge w:val="continue"/>
            <w:vAlign w:val="center"/>
          </w:tcPr>
          <w:p w14:paraId="7379E5C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p>
        </w:tc>
        <w:tc>
          <w:tcPr>
            <w:tcW w:w="1453" w:type="dxa"/>
            <w:vMerge w:val="continue"/>
            <w:vAlign w:val="center"/>
          </w:tcPr>
          <w:p w14:paraId="5935E23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p>
        </w:tc>
        <w:tc>
          <w:tcPr>
            <w:tcW w:w="1453" w:type="dxa"/>
            <w:vAlign w:val="center"/>
          </w:tcPr>
          <w:p w14:paraId="530A1A6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驿站、公厕、垃圾中转站管理标准</w:t>
            </w:r>
          </w:p>
        </w:tc>
        <w:tc>
          <w:tcPr>
            <w:tcW w:w="4480" w:type="dxa"/>
            <w:vAlign w:val="center"/>
          </w:tcPr>
          <w:p w14:paraId="10843DE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“四净三无两通一明一香”标准</w:t>
            </w:r>
          </w:p>
        </w:tc>
      </w:tr>
      <w:tr w14:paraId="482E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Merge w:val="continue"/>
            <w:vAlign w:val="center"/>
          </w:tcPr>
          <w:p w14:paraId="2E8EDA2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p>
        </w:tc>
        <w:tc>
          <w:tcPr>
            <w:tcW w:w="1453" w:type="dxa"/>
            <w:vAlign w:val="center"/>
          </w:tcPr>
          <w:p w14:paraId="2FF695E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时效指标</w:t>
            </w:r>
          </w:p>
        </w:tc>
        <w:tc>
          <w:tcPr>
            <w:tcW w:w="1453" w:type="dxa"/>
            <w:vAlign w:val="center"/>
          </w:tcPr>
          <w:p w14:paraId="381C318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清扫保洁时间</w:t>
            </w:r>
          </w:p>
        </w:tc>
        <w:tc>
          <w:tcPr>
            <w:tcW w:w="4480" w:type="dxa"/>
            <w:vAlign w:val="center"/>
          </w:tcPr>
          <w:p w14:paraId="51C67757">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分为两班倒，5点至21点</w:t>
            </w:r>
          </w:p>
        </w:tc>
      </w:tr>
      <w:tr w14:paraId="64C8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Merge w:val="continue"/>
            <w:vAlign w:val="center"/>
          </w:tcPr>
          <w:p w14:paraId="28F2975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p>
        </w:tc>
        <w:tc>
          <w:tcPr>
            <w:tcW w:w="1453" w:type="dxa"/>
            <w:vAlign w:val="center"/>
          </w:tcPr>
          <w:p w14:paraId="52BFB40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成本指标</w:t>
            </w:r>
          </w:p>
        </w:tc>
        <w:tc>
          <w:tcPr>
            <w:tcW w:w="1453" w:type="dxa"/>
            <w:vAlign w:val="center"/>
          </w:tcPr>
          <w:p w14:paraId="723FFB8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城市维护费</w:t>
            </w:r>
          </w:p>
        </w:tc>
        <w:tc>
          <w:tcPr>
            <w:tcW w:w="4480" w:type="dxa"/>
            <w:vAlign w:val="center"/>
          </w:tcPr>
          <w:p w14:paraId="21C4F1A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100%执行年初预算</w:t>
            </w:r>
          </w:p>
        </w:tc>
      </w:tr>
      <w:tr w14:paraId="7C56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Merge w:val="restart"/>
            <w:vAlign w:val="center"/>
          </w:tcPr>
          <w:p w14:paraId="32E067C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效益指标</w:t>
            </w:r>
          </w:p>
        </w:tc>
        <w:tc>
          <w:tcPr>
            <w:tcW w:w="1453" w:type="dxa"/>
            <w:vAlign w:val="center"/>
          </w:tcPr>
          <w:p w14:paraId="2D010AE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社会效益</w:t>
            </w:r>
          </w:p>
        </w:tc>
        <w:tc>
          <w:tcPr>
            <w:tcW w:w="1453" w:type="dxa"/>
            <w:vAlign w:val="center"/>
          </w:tcPr>
          <w:p w14:paraId="133B3E8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市民生活质量</w:t>
            </w:r>
          </w:p>
        </w:tc>
        <w:tc>
          <w:tcPr>
            <w:tcW w:w="4480" w:type="dxa"/>
            <w:vAlign w:val="center"/>
          </w:tcPr>
          <w:p w14:paraId="4DF9DAD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提升</w:t>
            </w:r>
          </w:p>
        </w:tc>
      </w:tr>
      <w:tr w14:paraId="6104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Merge w:val="continue"/>
            <w:vAlign w:val="center"/>
          </w:tcPr>
          <w:p w14:paraId="1895931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p>
        </w:tc>
        <w:tc>
          <w:tcPr>
            <w:tcW w:w="1453" w:type="dxa"/>
            <w:vAlign w:val="center"/>
          </w:tcPr>
          <w:p w14:paraId="38206E3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生态效益</w:t>
            </w:r>
          </w:p>
        </w:tc>
        <w:tc>
          <w:tcPr>
            <w:tcW w:w="1453" w:type="dxa"/>
            <w:vAlign w:val="center"/>
          </w:tcPr>
          <w:p w14:paraId="598D73A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环境卫生</w:t>
            </w:r>
          </w:p>
        </w:tc>
        <w:tc>
          <w:tcPr>
            <w:tcW w:w="4480" w:type="dxa"/>
            <w:vAlign w:val="center"/>
          </w:tcPr>
          <w:p w14:paraId="53F540F5">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保持或提升</w:t>
            </w:r>
          </w:p>
        </w:tc>
      </w:tr>
      <w:tr w14:paraId="3164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Merge w:val="continue"/>
            <w:vAlign w:val="center"/>
          </w:tcPr>
          <w:p w14:paraId="6464770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p>
        </w:tc>
        <w:tc>
          <w:tcPr>
            <w:tcW w:w="1453" w:type="dxa"/>
            <w:vAlign w:val="center"/>
          </w:tcPr>
          <w:p w14:paraId="27FBECD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满意度</w:t>
            </w:r>
          </w:p>
        </w:tc>
        <w:tc>
          <w:tcPr>
            <w:tcW w:w="1453" w:type="dxa"/>
            <w:vAlign w:val="center"/>
          </w:tcPr>
          <w:p w14:paraId="1E575BD9">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受益群体</w:t>
            </w:r>
          </w:p>
        </w:tc>
        <w:tc>
          <w:tcPr>
            <w:tcW w:w="4480" w:type="dxa"/>
            <w:vAlign w:val="center"/>
          </w:tcPr>
          <w:p w14:paraId="2CE4F8E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良好</w:t>
            </w:r>
          </w:p>
        </w:tc>
      </w:tr>
    </w:tbl>
    <w:p w14:paraId="6F59BA2C">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70" w:leftChars="0" w:firstLine="560" w:firstLineChars="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依据评分标准，绩效目标细化分解为具体指标，得1分；绩效指标清晰、可衡量，得1分；绩效指标明确性权重2分，得分2分。</w:t>
      </w:r>
    </w:p>
    <w:p w14:paraId="492C5518">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highlight w:val="none"/>
          <w:lang w:val="en-US" w:eastAsia="zh-CN"/>
        </w:rPr>
        <w:t>2</w:t>
      </w:r>
      <w:r>
        <w:rPr>
          <w:rFonts w:hint="eastAsia" w:ascii="仿宋" w:hAnsi="仿宋" w:eastAsia="仿宋" w:cs="仿宋"/>
          <w:b/>
          <w:bCs/>
          <w:sz w:val="28"/>
          <w:szCs w:val="28"/>
          <w:highlight w:val="none"/>
          <w:lang w:val="en-US" w:eastAsia="zh-CN"/>
        </w:rPr>
        <w:t>.A2预算配置,权重10分，得分9.86分</w:t>
      </w:r>
    </w:p>
    <w:p w14:paraId="0183B235">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（1）A2-1预算编制科学性</w:t>
      </w:r>
    </w:p>
    <w:p w14:paraId="3110380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2023年编制的预算收入是2,042.26万元。预算编制情况为：基本支出420.74万元，包括工资福利支出409.6万元，对个人和家庭的补助11.14万元。项目支出1,621.52万元，包括城市维护费1,608.00万元，新建驿站内部设施政府采购10万元，遗属补助3.52万元；其中城市维护费中工资测算标准为临时人员工资109万元/月，全年1,308.00万元；公用经费（管护费用）35万元/月，全年420.00万元。</w:t>
      </w:r>
    </w:p>
    <w:p w14:paraId="2352DC22">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依据评分标准，预算编制报送及时准确得1分；基本支出编报真实准确得1分；项目支出编制细化具体得1分；资金分配计划等相关资料报送及时准确得1分；预算编制科学性指标权重4分，得分4分。</w:t>
      </w:r>
    </w:p>
    <w:p w14:paraId="7FBD0960">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（2）A2-2预算配置合理性</w:t>
      </w:r>
    </w:p>
    <w:p w14:paraId="1C7888FB">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sz w:val="28"/>
          <w:szCs w:val="36"/>
          <w:lang w:val="en-US" w:eastAsia="zh-CN"/>
        </w:rPr>
        <w:t>①</w:t>
      </w:r>
      <w:r>
        <w:rPr>
          <w:rFonts w:hint="eastAsia" w:ascii="仿宋" w:hAnsi="仿宋" w:eastAsia="仿宋" w:cs="仿宋"/>
          <w:b w:val="0"/>
          <w:bCs w:val="0"/>
          <w:kern w:val="2"/>
          <w:sz w:val="28"/>
          <w:szCs w:val="28"/>
          <w:highlight w:val="none"/>
          <w:lang w:val="en-US" w:eastAsia="zh-CN" w:bidi="ar-SA"/>
        </w:rPr>
        <w:t>永济市市容环卫中心2023年编制的预算收入是2,042.26万元。全部为一般公共预算，符合《预算法》“一般公共预算安排用于保障和改善社会民生，推动经济社会发展，维持国家机构正常运转”。</w:t>
      </w:r>
    </w:p>
    <w:p w14:paraId="48F4D7D1">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kern w:val="2"/>
          <w:sz w:val="28"/>
          <w:szCs w:val="28"/>
          <w:highlight w:val="none"/>
          <w:lang w:val="en-US" w:eastAsia="zh-CN" w:bidi="ar-SA"/>
        </w:rPr>
        <w:t>永济市市容环卫中心</w:t>
      </w:r>
      <w:r>
        <w:rPr>
          <w:rFonts w:hint="eastAsia" w:ascii="仿宋" w:hAnsi="仿宋" w:eastAsia="仿宋" w:cs="仿宋"/>
          <w:b w:val="0"/>
          <w:bCs w:val="0"/>
          <w:sz w:val="28"/>
          <w:szCs w:val="36"/>
          <w:lang w:val="en-US" w:eastAsia="zh-CN"/>
        </w:rPr>
        <w:t>2023年收入预算为2,042.26万元，比上年增长4.75%。支出预算为2,042.26万元，比上年增长4.75%，其中工资福利支出为409.60万元，比上年增长5.74%，原因是人员工资调整；对个人和家庭的补助为11.14万元，比上年减少21.91%，原因是遗属补助调整到项目支出；商品服务支出为0万元,原因是部门经济分类科目调整；项目支出为1,621.52万元，比上年增长4.75%，原因是公用经费比上年增加，新增城市驿站内部设施采购项目。</w:t>
      </w:r>
    </w:p>
    <w:p w14:paraId="61320299">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依据评分标准，预算编制符合《预算法》及编制要求得1分；收支范围及支出方向有相应法律依据得1分；预算较上年增减变动，符合部门履职需要得1分。此处得分3分。</w:t>
      </w:r>
    </w:p>
    <w:p w14:paraId="28C489C6">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②永济市市容环卫中心2023年“三公经费”预算0元，与上年一致，依据评分标准，三公经费变动率≤0，得1分。此处得分1分。</w:t>
      </w:r>
    </w:p>
    <w:p w14:paraId="0C62D06F">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永济市市容环卫中心重点支出为城市维护费1,608万元，新建驿站内部设施采购10万元，占总支出的79.23%，依据评分标准，重点支出安排率＞85%得2分，在50%-85%之间的，计算确定，此处得分=（79.23%/85%）×2分=1.86分。</w:t>
      </w:r>
    </w:p>
    <w:p w14:paraId="5ACB05D8">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预算配置合理性指标权重6分，得分5.86分。</w:t>
      </w:r>
    </w:p>
    <w:p w14:paraId="39B80477">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sz w:val="28"/>
          <w:szCs w:val="28"/>
          <w:highlight w:val="none"/>
          <w:lang w:val="en-US" w:eastAsia="zh-CN"/>
        </w:rPr>
      </w:pPr>
      <w:bookmarkStart w:id="70" w:name="_Toc983"/>
      <w:r>
        <w:rPr>
          <w:rFonts w:hint="eastAsia" w:ascii="仿宋" w:hAnsi="仿宋" w:eastAsia="仿宋" w:cs="仿宋"/>
          <w:b/>
          <w:bCs/>
          <w:sz w:val="28"/>
          <w:szCs w:val="28"/>
          <w:highlight w:val="none"/>
          <w:lang w:val="en-US" w:eastAsia="zh-CN"/>
        </w:rPr>
        <w:t>（二）部门管理分析</w:t>
      </w:r>
      <w:bookmarkEnd w:id="70"/>
    </w:p>
    <w:p w14:paraId="01FB0AD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部门管理从预算管理、收支管理、资产管理、其他管理四个方面进行分析，共设置四个二级指标十个三级指标。管理效率分值40分，实际得分33.99分，得分率84.98%。各分项指标得分情况如下表所示：</w:t>
      </w:r>
    </w:p>
    <w:p w14:paraId="23850410">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highlight w:val="none"/>
          <w:lang w:val="en-US" w:eastAsia="zh-CN"/>
        </w:rPr>
      </w:pPr>
      <w:r>
        <w:rPr>
          <w:rFonts w:hint="eastAsia" w:ascii="仿宋" w:hAnsi="仿宋" w:eastAsia="仿宋" w:cs="仿宋"/>
          <w:sz w:val="28"/>
          <w:szCs w:val="28"/>
          <w:highlight w:val="none"/>
          <w:lang w:val="en-US" w:eastAsia="zh-CN"/>
        </w:rPr>
        <w:t>部门管理得分情况表</w:t>
      </w:r>
    </w:p>
    <w:tbl>
      <w:tblPr>
        <w:tblStyle w:val="12"/>
        <w:tblW w:w="4998" w:type="pct"/>
        <w:jc w:val="center"/>
        <w:shd w:val="clear" w:color="auto" w:fill="auto"/>
        <w:tblLayout w:type="autofit"/>
        <w:tblCellMar>
          <w:top w:w="0" w:type="dxa"/>
          <w:left w:w="0" w:type="dxa"/>
          <w:bottom w:w="0" w:type="dxa"/>
          <w:right w:w="0" w:type="dxa"/>
        </w:tblCellMar>
      </w:tblPr>
      <w:tblGrid>
        <w:gridCol w:w="1385"/>
        <w:gridCol w:w="3371"/>
        <w:gridCol w:w="1187"/>
        <w:gridCol w:w="1189"/>
        <w:gridCol w:w="1189"/>
      </w:tblGrid>
      <w:tr w14:paraId="1C5FA874">
        <w:tblPrEx>
          <w:tblCellMar>
            <w:top w:w="0" w:type="dxa"/>
            <w:left w:w="0" w:type="dxa"/>
            <w:bottom w:w="0" w:type="dxa"/>
            <w:right w:w="0" w:type="dxa"/>
          </w:tblCellMar>
        </w:tblPrEx>
        <w:trPr>
          <w:trHeight w:val="363" w:hRule="atLeast"/>
          <w:tblHeader/>
          <w:jc w:val="center"/>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AF49800">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二级指标</w:t>
            </w:r>
          </w:p>
        </w:tc>
        <w:tc>
          <w:tcPr>
            <w:tcW w:w="202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A45AFD5">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三级指标</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52E6288">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权重</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219A374">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 xml:space="preserve"> 得分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F958558">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得分率</w:t>
            </w:r>
          </w:p>
        </w:tc>
      </w:tr>
      <w:tr w14:paraId="28BB41CB">
        <w:tblPrEx>
          <w:tblCellMar>
            <w:top w:w="0" w:type="dxa"/>
            <w:left w:w="0" w:type="dxa"/>
            <w:bottom w:w="0" w:type="dxa"/>
            <w:right w:w="0" w:type="dxa"/>
          </w:tblCellMar>
        </w:tblPrEx>
        <w:trPr>
          <w:trHeight w:val="360" w:hRule="atLeast"/>
          <w:jc w:val="center"/>
        </w:trPr>
        <w:tc>
          <w:tcPr>
            <w:tcW w:w="832"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4341971">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B1预算管理</w:t>
            </w: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36C5109">
            <w:pPr>
              <w:keepNext w:val="0"/>
              <w:keepLines w:val="0"/>
              <w:widowControl/>
              <w:suppressLineNumbers w:val="0"/>
              <w:jc w:val="left"/>
              <w:textAlignment w:val="center"/>
              <w:rPr>
                <w:rFonts w:hint="eastAsia" w:ascii="仿宋" w:hAnsi="仿宋" w:eastAsia="仿宋" w:cs="仿宋"/>
                <w:i w:val="0"/>
                <w:color w:val="000000"/>
                <w:sz w:val="24"/>
                <w:szCs w:val="24"/>
                <w:highlight w:val="none"/>
                <w:u w:val="none"/>
                <w:lang w:val="en-US"/>
              </w:rPr>
            </w:pPr>
            <w:r>
              <w:rPr>
                <w:rFonts w:hint="eastAsia" w:ascii="仿宋" w:hAnsi="仿宋" w:eastAsia="仿宋" w:cs="仿宋"/>
                <w:i w:val="0"/>
                <w:color w:val="000000"/>
                <w:kern w:val="0"/>
                <w:sz w:val="24"/>
                <w:szCs w:val="24"/>
                <w:highlight w:val="none"/>
                <w:u w:val="none"/>
                <w:lang w:val="en-US" w:eastAsia="zh-CN" w:bidi="ar"/>
              </w:rPr>
              <w:t>B1-1预算执行管理</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D56C1BC">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8</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9EC68E3">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7.27</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097AF56">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90.88%</w:t>
            </w:r>
          </w:p>
        </w:tc>
      </w:tr>
      <w:tr w14:paraId="50C71B5C">
        <w:tblPrEx>
          <w:tblCellMar>
            <w:top w:w="0" w:type="dxa"/>
            <w:left w:w="0" w:type="dxa"/>
            <w:bottom w:w="0" w:type="dxa"/>
            <w:right w:w="0" w:type="dxa"/>
          </w:tblCellMar>
        </w:tblPrEx>
        <w:trPr>
          <w:trHeight w:val="360" w:hRule="atLeast"/>
          <w:jc w:val="center"/>
        </w:trPr>
        <w:tc>
          <w:tcPr>
            <w:tcW w:w="83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1DEF137">
            <w:pPr>
              <w:jc w:val="center"/>
              <w:rPr>
                <w:rFonts w:hint="eastAsia" w:ascii="仿宋" w:hAnsi="仿宋" w:eastAsia="仿宋" w:cs="仿宋"/>
                <w:i w:val="0"/>
                <w:color w:val="000000"/>
                <w:sz w:val="24"/>
                <w:szCs w:val="24"/>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6DCEF50">
            <w:pPr>
              <w:keepNext w:val="0"/>
              <w:keepLines w:val="0"/>
              <w:widowControl/>
              <w:suppressLineNumbers w:val="0"/>
              <w:jc w:val="left"/>
              <w:textAlignment w:val="center"/>
              <w:rPr>
                <w:rFonts w:hint="eastAsia" w:ascii="仿宋" w:hAnsi="仿宋" w:eastAsia="仿宋" w:cs="仿宋"/>
                <w:i w:val="0"/>
                <w:color w:val="000000"/>
                <w:sz w:val="24"/>
                <w:szCs w:val="24"/>
                <w:highlight w:val="none"/>
                <w:u w:val="none"/>
                <w:lang w:val="en-US"/>
              </w:rPr>
            </w:pPr>
            <w:r>
              <w:rPr>
                <w:rFonts w:hint="eastAsia" w:ascii="仿宋" w:hAnsi="仿宋" w:eastAsia="仿宋" w:cs="仿宋"/>
                <w:i w:val="0"/>
                <w:color w:val="000000"/>
                <w:kern w:val="0"/>
                <w:sz w:val="24"/>
                <w:szCs w:val="24"/>
                <w:highlight w:val="none"/>
                <w:u w:val="none"/>
                <w:lang w:val="en-US" w:eastAsia="zh-CN" w:bidi="ar"/>
              </w:rPr>
              <w:t>B1-2预算绩效管理</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D4388D0">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F87539B">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5</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6734BB5">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71.43%</w:t>
            </w:r>
          </w:p>
        </w:tc>
      </w:tr>
      <w:tr w14:paraId="7DDAA09C">
        <w:tblPrEx>
          <w:tblCellMar>
            <w:top w:w="0" w:type="dxa"/>
            <w:left w:w="0" w:type="dxa"/>
            <w:bottom w:w="0" w:type="dxa"/>
            <w:right w:w="0" w:type="dxa"/>
          </w:tblCellMar>
        </w:tblPrEx>
        <w:trPr>
          <w:trHeight w:val="360" w:hRule="atLeast"/>
          <w:jc w:val="center"/>
        </w:trPr>
        <w:tc>
          <w:tcPr>
            <w:tcW w:w="83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4CADD74">
            <w:pPr>
              <w:jc w:val="center"/>
              <w:rPr>
                <w:rFonts w:hint="eastAsia" w:ascii="仿宋" w:hAnsi="仿宋" w:eastAsia="仿宋" w:cs="仿宋"/>
                <w:i w:val="0"/>
                <w:color w:val="000000"/>
                <w:sz w:val="24"/>
                <w:szCs w:val="24"/>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0C7BAA8">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56330AD">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15</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765AE07">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12.27</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C72A7BA">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81.80%</w:t>
            </w:r>
          </w:p>
        </w:tc>
      </w:tr>
      <w:tr w14:paraId="5F7A1618">
        <w:tblPrEx>
          <w:tblCellMar>
            <w:top w:w="0" w:type="dxa"/>
            <w:left w:w="0" w:type="dxa"/>
            <w:bottom w:w="0" w:type="dxa"/>
            <w:right w:w="0" w:type="dxa"/>
          </w:tblCellMar>
        </w:tblPrEx>
        <w:trPr>
          <w:trHeight w:val="360" w:hRule="atLeast"/>
          <w:jc w:val="center"/>
        </w:trPr>
        <w:tc>
          <w:tcPr>
            <w:tcW w:w="832"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B0E66C1">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B2收支管理</w:t>
            </w: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CB30246">
            <w:pPr>
              <w:keepNext w:val="0"/>
              <w:keepLines w:val="0"/>
              <w:widowControl/>
              <w:suppressLineNumbers w:val="0"/>
              <w:jc w:val="left"/>
              <w:textAlignment w:val="center"/>
              <w:rPr>
                <w:rFonts w:hint="eastAsia" w:ascii="仿宋" w:hAnsi="仿宋" w:eastAsia="仿宋" w:cs="仿宋"/>
                <w:i w:val="0"/>
                <w:color w:val="000000"/>
                <w:sz w:val="24"/>
                <w:szCs w:val="24"/>
                <w:highlight w:val="none"/>
                <w:u w:val="none"/>
                <w:lang w:val="en-US"/>
              </w:rPr>
            </w:pPr>
            <w:r>
              <w:rPr>
                <w:rFonts w:hint="eastAsia" w:ascii="仿宋" w:hAnsi="仿宋" w:eastAsia="仿宋" w:cs="仿宋"/>
                <w:i w:val="0"/>
                <w:color w:val="000000"/>
                <w:kern w:val="0"/>
                <w:sz w:val="24"/>
                <w:szCs w:val="24"/>
                <w:highlight w:val="none"/>
                <w:u w:val="none"/>
                <w:lang w:val="en-US" w:eastAsia="zh-CN" w:bidi="ar"/>
              </w:rPr>
              <w:t>B2-1收支管理规范性</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2CCF39A">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6</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6E134A0">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5.9</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023AD8A0">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98.33%</w:t>
            </w:r>
          </w:p>
        </w:tc>
      </w:tr>
      <w:tr w14:paraId="72678C4F">
        <w:tblPrEx>
          <w:tblCellMar>
            <w:top w:w="0" w:type="dxa"/>
            <w:left w:w="0" w:type="dxa"/>
            <w:bottom w:w="0" w:type="dxa"/>
            <w:right w:w="0" w:type="dxa"/>
          </w:tblCellMar>
        </w:tblPrEx>
        <w:trPr>
          <w:trHeight w:val="360" w:hRule="atLeast"/>
          <w:jc w:val="center"/>
        </w:trPr>
        <w:tc>
          <w:tcPr>
            <w:tcW w:w="83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EAB0FF5">
            <w:pPr>
              <w:jc w:val="center"/>
              <w:rPr>
                <w:rFonts w:hint="eastAsia" w:ascii="仿宋" w:hAnsi="仿宋" w:eastAsia="仿宋" w:cs="仿宋"/>
                <w:i w:val="0"/>
                <w:color w:val="000000"/>
                <w:sz w:val="24"/>
                <w:szCs w:val="24"/>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47C6A42">
            <w:pPr>
              <w:keepNext w:val="0"/>
              <w:keepLines w:val="0"/>
              <w:widowControl/>
              <w:suppressLineNumbers w:val="0"/>
              <w:jc w:val="left"/>
              <w:textAlignment w:val="center"/>
              <w:rPr>
                <w:rFonts w:hint="eastAsia" w:ascii="仿宋" w:hAnsi="仿宋" w:eastAsia="仿宋" w:cs="仿宋"/>
                <w:i w:val="0"/>
                <w:color w:val="000000"/>
                <w:sz w:val="24"/>
                <w:szCs w:val="24"/>
                <w:highlight w:val="none"/>
                <w:u w:val="none"/>
                <w:lang w:val="en-US"/>
              </w:rPr>
            </w:pPr>
            <w:r>
              <w:rPr>
                <w:rFonts w:hint="eastAsia" w:ascii="仿宋" w:hAnsi="仿宋" w:eastAsia="仿宋" w:cs="仿宋"/>
                <w:i w:val="0"/>
                <w:color w:val="000000"/>
                <w:kern w:val="0"/>
                <w:sz w:val="24"/>
                <w:szCs w:val="24"/>
                <w:highlight w:val="none"/>
                <w:u w:val="none"/>
                <w:lang w:val="en-US" w:eastAsia="zh-CN" w:bidi="ar"/>
              </w:rPr>
              <w:t>B2-2支出结构合理性</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A9470DE">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17FBDC5">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F9FD578">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7F4400AB">
        <w:tblPrEx>
          <w:tblCellMar>
            <w:top w:w="0" w:type="dxa"/>
            <w:left w:w="0" w:type="dxa"/>
            <w:bottom w:w="0" w:type="dxa"/>
            <w:right w:w="0" w:type="dxa"/>
          </w:tblCellMar>
        </w:tblPrEx>
        <w:trPr>
          <w:trHeight w:val="360" w:hRule="atLeast"/>
          <w:jc w:val="center"/>
        </w:trPr>
        <w:tc>
          <w:tcPr>
            <w:tcW w:w="83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1F88FE1">
            <w:pPr>
              <w:jc w:val="center"/>
              <w:rPr>
                <w:rFonts w:hint="eastAsia" w:ascii="仿宋" w:hAnsi="仿宋" w:eastAsia="仿宋" w:cs="仿宋"/>
                <w:i w:val="0"/>
                <w:color w:val="000000"/>
                <w:sz w:val="24"/>
                <w:szCs w:val="24"/>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4D4F87D">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CCF61EE">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C734185">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9.9</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3605626">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99.00%</w:t>
            </w:r>
          </w:p>
        </w:tc>
      </w:tr>
      <w:tr w14:paraId="34C160BF">
        <w:tblPrEx>
          <w:tblCellMar>
            <w:top w:w="0" w:type="dxa"/>
            <w:left w:w="0" w:type="dxa"/>
            <w:bottom w:w="0" w:type="dxa"/>
            <w:right w:w="0" w:type="dxa"/>
          </w:tblCellMar>
        </w:tblPrEx>
        <w:trPr>
          <w:trHeight w:val="360" w:hRule="atLeast"/>
          <w:jc w:val="center"/>
        </w:trPr>
        <w:tc>
          <w:tcPr>
            <w:tcW w:w="832"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7C0A6CA">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B3资产管理</w:t>
            </w: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51ED9CC">
            <w:pPr>
              <w:keepNext w:val="0"/>
              <w:keepLines w:val="0"/>
              <w:widowControl/>
              <w:suppressLineNumbers w:val="0"/>
              <w:jc w:val="left"/>
              <w:textAlignment w:val="center"/>
              <w:rPr>
                <w:rFonts w:hint="eastAsia" w:ascii="仿宋" w:hAnsi="仿宋" w:eastAsia="仿宋" w:cs="仿宋"/>
                <w:i w:val="0"/>
                <w:color w:val="000000"/>
                <w:sz w:val="24"/>
                <w:szCs w:val="24"/>
                <w:highlight w:val="none"/>
                <w:u w:val="none"/>
                <w:lang w:val="en-US"/>
              </w:rPr>
            </w:pPr>
            <w:r>
              <w:rPr>
                <w:rFonts w:hint="eastAsia" w:ascii="仿宋" w:hAnsi="仿宋" w:eastAsia="仿宋" w:cs="仿宋"/>
                <w:i w:val="0"/>
                <w:color w:val="000000"/>
                <w:kern w:val="0"/>
                <w:sz w:val="24"/>
                <w:szCs w:val="24"/>
                <w:highlight w:val="none"/>
                <w:u w:val="none"/>
                <w:lang w:val="en-US" w:eastAsia="zh-CN" w:bidi="ar"/>
              </w:rPr>
              <w:t>B3-1资产管理规范性</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A492949">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5</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ABE04C9">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0079BF6B">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80.00%</w:t>
            </w:r>
          </w:p>
        </w:tc>
      </w:tr>
      <w:tr w14:paraId="63ABCE66">
        <w:tblPrEx>
          <w:tblCellMar>
            <w:top w:w="0" w:type="dxa"/>
            <w:left w:w="0" w:type="dxa"/>
            <w:bottom w:w="0" w:type="dxa"/>
            <w:right w:w="0" w:type="dxa"/>
          </w:tblCellMar>
        </w:tblPrEx>
        <w:trPr>
          <w:trHeight w:val="360" w:hRule="atLeast"/>
          <w:jc w:val="center"/>
        </w:trPr>
        <w:tc>
          <w:tcPr>
            <w:tcW w:w="83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60B8664">
            <w:pPr>
              <w:jc w:val="center"/>
              <w:rPr>
                <w:rFonts w:hint="eastAsia" w:ascii="仿宋" w:hAnsi="仿宋" w:eastAsia="仿宋" w:cs="仿宋"/>
                <w:i w:val="0"/>
                <w:color w:val="000000"/>
                <w:sz w:val="24"/>
                <w:szCs w:val="24"/>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6E89811">
            <w:pPr>
              <w:keepNext w:val="0"/>
              <w:keepLines w:val="0"/>
              <w:widowControl/>
              <w:suppressLineNumbers w:val="0"/>
              <w:jc w:val="left"/>
              <w:textAlignment w:val="center"/>
              <w:rPr>
                <w:rFonts w:hint="eastAsia" w:ascii="仿宋" w:hAnsi="仿宋" w:eastAsia="仿宋" w:cs="仿宋"/>
                <w:i w:val="0"/>
                <w:color w:val="000000"/>
                <w:sz w:val="24"/>
                <w:szCs w:val="24"/>
                <w:highlight w:val="none"/>
                <w:u w:val="none"/>
                <w:lang w:val="en-US"/>
              </w:rPr>
            </w:pPr>
            <w:r>
              <w:rPr>
                <w:rFonts w:hint="eastAsia" w:ascii="仿宋" w:hAnsi="仿宋" w:eastAsia="仿宋" w:cs="仿宋"/>
                <w:i w:val="0"/>
                <w:color w:val="000000"/>
                <w:kern w:val="0"/>
                <w:sz w:val="24"/>
                <w:szCs w:val="24"/>
                <w:highlight w:val="none"/>
                <w:u w:val="none"/>
                <w:lang w:val="en-US" w:eastAsia="zh-CN" w:bidi="ar"/>
              </w:rPr>
              <w:t>B3-2固定资产利用率</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1F88749">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B58732E">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2DF5735">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0F77F767">
        <w:tblPrEx>
          <w:tblCellMar>
            <w:top w:w="0" w:type="dxa"/>
            <w:left w:w="0" w:type="dxa"/>
            <w:bottom w:w="0" w:type="dxa"/>
            <w:right w:w="0" w:type="dxa"/>
          </w:tblCellMar>
        </w:tblPrEx>
        <w:trPr>
          <w:trHeight w:val="360" w:hRule="atLeast"/>
          <w:jc w:val="center"/>
        </w:trPr>
        <w:tc>
          <w:tcPr>
            <w:tcW w:w="83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FC0134B">
            <w:pPr>
              <w:jc w:val="center"/>
              <w:rPr>
                <w:rFonts w:hint="eastAsia" w:ascii="仿宋" w:hAnsi="仿宋" w:eastAsia="仿宋" w:cs="仿宋"/>
                <w:i w:val="0"/>
                <w:color w:val="000000"/>
                <w:sz w:val="24"/>
                <w:szCs w:val="24"/>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34F88F9">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A505388">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8</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7AAC384">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D268CAF">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87.50%</w:t>
            </w:r>
          </w:p>
        </w:tc>
      </w:tr>
      <w:tr w14:paraId="021E07C9">
        <w:tblPrEx>
          <w:tblCellMar>
            <w:top w:w="0" w:type="dxa"/>
            <w:left w:w="0" w:type="dxa"/>
            <w:bottom w:w="0" w:type="dxa"/>
            <w:right w:w="0" w:type="dxa"/>
          </w:tblCellMar>
        </w:tblPrEx>
        <w:trPr>
          <w:trHeight w:val="360" w:hRule="atLeast"/>
          <w:jc w:val="center"/>
        </w:trPr>
        <w:tc>
          <w:tcPr>
            <w:tcW w:w="832" w:type="pct"/>
            <w:vMerge w:val="restart"/>
            <w:tcBorders>
              <w:top w:val="single" w:color="000000" w:sz="4" w:space="0"/>
              <w:left w:val="single" w:color="000000" w:sz="4" w:space="0"/>
              <w:right w:val="single" w:color="000000" w:sz="4" w:space="0"/>
            </w:tcBorders>
            <w:shd w:val="clear" w:color="auto" w:fill="auto"/>
            <w:tcMar>
              <w:top w:w="9" w:type="dxa"/>
              <w:left w:w="9" w:type="dxa"/>
              <w:right w:w="9" w:type="dxa"/>
            </w:tcMar>
            <w:vAlign w:val="center"/>
          </w:tcPr>
          <w:p w14:paraId="7F23E338">
            <w:pPr>
              <w:jc w:val="center"/>
              <w:rPr>
                <w:rFonts w:hint="eastAsia"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B4其他管理</w:t>
            </w: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F371C20">
            <w:pPr>
              <w:keepNext w:val="0"/>
              <w:keepLines w:val="0"/>
              <w:widowControl/>
              <w:suppressLineNumbers w:val="0"/>
              <w:jc w:val="left"/>
              <w:textAlignment w:val="center"/>
              <w:rPr>
                <w:rFonts w:hint="default"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B4-1人员管理</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8215E23">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A682F13">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0</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9F37E3F">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0.00%</w:t>
            </w:r>
          </w:p>
        </w:tc>
      </w:tr>
      <w:tr w14:paraId="27FFE63B">
        <w:tblPrEx>
          <w:tblCellMar>
            <w:top w:w="0" w:type="dxa"/>
            <w:left w:w="0" w:type="dxa"/>
            <w:bottom w:w="0" w:type="dxa"/>
            <w:right w:w="0" w:type="dxa"/>
          </w:tblCellMar>
        </w:tblPrEx>
        <w:trPr>
          <w:trHeight w:val="360" w:hRule="atLeast"/>
          <w:jc w:val="center"/>
        </w:trPr>
        <w:tc>
          <w:tcPr>
            <w:tcW w:w="832" w:type="pct"/>
            <w:vMerge w:val="continue"/>
            <w:tcBorders>
              <w:left w:val="single" w:color="000000" w:sz="4" w:space="0"/>
              <w:right w:val="single" w:color="000000" w:sz="4" w:space="0"/>
            </w:tcBorders>
            <w:shd w:val="clear" w:color="auto" w:fill="auto"/>
            <w:tcMar>
              <w:top w:w="9" w:type="dxa"/>
              <w:left w:w="9" w:type="dxa"/>
              <w:right w:w="9" w:type="dxa"/>
            </w:tcMar>
            <w:vAlign w:val="center"/>
          </w:tcPr>
          <w:p w14:paraId="25C3BC9A">
            <w:pPr>
              <w:jc w:val="center"/>
              <w:rPr>
                <w:rFonts w:hint="eastAsia" w:ascii="仿宋" w:hAnsi="仿宋" w:eastAsia="仿宋" w:cs="仿宋"/>
                <w:i w:val="0"/>
                <w:color w:val="000000"/>
                <w:sz w:val="24"/>
                <w:szCs w:val="24"/>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C2D374D">
            <w:pPr>
              <w:keepNext w:val="0"/>
              <w:keepLines w:val="0"/>
              <w:widowControl/>
              <w:suppressLineNumbers w:val="0"/>
              <w:jc w:val="left"/>
              <w:textAlignment w:val="center"/>
              <w:rPr>
                <w:rFonts w:hint="default"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B4-2政府采购管理</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CDBC1B4">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5B2393B">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4B06CDE">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74A1CFBA">
        <w:tblPrEx>
          <w:tblCellMar>
            <w:top w:w="0" w:type="dxa"/>
            <w:left w:w="0" w:type="dxa"/>
            <w:bottom w:w="0" w:type="dxa"/>
            <w:right w:w="0" w:type="dxa"/>
          </w:tblCellMar>
        </w:tblPrEx>
        <w:trPr>
          <w:trHeight w:val="360" w:hRule="atLeast"/>
          <w:jc w:val="center"/>
        </w:trPr>
        <w:tc>
          <w:tcPr>
            <w:tcW w:w="832" w:type="pct"/>
            <w:vMerge w:val="continue"/>
            <w:tcBorders>
              <w:left w:val="single" w:color="000000" w:sz="4" w:space="0"/>
              <w:right w:val="single" w:color="000000" w:sz="4" w:space="0"/>
            </w:tcBorders>
            <w:shd w:val="clear" w:color="auto" w:fill="auto"/>
            <w:tcMar>
              <w:top w:w="9" w:type="dxa"/>
              <w:left w:w="9" w:type="dxa"/>
              <w:right w:w="9" w:type="dxa"/>
            </w:tcMar>
            <w:vAlign w:val="center"/>
          </w:tcPr>
          <w:p w14:paraId="732BD89C">
            <w:pPr>
              <w:jc w:val="center"/>
              <w:rPr>
                <w:rFonts w:hint="eastAsia" w:ascii="仿宋" w:hAnsi="仿宋" w:eastAsia="仿宋" w:cs="仿宋"/>
                <w:i w:val="0"/>
                <w:color w:val="000000"/>
                <w:sz w:val="24"/>
                <w:szCs w:val="24"/>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20ACEC6">
            <w:pPr>
              <w:keepNext w:val="0"/>
              <w:keepLines w:val="0"/>
              <w:widowControl/>
              <w:suppressLineNumbers w:val="0"/>
              <w:jc w:val="left"/>
              <w:textAlignment w:val="center"/>
              <w:rPr>
                <w:rFonts w:hint="default"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B4-3信息公开</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CFA6193">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B795EB2">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9791709">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28C8C09B">
        <w:tblPrEx>
          <w:tblCellMar>
            <w:top w:w="0" w:type="dxa"/>
            <w:left w:w="0" w:type="dxa"/>
            <w:bottom w:w="0" w:type="dxa"/>
            <w:right w:w="0" w:type="dxa"/>
          </w:tblCellMar>
        </w:tblPrEx>
        <w:trPr>
          <w:trHeight w:val="360" w:hRule="atLeast"/>
          <w:jc w:val="center"/>
        </w:trPr>
        <w:tc>
          <w:tcPr>
            <w:tcW w:w="832" w:type="pct"/>
            <w:vMerge w:val="continue"/>
            <w:tcBorders>
              <w:left w:val="single" w:color="000000" w:sz="4" w:space="0"/>
              <w:right w:val="single" w:color="000000" w:sz="4" w:space="0"/>
            </w:tcBorders>
            <w:shd w:val="clear" w:color="auto" w:fill="auto"/>
            <w:tcMar>
              <w:top w:w="9" w:type="dxa"/>
              <w:left w:w="9" w:type="dxa"/>
              <w:right w:w="9" w:type="dxa"/>
            </w:tcMar>
            <w:vAlign w:val="center"/>
          </w:tcPr>
          <w:p w14:paraId="73FED29F">
            <w:pPr>
              <w:jc w:val="center"/>
              <w:rPr>
                <w:rFonts w:hint="eastAsia" w:ascii="仿宋" w:hAnsi="仿宋" w:eastAsia="仿宋" w:cs="仿宋"/>
                <w:i w:val="0"/>
                <w:color w:val="000000"/>
                <w:sz w:val="24"/>
                <w:szCs w:val="24"/>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7C4EACD">
            <w:pPr>
              <w:keepNext w:val="0"/>
              <w:keepLines w:val="0"/>
              <w:widowControl/>
              <w:suppressLineNumbers w:val="0"/>
              <w:jc w:val="left"/>
              <w:textAlignment w:val="center"/>
              <w:rPr>
                <w:rFonts w:hint="default"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B4-4资金监管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24F7C86">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5C70AE4">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7792F34">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5811DE4E">
        <w:tblPrEx>
          <w:tblCellMar>
            <w:top w:w="0" w:type="dxa"/>
            <w:left w:w="0" w:type="dxa"/>
            <w:bottom w:w="0" w:type="dxa"/>
            <w:right w:w="0" w:type="dxa"/>
          </w:tblCellMar>
        </w:tblPrEx>
        <w:trPr>
          <w:trHeight w:val="360" w:hRule="atLeast"/>
          <w:jc w:val="center"/>
        </w:trPr>
        <w:tc>
          <w:tcPr>
            <w:tcW w:w="832"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46744C8">
            <w:pPr>
              <w:jc w:val="center"/>
              <w:rPr>
                <w:rFonts w:hint="eastAsia" w:ascii="仿宋" w:hAnsi="仿宋" w:eastAsia="仿宋" w:cs="仿宋"/>
                <w:i w:val="0"/>
                <w:color w:val="000000"/>
                <w:sz w:val="24"/>
                <w:szCs w:val="24"/>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476C747">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F492A2B">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D71739A">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5</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7CDBB1E">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71.43%</w:t>
            </w:r>
          </w:p>
        </w:tc>
      </w:tr>
      <w:tr w14:paraId="102C4AF0">
        <w:tblPrEx>
          <w:tblCellMar>
            <w:top w:w="0" w:type="dxa"/>
            <w:left w:w="0" w:type="dxa"/>
            <w:bottom w:w="0" w:type="dxa"/>
            <w:right w:w="0" w:type="dxa"/>
          </w:tblCellMar>
        </w:tblPrEx>
        <w:trPr>
          <w:trHeight w:val="360" w:hRule="atLeast"/>
          <w:jc w:val="center"/>
        </w:trPr>
        <w:tc>
          <w:tcPr>
            <w:tcW w:w="2857"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6F54971">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合计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210FB9B">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40</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96C910D">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33.99</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0D2423FC">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84.98%</w:t>
            </w:r>
          </w:p>
        </w:tc>
      </w:tr>
    </w:tbl>
    <w:p w14:paraId="1806EC79">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1.B1预算管理，权重15分，得分12.27分</w:t>
      </w:r>
    </w:p>
    <w:p w14:paraId="0DFA5001">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（1）B1-1预算执行管理</w:t>
      </w:r>
    </w:p>
    <w:p w14:paraId="6554DD38">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预算执行管理从6个方面进行评价，分别是：支付进度率、预算完成率、预算调整率、转移支付下达率、结转结余率、结转结余变动率。预算执行管理指标权重8分，得分7.27分。</w:t>
      </w:r>
    </w:p>
    <w:p w14:paraId="49188EFA">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①永济市市容环卫中心2023年度实际下达</w:t>
      </w:r>
      <w:r>
        <w:rPr>
          <w:rFonts w:hint="eastAsia" w:ascii="仿宋" w:hAnsi="仿宋" w:eastAsia="仿宋" w:cs="仿宋"/>
          <w:b w:val="0"/>
          <w:bCs w:val="0"/>
          <w:color w:val="000000"/>
          <w:kern w:val="0"/>
          <w:sz w:val="28"/>
          <w:szCs w:val="28"/>
          <w:highlight w:val="none"/>
          <w:shd w:val="clear" w:color="auto" w:fill="FFFFFF"/>
          <w:lang w:val="en-US" w:eastAsia="zh-CN"/>
        </w:rPr>
        <w:t>2,191.42</w:t>
      </w:r>
      <w:r>
        <w:rPr>
          <w:rFonts w:hint="eastAsia" w:ascii="仿宋" w:hAnsi="仿宋" w:eastAsia="仿宋" w:cs="仿宋"/>
          <w:b w:val="0"/>
          <w:bCs w:val="0"/>
          <w:kern w:val="2"/>
          <w:sz w:val="28"/>
          <w:szCs w:val="28"/>
          <w:highlight w:val="none"/>
          <w:lang w:val="en-US" w:eastAsia="zh-CN" w:bidi="ar-SA"/>
        </w:rPr>
        <w:t>万元，支出</w:t>
      </w:r>
      <w:r>
        <w:rPr>
          <w:rFonts w:hint="eastAsia" w:ascii="仿宋" w:hAnsi="仿宋" w:eastAsia="仿宋" w:cs="仿宋"/>
          <w:b w:val="0"/>
          <w:bCs w:val="0"/>
          <w:color w:val="000000"/>
          <w:kern w:val="0"/>
          <w:sz w:val="28"/>
          <w:szCs w:val="28"/>
          <w:highlight w:val="none"/>
          <w:shd w:val="clear" w:color="auto" w:fill="FFFFFF"/>
          <w:lang w:val="en-US" w:eastAsia="zh-CN"/>
        </w:rPr>
        <w:t>2,191.42</w:t>
      </w:r>
      <w:r>
        <w:rPr>
          <w:rFonts w:hint="eastAsia" w:ascii="仿宋" w:hAnsi="仿宋" w:eastAsia="仿宋" w:cs="仿宋"/>
          <w:b w:val="0"/>
          <w:bCs w:val="0"/>
          <w:kern w:val="2"/>
          <w:sz w:val="28"/>
          <w:szCs w:val="28"/>
          <w:highlight w:val="none"/>
          <w:lang w:val="en-US" w:eastAsia="zh-CN" w:bidi="ar-SA"/>
        </w:rPr>
        <w:t>万元。支付进度率=（</w:t>
      </w:r>
      <w:r>
        <w:rPr>
          <w:rFonts w:hint="eastAsia" w:ascii="仿宋" w:hAnsi="仿宋" w:eastAsia="仿宋" w:cs="仿宋"/>
          <w:b w:val="0"/>
          <w:bCs w:val="0"/>
          <w:color w:val="000000"/>
          <w:kern w:val="0"/>
          <w:sz w:val="28"/>
          <w:szCs w:val="28"/>
          <w:highlight w:val="none"/>
          <w:shd w:val="clear" w:color="auto" w:fill="FFFFFF"/>
          <w:lang w:val="en-US" w:eastAsia="zh-CN"/>
        </w:rPr>
        <w:t>2,191.42</w:t>
      </w:r>
      <w:r>
        <w:rPr>
          <w:rFonts w:hint="eastAsia" w:ascii="仿宋" w:hAnsi="仿宋" w:eastAsia="仿宋" w:cs="仿宋"/>
          <w:b w:val="0"/>
          <w:bCs w:val="0"/>
          <w:kern w:val="2"/>
          <w:sz w:val="28"/>
          <w:szCs w:val="28"/>
          <w:highlight w:val="none"/>
          <w:lang w:val="en-US" w:eastAsia="zh-CN" w:bidi="ar-SA"/>
        </w:rPr>
        <w:t>万元/</w:t>
      </w:r>
      <w:r>
        <w:rPr>
          <w:rFonts w:hint="eastAsia" w:ascii="仿宋" w:hAnsi="仿宋" w:eastAsia="仿宋" w:cs="仿宋"/>
          <w:b w:val="0"/>
          <w:bCs w:val="0"/>
          <w:color w:val="000000"/>
          <w:kern w:val="0"/>
          <w:sz w:val="28"/>
          <w:szCs w:val="28"/>
          <w:highlight w:val="none"/>
          <w:shd w:val="clear" w:color="auto" w:fill="FFFFFF"/>
          <w:lang w:val="en-US" w:eastAsia="zh-CN"/>
        </w:rPr>
        <w:t>2,191.42</w:t>
      </w:r>
      <w:r>
        <w:rPr>
          <w:rFonts w:hint="eastAsia" w:ascii="仿宋" w:hAnsi="仿宋" w:eastAsia="仿宋" w:cs="仿宋"/>
          <w:b w:val="0"/>
          <w:bCs w:val="0"/>
          <w:kern w:val="2"/>
          <w:sz w:val="28"/>
          <w:szCs w:val="28"/>
          <w:highlight w:val="none"/>
          <w:lang w:val="en-US" w:eastAsia="zh-CN" w:bidi="ar-SA"/>
        </w:rPr>
        <w:t>万元）×100%=100%，依据评分标准，按实际执行情况打分，支付进度率总分值1分。以山西省财政厅的计算口径“序时进度的98%”作为标准支付进度率，依据部门每个季度末的支付进度率与标准支付进度率进行比较，（实际支付进度完成率大于或等于100%，得0.25分；实际支付进度完成率小于90%，得0分；实际支付进度完成率在90%-100%之间的，在0分和0.25分之间按完成率计算得分；支付进度率为100%的得1分）。支付进度率指标权重1分，得分1分。</w:t>
      </w:r>
    </w:p>
    <w:p w14:paraId="5EB68C67">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②永济市市容环卫中心2023年度收入共计</w:t>
      </w:r>
      <w:r>
        <w:rPr>
          <w:rFonts w:hint="eastAsia" w:ascii="仿宋" w:hAnsi="仿宋" w:eastAsia="仿宋" w:cs="仿宋"/>
          <w:b w:val="0"/>
          <w:bCs w:val="0"/>
          <w:color w:val="000000"/>
          <w:kern w:val="0"/>
          <w:sz w:val="28"/>
          <w:szCs w:val="28"/>
          <w:highlight w:val="none"/>
          <w:shd w:val="clear" w:color="auto" w:fill="FFFFFF"/>
          <w:lang w:val="en-US" w:eastAsia="zh-CN"/>
        </w:rPr>
        <w:t>2,191.42</w:t>
      </w:r>
      <w:r>
        <w:rPr>
          <w:rFonts w:hint="eastAsia" w:ascii="仿宋" w:hAnsi="仿宋" w:eastAsia="仿宋" w:cs="仿宋"/>
          <w:b w:val="0"/>
          <w:bCs w:val="0"/>
          <w:kern w:val="2"/>
          <w:sz w:val="28"/>
          <w:szCs w:val="28"/>
          <w:highlight w:val="none"/>
          <w:lang w:val="en-US" w:eastAsia="zh-CN" w:bidi="ar-SA"/>
        </w:rPr>
        <w:t>万元，2023年度支出共计</w:t>
      </w:r>
      <w:r>
        <w:rPr>
          <w:rFonts w:hint="eastAsia" w:ascii="仿宋" w:hAnsi="仿宋" w:eastAsia="仿宋" w:cs="仿宋"/>
          <w:b w:val="0"/>
          <w:bCs w:val="0"/>
          <w:color w:val="000000"/>
          <w:kern w:val="0"/>
          <w:sz w:val="28"/>
          <w:szCs w:val="28"/>
          <w:highlight w:val="none"/>
          <w:shd w:val="clear" w:color="auto" w:fill="FFFFFF"/>
          <w:lang w:val="en-US" w:eastAsia="zh-CN"/>
        </w:rPr>
        <w:t>2,191.42</w:t>
      </w:r>
      <w:r>
        <w:rPr>
          <w:rFonts w:hint="eastAsia" w:ascii="仿宋" w:hAnsi="仿宋" w:eastAsia="仿宋" w:cs="仿宋"/>
          <w:b w:val="0"/>
          <w:bCs w:val="0"/>
          <w:kern w:val="2"/>
          <w:sz w:val="28"/>
          <w:szCs w:val="28"/>
          <w:highlight w:val="none"/>
          <w:lang w:val="en-US" w:eastAsia="zh-CN" w:bidi="ar-SA"/>
        </w:rPr>
        <w:t>万元，预算完成率=（</w:t>
      </w:r>
      <w:r>
        <w:rPr>
          <w:rFonts w:hint="eastAsia" w:ascii="仿宋" w:hAnsi="仿宋" w:eastAsia="仿宋" w:cs="仿宋"/>
          <w:b w:val="0"/>
          <w:bCs w:val="0"/>
          <w:color w:val="000000"/>
          <w:kern w:val="0"/>
          <w:sz w:val="28"/>
          <w:szCs w:val="28"/>
          <w:highlight w:val="none"/>
          <w:shd w:val="clear" w:color="auto" w:fill="FFFFFF"/>
          <w:lang w:val="en-US" w:eastAsia="zh-CN"/>
        </w:rPr>
        <w:t>2,191.42</w:t>
      </w:r>
      <w:r>
        <w:rPr>
          <w:rFonts w:hint="eastAsia" w:ascii="仿宋" w:hAnsi="仿宋" w:eastAsia="仿宋" w:cs="仿宋"/>
          <w:b w:val="0"/>
          <w:bCs w:val="0"/>
          <w:kern w:val="2"/>
          <w:sz w:val="28"/>
          <w:szCs w:val="28"/>
          <w:highlight w:val="none"/>
          <w:lang w:val="en-US" w:eastAsia="zh-CN" w:bidi="ar-SA"/>
        </w:rPr>
        <w:t>万元/</w:t>
      </w:r>
      <w:r>
        <w:rPr>
          <w:rFonts w:hint="eastAsia" w:ascii="仿宋" w:hAnsi="仿宋" w:eastAsia="仿宋" w:cs="仿宋"/>
          <w:b w:val="0"/>
          <w:bCs w:val="0"/>
          <w:color w:val="000000"/>
          <w:kern w:val="0"/>
          <w:sz w:val="28"/>
          <w:szCs w:val="28"/>
          <w:highlight w:val="none"/>
          <w:shd w:val="clear" w:color="auto" w:fill="FFFFFF"/>
          <w:lang w:val="en-US" w:eastAsia="zh-CN"/>
        </w:rPr>
        <w:t>2,191.42</w:t>
      </w:r>
      <w:r>
        <w:rPr>
          <w:rFonts w:hint="eastAsia" w:ascii="仿宋" w:hAnsi="仿宋" w:eastAsia="仿宋" w:cs="仿宋"/>
          <w:b w:val="0"/>
          <w:bCs w:val="0"/>
          <w:kern w:val="2"/>
          <w:sz w:val="28"/>
          <w:szCs w:val="28"/>
          <w:highlight w:val="none"/>
          <w:lang w:val="en-US" w:eastAsia="zh-CN" w:bidi="ar-SA"/>
        </w:rPr>
        <w:t>万元）×100%=100%，依据评分标准，预算完成率大于或等于95%的得2分。预算完成率指标权重2分，得分2分。</w:t>
      </w:r>
    </w:p>
    <w:p w14:paraId="0C807E7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③永济市市容环卫中心2023年度共追加预算</w:t>
      </w:r>
      <w:r>
        <w:rPr>
          <w:rFonts w:hint="eastAsia" w:ascii="仿宋" w:hAnsi="仿宋" w:eastAsia="仿宋" w:cs="仿宋"/>
          <w:b w:val="0"/>
          <w:bCs w:val="0"/>
          <w:color w:val="000000"/>
          <w:kern w:val="0"/>
          <w:sz w:val="28"/>
          <w:szCs w:val="28"/>
          <w:highlight w:val="none"/>
          <w:shd w:val="clear" w:color="auto" w:fill="FFFFFF"/>
          <w:lang w:val="en-US" w:eastAsia="zh-CN"/>
        </w:rPr>
        <w:t>149.16</w:t>
      </w:r>
      <w:r>
        <w:rPr>
          <w:rFonts w:hint="eastAsia" w:ascii="仿宋" w:hAnsi="仿宋" w:eastAsia="仿宋" w:cs="仿宋"/>
          <w:b w:val="0"/>
          <w:bCs w:val="0"/>
          <w:kern w:val="2"/>
          <w:sz w:val="28"/>
          <w:szCs w:val="28"/>
          <w:highlight w:val="none"/>
          <w:lang w:val="en-US" w:eastAsia="zh-CN" w:bidi="ar-SA"/>
        </w:rPr>
        <w:t>万元，具体为增加环卫人员工资120.00万元，在编人员工资及绩效工资21.47万元，丧葬费7.69万元。预算调整率=（</w:t>
      </w:r>
      <w:r>
        <w:rPr>
          <w:rFonts w:hint="eastAsia" w:ascii="仿宋" w:hAnsi="仿宋" w:eastAsia="仿宋" w:cs="仿宋"/>
          <w:b w:val="0"/>
          <w:bCs w:val="0"/>
          <w:color w:val="000000"/>
          <w:kern w:val="0"/>
          <w:sz w:val="28"/>
          <w:szCs w:val="28"/>
          <w:highlight w:val="none"/>
          <w:shd w:val="clear" w:color="auto" w:fill="FFFFFF"/>
          <w:lang w:val="en-US" w:eastAsia="zh-CN"/>
        </w:rPr>
        <w:t>2,191.42</w:t>
      </w:r>
      <w:r>
        <w:rPr>
          <w:rFonts w:hint="eastAsia" w:ascii="仿宋" w:hAnsi="仿宋" w:eastAsia="仿宋" w:cs="仿宋"/>
          <w:b w:val="0"/>
          <w:bCs w:val="0"/>
          <w:kern w:val="2"/>
          <w:sz w:val="28"/>
          <w:szCs w:val="28"/>
          <w:highlight w:val="none"/>
          <w:lang w:val="en-US" w:eastAsia="zh-CN" w:bidi="ar-SA"/>
        </w:rPr>
        <w:t>万元-2,042.26万元）/2,042.26万元=7.3%，依据评分标准，预算调整率在0-20%之间的按照比例得分，预算调整率得分=（20%-7.3%）/20%×2分=1.27分。预算调整率指标权重2分，得分1.27分。</w:t>
      </w:r>
    </w:p>
    <w:p w14:paraId="743DB2F6">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④永济市市容环卫中心2023年无转移支付。依据评分标准，转移支付下达率=100%得1分。转移支付下达率指标权重1分，得分1分。</w:t>
      </w:r>
    </w:p>
    <w:p w14:paraId="7F64C33B">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⑤永济市市容环卫中心2023年度结余资金0.00元，支出预算总数0.00元。结转结余率为0，依据评分标准，结转结余率等于0得2分。结转结余率指标权重1分，得分1分。</w:t>
      </w:r>
    </w:p>
    <w:p w14:paraId="4ADE91C3">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⑥永济市市容环卫中心2022年末结转和结余资金53.76万元，2023年末结转和结余资金0万元。结转结余变动率为-100%，依据评分标准，结转结余变动率小于或等于0的得1分。结转结余变动率指标权重1分，得1分。</w:t>
      </w:r>
    </w:p>
    <w:p w14:paraId="622FA279">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（2）B1-2预算绩效管理</w:t>
      </w:r>
    </w:p>
    <w:p w14:paraId="1FF85776">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市容环卫中心未编报部门整体支出绩效目标申报表，针对城市维护费、新建驿站的项目支出编报了绩效目标申报表。依据评分标准，编报部门整体支出绩效目标申报表得1分，编报项目支出绩效目标申报表得1分。此处得分1分。</w:t>
      </w:r>
    </w:p>
    <w:p w14:paraId="4941D2A3">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通过查看永济市市容环卫中心提供的《财政项目支出绩效运行监控情况表》，能够对绩效目标的实现程度进行监控。依据评分标准，进行监控的得2分。此处得分2分。</w:t>
      </w:r>
    </w:p>
    <w:p w14:paraId="201C678B">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市容环卫中心能够对城市维护费项目支出和驿站项目进行绩效自评，未能针对部门整体支出编制绩效自评表和自评报告。依据评分标准，编报部门预算整体支出绩效自评表和自评报告，得1分，否则不得分；对完工项目实施项目绩效自评并编制绩效自评表和自评报告，得1分。此处得分1分。</w:t>
      </w:r>
    </w:p>
    <w:p w14:paraId="23F4E221">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永济市市容环卫中心在日常工作中能够对员工进行考核，经查看考核结果资料，员工考核与绩效工资进行了挂钩。依据评分标准，部门对考核结果进行应用的得1分。此处得分1分。</w:t>
      </w:r>
    </w:p>
    <w:p w14:paraId="5982C84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预算绩效管理指标权重7分，得分5分。</w:t>
      </w:r>
    </w:p>
    <w:p w14:paraId="26EB9E8D">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2.B2收支管理，权重10分，得分9.9分</w:t>
      </w:r>
    </w:p>
    <w:p w14:paraId="4DC1E834">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（1）B2-1收支管理规范性</w:t>
      </w:r>
    </w:p>
    <w:p w14:paraId="37F951B0">
      <w:pPr>
        <w:pStyle w:val="2"/>
        <w:ind w:firstLine="562"/>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①永济市市容环卫中心2023年共收入2,191.42万元。详见下表。</w:t>
      </w:r>
    </w:p>
    <w:tbl>
      <w:tblPr>
        <w:tblStyle w:val="1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92"/>
        <w:gridCol w:w="2525"/>
        <w:gridCol w:w="2603"/>
      </w:tblGrid>
      <w:tr w14:paraId="0BA0A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 w:hRule="atLeast"/>
          <w:tblHead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09326">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资金文号</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F2171">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 xml:space="preserve"> 金额 </w:t>
            </w:r>
          </w:p>
        </w:tc>
        <w:tc>
          <w:tcPr>
            <w:tcW w:w="1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6F3FD">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用途</w:t>
            </w:r>
          </w:p>
        </w:tc>
      </w:tr>
      <w:tr w14:paraId="3A0C2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C850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永财字〔2023〕2号</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3C2BB">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4,207,145.00 </w:t>
            </w:r>
          </w:p>
        </w:tc>
        <w:tc>
          <w:tcPr>
            <w:tcW w:w="1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09B5D">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人员类项目</w:t>
            </w:r>
          </w:p>
        </w:tc>
      </w:tr>
      <w:tr w14:paraId="3A298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8EC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永财字〔2023〕2号</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3ACD">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16,080,000.00 </w:t>
            </w:r>
          </w:p>
        </w:tc>
        <w:tc>
          <w:tcPr>
            <w:tcW w:w="1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CE06E">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城市维护费</w:t>
            </w:r>
          </w:p>
        </w:tc>
      </w:tr>
      <w:tr w14:paraId="55423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35E4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永财字〔2023〕2号</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9C752">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99,242.00 </w:t>
            </w:r>
          </w:p>
        </w:tc>
        <w:tc>
          <w:tcPr>
            <w:tcW w:w="1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DE95E">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新建驿站内部设施</w:t>
            </w:r>
          </w:p>
        </w:tc>
      </w:tr>
      <w:tr w14:paraId="15C14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0FA4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永财字〔2023〕2号</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8A70B">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35,232.00 </w:t>
            </w:r>
          </w:p>
        </w:tc>
        <w:tc>
          <w:tcPr>
            <w:tcW w:w="1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AFAA5">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遗属补助</w:t>
            </w:r>
          </w:p>
        </w:tc>
      </w:tr>
      <w:tr w14:paraId="37BF1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DA57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永财预〔2023〕049号</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D75F9">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48,215.00 </w:t>
            </w:r>
          </w:p>
        </w:tc>
        <w:tc>
          <w:tcPr>
            <w:tcW w:w="1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2965F">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人员类项目</w:t>
            </w:r>
          </w:p>
        </w:tc>
      </w:tr>
      <w:tr w14:paraId="507F7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DC57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永财预指〔2023〕006号</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D814D">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76,938.80 </w:t>
            </w:r>
          </w:p>
        </w:tc>
        <w:tc>
          <w:tcPr>
            <w:tcW w:w="1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B0DA">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人员类项目</w:t>
            </w:r>
          </w:p>
        </w:tc>
      </w:tr>
      <w:tr w14:paraId="4B5AA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88E7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永财预指〔2023〕082号</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70015">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167,427.38 </w:t>
            </w:r>
          </w:p>
        </w:tc>
        <w:tc>
          <w:tcPr>
            <w:tcW w:w="1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7DED5">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人员类项目</w:t>
            </w:r>
          </w:p>
        </w:tc>
      </w:tr>
      <w:tr w14:paraId="2E2AD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C92B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永财预指〔2023〕160号</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85286">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1,200,000.00 </w:t>
            </w:r>
          </w:p>
        </w:tc>
        <w:tc>
          <w:tcPr>
            <w:tcW w:w="1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E1482">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追加环卫工人员工资</w:t>
            </w:r>
          </w:p>
        </w:tc>
      </w:tr>
      <w:tr w14:paraId="480DF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B662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合计</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D7D31">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21,914,200.18 </w:t>
            </w:r>
          </w:p>
        </w:tc>
        <w:tc>
          <w:tcPr>
            <w:tcW w:w="1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E9EBE">
            <w:pPr>
              <w:jc w:val="right"/>
              <w:rPr>
                <w:rFonts w:hint="eastAsia" w:ascii="仿宋" w:hAnsi="仿宋" w:eastAsia="仿宋" w:cs="仿宋"/>
                <w:i w:val="0"/>
                <w:iCs w:val="0"/>
                <w:color w:val="000000"/>
                <w:sz w:val="24"/>
                <w:szCs w:val="24"/>
                <w:highlight w:val="none"/>
                <w:u w:val="none"/>
              </w:rPr>
            </w:pPr>
          </w:p>
        </w:tc>
      </w:tr>
    </w:tbl>
    <w:p w14:paraId="692F6878">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依据评分标准，收入来源符合财政部规定的范围，具有指标文件，得1分；此处得分1分。</w:t>
      </w:r>
    </w:p>
    <w:p w14:paraId="01824FFC">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②永济市市容环卫中心收取生活垃圾处理费的收费标准依照《永济市人民政府办公室关于明确我市城区征收生活垃圾处理费有关问题的通知》（永政办发〔2011〕89号）执行，收费标准见下表。</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842"/>
        <w:gridCol w:w="1713"/>
        <w:gridCol w:w="2964"/>
      </w:tblGrid>
      <w:tr w14:paraId="4C3B7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blHeader/>
        </w:trPr>
        <w:tc>
          <w:tcPr>
            <w:tcW w:w="2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FD00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征收对象</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7406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计算单位</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DBE9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收费标准(元）</w:t>
            </w:r>
          </w:p>
        </w:tc>
      </w:tr>
      <w:tr w14:paraId="05DE2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C6AB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常住人口</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7A27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户/月</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56D9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14:paraId="22E36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2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47D8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暂住人口</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7C7A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户/月</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ABDE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14:paraId="4765D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3C08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机关、团体、企事业单位、学校、驻运部队</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77FE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平方米/月</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9A94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w:t>
            </w:r>
          </w:p>
        </w:tc>
      </w:tr>
      <w:tr w14:paraId="50D21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2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4234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宾馆、酒店、招待所、旅社办公室、商业门店、商场、超市、美容美发</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88CA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平方米/月</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9AE7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7E105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4B47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桑拿、洗浴、歌舞厅、网吧、酒吧等休闲娱乐场所</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3CB9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平方米/月</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DE1F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14:paraId="6BBFD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1112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饭店、各类餐厅、操作间</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5146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平方米/月</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0A4B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4A0DF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22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8D23A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农贸市场、流动摊位</w:t>
            </w:r>
          </w:p>
        </w:tc>
        <w:tc>
          <w:tcPr>
            <w:tcW w:w="10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651BA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个/天</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F823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14:paraId="535BC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22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F72BE">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4"/>
                <w:szCs w:val="24"/>
                <w:u w:val="none"/>
              </w:rPr>
            </w:pPr>
          </w:p>
        </w:tc>
        <w:tc>
          <w:tcPr>
            <w:tcW w:w="10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C71EF">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4"/>
                <w:szCs w:val="24"/>
                <w:u w:val="none"/>
              </w:rPr>
            </w:pP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B453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2(流动摊点）</w:t>
            </w:r>
          </w:p>
        </w:tc>
      </w:tr>
      <w:tr w14:paraId="0728C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96B5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客运车辆</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AA84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座/月</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A3F1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04FE6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F901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出租车</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5B6E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辆/月</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3F60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14:paraId="096E5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2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6A4C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锅炉</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6DEA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0.5吨/月</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9793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w:t>
            </w:r>
          </w:p>
        </w:tc>
      </w:tr>
      <w:tr w14:paraId="6CF0C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4148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茶炉</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EB2C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0.5吨/月</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8C63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w:t>
            </w:r>
          </w:p>
        </w:tc>
      </w:tr>
      <w:tr w14:paraId="4EE6E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1EED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洗车场</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E582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机/月</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104E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w:t>
            </w:r>
          </w:p>
        </w:tc>
      </w:tr>
      <w:tr w14:paraId="2D14B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2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086B7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建筑垃圾</w:t>
            </w:r>
          </w:p>
        </w:tc>
        <w:tc>
          <w:tcPr>
            <w:tcW w:w="10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154AD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吨</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7446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r>
      <w:tr w14:paraId="683D1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22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5CB5B">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4"/>
                <w:szCs w:val="24"/>
                <w:u w:val="none"/>
              </w:rPr>
            </w:pPr>
          </w:p>
        </w:tc>
        <w:tc>
          <w:tcPr>
            <w:tcW w:w="10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2ED11">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4"/>
                <w:szCs w:val="24"/>
                <w:u w:val="none"/>
              </w:rPr>
            </w:pP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D4FD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20(自行清运）</w:t>
            </w:r>
          </w:p>
        </w:tc>
      </w:tr>
      <w:tr w14:paraId="1DD1D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2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719CC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新建、改建、扩建的建筑工地施工期间</w:t>
            </w:r>
          </w:p>
        </w:tc>
        <w:tc>
          <w:tcPr>
            <w:tcW w:w="10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55A36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平方米</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ECB3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14:paraId="52D0A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1E2D2">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4"/>
                <w:szCs w:val="24"/>
                <w:u w:val="none"/>
              </w:rPr>
            </w:pPr>
          </w:p>
        </w:tc>
        <w:tc>
          <w:tcPr>
            <w:tcW w:w="10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CE2BB">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4"/>
                <w:szCs w:val="24"/>
                <w:u w:val="none"/>
              </w:rPr>
            </w:pP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C33C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0.5(居民自建房）</w:t>
            </w:r>
          </w:p>
        </w:tc>
      </w:tr>
      <w:tr w14:paraId="50EA0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2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3FC8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凡委托环卫部门抽、淘、清粪便及化粪池</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3FFD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吨</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89EB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50-70</w:t>
            </w:r>
          </w:p>
        </w:tc>
      </w:tr>
      <w:tr w14:paraId="61E89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22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C6292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公厕</w:t>
            </w:r>
          </w:p>
        </w:tc>
        <w:tc>
          <w:tcPr>
            <w:tcW w:w="10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621BC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人/次</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51E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0.5(水冲式）</w:t>
            </w:r>
          </w:p>
        </w:tc>
      </w:tr>
      <w:tr w14:paraId="1B3F9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2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7BAFA">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4"/>
                <w:szCs w:val="24"/>
                <w:u w:val="none"/>
              </w:rPr>
            </w:pPr>
          </w:p>
        </w:tc>
        <w:tc>
          <w:tcPr>
            <w:tcW w:w="10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06DEA">
            <w:pPr>
              <w:keepNext w:val="0"/>
              <w:keepLines w:val="0"/>
              <w:pageBreakBefore w:val="0"/>
              <w:widowControl/>
              <w:kinsoku/>
              <w:wordWrap/>
              <w:overflowPunct/>
              <w:topLinePunct w:val="0"/>
              <w:autoSpaceDE/>
              <w:autoSpaceDN/>
              <w:bidi w:val="0"/>
              <w:adjustRightInd/>
              <w:snapToGrid/>
              <w:spacing w:line="240" w:lineRule="atLeast"/>
              <w:jc w:val="center"/>
              <w:rPr>
                <w:rFonts w:hint="eastAsia" w:ascii="仿宋" w:hAnsi="仿宋" w:eastAsia="仿宋" w:cs="仿宋"/>
                <w:i w:val="0"/>
                <w:iCs w:val="0"/>
                <w:color w:val="000000"/>
                <w:sz w:val="24"/>
                <w:szCs w:val="24"/>
                <w:u w:val="none"/>
              </w:rPr>
            </w:pP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F686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0.3(旱式）</w:t>
            </w:r>
          </w:p>
        </w:tc>
      </w:tr>
    </w:tbl>
    <w:p w14:paraId="12D219D6">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yellow"/>
          <w:lang w:val="en-US" w:eastAsia="zh-CN" w:bidi="ar-SA"/>
        </w:rPr>
      </w:pPr>
      <w:r>
        <w:rPr>
          <w:rFonts w:hint="eastAsia" w:ascii="仿宋" w:hAnsi="仿宋" w:eastAsia="仿宋" w:cs="仿宋"/>
          <w:b w:val="0"/>
          <w:bCs w:val="0"/>
          <w:kern w:val="2"/>
          <w:sz w:val="28"/>
          <w:szCs w:val="28"/>
          <w:highlight w:val="none"/>
          <w:lang w:val="en-US" w:eastAsia="zh-CN" w:bidi="ar-SA"/>
        </w:rPr>
        <w:t>经查看生活垃圾处理费的相关资料，2023年生活垃圾处理费共上缴国库422.53万元，经查看永济市市容环卫中心编制的征收台账，该台账不完整，应收费金额、已收费金额与上缴国库金额不一致。</w:t>
      </w:r>
    </w:p>
    <w:p w14:paraId="2C0E9E59">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对收取生活垃圾处理费工作进行评价，包括：收费标准文件、票据管理及存档，非税收入上缴追缴，制定非税收入资金管理措施等工作。总分1分，每出现1处问题扣0.1分，扣完为止。此处得分0.9分。</w:t>
      </w:r>
    </w:p>
    <w:p w14:paraId="1BEF98C7">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③本次现场评价工作中，我们对永济市市容环卫中心2023年度财务报表、总账及明细账账簿、凭证列表进行了审核；经过审核，资金的拨付符合资金管理办法，资金的拨付有完整的审批程序和手续，重大开支均经过集体决策。依据评分标准，资金使用符合国家财经法规和财务管理制度规定以及有关专项资金管理办法的规定得0.5分；资金拨付有完整的审批程序和手续，项目的重大开支经过评估论证得1分；资金使用符合部门预算批复用途得0.5分，否则每发现1项扣0.1分；财务核算规范得0.5分，否则每发现1项扣0.1分；凭证管理规范得0.5分。总分3分，此处得分3分。</w:t>
      </w:r>
    </w:p>
    <w:p w14:paraId="6E2DB722">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④经查看资料，永济市市容环卫中心能够按照国库单一账户进行支付。依据评分标准，国库集中支付规范性要按照国库单一账户体系进行集中支付，支付规范得1分。此处得分1分。</w:t>
      </w:r>
    </w:p>
    <w:p w14:paraId="77A59F31">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收支管理规范性指标权重6分，得分5.7分。</w:t>
      </w:r>
    </w:p>
    <w:p w14:paraId="3FD7C393">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（2）B1-2支出结构合理性</w:t>
      </w:r>
    </w:p>
    <w:p w14:paraId="5F8567FF">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①永济市市容环卫中心2023年共支出2191.42万元，其中人员类项目基本支出占比20.53%，城市维护费调整后占比78.85%，新建驿站内部设施项目占比0.45%，遗属补助项目占比0.16%；具体支出结构见下表。</w:t>
      </w:r>
    </w:p>
    <w:tbl>
      <w:tblPr>
        <w:tblStyle w:val="12"/>
        <w:tblW w:w="5524" w:type="pct"/>
        <w:tblInd w:w="-34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803"/>
        <w:gridCol w:w="1788"/>
        <w:gridCol w:w="2411"/>
        <w:gridCol w:w="1275"/>
        <w:gridCol w:w="1139"/>
      </w:tblGrid>
      <w:tr w14:paraId="47920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blHeader/>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FA0EF">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资金文号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A8B46">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 xml:space="preserve"> 金额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E8999">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用途</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10744">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支出类型</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82093">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比例</w:t>
            </w:r>
          </w:p>
        </w:tc>
      </w:tr>
      <w:tr w14:paraId="0F49F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2C55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永财字〔2023〕2号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DC694">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4,207,145.00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4228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人员类项目</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862AB">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基本支出</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C3533">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19.20%</w:t>
            </w:r>
          </w:p>
        </w:tc>
      </w:tr>
      <w:tr w14:paraId="6E7F7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E0EA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永财预〔2023〕049号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551FB">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48,215.00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E382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人员类项目</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E381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基本支出</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ABA6C">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0.22%</w:t>
            </w:r>
          </w:p>
        </w:tc>
      </w:tr>
      <w:tr w14:paraId="167DD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3AF9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永财预指〔2023〕006号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6A419">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76,938.80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F8EE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人员类项目</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936D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基本支出</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9004A">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0.35%</w:t>
            </w:r>
          </w:p>
        </w:tc>
      </w:tr>
      <w:tr w14:paraId="75B8C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8313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永财预指〔2023〕082号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C0FAB">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167,427.38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49B3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人员类项目</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063C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基本支出</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BF18B">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0.76%</w:t>
            </w:r>
          </w:p>
        </w:tc>
      </w:tr>
      <w:tr w14:paraId="12A27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7C71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永财字〔2023〕2号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CF9CE">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99,242.00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F382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新建驿站内部设施</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1357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项目支出</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D9956">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0.45%</w:t>
            </w:r>
          </w:p>
        </w:tc>
      </w:tr>
      <w:tr w14:paraId="50F23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44C9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永财字〔2023〕2号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FB9FF">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35,232.00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DC5E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遗属补助</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E301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项目支出</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D6078">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0.16%</w:t>
            </w:r>
          </w:p>
        </w:tc>
      </w:tr>
      <w:tr w14:paraId="0C5DA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FF06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永财字〔2023〕2号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16B31">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16,080,000.00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078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城市维护费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C25C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项目支出</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7F013">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73.38%</w:t>
            </w:r>
          </w:p>
        </w:tc>
      </w:tr>
      <w:tr w14:paraId="58B07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FA0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永财预指〔2023〕160号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EAD3E">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1,200,000.00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17BB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追加环卫工人员工资</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4C2F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项目支出</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5BB7F">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5.48%</w:t>
            </w:r>
          </w:p>
        </w:tc>
      </w:tr>
      <w:tr w14:paraId="08D3C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49E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合计</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98518">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21,914,200.18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74105">
            <w:pPr>
              <w:jc w:val="right"/>
              <w:rPr>
                <w:rFonts w:hint="eastAsia" w:ascii="仿宋" w:hAnsi="仿宋" w:eastAsia="仿宋" w:cs="仿宋"/>
                <w:i w:val="0"/>
                <w:iCs w:val="0"/>
                <w:color w:val="000000"/>
                <w:sz w:val="24"/>
                <w:szCs w:val="24"/>
                <w:highlight w:val="none"/>
                <w:u w:val="none"/>
              </w:rPr>
            </w:pP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B523F">
            <w:pPr>
              <w:jc w:val="right"/>
              <w:rPr>
                <w:rFonts w:hint="eastAsia" w:ascii="仿宋" w:hAnsi="仿宋" w:eastAsia="仿宋" w:cs="仿宋"/>
                <w:i w:val="0"/>
                <w:iCs w:val="0"/>
                <w:color w:val="000000"/>
                <w:sz w:val="24"/>
                <w:szCs w:val="24"/>
                <w:highlight w:val="none"/>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CF2A5">
            <w:pPr>
              <w:keepNext w:val="0"/>
              <w:keepLines w:val="0"/>
              <w:widowControl/>
              <w:suppressLineNumbers w:val="0"/>
              <w:jc w:val="righ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bl>
    <w:p w14:paraId="43DC6C2A">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w:t>
      </w:r>
      <w:r>
        <w:rPr>
          <w:rFonts w:hint="default" w:ascii="仿宋" w:hAnsi="仿宋" w:eastAsia="仿宋" w:cs="仿宋"/>
          <w:b w:val="0"/>
          <w:bCs w:val="0"/>
          <w:kern w:val="2"/>
          <w:sz w:val="28"/>
          <w:szCs w:val="28"/>
          <w:highlight w:val="none"/>
          <w:lang w:val="en-US" w:eastAsia="zh-CN" w:bidi="ar-SA"/>
        </w:rPr>
        <w:t>部门支出分配与部门年度工作任务相匹配，得2分，除因政策因素调整导致外，否则不得分。</w:t>
      </w:r>
      <w:r>
        <w:rPr>
          <w:rFonts w:hint="eastAsia" w:ascii="仿宋" w:hAnsi="仿宋" w:eastAsia="仿宋" w:cs="仿宋"/>
          <w:b w:val="0"/>
          <w:bCs w:val="0"/>
          <w:kern w:val="2"/>
          <w:sz w:val="28"/>
          <w:szCs w:val="28"/>
          <w:highlight w:val="none"/>
          <w:lang w:val="en-US" w:eastAsia="zh-CN" w:bidi="ar-SA"/>
        </w:rPr>
        <w:t>此处得分2分。</w:t>
      </w:r>
    </w:p>
    <w:p w14:paraId="5AA943A5">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②经查看资料，永济市市容环卫中心重点支出为城市维护费，2023年追加120万元环卫工人工资后，共支付环卫工人工资1284.68万元，能够支付2023年1月至12月的环卫工人工资。依据评分标准，重点支出所安排的资金能够满足重点工作任务所需得2分。此处得分2分。</w:t>
      </w:r>
    </w:p>
    <w:p w14:paraId="2191EE2B">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收支结构合理性指标权重4分，得分4分。</w:t>
      </w:r>
    </w:p>
    <w:p w14:paraId="0906F650">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3.B3资产管理，权重8分，得分7分</w:t>
      </w:r>
    </w:p>
    <w:p w14:paraId="4C784A05">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（1）B3-1资产管理规范性</w:t>
      </w:r>
    </w:p>
    <w:p w14:paraId="55F00A34">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①永济市市容环卫中心制定了资产管理制度，该制度对固定资产管理部门、使用责任、移交管理、资产盘点、减损处理等进行了规定，符合《行政单位国有资产管理暂行办法》《事业单位国有资产管理暂行办法》及《永济市行政事业单位国有资产管理实施办法》。依据评分标准，资产管理制度合法合规完整的得1分；该指标权重1分，得分1分。</w:t>
      </w:r>
    </w:p>
    <w:p w14:paraId="57D02622">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②截至2023年末，永济市市容环卫中心固定资产共计9,475,013.37元，该单位2023年度进行了资产盘点。依据评分标准，固定资产保存完整、处置规范，账务管理合规，账实相符，得1分，否则不得分；该指标权重1分，得分1分。</w:t>
      </w:r>
    </w:p>
    <w:p w14:paraId="138CF051">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③2023年永济市市容环卫中心共购置固定资产9.9万元，用途为配置新建驿站内部设施；包括：10台空调4.54万元，84个桌椅类5.36万元。符合《中央行政单位通用办公设备家具配置标准》《山西省财政厅关于行政单位资产配置标准》及《永济市行政单位资产配置标准》文件中办公设备购置要求。</w:t>
      </w:r>
    </w:p>
    <w:p w14:paraId="1AA9BE4C">
      <w:pPr>
        <w:rPr>
          <w:rFonts w:hint="eastAsia"/>
          <w:lang w:val="en-US" w:eastAsia="zh-CN"/>
        </w:rPr>
      </w:pP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0"/>
        <w:gridCol w:w="2580"/>
        <w:gridCol w:w="3299"/>
      </w:tblGrid>
      <w:tr w14:paraId="4F99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49" w:type="pct"/>
            <w:vAlign w:val="center"/>
          </w:tcPr>
          <w:p w14:paraId="03547E1C">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资产名称</w:t>
            </w:r>
          </w:p>
        </w:tc>
        <w:tc>
          <w:tcPr>
            <w:tcW w:w="1514" w:type="pct"/>
            <w:vAlign w:val="center"/>
          </w:tcPr>
          <w:p w14:paraId="0D229D19">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采购数量</w:t>
            </w:r>
          </w:p>
        </w:tc>
        <w:tc>
          <w:tcPr>
            <w:tcW w:w="1935" w:type="pct"/>
            <w:vAlign w:val="center"/>
          </w:tcPr>
          <w:p w14:paraId="78506CC1">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采购金额</w:t>
            </w:r>
          </w:p>
        </w:tc>
      </w:tr>
      <w:tr w14:paraId="248E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vAlign w:val="center"/>
          </w:tcPr>
          <w:p w14:paraId="28936149">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挂式空调</w:t>
            </w:r>
          </w:p>
        </w:tc>
        <w:tc>
          <w:tcPr>
            <w:tcW w:w="1514" w:type="pct"/>
            <w:vAlign w:val="center"/>
          </w:tcPr>
          <w:p w14:paraId="6E50860F">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8台</w:t>
            </w:r>
          </w:p>
        </w:tc>
        <w:tc>
          <w:tcPr>
            <w:tcW w:w="1935" w:type="pct"/>
            <w:vAlign w:val="center"/>
          </w:tcPr>
          <w:p w14:paraId="6905B2BC">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单价3799元</w:t>
            </w:r>
          </w:p>
        </w:tc>
      </w:tr>
      <w:tr w14:paraId="0237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vAlign w:val="center"/>
          </w:tcPr>
          <w:p w14:paraId="41C0C201">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柜式空调</w:t>
            </w:r>
          </w:p>
        </w:tc>
        <w:tc>
          <w:tcPr>
            <w:tcW w:w="1514" w:type="pct"/>
            <w:vAlign w:val="center"/>
          </w:tcPr>
          <w:p w14:paraId="2787FE59">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2台</w:t>
            </w:r>
          </w:p>
        </w:tc>
        <w:tc>
          <w:tcPr>
            <w:tcW w:w="1935" w:type="pct"/>
            <w:vAlign w:val="center"/>
          </w:tcPr>
          <w:p w14:paraId="0C5E9010">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单价7499元</w:t>
            </w:r>
          </w:p>
        </w:tc>
      </w:tr>
      <w:tr w14:paraId="74C8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vAlign w:val="center"/>
          </w:tcPr>
          <w:p w14:paraId="4858A207">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会议桌</w:t>
            </w:r>
          </w:p>
        </w:tc>
        <w:tc>
          <w:tcPr>
            <w:tcW w:w="1514" w:type="pct"/>
            <w:vAlign w:val="center"/>
          </w:tcPr>
          <w:p w14:paraId="35AE59EE">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2张</w:t>
            </w:r>
          </w:p>
        </w:tc>
        <w:tc>
          <w:tcPr>
            <w:tcW w:w="1935" w:type="pct"/>
            <w:vAlign w:val="center"/>
          </w:tcPr>
          <w:p w14:paraId="25660598">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单价7939元</w:t>
            </w:r>
          </w:p>
        </w:tc>
      </w:tr>
      <w:tr w14:paraId="6AA7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vAlign w:val="center"/>
          </w:tcPr>
          <w:p w14:paraId="08DCECA1">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办公桌</w:t>
            </w:r>
          </w:p>
        </w:tc>
        <w:tc>
          <w:tcPr>
            <w:tcW w:w="1514" w:type="pct"/>
            <w:vAlign w:val="center"/>
          </w:tcPr>
          <w:p w14:paraId="78CB50A8">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4张</w:t>
            </w:r>
          </w:p>
        </w:tc>
        <w:tc>
          <w:tcPr>
            <w:tcW w:w="1935" w:type="pct"/>
            <w:vAlign w:val="center"/>
          </w:tcPr>
          <w:p w14:paraId="276EF4DB">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单价600元</w:t>
            </w:r>
          </w:p>
        </w:tc>
      </w:tr>
      <w:tr w14:paraId="7039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vAlign w:val="center"/>
          </w:tcPr>
          <w:p w14:paraId="385FE720">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办公桌</w:t>
            </w:r>
          </w:p>
        </w:tc>
        <w:tc>
          <w:tcPr>
            <w:tcW w:w="1514" w:type="pct"/>
            <w:vAlign w:val="center"/>
          </w:tcPr>
          <w:p w14:paraId="3538A057">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10张</w:t>
            </w:r>
          </w:p>
        </w:tc>
        <w:tc>
          <w:tcPr>
            <w:tcW w:w="1935" w:type="pct"/>
            <w:vAlign w:val="center"/>
          </w:tcPr>
          <w:p w14:paraId="448D75E1">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单价750元</w:t>
            </w:r>
          </w:p>
        </w:tc>
      </w:tr>
      <w:tr w14:paraId="2D3B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vAlign w:val="center"/>
          </w:tcPr>
          <w:p w14:paraId="581F8BDF">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会议椅</w:t>
            </w:r>
          </w:p>
        </w:tc>
        <w:tc>
          <w:tcPr>
            <w:tcW w:w="1514" w:type="pct"/>
            <w:vAlign w:val="center"/>
          </w:tcPr>
          <w:p w14:paraId="642163C0">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52把</w:t>
            </w:r>
          </w:p>
        </w:tc>
        <w:tc>
          <w:tcPr>
            <w:tcW w:w="1935" w:type="pct"/>
            <w:vAlign w:val="center"/>
          </w:tcPr>
          <w:p w14:paraId="3FD4B3F8">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单价330元</w:t>
            </w:r>
          </w:p>
        </w:tc>
      </w:tr>
      <w:tr w14:paraId="4838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vAlign w:val="center"/>
          </w:tcPr>
          <w:p w14:paraId="477D7225">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临休椅</w:t>
            </w:r>
          </w:p>
        </w:tc>
        <w:tc>
          <w:tcPr>
            <w:tcW w:w="1514" w:type="pct"/>
            <w:vAlign w:val="center"/>
          </w:tcPr>
          <w:p w14:paraId="15479773">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12把</w:t>
            </w:r>
          </w:p>
        </w:tc>
        <w:tc>
          <w:tcPr>
            <w:tcW w:w="1935" w:type="pct"/>
            <w:vAlign w:val="center"/>
          </w:tcPr>
          <w:p w14:paraId="2AD91FD4">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单价300元</w:t>
            </w:r>
          </w:p>
        </w:tc>
      </w:tr>
      <w:tr w14:paraId="31A9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vAlign w:val="center"/>
          </w:tcPr>
          <w:p w14:paraId="528B8D46">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排椅</w:t>
            </w:r>
          </w:p>
        </w:tc>
        <w:tc>
          <w:tcPr>
            <w:tcW w:w="1514" w:type="pct"/>
            <w:vAlign w:val="center"/>
          </w:tcPr>
          <w:p w14:paraId="0084A674">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4个</w:t>
            </w:r>
          </w:p>
        </w:tc>
        <w:tc>
          <w:tcPr>
            <w:tcW w:w="1935" w:type="pct"/>
            <w:vAlign w:val="center"/>
          </w:tcPr>
          <w:p w14:paraId="247F808A">
            <w:pPr>
              <w:pStyle w:val="2"/>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单价1720元</w:t>
            </w:r>
          </w:p>
        </w:tc>
      </w:tr>
    </w:tbl>
    <w:p w14:paraId="740DDFB2">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依据评分标准，部门购置固定资产单价、数量符合《永济市行政单位资产配置标准》的得1分；该指标权重1分，得分1分。</w:t>
      </w:r>
    </w:p>
    <w:p w14:paraId="1082E1BB">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④经查看永济市市容环卫中心固定资产管理台账，固定资产名称、数量、分类等基本准确；但部分资产品牌型号、使用人及管理人不明确。依据评分标准，资产使用人、管理人明确得1分，否则不得分。此处得分0分。</w:t>
      </w:r>
    </w:p>
    <w:p w14:paraId="7076D13A">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⑤经查看资料，永济市市容环卫中心2023年未进行资产处置。依据评分标准，资产处置规范得0.5分；资产有偿使用及处置收入及时上缴得0.5分。此处得分1分。</w:t>
      </w:r>
    </w:p>
    <w:p w14:paraId="685825E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资产管理规范性指标权重5分，得分4分。</w:t>
      </w:r>
    </w:p>
    <w:p w14:paraId="445E485C">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（2）B3-2固定资产利用率</w:t>
      </w:r>
    </w:p>
    <w:p w14:paraId="1C91F20C">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截至2023年末，永济市市容环卫中心固定资产9,475,013.37元。固定资产利用率=（实际在用固定资产总额/所有固定资产总额）×100%=（9,475,013.37元/9,475,013.37元）×100%=100%。</w:t>
      </w:r>
    </w:p>
    <w:p w14:paraId="1DE6C3F3">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依据评分标准，固定资产利用率大于或等于90%的，得3分；固定资产利用率指标权重3分，得分3分。</w:t>
      </w:r>
    </w:p>
    <w:p w14:paraId="4FAA3D63">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4.B4其他管理，权重7分，得分5分</w:t>
      </w:r>
    </w:p>
    <w:p w14:paraId="7F5FEC32">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（1）B4-1人员管理</w:t>
      </w:r>
    </w:p>
    <w:p w14:paraId="2E715BA5">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lang w:val="en-US" w:eastAsia="zh-CN"/>
        </w:rPr>
        <w:t>①截至2023年末，永济市市容环卫中心共有</w:t>
      </w:r>
      <w:r>
        <w:rPr>
          <w:rFonts w:hint="eastAsia" w:ascii="仿宋" w:hAnsi="仿宋" w:eastAsia="仿宋" w:cs="仿宋"/>
          <w:kern w:val="2"/>
          <w:sz w:val="28"/>
          <w:szCs w:val="28"/>
          <w:highlight w:val="none"/>
          <w:lang w:val="en-US" w:eastAsia="zh-CN" w:bidi="ar-SA"/>
        </w:rPr>
        <w:t>事业编制13名，实有在编人员37人，其中23人借调至其他单位。</w:t>
      </w:r>
    </w:p>
    <w:p w14:paraId="7141529A">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在职人员控制率=（实有人数37人/编制名额13名）×100%=284.62%，根据评分标准，在职人员控制率≤100%的得1分，在职人员控制率≥120%的得0分；此处得分0分。</w:t>
      </w:r>
    </w:p>
    <w:p w14:paraId="6618EEA1">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②截至2023年末，永济市市容环卫中心共有临时人员647人。其中：机关人员10人，清运机扫队94人，环卫工人及公厕管理员等543人。经走访调查，永济市市容环卫中心虽具有环卫工人配置数量等相关数据，但路段等级不清晰，清扫保洁等级不明确，不能准确的核定各区域应配置的环卫人员数量。</w:t>
      </w:r>
    </w:p>
    <w:p w14:paraId="3FD085CA">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永济市市容环卫中心应按照《中华人民共和国城镇建设行业标准：城市道路清扫面积测算方法(CJ/T 277-2008)》等方法，测算服务区内的清扫面积；按照《都市环境卫生质量原则》划分道路等级和保洁等级；参考《城镇市容环境卫生劳动定额》及行业水平，结合路段实际情况，核定人均打扫面积及人数配置。</w:t>
      </w:r>
    </w:p>
    <w:p w14:paraId="7442C732">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依据评分标准，人员控制率≤100%的得1分，人员控制率≥120%的得0分；此处得分0分。</w:t>
      </w:r>
    </w:p>
    <w:p w14:paraId="6C8E5FCF">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人员管理指标权重2分，得分0分。</w:t>
      </w:r>
    </w:p>
    <w:p w14:paraId="35B3F9FA">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（2）B4-2政府采购管理</w:t>
      </w:r>
    </w:p>
    <w:p w14:paraId="53D2E1EA">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永济市市容环卫中心2023年度共备案政府采购预算资金99,008.00元，实际完成政府采购计划99,008.00元；政府采购执行率100%。政府采购管理指标权重2分，得分2分。</w:t>
      </w:r>
    </w:p>
    <w:p w14:paraId="54D30C33">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（3）B4-3信息公开</w:t>
      </w:r>
    </w:p>
    <w:p w14:paraId="2553A123">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根据相关规定分别于2023年3月17日、2024年8月23日，在永济市政府网站公开了2023年度部门预算、决算公开信息。依据评分标准，按规定内容公开预决算信息得1分；按规定时限公开政务信息得1分。信息公开指标权重2分，得分2分。</w:t>
      </w:r>
    </w:p>
    <w:p w14:paraId="036AD89F">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（4）B4-4资金监管</w:t>
      </w:r>
    </w:p>
    <w:p w14:paraId="5F840B56">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财政局对永济市市容环卫中心2023年度预算信息和决算信息已进行审核并公示，未发现不良问题。依据评分标准，永济市市容环卫中心接受人大审查、巡视、审计、财会监督、预决算公开监督检查等专项检查中发现的问题能及时整改落实的得1分。资金监管指标权重1分，得分1分。</w:t>
      </w:r>
    </w:p>
    <w:p w14:paraId="75A6F35E">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（三）部门产出分析</w:t>
      </w:r>
    </w:p>
    <w:p w14:paraId="0C8C850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部门产出分析分别从目标任务实现程度、目标任务完成质量、目标任务完成及时性、运行成本控制有效性四个方面进行分析，共设置四个二级指标七个三级指标。社会效应分值30分，实际得分28.38分，得分率94.6%。各分项指标得分情况如下表所示：</w:t>
      </w:r>
    </w:p>
    <w:p w14:paraId="6945C2FC">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highlight w:val="none"/>
          <w:lang w:val="en-US" w:eastAsia="zh-CN"/>
        </w:rPr>
      </w:pPr>
      <w:r>
        <w:rPr>
          <w:rFonts w:hint="eastAsia" w:ascii="仿宋" w:hAnsi="仿宋" w:eastAsia="仿宋" w:cs="仿宋"/>
          <w:sz w:val="28"/>
          <w:szCs w:val="28"/>
          <w:highlight w:val="none"/>
          <w:lang w:val="en-US" w:eastAsia="zh-CN"/>
        </w:rPr>
        <w:t>部门产出得分情况表</w:t>
      </w:r>
    </w:p>
    <w:tbl>
      <w:tblPr>
        <w:tblStyle w:val="12"/>
        <w:tblW w:w="4998" w:type="pct"/>
        <w:jc w:val="center"/>
        <w:shd w:val="clear" w:color="auto" w:fill="auto"/>
        <w:tblLayout w:type="autofit"/>
        <w:tblCellMar>
          <w:top w:w="0" w:type="dxa"/>
          <w:left w:w="0" w:type="dxa"/>
          <w:bottom w:w="0" w:type="dxa"/>
          <w:right w:w="0" w:type="dxa"/>
        </w:tblCellMar>
      </w:tblPr>
      <w:tblGrid>
        <w:gridCol w:w="1358"/>
        <w:gridCol w:w="3398"/>
        <w:gridCol w:w="1187"/>
        <w:gridCol w:w="1189"/>
        <w:gridCol w:w="1189"/>
      </w:tblGrid>
      <w:tr w14:paraId="3B94E103">
        <w:tblPrEx>
          <w:shd w:val="clear" w:color="auto" w:fill="auto"/>
          <w:tblCellMar>
            <w:top w:w="0" w:type="dxa"/>
            <w:left w:w="0" w:type="dxa"/>
            <w:bottom w:w="0" w:type="dxa"/>
            <w:right w:w="0" w:type="dxa"/>
          </w:tblCellMar>
        </w:tblPrEx>
        <w:trPr>
          <w:trHeight w:val="363" w:hRule="atLeast"/>
          <w:tblHeader/>
          <w:jc w:val="center"/>
        </w:trPr>
        <w:tc>
          <w:tcPr>
            <w:tcW w:w="816"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88070E8">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二级指标</w:t>
            </w:r>
          </w:p>
        </w:tc>
        <w:tc>
          <w:tcPr>
            <w:tcW w:w="2041"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1214284">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三级指标</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FCEEFDC">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权重</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6392705">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 xml:space="preserve"> 得分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972C13B">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得分率</w:t>
            </w:r>
          </w:p>
        </w:tc>
      </w:tr>
      <w:tr w14:paraId="5A462F46">
        <w:tblPrEx>
          <w:shd w:val="clear" w:color="auto" w:fill="auto"/>
          <w:tblCellMar>
            <w:top w:w="0" w:type="dxa"/>
            <w:left w:w="0" w:type="dxa"/>
            <w:bottom w:w="0" w:type="dxa"/>
            <w:right w:w="0" w:type="dxa"/>
          </w:tblCellMar>
        </w:tblPrEx>
        <w:trPr>
          <w:trHeight w:val="360" w:hRule="atLeast"/>
          <w:jc w:val="center"/>
        </w:trPr>
        <w:tc>
          <w:tcPr>
            <w:tcW w:w="816"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4043D1C">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rPr>
            </w:pPr>
            <w:r>
              <w:rPr>
                <w:rFonts w:hint="eastAsia" w:ascii="仿宋" w:hAnsi="仿宋" w:eastAsia="仿宋" w:cs="仿宋"/>
                <w:i w:val="0"/>
                <w:color w:val="000000"/>
                <w:kern w:val="0"/>
                <w:sz w:val="24"/>
                <w:szCs w:val="24"/>
                <w:highlight w:val="none"/>
                <w:u w:val="none"/>
                <w:lang w:val="en-US" w:eastAsia="zh-CN" w:bidi="ar"/>
              </w:rPr>
              <w:t>C1目标任务实现程度</w:t>
            </w: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3AD0584">
            <w:pPr>
              <w:keepNext w:val="0"/>
              <w:keepLines w:val="0"/>
              <w:widowControl/>
              <w:suppressLineNumbers w:val="0"/>
              <w:jc w:val="left"/>
              <w:textAlignment w:val="center"/>
              <w:rPr>
                <w:rFonts w:hint="eastAsia" w:ascii="仿宋" w:hAnsi="仿宋" w:eastAsia="仿宋" w:cs="仿宋"/>
                <w:i w:val="0"/>
                <w:color w:val="000000"/>
                <w:sz w:val="24"/>
                <w:szCs w:val="24"/>
                <w:highlight w:val="none"/>
                <w:u w:val="none"/>
                <w:lang w:val="en-US"/>
              </w:rPr>
            </w:pPr>
            <w:r>
              <w:rPr>
                <w:rFonts w:hint="eastAsia" w:ascii="仿宋" w:hAnsi="仿宋" w:eastAsia="仿宋" w:cs="仿宋"/>
                <w:i w:val="0"/>
                <w:iCs w:val="0"/>
                <w:color w:val="000000"/>
                <w:kern w:val="0"/>
                <w:sz w:val="24"/>
                <w:szCs w:val="24"/>
                <w:u w:val="none"/>
                <w:lang w:val="en-US" w:eastAsia="zh-CN" w:bidi="ar"/>
              </w:rPr>
              <w:t>C1-1环卫职责贯彻执行情况</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3E12A78">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7066C1B">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4F478AE">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376CE5BC">
        <w:tblPrEx>
          <w:shd w:val="clear" w:color="auto" w:fill="auto"/>
          <w:tblCellMar>
            <w:top w:w="0" w:type="dxa"/>
            <w:left w:w="0" w:type="dxa"/>
            <w:bottom w:w="0" w:type="dxa"/>
            <w:right w:w="0" w:type="dxa"/>
          </w:tblCellMar>
        </w:tblPrEx>
        <w:trPr>
          <w:trHeight w:val="360" w:hRule="atLeast"/>
          <w:jc w:val="center"/>
        </w:trPr>
        <w:tc>
          <w:tcPr>
            <w:tcW w:w="816"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5675F8E">
            <w:pPr>
              <w:jc w:val="center"/>
              <w:rPr>
                <w:rFonts w:hint="eastAsia" w:ascii="仿宋" w:hAnsi="仿宋" w:eastAsia="仿宋" w:cs="仿宋"/>
                <w:i w:val="0"/>
                <w:color w:val="000000"/>
                <w:sz w:val="24"/>
                <w:szCs w:val="24"/>
                <w:highlight w:val="none"/>
                <w:u w:val="none"/>
              </w:rPr>
            </w:pP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6AF7041">
            <w:pPr>
              <w:keepNext w:val="0"/>
              <w:keepLines w:val="0"/>
              <w:widowControl/>
              <w:suppressLineNumbers w:val="0"/>
              <w:jc w:val="left"/>
              <w:textAlignment w:val="center"/>
              <w:rPr>
                <w:rFonts w:hint="eastAsia" w:ascii="仿宋" w:hAnsi="仿宋" w:eastAsia="仿宋" w:cs="仿宋"/>
                <w:i w:val="0"/>
                <w:color w:val="000000"/>
                <w:sz w:val="24"/>
                <w:szCs w:val="24"/>
                <w:highlight w:val="none"/>
                <w:u w:val="none"/>
                <w:lang w:val="en-US"/>
              </w:rPr>
            </w:pPr>
            <w:r>
              <w:rPr>
                <w:rFonts w:hint="eastAsia" w:ascii="仿宋" w:hAnsi="仿宋" w:eastAsia="仿宋" w:cs="仿宋"/>
                <w:i w:val="0"/>
                <w:iCs w:val="0"/>
                <w:color w:val="000000"/>
                <w:kern w:val="0"/>
                <w:sz w:val="24"/>
                <w:szCs w:val="24"/>
                <w:u w:val="none"/>
                <w:lang w:val="en-US" w:eastAsia="zh-CN" w:bidi="ar"/>
              </w:rPr>
              <w:t>C1-2清扫保洁、公厕、垃圾清运工作执行情况</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F1C041B">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12116E0">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5BE7999">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3FDB7920">
        <w:tblPrEx>
          <w:shd w:val="clear" w:color="auto" w:fill="auto"/>
          <w:tblCellMar>
            <w:top w:w="0" w:type="dxa"/>
            <w:left w:w="0" w:type="dxa"/>
            <w:bottom w:w="0" w:type="dxa"/>
            <w:right w:w="0" w:type="dxa"/>
          </w:tblCellMar>
        </w:tblPrEx>
        <w:trPr>
          <w:trHeight w:val="360" w:hRule="atLeast"/>
          <w:jc w:val="center"/>
        </w:trPr>
        <w:tc>
          <w:tcPr>
            <w:tcW w:w="816"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CD77E96">
            <w:pPr>
              <w:jc w:val="center"/>
              <w:rPr>
                <w:rFonts w:hint="eastAsia" w:ascii="仿宋" w:hAnsi="仿宋" w:eastAsia="仿宋" w:cs="仿宋"/>
                <w:i w:val="0"/>
                <w:color w:val="000000"/>
                <w:sz w:val="24"/>
                <w:szCs w:val="24"/>
                <w:highlight w:val="none"/>
                <w:u w:val="none"/>
              </w:rPr>
            </w:pP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6ABE5C6">
            <w:pPr>
              <w:keepNext w:val="0"/>
              <w:keepLines w:val="0"/>
              <w:widowControl/>
              <w:suppressLineNumbers w:val="0"/>
              <w:jc w:val="left"/>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C1-3生活垃圾处理费征收工作执行情况</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05CD3E0">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50879D2">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1.5</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C87AF21">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75.00%</w:t>
            </w:r>
          </w:p>
        </w:tc>
      </w:tr>
      <w:tr w14:paraId="17219841">
        <w:tblPrEx>
          <w:shd w:val="clear" w:color="auto" w:fill="auto"/>
          <w:tblCellMar>
            <w:top w:w="0" w:type="dxa"/>
            <w:left w:w="0" w:type="dxa"/>
            <w:bottom w:w="0" w:type="dxa"/>
            <w:right w:w="0" w:type="dxa"/>
          </w:tblCellMar>
        </w:tblPrEx>
        <w:trPr>
          <w:trHeight w:val="360" w:hRule="atLeast"/>
          <w:jc w:val="center"/>
        </w:trPr>
        <w:tc>
          <w:tcPr>
            <w:tcW w:w="816"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E87AEF5">
            <w:pPr>
              <w:jc w:val="center"/>
              <w:rPr>
                <w:rFonts w:hint="eastAsia" w:ascii="仿宋" w:hAnsi="仿宋" w:eastAsia="仿宋" w:cs="仿宋"/>
                <w:i w:val="0"/>
                <w:color w:val="000000"/>
                <w:sz w:val="24"/>
                <w:szCs w:val="24"/>
                <w:highlight w:val="none"/>
                <w:u w:val="none"/>
              </w:rPr>
            </w:pP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169DC1B">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C1-4其他工作执行情况</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6E7E19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AC950E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B41775C">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215E65E4">
        <w:tblPrEx>
          <w:shd w:val="clear" w:color="auto" w:fill="auto"/>
          <w:tblCellMar>
            <w:top w:w="0" w:type="dxa"/>
            <w:left w:w="0" w:type="dxa"/>
            <w:bottom w:w="0" w:type="dxa"/>
            <w:right w:w="0" w:type="dxa"/>
          </w:tblCellMar>
        </w:tblPrEx>
        <w:trPr>
          <w:trHeight w:val="360" w:hRule="atLeast"/>
          <w:jc w:val="center"/>
        </w:trPr>
        <w:tc>
          <w:tcPr>
            <w:tcW w:w="816"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7A8338B">
            <w:pPr>
              <w:jc w:val="center"/>
              <w:rPr>
                <w:rFonts w:hint="eastAsia" w:ascii="仿宋" w:hAnsi="仿宋" w:eastAsia="仿宋" w:cs="仿宋"/>
                <w:i w:val="0"/>
                <w:color w:val="000000"/>
                <w:sz w:val="24"/>
                <w:szCs w:val="24"/>
                <w:highlight w:val="none"/>
                <w:u w:val="none"/>
              </w:rPr>
            </w:pP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E15FF05">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78D0161">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9</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E2B5D29">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8.5</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CAD9F77">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94.44%</w:t>
            </w:r>
          </w:p>
        </w:tc>
      </w:tr>
      <w:tr w14:paraId="52052D2B">
        <w:tblPrEx>
          <w:shd w:val="clear" w:color="auto" w:fill="auto"/>
          <w:tblCellMar>
            <w:top w:w="0" w:type="dxa"/>
            <w:left w:w="0" w:type="dxa"/>
            <w:bottom w:w="0" w:type="dxa"/>
            <w:right w:w="0" w:type="dxa"/>
          </w:tblCellMar>
        </w:tblPrEx>
        <w:trPr>
          <w:trHeight w:val="360" w:hRule="atLeast"/>
          <w:jc w:val="center"/>
        </w:trPr>
        <w:tc>
          <w:tcPr>
            <w:tcW w:w="816"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6F4EAB6">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rPr>
            </w:pPr>
            <w:r>
              <w:rPr>
                <w:rFonts w:hint="eastAsia" w:ascii="仿宋" w:hAnsi="仿宋" w:eastAsia="仿宋" w:cs="仿宋"/>
                <w:i w:val="0"/>
                <w:color w:val="000000"/>
                <w:kern w:val="0"/>
                <w:sz w:val="24"/>
                <w:szCs w:val="24"/>
                <w:highlight w:val="none"/>
                <w:u w:val="none"/>
                <w:lang w:val="en-US" w:eastAsia="zh-CN" w:bidi="ar"/>
              </w:rPr>
              <w:t>C2目标任务完成质量</w:t>
            </w: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50EFE11">
            <w:pPr>
              <w:keepNext w:val="0"/>
              <w:keepLines w:val="0"/>
              <w:widowControl/>
              <w:suppressLineNumbers w:val="0"/>
              <w:jc w:val="left"/>
              <w:textAlignment w:val="center"/>
              <w:rPr>
                <w:rFonts w:hint="eastAsia" w:ascii="仿宋" w:hAnsi="仿宋" w:eastAsia="仿宋" w:cs="仿宋"/>
                <w:i w:val="0"/>
                <w:color w:val="000000"/>
                <w:sz w:val="24"/>
                <w:szCs w:val="24"/>
                <w:highlight w:val="none"/>
                <w:u w:val="none"/>
                <w:lang w:val="en-US"/>
              </w:rPr>
            </w:pPr>
            <w:r>
              <w:rPr>
                <w:rFonts w:hint="eastAsia" w:ascii="仿宋" w:hAnsi="仿宋" w:eastAsia="仿宋" w:cs="仿宋"/>
                <w:i w:val="0"/>
                <w:iCs w:val="0"/>
                <w:color w:val="000000"/>
                <w:kern w:val="0"/>
                <w:sz w:val="24"/>
                <w:szCs w:val="24"/>
                <w:u w:val="none"/>
                <w:lang w:val="en-US" w:eastAsia="zh-CN" w:bidi="ar"/>
              </w:rPr>
              <w:t>C2-1业务质量达标情况</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E4432E9">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BEC1EFF">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87597EE">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15E98391">
        <w:tblPrEx>
          <w:shd w:val="clear" w:color="auto" w:fill="auto"/>
          <w:tblCellMar>
            <w:top w:w="0" w:type="dxa"/>
            <w:left w:w="0" w:type="dxa"/>
            <w:bottom w:w="0" w:type="dxa"/>
            <w:right w:w="0" w:type="dxa"/>
          </w:tblCellMar>
        </w:tblPrEx>
        <w:trPr>
          <w:trHeight w:val="360" w:hRule="atLeast"/>
          <w:jc w:val="center"/>
        </w:trPr>
        <w:tc>
          <w:tcPr>
            <w:tcW w:w="816"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BDE5588">
            <w:pPr>
              <w:jc w:val="center"/>
              <w:rPr>
                <w:rFonts w:hint="eastAsia" w:ascii="仿宋" w:hAnsi="仿宋" w:eastAsia="仿宋" w:cs="仿宋"/>
                <w:i w:val="0"/>
                <w:color w:val="000000"/>
                <w:sz w:val="24"/>
                <w:szCs w:val="24"/>
                <w:highlight w:val="none"/>
                <w:u w:val="none"/>
              </w:rPr>
            </w:pP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5CBC9DB">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DB382AB">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9DC5C24">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BA74B61">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338D8424">
        <w:tblPrEx>
          <w:shd w:val="clear" w:color="auto" w:fill="auto"/>
          <w:tblCellMar>
            <w:top w:w="0" w:type="dxa"/>
            <w:left w:w="0" w:type="dxa"/>
            <w:bottom w:w="0" w:type="dxa"/>
            <w:right w:w="0" w:type="dxa"/>
          </w:tblCellMar>
        </w:tblPrEx>
        <w:trPr>
          <w:trHeight w:val="360" w:hRule="atLeast"/>
          <w:jc w:val="center"/>
        </w:trPr>
        <w:tc>
          <w:tcPr>
            <w:tcW w:w="816" w:type="pct"/>
            <w:vMerge w:val="restart"/>
            <w:tcBorders>
              <w:top w:val="single" w:color="000000" w:sz="4" w:space="0"/>
              <w:left w:val="single" w:color="000000" w:sz="4" w:space="0"/>
              <w:right w:val="single" w:color="000000" w:sz="4" w:space="0"/>
            </w:tcBorders>
            <w:shd w:val="clear" w:color="auto" w:fill="auto"/>
            <w:tcMar>
              <w:top w:w="9" w:type="dxa"/>
              <w:left w:w="9" w:type="dxa"/>
              <w:right w:w="9" w:type="dxa"/>
            </w:tcMar>
            <w:vAlign w:val="center"/>
          </w:tcPr>
          <w:p w14:paraId="647C5F15">
            <w:pPr>
              <w:jc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C3目标任务完成及时性</w:t>
            </w: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D4BEB9B">
            <w:pPr>
              <w:keepNext w:val="0"/>
              <w:keepLines w:val="0"/>
              <w:widowControl/>
              <w:suppressLineNumbers w:val="0"/>
              <w:jc w:val="left"/>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C3-1业务完成及时情况</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3F87120">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C4AAB53">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E071424">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763891B3">
        <w:tblPrEx>
          <w:shd w:val="clear" w:color="auto" w:fill="auto"/>
          <w:tblCellMar>
            <w:top w:w="0" w:type="dxa"/>
            <w:left w:w="0" w:type="dxa"/>
            <w:bottom w:w="0" w:type="dxa"/>
            <w:right w:w="0" w:type="dxa"/>
          </w:tblCellMar>
        </w:tblPrEx>
        <w:trPr>
          <w:trHeight w:val="360" w:hRule="atLeast"/>
          <w:jc w:val="center"/>
        </w:trPr>
        <w:tc>
          <w:tcPr>
            <w:tcW w:w="816"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473E2D8">
            <w:pPr>
              <w:jc w:val="center"/>
              <w:rPr>
                <w:rFonts w:hint="eastAsia" w:ascii="仿宋" w:hAnsi="仿宋" w:eastAsia="仿宋" w:cs="仿宋"/>
                <w:i w:val="0"/>
                <w:color w:val="000000"/>
                <w:sz w:val="24"/>
                <w:szCs w:val="24"/>
                <w:highlight w:val="none"/>
                <w:u w:val="none"/>
              </w:rPr>
            </w:pP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7EEBFBE">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38B1BAF">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5B7AD24">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9B2D7B9">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22DB3EE6">
        <w:tblPrEx>
          <w:shd w:val="clear" w:color="auto" w:fill="auto"/>
          <w:tblCellMar>
            <w:top w:w="0" w:type="dxa"/>
            <w:left w:w="0" w:type="dxa"/>
            <w:bottom w:w="0" w:type="dxa"/>
            <w:right w:w="0" w:type="dxa"/>
          </w:tblCellMar>
        </w:tblPrEx>
        <w:trPr>
          <w:trHeight w:val="360" w:hRule="atLeast"/>
          <w:jc w:val="center"/>
        </w:trPr>
        <w:tc>
          <w:tcPr>
            <w:tcW w:w="816" w:type="pct"/>
            <w:vMerge w:val="restart"/>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95957C8">
            <w:pPr>
              <w:jc w:val="center"/>
              <w:rPr>
                <w:rFonts w:hint="default" w:ascii="仿宋" w:hAnsi="仿宋" w:eastAsia="仿宋" w:cs="仿宋"/>
                <w:i w:val="0"/>
                <w:color w:val="000000"/>
                <w:sz w:val="24"/>
                <w:szCs w:val="24"/>
                <w:highlight w:val="none"/>
                <w:u w:val="none"/>
                <w:lang w:val="en-US"/>
              </w:rPr>
            </w:pPr>
            <w:r>
              <w:rPr>
                <w:rFonts w:hint="eastAsia" w:ascii="仿宋" w:hAnsi="仿宋" w:eastAsia="仿宋" w:cs="仿宋"/>
                <w:i w:val="0"/>
                <w:color w:val="000000"/>
                <w:sz w:val="24"/>
                <w:szCs w:val="24"/>
                <w:highlight w:val="none"/>
                <w:u w:val="none"/>
                <w:lang w:val="en-US" w:eastAsia="zh-CN"/>
              </w:rPr>
              <w:t>C4运行成本控制有效性</w:t>
            </w: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0D59ACD">
            <w:pPr>
              <w:keepNext w:val="0"/>
              <w:keepLines w:val="0"/>
              <w:widowControl/>
              <w:suppressLineNumbers w:val="0"/>
              <w:jc w:val="left"/>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C4-1成本控制情况</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0E9F116">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B1C447A">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5.88</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7C3BD64">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84.00%</w:t>
            </w:r>
          </w:p>
        </w:tc>
      </w:tr>
      <w:tr w14:paraId="1D71F4BE">
        <w:tblPrEx>
          <w:shd w:val="clear" w:color="auto" w:fill="auto"/>
          <w:tblCellMar>
            <w:top w:w="0" w:type="dxa"/>
            <w:left w:w="0" w:type="dxa"/>
            <w:bottom w:w="0" w:type="dxa"/>
            <w:right w:w="0" w:type="dxa"/>
          </w:tblCellMar>
        </w:tblPrEx>
        <w:trPr>
          <w:trHeight w:val="360" w:hRule="atLeast"/>
          <w:jc w:val="center"/>
        </w:trPr>
        <w:tc>
          <w:tcPr>
            <w:tcW w:w="816"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CD05500">
            <w:pPr>
              <w:jc w:val="center"/>
              <w:rPr>
                <w:rFonts w:hint="eastAsia" w:ascii="仿宋" w:hAnsi="仿宋" w:eastAsia="仿宋" w:cs="仿宋"/>
                <w:i w:val="0"/>
                <w:color w:val="000000"/>
                <w:sz w:val="24"/>
                <w:szCs w:val="24"/>
                <w:highlight w:val="none"/>
                <w:u w:val="none"/>
              </w:rPr>
            </w:pP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64F5321">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907D5FA">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7</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9317A47">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5.88</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09EC4D84">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84.00%</w:t>
            </w:r>
          </w:p>
        </w:tc>
      </w:tr>
      <w:tr w14:paraId="484A3B32">
        <w:tblPrEx>
          <w:shd w:val="clear" w:color="auto" w:fill="auto"/>
          <w:tblCellMar>
            <w:top w:w="0" w:type="dxa"/>
            <w:left w:w="0" w:type="dxa"/>
            <w:bottom w:w="0" w:type="dxa"/>
            <w:right w:w="0" w:type="dxa"/>
          </w:tblCellMar>
        </w:tblPrEx>
        <w:trPr>
          <w:trHeight w:val="360" w:hRule="atLeast"/>
          <w:jc w:val="center"/>
        </w:trPr>
        <w:tc>
          <w:tcPr>
            <w:tcW w:w="2857"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C6195A6">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合计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C94F5EE">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30</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6638DF3">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28.38</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F9AB188">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94.60%</w:t>
            </w:r>
          </w:p>
        </w:tc>
      </w:tr>
    </w:tbl>
    <w:p w14:paraId="78FA63E2">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1.C1目标任务实现程度，权重9分，得分8.5分</w:t>
      </w:r>
    </w:p>
    <w:p w14:paraId="006ADA7D">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（1）C1-1环卫职责贯彻执行情况</w:t>
      </w:r>
    </w:p>
    <w:p w14:paraId="26310DE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永济市市容环卫中心2023年上级下达的任务为开展垃圾分类投放点建设工作、举行垃圾分类宣传活动；完成政府工作报告中新建10座公厕的建设任务。</w:t>
      </w:r>
    </w:p>
    <w:p w14:paraId="79462B5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经查看相关资料，永济市市容环卫中心召开了生活垃圾分类投放点建设促进会2次，开展垃圾分类宣传活动2次，发放垃圾分类宣传册、扇子、宣传单各1000份，生活垃圾分类投放点已完工215个，更换生活垃圾分类投放桶160个，黏贴分类标识300余个，生活垃圾分类覆盖率达到85%以上。截至2023年底，新建驿站内部设施采购已全部安装并投入运行。</w:t>
      </w:r>
    </w:p>
    <w:p w14:paraId="342876B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经查看相关资料及调查走访，永济市市容环卫中心在永济市创建“中国魅力城市”“中国优秀旅游城市”“国家园林城市”“省级卫生城市”“省级文明城市”等活动中做出了突出的贡献。</w:t>
      </w:r>
    </w:p>
    <w:p w14:paraId="09C8986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依据评分标准，贯彻执行市委市政府及上级部门下达的重点任务，全部完成的得2分；完成重要节日和重大会议期间的环卫保障工作的得1分。环卫职责贯彻执行情况指标权重3分，得分3分。</w:t>
      </w:r>
    </w:p>
    <w:p w14:paraId="17230BE4">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（2）C1-2清扫保洁、公厕、垃圾清运工作执行情况</w:t>
      </w:r>
    </w:p>
    <w:p w14:paraId="78A9B873">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永济市市容环卫中心2023年清扫保洁范围共385.29万㎡，经查看2023年考核资料及走访，永济市市容环卫中心能够对范围内的区域进行全覆盖作业。</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75"/>
        <w:gridCol w:w="3644"/>
      </w:tblGrid>
      <w:tr w14:paraId="5698C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E153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清扫保洁区域</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414A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清扫面积㎡</w:t>
            </w:r>
          </w:p>
        </w:tc>
      </w:tr>
      <w:tr w14:paraId="3EEC8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7BC8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舜都大道</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762D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689,230.00</w:t>
            </w:r>
          </w:p>
        </w:tc>
      </w:tr>
      <w:tr w14:paraId="3151C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194F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西厢路</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01740">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129,000.00</w:t>
            </w:r>
          </w:p>
        </w:tc>
      </w:tr>
      <w:tr w14:paraId="3BDE4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EAF1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富强西街</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B46A">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112,000.00</w:t>
            </w:r>
          </w:p>
        </w:tc>
      </w:tr>
      <w:tr w14:paraId="20130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6FAEF">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富强东街</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14307">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50,225.00</w:t>
            </w:r>
          </w:p>
        </w:tc>
      </w:tr>
      <w:tr w14:paraId="5B869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376D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河东大道</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34669">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440,000.00</w:t>
            </w:r>
          </w:p>
        </w:tc>
      </w:tr>
      <w:tr w14:paraId="07A86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1790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康乐路</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3DEB9">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58,000.00</w:t>
            </w:r>
          </w:p>
        </w:tc>
      </w:tr>
      <w:tr w14:paraId="09C25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76DE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市府西街</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3311C">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125,000.00</w:t>
            </w:r>
          </w:p>
        </w:tc>
      </w:tr>
      <w:tr w14:paraId="3EEBD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CC85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涑水西街</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0D818">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222,000.00</w:t>
            </w:r>
          </w:p>
        </w:tc>
      </w:tr>
      <w:tr w14:paraId="703C3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881A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东环路</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5A23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43,200.00</w:t>
            </w:r>
          </w:p>
        </w:tc>
      </w:tr>
      <w:tr w14:paraId="574B7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80C4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银杏西街</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E1B64">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60,000.00</w:t>
            </w:r>
          </w:p>
        </w:tc>
      </w:tr>
      <w:tr w14:paraId="401BA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CB90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银杏东街</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C11E6">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37,800.00</w:t>
            </w:r>
          </w:p>
        </w:tc>
      </w:tr>
      <w:tr w14:paraId="3702B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1F3A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迎宾路</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DC384">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58,560.00</w:t>
            </w:r>
          </w:p>
        </w:tc>
      </w:tr>
      <w:tr w14:paraId="192FB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52AA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涑水东街</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DBED5">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117,000.00</w:t>
            </w:r>
          </w:p>
        </w:tc>
      </w:tr>
      <w:tr w14:paraId="50E7B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477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西延</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E0A66">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372,000.00</w:t>
            </w:r>
          </w:p>
        </w:tc>
      </w:tr>
      <w:tr w14:paraId="2A67E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3A9A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东延</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CCE51">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235,200.00</w:t>
            </w:r>
          </w:p>
        </w:tc>
      </w:tr>
      <w:tr w14:paraId="3DD5A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FF60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条山东街</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95D5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88,140.00</w:t>
            </w:r>
          </w:p>
        </w:tc>
      </w:tr>
      <w:tr w14:paraId="407E7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10C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条山西街（含电机大街）</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56E8A">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140,000.00</w:t>
            </w:r>
          </w:p>
        </w:tc>
      </w:tr>
      <w:tr w14:paraId="268D3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D8E7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市府东街</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6B1DB">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41,600.00</w:t>
            </w:r>
          </w:p>
        </w:tc>
      </w:tr>
      <w:tr w14:paraId="113B6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1F27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黄河大道</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4B499">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280,000.00</w:t>
            </w:r>
          </w:p>
        </w:tc>
      </w:tr>
      <w:tr w14:paraId="3B5CC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4869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迎新东街</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00A7E">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40,500.00</w:t>
            </w:r>
          </w:p>
        </w:tc>
      </w:tr>
      <w:tr w14:paraId="6A6D8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CD8C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振兴街</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A58CA">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248,000.00</w:t>
            </w:r>
          </w:p>
        </w:tc>
      </w:tr>
      <w:tr w14:paraId="71E24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4C8A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电机支路</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571C2">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22,000.00</w:t>
            </w:r>
          </w:p>
        </w:tc>
      </w:tr>
      <w:tr w14:paraId="3B1E9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929B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东丰路</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D6ED">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31,900.00</w:t>
            </w:r>
          </w:p>
        </w:tc>
      </w:tr>
      <w:tr w14:paraId="4526C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48AE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迎新西街</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33A98">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9,000.00</w:t>
            </w:r>
          </w:p>
        </w:tc>
      </w:tr>
      <w:tr w14:paraId="29894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43BC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东外环</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13D23">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102,500.00</w:t>
            </w:r>
          </w:p>
        </w:tc>
      </w:tr>
      <w:tr w14:paraId="73C0F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8DE0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御园路</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EEA26">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22,000.00</w:t>
            </w:r>
          </w:p>
        </w:tc>
      </w:tr>
      <w:tr w14:paraId="4B5D3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C28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兴业街</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9A93">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16,000.00</w:t>
            </w:r>
          </w:p>
        </w:tc>
      </w:tr>
      <w:tr w14:paraId="396C5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879A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滨河东街</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7BF7B">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24,000.00</w:t>
            </w:r>
          </w:p>
        </w:tc>
      </w:tr>
      <w:tr w14:paraId="57868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8518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滨河西街</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FFA53">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24,000.00</w:t>
            </w:r>
          </w:p>
        </w:tc>
      </w:tr>
      <w:tr w14:paraId="191BF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BDF8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青年路</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CB4C8">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7,500.00</w:t>
            </w:r>
          </w:p>
        </w:tc>
      </w:tr>
      <w:tr w14:paraId="7E58B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7AB49">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合计</w:t>
            </w:r>
          </w:p>
        </w:tc>
        <w:tc>
          <w:tcPr>
            <w:tcW w:w="2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31EEF">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3,852,855.00</w:t>
            </w:r>
          </w:p>
        </w:tc>
      </w:tr>
    </w:tbl>
    <w:p w14:paraId="2DE780F2">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永济市市容环卫中心负责4座垃圾中转站、33座驿站公厕的运行管理，及城市垃圾的收集转运工作，经查看2023年考核资料及走访，永济市市容环卫中心能够对范围内的区域进行全覆盖作业。</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4"/>
        <w:gridCol w:w="3521"/>
        <w:gridCol w:w="1575"/>
      </w:tblGrid>
      <w:tr w14:paraId="6FA0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009" w:type="pct"/>
            <w:shd w:val="clear" w:color="auto" w:fill="auto"/>
            <w:vAlign w:val="center"/>
          </w:tcPr>
          <w:p w14:paraId="1CD3496B">
            <w:pPr>
              <w:pStyle w:val="2"/>
              <w:jc w:val="center"/>
              <w:rPr>
                <w:rFonts w:hint="eastAsia" w:ascii="仿宋" w:hAnsi="仿宋" w:eastAsia="仿宋" w:cs="仿宋"/>
                <w:b/>
                <w:bCs/>
                <w:sz w:val="24"/>
                <w:szCs w:val="22"/>
                <w:vertAlign w:val="baseline"/>
                <w:lang w:val="en-US" w:eastAsia="zh-CN"/>
              </w:rPr>
            </w:pPr>
            <w:r>
              <w:rPr>
                <w:rFonts w:hint="eastAsia" w:ascii="仿宋" w:hAnsi="仿宋" w:eastAsia="仿宋" w:cs="仿宋"/>
                <w:b/>
                <w:bCs/>
                <w:sz w:val="24"/>
                <w:szCs w:val="22"/>
                <w:vertAlign w:val="baseline"/>
                <w:lang w:val="en-US" w:eastAsia="zh-CN"/>
              </w:rPr>
              <w:t>名称</w:t>
            </w:r>
          </w:p>
        </w:tc>
        <w:tc>
          <w:tcPr>
            <w:tcW w:w="2066" w:type="pct"/>
            <w:shd w:val="clear" w:color="auto" w:fill="auto"/>
            <w:vAlign w:val="center"/>
          </w:tcPr>
          <w:p w14:paraId="35ED660A">
            <w:pPr>
              <w:pStyle w:val="2"/>
              <w:jc w:val="center"/>
              <w:rPr>
                <w:rFonts w:hint="eastAsia" w:ascii="仿宋" w:hAnsi="仿宋" w:eastAsia="仿宋" w:cs="仿宋"/>
                <w:b/>
                <w:bCs/>
                <w:sz w:val="24"/>
                <w:szCs w:val="22"/>
                <w:vertAlign w:val="baseline"/>
                <w:lang w:val="en-US" w:eastAsia="zh-CN"/>
              </w:rPr>
            </w:pPr>
            <w:r>
              <w:rPr>
                <w:rFonts w:hint="eastAsia" w:ascii="仿宋" w:hAnsi="仿宋" w:eastAsia="仿宋" w:cs="仿宋"/>
                <w:b/>
                <w:bCs/>
                <w:sz w:val="24"/>
                <w:szCs w:val="22"/>
                <w:vertAlign w:val="baseline"/>
                <w:lang w:val="en-US" w:eastAsia="zh-CN"/>
              </w:rPr>
              <w:t>中转站位置</w:t>
            </w:r>
          </w:p>
        </w:tc>
        <w:tc>
          <w:tcPr>
            <w:tcW w:w="924" w:type="pct"/>
            <w:shd w:val="clear" w:color="auto" w:fill="auto"/>
          </w:tcPr>
          <w:p w14:paraId="481B7A6B">
            <w:pPr>
              <w:pStyle w:val="2"/>
              <w:jc w:val="center"/>
              <w:rPr>
                <w:rFonts w:hint="eastAsia" w:ascii="仿宋" w:hAnsi="仿宋" w:eastAsia="仿宋" w:cs="仿宋"/>
                <w:b/>
                <w:bCs/>
                <w:sz w:val="24"/>
                <w:szCs w:val="22"/>
                <w:vertAlign w:val="baseline"/>
                <w:lang w:val="en-US" w:eastAsia="zh-CN"/>
              </w:rPr>
            </w:pPr>
            <w:r>
              <w:rPr>
                <w:rFonts w:hint="eastAsia" w:ascii="仿宋" w:hAnsi="仿宋" w:eastAsia="仿宋" w:cs="仿宋"/>
                <w:b/>
                <w:bCs/>
                <w:sz w:val="24"/>
                <w:szCs w:val="22"/>
                <w:vertAlign w:val="baseline"/>
                <w:lang w:val="en-US" w:eastAsia="zh-CN"/>
              </w:rPr>
              <w:t>使用状态</w:t>
            </w:r>
          </w:p>
        </w:tc>
      </w:tr>
      <w:tr w14:paraId="1996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20BBF6A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滨河中转站</w:t>
            </w:r>
          </w:p>
        </w:tc>
        <w:tc>
          <w:tcPr>
            <w:tcW w:w="2066" w:type="pct"/>
            <w:vAlign w:val="center"/>
          </w:tcPr>
          <w:p w14:paraId="740777FF">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滨河公园（涑水东街）</w:t>
            </w:r>
          </w:p>
        </w:tc>
        <w:tc>
          <w:tcPr>
            <w:tcW w:w="924" w:type="pct"/>
            <w:vAlign w:val="center"/>
          </w:tcPr>
          <w:p w14:paraId="7DEA19F0">
            <w:pPr>
              <w:pStyle w:val="2"/>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维修</w:t>
            </w:r>
          </w:p>
        </w:tc>
      </w:tr>
      <w:tr w14:paraId="576C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1F83C60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城西中转站</w:t>
            </w:r>
          </w:p>
        </w:tc>
        <w:tc>
          <w:tcPr>
            <w:tcW w:w="2066" w:type="pct"/>
            <w:vAlign w:val="center"/>
          </w:tcPr>
          <w:p w14:paraId="65F9A0F0">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黄河大道与富强西街十字口</w:t>
            </w:r>
          </w:p>
        </w:tc>
        <w:tc>
          <w:tcPr>
            <w:tcW w:w="924" w:type="pct"/>
            <w:vAlign w:val="center"/>
          </w:tcPr>
          <w:p w14:paraId="0375241A">
            <w:pPr>
              <w:pStyle w:val="2"/>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正常运营</w:t>
            </w:r>
          </w:p>
        </w:tc>
      </w:tr>
      <w:tr w14:paraId="67CE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0FA2BDF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城东中转站</w:t>
            </w:r>
          </w:p>
        </w:tc>
        <w:tc>
          <w:tcPr>
            <w:tcW w:w="2066" w:type="pct"/>
            <w:vAlign w:val="center"/>
          </w:tcPr>
          <w:p w14:paraId="5ED73FCD">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东延（五七五路口）</w:t>
            </w:r>
          </w:p>
        </w:tc>
        <w:tc>
          <w:tcPr>
            <w:tcW w:w="924" w:type="pct"/>
            <w:vAlign w:val="center"/>
          </w:tcPr>
          <w:p w14:paraId="14B9FEA9">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正常运营</w:t>
            </w:r>
          </w:p>
        </w:tc>
      </w:tr>
      <w:tr w14:paraId="22B3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35CE0A0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城北中转站</w:t>
            </w:r>
          </w:p>
        </w:tc>
        <w:tc>
          <w:tcPr>
            <w:tcW w:w="2066" w:type="pct"/>
            <w:vAlign w:val="center"/>
          </w:tcPr>
          <w:p w14:paraId="675202B2">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河东大道与涑水西街十字口</w:t>
            </w:r>
          </w:p>
        </w:tc>
        <w:tc>
          <w:tcPr>
            <w:tcW w:w="924" w:type="pct"/>
            <w:vAlign w:val="center"/>
          </w:tcPr>
          <w:p w14:paraId="41F13488">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正常运营</w:t>
            </w:r>
          </w:p>
        </w:tc>
      </w:tr>
      <w:tr w14:paraId="5424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143DF37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南城驿站</w:t>
            </w:r>
          </w:p>
        </w:tc>
        <w:tc>
          <w:tcPr>
            <w:tcW w:w="2066" w:type="pct"/>
            <w:vAlign w:val="center"/>
          </w:tcPr>
          <w:p w14:paraId="3C8B7DA7">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舜都大道住建局北侧</w:t>
            </w:r>
          </w:p>
        </w:tc>
        <w:tc>
          <w:tcPr>
            <w:tcW w:w="924" w:type="pct"/>
            <w:vAlign w:val="center"/>
          </w:tcPr>
          <w:p w14:paraId="20573A78">
            <w:pPr>
              <w:pStyle w:val="2"/>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5730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2FB6C31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中心汽车站驿站</w:t>
            </w:r>
          </w:p>
        </w:tc>
        <w:tc>
          <w:tcPr>
            <w:tcW w:w="2066" w:type="pct"/>
            <w:vAlign w:val="center"/>
          </w:tcPr>
          <w:p w14:paraId="4BB18959">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舜都大道汽车站</w:t>
            </w:r>
          </w:p>
        </w:tc>
        <w:tc>
          <w:tcPr>
            <w:tcW w:w="924" w:type="pct"/>
            <w:vAlign w:val="center"/>
          </w:tcPr>
          <w:p w14:paraId="74ECA3D1">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4E95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05EA95F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芙蓉小镇驿站</w:t>
            </w:r>
          </w:p>
        </w:tc>
        <w:tc>
          <w:tcPr>
            <w:tcW w:w="2066" w:type="pct"/>
            <w:vAlign w:val="center"/>
          </w:tcPr>
          <w:p w14:paraId="4EAB1039">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富强西街服务大厅对面</w:t>
            </w:r>
          </w:p>
        </w:tc>
        <w:tc>
          <w:tcPr>
            <w:tcW w:w="924" w:type="pct"/>
            <w:vAlign w:val="center"/>
          </w:tcPr>
          <w:p w14:paraId="070F95FE">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5E4F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02FFFBB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海纳驿站</w:t>
            </w:r>
          </w:p>
        </w:tc>
        <w:tc>
          <w:tcPr>
            <w:tcW w:w="2066" w:type="pct"/>
            <w:vAlign w:val="center"/>
          </w:tcPr>
          <w:p w14:paraId="7EB90ACE">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海纳酒店北侧</w:t>
            </w:r>
          </w:p>
        </w:tc>
        <w:tc>
          <w:tcPr>
            <w:tcW w:w="924" w:type="pct"/>
            <w:vAlign w:val="center"/>
          </w:tcPr>
          <w:p w14:paraId="5668C7AB">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2140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46CF9FF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柳园驿站</w:t>
            </w:r>
          </w:p>
        </w:tc>
        <w:tc>
          <w:tcPr>
            <w:tcW w:w="2066" w:type="pct"/>
            <w:vAlign w:val="center"/>
          </w:tcPr>
          <w:p w14:paraId="2409B2C0">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富强西街柳园大门西侧</w:t>
            </w:r>
          </w:p>
        </w:tc>
        <w:tc>
          <w:tcPr>
            <w:tcW w:w="924" w:type="pct"/>
            <w:vAlign w:val="center"/>
          </w:tcPr>
          <w:p w14:paraId="1FD0BE46">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0329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09" w:type="pct"/>
            <w:vAlign w:val="center"/>
          </w:tcPr>
          <w:p w14:paraId="58F89DC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河东大道驿站</w:t>
            </w:r>
          </w:p>
        </w:tc>
        <w:tc>
          <w:tcPr>
            <w:tcW w:w="2066" w:type="pct"/>
            <w:vAlign w:val="center"/>
          </w:tcPr>
          <w:p w14:paraId="0F4E5DFB">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市府街与河东大道西南角</w:t>
            </w:r>
          </w:p>
        </w:tc>
        <w:tc>
          <w:tcPr>
            <w:tcW w:w="924" w:type="pct"/>
            <w:vAlign w:val="center"/>
          </w:tcPr>
          <w:p w14:paraId="0454E856">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6190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74A9E9B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三中驿站</w:t>
            </w:r>
          </w:p>
        </w:tc>
        <w:tc>
          <w:tcPr>
            <w:tcW w:w="2066" w:type="pct"/>
            <w:vAlign w:val="center"/>
          </w:tcPr>
          <w:p w14:paraId="5F9CCA48">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黄河大道三中对面</w:t>
            </w:r>
          </w:p>
        </w:tc>
        <w:tc>
          <w:tcPr>
            <w:tcW w:w="924" w:type="pct"/>
            <w:vAlign w:val="center"/>
          </w:tcPr>
          <w:p w14:paraId="0518110E">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2A78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58C400D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城西中学驿站</w:t>
            </w:r>
          </w:p>
        </w:tc>
        <w:tc>
          <w:tcPr>
            <w:tcW w:w="2066" w:type="pct"/>
            <w:vAlign w:val="center"/>
          </w:tcPr>
          <w:p w14:paraId="5DAC1AFD">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城西中心西侧</w:t>
            </w:r>
          </w:p>
        </w:tc>
        <w:tc>
          <w:tcPr>
            <w:tcW w:w="924" w:type="pct"/>
            <w:vAlign w:val="center"/>
          </w:tcPr>
          <w:p w14:paraId="55C1FE11">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630A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2B9EB2D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旅游学校驿站</w:t>
            </w:r>
          </w:p>
        </w:tc>
        <w:tc>
          <w:tcPr>
            <w:tcW w:w="2066" w:type="pct"/>
            <w:vAlign w:val="center"/>
          </w:tcPr>
          <w:p w14:paraId="11CC2947">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振兴西街涑北中学对面</w:t>
            </w:r>
          </w:p>
        </w:tc>
        <w:tc>
          <w:tcPr>
            <w:tcW w:w="924" w:type="pct"/>
            <w:vAlign w:val="center"/>
          </w:tcPr>
          <w:p w14:paraId="40BC3B3F">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729B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44D35FC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菜市场驿站</w:t>
            </w:r>
          </w:p>
        </w:tc>
        <w:tc>
          <w:tcPr>
            <w:tcW w:w="2066" w:type="pct"/>
            <w:vAlign w:val="center"/>
          </w:tcPr>
          <w:p w14:paraId="7B5A71F5">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西厢路菜市场大门口</w:t>
            </w:r>
          </w:p>
        </w:tc>
        <w:tc>
          <w:tcPr>
            <w:tcW w:w="924" w:type="pct"/>
            <w:vAlign w:val="center"/>
          </w:tcPr>
          <w:p w14:paraId="3A021BD0">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0535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6827F2C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滨河驿站</w:t>
            </w:r>
          </w:p>
        </w:tc>
        <w:tc>
          <w:tcPr>
            <w:tcW w:w="2066" w:type="pct"/>
            <w:vAlign w:val="center"/>
          </w:tcPr>
          <w:p w14:paraId="4A31F753">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涑水西街涑北新村对面</w:t>
            </w:r>
          </w:p>
        </w:tc>
        <w:tc>
          <w:tcPr>
            <w:tcW w:w="924" w:type="pct"/>
            <w:vAlign w:val="center"/>
          </w:tcPr>
          <w:p w14:paraId="68BF9206">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5157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0718DDF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市政公司驿站</w:t>
            </w:r>
          </w:p>
        </w:tc>
        <w:tc>
          <w:tcPr>
            <w:tcW w:w="2066" w:type="pct"/>
            <w:vAlign w:val="center"/>
          </w:tcPr>
          <w:p w14:paraId="08DEF508">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康乐路市政公司大门北侧</w:t>
            </w:r>
          </w:p>
        </w:tc>
        <w:tc>
          <w:tcPr>
            <w:tcW w:w="924" w:type="pct"/>
            <w:vAlign w:val="center"/>
          </w:tcPr>
          <w:p w14:paraId="508A1A27">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4441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07D935B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火车站驿站</w:t>
            </w:r>
          </w:p>
        </w:tc>
        <w:tc>
          <w:tcPr>
            <w:tcW w:w="2066" w:type="pct"/>
            <w:vAlign w:val="center"/>
          </w:tcPr>
          <w:p w14:paraId="1B5177BC">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迎新东街火车站</w:t>
            </w:r>
          </w:p>
        </w:tc>
        <w:tc>
          <w:tcPr>
            <w:tcW w:w="924" w:type="pct"/>
            <w:vAlign w:val="center"/>
          </w:tcPr>
          <w:p w14:paraId="41BAB191">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4D7E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52DE5B0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南转盘公厕</w:t>
            </w:r>
          </w:p>
        </w:tc>
        <w:tc>
          <w:tcPr>
            <w:tcW w:w="2066" w:type="pct"/>
            <w:vAlign w:val="center"/>
          </w:tcPr>
          <w:p w14:paraId="72B6B3B7">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舜都大道与中山街东北角</w:t>
            </w:r>
          </w:p>
        </w:tc>
        <w:tc>
          <w:tcPr>
            <w:tcW w:w="924" w:type="pct"/>
            <w:vAlign w:val="center"/>
          </w:tcPr>
          <w:p w14:paraId="742A2D61">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18B3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0D7B81F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四冯公厕</w:t>
            </w:r>
          </w:p>
        </w:tc>
        <w:tc>
          <w:tcPr>
            <w:tcW w:w="2066" w:type="pct"/>
            <w:vAlign w:val="center"/>
          </w:tcPr>
          <w:p w14:paraId="69D1BDDA">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舜都大道四冯市场对面</w:t>
            </w:r>
          </w:p>
        </w:tc>
        <w:tc>
          <w:tcPr>
            <w:tcW w:w="924" w:type="pct"/>
            <w:vAlign w:val="center"/>
          </w:tcPr>
          <w:p w14:paraId="268BE68B">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023C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1B4CAEE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好又多公厕</w:t>
            </w:r>
          </w:p>
        </w:tc>
        <w:tc>
          <w:tcPr>
            <w:tcW w:w="2066" w:type="pct"/>
            <w:vAlign w:val="center"/>
          </w:tcPr>
          <w:p w14:paraId="614C5626">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舜都大道好又多超市下</w:t>
            </w:r>
          </w:p>
        </w:tc>
        <w:tc>
          <w:tcPr>
            <w:tcW w:w="924" w:type="pct"/>
            <w:vAlign w:val="center"/>
          </w:tcPr>
          <w:p w14:paraId="7E8B17E4">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68EAA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561696E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广场公厕</w:t>
            </w:r>
          </w:p>
        </w:tc>
        <w:tc>
          <w:tcPr>
            <w:tcW w:w="2066" w:type="pct"/>
            <w:vAlign w:val="center"/>
          </w:tcPr>
          <w:p w14:paraId="4C832C6C">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舜都广场东北角</w:t>
            </w:r>
          </w:p>
        </w:tc>
        <w:tc>
          <w:tcPr>
            <w:tcW w:w="924" w:type="pct"/>
            <w:vAlign w:val="center"/>
          </w:tcPr>
          <w:p w14:paraId="0EC01ABD">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5EAF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20ADEB5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滨河公厕</w:t>
            </w:r>
          </w:p>
        </w:tc>
        <w:tc>
          <w:tcPr>
            <w:tcW w:w="2066" w:type="pct"/>
            <w:vAlign w:val="center"/>
          </w:tcPr>
          <w:p w14:paraId="7AE6FFD5">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舜都大道与滨河东街东北角</w:t>
            </w:r>
          </w:p>
        </w:tc>
        <w:tc>
          <w:tcPr>
            <w:tcW w:w="924" w:type="pct"/>
            <w:vAlign w:val="center"/>
          </w:tcPr>
          <w:p w14:paraId="536C22F6">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27B0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22C400A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天桥公厕</w:t>
            </w:r>
          </w:p>
        </w:tc>
        <w:tc>
          <w:tcPr>
            <w:tcW w:w="2066" w:type="pct"/>
            <w:vAlign w:val="center"/>
          </w:tcPr>
          <w:p w14:paraId="11B611BC">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舜都大道步行桥下</w:t>
            </w:r>
          </w:p>
        </w:tc>
        <w:tc>
          <w:tcPr>
            <w:tcW w:w="924" w:type="pct"/>
            <w:vAlign w:val="center"/>
          </w:tcPr>
          <w:p w14:paraId="7E51EB1A">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5E9A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7C51EEA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高速口公厕</w:t>
            </w:r>
          </w:p>
        </w:tc>
        <w:tc>
          <w:tcPr>
            <w:tcW w:w="2066" w:type="pct"/>
            <w:vAlign w:val="center"/>
          </w:tcPr>
          <w:p w14:paraId="0F556D82">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高速北口</w:t>
            </w:r>
          </w:p>
        </w:tc>
        <w:tc>
          <w:tcPr>
            <w:tcW w:w="924" w:type="pct"/>
            <w:vAlign w:val="center"/>
          </w:tcPr>
          <w:p w14:paraId="123397D4">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2672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01F5ACB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梁家游园公厕</w:t>
            </w:r>
          </w:p>
        </w:tc>
        <w:tc>
          <w:tcPr>
            <w:tcW w:w="2066" w:type="pct"/>
            <w:vAlign w:val="center"/>
          </w:tcPr>
          <w:p w14:paraId="79E3646B">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市府街与西厢路东南角</w:t>
            </w:r>
          </w:p>
        </w:tc>
        <w:tc>
          <w:tcPr>
            <w:tcW w:w="924" w:type="pct"/>
            <w:vAlign w:val="center"/>
          </w:tcPr>
          <w:p w14:paraId="1A8624D0">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3708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2537E40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蒲园北门公厕</w:t>
            </w:r>
          </w:p>
        </w:tc>
        <w:tc>
          <w:tcPr>
            <w:tcW w:w="2066" w:type="pct"/>
            <w:vAlign w:val="center"/>
          </w:tcPr>
          <w:p w14:paraId="61D4433A">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蒲园北门东侧</w:t>
            </w:r>
          </w:p>
        </w:tc>
        <w:tc>
          <w:tcPr>
            <w:tcW w:w="924" w:type="pct"/>
            <w:vAlign w:val="center"/>
          </w:tcPr>
          <w:p w14:paraId="5B9439C0">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2B6D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239EAF9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蒲园南门公厕</w:t>
            </w:r>
          </w:p>
        </w:tc>
        <w:tc>
          <w:tcPr>
            <w:tcW w:w="2066" w:type="pct"/>
            <w:vAlign w:val="center"/>
          </w:tcPr>
          <w:p w14:paraId="631B12AE">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蒲园南门东侧</w:t>
            </w:r>
          </w:p>
        </w:tc>
        <w:tc>
          <w:tcPr>
            <w:tcW w:w="924" w:type="pct"/>
            <w:vAlign w:val="center"/>
          </w:tcPr>
          <w:p w14:paraId="42C19C56">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242C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1E1BB30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人民医院公厕</w:t>
            </w:r>
          </w:p>
        </w:tc>
        <w:tc>
          <w:tcPr>
            <w:tcW w:w="2066" w:type="pct"/>
            <w:vAlign w:val="center"/>
          </w:tcPr>
          <w:p w14:paraId="3C21122F">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银杏东街急诊门口</w:t>
            </w:r>
          </w:p>
        </w:tc>
        <w:tc>
          <w:tcPr>
            <w:tcW w:w="924" w:type="pct"/>
            <w:vAlign w:val="center"/>
          </w:tcPr>
          <w:p w14:paraId="19C70444">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5320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35AB5DD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实小公厕</w:t>
            </w:r>
          </w:p>
        </w:tc>
        <w:tc>
          <w:tcPr>
            <w:tcW w:w="2066" w:type="pct"/>
            <w:vAlign w:val="center"/>
          </w:tcPr>
          <w:p w14:paraId="43E77687">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舜都大道实小门口</w:t>
            </w:r>
          </w:p>
        </w:tc>
        <w:tc>
          <w:tcPr>
            <w:tcW w:w="924" w:type="pct"/>
            <w:vAlign w:val="center"/>
          </w:tcPr>
          <w:p w14:paraId="1C49A005">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69CF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5FA7E58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商品街公厕</w:t>
            </w:r>
          </w:p>
        </w:tc>
        <w:tc>
          <w:tcPr>
            <w:tcW w:w="2066" w:type="pct"/>
            <w:vAlign w:val="center"/>
          </w:tcPr>
          <w:p w14:paraId="744BD6CE">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舜都大道舜都市场口</w:t>
            </w:r>
          </w:p>
        </w:tc>
        <w:tc>
          <w:tcPr>
            <w:tcW w:w="924" w:type="pct"/>
            <w:vAlign w:val="center"/>
          </w:tcPr>
          <w:p w14:paraId="256052B6">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3B6B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285BB7B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涑水西街公厕</w:t>
            </w:r>
          </w:p>
        </w:tc>
        <w:tc>
          <w:tcPr>
            <w:tcW w:w="2066" w:type="pct"/>
            <w:vAlign w:val="center"/>
          </w:tcPr>
          <w:p w14:paraId="6C9FB9CF">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舜都大道与涑水西街西北角</w:t>
            </w:r>
          </w:p>
        </w:tc>
        <w:tc>
          <w:tcPr>
            <w:tcW w:w="924" w:type="pct"/>
            <w:vAlign w:val="center"/>
          </w:tcPr>
          <w:p w14:paraId="4EF427E2">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2647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0A90E38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康乐路公厕</w:t>
            </w:r>
          </w:p>
        </w:tc>
        <w:tc>
          <w:tcPr>
            <w:tcW w:w="2066" w:type="pct"/>
            <w:vAlign w:val="center"/>
          </w:tcPr>
          <w:p w14:paraId="28BF3678">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康乐路加油站边</w:t>
            </w:r>
          </w:p>
        </w:tc>
        <w:tc>
          <w:tcPr>
            <w:tcW w:w="924" w:type="pct"/>
            <w:vAlign w:val="center"/>
          </w:tcPr>
          <w:p w14:paraId="25A981B4">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2764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29FE34F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人大公厕</w:t>
            </w:r>
          </w:p>
        </w:tc>
        <w:tc>
          <w:tcPr>
            <w:tcW w:w="2066" w:type="pct"/>
            <w:vAlign w:val="center"/>
          </w:tcPr>
          <w:p w14:paraId="7DD0AECE">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康乐路人大边</w:t>
            </w:r>
          </w:p>
        </w:tc>
        <w:tc>
          <w:tcPr>
            <w:tcW w:w="924" w:type="pct"/>
            <w:vAlign w:val="center"/>
          </w:tcPr>
          <w:p w14:paraId="6C343F06">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38F3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00E3851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逸夫中学公厕</w:t>
            </w:r>
          </w:p>
        </w:tc>
        <w:tc>
          <w:tcPr>
            <w:tcW w:w="2066" w:type="pct"/>
            <w:vAlign w:val="center"/>
          </w:tcPr>
          <w:p w14:paraId="4A412B11">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东环路逸夫中学南侧</w:t>
            </w:r>
          </w:p>
        </w:tc>
        <w:tc>
          <w:tcPr>
            <w:tcW w:w="924" w:type="pct"/>
            <w:vAlign w:val="center"/>
          </w:tcPr>
          <w:p w14:paraId="49D025FE">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3096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6E9908C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新人民医院公厕</w:t>
            </w:r>
          </w:p>
        </w:tc>
        <w:tc>
          <w:tcPr>
            <w:tcW w:w="2066" w:type="pct"/>
            <w:vAlign w:val="center"/>
          </w:tcPr>
          <w:p w14:paraId="1786FBA8">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涑水东街人民医院西侧</w:t>
            </w:r>
          </w:p>
        </w:tc>
        <w:tc>
          <w:tcPr>
            <w:tcW w:w="924" w:type="pct"/>
            <w:vAlign w:val="center"/>
          </w:tcPr>
          <w:p w14:paraId="2201102D">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486A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77546E3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旅游学校公厕</w:t>
            </w:r>
          </w:p>
        </w:tc>
        <w:tc>
          <w:tcPr>
            <w:tcW w:w="2066" w:type="pct"/>
            <w:vAlign w:val="center"/>
          </w:tcPr>
          <w:p w14:paraId="4319E4E5">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涑水西街职业中学东侧</w:t>
            </w:r>
          </w:p>
        </w:tc>
        <w:tc>
          <w:tcPr>
            <w:tcW w:w="924" w:type="pct"/>
            <w:vAlign w:val="center"/>
          </w:tcPr>
          <w:p w14:paraId="2B6AA48C">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r w14:paraId="325F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pct"/>
            <w:vAlign w:val="center"/>
          </w:tcPr>
          <w:p w14:paraId="3A8AAF4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农药厂公厕</w:t>
            </w:r>
          </w:p>
        </w:tc>
        <w:tc>
          <w:tcPr>
            <w:tcW w:w="2066" w:type="pct"/>
            <w:vAlign w:val="center"/>
          </w:tcPr>
          <w:p w14:paraId="50FB0F1E">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中山东街农药厂大门西侧</w:t>
            </w:r>
          </w:p>
        </w:tc>
        <w:tc>
          <w:tcPr>
            <w:tcW w:w="924" w:type="pct"/>
            <w:vAlign w:val="center"/>
          </w:tcPr>
          <w:p w14:paraId="70829B91">
            <w:pPr>
              <w:jc w:val="center"/>
              <w:rPr>
                <w:rFonts w:hint="eastAsia" w:ascii="仿宋" w:hAnsi="仿宋" w:eastAsia="仿宋" w:cs="仿宋"/>
                <w:sz w:val="24"/>
                <w:szCs w:val="22"/>
                <w:vertAlign w:val="baseline"/>
                <w:lang w:val="en-US" w:eastAsia="zh-CN"/>
              </w:rPr>
            </w:pPr>
            <w:r>
              <w:rPr>
                <w:rFonts w:hint="eastAsia" w:ascii="仿宋" w:hAnsi="仿宋" w:eastAsia="仿宋" w:cs="仿宋"/>
                <w:sz w:val="24"/>
                <w:szCs w:val="22"/>
                <w:vertAlign w:val="baseline"/>
                <w:lang w:val="en-US" w:eastAsia="zh-CN"/>
              </w:rPr>
              <w:t>正常开放</w:t>
            </w:r>
          </w:p>
        </w:tc>
      </w:tr>
    </w:tbl>
    <w:p w14:paraId="570CA4EE">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依据评分标准，部门实现清扫保洁、公厕管理、垃圾收集转运作业全覆盖各得1分。清扫保洁、公厕、垃圾清运工作执行情况指标权重3分，得分3分。</w:t>
      </w:r>
    </w:p>
    <w:p w14:paraId="292B841E">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（3）C1-3生活垃圾处理费征收工作执行情况</w:t>
      </w:r>
    </w:p>
    <w:p w14:paraId="0354AADE">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2023年共收缴生活垃圾处理费422.53万元，经查看资料，收费标准文件存档完好，建立了征收台账，但该台账不完整，应收费、已收费金额与上缴国库金额不一致。应及时补充完善生活垃圾处理费征收台账，清查整理应收费户数等数据。依据评分标准，票据管理及存档、收费标准文件保管存档完好，非税收入上缴追缴工作全部执行，资金管理措施到位的，得2分，每处问题扣0.5分。生活垃圾处理费征收工作执行情况指标权重2分，得分1.5分。</w:t>
      </w:r>
    </w:p>
    <w:p w14:paraId="300A42B2">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（4）C1-4其他工作执行情况</w:t>
      </w:r>
    </w:p>
    <w:p w14:paraId="6F2B8304">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2023年全年共召开支委会11次、党员大会5次、支部书记讲党课3次，开展主题党日活动11次，组织中层以上人员进行廉政教育学习10次。学习了廉政相关文件、典型案例，观看了廉政警示教育片《歧途》《永远吹冲锋号》等，警醒、教育引导全体干部职工不断筑牢廉洁工作意识，增强拒腐防变的免疫力及廉洁自律意识，党建工作完成良好。永济市市容环卫中心2023年处理“12345”信访投诉56件，满意率100%；接待市民来访40起，均及时回复。依据评分标准，部门其他工作全部执行，得1分。其他工作执行情况指标权重1分，得分1分。</w:t>
      </w:r>
    </w:p>
    <w:p w14:paraId="28A45747">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2.C2目标任务完成质量，权重7分，得分7分</w:t>
      </w:r>
    </w:p>
    <w:p w14:paraId="2C68879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经查看永济市市容环卫中心2023年各月的质量考核明细表，质检科能够及时对环卫人员的作业质量进行检查监督，作业质量能够达到部门制定的作业标准。作业标准见下表。</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6"/>
        <w:gridCol w:w="6434"/>
      </w:tblGrid>
      <w:tr w14:paraId="1063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24" w:type="pct"/>
            <w:vAlign w:val="center"/>
          </w:tcPr>
          <w:p w14:paraId="0378879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作业项目</w:t>
            </w:r>
          </w:p>
        </w:tc>
        <w:tc>
          <w:tcPr>
            <w:tcW w:w="3775" w:type="pct"/>
            <w:vAlign w:val="center"/>
          </w:tcPr>
          <w:p w14:paraId="7A365DFC">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质量标准</w:t>
            </w:r>
          </w:p>
        </w:tc>
      </w:tr>
      <w:tr w14:paraId="4042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pct"/>
            <w:vAlign w:val="center"/>
          </w:tcPr>
          <w:p w14:paraId="0596A72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清扫保洁</w:t>
            </w:r>
          </w:p>
        </w:tc>
        <w:tc>
          <w:tcPr>
            <w:tcW w:w="3775" w:type="pct"/>
            <w:vAlign w:val="center"/>
          </w:tcPr>
          <w:p w14:paraId="34FECB5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路面达到“六无、六净”标准，（六无：无烟头纸屑、无砂石尘土、无污水、无瓜皮果核、无垃圾、无砖头瓦块；六净：路面净，下水口净，人行道净，树坑墙根净，绿化带净，垃圾容器净）</w:t>
            </w:r>
          </w:p>
        </w:tc>
      </w:tr>
      <w:tr w14:paraId="261B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pct"/>
            <w:vAlign w:val="center"/>
          </w:tcPr>
          <w:p w14:paraId="30C819A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垃圾清运</w:t>
            </w:r>
          </w:p>
        </w:tc>
        <w:tc>
          <w:tcPr>
            <w:tcW w:w="3775" w:type="pct"/>
            <w:vAlign w:val="center"/>
          </w:tcPr>
          <w:p w14:paraId="258F4E03">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“日产日清，夜产夜清、不漏点，不甩点”；“三净六无”；三净：箱体净、周边地面净、设施净，六无：无抛撒、无积存、无满溢、无暴露、无燃烧、无污水</w:t>
            </w:r>
          </w:p>
        </w:tc>
      </w:tr>
      <w:tr w14:paraId="0806C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pct"/>
            <w:vAlign w:val="center"/>
          </w:tcPr>
          <w:p w14:paraId="3B7ED5F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驿站、公厕、垃圾中转站</w:t>
            </w:r>
          </w:p>
        </w:tc>
        <w:tc>
          <w:tcPr>
            <w:tcW w:w="3775" w:type="pct"/>
            <w:vAlign w:val="center"/>
          </w:tcPr>
          <w:p w14:paraId="1695940D">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“四净三无两通一明一香”标准</w:t>
            </w:r>
          </w:p>
        </w:tc>
      </w:tr>
    </w:tbl>
    <w:p w14:paraId="590BD3C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依据评分标准，道路清扫质量达到计划标准的得3分，公共厕所保洁质量达到计划标准的得2分，垃圾清运质量达到计划标准的得2分。目标任务完成质量指标权重7分，得分7分。</w:t>
      </w:r>
    </w:p>
    <w:p w14:paraId="59D0B6C2">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3.C3目标任务完成及时性，权重7分，得分7分</w:t>
      </w:r>
    </w:p>
    <w:p w14:paraId="11E5DC5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经查看永济市市容环卫中心2023年各月的奖罚明细表，道路清扫、公厕管理保洁、垃圾清运基本能够按照计划时间完成。</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6"/>
        <w:gridCol w:w="6434"/>
      </w:tblGrid>
      <w:tr w14:paraId="6586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24" w:type="pct"/>
            <w:vAlign w:val="center"/>
          </w:tcPr>
          <w:p w14:paraId="3509FD90">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作业项目</w:t>
            </w:r>
          </w:p>
        </w:tc>
        <w:tc>
          <w:tcPr>
            <w:tcW w:w="3775" w:type="pct"/>
            <w:vAlign w:val="center"/>
          </w:tcPr>
          <w:p w14:paraId="3764EE5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时间标准</w:t>
            </w:r>
          </w:p>
        </w:tc>
      </w:tr>
      <w:tr w14:paraId="6F2B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pct"/>
            <w:vAlign w:val="center"/>
          </w:tcPr>
          <w:p w14:paraId="2191D21E">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清扫保洁</w:t>
            </w:r>
          </w:p>
        </w:tc>
        <w:tc>
          <w:tcPr>
            <w:tcW w:w="3775" w:type="pct"/>
            <w:vAlign w:val="center"/>
          </w:tcPr>
          <w:p w14:paraId="4E98295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07:00前普扫完毕，城区主车道每周机扫2次，非机动车道每周清洗1次，重点街道喷雾降尘每天不少于6次，一般街道每天不少于2次</w:t>
            </w:r>
          </w:p>
        </w:tc>
      </w:tr>
      <w:tr w14:paraId="7965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pct"/>
            <w:vAlign w:val="center"/>
          </w:tcPr>
          <w:p w14:paraId="53DACD9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垃圾清运</w:t>
            </w:r>
          </w:p>
        </w:tc>
        <w:tc>
          <w:tcPr>
            <w:tcW w:w="3775" w:type="pct"/>
            <w:vAlign w:val="center"/>
          </w:tcPr>
          <w:p w14:paraId="4359EA2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日产日清，夜产夜清</w:t>
            </w:r>
          </w:p>
        </w:tc>
      </w:tr>
      <w:tr w14:paraId="49F8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pct"/>
            <w:vAlign w:val="center"/>
          </w:tcPr>
          <w:p w14:paraId="349A6B9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驿站、公厕、垃圾中转站</w:t>
            </w:r>
          </w:p>
        </w:tc>
        <w:tc>
          <w:tcPr>
            <w:tcW w:w="3775" w:type="pct"/>
            <w:vAlign w:val="center"/>
          </w:tcPr>
          <w:p w14:paraId="43A8EBF2">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夏季早6：00—晚22:00，冬季早7:00—晚21:00；</w:t>
            </w:r>
          </w:p>
          <w:p w14:paraId="24FA16EB">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室内地面每天早6：00前清扫一次；早6:00至晚11:00以跟踪保洁为主，见脏就扫、见脏就拖、见脏就擦；晚11:00进行一次全面冲洗。每天晚12:00喷洒一次消毒液。</w:t>
            </w:r>
          </w:p>
        </w:tc>
      </w:tr>
    </w:tbl>
    <w:p w14:paraId="6BE4764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依据评分标准，道路清扫及时完成的得3分，公共厕所保洁及时完成并在规定时间内开放的得2分，垃圾清运及时完成的得2分。目标任务完成及时性指标权重7分，得分7分。</w:t>
      </w:r>
    </w:p>
    <w:p w14:paraId="3B2AF47B">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4.C4运行成本控制有效性，权重7分，得分5.88分</w:t>
      </w:r>
    </w:p>
    <w:p w14:paraId="75E3331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①经查看永济市市容环卫中心部门预算表及决算表，2023年人员经费预算420.74万元，公用经费预算0元；2023年人员经费决算449.97万元，公用经费决算0元。人员经费控制率为（449.97万元/420.74万元）×100%=106.95%，依据评分标准，公用经费控制率≤100%得2分，人员经费控制率≥105%得0分；该指标权重3分，得分2分。</w:t>
      </w:r>
    </w:p>
    <w:p w14:paraId="005F1E7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②经查看永济市市容环卫中心部门预算表及决算表，2023年部门三公经费预算0元，决算0元。依据评分标准，三公经费控制率≤100%得1分；该指标权重1分，得分1分。</w:t>
      </w:r>
    </w:p>
    <w:p w14:paraId="1C59219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③经查看永济市市容环卫中心部门预算表及决算表，2023年部门城市维护费预算1,608.00万元，部门城市维护费决算1,741.45万元，城市维护费决算增加的120万元，为执行运城市人民政府办公室下发的《关于落实环卫工人等低收入群体收入增长机制的工作方案》精神，因此计算时扣除了追加的资金120万元。城市维护费成本控制率=（1,621.45万元/1,608.00万元）×100%=100.84%，依据评分标准，成本控制率≤100%得3分，≥105%得0分，100%-105%之间按比例计算得分；该指标权重3分，得分2.88分。</w:t>
      </w:r>
    </w:p>
    <w:p w14:paraId="14159AE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运行成本控制有效性指标权重7分，得分5.88分。</w:t>
      </w:r>
    </w:p>
    <w:p w14:paraId="529E545F">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（四）部门效果分析</w:t>
      </w:r>
    </w:p>
    <w:p w14:paraId="22DA8696">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部门效果分析分别从社会效益、生态效益、可持续性、社会满意四个方面进行分析，共设置四个二级指标四个三级指标。部门效果指标分值15分，实际得分14.53分，得分率96.87%。各分项指标得分情况如下表所示：</w:t>
      </w:r>
    </w:p>
    <w:p w14:paraId="493AA79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部门效果得分情况表</w:t>
      </w:r>
    </w:p>
    <w:tbl>
      <w:tblPr>
        <w:tblStyle w:val="12"/>
        <w:tblW w:w="4998" w:type="pct"/>
        <w:jc w:val="center"/>
        <w:shd w:val="clear" w:color="auto" w:fill="auto"/>
        <w:tblLayout w:type="autofit"/>
        <w:tblCellMar>
          <w:top w:w="0" w:type="dxa"/>
          <w:left w:w="0" w:type="dxa"/>
          <w:bottom w:w="0" w:type="dxa"/>
          <w:right w:w="0" w:type="dxa"/>
        </w:tblCellMar>
      </w:tblPr>
      <w:tblGrid>
        <w:gridCol w:w="1493"/>
        <w:gridCol w:w="3263"/>
        <w:gridCol w:w="1187"/>
        <w:gridCol w:w="1189"/>
        <w:gridCol w:w="1189"/>
      </w:tblGrid>
      <w:tr w14:paraId="45AF39DA">
        <w:tblPrEx>
          <w:shd w:val="clear" w:color="auto" w:fill="auto"/>
          <w:tblCellMar>
            <w:top w:w="0" w:type="dxa"/>
            <w:left w:w="0" w:type="dxa"/>
            <w:bottom w:w="0" w:type="dxa"/>
            <w:right w:w="0" w:type="dxa"/>
          </w:tblCellMar>
        </w:tblPrEx>
        <w:trPr>
          <w:trHeight w:val="397" w:hRule="atLeast"/>
          <w:tblHeader/>
          <w:jc w:val="center"/>
        </w:trPr>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965B237">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二级指标</w:t>
            </w:r>
          </w:p>
        </w:tc>
        <w:tc>
          <w:tcPr>
            <w:tcW w:w="1960"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05D46D9">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三级指标</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179DF62">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权重</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14D841E">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 xml:space="preserve"> 得分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F22C9B4">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得分率</w:t>
            </w:r>
          </w:p>
        </w:tc>
      </w:tr>
      <w:tr w14:paraId="70542BC5">
        <w:tblPrEx>
          <w:shd w:val="clear" w:color="auto" w:fill="auto"/>
          <w:tblCellMar>
            <w:top w:w="0" w:type="dxa"/>
            <w:left w:w="0" w:type="dxa"/>
            <w:bottom w:w="0" w:type="dxa"/>
            <w:right w:w="0" w:type="dxa"/>
          </w:tblCellMar>
        </w:tblPrEx>
        <w:trPr>
          <w:trHeight w:val="397" w:hRule="atLeast"/>
          <w:jc w:val="center"/>
        </w:trPr>
        <w:tc>
          <w:tcPr>
            <w:tcW w:w="897" w:type="pct"/>
            <w:vMerge w:val="restart"/>
            <w:tcBorders>
              <w:top w:val="single" w:color="000000" w:sz="4" w:space="0"/>
              <w:left w:val="single" w:color="000000" w:sz="4" w:space="0"/>
              <w:right w:val="single" w:color="000000" w:sz="4" w:space="0"/>
            </w:tcBorders>
            <w:shd w:val="clear" w:color="auto" w:fill="auto"/>
            <w:tcMar>
              <w:top w:w="9" w:type="dxa"/>
              <w:left w:w="9" w:type="dxa"/>
              <w:right w:w="9" w:type="dxa"/>
            </w:tcMar>
            <w:vAlign w:val="center"/>
          </w:tcPr>
          <w:p w14:paraId="18C05FA6">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rPr>
            </w:pPr>
            <w:r>
              <w:rPr>
                <w:rFonts w:hint="eastAsia" w:ascii="仿宋" w:hAnsi="仿宋" w:eastAsia="仿宋" w:cs="仿宋"/>
                <w:i w:val="0"/>
                <w:color w:val="000000"/>
                <w:kern w:val="0"/>
                <w:sz w:val="24"/>
                <w:szCs w:val="24"/>
                <w:highlight w:val="none"/>
                <w:u w:val="none"/>
                <w:lang w:val="en-US" w:eastAsia="zh-CN" w:bidi="ar"/>
              </w:rPr>
              <w:t>D1社会效益</w:t>
            </w: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750368C">
            <w:pPr>
              <w:keepNext w:val="0"/>
              <w:keepLines w:val="0"/>
              <w:widowControl/>
              <w:suppressLineNumbers w:val="0"/>
              <w:jc w:val="left"/>
              <w:textAlignment w:val="center"/>
              <w:rPr>
                <w:rFonts w:hint="eastAsia"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D1-1对政府形象和社会发展的贡献程度</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D39F17D">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F15EA26">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060FC676">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31DE2391">
        <w:tblPrEx>
          <w:shd w:val="clear" w:color="auto" w:fill="auto"/>
          <w:tblCellMar>
            <w:top w:w="0" w:type="dxa"/>
            <w:left w:w="0" w:type="dxa"/>
            <w:bottom w:w="0" w:type="dxa"/>
            <w:right w:w="0" w:type="dxa"/>
          </w:tblCellMar>
        </w:tblPrEx>
        <w:trPr>
          <w:trHeight w:val="397" w:hRule="atLeast"/>
          <w:jc w:val="center"/>
        </w:trPr>
        <w:tc>
          <w:tcPr>
            <w:tcW w:w="897"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867F08D">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65F108B">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kern w:val="0"/>
                <w:sz w:val="24"/>
                <w:szCs w:val="24"/>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FA2C751">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BBDC97B">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663BF7F">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1C09043D">
        <w:tblPrEx>
          <w:shd w:val="clear" w:color="auto" w:fill="auto"/>
          <w:tblCellMar>
            <w:top w:w="0" w:type="dxa"/>
            <w:left w:w="0" w:type="dxa"/>
            <w:bottom w:w="0" w:type="dxa"/>
            <w:right w:w="0" w:type="dxa"/>
          </w:tblCellMar>
        </w:tblPrEx>
        <w:trPr>
          <w:trHeight w:val="397" w:hRule="atLeast"/>
          <w:jc w:val="center"/>
        </w:trPr>
        <w:tc>
          <w:tcPr>
            <w:tcW w:w="897" w:type="pct"/>
            <w:vMerge w:val="restart"/>
            <w:tcBorders>
              <w:top w:val="single" w:color="000000" w:sz="4" w:space="0"/>
              <w:left w:val="single" w:color="000000" w:sz="4" w:space="0"/>
              <w:right w:val="single" w:color="000000" w:sz="4" w:space="0"/>
            </w:tcBorders>
            <w:shd w:val="clear" w:color="auto" w:fill="auto"/>
            <w:tcMar>
              <w:top w:w="9" w:type="dxa"/>
              <w:left w:w="9" w:type="dxa"/>
              <w:right w:w="9" w:type="dxa"/>
            </w:tcMar>
            <w:vAlign w:val="center"/>
          </w:tcPr>
          <w:p w14:paraId="1D079F9E">
            <w:pPr>
              <w:jc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D2生态效益</w:t>
            </w: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AD6ADED">
            <w:pPr>
              <w:keepNext w:val="0"/>
              <w:keepLines w:val="0"/>
              <w:widowControl/>
              <w:suppressLineNumbers w:val="0"/>
              <w:jc w:val="left"/>
              <w:textAlignment w:val="center"/>
              <w:rPr>
                <w:rFonts w:hint="eastAsia"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D2-1对生态环境的影响</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F301F75">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6</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1693457">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6</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70EB3A4">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sz w:val="24"/>
                <w:szCs w:val="24"/>
                <w:highlight w:val="none"/>
                <w:u w:val="none"/>
                <w:lang w:val="en-US" w:eastAsia="zh-CN"/>
              </w:rPr>
              <w:t>100.00%</w:t>
            </w:r>
          </w:p>
        </w:tc>
      </w:tr>
      <w:tr w14:paraId="21E6D5E8">
        <w:tblPrEx>
          <w:shd w:val="clear" w:color="auto" w:fill="auto"/>
          <w:tblCellMar>
            <w:top w:w="0" w:type="dxa"/>
            <w:left w:w="0" w:type="dxa"/>
            <w:bottom w:w="0" w:type="dxa"/>
            <w:right w:w="0" w:type="dxa"/>
          </w:tblCellMar>
        </w:tblPrEx>
        <w:trPr>
          <w:trHeight w:val="397" w:hRule="atLeast"/>
          <w:jc w:val="center"/>
        </w:trPr>
        <w:tc>
          <w:tcPr>
            <w:tcW w:w="897"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1F8E7C9">
            <w:pPr>
              <w:jc w:val="center"/>
              <w:rPr>
                <w:rFonts w:hint="eastAsia" w:ascii="仿宋" w:hAnsi="仿宋" w:eastAsia="仿宋" w:cs="仿宋"/>
                <w:i w:val="0"/>
                <w:color w:val="000000"/>
                <w:sz w:val="24"/>
                <w:szCs w:val="24"/>
                <w:highlight w:val="none"/>
                <w:u w:val="none"/>
              </w:rPr>
            </w:pP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06212C8">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624EBFD">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6</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F6B630B">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6</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FBBE64F">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sz w:val="24"/>
                <w:szCs w:val="24"/>
                <w:highlight w:val="none"/>
                <w:u w:val="none"/>
                <w:lang w:val="en-US" w:eastAsia="zh-CN"/>
              </w:rPr>
              <w:t>100.00%</w:t>
            </w:r>
          </w:p>
        </w:tc>
      </w:tr>
      <w:tr w14:paraId="4F14289D">
        <w:tblPrEx>
          <w:shd w:val="clear" w:color="auto" w:fill="auto"/>
          <w:tblCellMar>
            <w:top w:w="0" w:type="dxa"/>
            <w:left w:w="0" w:type="dxa"/>
            <w:bottom w:w="0" w:type="dxa"/>
            <w:right w:w="0" w:type="dxa"/>
          </w:tblCellMar>
        </w:tblPrEx>
        <w:trPr>
          <w:trHeight w:val="397" w:hRule="atLeast"/>
          <w:jc w:val="center"/>
        </w:trPr>
        <w:tc>
          <w:tcPr>
            <w:tcW w:w="897" w:type="pct"/>
            <w:vMerge w:val="restart"/>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73B028E">
            <w:pPr>
              <w:jc w:val="center"/>
              <w:rPr>
                <w:rFonts w:hint="default" w:ascii="仿宋" w:hAnsi="仿宋" w:eastAsia="仿宋" w:cs="仿宋"/>
                <w:i w:val="0"/>
                <w:color w:val="000000"/>
                <w:sz w:val="24"/>
                <w:szCs w:val="24"/>
                <w:highlight w:val="none"/>
                <w:u w:val="none"/>
                <w:lang w:val="en-US"/>
              </w:rPr>
            </w:pPr>
            <w:r>
              <w:rPr>
                <w:rFonts w:hint="eastAsia" w:ascii="仿宋" w:hAnsi="仿宋" w:eastAsia="仿宋" w:cs="仿宋"/>
                <w:i w:val="0"/>
                <w:color w:val="000000"/>
                <w:sz w:val="24"/>
                <w:szCs w:val="24"/>
                <w:highlight w:val="none"/>
                <w:u w:val="none"/>
                <w:lang w:val="en-US" w:eastAsia="zh-CN"/>
              </w:rPr>
              <w:t>D3可持续性</w:t>
            </w: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0A87EB0">
            <w:pPr>
              <w:keepNext w:val="0"/>
              <w:keepLines w:val="0"/>
              <w:widowControl/>
              <w:suppressLineNumbers w:val="0"/>
              <w:jc w:val="left"/>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sz w:val="24"/>
                <w:szCs w:val="24"/>
                <w:highlight w:val="none"/>
                <w:u w:val="none"/>
                <w:lang w:val="en-US" w:eastAsia="zh-CN"/>
              </w:rPr>
              <w:t>D3-1工作创新可持续影响</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459A357">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25A2ACE">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1F30F1F">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06B4147C">
        <w:tblPrEx>
          <w:shd w:val="clear" w:color="auto" w:fill="auto"/>
          <w:tblCellMar>
            <w:top w:w="0" w:type="dxa"/>
            <w:left w:w="0" w:type="dxa"/>
            <w:bottom w:w="0" w:type="dxa"/>
            <w:right w:w="0" w:type="dxa"/>
          </w:tblCellMar>
        </w:tblPrEx>
        <w:trPr>
          <w:trHeight w:val="397" w:hRule="atLeast"/>
          <w:jc w:val="center"/>
        </w:trPr>
        <w:tc>
          <w:tcPr>
            <w:tcW w:w="897"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C991AD6">
            <w:pPr>
              <w:jc w:val="center"/>
              <w:rPr>
                <w:rFonts w:hint="eastAsia" w:ascii="仿宋" w:hAnsi="仿宋" w:eastAsia="仿宋" w:cs="仿宋"/>
                <w:i w:val="0"/>
                <w:color w:val="000000"/>
                <w:sz w:val="24"/>
                <w:szCs w:val="24"/>
                <w:highlight w:val="none"/>
                <w:u w:val="none"/>
              </w:rPr>
            </w:pP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87F64E0">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6472ADD">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D3A247D">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09349FF2">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100.00%</w:t>
            </w:r>
          </w:p>
        </w:tc>
      </w:tr>
      <w:tr w14:paraId="17F82A0D">
        <w:tblPrEx>
          <w:shd w:val="clear" w:color="auto" w:fill="auto"/>
          <w:tblCellMar>
            <w:top w:w="0" w:type="dxa"/>
            <w:left w:w="0" w:type="dxa"/>
            <w:bottom w:w="0" w:type="dxa"/>
            <w:right w:w="0" w:type="dxa"/>
          </w:tblCellMar>
        </w:tblPrEx>
        <w:trPr>
          <w:trHeight w:val="397" w:hRule="atLeast"/>
          <w:jc w:val="center"/>
        </w:trPr>
        <w:tc>
          <w:tcPr>
            <w:tcW w:w="897" w:type="pct"/>
            <w:vMerge w:val="restart"/>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DE35015">
            <w:pPr>
              <w:jc w:val="center"/>
              <w:rPr>
                <w:rFonts w:hint="default" w:ascii="仿宋" w:hAnsi="仿宋" w:eastAsia="仿宋" w:cs="仿宋"/>
                <w:i w:val="0"/>
                <w:color w:val="000000"/>
                <w:sz w:val="24"/>
                <w:szCs w:val="24"/>
                <w:highlight w:val="none"/>
                <w:u w:val="none"/>
                <w:lang w:val="en-US"/>
              </w:rPr>
            </w:pPr>
            <w:r>
              <w:rPr>
                <w:rFonts w:hint="eastAsia" w:ascii="仿宋" w:hAnsi="仿宋" w:eastAsia="仿宋" w:cs="仿宋"/>
                <w:i w:val="0"/>
                <w:color w:val="000000"/>
                <w:sz w:val="24"/>
                <w:szCs w:val="24"/>
                <w:highlight w:val="none"/>
                <w:u w:val="none"/>
                <w:lang w:val="en-US" w:eastAsia="zh-CN"/>
              </w:rPr>
              <w:t>D4社会满意</w:t>
            </w: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EA8509A">
            <w:pPr>
              <w:keepNext w:val="0"/>
              <w:keepLines w:val="0"/>
              <w:widowControl/>
              <w:suppressLineNumbers w:val="0"/>
              <w:jc w:val="left"/>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sz w:val="24"/>
                <w:szCs w:val="24"/>
                <w:highlight w:val="none"/>
                <w:u w:val="none"/>
                <w:lang w:val="en-US" w:eastAsia="zh-CN"/>
              </w:rPr>
              <w:t>D4-1受益群体满意度</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3E72577">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3</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956D5EF">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2.53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D613136">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84.33%</w:t>
            </w:r>
          </w:p>
        </w:tc>
      </w:tr>
      <w:tr w14:paraId="61F37ECA">
        <w:tblPrEx>
          <w:shd w:val="clear" w:color="auto" w:fill="auto"/>
          <w:tblCellMar>
            <w:top w:w="0" w:type="dxa"/>
            <w:left w:w="0" w:type="dxa"/>
            <w:bottom w:w="0" w:type="dxa"/>
            <w:right w:w="0" w:type="dxa"/>
          </w:tblCellMar>
        </w:tblPrEx>
        <w:trPr>
          <w:trHeight w:val="397" w:hRule="atLeast"/>
          <w:jc w:val="center"/>
        </w:trPr>
        <w:tc>
          <w:tcPr>
            <w:tcW w:w="897"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2E35062">
            <w:pPr>
              <w:jc w:val="center"/>
              <w:rPr>
                <w:rFonts w:hint="eastAsia" w:ascii="仿宋" w:hAnsi="仿宋" w:eastAsia="仿宋" w:cs="仿宋"/>
                <w:i w:val="0"/>
                <w:color w:val="000000"/>
                <w:sz w:val="24"/>
                <w:szCs w:val="24"/>
                <w:highlight w:val="none"/>
                <w:u w:val="none"/>
              </w:rPr>
            </w:pP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67A0D34">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A878EF9">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3</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F21CDF0">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2.53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F23114C">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84.33%</w:t>
            </w:r>
          </w:p>
        </w:tc>
      </w:tr>
      <w:tr w14:paraId="4F037742">
        <w:tblPrEx>
          <w:shd w:val="clear" w:color="auto" w:fill="auto"/>
          <w:tblCellMar>
            <w:top w:w="0" w:type="dxa"/>
            <w:left w:w="0" w:type="dxa"/>
            <w:bottom w:w="0" w:type="dxa"/>
            <w:right w:w="0" w:type="dxa"/>
          </w:tblCellMar>
        </w:tblPrEx>
        <w:trPr>
          <w:trHeight w:val="397" w:hRule="atLeast"/>
          <w:jc w:val="center"/>
        </w:trPr>
        <w:tc>
          <w:tcPr>
            <w:tcW w:w="2857"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4DF3256">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合计</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0A22B4EE">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15</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0D4CD72">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14.53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636ED55">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eastAsia="zh-CN"/>
              </w:rPr>
            </w:pPr>
            <w:r>
              <w:rPr>
                <w:rFonts w:hint="eastAsia" w:ascii="仿宋" w:hAnsi="仿宋" w:eastAsia="仿宋" w:cs="仿宋"/>
                <w:i w:val="0"/>
                <w:color w:val="000000"/>
                <w:sz w:val="24"/>
                <w:szCs w:val="24"/>
                <w:highlight w:val="none"/>
                <w:u w:val="none"/>
                <w:lang w:val="en-US" w:eastAsia="zh-CN"/>
              </w:rPr>
              <w:t>96.87%</w:t>
            </w:r>
          </w:p>
        </w:tc>
      </w:tr>
    </w:tbl>
    <w:p w14:paraId="21FFF1B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1.D1社会效益，权重4分，得分4分</w:t>
      </w:r>
    </w:p>
    <w:p w14:paraId="78C8445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（1）D1-1对政府形象和社会发展的贡献程度</w:t>
      </w:r>
    </w:p>
    <w:p w14:paraId="1EE8186F">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连续22年被评为山西省卫生城市，是“中国优秀旅游城市”和“中国特色魅力城市”。永济市市容环卫中心负责全市建成区道路的清扫保洁、10万平方米绿化带和5万多个树坑的清掏，100余个果皮箱及130个垃圾箱体的擦洗及24座驿站公厕的保洁管理工作，日清扫保洁面积达385.29万㎡；以及全市建成区道路的垃圾清运、城区201家企事业单位和180个住宅小区的垃圾清运及四座生活垃圾中转站运行管理工作。在永济市创建“中国魅力城市”、“中国优秀旅游城市”、“国家园林城市”、“省级卫生城市”、“省级文明城市”等活动中做出了突出的贡献。经调查走访及网上查询，永济市市容环卫中心2023年度未出现负面信息或负面舆情报道，2023年度受理的投诉处理满意率为100%。依据评分标准，环卫业务的开展对提升政府形象、促进社会发展做出贡献得2分；环卫部门未出现负面信息得1分；受理投诉及时处理得1分；社会效益指标权重4分，得分4分。</w:t>
      </w:r>
    </w:p>
    <w:p w14:paraId="500D5AE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2.D2生态效益，权重6分，得分6分</w:t>
      </w:r>
    </w:p>
    <w:p w14:paraId="2D77CBC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（1）D2-1对生态环境的影响</w:t>
      </w:r>
    </w:p>
    <w:p w14:paraId="53D213EB">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在工作中以“洗扫为主、机扫为辅、人工补充”的人机联合作业模式，推进“以洗代扫”的工作理念及精细化冲洗作业标准。经查看清扫保洁、道路喷雾抑尘、垃圾清运三项业务的作业频次，2023年作业频次不低于2022年，能够保障区域内的生态环境。依据评分标准，清扫保洁、道路喷雾抑尘、垃圾清运三方面的作业频次等于或多于上年频次的分别得2分；生态效益指标权重6分，得分6分。</w:t>
      </w:r>
    </w:p>
    <w:p w14:paraId="07318E1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3.D3可持续性，权重2分，得分2分</w:t>
      </w:r>
    </w:p>
    <w:p w14:paraId="38588CE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（1）D3-1工作创新可持续影响</w:t>
      </w:r>
    </w:p>
    <w:p w14:paraId="1009580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结合永济实际情况完善了《永济市城区环境卫生作业规范》，在工作中创新方式方法，建立以“洗扫为主、机扫为辅、人工补充”的人机联合作业模式，积极推进“以洗代扫”的工作理念，以“绣花”精神推进精细化冲洗作业标准，大幅度降低了环卫工人的劳动强度，逐步建立起长效化、精细化、现代化的城市管理体制机制，提升城市管理的能力水平。2024年以来，该中心实施“一街一策”“错时”作业方式，城区街道达到全天候清扫、保洁，生活垃圾及街道漂浮物由“日产日清”到“随有随清、随脏随扫”，并优化整合立体冲洗，进而实现“机扫、人保、冲洗”三位一体作业方式，城区主车道每周机扫2次，非机动车道每周清洗1次，重点街道喷雾降尘每天不少于6次，一般街道每天不少于2次等清扫标准。</w:t>
      </w:r>
    </w:p>
    <w:p w14:paraId="0E8168EE">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对城区各街道实行网格化管理，五大片区既独立管理又密切配合。根据实际情况，不定期从各片区抽调环卫工人对新开道路、城乡结合部、背街小巷、雨后泥沙、积尘落叶进行集中整治，2023年累计清理街道抛洒1000余次，清理无主垃圾约1100余吨，冲洗路面达5000余万平方米，达到了整治完成一处、巩固一处、常态化管理一处的工作标准。</w:t>
      </w:r>
    </w:p>
    <w:p w14:paraId="783F46C2">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依据评分标准，保洁作业及环卫工作管理模式创新得1分；作业督查工作机制和长效管理机制创新得1分。可持续性指标权重2分，得分2分。</w:t>
      </w:r>
    </w:p>
    <w:p w14:paraId="05EDDE8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2.D2社会满意，权重3分，得分2.53分</w:t>
      </w:r>
    </w:p>
    <w:p w14:paraId="5688A6E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（1）D2-1受益群体满意度</w:t>
      </w:r>
    </w:p>
    <w:p w14:paraId="7A43806F">
      <w:pPr>
        <w:pStyle w:val="2"/>
        <w:keepNext w:val="0"/>
        <w:keepLines w:val="0"/>
        <w:pageBreakBefore w:val="0"/>
        <w:widowControl w:val="0"/>
        <w:numPr>
          <w:ilvl w:val="0"/>
          <w:numId w:val="0"/>
        </w:numPr>
        <w:kinsoku/>
        <w:wordWrap/>
        <w:overflowPunct/>
        <w:topLinePunct w:val="0"/>
        <w:autoSpaceDE/>
        <w:autoSpaceDN/>
        <w:bidi w:val="0"/>
        <w:adjustRightInd w:val="0"/>
        <w:snapToGrid/>
        <w:ind w:leftChars="0"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kern w:val="2"/>
          <w:sz w:val="28"/>
          <w:szCs w:val="28"/>
          <w:highlight w:val="none"/>
          <w:lang w:val="en-US" w:eastAsia="zh-CN" w:bidi="ar-SA"/>
        </w:rPr>
        <w:t>永济市市容环卫中心的主要职责为中心城区的环卫保洁、驿站公厕管理、垃圾清运，本次针对环卫工作的受益群体进行了满意度问卷调查，参与问卷调查的受益群体为100人，涉及街道包括：城西街道、舜</w:t>
      </w:r>
      <w:r>
        <w:rPr>
          <w:rFonts w:hint="eastAsia" w:ascii="仿宋" w:hAnsi="仿宋" w:eastAsia="仿宋" w:cs="仿宋"/>
          <w:sz w:val="28"/>
          <w:szCs w:val="28"/>
          <w:highlight w:val="none"/>
          <w:lang w:val="en-US" w:eastAsia="zh-CN"/>
        </w:rPr>
        <w:t>都大道、中山东街、迎宾街、银杏东街、东环路、市府西街、电机大街、河东大道、康乐路、涑水西街等区域，通过问卷调查，未发现有受益群体对环卫工作感到不满意，有67%的人对环卫工作感到很满意，19%的人对环卫工作感到满意。问卷满意度结果汇总见下表。依据评分标准，本指标得分=（3×67+2×19+1×14）/100×3=2.53分。</w:t>
      </w:r>
    </w:p>
    <w:p w14:paraId="6EA7FBFF">
      <w:pPr>
        <w:pStyle w:val="2"/>
        <w:numPr>
          <w:ilvl w:val="0"/>
          <w:numId w:val="0"/>
        </w:numPr>
        <w:ind w:firstLine="562" w:firstLineChars="200"/>
        <w:jc w:val="center"/>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问卷满意度结果汇总表</w:t>
      </w:r>
    </w:p>
    <w:tbl>
      <w:tblPr>
        <w:tblStyle w:val="12"/>
        <w:tblW w:w="5421"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544"/>
        <w:gridCol w:w="1158"/>
        <w:gridCol w:w="4538"/>
      </w:tblGrid>
      <w:tr w14:paraId="0FD6AAA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545" w:type="dxa"/>
            <w:tcBorders>
              <w:top w:val="single" w:color="auto" w:sz="8" w:space="0"/>
              <w:left w:val="single" w:color="auto" w:sz="8" w:space="0"/>
              <w:bottom w:val="single" w:color="auto" w:sz="8" w:space="0"/>
              <w:right w:val="single" w:color="auto" w:sz="8" w:space="0"/>
            </w:tcBorders>
            <w:shd w:val="clear" w:color="auto" w:fill="auto"/>
            <w:vAlign w:val="center"/>
          </w:tcPr>
          <w:p w14:paraId="104EFA07">
            <w:pPr>
              <w:jc w:val="center"/>
              <w:rPr>
                <w:rFonts w:hint="eastAsia" w:ascii="仿宋" w:hAnsi="仿宋" w:eastAsia="仿宋" w:cs="仿宋"/>
                <w:b/>
                <w:bCs/>
                <w:sz w:val="24"/>
                <w:szCs w:val="32"/>
              </w:rPr>
            </w:pPr>
            <w:bookmarkStart w:id="71" w:name="_Toc19468_WPSOffice_Level1"/>
            <w:bookmarkStart w:id="72" w:name="_Toc17147_WPSOffice_Level1"/>
            <w:bookmarkStart w:id="73" w:name="_Toc29054_WPSOffice_Level1"/>
            <w:bookmarkStart w:id="74" w:name="_Toc112"/>
            <w:bookmarkStart w:id="75" w:name="_Toc1194_WPSOffice_Level1"/>
            <w:bookmarkStart w:id="76" w:name="_Toc10483_WPSOffice_Level1"/>
            <w:bookmarkStart w:id="77" w:name="_Toc23522_WPSOffice_Level1"/>
            <w:bookmarkStart w:id="78" w:name="_Toc19816_WPSOffice_Level1"/>
            <w:r>
              <w:rPr>
                <w:rFonts w:hint="eastAsia" w:ascii="仿宋" w:hAnsi="仿宋" w:eastAsia="仿宋" w:cs="仿宋"/>
                <w:b/>
                <w:bCs/>
                <w:sz w:val="24"/>
                <w:szCs w:val="32"/>
              </w:rPr>
              <w:t>选项</w:t>
            </w:r>
          </w:p>
        </w:tc>
        <w:tc>
          <w:tcPr>
            <w:tcW w:w="1158" w:type="dxa"/>
            <w:tcBorders>
              <w:top w:val="single" w:color="auto" w:sz="8" w:space="0"/>
              <w:left w:val="single" w:color="auto" w:sz="8" w:space="0"/>
              <w:bottom w:val="single" w:color="auto" w:sz="8" w:space="0"/>
              <w:right w:val="single" w:color="auto" w:sz="8" w:space="0"/>
            </w:tcBorders>
            <w:shd w:val="clear" w:color="auto" w:fill="auto"/>
            <w:vAlign w:val="center"/>
          </w:tcPr>
          <w:p w14:paraId="735FC579">
            <w:pPr>
              <w:jc w:val="center"/>
              <w:rPr>
                <w:rFonts w:hint="eastAsia" w:ascii="仿宋" w:hAnsi="仿宋" w:eastAsia="仿宋" w:cs="仿宋"/>
                <w:b/>
                <w:bCs/>
                <w:sz w:val="24"/>
                <w:szCs w:val="32"/>
              </w:rPr>
            </w:pPr>
            <w:r>
              <w:rPr>
                <w:rFonts w:hint="eastAsia" w:ascii="仿宋" w:hAnsi="仿宋" w:eastAsia="仿宋" w:cs="仿宋"/>
                <w:b/>
                <w:bCs/>
                <w:sz w:val="24"/>
                <w:szCs w:val="32"/>
              </w:rPr>
              <w:t>小计</w:t>
            </w:r>
          </w:p>
        </w:tc>
        <w:tc>
          <w:tcPr>
            <w:tcW w:w="4538" w:type="dxa"/>
            <w:tcBorders>
              <w:top w:val="single" w:color="auto" w:sz="8" w:space="0"/>
              <w:left w:val="single" w:color="auto" w:sz="8" w:space="0"/>
              <w:bottom w:val="single" w:color="auto" w:sz="8" w:space="0"/>
              <w:right w:val="single" w:color="auto" w:sz="8" w:space="0"/>
            </w:tcBorders>
            <w:shd w:val="clear" w:color="auto" w:fill="auto"/>
            <w:vAlign w:val="center"/>
          </w:tcPr>
          <w:p w14:paraId="700CA81D">
            <w:pPr>
              <w:jc w:val="center"/>
              <w:rPr>
                <w:rFonts w:hint="eastAsia" w:ascii="仿宋" w:hAnsi="仿宋" w:eastAsia="仿宋" w:cs="仿宋"/>
                <w:b/>
                <w:bCs/>
                <w:sz w:val="24"/>
                <w:szCs w:val="32"/>
              </w:rPr>
            </w:pPr>
            <w:r>
              <w:rPr>
                <w:rFonts w:hint="eastAsia" w:ascii="仿宋" w:hAnsi="仿宋" w:eastAsia="仿宋" w:cs="仿宋"/>
                <w:b/>
                <w:bCs/>
                <w:sz w:val="24"/>
                <w:szCs w:val="32"/>
              </w:rPr>
              <w:t>比例</w:t>
            </w:r>
          </w:p>
        </w:tc>
      </w:tr>
      <w:tr w14:paraId="12F582D0">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545" w:type="dxa"/>
            <w:tcBorders>
              <w:top w:val="single" w:color="auto" w:sz="8" w:space="0"/>
              <w:left w:val="single" w:color="auto" w:sz="8" w:space="0"/>
              <w:bottom w:val="single" w:color="auto" w:sz="8" w:space="0"/>
              <w:right w:val="single" w:color="auto" w:sz="8" w:space="0"/>
            </w:tcBorders>
            <w:shd w:val="clear" w:color="auto" w:fill="auto"/>
            <w:vAlign w:val="center"/>
          </w:tcPr>
          <w:p w14:paraId="526E65CF">
            <w:pPr>
              <w:jc w:val="left"/>
              <w:rPr>
                <w:rFonts w:hint="eastAsia" w:ascii="仿宋" w:hAnsi="仿宋" w:eastAsia="仿宋" w:cs="仿宋"/>
                <w:sz w:val="24"/>
                <w:szCs w:val="32"/>
              </w:rPr>
            </w:pPr>
            <w:r>
              <w:rPr>
                <w:rFonts w:hint="eastAsia" w:ascii="仿宋" w:hAnsi="仿宋" w:eastAsia="仿宋" w:cs="仿宋"/>
                <w:sz w:val="24"/>
                <w:szCs w:val="32"/>
              </w:rPr>
              <w:t>很不满意</w:t>
            </w:r>
          </w:p>
        </w:tc>
        <w:tc>
          <w:tcPr>
            <w:tcW w:w="1158" w:type="dxa"/>
            <w:tcBorders>
              <w:top w:val="single" w:color="auto" w:sz="8" w:space="0"/>
              <w:left w:val="single" w:color="auto" w:sz="8" w:space="0"/>
              <w:bottom w:val="single" w:color="auto" w:sz="8" w:space="0"/>
              <w:right w:val="single" w:color="auto" w:sz="8" w:space="0"/>
            </w:tcBorders>
            <w:shd w:val="clear" w:color="auto" w:fill="auto"/>
            <w:vAlign w:val="center"/>
          </w:tcPr>
          <w:p w14:paraId="20F7340A">
            <w:pPr>
              <w:jc w:val="center"/>
              <w:rPr>
                <w:rFonts w:hint="eastAsia" w:ascii="仿宋" w:hAnsi="仿宋" w:eastAsia="仿宋" w:cs="仿宋"/>
                <w:sz w:val="24"/>
                <w:szCs w:val="32"/>
              </w:rPr>
            </w:pPr>
            <w:r>
              <w:rPr>
                <w:rFonts w:hint="eastAsia" w:ascii="仿宋" w:hAnsi="仿宋" w:eastAsia="仿宋" w:cs="仿宋"/>
                <w:sz w:val="24"/>
                <w:szCs w:val="32"/>
              </w:rPr>
              <w:t>0</w:t>
            </w:r>
          </w:p>
        </w:tc>
        <w:tc>
          <w:tcPr>
            <w:tcW w:w="4538" w:type="dxa"/>
            <w:tcBorders>
              <w:top w:val="single" w:color="auto" w:sz="8" w:space="0"/>
              <w:left w:val="single" w:color="auto" w:sz="8" w:space="0"/>
              <w:bottom w:val="single" w:color="auto" w:sz="8" w:space="0"/>
              <w:right w:val="single" w:color="auto" w:sz="8" w:space="0"/>
            </w:tcBorders>
            <w:shd w:val="clear" w:color="auto" w:fill="auto"/>
            <w:vAlign w:val="center"/>
          </w:tcPr>
          <w:p w14:paraId="6CC6BAD9">
            <w:pPr>
              <w:jc w:val="left"/>
              <w:rPr>
                <w:rFonts w:hint="eastAsia" w:ascii="仿宋" w:hAnsi="仿宋" w:eastAsia="仿宋" w:cs="仿宋"/>
                <w:sz w:val="24"/>
                <w:szCs w:val="32"/>
              </w:rPr>
            </w:pPr>
            <w:r>
              <w:rPr>
                <w:rFonts w:hint="eastAsia" w:ascii="仿宋" w:hAnsi="仿宋" w:eastAsia="仿宋" w:cs="仿宋"/>
                <w:sz w:val="24"/>
                <w:szCs w:val="32"/>
              </w:rPr>
              <w:drawing>
                <wp:inline distT="0" distB="0" distL="114300" distR="114300">
                  <wp:extent cx="1352550" cy="114300"/>
                  <wp:effectExtent l="0" t="0" r="762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
                          <a:stretch>
                            <a:fillRect/>
                          </a:stretch>
                        </pic:blipFill>
                        <pic:spPr>
                          <a:xfrm>
                            <a:off x="0" y="0"/>
                            <a:ext cx="1352739" cy="114316"/>
                          </a:xfrm>
                          <a:prstGeom prst="rect">
                            <a:avLst/>
                          </a:prstGeom>
                        </pic:spPr>
                      </pic:pic>
                    </a:graphicData>
                  </a:graphic>
                </wp:inline>
              </w:drawing>
            </w:r>
            <w:r>
              <w:rPr>
                <w:rFonts w:hint="eastAsia" w:ascii="仿宋" w:hAnsi="仿宋" w:eastAsia="仿宋" w:cs="仿宋"/>
                <w:sz w:val="24"/>
                <w:szCs w:val="32"/>
              </w:rPr>
              <w:t>0%</w:t>
            </w:r>
          </w:p>
        </w:tc>
      </w:tr>
      <w:tr w14:paraId="52BA84D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545" w:type="dxa"/>
            <w:tcBorders>
              <w:top w:val="single" w:color="auto" w:sz="8" w:space="0"/>
              <w:left w:val="single" w:color="auto" w:sz="8" w:space="0"/>
              <w:bottom w:val="single" w:color="auto" w:sz="8" w:space="0"/>
              <w:right w:val="single" w:color="auto" w:sz="8" w:space="0"/>
            </w:tcBorders>
            <w:shd w:val="clear" w:color="auto" w:fill="auto"/>
            <w:vAlign w:val="center"/>
          </w:tcPr>
          <w:p w14:paraId="24B6817F">
            <w:pPr>
              <w:jc w:val="left"/>
              <w:rPr>
                <w:rFonts w:hint="eastAsia" w:ascii="仿宋" w:hAnsi="仿宋" w:eastAsia="仿宋" w:cs="仿宋"/>
                <w:sz w:val="24"/>
                <w:szCs w:val="32"/>
              </w:rPr>
            </w:pPr>
            <w:r>
              <w:rPr>
                <w:rFonts w:hint="eastAsia" w:ascii="仿宋" w:hAnsi="仿宋" w:eastAsia="仿宋" w:cs="仿宋"/>
                <w:sz w:val="24"/>
                <w:szCs w:val="32"/>
              </w:rPr>
              <w:t>不满意</w:t>
            </w:r>
          </w:p>
        </w:tc>
        <w:tc>
          <w:tcPr>
            <w:tcW w:w="1158" w:type="dxa"/>
            <w:tcBorders>
              <w:top w:val="single" w:color="auto" w:sz="8" w:space="0"/>
              <w:left w:val="single" w:color="auto" w:sz="8" w:space="0"/>
              <w:bottom w:val="single" w:color="auto" w:sz="8" w:space="0"/>
              <w:right w:val="single" w:color="auto" w:sz="8" w:space="0"/>
            </w:tcBorders>
            <w:shd w:val="clear" w:color="auto" w:fill="auto"/>
            <w:vAlign w:val="center"/>
          </w:tcPr>
          <w:p w14:paraId="7A5DA8AD">
            <w:pPr>
              <w:jc w:val="center"/>
              <w:rPr>
                <w:rFonts w:hint="eastAsia" w:ascii="仿宋" w:hAnsi="仿宋" w:eastAsia="仿宋" w:cs="仿宋"/>
                <w:sz w:val="24"/>
                <w:szCs w:val="32"/>
              </w:rPr>
            </w:pPr>
            <w:r>
              <w:rPr>
                <w:rFonts w:hint="eastAsia" w:ascii="仿宋" w:hAnsi="仿宋" w:eastAsia="仿宋" w:cs="仿宋"/>
                <w:sz w:val="24"/>
                <w:szCs w:val="32"/>
              </w:rPr>
              <w:t>0</w:t>
            </w:r>
          </w:p>
        </w:tc>
        <w:tc>
          <w:tcPr>
            <w:tcW w:w="4538" w:type="dxa"/>
            <w:tcBorders>
              <w:top w:val="single" w:color="auto" w:sz="8" w:space="0"/>
              <w:left w:val="single" w:color="auto" w:sz="8" w:space="0"/>
              <w:bottom w:val="single" w:color="auto" w:sz="8" w:space="0"/>
              <w:right w:val="single" w:color="auto" w:sz="8" w:space="0"/>
            </w:tcBorders>
            <w:shd w:val="clear" w:color="auto" w:fill="auto"/>
            <w:vAlign w:val="center"/>
          </w:tcPr>
          <w:p w14:paraId="6205C44D">
            <w:pPr>
              <w:jc w:val="left"/>
              <w:rPr>
                <w:rFonts w:hint="eastAsia" w:ascii="仿宋" w:hAnsi="仿宋" w:eastAsia="仿宋" w:cs="仿宋"/>
                <w:sz w:val="24"/>
                <w:szCs w:val="32"/>
              </w:rPr>
            </w:pPr>
            <w:r>
              <w:rPr>
                <w:rFonts w:hint="eastAsia" w:ascii="仿宋" w:hAnsi="仿宋" w:eastAsia="仿宋" w:cs="仿宋"/>
                <w:sz w:val="24"/>
                <w:szCs w:val="32"/>
              </w:rPr>
              <w:drawing>
                <wp:inline distT="0" distB="0" distL="114300" distR="114300">
                  <wp:extent cx="1352550" cy="114300"/>
                  <wp:effectExtent l="0" t="0" r="762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
                          <a:stretch>
                            <a:fillRect/>
                          </a:stretch>
                        </pic:blipFill>
                        <pic:spPr>
                          <a:xfrm>
                            <a:off x="0" y="0"/>
                            <a:ext cx="1352739" cy="114316"/>
                          </a:xfrm>
                          <a:prstGeom prst="rect">
                            <a:avLst/>
                          </a:prstGeom>
                        </pic:spPr>
                      </pic:pic>
                    </a:graphicData>
                  </a:graphic>
                </wp:inline>
              </w:drawing>
            </w:r>
            <w:r>
              <w:rPr>
                <w:rFonts w:hint="eastAsia" w:ascii="仿宋" w:hAnsi="仿宋" w:eastAsia="仿宋" w:cs="仿宋"/>
                <w:sz w:val="24"/>
                <w:szCs w:val="32"/>
              </w:rPr>
              <w:t>0%</w:t>
            </w:r>
          </w:p>
        </w:tc>
      </w:tr>
      <w:tr w14:paraId="0EBC5CD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545" w:type="dxa"/>
            <w:tcBorders>
              <w:top w:val="single" w:color="auto" w:sz="8" w:space="0"/>
              <w:left w:val="single" w:color="auto" w:sz="8" w:space="0"/>
              <w:bottom w:val="single" w:color="auto" w:sz="8" w:space="0"/>
              <w:right w:val="single" w:color="auto" w:sz="8" w:space="0"/>
            </w:tcBorders>
            <w:shd w:val="clear" w:color="auto" w:fill="auto"/>
            <w:vAlign w:val="center"/>
          </w:tcPr>
          <w:p w14:paraId="3F6FA5CC">
            <w:pPr>
              <w:jc w:val="left"/>
              <w:rPr>
                <w:rFonts w:hint="eastAsia" w:ascii="仿宋" w:hAnsi="仿宋" w:eastAsia="仿宋" w:cs="仿宋"/>
                <w:sz w:val="24"/>
                <w:szCs w:val="32"/>
              </w:rPr>
            </w:pPr>
            <w:r>
              <w:rPr>
                <w:rFonts w:hint="eastAsia" w:ascii="仿宋" w:hAnsi="仿宋" w:eastAsia="仿宋" w:cs="仿宋"/>
                <w:sz w:val="24"/>
                <w:szCs w:val="32"/>
              </w:rPr>
              <w:t>一般</w:t>
            </w:r>
          </w:p>
        </w:tc>
        <w:tc>
          <w:tcPr>
            <w:tcW w:w="1158" w:type="dxa"/>
            <w:tcBorders>
              <w:top w:val="single" w:color="auto" w:sz="8" w:space="0"/>
              <w:left w:val="single" w:color="auto" w:sz="8" w:space="0"/>
              <w:bottom w:val="single" w:color="auto" w:sz="8" w:space="0"/>
              <w:right w:val="single" w:color="auto" w:sz="8" w:space="0"/>
            </w:tcBorders>
            <w:shd w:val="clear" w:color="auto" w:fill="auto"/>
            <w:vAlign w:val="center"/>
          </w:tcPr>
          <w:p w14:paraId="24E8A315">
            <w:pPr>
              <w:jc w:val="center"/>
              <w:rPr>
                <w:rFonts w:hint="eastAsia" w:ascii="仿宋" w:hAnsi="仿宋" w:eastAsia="仿宋" w:cs="仿宋"/>
                <w:sz w:val="24"/>
                <w:szCs w:val="32"/>
              </w:rPr>
            </w:pPr>
            <w:r>
              <w:rPr>
                <w:rFonts w:hint="eastAsia" w:ascii="仿宋" w:hAnsi="仿宋" w:eastAsia="仿宋" w:cs="仿宋"/>
                <w:sz w:val="24"/>
                <w:szCs w:val="32"/>
              </w:rPr>
              <w:t>14</w:t>
            </w:r>
          </w:p>
        </w:tc>
        <w:tc>
          <w:tcPr>
            <w:tcW w:w="4538" w:type="dxa"/>
            <w:tcBorders>
              <w:top w:val="single" w:color="auto" w:sz="8" w:space="0"/>
              <w:left w:val="single" w:color="auto" w:sz="8" w:space="0"/>
              <w:bottom w:val="single" w:color="auto" w:sz="8" w:space="0"/>
              <w:right w:val="single" w:color="auto" w:sz="8" w:space="0"/>
            </w:tcBorders>
            <w:shd w:val="clear" w:color="auto" w:fill="auto"/>
            <w:vAlign w:val="center"/>
          </w:tcPr>
          <w:p w14:paraId="7D9AC285">
            <w:pPr>
              <w:jc w:val="left"/>
              <w:rPr>
                <w:rFonts w:hint="eastAsia" w:ascii="仿宋" w:hAnsi="仿宋" w:eastAsia="仿宋" w:cs="仿宋"/>
                <w:sz w:val="24"/>
                <w:szCs w:val="32"/>
              </w:rPr>
            </w:pPr>
            <w:r>
              <w:rPr>
                <w:rFonts w:hint="eastAsia" w:ascii="仿宋" w:hAnsi="仿宋" w:eastAsia="仿宋" w:cs="仿宋"/>
                <w:sz w:val="24"/>
                <w:szCs w:val="32"/>
              </w:rPr>
              <w:drawing>
                <wp:inline distT="0" distB="0" distL="114300" distR="114300">
                  <wp:extent cx="180975" cy="114300"/>
                  <wp:effectExtent l="0" t="0" r="254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9"/>
                          <a:stretch>
                            <a:fillRect/>
                          </a:stretch>
                        </pic:blipFill>
                        <pic:spPr>
                          <a:xfrm>
                            <a:off x="0" y="0"/>
                            <a:ext cx="181000" cy="114316"/>
                          </a:xfrm>
                          <a:prstGeom prst="rect">
                            <a:avLst/>
                          </a:prstGeom>
                        </pic:spPr>
                      </pic:pic>
                    </a:graphicData>
                  </a:graphic>
                </wp:inline>
              </w:drawing>
            </w:r>
            <w:r>
              <w:rPr>
                <w:rFonts w:hint="eastAsia" w:ascii="仿宋" w:hAnsi="仿宋" w:eastAsia="仿宋" w:cs="仿宋"/>
                <w:sz w:val="24"/>
                <w:szCs w:val="32"/>
              </w:rPr>
              <w:drawing>
                <wp:inline distT="0" distB="0" distL="114300" distR="114300">
                  <wp:extent cx="1171575" cy="114300"/>
                  <wp:effectExtent l="0" t="0" r="508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0"/>
                          <a:stretch>
                            <a:fillRect/>
                          </a:stretch>
                        </pic:blipFill>
                        <pic:spPr>
                          <a:xfrm>
                            <a:off x="0" y="0"/>
                            <a:ext cx="1171739" cy="114316"/>
                          </a:xfrm>
                          <a:prstGeom prst="rect">
                            <a:avLst/>
                          </a:prstGeom>
                        </pic:spPr>
                      </pic:pic>
                    </a:graphicData>
                  </a:graphic>
                </wp:inline>
              </w:drawing>
            </w:r>
            <w:r>
              <w:rPr>
                <w:rFonts w:hint="eastAsia" w:ascii="仿宋" w:hAnsi="仿宋" w:eastAsia="仿宋" w:cs="仿宋"/>
                <w:sz w:val="24"/>
                <w:szCs w:val="32"/>
              </w:rPr>
              <w:t>14%</w:t>
            </w:r>
          </w:p>
        </w:tc>
      </w:tr>
      <w:tr w14:paraId="5A63829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545" w:type="dxa"/>
            <w:tcBorders>
              <w:top w:val="single" w:color="auto" w:sz="8" w:space="0"/>
              <w:left w:val="single" w:color="auto" w:sz="8" w:space="0"/>
              <w:bottom w:val="single" w:color="auto" w:sz="8" w:space="0"/>
              <w:right w:val="single" w:color="auto" w:sz="8" w:space="0"/>
            </w:tcBorders>
            <w:shd w:val="clear" w:color="auto" w:fill="auto"/>
            <w:vAlign w:val="center"/>
          </w:tcPr>
          <w:p w14:paraId="6197BD75">
            <w:pPr>
              <w:jc w:val="left"/>
              <w:rPr>
                <w:rFonts w:hint="eastAsia" w:ascii="仿宋" w:hAnsi="仿宋" w:eastAsia="仿宋" w:cs="仿宋"/>
                <w:sz w:val="24"/>
                <w:szCs w:val="32"/>
              </w:rPr>
            </w:pPr>
            <w:r>
              <w:rPr>
                <w:rFonts w:hint="eastAsia" w:ascii="仿宋" w:hAnsi="仿宋" w:eastAsia="仿宋" w:cs="仿宋"/>
                <w:sz w:val="24"/>
                <w:szCs w:val="32"/>
              </w:rPr>
              <w:t>满意</w:t>
            </w:r>
          </w:p>
        </w:tc>
        <w:tc>
          <w:tcPr>
            <w:tcW w:w="1158" w:type="dxa"/>
            <w:tcBorders>
              <w:top w:val="single" w:color="auto" w:sz="8" w:space="0"/>
              <w:left w:val="single" w:color="auto" w:sz="8" w:space="0"/>
              <w:bottom w:val="single" w:color="auto" w:sz="8" w:space="0"/>
              <w:right w:val="single" w:color="auto" w:sz="8" w:space="0"/>
            </w:tcBorders>
            <w:shd w:val="clear" w:color="auto" w:fill="auto"/>
            <w:vAlign w:val="center"/>
          </w:tcPr>
          <w:p w14:paraId="449AEE31">
            <w:pPr>
              <w:jc w:val="center"/>
              <w:rPr>
                <w:rFonts w:hint="eastAsia" w:ascii="仿宋" w:hAnsi="仿宋" w:eastAsia="仿宋" w:cs="仿宋"/>
                <w:sz w:val="24"/>
                <w:szCs w:val="32"/>
              </w:rPr>
            </w:pPr>
            <w:r>
              <w:rPr>
                <w:rFonts w:hint="eastAsia" w:ascii="仿宋" w:hAnsi="仿宋" w:eastAsia="仿宋" w:cs="仿宋"/>
                <w:sz w:val="24"/>
                <w:szCs w:val="32"/>
              </w:rPr>
              <w:t>19</w:t>
            </w:r>
          </w:p>
        </w:tc>
        <w:tc>
          <w:tcPr>
            <w:tcW w:w="4538" w:type="dxa"/>
            <w:tcBorders>
              <w:top w:val="single" w:color="auto" w:sz="8" w:space="0"/>
              <w:left w:val="single" w:color="auto" w:sz="8" w:space="0"/>
              <w:bottom w:val="single" w:color="auto" w:sz="8" w:space="0"/>
              <w:right w:val="single" w:color="auto" w:sz="8" w:space="0"/>
            </w:tcBorders>
            <w:shd w:val="clear" w:color="auto" w:fill="auto"/>
            <w:vAlign w:val="center"/>
          </w:tcPr>
          <w:p w14:paraId="0E34E145">
            <w:pPr>
              <w:jc w:val="left"/>
              <w:rPr>
                <w:rFonts w:hint="eastAsia" w:ascii="仿宋" w:hAnsi="仿宋" w:eastAsia="仿宋" w:cs="仿宋"/>
                <w:sz w:val="24"/>
                <w:szCs w:val="32"/>
              </w:rPr>
            </w:pPr>
            <w:r>
              <w:rPr>
                <w:rFonts w:hint="eastAsia" w:ascii="仿宋" w:hAnsi="仿宋" w:eastAsia="仿宋" w:cs="仿宋"/>
                <w:sz w:val="24"/>
                <w:szCs w:val="32"/>
              </w:rPr>
              <w:drawing>
                <wp:inline distT="0" distB="0" distL="114300" distR="114300">
                  <wp:extent cx="247650" cy="114300"/>
                  <wp:effectExtent l="0" t="0" r="635"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1"/>
                          <a:stretch>
                            <a:fillRect/>
                          </a:stretch>
                        </pic:blipFill>
                        <pic:spPr>
                          <a:xfrm>
                            <a:off x="0" y="0"/>
                            <a:ext cx="247685" cy="114316"/>
                          </a:xfrm>
                          <a:prstGeom prst="rect">
                            <a:avLst/>
                          </a:prstGeom>
                        </pic:spPr>
                      </pic:pic>
                    </a:graphicData>
                  </a:graphic>
                </wp:inline>
              </w:drawing>
            </w:r>
            <w:r>
              <w:rPr>
                <w:rFonts w:hint="eastAsia" w:ascii="仿宋" w:hAnsi="仿宋" w:eastAsia="仿宋" w:cs="仿宋"/>
                <w:sz w:val="24"/>
                <w:szCs w:val="32"/>
              </w:rPr>
              <w:drawing>
                <wp:inline distT="0" distB="0" distL="114300" distR="114300">
                  <wp:extent cx="1104900" cy="114300"/>
                  <wp:effectExtent l="0" t="0" r="6985"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2"/>
                          <a:stretch>
                            <a:fillRect/>
                          </a:stretch>
                        </pic:blipFill>
                        <pic:spPr>
                          <a:xfrm>
                            <a:off x="0" y="0"/>
                            <a:ext cx="1105054" cy="114316"/>
                          </a:xfrm>
                          <a:prstGeom prst="rect">
                            <a:avLst/>
                          </a:prstGeom>
                        </pic:spPr>
                      </pic:pic>
                    </a:graphicData>
                  </a:graphic>
                </wp:inline>
              </w:drawing>
            </w:r>
            <w:r>
              <w:rPr>
                <w:rFonts w:hint="eastAsia" w:ascii="仿宋" w:hAnsi="仿宋" w:eastAsia="仿宋" w:cs="仿宋"/>
                <w:sz w:val="24"/>
                <w:szCs w:val="32"/>
              </w:rPr>
              <w:t>19%</w:t>
            </w:r>
          </w:p>
        </w:tc>
      </w:tr>
      <w:tr w14:paraId="6122BFA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545" w:type="dxa"/>
            <w:tcBorders>
              <w:top w:val="single" w:color="auto" w:sz="8" w:space="0"/>
              <w:left w:val="single" w:color="auto" w:sz="8" w:space="0"/>
              <w:bottom w:val="single" w:color="auto" w:sz="8" w:space="0"/>
              <w:right w:val="single" w:color="auto" w:sz="8" w:space="0"/>
            </w:tcBorders>
            <w:shd w:val="clear" w:color="auto" w:fill="auto"/>
            <w:vAlign w:val="center"/>
          </w:tcPr>
          <w:p w14:paraId="39E8480C">
            <w:pPr>
              <w:jc w:val="left"/>
              <w:rPr>
                <w:rFonts w:hint="eastAsia" w:ascii="仿宋" w:hAnsi="仿宋" w:eastAsia="仿宋" w:cs="仿宋"/>
                <w:sz w:val="24"/>
                <w:szCs w:val="32"/>
              </w:rPr>
            </w:pPr>
            <w:r>
              <w:rPr>
                <w:rFonts w:hint="eastAsia" w:ascii="仿宋" w:hAnsi="仿宋" w:eastAsia="仿宋" w:cs="仿宋"/>
                <w:sz w:val="24"/>
                <w:szCs w:val="32"/>
              </w:rPr>
              <w:t>很满意</w:t>
            </w:r>
          </w:p>
        </w:tc>
        <w:tc>
          <w:tcPr>
            <w:tcW w:w="1158" w:type="dxa"/>
            <w:tcBorders>
              <w:top w:val="single" w:color="auto" w:sz="8" w:space="0"/>
              <w:left w:val="single" w:color="auto" w:sz="8" w:space="0"/>
              <w:bottom w:val="single" w:color="auto" w:sz="8" w:space="0"/>
              <w:right w:val="single" w:color="auto" w:sz="8" w:space="0"/>
            </w:tcBorders>
            <w:shd w:val="clear" w:color="auto" w:fill="auto"/>
            <w:vAlign w:val="center"/>
          </w:tcPr>
          <w:p w14:paraId="7CBBC611">
            <w:pPr>
              <w:jc w:val="center"/>
              <w:rPr>
                <w:rFonts w:hint="eastAsia" w:ascii="仿宋" w:hAnsi="仿宋" w:eastAsia="仿宋" w:cs="仿宋"/>
                <w:sz w:val="24"/>
                <w:szCs w:val="32"/>
              </w:rPr>
            </w:pPr>
            <w:r>
              <w:rPr>
                <w:rFonts w:hint="eastAsia" w:ascii="仿宋" w:hAnsi="仿宋" w:eastAsia="仿宋" w:cs="仿宋"/>
                <w:sz w:val="24"/>
                <w:szCs w:val="32"/>
              </w:rPr>
              <w:t>67</w:t>
            </w:r>
          </w:p>
        </w:tc>
        <w:tc>
          <w:tcPr>
            <w:tcW w:w="4538" w:type="dxa"/>
            <w:tcBorders>
              <w:top w:val="single" w:color="auto" w:sz="8" w:space="0"/>
              <w:left w:val="single" w:color="auto" w:sz="8" w:space="0"/>
              <w:bottom w:val="single" w:color="auto" w:sz="8" w:space="0"/>
              <w:right w:val="single" w:color="auto" w:sz="8" w:space="0"/>
            </w:tcBorders>
            <w:shd w:val="clear" w:color="auto" w:fill="auto"/>
            <w:vAlign w:val="center"/>
          </w:tcPr>
          <w:p w14:paraId="5BA1A950">
            <w:pPr>
              <w:jc w:val="left"/>
              <w:rPr>
                <w:rFonts w:hint="eastAsia" w:ascii="仿宋" w:hAnsi="仿宋" w:eastAsia="仿宋" w:cs="仿宋"/>
                <w:sz w:val="24"/>
                <w:szCs w:val="32"/>
              </w:rPr>
            </w:pPr>
            <w:r>
              <w:rPr>
                <w:rFonts w:hint="eastAsia" w:ascii="仿宋" w:hAnsi="仿宋" w:eastAsia="仿宋" w:cs="仿宋"/>
                <w:sz w:val="24"/>
                <w:szCs w:val="32"/>
              </w:rPr>
              <w:drawing>
                <wp:inline distT="0" distB="0" distL="114300" distR="114300">
                  <wp:extent cx="904875" cy="114300"/>
                  <wp:effectExtent l="0" t="0" r="1905"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3"/>
                          <a:stretch>
                            <a:fillRect/>
                          </a:stretch>
                        </pic:blipFill>
                        <pic:spPr>
                          <a:xfrm>
                            <a:off x="0" y="0"/>
                            <a:ext cx="905001" cy="114316"/>
                          </a:xfrm>
                          <a:prstGeom prst="rect">
                            <a:avLst/>
                          </a:prstGeom>
                        </pic:spPr>
                      </pic:pic>
                    </a:graphicData>
                  </a:graphic>
                </wp:inline>
              </w:drawing>
            </w:r>
            <w:r>
              <w:rPr>
                <w:rFonts w:hint="eastAsia" w:ascii="仿宋" w:hAnsi="仿宋" w:eastAsia="仿宋" w:cs="仿宋"/>
                <w:sz w:val="24"/>
                <w:szCs w:val="32"/>
              </w:rPr>
              <w:drawing>
                <wp:inline distT="0" distB="0" distL="114300" distR="114300">
                  <wp:extent cx="447675" cy="114300"/>
                  <wp:effectExtent l="0" t="0" r="5715"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4"/>
                          <a:stretch>
                            <a:fillRect/>
                          </a:stretch>
                        </pic:blipFill>
                        <pic:spPr>
                          <a:xfrm>
                            <a:off x="0" y="0"/>
                            <a:ext cx="447737" cy="114316"/>
                          </a:xfrm>
                          <a:prstGeom prst="rect">
                            <a:avLst/>
                          </a:prstGeom>
                        </pic:spPr>
                      </pic:pic>
                    </a:graphicData>
                  </a:graphic>
                </wp:inline>
              </w:drawing>
            </w:r>
            <w:r>
              <w:rPr>
                <w:rFonts w:hint="eastAsia" w:ascii="仿宋" w:hAnsi="仿宋" w:eastAsia="仿宋" w:cs="仿宋"/>
                <w:sz w:val="24"/>
                <w:szCs w:val="32"/>
              </w:rPr>
              <w:t>67%</w:t>
            </w:r>
          </w:p>
        </w:tc>
      </w:tr>
      <w:tr w14:paraId="5C012E4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545" w:type="dxa"/>
            <w:tcBorders>
              <w:top w:val="single" w:color="auto" w:sz="8" w:space="0"/>
              <w:left w:val="single" w:color="auto" w:sz="8" w:space="0"/>
              <w:bottom w:val="single" w:color="auto" w:sz="8" w:space="0"/>
              <w:right w:val="single" w:color="auto" w:sz="8" w:space="0"/>
            </w:tcBorders>
            <w:shd w:val="clear" w:color="auto" w:fill="auto"/>
            <w:vAlign w:val="center"/>
          </w:tcPr>
          <w:p w14:paraId="1E84E1F9">
            <w:pPr>
              <w:jc w:val="left"/>
              <w:rPr>
                <w:rFonts w:hint="eastAsia" w:ascii="仿宋" w:hAnsi="仿宋" w:eastAsia="仿宋" w:cs="仿宋"/>
                <w:sz w:val="24"/>
                <w:szCs w:val="32"/>
              </w:rPr>
            </w:pPr>
            <w:r>
              <w:rPr>
                <w:rFonts w:hint="eastAsia" w:ascii="仿宋" w:hAnsi="仿宋" w:eastAsia="仿宋" w:cs="仿宋"/>
                <w:sz w:val="24"/>
                <w:szCs w:val="32"/>
              </w:rPr>
              <w:t>本题有效填写人次</w:t>
            </w:r>
          </w:p>
        </w:tc>
        <w:tc>
          <w:tcPr>
            <w:tcW w:w="1158" w:type="dxa"/>
            <w:tcBorders>
              <w:top w:val="single" w:color="auto" w:sz="8" w:space="0"/>
              <w:left w:val="single" w:color="auto" w:sz="8" w:space="0"/>
              <w:bottom w:val="single" w:color="auto" w:sz="8" w:space="0"/>
              <w:right w:val="single" w:color="auto" w:sz="8" w:space="0"/>
            </w:tcBorders>
            <w:shd w:val="clear" w:color="auto" w:fill="auto"/>
            <w:vAlign w:val="center"/>
          </w:tcPr>
          <w:p w14:paraId="793E3D37">
            <w:pPr>
              <w:jc w:val="center"/>
              <w:rPr>
                <w:rFonts w:hint="eastAsia" w:ascii="仿宋" w:hAnsi="仿宋" w:eastAsia="仿宋" w:cs="仿宋"/>
                <w:sz w:val="24"/>
                <w:szCs w:val="32"/>
              </w:rPr>
            </w:pPr>
            <w:r>
              <w:rPr>
                <w:rFonts w:hint="eastAsia" w:ascii="仿宋" w:hAnsi="仿宋" w:eastAsia="仿宋" w:cs="仿宋"/>
                <w:sz w:val="24"/>
                <w:szCs w:val="32"/>
              </w:rPr>
              <w:t>100</w:t>
            </w:r>
          </w:p>
        </w:tc>
        <w:tc>
          <w:tcPr>
            <w:tcW w:w="4538" w:type="dxa"/>
            <w:tcBorders>
              <w:top w:val="single" w:color="auto" w:sz="8" w:space="0"/>
              <w:left w:val="single" w:color="auto" w:sz="8" w:space="0"/>
              <w:bottom w:val="single" w:color="auto" w:sz="8" w:space="0"/>
              <w:right w:val="single" w:color="auto" w:sz="8" w:space="0"/>
            </w:tcBorders>
            <w:shd w:val="clear" w:color="auto" w:fill="auto"/>
            <w:vAlign w:val="center"/>
          </w:tcPr>
          <w:p w14:paraId="0A8BDBE3">
            <w:pPr>
              <w:jc w:val="left"/>
              <w:rPr>
                <w:rFonts w:hint="eastAsia" w:ascii="仿宋" w:hAnsi="仿宋" w:eastAsia="仿宋" w:cs="仿宋"/>
                <w:sz w:val="24"/>
                <w:szCs w:val="32"/>
              </w:rPr>
            </w:pPr>
          </w:p>
        </w:tc>
      </w:tr>
    </w:tbl>
    <w:p w14:paraId="00B49EA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highlight w:val="none"/>
          <w:lang w:val="en-US" w:eastAsia="zh-CN"/>
        </w:rPr>
      </w:pPr>
      <w:r>
        <w:rPr>
          <w:rFonts w:hint="eastAsia" w:ascii="仿宋" w:hAnsi="仿宋" w:eastAsia="仿宋" w:cs="仿宋"/>
          <w:b/>
          <w:sz w:val="28"/>
          <w:szCs w:val="28"/>
          <w:highlight w:val="none"/>
          <w:lang w:val="en-US" w:eastAsia="zh-CN"/>
        </w:rPr>
        <w:t>五</w:t>
      </w:r>
      <w:r>
        <w:rPr>
          <w:rFonts w:hint="eastAsia" w:ascii="仿宋" w:hAnsi="仿宋" w:eastAsia="仿宋" w:cs="仿宋"/>
          <w:b/>
          <w:sz w:val="28"/>
          <w:szCs w:val="28"/>
          <w:highlight w:val="none"/>
        </w:rPr>
        <w:t>、</w:t>
      </w:r>
      <w:bookmarkEnd w:id="71"/>
      <w:bookmarkEnd w:id="72"/>
      <w:bookmarkEnd w:id="73"/>
      <w:bookmarkEnd w:id="74"/>
      <w:bookmarkEnd w:id="75"/>
      <w:bookmarkEnd w:id="76"/>
      <w:bookmarkEnd w:id="77"/>
      <w:bookmarkEnd w:id="78"/>
      <w:bookmarkStart w:id="79" w:name="_Toc18151_WPSOffice_Level1"/>
      <w:bookmarkStart w:id="80" w:name="_Toc31020_WPSOffice_Level1"/>
      <w:bookmarkStart w:id="81" w:name="_Toc10636_WPSOffice_Level1"/>
      <w:bookmarkStart w:id="82" w:name="_Toc22428_WPSOffice_Level1"/>
      <w:bookmarkStart w:id="83" w:name="_Toc1578_WPSOffice_Level1"/>
      <w:bookmarkStart w:id="84" w:name="_Toc6967_WPSOffice_Level1"/>
      <w:bookmarkStart w:id="85" w:name="_Toc6825_WPSOffice_Level1"/>
      <w:bookmarkStart w:id="86" w:name="_Toc25338_WPSOffice_Level1"/>
      <w:bookmarkStart w:id="87" w:name="_Toc32494_WPSOffice_Level1"/>
      <w:bookmarkStart w:id="88" w:name="_Toc1280_WPSOffice_Level1"/>
      <w:bookmarkStart w:id="89" w:name="_Toc19913"/>
      <w:r>
        <w:rPr>
          <w:rFonts w:hint="eastAsia" w:ascii="仿宋" w:hAnsi="仿宋" w:eastAsia="仿宋" w:cs="仿宋"/>
          <w:b/>
          <w:sz w:val="28"/>
          <w:szCs w:val="28"/>
          <w:highlight w:val="none"/>
        </w:rPr>
        <w:t>主要</w:t>
      </w:r>
      <w:bookmarkEnd w:id="79"/>
      <w:bookmarkEnd w:id="80"/>
      <w:bookmarkEnd w:id="81"/>
      <w:bookmarkEnd w:id="82"/>
      <w:bookmarkEnd w:id="83"/>
      <w:bookmarkEnd w:id="84"/>
      <w:bookmarkEnd w:id="85"/>
      <w:bookmarkEnd w:id="86"/>
      <w:bookmarkEnd w:id="87"/>
      <w:bookmarkEnd w:id="88"/>
      <w:r>
        <w:rPr>
          <w:rFonts w:hint="eastAsia" w:ascii="仿宋" w:hAnsi="仿宋" w:eastAsia="仿宋" w:cs="仿宋"/>
          <w:b/>
          <w:sz w:val="28"/>
          <w:szCs w:val="28"/>
          <w:highlight w:val="none"/>
          <w:lang w:val="en-US" w:eastAsia="zh-CN"/>
        </w:rPr>
        <w:t>经验及做法</w:t>
      </w:r>
      <w:bookmarkEnd w:id="89"/>
    </w:p>
    <w:p w14:paraId="59DCAF86">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trike w:val="0"/>
          <w:dstrike w:val="0"/>
          <w:sz w:val="28"/>
          <w:szCs w:val="28"/>
          <w:highlight w:val="none"/>
          <w:lang w:val="en-US" w:eastAsia="zh-CN"/>
        </w:rPr>
      </w:pPr>
      <w:bookmarkStart w:id="90" w:name="_Toc23046_WPSOffice_Level1"/>
      <w:bookmarkStart w:id="91" w:name="_Toc11386_WPSOffice_Level1"/>
      <w:bookmarkStart w:id="92" w:name="_Toc7336_WPSOffice_Level1"/>
      <w:bookmarkStart w:id="93" w:name="_Toc29367_WPSOffice_Level1"/>
      <w:bookmarkStart w:id="94" w:name="_Toc5408_WPSOffice_Level1"/>
      <w:bookmarkStart w:id="95" w:name="_Toc2890_WPSOffice_Level1"/>
      <w:bookmarkStart w:id="96" w:name="_Toc10497_WPSOffice_Level1"/>
      <w:bookmarkStart w:id="97" w:name="_Toc3981"/>
      <w:bookmarkStart w:id="98" w:name="_Toc2096_WPSOffice_Level1"/>
      <w:bookmarkStart w:id="99" w:name="_Toc28094_WPSOffice_Level1"/>
      <w:bookmarkStart w:id="100" w:name="_Toc16710_WPSOffice_Level1"/>
      <w:r>
        <w:rPr>
          <w:rFonts w:hint="eastAsia" w:ascii="仿宋" w:hAnsi="仿宋" w:eastAsia="仿宋" w:cs="仿宋"/>
          <w:b w:val="0"/>
          <w:bCs w:val="0"/>
          <w:strike w:val="0"/>
          <w:dstrike w:val="0"/>
          <w:sz w:val="28"/>
          <w:szCs w:val="28"/>
          <w:highlight w:val="none"/>
          <w:lang w:val="en-US" w:eastAsia="zh-CN"/>
        </w:rPr>
        <w:t>永济市市容环卫中心实行精细化管理，巧用“加减乘除”工作法，使城区市容环境卫生进一步提质增效。</w:t>
      </w:r>
    </w:p>
    <w:p w14:paraId="4F837735">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trike w:val="0"/>
          <w:dstrike w:val="0"/>
          <w:sz w:val="28"/>
          <w:szCs w:val="28"/>
          <w:highlight w:val="none"/>
          <w:lang w:val="en-US" w:eastAsia="zh-CN"/>
        </w:rPr>
      </w:pPr>
      <w:r>
        <w:rPr>
          <w:rFonts w:hint="eastAsia" w:ascii="仿宋" w:hAnsi="仿宋" w:eastAsia="仿宋" w:cs="仿宋"/>
          <w:b w:val="0"/>
          <w:bCs w:val="0"/>
          <w:strike w:val="0"/>
          <w:dstrike w:val="0"/>
          <w:sz w:val="28"/>
          <w:szCs w:val="28"/>
          <w:highlight w:val="none"/>
          <w:lang w:val="en-US" w:eastAsia="zh-CN"/>
        </w:rPr>
        <w:t>机械清扫与人工保洁做“加”法：实施“一街一策”“错时”作业方式，城区街道全天候清扫、保洁，生活垃圾及街道漂浮物由“日产日清”到“随有随清、随脏随扫”，实现“机扫、人保、冲洗”三位一体作业方式。</w:t>
      </w:r>
    </w:p>
    <w:p w14:paraId="64CB9BF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trike w:val="0"/>
          <w:dstrike w:val="0"/>
          <w:sz w:val="28"/>
          <w:szCs w:val="28"/>
          <w:highlight w:val="none"/>
          <w:lang w:val="en-US" w:eastAsia="zh-CN"/>
        </w:rPr>
      </w:pPr>
      <w:r>
        <w:rPr>
          <w:rFonts w:hint="eastAsia" w:ascii="仿宋" w:hAnsi="仿宋" w:eastAsia="仿宋" w:cs="仿宋"/>
          <w:b w:val="0"/>
          <w:bCs w:val="0"/>
          <w:strike w:val="0"/>
          <w:dstrike w:val="0"/>
          <w:sz w:val="28"/>
          <w:szCs w:val="28"/>
          <w:highlight w:val="none"/>
          <w:lang w:val="en-US" w:eastAsia="zh-CN"/>
        </w:rPr>
        <w:t>分类收集与焚烧发电做“减”法：在城区企事业单位、住宅小区、中小学校设置生活垃圾分类收集点，对沿街商户生活垃圾、餐厨垃圾施行分类收集。实现生活垃圾的无害化、减量化、资源化利用。</w:t>
      </w:r>
    </w:p>
    <w:p w14:paraId="22C5CBE0">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trike w:val="0"/>
          <w:dstrike w:val="0"/>
          <w:sz w:val="28"/>
          <w:szCs w:val="28"/>
          <w:highlight w:val="none"/>
          <w:lang w:val="en-US" w:eastAsia="zh-CN"/>
        </w:rPr>
      </w:pPr>
      <w:r>
        <w:rPr>
          <w:rFonts w:hint="eastAsia" w:ascii="仿宋" w:hAnsi="仿宋" w:eastAsia="仿宋" w:cs="仿宋"/>
          <w:b w:val="0"/>
          <w:bCs w:val="0"/>
          <w:strike w:val="0"/>
          <w:dstrike w:val="0"/>
          <w:sz w:val="28"/>
          <w:szCs w:val="28"/>
          <w:highlight w:val="none"/>
          <w:lang w:val="en-US" w:eastAsia="zh-CN"/>
        </w:rPr>
        <w:t>网格管理与集中整治做“乘”法：对城区各街道实行网格化管理，五大片区既独立管理又密切配合。不定期从各片区抽调环卫工人对新开道路、城乡结合部、背街小巷、雨后泥沙、积尘落叶进行集中整治，2023年累计清理街道抛洒1000余次，清理无主垃圾约1100余吨，冲洗路面达5000余万平方米，达到了整治完成一处、巩固一处、常态化管理一处的工作标准。</w:t>
      </w:r>
    </w:p>
    <w:p w14:paraId="4866FB73">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trike w:val="0"/>
          <w:dstrike w:val="0"/>
          <w:sz w:val="28"/>
          <w:szCs w:val="28"/>
          <w:highlight w:val="none"/>
          <w:lang w:val="en-US" w:eastAsia="zh-CN"/>
        </w:rPr>
      </w:pPr>
      <w:r>
        <w:rPr>
          <w:rFonts w:hint="eastAsia" w:ascii="仿宋" w:hAnsi="仿宋" w:eastAsia="仿宋" w:cs="仿宋"/>
          <w:b w:val="0"/>
          <w:bCs w:val="0"/>
          <w:strike w:val="0"/>
          <w:dstrike w:val="0"/>
          <w:sz w:val="28"/>
          <w:szCs w:val="28"/>
          <w:highlight w:val="none"/>
          <w:lang w:val="en-US" w:eastAsia="zh-CN"/>
        </w:rPr>
        <w:t>提高待遇与缩短时长做“除”法：近年来，环卫工人薪资待遇逐步提高，环卫工人的生活得到有效保障。同时该中心根据不同季节、不同街道等特点，合理调整作业时间，有效保障环卫工人的合法权益。</w:t>
      </w:r>
    </w:p>
    <w:p w14:paraId="52BF8CEA">
      <w:pPr>
        <w:pStyle w:val="19"/>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0"/>
        <w:rPr>
          <w:rFonts w:hint="eastAsia" w:ascii="仿宋" w:hAnsi="仿宋" w:eastAsia="仿宋" w:cs="仿宋"/>
          <w:b/>
          <w:highlight w:val="none"/>
          <w:lang w:val="en-US" w:eastAsia="zh-CN"/>
        </w:rPr>
      </w:pPr>
      <w:r>
        <w:rPr>
          <w:rFonts w:hint="eastAsia" w:ascii="仿宋" w:hAnsi="仿宋" w:eastAsia="仿宋" w:cs="仿宋"/>
          <w:b/>
          <w:highlight w:val="none"/>
          <w:lang w:val="en-US" w:eastAsia="zh-CN"/>
        </w:rPr>
        <w:t>六</w:t>
      </w:r>
      <w:r>
        <w:rPr>
          <w:rFonts w:hint="eastAsia" w:ascii="仿宋" w:hAnsi="仿宋" w:eastAsia="仿宋" w:cs="仿宋"/>
          <w:b/>
          <w:highlight w:val="none"/>
        </w:rPr>
        <w:t>、存在的问题及</w:t>
      </w:r>
      <w:bookmarkEnd w:id="90"/>
      <w:bookmarkEnd w:id="91"/>
      <w:bookmarkEnd w:id="92"/>
      <w:bookmarkEnd w:id="93"/>
      <w:bookmarkEnd w:id="94"/>
      <w:bookmarkEnd w:id="95"/>
      <w:bookmarkEnd w:id="96"/>
      <w:bookmarkEnd w:id="97"/>
      <w:bookmarkEnd w:id="98"/>
      <w:bookmarkEnd w:id="99"/>
      <w:bookmarkEnd w:id="100"/>
      <w:r>
        <w:rPr>
          <w:rFonts w:hint="eastAsia" w:ascii="仿宋" w:hAnsi="仿宋" w:eastAsia="仿宋" w:cs="仿宋"/>
          <w:b/>
          <w:highlight w:val="none"/>
          <w:lang w:val="en-US" w:eastAsia="zh-CN"/>
        </w:rPr>
        <w:t>原因分析</w:t>
      </w:r>
    </w:p>
    <w:p w14:paraId="3BCE5874">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1.在职人员超编制</w:t>
      </w:r>
    </w:p>
    <w:p w14:paraId="3169C324">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永济市市容环卫中心事业编制数13名，实有在编人员37人，其中23人借调至其他单位，导致在职人员控制率为284.62%。</w:t>
      </w:r>
    </w:p>
    <w:p w14:paraId="44A3FDBA">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永济市市容环卫中心共有临时环卫人员647人，因路段等级不清晰，保洁等级不明确，不能准确的核定各区域应配置的环卫人员数量。</w:t>
      </w:r>
    </w:p>
    <w:p w14:paraId="569938C3">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bCs/>
          <w:sz w:val="28"/>
          <w:szCs w:val="28"/>
          <w:highlight w:val="none"/>
          <w:lang w:val="en-US" w:eastAsia="zh-CN"/>
        </w:rPr>
        <w:t>2.资产管理不规范</w:t>
      </w:r>
    </w:p>
    <w:p w14:paraId="76BDF7C0">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永济市市容环卫中心的固定资产台账中部分资产品牌型号、使用人及管理人不明确，不利于管理。</w:t>
      </w:r>
    </w:p>
    <w:p w14:paraId="142C43F8">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bCs/>
          <w:sz w:val="28"/>
          <w:szCs w:val="28"/>
          <w:highlight w:val="none"/>
          <w:lang w:val="en-US" w:eastAsia="zh-CN"/>
        </w:rPr>
        <w:t>3.非税收入管理不规范</w:t>
      </w:r>
    </w:p>
    <w:p w14:paraId="1104326A">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永济市市容环卫中心</w:t>
      </w:r>
      <w:r>
        <w:rPr>
          <w:rFonts w:hint="eastAsia" w:ascii="仿宋" w:hAnsi="仿宋" w:eastAsia="仿宋" w:cs="仿宋"/>
          <w:b w:val="0"/>
          <w:bCs w:val="0"/>
          <w:kern w:val="2"/>
          <w:sz w:val="28"/>
          <w:szCs w:val="28"/>
          <w:highlight w:val="none"/>
          <w:lang w:val="en-US" w:eastAsia="zh-CN" w:bidi="ar-SA"/>
        </w:rPr>
        <w:t>建立了生活垃圾处理费征收台账，但该台账数据不准确，不能完整的体现出应收费金额、已收费金额等信息。</w:t>
      </w:r>
    </w:p>
    <w:p w14:paraId="6882401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七、有关建议</w:t>
      </w:r>
    </w:p>
    <w:p w14:paraId="1A81C36F">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0"/>
          <w:sz w:val="28"/>
          <w:szCs w:val="28"/>
          <w:highlight w:val="none"/>
          <w:lang w:val="en-US" w:eastAsia="zh-CN"/>
        </w:rPr>
      </w:pPr>
      <w:r>
        <w:rPr>
          <w:rFonts w:hint="eastAsia" w:ascii="仿宋" w:hAnsi="仿宋" w:eastAsia="仿宋" w:cs="仿宋"/>
          <w:b/>
          <w:bCs/>
          <w:kern w:val="0"/>
          <w:sz w:val="28"/>
          <w:szCs w:val="28"/>
          <w:highlight w:val="none"/>
          <w:lang w:val="en-US" w:eastAsia="zh-CN"/>
        </w:rPr>
        <w:t>1.控制在编人数，明确临时人员配置标准</w:t>
      </w:r>
    </w:p>
    <w:p w14:paraId="5B5548AC">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永济市市容环卫中心应协调相关部门，控制本部门在职人员数量；应按照《中华人民共和国城镇建设行业标准：城市道路清扫面积测算方法(CJ/T 277-2008)》等方法，测算服务区内的清扫面积；按照《都市环境卫生质量原则》划分道路等级和保洁等级；参考《城镇市容环境卫生劳动定额》及行业水平，结合路段实际情况，明确临时环卫人员的人均打扫面积及人数配置。</w:t>
      </w:r>
    </w:p>
    <w:p w14:paraId="728E3F19">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kern w:val="0"/>
          <w:sz w:val="28"/>
          <w:szCs w:val="28"/>
          <w:highlight w:val="none"/>
          <w:lang w:val="en-US" w:eastAsia="zh-CN"/>
        </w:rPr>
      </w:pPr>
      <w:r>
        <w:rPr>
          <w:rFonts w:hint="eastAsia" w:ascii="仿宋" w:hAnsi="仿宋" w:eastAsia="仿宋" w:cs="仿宋"/>
          <w:b/>
          <w:bCs/>
          <w:kern w:val="0"/>
          <w:sz w:val="28"/>
          <w:szCs w:val="28"/>
          <w:highlight w:val="none"/>
          <w:lang w:val="en-US" w:eastAsia="zh-CN"/>
        </w:rPr>
        <w:t>2.加强内控管理</w:t>
      </w:r>
    </w:p>
    <w:p w14:paraId="31B7ECD2">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建议永济市市容环卫中心补充固定资产台账信息，对固定资产进行清查；</w:t>
      </w:r>
      <w:r>
        <w:rPr>
          <w:rFonts w:hint="eastAsia" w:ascii="仿宋" w:hAnsi="仿宋" w:eastAsia="仿宋" w:cs="仿宋"/>
          <w:b w:val="0"/>
          <w:bCs w:val="0"/>
          <w:kern w:val="2"/>
          <w:sz w:val="28"/>
          <w:szCs w:val="28"/>
          <w:highlight w:val="none"/>
          <w:lang w:val="en-US" w:eastAsia="zh-CN" w:bidi="ar-SA"/>
        </w:rPr>
        <w:t>完善生活垃圾处理费征收台账，定期清查整理应收费户数等相关数据。</w:t>
      </w:r>
    </w:p>
    <w:p w14:paraId="437A37C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highlight w:val="none"/>
        </w:rPr>
      </w:pPr>
      <w:r>
        <w:rPr>
          <w:rFonts w:hint="eastAsia" w:ascii="仿宋" w:hAnsi="仿宋" w:eastAsia="仿宋" w:cs="仿宋"/>
          <w:b/>
          <w:sz w:val="28"/>
          <w:szCs w:val="28"/>
          <w:highlight w:val="none"/>
          <w:lang w:eastAsia="zh-CN"/>
        </w:rPr>
        <w:t>八</w:t>
      </w:r>
      <w:r>
        <w:rPr>
          <w:rFonts w:hint="eastAsia" w:ascii="仿宋" w:hAnsi="仿宋" w:eastAsia="仿宋" w:cs="仿宋"/>
          <w:b/>
          <w:sz w:val="28"/>
          <w:szCs w:val="28"/>
          <w:highlight w:val="none"/>
        </w:rPr>
        <w:t>、绩效评价结果应用建议</w:t>
      </w:r>
    </w:p>
    <w:p w14:paraId="520F4B14">
      <w:pPr>
        <w:pStyle w:val="2"/>
        <w:keepNext w:val="0"/>
        <w:keepLines w:val="0"/>
        <w:pageBreakBefore w:val="0"/>
        <w:widowControl w:val="0"/>
        <w:kinsoku/>
        <w:wordWrap/>
        <w:overflowPunct/>
        <w:topLinePunct w:val="0"/>
        <w:autoSpaceDE/>
        <w:autoSpaceDN/>
        <w:bidi w:val="0"/>
        <w:adjustRightInd/>
        <w:snapToGrid/>
        <w:spacing w:line="560" w:lineRule="atLeast"/>
        <w:ind w:firstLine="560" w:firstLineChars="200"/>
        <w:textAlignment w:val="auto"/>
        <w:outlineLvl w:val="9"/>
        <w:rPr>
          <w:rFonts w:hint="eastAsia" w:ascii="仿宋" w:hAnsi="仿宋" w:eastAsia="仿宋" w:cs="仿宋"/>
          <w:color w:val="auto"/>
          <w:sz w:val="28"/>
          <w:highlight w:val="none"/>
        </w:rPr>
      </w:pPr>
      <w:r>
        <w:rPr>
          <w:rFonts w:hint="eastAsia" w:ascii="仿宋" w:hAnsi="仿宋" w:eastAsia="仿宋" w:cs="仿宋"/>
          <w:color w:val="auto"/>
          <w:sz w:val="28"/>
          <w:highlight w:val="none"/>
        </w:rPr>
        <w:t>绩效评价结果应用，既是开展绩效评价工作的重要后续环节，又是加强财政支出管理、增强资金绩效理念、合理配置公共资源、优化财政支出结构、强化资金管理水平、提高资金使用效益的重要手段。为此，特提出以下两点建议。</w:t>
      </w:r>
    </w:p>
    <w:p w14:paraId="1D629469">
      <w:pPr>
        <w:pStyle w:val="2"/>
        <w:keepNext w:val="0"/>
        <w:keepLines w:val="0"/>
        <w:pageBreakBefore w:val="0"/>
        <w:widowControl w:val="0"/>
        <w:kinsoku/>
        <w:wordWrap/>
        <w:overflowPunct/>
        <w:topLinePunct w:val="0"/>
        <w:autoSpaceDE/>
        <w:autoSpaceDN/>
        <w:bidi w:val="0"/>
        <w:adjustRightInd/>
        <w:snapToGrid/>
        <w:spacing w:line="560" w:lineRule="atLeast"/>
        <w:ind w:firstLine="560" w:firstLineChars="200"/>
        <w:textAlignment w:val="auto"/>
        <w:outlineLvl w:val="9"/>
        <w:rPr>
          <w:rFonts w:hint="eastAsia" w:ascii="仿宋" w:hAnsi="仿宋" w:eastAsia="仿宋" w:cs="仿宋"/>
          <w:color w:val="auto"/>
          <w:sz w:val="28"/>
          <w:highlight w:val="none"/>
        </w:rPr>
      </w:pPr>
      <w:r>
        <w:rPr>
          <w:rFonts w:hint="eastAsia" w:ascii="仿宋" w:hAnsi="仿宋" w:eastAsia="仿宋" w:cs="仿宋"/>
          <w:color w:val="auto"/>
          <w:sz w:val="28"/>
          <w:highlight w:val="none"/>
        </w:rPr>
        <w:t>（一）将绩效评价结果反馈告知被评价部门。将评价项目绩效分值、等级，存在的问题及相关建议及时反馈给被评价单位，督促被评价部门对存在的问题及时整改，并对整改结果进行跟踪调查。</w:t>
      </w:r>
    </w:p>
    <w:p w14:paraId="740124E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0"/>
        <w:rPr>
          <w:rFonts w:hint="eastAsia" w:ascii="仿宋" w:hAnsi="仿宋" w:eastAsia="仿宋" w:cs="仿宋"/>
          <w:sz w:val="28"/>
          <w:szCs w:val="28"/>
          <w:highlight w:val="none"/>
        </w:rPr>
      </w:pPr>
      <w:r>
        <w:rPr>
          <w:rFonts w:hint="eastAsia" w:ascii="仿宋" w:hAnsi="仿宋" w:eastAsia="仿宋" w:cs="仿宋"/>
          <w:color w:val="auto"/>
          <w:sz w:val="28"/>
          <w:highlight w:val="none"/>
        </w:rPr>
        <w:t>（二）在一定范围内通报或公示绩效评价结果。依据《政府信息公开条例》等相关规定，对绩效评价情况在一定范围内公开，或在相关网站，采取内部通报、公示的形式，公开绩效评价结果。促进和增强项目实施单位及社会各界对绩效评价工作重要性的认识，逐步形成社会监督机制，进一步提高财政资金绩效评价结果的影响和社会的理解认同</w:t>
      </w:r>
      <w:r>
        <w:rPr>
          <w:rFonts w:hint="eastAsia" w:ascii="仿宋" w:hAnsi="仿宋" w:eastAsia="仿宋" w:cs="仿宋"/>
          <w:sz w:val="28"/>
          <w:szCs w:val="28"/>
          <w:highlight w:val="none"/>
        </w:rPr>
        <w:t>。</w:t>
      </w:r>
    </w:p>
    <w:p w14:paraId="33451AC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0"/>
        <w:rPr>
          <w:rFonts w:hint="eastAsia" w:ascii="仿宋" w:hAnsi="仿宋" w:eastAsia="仿宋" w:cs="仿宋"/>
          <w:bCs/>
          <w:sz w:val="28"/>
          <w:szCs w:val="28"/>
          <w:highlight w:val="none"/>
        </w:rPr>
      </w:pPr>
    </w:p>
    <w:p w14:paraId="4D24A5B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0"/>
        <w:rPr>
          <w:rFonts w:hint="eastAsia" w:ascii="仿宋" w:hAnsi="仿宋" w:eastAsia="仿宋" w:cs="仿宋"/>
          <w:bCs/>
          <w:sz w:val="28"/>
          <w:szCs w:val="28"/>
          <w:highlight w:val="none"/>
        </w:rPr>
      </w:pPr>
    </w:p>
    <w:p w14:paraId="177812E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0"/>
        <w:rPr>
          <w:rFonts w:hint="eastAsia" w:ascii="仿宋" w:hAnsi="仿宋" w:eastAsia="仿宋" w:cs="仿宋"/>
          <w:bCs/>
          <w:sz w:val="28"/>
          <w:szCs w:val="28"/>
          <w:highlight w:val="none"/>
        </w:rPr>
      </w:pPr>
      <w:r>
        <w:rPr>
          <w:rFonts w:hint="eastAsia" w:ascii="仿宋" w:hAnsi="仿宋" w:eastAsia="仿宋" w:cs="仿宋"/>
          <w:bCs/>
          <w:sz w:val="28"/>
          <w:szCs w:val="28"/>
          <w:highlight w:val="none"/>
        </w:rPr>
        <w:t>附件1：绩效评价指标体系</w:t>
      </w:r>
    </w:p>
    <w:p w14:paraId="1975767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0"/>
        <w:rPr>
          <w:rFonts w:hint="eastAsia" w:ascii="仿宋" w:hAnsi="仿宋" w:eastAsia="仿宋" w:cs="仿宋"/>
          <w:bCs/>
          <w:sz w:val="28"/>
          <w:szCs w:val="28"/>
          <w:highlight w:val="none"/>
        </w:rPr>
      </w:pPr>
      <w:r>
        <w:rPr>
          <w:rFonts w:hint="eastAsia" w:ascii="仿宋" w:hAnsi="仿宋" w:eastAsia="仿宋" w:cs="仿宋"/>
          <w:bCs/>
          <w:sz w:val="28"/>
          <w:szCs w:val="28"/>
          <w:highlight w:val="none"/>
        </w:rPr>
        <w:t>附件2：绩效评价指标评分表</w:t>
      </w:r>
    </w:p>
    <w:p w14:paraId="3015308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0"/>
        <w:rPr>
          <w:rFonts w:hint="eastAsia" w:ascii="仿宋" w:hAnsi="仿宋" w:eastAsia="仿宋" w:cs="仿宋"/>
          <w:bCs/>
          <w:sz w:val="28"/>
          <w:szCs w:val="28"/>
          <w:highlight w:val="none"/>
        </w:rPr>
      </w:pPr>
      <w:r>
        <w:rPr>
          <w:rFonts w:hint="eastAsia" w:ascii="仿宋" w:hAnsi="仿宋" w:eastAsia="仿宋" w:cs="仿宋"/>
          <w:bCs/>
          <w:sz w:val="28"/>
          <w:szCs w:val="28"/>
          <w:highlight w:val="none"/>
        </w:rPr>
        <w:t>附件3：反映绩效的照片</w:t>
      </w:r>
    </w:p>
    <w:p w14:paraId="35662C0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0"/>
        <w:rPr>
          <w:rFonts w:hint="eastAsia" w:ascii="仿宋" w:hAnsi="仿宋" w:eastAsia="仿宋" w:cs="仿宋"/>
          <w:bCs/>
          <w:sz w:val="28"/>
          <w:szCs w:val="28"/>
          <w:highlight w:val="none"/>
        </w:rPr>
      </w:pPr>
      <w:r>
        <w:rPr>
          <w:rFonts w:hint="eastAsia" w:ascii="仿宋" w:hAnsi="仿宋" w:eastAsia="仿宋" w:cs="仿宋"/>
          <w:bCs/>
          <w:sz w:val="28"/>
          <w:szCs w:val="28"/>
          <w:highlight w:val="none"/>
        </w:rPr>
        <w:t>附件4：调查问卷分析报告</w:t>
      </w:r>
    </w:p>
    <w:p w14:paraId="644148B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0"/>
        <w:rPr>
          <w:rFonts w:hint="eastAsia" w:ascii="仿宋" w:hAnsi="仿宋" w:eastAsia="仿宋" w:cs="仿宋"/>
          <w:bCs/>
          <w:sz w:val="28"/>
          <w:szCs w:val="28"/>
          <w:highlight w:val="none"/>
        </w:rPr>
      </w:pPr>
      <w:r>
        <w:rPr>
          <w:rFonts w:hint="eastAsia" w:ascii="仿宋" w:hAnsi="仿宋" w:eastAsia="仿宋" w:cs="仿宋"/>
          <w:bCs/>
          <w:sz w:val="28"/>
          <w:szCs w:val="28"/>
          <w:highlight w:val="none"/>
        </w:rPr>
        <w:t>附件5：基础数据采集表</w:t>
      </w:r>
    </w:p>
    <w:p w14:paraId="0660789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0"/>
        <w:rPr>
          <w:rFonts w:hint="eastAsia" w:ascii="仿宋" w:hAnsi="仿宋" w:eastAsia="仿宋" w:cs="仿宋"/>
          <w:bCs/>
          <w:sz w:val="28"/>
          <w:szCs w:val="28"/>
          <w:highlight w:val="none"/>
          <w:lang w:val="en-US" w:eastAsia="zh-CN"/>
        </w:rPr>
      </w:pPr>
      <w:r>
        <w:rPr>
          <w:rFonts w:hint="eastAsia" w:ascii="仿宋" w:hAnsi="仿宋" w:eastAsia="仿宋" w:cs="仿宋"/>
          <w:bCs/>
          <w:sz w:val="28"/>
          <w:szCs w:val="28"/>
          <w:highlight w:val="none"/>
        </w:rPr>
        <w:t>附件6：部门整体支出合规性检查</w:t>
      </w:r>
    </w:p>
    <w:p w14:paraId="3BCA37B3">
      <w:pPr>
        <w:keepNext w:val="0"/>
        <w:keepLines w:val="0"/>
        <w:pageBreakBefore w:val="0"/>
        <w:widowControl w:val="0"/>
        <w:kinsoku/>
        <w:wordWrap/>
        <w:overflowPunct/>
        <w:topLinePunct w:val="0"/>
        <w:autoSpaceDE/>
        <w:autoSpaceDN/>
        <w:bidi w:val="0"/>
        <w:adjustRightInd/>
        <w:snapToGrid/>
        <w:spacing w:line="120" w:lineRule="auto"/>
        <w:ind w:firstLine="560" w:firstLineChars="200"/>
        <w:jc w:val="left"/>
        <w:textAlignment w:val="auto"/>
        <w:outlineLvl w:val="0"/>
        <w:rPr>
          <w:rFonts w:hint="eastAsia" w:ascii="仿宋" w:hAnsi="仿宋" w:eastAsia="仿宋" w:cs="仿宋"/>
          <w:bCs/>
          <w:sz w:val="28"/>
          <w:szCs w:val="28"/>
          <w:highlight w:val="none"/>
          <w:lang w:val="en-US" w:eastAsia="zh-CN"/>
        </w:rPr>
      </w:pPr>
    </w:p>
    <w:p w14:paraId="0E4CBEAF">
      <w:pPr>
        <w:pStyle w:val="2"/>
        <w:ind w:firstLine="600"/>
        <w:rPr>
          <w:rFonts w:hint="eastAsia" w:ascii="仿宋" w:hAnsi="仿宋" w:eastAsia="仿宋" w:cs="仿宋"/>
          <w:highlight w:val="none"/>
          <w:lang w:val="en-US" w:eastAsia="zh-CN"/>
        </w:rPr>
      </w:pPr>
    </w:p>
    <w:p w14:paraId="5D7F68D4">
      <w:pPr>
        <w:keepNext w:val="0"/>
        <w:keepLines w:val="0"/>
        <w:pageBreakBefore w:val="0"/>
        <w:widowControl w:val="0"/>
        <w:kinsoku/>
        <w:wordWrap/>
        <w:overflowPunct/>
        <w:topLinePunct w:val="0"/>
        <w:autoSpaceDE/>
        <w:autoSpaceDN/>
        <w:bidi w:val="0"/>
        <w:spacing w:line="560" w:lineRule="exact"/>
        <w:ind w:firstLine="556"/>
        <w:jc w:val="righ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山西广和会计师事务所有限公司</w:t>
      </w:r>
    </w:p>
    <w:p w14:paraId="63F1C794">
      <w:pPr>
        <w:keepNext w:val="0"/>
        <w:keepLines w:val="0"/>
        <w:pageBreakBefore w:val="0"/>
        <w:widowControl w:val="0"/>
        <w:kinsoku/>
        <w:wordWrap w:val="0"/>
        <w:overflowPunct/>
        <w:topLinePunct w:val="0"/>
        <w:autoSpaceDE/>
        <w:autoSpaceDN/>
        <w:bidi w:val="0"/>
        <w:adjustRightInd w:val="0"/>
        <w:snapToGrid w:val="0"/>
        <w:spacing w:line="560" w:lineRule="exact"/>
        <w:ind w:firstLine="560" w:firstLineChars="200"/>
        <w:jc w:val="right"/>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 xml:space="preserve">主评人：吴亚鹏 </w:t>
      </w:r>
    </w:p>
    <w:p w14:paraId="5E4C5F81">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righ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eastAsia="zh-CN"/>
        </w:rPr>
        <w:t>二〇二</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lang w:eastAsia="zh-CN"/>
        </w:rPr>
        <w:t>年</w:t>
      </w:r>
      <w:r>
        <w:rPr>
          <w:rFonts w:hint="eastAsia" w:ascii="仿宋" w:hAnsi="仿宋" w:eastAsia="仿宋" w:cs="仿宋"/>
          <w:sz w:val="28"/>
          <w:szCs w:val="28"/>
          <w:highlight w:val="none"/>
          <w:lang w:val="en-US" w:eastAsia="zh-CN"/>
        </w:rPr>
        <w:t>十</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十八</w:t>
      </w:r>
      <w:r>
        <w:rPr>
          <w:rFonts w:hint="eastAsia" w:ascii="仿宋" w:hAnsi="仿宋" w:eastAsia="仿宋" w:cs="仿宋"/>
          <w:sz w:val="28"/>
          <w:szCs w:val="28"/>
          <w:highlight w:val="none"/>
        </w:rPr>
        <w:t>日</w:t>
      </w:r>
    </w:p>
    <w:p w14:paraId="4D3DBAD6">
      <w:pPr>
        <w:pStyle w:val="2"/>
        <w:rPr>
          <w:rFonts w:hint="eastAsia" w:ascii="仿宋" w:hAnsi="仿宋" w:eastAsia="仿宋" w:cs="仿宋"/>
          <w:sz w:val="28"/>
          <w:szCs w:val="28"/>
          <w:highlight w:val="none"/>
        </w:rPr>
      </w:pPr>
    </w:p>
    <w:p w14:paraId="60583575">
      <w:pPr>
        <w:jc w:val="right"/>
        <w:rPr>
          <w:rFonts w:hint="default"/>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5B487F2">
      <w:pPr>
        <w:keepNext w:val="0"/>
        <w:keepLines w:val="0"/>
        <w:widowControl/>
        <w:suppressLineNumbers w:val="0"/>
        <w:jc w:val="left"/>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i w:val="0"/>
          <w:iCs w:val="0"/>
          <w:color w:val="000000"/>
          <w:kern w:val="0"/>
          <w:sz w:val="24"/>
          <w:szCs w:val="24"/>
          <w:highlight w:val="none"/>
          <w:u w:val="none"/>
          <w:lang w:val="en-US" w:eastAsia="zh-CN" w:bidi="ar"/>
        </w:rPr>
        <w:t>附件1：绩效评价指标表</w:t>
      </w:r>
    </w:p>
    <w:p w14:paraId="146029B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32"/>
          <w:szCs w:val="32"/>
          <w:highlight w:val="none"/>
          <w:u w:val="none"/>
          <w:lang w:val="en-US" w:eastAsia="zh-CN" w:bidi="ar"/>
        </w:rPr>
        <w:t>永济市市容环卫中心部门整体支出绩效评价指标表（部门决策）</w:t>
      </w:r>
    </w:p>
    <w:tbl>
      <w:tblPr>
        <w:tblStyle w:val="12"/>
        <w:tblW w:w="5062" w:type="pct"/>
        <w:tblInd w:w="-4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1"/>
        <w:gridCol w:w="1322"/>
        <w:gridCol w:w="1127"/>
        <w:gridCol w:w="624"/>
        <w:gridCol w:w="3747"/>
        <w:gridCol w:w="735"/>
        <w:gridCol w:w="5645"/>
      </w:tblGrid>
      <w:tr w14:paraId="129F3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blHeader/>
        </w:trPr>
        <w:tc>
          <w:tcPr>
            <w:tcW w:w="40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682C8CA">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一级指标</w:t>
            </w:r>
          </w:p>
        </w:tc>
        <w:tc>
          <w:tcPr>
            <w:tcW w:w="46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97E912F">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二级指标</w:t>
            </w:r>
          </w:p>
        </w:tc>
        <w:tc>
          <w:tcPr>
            <w:tcW w:w="39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8BC1CD0">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三级指标</w:t>
            </w:r>
          </w:p>
        </w:tc>
        <w:tc>
          <w:tcPr>
            <w:tcW w:w="21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957EC21">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权重</w:t>
            </w:r>
          </w:p>
        </w:tc>
        <w:tc>
          <w:tcPr>
            <w:tcW w:w="130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8A14E53">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指标解释</w:t>
            </w:r>
          </w:p>
        </w:tc>
        <w:tc>
          <w:tcPr>
            <w:tcW w:w="25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0EB6CF2">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评分依据</w:t>
            </w:r>
          </w:p>
        </w:tc>
        <w:tc>
          <w:tcPr>
            <w:tcW w:w="196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A89E17E">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评分标准</w:t>
            </w:r>
          </w:p>
        </w:tc>
      </w:tr>
      <w:tr w14:paraId="352B0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E5C2B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部门决策</w:t>
            </w:r>
          </w:p>
          <w:p w14:paraId="5464621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（15分）</w:t>
            </w:r>
          </w:p>
        </w:tc>
        <w:tc>
          <w:tcPr>
            <w:tcW w:w="46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A87F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目标设定</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DEF5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绩效目标合理性</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E5B6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315E7">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评价部门设定的绩效目标的依据是否充分，是否与客观实际、部门履职、年度工作任务相符，用以反映部门2023年度绩效目标合理性。</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06C2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DF7A9">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1.设定的整体绩效目标依据充分，得1分，否则不得分；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2.设定的</w:t>
            </w:r>
            <w:r>
              <w:rPr>
                <w:rFonts w:hint="eastAsia" w:ascii="仿宋" w:hAnsi="仿宋" w:eastAsia="仿宋" w:cs="宋体"/>
                <w:b w:val="0"/>
                <w:i w:val="0"/>
                <w:caps w:val="0"/>
                <w:spacing w:val="0"/>
                <w:w w:val="100"/>
                <w:kern w:val="0"/>
                <w:sz w:val="21"/>
                <w:szCs w:val="21"/>
                <w:highlight w:val="none"/>
              </w:rPr>
              <w:t>预期产出效益</w:t>
            </w:r>
            <w:r>
              <w:rPr>
                <w:rFonts w:hint="eastAsia" w:ascii="仿宋" w:hAnsi="仿宋" w:eastAsia="仿宋" w:cs="仿宋"/>
                <w:i w:val="0"/>
                <w:iCs w:val="0"/>
                <w:color w:val="000000"/>
                <w:kern w:val="0"/>
                <w:sz w:val="22"/>
                <w:szCs w:val="22"/>
                <w:highlight w:val="none"/>
                <w:u w:val="none"/>
                <w:lang w:val="en-US" w:eastAsia="zh-CN" w:bidi="ar"/>
              </w:rPr>
              <w:t>符合正常业绩水平，得1分，否则不得分；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3.设定的绩效目标与部门履职、年度工作任务相符，得1分，否则不得分。</w:t>
            </w:r>
          </w:p>
        </w:tc>
      </w:tr>
      <w:tr w14:paraId="7D262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1"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C02DB">
            <w:pPr>
              <w:jc w:val="center"/>
              <w:rPr>
                <w:rFonts w:hint="eastAsia" w:ascii="仿宋" w:hAnsi="仿宋" w:eastAsia="仿宋" w:cs="仿宋"/>
                <w:i w:val="0"/>
                <w:iCs w:val="0"/>
                <w:color w:val="000000"/>
                <w:sz w:val="22"/>
                <w:szCs w:val="22"/>
                <w:highlight w:val="none"/>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1143">
            <w:pPr>
              <w:jc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B4D1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绩效指标明确性</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7887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2D901">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评价部门依据目标所设定的绩效指标是否清晰、细化、可衡量，用以反映和考核部门整体绩效目标的细化情况。</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28A0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4A967">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1.绩效目标细化分解为具体指标，得1分，否则不得分；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2.绩效指标清晰、可衡量，得1分，否则不得分。</w:t>
            </w:r>
          </w:p>
        </w:tc>
      </w:tr>
      <w:tr w14:paraId="12337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4"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1BF10">
            <w:pPr>
              <w:jc w:val="center"/>
              <w:rPr>
                <w:rFonts w:hint="eastAsia" w:ascii="仿宋" w:hAnsi="仿宋" w:eastAsia="仿宋" w:cs="仿宋"/>
                <w:i w:val="0"/>
                <w:iCs w:val="0"/>
                <w:color w:val="000000"/>
                <w:sz w:val="22"/>
                <w:szCs w:val="22"/>
                <w:highlight w:val="none"/>
                <w:u w:val="none"/>
              </w:rPr>
            </w:pPr>
          </w:p>
        </w:tc>
        <w:tc>
          <w:tcPr>
            <w:tcW w:w="46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C59A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预算配置</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1516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预算编制科学性</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3579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4</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6C46A">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评价部门预算编制情况，用以反映和考核部门预算编制报送的时效性、准确性，年初预算基本支出编报的真实性和准确性、项目支出预算的细化程度，预算执行中资金分配计划等资料报送及时性、准确性。</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74AF6">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6D22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1.预算编制报送及时、准确，得1分，否则不得分；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2.基本支出编报真实、准确，得1分，否则不得分；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3.项目支出预算编制细化具体，得1分，否则不得分；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4.资金分配计划等相关资料报送及时、准确，得1分，否则不得分。</w:t>
            </w:r>
          </w:p>
        </w:tc>
      </w:tr>
      <w:tr w14:paraId="632C4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7"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C0C9D">
            <w:pPr>
              <w:jc w:val="center"/>
              <w:rPr>
                <w:rFonts w:hint="eastAsia" w:ascii="仿宋" w:hAnsi="仿宋" w:eastAsia="仿宋" w:cs="仿宋"/>
                <w:i w:val="0"/>
                <w:iCs w:val="0"/>
                <w:color w:val="000000"/>
                <w:sz w:val="22"/>
                <w:szCs w:val="22"/>
                <w:highlight w:val="none"/>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F0E28">
            <w:pPr>
              <w:jc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42B0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预算配置合理性</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D064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6</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451BE">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评价部门预算配置情况，用以反映和考核部门资金分配的科学性、三公经费变动情况、部门对履行主要职责或完成重点任务的保障程度。</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0D2D8">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43AA0">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1.预算编制符合《预算法》及编制要求得1分；收支范围及支出方向有相应的法规依据得1分；预算较上年增减变动，符合部门履职需要，得1分，否则不得分。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2.三公经费变动率≤0，得1分，大于0的不得分。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3.重点支出安排率＞85%的，得2分；小于50%的得0分；在50%-85%之间的，在0分和2分之间计算确定。</w:t>
            </w:r>
          </w:p>
        </w:tc>
      </w:tr>
    </w:tbl>
    <w:p w14:paraId="6F17532F">
      <w:pPr>
        <w:keepNext w:val="0"/>
        <w:keepLines w:val="0"/>
        <w:widowControl/>
        <w:suppressLineNumbers w:val="0"/>
        <w:jc w:val="left"/>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i w:val="0"/>
          <w:iCs w:val="0"/>
          <w:color w:val="000000"/>
          <w:kern w:val="0"/>
          <w:sz w:val="24"/>
          <w:szCs w:val="24"/>
          <w:highlight w:val="none"/>
          <w:u w:val="none"/>
          <w:lang w:val="en-US" w:eastAsia="zh-CN" w:bidi="ar"/>
        </w:rPr>
        <w:t>附件1：绩效评价指标表</w:t>
      </w:r>
    </w:p>
    <w:p w14:paraId="4E02602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32"/>
          <w:szCs w:val="32"/>
          <w:highlight w:val="none"/>
          <w:u w:val="none"/>
          <w:lang w:val="en-US" w:eastAsia="zh-CN" w:bidi="ar"/>
        </w:rPr>
        <w:t>永济市市容环卫中心部门整体支出绩效评价指标表（部门管理）</w:t>
      </w:r>
    </w:p>
    <w:tbl>
      <w:tblPr>
        <w:tblStyle w:val="12"/>
        <w:tblW w:w="5066" w:type="pct"/>
        <w:tblInd w:w="-7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88"/>
        <w:gridCol w:w="1298"/>
        <w:gridCol w:w="1151"/>
        <w:gridCol w:w="637"/>
        <w:gridCol w:w="3698"/>
        <w:gridCol w:w="759"/>
        <w:gridCol w:w="5631"/>
      </w:tblGrid>
      <w:tr w14:paraId="6AB82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18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AC345BF">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一级指标</w:t>
            </w:r>
          </w:p>
        </w:tc>
        <w:tc>
          <w:tcPr>
            <w:tcW w:w="129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D96393E">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二级指标</w:t>
            </w:r>
          </w:p>
        </w:tc>
        <w:tc>
          <w:tcPr>
            <w:tcW w:w="115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57BCC7E">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三级指标</w:t>
            </w:r>
          </w:p>
        </w:tc>
        <w:tc>
          <w:tcPr>
            <w:tcW w:w="63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3AA6346">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权重</w:t>
            </w:r>
          </w:p>
        </w:tc>
        <w:tc>
          <w:tcPr>
            <w:tcW w:w="369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ABE2C04">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指标解释</w:t>
            </w:r>
          </w:p>
        </w:tc>
        <w:tc>
          <w:tcPr>
            <w:tcW w:w="75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7C40538">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评分依据</w:t>
            </w:r>
          </w:p>
        </w:tc>
        <w:tc>
          <w:tcPr>
            <w:tcW w:w="563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900903B">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评分标准</w:t>
            </w:r>
          </w:p>
        </w:tc>
      </w:tr>
      <w:tr w14:paraId="3EDD0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76" w:hRule="atLeast"/>
        </w:trPr>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18D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部门管理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（40分）</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D52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预算管理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（15分）</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CC31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预算执行管理</w:t>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1087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8</w:t>
            </w:r>
          </w:p>
        </w:tc>
        <w:tc>
          <w:tcPr>
            <w:tcW w:w="3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20600">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预算执行情况，用以反映和考核部门支出进度情况、支出完成情况、预算调整情况、转移支付下达情况、结余结转情况等方面。包括：支付进度率、预算完成率、预算调整率、转移支付下达率、结转结余率、结转结余变动率。</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AEBB">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E1CB">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按实际执行情况打分，支付进度率总分值1分。以山西省财政厅的计算口径“序时进度的98%”作为标准支付进度率，依据部门每个季度末的支付进度率与标准支付进度率进行比较。（实际支付进度完成率大于或等于100%，得0.25分；实际支付进度完成率小于90%，得0分；实际支付进度完成率在90%-100%之间的，在0分和0.25分之间按完成率计算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2.预算完成率≥95%，得2分；预算完成率≤90%，得0分；预算完成率在90%-95%之间，按比例计算得分。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3.预算调整率≤5%，得1分；预算调整率≥20%，得0分；预算调整率在5%-20%之间，按比例计算得分。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4.转移支付下达率=100%，得1分，≤90%不得分，90%-100%之间，按比例计算确定得分。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5.结转结余率：结转结余率等于0的，得1分；结转结余率≥50%的，得0分；结转结余率在0-50%之间的，按比例计算得分。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6.结转结余变动率：结转结余变动率≤0，得1分；结转结余变动率≥50%，得0分；结转结余变动率在0-50%之间，按比例计算确定。</w:t>
            </w:r>
          </w:p>
        </w:tc>
      </w:tr>
    </w:tbl>
    <w:p w14:paraId="2028F3F8">
      <w:pPr>
        <w:jc w:val="center"/>
        <w:rPr>
          <w:rFonts w:hint="eastAsia" w:ascii="仿宋" w:hAnsi="仿宋" w:eastAsia="仿宋" w:cs="仿宋"/>
          <w:i w:val="0"/>
          <w:iCs w:val="0"/>
          <w:color w:val="000000"/>
          <w:sz w:val="22"/>
          <w:szCs w:val="22"/>
          <w:highlight w:val="none"/>
          <w:u w:val="none"/>
        </w:rPr>
      </w:pPr>
    </w:p>
    <w:p w14:paraId="4CDBC302">
      <w:pP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br w:type="page"/>
      </w:r>
    </w:p>
    <w:p w14:paraId="126B91E6">
      <w:pPr>
        <w:keepNext w:val="0"/>
        <w:keepLines w:val="0"/>
        <w:widowControl/>
        <w:suppressLineNumbers w:val="0"/>
        <w:jc w:val="left"/>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i w:val="0"/>
          <w:iCs w:val="0"/>
          <w:color w:val="000000"/>
          <w:kern w:val="0"/>
          <w:sz w:val="24"/>
          <w:szCs w:val="24"/>
          <w:highlight w:val="none"/>
          <w:u w:val="none"/>
          <w:lang w:val="en-US" w:eastAsia="zh-CN" w:bidi="ar"/>
        </w:rPr>
        <w:t>附件1：绩效评价指标表</w:t>
      </w:r>
    </w:p>
    <w:p w14:paraId="45D7F30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32"/>
          <w:szCs w:val="32"/>
          <w:highlight w:val="none"/>
          <w:u w:val="none"/>
          <w:lang w:val="en-US" w:eastAsia="zh-CN" w:bidi="ar"/>
        </w:rPr>
        <w:t>永济市市容环卫中心部门整体支出绩效评价指标表（部门管理）</w:t>
      </w:r>
    </w:p>
    <w:tbl>
      <w:tblPr>
        <w:tblStyle w:val="12"/>
        <w:tblW w:w="5061" w:type="pct"/>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63"/>
        <w:gridCol w:w="1347"/>
        <w:gridCol w:w="1090"/>
        <w:gridCol w:w="649"/>
        <w:gridCol w:w="3696"/>
        <w:gridCol w:w="796"/>
        <w:gridCol w:w="5606"/>
      </w:tblGrid>
      <w:tr w14:paraId="75B11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16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547BAC8">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一级指标</w:t>
            </w:r>
          </w:p>
        </w:tc>
        <w:tc>
          <w:tcPr>
            <w:tcW w:w="134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B334EC6">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二级指标</w:t>
            </w:r>
          </w:p>
        </w:tc>
        <w:tc>
          <w:tcPr>
            <w:tcW w:w="109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DC85503">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三级指标</w:t>
            </w:r>
          </w:p>
        </w:tc>
        <w:tc>
          <w:tcPr>
            <w:tcW w:w="64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DA7AC51">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权重</w:t>
            </w:r>
          </w:p>
        </w:tc>
        <w:tc>
          <w:tcPr>
            <w:tcW w:w="369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89D49B2">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指标解释</w:t>
            </w:r>
          </w:p>
        </w:tc>
        <w:tc>
          <w:tcPr>
            <w:tcW w:w="79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3034517">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评分依据</w:t>
            </w:r>
          </w:p>
        </w:tc>
        <w:tc>
          <w:tcPr>
            <w:tcW w:w="5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1E40768">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评分标准</w:t>
            </w:r>
          </w:p>
        </w:tc>
      </w:tr>
      <w:tr w14:paraId="3FA40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6"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0B9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部门管理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（40分）</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F80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预算管理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（15分）</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A8EB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预算绩效管理</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4E67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7</w:t>
            </w:r>
          </w:p>
        </w:tc>
        <w:tc>
          <w:tcPr>
            <w:tcW w:w="3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0CC3">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评价部门预算绩效管理情况，用以反映和考核部门基础工作、绩效目标管理、绩效监控管理、绩效评价管理、评价结果应用等方面的管理情况。</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31B9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3A2A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1.编报了部门整体支出绩效目标申报表，得1分，否则不得分；针对项目支出编报了绩效目标申报表，得1分，缺1项扣0.2分，扣完为止。</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2.按要求报送项目支出和部门整体支出绩效监控分析报告和绩效运行监控表，得2分，缺1项扣0.5分，扣完为止。</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3.编报了部门预算整体支出绩效自评表和自评报告，得1分，否则不得分；对完工项目实施项目绩效自评并编制绩效自评表和自评报告，得1分，缺1项扣0.2分，扣完为止。</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4.根据部门和项目绩效评价结果进行应用，如：部门绩效结果与预算挂钩，员工考核与绩效工资挂钩等，得1分，否则不得分。</w:t>
            </w:r>
          </w:p>
        </w:tc>
      </w:tr>
    </w:tbl>
    <w:p w14:paraId="35E3322A">
      <w:pPr>
        <w:jc w:val="center"/>
        <w:rPr>
          <w:rFonts w:hint="eastAsia" w:ascii="仿宋" w:hAnsi="仿宋" w:eastAsia="仿宋" w:cs="仿宋"/>
          <w:i w:val="0"/>
          <w:iCs w:val="0"/>
          <w:color w:val="000000"/>
          <w:sz w:val="22"/>
          <w:szCs w:val="22"/>
          <w:highlight w:val="none"/>
          <w:u w:val="none"/>
        </w:rPr>
      </w:pPr>
    </w:p>
    <w:p w14:paraId="200CD9A5">
      <w:pPr>
        <w:keepNext w:val="0"/>
        <w:keepLines w:val="0"/>
        <w:widowControl/>
        <w:suppressLineNumbers w:val="0"/>
        <w:jc w:val="left"/>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i w:val="0"/>
          <w:iCs w:val="0"/>
          <w:color w:val="000000"/>
          <w:kern w:val="0"/>
          <w:sz w:val="24"/>
          <w:szCs w:val="24"/>
          <w:highlight w:val="none"/>
          <w:u w:val="none"/>
          <w:lang w:val="en-US" w:eastAsia="zh-CN" w:bidi="ar"/>
        </w:rPr>
        <w:t>附件1：绩效评价指标表</w:t>
      </w:r>
    </w:p>
    <w:p w14:paraId="5E9B518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32"/>
          <w:szCs w:val="32"/>
          <w:highlight w:val="none"/>
          <w:u w:val="none"/>
          <w:lang w:val="en-US" w:eastAsia="zh-CN" w:bidi="ar"/>
        </w:rPr>
        <w:t>永济市市容环卫中心部门整体支出绩效评价指标表（部门管理）</w:t>
      </w:r>
    </w:p>
    <w:tbl>
      <w:tblPr>
        <w:tblStyle w:val="12"/>
        <w:tblW w:w="5071" w:type="pct"/>
        <w:tblInd w:w="-7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88"/>
        <w:gridCol w:w="1359"/>
        <w:gridCol w:w="1066"/>
        <w:gridCol w:w="661"/>
        <w:gridCol w:w="3710"/>
        <w:gridCol w:w="759"/>
        <w:gridCol w:w="5633"/>
      </w:tblGrid>
      <w:tr w14:paraId="26E6A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118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C2F9817">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一级指标</w:t>
            </w:r>
          </w:p>
        </w:tc>
        <w:tc>
          <w:tcPr>
            <w:tcW w:w="135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B229935">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二级指标</w:t>
            </w:r>
          </w:p>
        </w:tc>
        <w:tc>
          <w:tcPr>
            <w:tcW w:w="106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90FECC3">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三级指标</w:t>
            </w:r>
          </w:p>
        </w:tc>
        <w:tc>
          <w:tcPr>
            <w:tcW w:w="66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90C2053">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权重</w:t>
            </w:r>
          </w:p>
        </w:tc>
        <w:tc>
          <w:tcPr>
            <w:tcW w:w="371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C848DCA">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指标解释</w:t>
            </w:r>
          </w:p>
        </w:tc>
        <w:tc>
          <w:tcPr>
            <w:tcW w:w="75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06B4643">
            <w:pPr>
              <w:keepNext w:val="0"/>
              <w:keepLines w:val="0"/>
              <w:widowControl/>
              <w:suppressLineNumbers w:val="0"/>
              <w:jc w:val="center"/>
              <w:textAlignment w:val="center"/>
              <w:rPr>
                <w:rFonts w:hint="eastAsia" w:ascii="仿宋" w:hAnsi="仿宋" w:eastAsia="仿宋" w:cs="仿宋"/>
                <w:b/>
                <w:bCs/>
                <w:i w:val="0"/>
                <w:iCs w:val="0"/>
                <w:color w:val="FF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评分依据</w:t>
            </w:r>
          </w:p>
        </w:tc>
        <w:tc>
          <w:tcPr>
            <w:tcW w:w="563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6B85D59">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评分标准</w:t>
            </w:r>
          </w:p>
        </w:tc>
      </w:tr>
      <w:tr w14:paraId="4CA6D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23" w:hRule="atLeast"/>
        </w:trPr>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3A77D">
            <w:pPr>
              <w:keepNext w:val="0"/>
              <w:keepLines w:val="0"/>
              <w:widowControl/>
              <w:suppressLineNumbers w:val="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部门管理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（40分）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FBE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收支管理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（10分）</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F7A4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收支管理规范性</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B802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6</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DCFB">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评价部门收支管理的规范程度，用以反映和考核部门收入管理的规范性、资金拨付和使用的合规性、国库集中支付规范性。</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B28D9">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通用标准</w:t>
            </w:r>
          </w:p>
        </w:tc>
        <w:tc>
          <w:tcPr>
            <w:tcW w:w="5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6BA6">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1.收入来源符合财政部规定的范围，同时具有指标文件支持，得1分，否则不得分；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2.对收取生活垃圾处理费工作进行评价，包括：收费标准文件、票据管理及存档，非税收入上缴追缴，制定非税收入资金管理措施等工作。总分1分，每出现1处问题扣0.1分，扣完为止。</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3.资金拨付和使用的合规性：</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①资金使用符合国家财经法规和财务管理制度规定以及有关专项资金管理办法的规定，得0.5分，否则每发现一项，扣0.1分，扣完为止；</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②资金的拨付有完整的审批程序和手续，项目的重大开支经过评估论证，得1分，否则不得分；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③资金使用符合部门预算批复的用途，得0.5分，否则每发现一项超范围列支，扣0.1分，扣完为止；</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④财务核算规范，得0.5分，否则每发现一项财务核算错误，扣0.1分，扣完为止；</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⑤凭证管理规范，得0.5分，否则每发现一项凭证管理不规范，扣0.1分，扣完为止；</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4.国库集中支付规范性：按照国库单一账户体系进行集中支付，支付规范，得1分，否则不得分。</w:t>
            </w:r>
          </w:p>
        </w:tc>
      </w:tr>
    </w:tbl>
    <w:p w14:paraId="1A62EEC7">
      <w:pPr>
        <w:jc w:val="center"/>
        <w:rPr>
          <w:rFonts w:hint="eastAsia" w:ascii="仿宋" w:hAnsi="仿宋" w:eastAsia="仿宋" w:cs="仿宋"/>
          <w:i w:val="0"/>
          <w:iCs w:val="0"/>
          <w:color w:val="000000"/>
          <w:sz w:val="22"/>
          <w:szCs w:val="22"/>
          <w:highlight w:val="none"/>
          <w:u w:val="none"/>
        </w:rPr>
      </w:pPr>
    </w:p>
    <w:p w14:paraId="12DF9473">
      <w:pPr>
        <w:keepNext w:val="0"/>
        <w:keepLines w:val="0"/>
        <w:widowControl/>
        <w:suppressLineNumbers w:val="0"/>
        <w:jc w:val="left"/>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i w:val="0"/>
          <w:iCs w:val="0"/>
          <w:color w:val="000000"/>
          <w:kern w:val="0"/>
          <w:sz w:val="24"/>
          <w:szCs w:val="24"/>
          <w:highlight w:val="none"/>
          <w:u w:val="none"/>
          <w:lang w:val="en-US" w:eastAsia="zh-CN" w:bidi="ar"/>
        </w:rPr>
        <w:t>附件1：绩效评价指标表</w:t>
      </w:r>
    </w:p>
    <w:p w14:paraId="195E8C2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32"/>
          <w:szCs w:val="32"/>
          <w:highlight w:val="none"/>
          <w:u w:val="none"/>
          <w:lang w:val="en-US" w:eastAsia="zh-CN" w:bidi="ar"/>
        </w:rPr>
        <w:t>永济市市容环卫中心部门整体支出绩效评价指标表（部门管理）</w:t>
      </w:r>
    </w:p>
    <w:tbl>
      <w:tblPr>
        <w:tblStyle w:val="12"/>
        <w:tblW w:w="5066" w:type="pct"/>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87"/>
        <w:gridCol w:w="1323"/>
        <w:gridCol w:w="1126"/>
        <w:gridCol w:w="637"/>
        <w:gridCol w:w="3697"/>
        <w:gridCol w:w="759"/>
        <w:gridCol w:w="5632"/>
      </w:tblGrid>
      <w:tr w14:paraId="1BBF0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1187" w:type="dxa"/>
            <w:tcBorders>
              <w:top w:val="single" w:color="000000" w:sz="4" w:space="0"/>
              <w:left w:val="single" w:color="000000" w:sz="4" w:space="0"/>
              <w:right w:val="single" w:color="000000" w:sz="4" w:space="0"/>
            </w:tcBorders>
            <w:shd w:val="clear" w:color="auto" w:fill="BEBEBE" w:themeFill="background1" w:themeFillShade="BF"/>
            <w:vAlign w:val="center"/>
          </w:tcPr>
          <w:p w14:paraId="1D337B12">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一级指标</w:t>
            </w:r>
          </w:p>
        </w:tc>
        <w:tc>
          <w:tcPr>
            <w:tcW w:w="132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82F4B43">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二级指标</w:t>
            </w:r>
          </w:p>
        </w:tc>
        <w:tc>
          <w:tcPr>
            <w:tcW w:w="112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5FBE5A9">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三级指标</w:t>
            </w:r>
          </w:p>
        </w:tc>
        <w:tc>
          <w:tcPr>
            <w:tcW w:w="63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D29D681">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权重</w:t>
            </w:r>
          </w:p>
        </w:tc>
        <w:tc>
          <w:tcPr>
            <w:tcW w:w="369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7DD4112">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指标解释</w:t>
            </w:r>
          </w:p>
        </w:tc>
        <w:tc>
          <w:tcPr>
            <w:tcW w:w="75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D5E77B9">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评分依据</w:t>
            </w:r>
          </w:p>
        </w:tc>
        <w:tc>
          <w:tcPr>
            <w:tcW w:w="563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32F6576">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评分标准</w:t>
            </w:r>
          </w:p>
        </w:tc>
      </w:tr>
      <w:tr w14:paraId="72132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4" w:hRule="atLeast"/>
        </w:trPr>
        <w:tc>
          <w:tcPr>
            <w:tcW w:w="1187" w:type="dxa"/>
            <w:vMerge w:val="restart"/>
            <w:tcBorders>
              <w:top w:val="single" w:color="000000" w:sz="4" w:space="0"/>
              <w:left w:val="single" w:color="000000" w:sz="4" w:space="0"/>
              <w:right w:val="single" w:color="000000" w:sz="4" w:space="0"/>
            </w:tcBorders>
            <w:shd w:val="clear" w:color="auto" w:fill="auto"/>
            <w:vAlign w:val="center"/>
          </w:tcPr>
          <w:p w14:paraId="4BF36B03">
            <w:pPr>
              <w:keepNext w:val="0"/>
              <w:keepLines w:val="0"/>
              <w:widowControl/>
              <w:suppressLineNumbers w:val="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部门管理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（40分）</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88E5A">
            <w:pPr>
              <w:jc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收支管理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（10分）</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ECF3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支出结构合理性</w:t>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97AF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4</w:t>
            </w:r>
          </w:p>
        </w:tc>
        <w:tc>
          <w:tcPr>
            <w:tcW w:w="3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3FD3">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评价部门支出结构，用以反映和考核部门支出结构合理性及重点工作任务的保障程度。</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550D">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FA74C">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1.部门支出分配与部门年度工作任务相匹配，得2分，除因政策因素调整导致外，否则不得分。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2.重点支出所安排的资金能够满足重点工作任务所需，且未出现资金短缺现象，得2分，否则按照追加资金比例得分。</w:t>
            </w:r>
          </w:p>
        </w:tc>
      </w:tr>
      <w:tr w14:paraId="07F80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5" w:hRule="atLeast"/>
        </w:trPr>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C6917">
            <w:pPr>
              <w:jc w:val="center"/>
              <w:rPr>
                <w:rFonts w:hint="eastAsia" w:ascii="仿宋" w:hAnsi="仿宋" w:eastAsia="仿宋" w:cs="仿宋"/>
                <w:i w:val="0"/>
                <w:iCs w:val="0"/>
                <w:color w:val="000000"/>
                <w:sz w:val="22"/>
                <w:szCs w:val="22"/>
                <w:highlight w:val="none"/>
                <w:u w:val="none"/>
              </w:rPr>
            </w:pP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A31B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资产管理</w:t>
            </w:r>
          </w:p>
          <w:p w14:paraId="19570201">
            <w:pPr>
              <w:pStyle w:val="2"/>
              <w:jc w:val="center"/>
              <w:rPr>
                <w:rFonts w:hint="eastAsia"/>
                <w:highlight w:val="none"/>
              </w:rPr>
            </w:pPr>
            <w:r>
              <w:rPr>
                <w:rFonts w:hint="eastAsia" w:ascii="仿宋" w:hAnsi="仿宋" w:eastAsia="仿宋" w:cs="仿宋"/>
                <w:i w:val="0"/>
                <w:iCs w:val="0"/>
                <w:color w:val="000000"/>
                <w:kern w:val="0"/>
                <w:sz w:val="22"/>
                <w:szCs w:val="22"/>
                <w:highlight w:val="none"/>
                <w:u w:val="none"/>
                <w:lang w:val="en-US" w:eastAsia="zh-CN" w:bidi="ar"/>
              </w:rPr>
              <w:t>（8分）</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4B62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资产管理规范性</w:t>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CAFE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5</w:t>
            </w:r>
          </w:p>
        </w:tc>
        <w:tc>
          <w:tcPr>
            <w:tcW w:w="3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6CF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评价部门资产管理制度建设、资产的配备、保存、使用、处置是否合规，用以反映和考核部门资产管理规范性。</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69FC8">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14B7A">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1.制定或具有资产管理制度得1分，资产管理制度合法、合规、完整得1分，否则不得分。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2.资产账务管理合规，账实相符，得1分，否则不得分。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3.2023年新购置资产的价格及配置数量未超过《永济市行政单位资产配置标准》，得1分，否则不得分。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4.资产使用人、管理人是否明确，得1分，否则不得分。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5.资产处置规范，得0.5分，否则不得分。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6.资产有偿使用及处置收入及时上缴，得0.5分，否则不得分。</w:t>
            </w:r>
          </w:p>
        </w:tc>
      </w:tr>
      <w:tr w14:paraId="41E65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5" w:hRule="atLeast"/>
        </w:trPr>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637D4">
            <w:pPr>
              <w:jc w:val="center"/>
              <w:rPr>
                <w:rFonts w:hint="eastAsia" w:ascii="仿宋" w:hAnsi="仿宋" w:eastAsia="仿宋" w:cs="仿宋"/>
                <w:i w:val="0"/>
                <w:iCs w:val="0"/>
                <w:color w:val="000000"/>
                <w:sz w:val="22"/>
                <w:szCs w:val="22"/>
                <w:highlight w:val="none"/>
                <w:u w:val="none"/>
              </w:rPr>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BD957">
            <w:pPr>
              <w:jc w:val="center"/>
              <w:rPr>
                <w:rFonts w:hint="eastAsia" w:ascii="仿宋" w:hAnsi="仿宋" w:eastAsia="仿宋" w:cs="仿宋"/>
                <w:i w:val="0"/>
                <w:iCs w:val="0"/>
                <w:color w:val="000000"/>
                <w:sz w:val="22"/>
                <w:szCs w:val="22"/>
                <w:highlight w:val="none"/>
                <w:u w:val="none"/>
              </w:rPr>
            </w:pP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676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固定资产利用率</w:t>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5C92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w:t>
            </w:r>
          </w:p>
        </w:tc>
        <w:tc>
          <w:tcPr>
            <w:tcW w:w="3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8F01">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评价部门实际在用固定资产总额与所有固定资产总额的比率，用以反映和考核部门固定资产使用效率程度。</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1515A">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E0AF">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固定资产利用率≥90%，得3分；固定资产利用率≤80%，得0分；固定资产利用率在80%-90%之间，按比例计算得分=（固定资产利用率-80%）/（90%-80%）×该指标分值3分。</w:t>
            </w:r>
          </w:p>
        </w:tc>
      </w:tr>
    </w:tbl>
    <w:p w14:paraId="3827EA3E">
      <w:pPr>
        <w:jc w:val="center"/>
        <w:rPr>
          <w:rFonts w:hint="eastAsia" w:ascii="仿宋" w:hAnsi="仿宋" w:eastAsia="仿宋" w:cs="仿宋"/>
          <w:i w:val="0"/>
          <w:iCs w:val="0"/>
          <w:color w:val="000000"/>
          <w:sz w:val="22"/>
          <w:szCs w:val="22"/>
          <w:highlight w:val="none"/>
          <w:u w:val="none"/>
        </w:rPr>
      </w:pPr>
    </w:p>
    <w:p w14:paraId="20A4416E">
      <w:pPr>
        <w:keepNext w:val="0"/>
        <w:keepLines w:val="0"/>
        <w:widowControl/>
        <w:suppressLineNumbers w:val="0"/>
        <w:jc w:val="left"/>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i w:val="0"/>
          <w:iCs w:val="0"/>
          <w:color w:val="000000"/>
          <w:kern w:val="0"/>
          <w:sz w:val="24"/>
          <w:szCs w:val="24"/>
          <w:highlight w:val="none"/>
          <w:u w:val="none"/>
          <w:lang w:val="en-US" w:eastAsia="zh-CN" w:bidi="ar"/>
        </w:rPr>
        <w:t>附件1：绩效评价指标表</w:t>
      </w:r>
    </w:p>
    <w:p w14:paraId="5C52FC7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32"/>
          <w:szCs w:val="32"/>
          <w:highlight w:val="none"/>
          <w:u w:val="none"/>
          <w:lang w:val="en-US" w:eastAsia="zh-CN" w:bidi="ar"/>
        </w:rPr>
        <w:t>永济市市容环卫中心部门整体支出绩效评价指标表（部门管理）</w:t>
      </w:r>
    </w:p>
    <w:tbl>
      <w:tblPr>
        <w:tblStyle w:val="12"/>
        <w:tblW w:w="5079" w:type="pct"/>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0"/>
        <w:gridCol w:w="1298"/>
        <w:gridCol w:w="1151"/>
        <w:gridCol w:w="636"/>
        <w:gridCol w:w="3697"/>
        <w:gridCol w:w="772"/>
        <w:gridCol w:w="5644"/>
      </w:tblGrid>
      <w:tr w14:paraId="7781B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1200" w:type="dxa"/>
            <w:tcBorders>
              <w:top w:val="single" w:color="000000" w:sz="4" w:space="0"/>
              <w:left w:val="single" w:color="000000" w:sz="4" w:space="0"/>
              <w:right w:val="single" w:color="000000" w:sz="4" w:space="0"/>
            </w:tcBorders>
            <w:shd w:val="clear" w:color="auto" w:fill="BEBEBE" w:themeFill="background1" w:themeFillShade="BF"/>
            <w:vAlign w:val="center"/>
          </w:tcPr>
          <w:p w14:paraId="1036A456">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一级指标</w:t>
            </w:r>
          </w:p>
        </w:tc>
        <w:tc>
          <w:tcPr>
            <w:tcW w:w="129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9E23657">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二级指标</w:t>
            </w:r>
          </w:p>
        </w:tc>
        <w:tc>
          <w:tcPr>
            <w:tcW w:w="115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04AA359">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三级指标</w:t>
            </w:r>
          </w:p>
        </w:tc>
        <w:tc>
          <w:tcPr>
            <w:tcW w:w="63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BA7307A">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权重</w:t>
            </w:r>
          </w:p>
        </w:tc>
        <w:tc>
          <w:tcPr>
            <w:tcW w:w="369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FD8CDA4">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指标解释</w:t>
            </w:r>
          </w:p>
        </w:tc>
        <w:tc>
          <w:tcPr>
            <w:tcW w:w="77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F693C86">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评分依据</w:t>
            </w:r>
          </w:p>
        </w:tc>
        <w:tc>
          <w:tcPr>
            <w:tcW w:w="564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92A4A27">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评分标准</w:t>
            </w:r>
          </w:p>
        </w:tc>
      </w:tr>
      <w:tr w14:paraId="6134F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8" w:hRule="atLeast"/>
        </w:trPr>
        <w:tc>
          <w:tcPr>
            <w:tcW w:w="1200" w:type="dxa"/>
            <w:vMerge w:val="restart"/>
            <w:tcBorders>
              <w:top w:val="single" w:color="000000" w:sz="4" w:space="0"/>
              <w:left w:val="single" w:color="000000" w:sz="4" w:space="0"/>
              <w:right w:val="single" w:color="000000" w:sz="4" w:space="0"/>
            </w:tcBorders>
            <w:shd w:val="clear" w:color="auto" w:fill="auto"/>
            <w:vAlign w:val="center"/>
          </w:tcPr>
          <w:p w14:paraId="5250D417">
            <w:pPr>
              <w:jc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部门管理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（40分）</w:t>
            </w:r>
          </w:p>
        </w:tc>
        <w:tc>
          <w:tcPr>
            <w:tcW w:w="12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6CECF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其他管理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（7分）</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CAA0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人员管理</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C536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w:t>
            </w:r>
          </w:p>
        </w:tc>
        <w:tc>
          <w:tcPr>
            <w:tcW w:w="3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3A3A">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部门本年度实际在职人员数与编制数的比率，用以反映和考核部门对人员成本的控制程度。</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26111">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845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1.人员控制率≤100%的，得满分；人员控制率≥120%的，得0分；人员控制率在100%-120%之间，按比例计算得分=（120%－人员控制率）/（120%-100%）×该指标分值。</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2.在职人员、临时环卫人员各占1分。</w:t>
            </w:r>
          </w:p>
        </w:tc>
      </w:tr>
      <w:tr w14:paraId="7547D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4"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83740">
            <w:pPr>
              <w:jc w:val="center"/>
              <w:rPr>
                <w:rFonts w:hint="eastAsia" w:ascii="仿宋" w:hAnsi="仿宋" w:eastAsia="仿宋" w:cs="仿宋"/>
                <w:i w:val="0"/>
                <w:iCs w:val="0"/>
                <w:color w:val="000000"/>
                <w:sz w:val="22"/>
                <w:szCs w:val="22"/>
                <w:highlight w:val="none"/>
                <w:u w:val="none"/>
              </w:rPr>
            </w:pPr>
          </w:p>
        </w:tc>
        <w:tc>
          <w:tcPr>
            <w:tcW w:w="12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27B58">
            <w:pPr>
              <w:jc w:val="center"/>
              <w:rPr>
                <w:rFonts w:hint="eastAsia" w:ascii="仿宋" w:hAnsi="仿宋" w:eastAsia="仿宋" w:cs="仿宋"/>
                <w:i w:val="0"/>
                <w:iCs w:val="0"/>
                <w:color w:val="000000"/>
                <w:sz w:val="22"/>
                <w:szCs w:val="22"/>
                <w:highlight w:val="none"/>
                <w:u w:val="none"/>
              </w:rPr>
            </w:pP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29FF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政府采购管理</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C25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w:t>
            </w:r>
          </w:p>
        </w:tc>
        <w:tc>
          <w:tcPr>
            <w:tcW w:w="3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BB8E">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评价部门实际政府采购金额与预算安排的政府采购金额的比率，用以反映和考核部门年度政府采购预算执行情况。</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A307A">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4240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1.政府采购执行率=100%，得2分；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2.政府采购执行率≤90%，得0分；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3.政府采购执行率在90%-100%之间，按比例计算得分=（政府采购执行率-90%）/（100%-90%）×该指标分值2分。</w:t>
            </w:r>
          </w:p>
        </w:tc>
      </w:tr>
      <w:tr w14:paraId="2BAB8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3"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7B4FA">
            <w:pPr>
              <w:jc w:val="center"/>
              <w:rPr>
                <w:rFonts w:hint="eastAsia" w:ascii="仿宋" w:hAnsi="仿宋" w:eastAsia="仿宋" w:cs="仿宋"/>
                <w:i w:val="0"/>
                <w:iCs w:val="0"/>
                <w:color w:val="000000"/>
                <w:sz w:val="22"/>
                <w:szCs w:val="22"/>
                <w:highlight w:val="none"/>
                <w:u w:val="none"/>
              </w:rPr>
            </w:pPr>
          </w:p>
        </w:tc>
        <w:tc>
          <w:tcPr>
            <w:tcW w:w="12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5BD3F">
            <w:pPr>
              <w:jc w:val="center"/>
              <w:rPr>
                <w:rFonts w:hint="eastAsia" w:ascii="仿宋" w:hAnsi="仿宋" w:eastAsia="仿宋" w:cs="仿宋"/>
                <w:i w:val="0"/>
                <w:iCs w:val="0"/>
                <w:color w:val="000000"/>
                <w:sz w:val="22"/>
                <w:szCs w:val="22"/>
                <w:highlight w:val="none"/>
                <w:u w:val="none"/>
              </w:rPr>
            </w:pP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63FD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信息公开</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B5B4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w:t>
            </w:r>
          </w:p>
        </w:tc>
        <w:tc>
          <w:tcPr>
            <w:tcW w:w="3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A0C9">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评价部门是否按照政府信息公开有关规定公开相关预决算、政务信息，用以反映和考核部门2023年预决算、政务信息管理的公开透明情况。</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77AE0">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D010">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1.按规定内容、时限公开预决算信息，得1分，否则不得分；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2.按规定内容、时限公开政务信息，得1分，否则不得分。</w:t>
            </w:r>
          </w:p>
        </w:tc>
      </w:tr>
      <w:tr w14:paraId="4F4B5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1"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012A4">
            <w:pPr>
              <w:jc w:val="center"/>
              <w:rPr>
                <w:rFonts w:hint="eastAsia" w:ascii="仿宋" w:hAnsi="仿宋" w:eastAsia="仿宋" w:cs="仿宋"/>
                <w:i w:val="0"/>
                <w:iCs w:val="0"/>
                <w:color w:val="000000"/>
                <w:sz w:val="22"/>
                <w:szCs w:val="22"/>
                <w:highlight w:val="none"/>
                <w:u w:val="none"/>
              </w:rPr>
            </w:pPr>
          </w:p>
        </w:tc>
        <w:tc>
          <w:tcPr>
            <w:tcW w:w="12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A6B7D">
            <w:pPr>
              <w:jc w:val="center"/>
              <w:rPr>
                <w:rFonts w:hint="eastAsia" w:ascii="仿宋" w:hAnsi="仿宋" w:eastAsia="仿宋" w:cs="仿宋"/>
                <w:i w:val="0"/>
                <w:iCs w:val="0"/>
                <w:color w:val="000000"/>
                <w:sz w:val="22"/>
                <w:szCs w:val="22"/>
                <w:highlight w:val="none"/>
                <w:u w:val="none"/>
              </w:rPr>
            </w:pP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1ABA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资金监管</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9E30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w:t>
            </w:r>
          </w:p>
        </w:tc>
        <w:tc>
          <w:tcPr>
            <w:tcW w:w="3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97C6">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考核部门在人大审查、巡视、审计、财会监督、预决算公开监督检查等专项检查中，发现问题的整改落实情况。</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346D">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7867">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部门接受人大审查、巡视、审计、财会监督、预决算公开监督检查等专项检查中发现的问题能及时整改落实的，得1分，否则按照整改完成率计算得分。</w:t>
            </w:r>
          </w:p>
        </w:tc>
      </w:tr>
    </w:tbl>
    <w:p w14:paraId="3A566C83">
      <w:pPr>
        <w:keepNext w:val="0"/>
        <w:keepLines w:val="0"/>
        <w:widowControl/>
        <w:suppressLineNumbers w:val="0"/>
        <w:jc w:val="left"/>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i w:val="0"/>
          <w:iCs w:val="0"/>
          <w:color w:val="000000"/>
          <w:kern w:val="0"/>
          <w:sz w:val="24"/>
          <w:szCs w:val="24"/>
          <w:highlight w:val="none"/>
          <w:u w:val="none"/>
          <w:lang w:val="en-US" w:eastAsia="zh-CN" w:bidi="ar"/>
        </w:rPr>
        <w:t>附件1：绩效评价指标表</w:t>
      </w:r>
    </w:p>
    <w:p w14:paraId="1173B9E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32"/>
          <w:szCs w:val="32"/>
          <w:highlight w:val="none"/>
          <w:u w:val="none"/>
          <w:lang w:val="en-US" w:eastAsia="zh-CN" w:bidi="ar"/>
        </w:rPr>
        <w:t>永济市市容环卫中心部门整体支出绩效评价指标表（部门产出）</w:t>
      </w:r>
    </w:p>
    <w:tbl>
      <w:tblPr>
        <w:tblStyle w:val="12"/>
        <w:tblW w:w="5084" w:type="pct"/>
        <w:tblInd w:w="-7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7"/>
        <w:gridCol w:w="1298"/>
        <w:gridCol w:w="1114"/>
        <w:gridCol w:w="674"/>
        <w:gridCol w:w="3698"/>
        <w:gridCol w:w="685"/>
        <w:gridCol w:w="5707"/>
      </w:tblGrid>
      <w:tr w14:paraId="43AB6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3" w:hRule="atLeast"/>
        </w:trPr>
        <w:tc>
          <w:tcPr>
            <w:tcW w:w="123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30F9511">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一级指标</w:t>
            </w:r>
          </w:p>
        </w:tc>
        <w:tc>
          <w:tcPr>
            <w:tcW w:w="129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58CC795">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二级指标</w:t>
            </w:r>
          </w:p>
        </w:tc>
        <w:tc>
          <w:tcPr>
            <w:tcW w:w="111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1E31E4A">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三级指标</w:t>
            </w:r>
          </w:p>
        </w:tc>
        <w:tc>
          <w:tcPr>
            <w:tcW w:w="67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0BF303A">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权重</w:t>
            </w:r>
          </w:p>
        </w:tc>
        <w:tc>
          <w:tcPr>
            <w:tcW w:w="369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E8CBD70">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指标解释</w:t>
            </w:r>
          </w:p>
        </w:tc>
        <w:tc>
          <w:tcPr>
            <w:tcW w:w="68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DA1F4DA">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评分依据</w:t>
            </w:r>
          </w:p>
        </w:tc>
        <w:tc>
          <w:tcPr>
            <w:tcW w:w="57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CC1563E">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评分标准</w:t>
            </w:r>
          </w:p>
        </w:tc>
      </w:tr>
      <w:tr w14:paraId="62CBF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5" w:hRule="atLeast"/>
        </w:trPr>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FB827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部门产出</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（30分）</w:t>
            </w:r>
          </w:p>
        </w:tc>
        <w:tc>
          <w:tcPr>
            <w:tcW w:w="12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50961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目标任务实现程度</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（9分）</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111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环卫职责贯彻执行情况</w:t>
            </w: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75DF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w:t>
            </w:r>
          </w:p>
        </w:tc>
        <w:tc>
          <w:tcPr>
            <w:tcW w:w="3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F361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评价部门对贯彻执行国家、省、市有关城市市容环境卫生管理的法律法规、政策方面的执行情况，用以反映和考核部门当年度履行环卫职责的完成情况。</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645B">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8ADF">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1.完成重要节日和重大会议期间的环卫保障工作，得1分，否则不得分。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2.贯彻执行市委市政府及上级部门下达的重点任务，如：建设公厕、垃圾分类等工作，全部完成得2分，否则按完成进度率比例得分。</w:t>
            </w:r>
          </w:p>
        </w:tc>
      </w:tr>
      <w:tr w14:paraId="40259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4" w:hRule="atLeast"/>
        </w:trPr>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CBF17">
            <w:pPr>
              <w:jc w:val="center"/>
              <w:rPr>
                <w:rFonts w:hint="eastAsia" w:ascii="仿宋" w:hAnsi="仿宋" w:eastAsia="仿宋" w:cs="仿宋"/>
                <w:i w:val="0"/>
                <w:iCs w:val="0"/>
                <w:color w:val="000000"/>
                <w:sz w:val="22"/>
                <w:szCs w:val="22"/>
                <w:highlight w:val="none"/>
                <w:u w:val="none"/>
              </w:rPr>
            </w:pPr>
          </w:p>
        </w:tc>
        <w:tc>
          <w:tcPr>
            <w:tcW w:w="12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EEE62">
            <w:pPr>
              <w:jc w:val="center"/>
              <w:rPr>
                <w:rFonts w:hint="eastAsia" w:ascii="仿宋" w:hAnsi="仿宋" w:eastAsia="仿宋" w:cs="仿宋"/>
                <w:i w:val="0"/>
                <w:iCs w:val="0"/>
                <w:color w:val="000000"/>
                <w:sz w:val="22"/>
                <w:szCs w:val="22"/>
                <w:highlight w:val="none"/>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DB73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清扫保洁、公厕、垃圾清运工作执行情况</w:t>
            </w: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B583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w:t>
            </w:r>
          </w:p>
        </w:tc>
        <w:tc>
          <w:tcPr>
            <w:tcW w:w="3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04879">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部门对规划区内的公共场所环卫清扫保洁工作、中心城区公厕建设及管理工作、中心城区垃圾收集转运作业三项工作的作业覆盖情况。</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B32C">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51DAA">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1.部门对城市环境卫生清扫、保洁作业覆盖情况，实现全覆盖无死角得1分，否则按照覆盖比例得分。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2.部门对城市公厕管理及保洁工作覆盖情况，实现全覆盖无遗漏得1分，否则按照覆盖比例得分。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3.部门对城市垃圾收集转运作业工作覆盖情况，实现全覆盖无遗漏得1分，否则按照覆盖比例得分。</w:t>
            </w:r>
          </w:p>
        </w:tc>
      </w:tr>
      <w:tr w14:paraId="768AD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1" w:hRule="atLeast"/>
        </w:trPr>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F827A">
            <w:pPr>
              <w:jc w:val="center"/>
              <w:rPr>
                <w:rFonts w:hint="eastAsia" w:ascii="仿宋" w:hAnsi="仿宋" w:eastAsia="仿宋" w:cs="仿宋"/>
                <w:i w:val="0"/>
                <w:iCs w:val="0"/>
                <w:color w:val="000000"/>
                <w:sz w:val="22"/>
                <w:szCs w:val="22"/>
                <w:highlight w:val="none"/>
                <w:u w:val="none"/>
              </w:rPr>
            </w:pPr>
          </w:p>
        </w:tc>
        <w:tc>
          <w:tcPr>
            <w:tcW w:w="12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894CE">
            <w:pPr>
              <w:jc w:val="center"/>
              <w:rPr>
                <w:rFonts w:hint="eastAsia" w:ascii="仿宋" w:hAnsi="仿宋" w:eastAsia="仿宋" w:cs="仿宋"/>
                <w:i w:val="0"/>
                <w:iCs w:val="0"/>
                <w:color w:val="000000"/>
                <w:sz w:val="22"/>
                <w:szCs w:val="22"/>
                <w:highlight w:val="none"/>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9ED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生活垃圾处理费征收工作执行情况</w:t>
            </w: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0A4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w:t>
            </w:r>
          </w:p>
        </w:tc>
        <w:tc>
          <w:tcPr>
            <w:tcW w:w="3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4B6A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评价部门对生活垃圾处理费征收情况，用以反映和考核部门当年度生活垃圾处理费征收工作的完成情况。</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AEE77">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230B">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对收取生活垃圾处理费工作完成情况进行评价：包括票据管理及存档、收费标准文件保管存档工作，非税收入上缴追缴工作，制定非税收入资金管理措施等方面的工作。此小项总分2分，每出现1处问题扣0.5分，扣完为止。</w:t>
            </w:r>
          </w:p>
        </w:tc>
      </w:tr>
      <w:tr w14:paraId="3E723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4" w:hRule="atLeast"/>
        </w:trPr>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2D221">
            <w:pPr>
              <w:jc w:val="center"/>
              <w:rPr>
                <w:rFonts w:hint="eastAsia" w:ascii="仿宋" w:hAnsi="仿宋" w:eastAsia="仿宋" w:cs="仿宋"/>
                <w:i w:val="0"/>
                <w:iCs w:val="0"/>
                <w:color w:val="000000"/>
                <w:sz w:val="22"/>
                <w:szCs w:val="22"/>
                <w:highlight w:val="none"/>
                <w:u w:val="none"/>
              </w:rPr>
            </w:pPr>
          </w:p>
        </w:tc>
        <w:tc>
          <w:tcPr>
            <w:tcW w:w="12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AB718">
            <w:pPr>
              <w:jc w:val="center"/>
              <w:rPr>
                <w:rFonts w:hint="eastAsia" w:ascii="仿宋" w:hAnsi="仿宋" w:eastAsia="仿宋" w:cs="仿宋"/>
                <w:i w:val="0"/>
                <w:iCs w:val="0"/>
                <w:color w:val="000000"/>
                <w:sz w:val="22"/>
                <w:szCs w:val="22"/>
                <w:highlight w:val="none"/>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4EA0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其他工作执行情况</w:t>
            </w: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5826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w:t>
            </w:r>
          </w:p>
        </w:tc>
        <w:tc>
          <w:tcPr>
            <w:tcW w:w="3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7E5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评价部门其他工作执行情况，用以反映和考核部门当年度党建及其他工作的完成情况。</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5C659">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A9D7">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按照要求开展主题党日活动、廉政教育学习等，得1分，每缺失1项扣0.2分，扣完为止。</w:t>
            </w:r>
          </w:p>
        </w:tc>
      </w:tr>
    </w:tbl>
    <w:p w14:paraId="4A4558D9">
      <w:pP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br w:type="page"/>
      </w:r>
    </w:p>
    <w:p w14:paraId="68ACE7F6">
      <w:pPr>
        <w:keepNext w:val="0"/>
        <w:keepLines w:val="0"/>
        <w:widowControl/>
        <w:suppressLineNumbers w:val="0"/>
        <w:jc w:val="left"/>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i w:val="0"/>
          <w:iCs w:val="0"/>
          <w:color w:val="000000"/>
          <w:kern w:val="0"/>
          <w:sz w:val="24"/>
          <w:szCs w:val="24"/>
          <w:highlight w:val="none"/>
          <w:u w:val="none"/>
          <w:lang w:val="en-US" w:eastAsia="zh-CN" w:bidi="ar"/>
        </w:rPr>
        <w:t>附件1：绩效评价指标表</w:t>
      </w:r>
    </w:p>
    <w:p w14:paraId="2803F0F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32"/>
          <w:szCs w:val="32"/>
          <w:highlight w:val="none"/>
          <w:u w:val="none"/>
          <w:lang w:val="en-US" w:eastAsia="zh-CN" w:bidi="ar"/>
        </w:rPr>
        <w:t>永济市市容环卫中心部门整体支出绩效评价指标表（部门产出）</w:t>
      </w:r>
    </w:p>
    <w:tbl>
      <w:tblPr>
        <w:tblStyle w:val="12"/>
        <w:tblW w:w="5053" w:type="pct"/>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2"/>
        <w:gridCol w:w="1286"/>
        <w:gridCol w:w="1126"/>
        <w:gridCol w:w="771"/>
        <w:gridCol w:w="3636"/>
        <w:gridCol w:w="674"/>
        <w:gridCol w:w="5619"/>
      </w:tblGrid>
      <w:tr w14:paraId="7261A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212" w:type="dxa"/>
            <w:tcBorders>
              <w:top w:val="single" w:color="000000" w:sz="4" w:space="0"/>
              <w:left w:val="single" w:color="000000" w:sz="4" w:space="0"/>
              <w:right w:val="single" w:color="000000" w:sz="4" w:space="0"/>
            </w:tcBorders>
            <w:shd w:val="clear" w:color="auto" w:fill="BEBEBE" w:themeFill="background1" w:themeFillShade="BF"/>
            <w:vAlign w:val="center"/>
          </w:tcPr>
          <w:p w14:paraId="6007D6BF">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一级指标</w:t>
            </w:r>
          </w:p>
        </w:tc>
        <w:tc>
          <w:tcPr>
            <w:tcW w:w="128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F36B888">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二级指标</w:t>
            </w:r>
          </w:p>
        </w:tc>
        <w:tc>
          <w:tcPr>
            <w:tcW w:w="112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EBD06EB">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三级指标</w:t>
            </w:r>
          </w:p>
        </w:tc>
        <w:tc>
          <w:tcPr>
            <w:tcW w:w="77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BECEAED">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权重</w:t>
            </w:r>
          </w:p>
        </w:tc>
        <w:tc>
          <w:tcPr>
            <w:tcW w:w="363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0BB1C53">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指标解释</w:t>
            </w:r>
          </w:p>
        </w:tc>
        <w:tc>
          <w:tcPr>
            <w:tcW w:w="67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B260A8E">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评分依据</w:t>
            </w:r>
          </w:p>
        </w:tc>
        <w:tc>
          <w:tcPr>
            <w:tcW w:w="562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4B8F4A4">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评分标准</w:t>
            </w:r>
          </w:p>
        </w:tc>
      </w:tr>
      <w:tr w14:paraId="74D3C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5" w:hRule="atLeast"/>
        </w:trPr>
        <w:tc>
          <w:tcPr>
            <w:tcW w:w="1212" w:type="dxa"/>
            <w:vMerge w:val="restart"/>
            <w:tcBorders>
              <w:top w:val="single" w:color="000000" w:sz="4" w:space="0"/>
              <w:left w:val="single" w:color="000000" w:sz="4" w:space="0"/>
              <w:right w:val="single" w:color="000000" w:sz="4" w:space="0"/>
            </w:tcBorders>
            <w:shd w:val="clear" w:color="auto" w:fill="auto"/>
            <w:vAlign w:val="center"/>
          </w:tcPr>
          <w:p w14:paraId="5D7BBD93">
            <w:pPr>
              <w:jc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部门产出</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（30分）</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32B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目标任务完成质量</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（7分）</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491A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业务质量达标情况</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CCDE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7</w:t>
            </w:r>
          </w:p>
        </w:tc>
        <w:tc>
          <w:tcPr>
            <w:tcW w:w="3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897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评价部门履行职责的目标任务完成质量，用以反映和考核部门当年度环卫工作业务质量达标情况。</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0DDA">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34FD">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1.道路清扫质量达标情况，满分3分；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2.公共厕所保洁质量达标情况，满分2分；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3.垃圾清运质量达标情况，满分2分；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因当前已无法实地查看2023年环卫作业现场，因此参考各月环卫质量考核表，计算综合得分率，总分7分。</w:t>
            </w:r>
          </w:p>
        </w:tc>
      </w:tr>
      <w:tr w14:paraId="55C82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2"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1826D">
            <w:pPr>
              <w:jc w:val="center"/>
              <w:rPr>
                <w:rFonts w:hint="eastAsia" w:ascii="仿宋" w:hAnsi="仿宋" w:eastAsia="仿宋" w:cs="仿宋"/>
                <w:i w:val="0"/>
                <w:iCs w:val="0"/>
                <w:color w:val="000000"/>
                <w:sz w:val="22"/>
                <w:szCs w:val="22"/>
                <w:highlight w:val="none"/>
                <w:u w:val="none"/>
              </w:rPr>
            </w:pP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8E78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目标任务完成及时性</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（7分）</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FC2E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业务完成及时情况</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0999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7</w:t>
            </w:r>
          </w:p>
        </w:tc>
        <w:tc>
          <w:tcPr>
            <w:tcW w:w="3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24E6">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评价部门履行职责的目标任务完成时效，用以反映和考核部门当年度环卫工作业务完成及时情况。</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5DE7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9D9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1.道路清扫完成及时情况，满分3分；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2.公共厕所保洁完成及时情况，满分2分；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3.垃圾清运完成及时情况，满分2分；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查看各月签到或考勤记录，核实当年度一线人员在各岗位的工作时效情况，计算各项业务的得分。</w:t>
            </w:r>
          </w:p>
        </w:tc>
      </w:tr>
      <w:tr w14:paraId="15595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5CB75">
            <w:pPr>
              <w:jc w:val="center"/>
              <w:rPr>
                <w:rFonts w:hint="eastAsia" w:ascii="仿宋" w:hAnsi="仿宋" w:eastAsia="仿宋" w:cs="仿宋"/>
                <w:i w:val="0"/>
                <w:iCs w:val="0"/>
                <w:color w:val="000000"/>
                <w:sz w:val="22"/>
                <w:szCs w:val="22"/>
                <w:highlight w:val="none"/>
                <w:u w:val="none"/>
              </w:rPr>
            </w:pP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578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运行成本控制有效性</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（7分）</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43BC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成本控制情况</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8EC7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7</w:t>
            </w:r>
          </w:p>
        </w:tc>
        <w:tc>
          <w:tcPr>
            <w:tcW w:w="3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31B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评价部门运行和实施重点项目过程中人员、三公、公用经费、重点支出的控制率，用以评价部门整体支出成本的控制情况。</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67F9">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BF4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1.公用经费控制率≤100%，得2分，≥105%，得0分，100%-105%之间，按比例计算确定；</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2.三公经费控制率≤100%，得1分，&gt;100%，得0分；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3.人员经费控制率≤100%，得1分，≥105%，得0分，100%-105%之间，按比例计算确定。</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4.城市维护费成本控制率≤100%，得3分，≥105%，得0分，100%-105%之间，按比例计算确定。</w:t>
            </w:r>
          </w:p>
        </w:tc>
      </w:tr>
    </w:tbl>
    <w:p w14:paraId="4473E5B3">
      <w:pPr>
        <w:keepNext w:val="0"/>
        <w:keepLines w:val="0"/>
        <w:widowControl/>
        <w:suppressLineNumbers w:val="0"/>
        <w:jc w:val="left"/>
        <w:textAlignment w:val="center"/>
        <w:rPr>
          <w:rFonts w:hint="default"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i w:val="0"/>
          <w:iCs w:val="0"/>
          <w:color w:val="000000"/>
          <w:kern w:val="0"/>
          <w:sz w:val="24"/>
          <w:szCs w:val="24"/>
          <w:highlight w:val="none"/>
          <w:u w:val="none"/>
          <w:lang w:val="en-US" w:eastAsia="zh-CN" w:bidi="ar"/>
        </w:rPr>
        <w:t>附件1：绩效评价指标表</w:t>
      </w:r>
    </w:p>
    <w:p w14:paraId="37FB98E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32"/>
          <w:szCs w:val="32"/>
          <w:highlight w:val="none"/>
          <w:u w:val="none"/>
          <w:lang w:val="en-US" w:eastAsia="zh-CN" w:bidi="ar"/>
        </w:rPr>
        <w:t>永济市市容环卫中心部门整体支出绩效评价指标表（部门效果）</w:t>
      </w:r>
    </w:p>
    <w:tbl>
      <w:tblPr>
        <w:tblStyle w:val="12"/>
        <w:tblW w:w="5166" w:type="pct"/>
        <w:tblInd w:w="-29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22"/>
        <w:gridCol w:w="1127"/>
        <w:gridCol w:w="1261"/>
        <w:gridCol w:w="735"/>
        <w:gridCol w:w="3637"/>
        <w:gridCol w:w="722"/>
        <w:gridCol w:w="5841"/>
      </w:tblGrid>
      <w:tr w14:paraId="3DF9A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132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EF3FA0C">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一级指标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032DA70">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二级指标</w:t>
            </w:r>
          </w:p>
        </w:tc>
        <w:tc>
          <w:tcPr>
            <w:tcW w:w="126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A474B06">
            <w:pPr>
              <w:keepNext w:val="0"/>
              <w:keepLines w:val="0"/>
              <w:widowControl/>
              <w:suppressLineNumbers w:val="0"/>
              <w:jc w:val="center"/>
              <w:textAlignment w:val="center"/>
              <w:rPr>
                <w:rFonts w:hint="eastAsia" w:ascii="仿宋" w:hAnsi="仿宋" w:eastAsia="仿宋" w:cs="仿宋"/>
                <w:b/>
                <w:bCs/>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三级指标</w:t>
            </w:r>
          </w:p>
        </w:tc>
        <w:tc>
          <w:tcPr>
            <w:tcW w:w="73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BD6DB35">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权重</w:t>
            </w:r>
          </w:p>
        </w:tc>
        <w:tc>
          <w:tcPr>
            <w:tcW w:w="363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3DD4379">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指标解释</w:t>
            </w:r>
          </w:p>
        </w:tc>
        <w:tc>
          <w:tcPr>
            <w:tcW w:w="72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5560428">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评分依据</w:t>
            </w:r>
          </w:p>
        </w:tc>
        <w:tc>
          <w:tcPr>
            <w:tcW w:w="58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23B134A">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2"/>
                <w:szCs w:val="22"/>
                <w:highlight w:val="none"/>
                <w:u w:val="none"/>
                <w:lang w:val="en-US" w:eastAsia="zh-CN" w:bidi="ar"/>
              </w:rPr>
              <w:t>评分标准</w:t>
            </w:r>
          </w:p>
        </w:tc>
      </w:tr>
      <w:tr w14:paraId="038D5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6" w:hRule="atLeast"/>
        </w:trPr>
        <w:tc>
          <w:tcPr>
            <w:tcW w:w="13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B9AD6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部门效果</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（15分）</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3149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社会效益</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（4分）</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497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对政府形象和社会发展的贡献程度</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2843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4</w:t>
            </w:r>
          </w:p>
        </w:tc>
        <w:tc>
          <w:tcPr>
            <w:tcW w:w="3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A681">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评价环卫各项基本工作和重点项目所带来的直接或间接影响，用以反映和考核部门履职对社会发展的影响程度。</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633A">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451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1.环卫业务的开展，对提升政府形象、促进社会发展作出贡献，得2分，通过舆情分析以及实地随访，每出现1起负面消息扣0.5分，扣完为止。</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2.环卫部门在社会重要节点中，对部门职能作用的体现程度，未出现负面信息得1分，出现负面舆情不得分。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3.通过对被评价单位受理投诉情况进行评价，当年低于上年度被投诉量得1分，出现媒体负面报道不得分。</w:t>
            </w:r>
          </w:p>
        </w:tc>
      </w:tr>
      <w:tr w14:paraId="6524D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4" w:hRule="atLeast"/>
        </w:trPr>
        <w:tc>
          <w:tcPr>
            <w:tcW w:w="13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3D602">
            <w:pPr>
              <w:jc w:val="center"/>
              <w:rPr>
                <w:rFonts w:hint="eastAsia" w:ascii="仿宋" w:hAnsi="仿宋" w:eastAsia="仿宋" w:cs="仿宋"/>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40DC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生态效益</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（6分）</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CD6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对生态环境的影响</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5571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6</w:t>
            </w:r>
          </w:p>
        </w:tc>
        <w:tc>
          <w:tcPr>
            <w:tcW w:w="3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B1B8F">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评价环卫各项基本工作和重点项目所带来的直接或间接影响，用以反映和考核部门履职对生态环境的影响程度。</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045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D93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分别对环卫清扫保洁、道路喷雾抑尘、垃圾清运三项业务的作业频次及对环境影响情况，从历史数据与当年度数据的提升或减弱情况分析评分，三方面的作业频次等于或多于上期频次分别得2分，低于上期频次或对环境造成破坏的不得分。</w:t>
            </w:r>
          </w:p>
        </w:tc>
      </w:tr>
      <w:tr w14:paraId="148FD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8" w:hRule="atLeast"/>
        </w:trPr>
        <w:tc>
          <w:tcPr>
            <w:tcW w:w="13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47D0A">
            <w:pPr>
              <w:jc w:val="center"/>
              <w:rPr>
                <w:rFonts w:hint="eastAsia" w:ascii="仿宋" w:hAnsi="仿宋" w:eastAsia="仿宋" w:cs="仿宋"/>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BB2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可持续性</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（2分）</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CDD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工作创新可持续影响</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9DEC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w:t>
            </w:r>
          </w:p>
        </w:tc>
        <w:tc>
          <w:tcPr>
            <w:tcW w:w="3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8F21">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评价环卫作业工作方法的创新影响程度。</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1EB4E">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5F133">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1.保洁作业及环卫工作管理模式创新，得1分，否则不得分；</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2.作业督查工作机制和长效管理机制创新，得1分，否则不得分。</w:t>
            </w:r>
          </w:p>
        </w:tc>
      </w:tr>
      <w:tr w14:paraId="70593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13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4683A">
            <w:pPr>
              <w:jc w:val="center"/>
              <w:rPr>
                <w:rFonts w:hint="eastAsia" w:ascii="仿宋" w:hAnsi="仿宋" w:eastAsia="仿宋" w:cs="仿宋"/>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F1A5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社会满意</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（3分）</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7422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受益群体满意度</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6482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w:t>
            </w:r>
          </w:p>
        </w:tc>
        <w:tc>
          <w:tcPr>
            <w:tcW w:w="3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FDA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评价社会公众或服务对象、管理对象等对部门履职效果的满意程度。</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4572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通用标准</w:t>
            </w:r>
          </w:p>
        </w:tc>
        <w:tc>
          <w:tcPr>
            <w:tcW w:w="5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2D003">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根据问卷调查结果计算得分，满分3分。</w:t>
            </w:r>
          </w:p>
        </w:tc>
      </w:tr>
      <w:tr w14:paraId="414C6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trPr>
        <w:tc>
          <w:tcPr>
            <w:tcW w:w="37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738BB9">
            <w:pPr>
              <w:keepNext w:val="0"/>
              <w:keepLines w:val="0"/>
              <w:widowControl/>
              <w:suppressLineNumbers w:val="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合计</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A99C5">
            <w:pPr>
              <w:keepNext w:val="0"/>
              <w:keepLines w:val="0"/>
              <w:widowControl/>
              <w:suppressLineNumbers w:val="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100</w:t>
            </w:r>
          </w:p>
        </w:tc>
        <w:tc>
          <w:tcPr>
            <w:tcW w:w="3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B98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306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rPr>
            </w:pPr>
          </w:p>
        </w:tc>
        <w:tc>
          <w:tcPr>
            <w:tcW w:w="5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E167">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rPr>
            </w:pPr>
          </w:p>
        </w:tc>
      </w:tr>
    </w:tbl>
    <w:p w14:paraId="289A998B">
      <w:pPr>
        <w:pStyle w:val="2"/>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034EAB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szCs w:val="24"/>
          <w:highlight w:val="none"/>
          <w:lang w:val="en-US" w:eastAsia="zh-CN"/>
        </w:rPr>
      </w:pPr>
      <w:bookmarkStart w:id="101" w:name="_Toc21244"/>
      <w:r>
        <w:rPr>
          <w:rFonts w:hint="eastAsia" w:ascii="仿宋" w:hAnsi="仿宋" w:eastAsia="仿宋" w:cs="仿宋"/>
          <w:sz w:val="24"/>
          <w:szCs w:val="24"/>
          <w:highlight w:val="none"/>
          <w:lang w:val="en-US" w:eastAsia="zh-CN"/>
        </w:rPr>
        <w:t>附件2：绩效评价指标评分表</w:t>
      </w:r>
      <w:bookmarkEnd w:id="101"/>
    </w:p>
    <w:p w14:paraId="6172BD11">
      <w:pPr>
        <w:jc w:val="center"/>
        <w:outlineLvl w:val="0"/>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永济市市容环卫中心部门整体支出绩效评价指标评分表</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0"/>
        <w:gridCol w:w="1672"/>
        <w:gridCol w:w="3816"/>
        <w:gridCol w:w="698"/>
        <w:gridCol w:w="816"/>
        <w:gridCol w:w="1056"/>
      </w:tblGrid>
      <w:tr w14:paraId="7C1D4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blHeader/>
        </w:trPr>
        <w:tc>
          <w:tcPr>
            <w:tcW w:w="63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D98814B">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一级指标</w:t>
            </w:r>
          </w:p>
        </w:tc>
        <w:tc>
          <w:tcPr>
            <w:tcW w:w="103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00A13FD">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二级指标</w:t>
            </w:r>
          </w:p>
        </w:tc>
        <w:tc>
          <w:tcPr>
            <w:tcW w:w="206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C872D94">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三级指标</w:t>
            </w:r>
          </w:p>
        </w:tc>
        <w:tc>
          <w:tcPr>
            <w:tcW w:w="37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CEDB055">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权重</w:t>
            </w:r>
          </w:p>
        </w:tc>
        <w:tc>
          <w:tcPr>
            <w:tcW w:w="37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499A3BD">
            <w:pPr>
              <w:keepNext w:val="0"/>
              <w:keepLines w:val="0"/>
              <w:widowControl/>
              <w:suppressLineNumbers w:val="0"/>
              <w:spacing w:line="240" w:lineRule="auto"/>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分值</w:t>
            </w:r>
          </w:p>
        </w:tc>
        <w:tc>
          <w:tcPr>
            <w:tcW w:w="50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1F5E8E0">
            <w:pPr>
              <w:keepNext w:val="0"/>
              <w:keepLines w:val="0"/>
              <w:widowControl/>
              <w:suppressLineNumbers w:val="0"/>
              <w:spacing w:line="240" w:lineRule="auto"/>
              <w:jc w:val="center"/>
              <w:textAlignment w:val="center"/>
              <w:rPr>
                <w:rFonts w:hint="default"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得分率</w:t>
            </w:r>
          </w:p>
        </w:tc>
      </w:tr>
      <w:tr w14:paraId="23266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1AD4D2">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部门决策</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（15分）</w:t>
            </w:r>
          </w:p>
        </w:tc>
        <w:tc>
          <w:tcPr>
            <w:tcW w:w="103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7072E">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目标设定</w:t>
            </w: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933C2">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绩效目标合理性</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88F0A">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856FC">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3.00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0E6A">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r w14:paraId="47C3E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A27F4">
            <w:pPr>
              <w:spacing w:line="240" w:lineRule="auto"/>
              <w:jc w:val="center"/>
              <w:rPr>
                <w:rFonts w:hint="eastAsia" w:ascii="仿宋" w:hAnsi="仿宋" w:eastAsia="仿宋" w:cs="仿宋"/>
                <w:i w:val="0"/>
                <w:iCs w:val="0"/>
                <w:color w:val="000000"/>
                <w:sz w:val="24"/>
                <w:szCs w:val="24"/>
                <w:highlight w:val="none"/>
                <w:u w:val="none"/>
              </w:rPr>
            </w:pPr>
          </w:p>
        </w:tc>
        <w:tc>
          <w:tcPr>
            <w:tcW w:w="10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8FAA0">
            <w:pPr>
              <w:spacing w:line="240" w:lineRule="auto"/>
              <w:jc w:val="left"/>
              <w:rPr>
                <w:rFonts w:hint="eastAsia" w:ascii="仿宋" w:hAnsi="仿宋" w:eastAsia="仿宋" w:cs="仿宋"/>
                <w:i w:val="0"/>
                <w:iCs w:val="0"/>
                <w:color w:val="000000"/>
                <w:sz w:val="24"/>
                <w:szCs w:val="24"/>
                <w:highlight w:val="none"/>
                <w:u w:val="none"/>
              </w:rPr>
            </w:pP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B8C00">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绩效指标明确性</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A3EC0">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D4651">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2.00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F5724">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r w14:paraId="73172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B8C8C">
            <w:pPr>
              <w:spacing w:line="240" w:lineRule="auto"/>
              <w:jc w:val="center"/>
              <w:rPr>
                <w:rFonts w:hint="eastAsia" w:ascii="仿宋" w:hAnsi="仿宋" w:eastAsia="仿宋" w:cs="仿宋"/>
                <w:i w:val="0"/>
                <w:iCs w:val="0"/>
                <w:color w:val="000000"/>
                <w:sz w:val="24"/>
                <w:szCs w:val="24"/>
                <w:highlight w:val="none"/>
                <w:u w:val="none"/>
              </w:rPr>
            </w:pPr>
          </w:p>
        </w:tc>
        <w:tc>
          <w:tcPr>
            <w:tcW w:w="103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94378">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预算配置</w:t>
            </w: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D3C77">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预算编制科学性</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027">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BB5BB">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4.00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30995">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r w14:paraId="3E621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44E46">
            <w:pPr>
              <w:spacing w:line="240" w:lineRule="auto"/>
              <w:jc w:val="center"/>
              <w:rPr>
                <w:rFonts w:hint="eastAsia" w:ascii="仿宋" w:hAnsi="仿宋" w:eastAsia="仿宋" w:cs="仿宋"/>
                <w:i w:val="0"/>
                <w:iCs w:val="0"/>
                <w:color w:val="000000"/>
                <w:sz w:val="24"/>
                <w:szCs w:val="24"/>
                <w:highlight w:val="none"/>
                <w:u w:val="none"/>
              </w:rPr>
            </w:pPr>
          </w:p>
        </w:tc>
        <w:tc>
          <w:tcPr>
            <w:tcW w:w="10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1179A">
            <w:pPr>
              <w:spacing w:line="240" w:lineRule="auto"/>
              <w:jc w:val="left"/>
              <w:rPr>
                <w:rFonts w:hint="eastAsia" w:ascii="仿宋" w:hAnsi="仿宋" w:eastAsia="仿宋" w:cs="仿宋"/>
                <w:i w:val="0"/>
                <w:iCs w:val="0"/>
                <w:color w:val="000000"/>
                <w:sz w:val="24"/>
                <w:szCs w:val="24"/>
                <w:highlight w:val="none"/>
                <w:u w:val="none"/>
              </w:rPr>
            </w:pP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61D78">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预算配置合理性</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8425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44720">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5.86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12332">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97.67%</w:t>
            </w:r>
          </w:p>
        </w:tc>
      </w:tr>
      <w:tr w14:paraId="517F8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A2ABF6">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部门管理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（40分）</w:t>
            </w:r>
          </w:p>
        </w:tc>
        <w:tc>
          <w:tcPr>
            <w:tcW w:w="10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57EEA3">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预算管理</w:t>
            </w: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EFCF4">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预算执行管理</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4EAD">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3F85C">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7.27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090E3">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90.88%</w:t>
            </w:r>
          </w:p>
        </w:tc>
      </w:tr>
      <w:tr w14:paraId="2E447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1A057">
            <w:pPr>
              <w:spacing w:line="240" w:lineRule="auto"/>
              <w:jc w:val="center"/>
              <w:rPr>
                <w:rFonts w:hint="eastAsia" w:ascii="仿宋" w:hAnsi="仿宋" w:eastAsia="仿宋" w:cs="仿宋"/>
                <w:i w:val="0"/>
                <w:iCs w:val="0"/>
                <w:color w:val="000000"/>
                <w:sz w:val="24"/>
                <w:szCs w:val="24"/>
                <w:highlight w:val="none"/>
                <w:u w:val="none"/>
              </w:rPr>
            </w:pPr>
          </w:p>
        </w:tc>
        <w:tc>
          <w:tcPr>
            <w:tcW w:w="10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573C3">
            <w:pPr>
              <w:spacing w:line="240" w:lineRule="auto"/>
              <w:jc w:val="left"/>
              <w:rPr>
                <w:rFonts w:hint="eastAsia" w:ascii="仿宋" w:hAnsi="仿宋" w:eastAsia="仿宋" w:cs="仿宋"/>
                <w:i w:val="0"/>
                <w:iCs w:val="0"/>
                <w:color w:val="000000"/>
                <w:sz w:val="24"/>
                <w:szCs w:val="24"/>
                <w:highlight w:val="none"/>
                <w:u w:val="none"/>
              </w:rPr>
            </w:pP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F15B1">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预算绩效管理</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3547D">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C4E93">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5.00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B044C">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71.43%</w:t>
            </w:r>
          </w:p>
        </w:tc>
      </w:tr>
      <w:tr w14:paraId="6EC18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C6E8E">
            <w:pPr>
              <w:spacing w:line="240" w:lineRule="auto"/>
              <w:jc w:val="center"/>
              <w:rPr>
                <w:rFonts w:hint="eastAsia" w:ascii="仿宋" w:hAnsi="仿宋" w:eastAsia="仿宋" w:cs="仿宋"/>
                <w:i w:val="0"/>
                <w:iCs w:val="0"/>
                <w:color w:val="000000"/>
                <w:sz w:val="24"/>
                <w:szCs w:val="24"/>
                <w:highlight w:val="none"/>
                <w:u w:val="none"/>
              </w:rPr>
            </w:pPr>
          </w:p>
        </w:tc>
        <w:tc>
          <w:tcPr>
            <w:tcW w:w="10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691014">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收支管理</w:t>
            </w: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8052">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收支管理规范性</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703B1">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39715">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5.90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9D886">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98.33%</w:t>
            </w:r>
          </w:p>
        </w:tc>
      </w:tr>
      <w:tr w14:paraId="5FCC6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4A17C">
            <w:pPr>
              <w:spacing w:line="240" w:lineRule="auto"/>
              <w:jc w:val="center"/>
              <w:rPr>
                <w:rFonts w:hint="eastAsia" w:ascii="仿宋" w:hAnsi="仿宋" w:eastAsia="仿宋" w:cs="仿宋"/>
                <w:i w:val="0"/>
                <w:iCs w:val="0"/>
                <w:color w:val="000000"/>
                <w:sz w:val="24"/>
                <w:szCs w:val="24"/>
                <w:highlight w:val="none"/>
                <w:u w:val="none"/>
              </w:rPr>
            </w:pPr>
          </w:p>
        </w:tc>
        <w:tc>
          <w:tcPr>
            <w:tcW w:w="10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EC098">
            <w:pPr>
              <w:spacing w:line="240" w:lineRule="auto"/>
              <w:jc w:val="left"/>
              <w:rPr>
                <w:rFonts w:hint="eastAsia" w:ascii="仿宋" w:hAnsi="仿宋" w:eastAsia="仿宋" w:cs="仿宋"/>
                <w:i w:val="0"/>
                <w:iCs w:val="0"/>
                <w:color w:val="000000"/>
                <w:sz w:val="24"/>
                <w:szCs w:val="24"/>
                <w:highlight w:val="none"/>
                <w:u w:val="none"/>
              </w:rPr>
            </w:pP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97C74">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支出结构合理性</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E563B">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18083">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4.00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3A260">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r w14:paraId="5A1B4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A7742">
            <w:pPr>
              <w:spacing w:line="240" w:lineRule="auto"/>
              <w:jc w:val="center"/>
              <w:rPr>
                <w:rFonts w:hint="eastAsia" w:ascii="仿宋" w:hAnsi="仿宋" w:eastAsia="仿宋" w:cs="仿宋"/>
                <w:i w:val="0"/>
                <w:iCs w:val="0"/>
                <w:color w:val="000000"/>
                <w:sz w:val="24"/>
                <w:szCs w:val="24"/>
                <w:highlight w:val="none"/>
                <w:u w:val="none"/>
              </w:rPr>
            </w:pPr>
          </w:p>
        </w:tc>
        <w:tc>
          <w:tcPr>
            <w:tcW w:w="103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A7C70">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资产管理</w:t>
            </w: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9B3B4">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资产管理规范性</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EEB46">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C12CA">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4.00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3F45C">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80.00%</w:t>
            </w:r>
          </w:p>
        </w:tc>
      </w:tr>
      <w:tr w14:paraId="411B9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C176F">
            <w:pPr>
              <w:spacing w:line="240" w:lineRule="auto"/>
              <w:jc w:val="center"/>
              <w:rPr>
                <w:rFonts w:hint="eastAsia" w:ascii="仿宋" w:hAnsi="仿宋" w:eastAsia="仿宋" w:cs="仿宋"/>
                <w:i w:val="0"/>
                <w:iCs w:val="0"/>
                <w:color w:val="000000"/>
                <w:sz w:val="24"/>
                <w:szCs w:val="24"/>
                <w:highlight w:val="none"/>
                <w:u w:val="none"/>
              </w:rPr>
            </w:pPr>
          </w:p>
        </w:tc>
        <w:tc>
          <w:tcPr>
            <w:tcW w:w="10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2453F">
            <w:pPr>
              <w:spacing w:line="240" w:lineRule="auto"/>
              <w:jc w:val="left"/>
              <w:rPr>
                <w:rFonts w:hint="eastAsia" w:ascii="仿宋" w:hAnsi="仿宋" w:eastAsia="仿宋" w:cs="仿宋"/>
                <w:i w:val="0"/>
                <w:iCs w:val="0"/>
                <w:color w:val="000000"/>
                <w:sz w:val="24"/>
                <w:szCs w:val="24"/>
                <w:highlight w:val="none"/>
                <w:u w:val="none"/>
              </w:rPr>
            </w:pP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7EF6">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固定资产利用率</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66C2D">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8509C">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3.00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AA224">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r w14:paraId="0892F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1B60A">
            <w:pPr>
              <w:spacing w:line="240" w:lineRule="auto"/>
              <w:jc w:val="center"/>
              <w:rPr>
                <w:rFonts w:hint="eastAsia" w:ascii="仿宋" w:hAnsi="仿宋" w:eastAsia="仿宋" w:cs="仿宋"/>
                <w:i w:val="0"/>
                <w:iCs w:val="0"/>
                <w:color w:val="000000"/>
                <w:sz w:val="24"/>
                <w:szCs w:val="24"/>
                <w:highlight w:val="none"/>
                <w:u w:val="none"/>
              </w:rPr>
            </w:pPr>
          </w:p>
        </w:tc>
        <w:tc>
          <w:tcPr>
            <w:tcW w:w="10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FE5726">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其他管理</w:t>
            </w: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C8FA9">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人员管理</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2571">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0EB30">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0.00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691E3">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0.00%</w:t>
            </w:r>
          </w:p>
        </w:tc>
      </w:tr>
      <w:tr w14:paraId="36546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D1470">
            <w:pPr>
              <w:spacing w:line="240" w:lineRule="auto"/>
              <w:jc w:val="center"/>
              <w:rPr>
                <w:rFonts w:hint="eastAsia" w:ascii="仿宋" w:hAnsi="仿宋" w:eastAsia="仿宋" w:cs="仿宋"/>
                <w:i w:val="0"/>
                <w:iCs w:val="0"/>
                <w:color w:val="000000"/>
                <w:sz w:val="24"/>
                <w:szCs w:val="24"/>
                <w:highlight w:val="none"/>
                <w:u w:val="none"/>
              </w:rPr>
            </w:pPr>
          </w:p>
        </w:tc>
        <w:tc>
          <w:tcPr>
            <w:tcW w:w="10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73645">
            <w:pPr>
              <w:spacing w:line="240" w:lineRule="auto"/>
              <w:jc w:val="left"/>
              <w:rPr>
                <w:rFonts w:hint="eastAsia" w:ascii="仿宋" w:hAnsi="仿宋" w:eastAsia="仿宋" w:cs="仿宋"/>
                <w:i w:val="0"/>
                <w:iCs w:val="0"/>
                <w:color w:val="000000"/>
                <w:sz w:val="24"/>
                <w:szCs w:val="24"/>
                <w:highlight w:val="none"/>
                <w:u w:val="none"/>
              </w:rPr>
            </w:pP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5EAE9">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政府采购管理</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D6EB0">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A5529">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2.00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ED3B2">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r w14:paraId="5C60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CEF87">
            <w:pPr>
              <w:spacing w:line="240" w:lineRule="auto"/>
              <w:jc w:val="center"/>
              <w:rPr>
                <w:rFonts w:hint="eastAsia" w:ascii="仿宋" w:hAnsi="仿宋" w:eastAsia="仿宋" w:cs="仿宋"/>
                <w:i w:val="0"/>
                <w:iCs w:val="0"/>
                <w:color w:val="000000"/>
                <w:sz w:val="24"/>
                <w:szCs w:val="24"/>
                <w:highlight w:val="none"/>
                <w:u w:val="none"/>
              </w:rPr>
            </w:pPr>
          </w:p>
        </w:tc>
        <w:tc>
          <w:tcPr>
            <w:tcW w:w="10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D2BFC">
            <w:pPr>
              <w:spacing w:line="240" w:lineRule="auto"/>
              <w:jc w:val="left"/>
              <w:rPr>
                <w:rFonts w:hint="eastAsia" w:ascii="仿宋" w:hAnsi="仿宋" w:eastAsia="仿宋" w:cs="仿宋"/>
                <w:i w:val="0"/>
                <w:iCs w:val="0"/>
                <w:color w:val="000000"/>
                <w:sz w:val="24"/>
                <w:szCs w:val="24"/>
                <w:highlight w:val="none"/>
                <w:u w:val="none"/>
              </w:rPr>
            </w:pP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EDB37">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信息公开</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FDB21">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346A2">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2.00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31A9C">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r w14:paraId="01D6D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7CCC0">
            <w:pPr>
              <w:spacing w:line="240" w:lineRule="auto"/>
              <w:jc w:val="center"/>
              <w:rPr>
                <w:rFonts w:hint="eastAsia" w:ascii="仿宋" w:hAnsi="仿宋" w:eastAsia="仿宋" w:cs="仿宋"/>
                <w:i w:val="0"/>
                <w:iCs w:val="0"/>
                <w:color w:val="000000"/>
                <w:sz w:val="24"/>
                <w:szCs w:val="24"/>
                <w:highlight w:val="none"/>
                <w:u w:val="none"/>
              </w:rPr>
            </w:pPr>
          </w:p>
        </w:tc>
        <w:tc>
          <w:tcPr>
            <w:tcW w:w="10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0DE00">
            <w:pPr>
              <w:spacing w:line="240" w:lineRule="auto"/>
              <w:jc w:val="left"/>
              <w:rPr>
                <w:rFonts w:hint="eastAsia" w:ascii="仿宋" w:hAnsi="仿宋" w:eastAsia="仿宋" w:cs="仿宋"/>
                <w:i w:val="0"/>
                <w:iCs w:val="0"/>
                <w:color w:val="000000"/>
                <w:sz w:val="24"/>
                <w:szCs w:val="24"/>
                <w:highlight w:val="none"/>
                <w:u w:val="none"/>
              </w:rPr>
            </w:pP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9211">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资金监管</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D5AF7">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A349C">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1.00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B9257">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r w14:paraId="7720C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789325">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部门产出</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（30分）</w:t>
            </w:r>
          </w:p>
        </w:tc>
        <w:tc>
          <w:tcPr>
            <w:tcW w:w="10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EF52BF">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目标任务实现程度</w:t>
            </w:r>
          </w:p>
        </w:tc>
        <w:tc>
          <w:tcPr>
            <w:tcW w:w="20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6A9A0">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环卫职责贯彻执行情况</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2E68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D6D76">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3.00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D6CF3">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r w14:paraId="28E2A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10F18">
            <w:pPr>
              <w:spacing w:line="240" w:lineRule="auto"/>
              <w:jc w:val="center"/>
              <w:rPr>
                <w:rFonts w:hint="eastAsia" w:ascii="仿宋" w:hAnsi="仿宋" w:eastAsia="仿宋" w:cs="仿宋"/>
                <w:i w:val="0"/>
                <w:iCs w:val="0"/>
                <w:color w:val="000000"/>
                <w:sz w:val="24"/>
                <w:szCs w:val="24"/>
                <w:highlight w:val="none"/>
                <w:u w:val="none"/>
              </w:rPr>
            </w:pPr>
          </w:p>
        </w:tc>
        <w:tc>
          <w:tcPr>
            <w:tcW w:w="10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63246">
            <w:pPr>
              <w:spacing w:line="240" w:lineRule="auto"/>
              <w:jc w:val="left"/>
              <w:rPr>
                <w:rFonts w:hint="eastAsia" w:ascii="仿宋" w:hAnsi="仿宋" w:eastAsia="仿宋" w:cs="仿宋"/>
                <w:i w:val="0"/>
                <w:iCs w:val="0"/>
                <w:color w:val="000000"/>
                <w:sz w:val="24"/>
                <w:szCs w:val="24"/>
                <w:highlight w:val="none"/>
                <w:u w:val="none"/>
              </w:rPr>
            </w:pPr>
          </w:p>
        </w:tc>
        <w:tc>
          <w:tcPr>
            <w:tcW w:w="20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3B0C7">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清扫保洁、公厕、垃圾清运工作执行情况</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80DF9">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5C55C">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3.00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DBEC5">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r w14:paraId="04E59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DEC9C">
            <w:pPr>
              <w:spacing w:line="240" w:lineRule="auto"/>
              <w:jc w:val="center"/>
              <w:rPr>
                <w:rFonts w:hint="eastAsia" w:ascii="仿宋" w:hAnsi="仿宋" w:eastAsia="仿宋" w:cs="仿宋"/>
                <w:i w:val="0"/>
                <w:iCs w:val="0"/>
                <w:color w:val="000000"/>
                <w:sz w:val="24"/>
                <w:szCs w:val="24"/>
                <w:highlight w:val="none"/>
                <w:u w:val="none"/>
              </w:rPr>
            </w:pPr>
          </w:p>
        </w:tc>
        <w:tc>
          <w:tcPr>
            <w:tcW w:w="10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23BB0">
            <w:pPr>
              <w:spacing w:line="240" w:lineRule="auto"/>
              <w:jc w:val="left"/>
              <w:rPr>
                <w:rFonts w:hint="eastAsia" w:ascii="仿宋" w:hAnsi="仿宋" w:eastAsia="仿宋" w:cs="仿宋"/>
                <w:i w:val="0"/>
                <w:iCs w:val="0"/>
                <w:color w:val="000000"/>
                <w:sz w:val="24"/>
                <w:szCs w:val="24"/>
                <w:highlight w:val="none"/>
                <w:u w:val="none"/>
              </w:rPr>
            </w:pPr>
          </w:p>
        </w:tc>
        <w:tc>
          <w:tcPr>
            <w:tcW w:w="20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4C669">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生活垃圾处理费征收工作执行情况</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F31D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3CD8C">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1.50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D5FD0">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r>
      <w:tr w14:paraId="390C5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52C17">
            <w:pPr>
              <w:spacing w:line="240" w:lineRule="auto"/>
              <w:jc w:val="center"/>
              <w:rPr>
                <w:rFonts w:hint="eastAsia" w:ascii="仿宋" w:hAnsi="仿宋" w:eastAsia="仿宋" w:cs="仿宋"/>
                <w:i w:val="0"/>
                <w:iCs w:val="0"/>
                <w:color w:val="000000"/>
                <w:sz w:val="24"/>
                <w:szCs w:val="24"/>
                <w:highlight w:val="none"/>
                <w:u w:val="none"/>
              </w:rPr>
            </w:pPr>
          </w:p>
        </w:tc>
        <w:tc>
          <w:tcPr>
            <w:tcW w:w="10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8CFB4">
            <w:pPr>
              <w:spacing w:line="240" w:lineRule="auto"/>
              <w:jc w:val="left"/>
              <w:rPr>
                <w:rFonts w:hint="eastAsia" w:ascii="仿宋" w:hAnsi="仿宋" w:eastAsia="仿宋" w:cs="仿宋"/>
                <w:i w:val="0"/>
                <w:iCs w:val="0"/>
                <w:color w:val="000000"/>
                <w:sz w:val="24"/>
                <w:szCs w:val="24"/>
                <w:highlight w:val="none"/>
                <w:u w:val="none"/>
              </w:rPr>
            </w:pP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00678">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其他工作执行情况</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CC720">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8C6C9">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1.00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A40A">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r w14:paraId="3C291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5EE20">
            <w:pPr>
              <w:spacing w:line="240" w:lineRule="auto"/>
              <w:jc w:val="center"/>
              <w:rPr>
                <w:rFonts w:hint="eastAsia" w:ascii="仿宋" w:hAnsi="仿宋" w:eastAsia="仿宋" w:cs="仿宋"/>
                <w:i w:val="0"/>
                <w:iCs w:val="0"/>
                <w:color w:val="000000"/>
                <w:sz w:val="24"/>
                <w:szCs w:val="24"/>
                <w:highlight w:val="none"/>
                <w:u w:val="none"/>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AA6B2">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目标任务完成质量</w:t>
            </w: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7C334">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业务质量达标情况</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AC678">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7379A">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7.00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9136F">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r w14:paraId="09962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6AD9E">
            <w:pPr>
              <w:spacing w:line="240" w:lineRule="auto"/>
              <w:jc w:val="center"/>
              <w:rPr>
                <w:rFonts w:hint="eastAsia" w:ascii="仿宋" w:hAnsi="仿宋" w:eastAsia="仿宋" w:cs="仿宋"/>
                <w:i w:val="0"/>
                <w:iCs w:val="0"/>
                <w:color w:val="000000"/>
                <w:sz w:val="24"/>
                <w:szCs w:val="24"/>
                <w:highlight w:val="none"/>
                <w:u w:val="none"/>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A5278">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目标任务完成及时性</w:t>
            </w: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2FEB">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业务完成及时情况</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5AAB2">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ED858">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7.00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25813">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r w14:paraId="5F50A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AF6AB">
            <w:pPr>
              <w:spacing w:line="240" w:lineRule="auto"/>
              <w:jc w:val="center"/>
              <w:rPr>
                <w:rFonts w:hint="eastAsia" w:ascii="仿宋" w:hAnsi="仿宋" w:eastAsia="仿宋" w:cs="仿宋"/>
                <w:i w:val="0"/>
                <w:iCs w:val="0"/>
                <w:color w:val="000000"/>
                <w:sz w:val="24"/>
                <w:szCs w:val="24"/>
                <w:highlight w:val="none"/>
                <w:u w:val="none"/>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E0E0B">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运行成本控制有效性</w:t>
            </w: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53C2C">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成本控制情况</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1C9EB">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642E5">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5.88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52212">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84.00%</w:t>
            </w:r>
          </w:p>
        </w:tc>
      </w:tr>
      <w:tr w14:paraId="68A8E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89DAF9">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部门效果</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（15分）</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F8686">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社会效益</w:t>
            </w: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63B1C">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对政府形象和社会发展的贡献程度</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6650F">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9534F">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4.00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E4302">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r w14:paraId="2B529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264AE">
            <w:pPr>
              <w:spacing w:line="240" w:lineRule="auto"/>
              <w:jc w:val="center"/>
              <w:rPr>
                <w:rFonts w:hint="eastAsia" w:ascii="仿宋" w:hAnsi="仿宋" w:eastAsia="仿宋" w:cs="仿宋"/>
                <w:i w:val="0"/>
                <w:iCs w:val="0"/>
                <w:color w:val="000000"/>
                <w:sz w:val="24"/>
                <w:szCs w:val="24"/>
                <w:highlight w:val="none"/>
                <w:u w:val="none"/>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3F6D1">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生态效益</w:t>
            </w: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26F2F">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对生态环境的影响</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DBFB4">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6</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2FAAD">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6.00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6365D">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r w14:paraId="2973A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81790">
            <w:pPr>
              <w:spacing w:line="240" w:lineRule="auto"/>
              <w:jc w:val="center"/>
              <w:rPr>
                <w:rFonts w:hint="eastAsia" w:ascii="仿宋" w:hAnsi="仿宋" w:eastAsia="仿宋" w:cs="仿宋"/>
                <w:i w:val="0"/>
                <w:iCs w:val="0"/>
                <w:color w:val="000000"/>
                <w:sz w:val="24"/>
                <w:szCs w:val="24"/>
                <w:highlight w:val="none"/>
                <w:u w:val="none"/>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AF5E7">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可持续性</w:t>
            </w:r>
          </w:p>
        </w:tc>
        <w:tc>
          <w:tcPr>
            <w:tcW w:w="20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956F7">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工作创新可持续影响</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A2737">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790A3">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2.00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D76DB">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r>
      <w:tr w14:paraId="3DF9E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87F52">
            <w:pPr>
              <w:spacing w:line="240" w:lineRule="auto"/>
              <w:jc w:val="center"/>
              <w:rPr>
                <w:rFonts w:hint="eastAsia" w:ascii="仿宋" w:hAnsi="仿宋" w:eastAsia="仿宋" w:cs="仿宋"/>
                <w:i w:val="0"/>
                <w:iCs w:val="0"/>
                <w:color w:val="000000"/>
                <w:sz w:val="24"/>
                <w:szCs w:val="24"/>
                <w:highlight w:val="none"/>
                <w:u w:val="none"/>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F8648">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社会满意</w:t>
            </w: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90CA0">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受益群体满意度</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7242F">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F6443">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 2.53 </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63D4C">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84.33%</w:t>
            </w:r>
          </w:p>
        </w:tc>
      </w:tr>
      <w:tr w14:paraId="7DC20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67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33A9EB">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合计</w:t>
            </w:r>
          </w:p>
        </w:tc>
        <w:tc>
          <w:tcPr>
            <w:tcW w:w="2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E1E17">
            <w:pPr>
              <w:keepNext w:val="0"/>
              <w:keepLines w:val="0"/>
              <w:widowControl/>
              <w:suppressLineNumbers w:val="0"/>
              <w:spacing w:line="240" w:lineRule="auto"/>
              <w:jc w:val="left"/>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DCABD">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9F49C">
            <w:pPr>
              <w:keepNext w:val="0"/>
              <w:keepLines w:val="0"/>
              <w:widowControl/>
              <w:suppressLineNumbers w:val="0"/>
              <w:spacing w:line="240" w:lineRule="auto"/>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91.94</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99BC2">
            <w:pPr>
              <w:keepNext w:val="0"/>
              <w:keepLines w:val="0"/>
              <w:widowControl/>
              <w:suppressLineNumbers w:val="0"/>
              <w:spacing w:line="240" w:lineRule="auto"/>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91.94%</w:t>
            </w:r>
          </w:p>
        </w:tc>
      </w:tr>
    </w:tbl>
    <w:p w14:paraId="2227C901"/>
    <w:p w14:paraId="647645F0">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sz w:val="28"/>
          <w:szCs w:val="28"/>
          <w:lang w:val="en-US" w:eastAsia="zh-CN"/>
        </w:rPr>
      </w:pPr>
    </w:p>
    <w:p w14:paraId="13601D8D">
      <w:pPr>
        <w:pStyle w:val="6"/>
        <w:keepNext w:val="0"/>
        <w:keepLines w:val="0"/>
        <w:pageBreakBefore w:val="0"/>
        <w:widowControl w:val="0"/>
        <w:kinsoku/>
        <w:wordWrap/>
        <w:overflowPunct/>
        <w:topLinePunct w:val="0"/>
        <w:autoSpaceDE/>
        <w:autoSpaceDN/>
        <w:bidi w:val="0"/>
        <w:adjustRightInd/>
        <w:snapToGrid/>
        <w:spacing w:before="0" w:beforeAutospacing="0" w:line="360" w:lineRule="auto"/>
        <w:ind w:left="0" w:leftChars="0" w:right="0" w:rightChars="0"/>
        <w:jc w:val="left"/>
        <w:textAlignment w:val="auto"/>
        <w:outlineLvl w:val="0"/>
        <w:rPr>
          <w:rFonts w:hint="eastAsia" w:ascii="仿宋" w:hAnsi="仿宋" w:eastAsia="仿宋" w:cs="仿宋"/>
          <w:b/>
          <w:sz w:val="28"/>
          <w:szCs w:val="28"/>
        </w:rPr>
      </w:pPr>
      <w:bookmarkStart w:id="102" w:name="_Toc20963"/>
    </w:p>
    <w:bookmarkEnd w:id="102"/>
    <w:p w14:paraId="293CB62C">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br w:type="page"/>
      </w:r>
    </w:p>
    <w:p w14:paraId="56DD6D25">
      <w:pPr>
        <w:pStyle w:val="2"/>
        <w:rPr>
          <w:rFonts w:hint="default"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附件3：反映绩效的照片</w:t>
      </w:r>
    </w:p>
    <w:p w14:paraId="100A0FE4">
      <w:pPr>
        <w:pStyle w:val="2"/>
        <w:jc w:val="center"/>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反映项目绩效的照片</w:t>
      </w:r>
    </w:p>
    <w:p w14:paraId="12A1F0F0">
      <w:pPr>
        <w:pStyle w:val="2"/>
        <w:jc w:val="left"/>
        <w:rPr>
          <w:rFonts w:hint="default"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项目单位：永济市市容环卫中心</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2"/>
        <w:gridCol w:w="4262"/>
      </w:tblGrid>
      <w:tr w14:paraId="7DBB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2932A12">
            <w:pPr>
              <w:pStyle w:val="2"/>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60955" cy="2132330"/>
                  <wp:effectExtent l="0" t="0" r="8255" b="5080"/>
                  <wp:docPr id="2" name="图片 2" descr="1驿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驿站"/>
                          <pic:cNvPicPr>
                            <a:picLocks noChangeAspect="1"/>
                          </pic:cNvPicPr>
                        </pic:nvPicPr>
                        <pic:blipFill>
                          <a:blip r:embed="rId15"/>
                          <a:stretch>
                            <a:fillRect/>
                          </a:stretch>
                        </pic:blipFill>
                        <pic:spPr>
                          <a:xfrm>
                            <a:off x="0" y="0"/>
                            <a:ext cx="2560955" cy="2132330"/>
                          </a:xfrm>
                          <a:prstGeom prst="rect">
                            <a:avLst/>
                          </a:prstGeom>
                        </pic:spPr>
                      </pic:pic>
                    </a:graphicData>
                  </a:graphic>
                </wp:inline>
              </w:drawing>
            </w:r>
          </w:p>
        </w:tc>
        <w:tc>
          <w:tcPr>
            <w:tcW w:w="4261" w:type="dxa"/>
          </w:tcPr>
          <w:p w14:paraId="50099ABA">
            <w:pPr>
              <w:pStyle w:val="2"/>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62860" cy="2099945"/>
                  <wp:effectExtent l="0" t="0" r="6350" b="5080"/>
                  <wp:docPr id="3" name="图片 3" descr="垃圾中转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垃圾中转站"/>
                          <pic:cNvPicPr>
                            <a:picLocks noChangeAspect="1"/>
                          </pic:cNvPicPr>
                        </pic:nvPicPr>
                        <pic:blipFill>
                          <a:blip r:embed="rId16"/>
                          <a:stretch>
                            <a:fillRect/>
                          </a:stretch>
                        </pic:blipFill>
                        <pic:spPr>
                          <a:xfrm>
                            <a:off x="0" y="0"/>
                            <a:ext cx="2562860" cy="2099945"/>
                          </a:xfrm>
                          <a:prstGeom prst="rect">
                            <a:avLst/>
                          </a:prstGeom>
                        </pic:spPr>
                      </pic:pic>
                    </a:graphicData>
                  </a:graphic>
                </wp:inline>
              </w:drawing>
            </w:r>
          </w:p>
        </w:tc>
      </w:tr>
      <w:tr w14:paraId="586D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107DFFE">
            <w:pPr>
              <w:pStyle w:val="2"/>
              <w:jc w:val="center"/>
              <w:rPr>
                <w:rFonts w:hint="default" w:ascii="仿宋" w:hAnsi="仿宋" w:eastAsia="仿宋" w:cs="仿宋"/>
                <w:b w:val="0"/>
                <w:bCs w:val="0"/>
                <w:kern w:val="2"/>
                <w:sz w:val="28"/>
                <w:szCs w:val="28"/>
                <w:highlight w:val="none"/>
                <w:vertAlign w:val="baseline"/>
                <w:lang w:val="en-US" w:eastAsia="zh-CN" w:bidi="ar-SA"/>
              </w:rPr>
            </w:pPr>
            <w:r>
              <w:rPr>
                <w:rFonts w:hint="default" w:ascii="仿宋" w:hAnsi="仿宋" w:eastAsia="仿宋" w:cs="仿宋"/>
                <w:b w:val="0"/>
                <w:bCs w:val="0"/>
                <w:kern w:val="2"/>
                <w:sz w:val="28"/>
                <w:szCs w:val="28"/>
                <w:highlight w:val="none"/>
                <w:vertAlign w:val="baseline"/>
                <w:lang w:val="en-US" w:eastAsia="zh-CN" w:bidi="ar-SA"/>
              </w:rPr>
              <w:t>中心汽车站驿站</w:t>
            </w:r>
          </w:p>
        </w:tc>
        <w:tc>
          <w:tcPr>
            <w:tcW w:w="4261" w:type="dxa"/>
          </w:tcPr>
          <w:p w14:paraId="46B76082">
            <w:pPr>
              <w:pStyle w:val="2"/>
              <w:jc w:val="center"/>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城西中转站</w:t>
            </w:r>
          </w:p>
        </w:tc>
      </w:tr>
      <w:tr w14:paraId="4B13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59F432B">
            <w:pPr>
              <w:pStyle w:val="2"/>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62860" cy="1921510"/>
                  <wp:effectExtent l="0" t="0" r="6350" b="0"/>
                  <wp:docPr id="5" name="图片 5" descr="3驿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驿站"/>
                          <pic:cNvPicPr>
                            <a:picLocks noChangeAspect="1"/>
                          </pic:cNvPicPr>
                        </pic:nvPicPr>
                        <pic:blipFill>
                          <a:blip r:embed="rId17"/>
                          <a:stretch>
                            <a:fillRect/>
                          </a:stretch>
                        </pic:blipFill>
                        <pic:spPr>
                          <a:xfrm>
                            <a:off x="0" y="0"/>
                            <a:ext cx="2562860" cy="1921510"/>
                          </a:xfrm>
                          <a:prstGeom prst="rect">
                            <a:avLst/>
                          </a:prstGeom>
                        </pic:spPr>
                      </pic:pic>
                    </a:graphicData>
                  </a:graphic>
                </wp:inline>
              </w:drawing>
            </w:r>
          </w:p>
        </w:tc>
        <w:tc>
          <w:tcPr>
            <w:tcW w:w="4261" w:type="dxa"/>
          </w:tcPr>
          <w:p w14:paraId="161C5064">
            <w:pPr>
              <w:pStyle w:val="2"/>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62860" cy="1921510"/>
                  <wp:effectExtent l="0" t="0" r="6350" b="0"/>
                  <wp:docPr id="6" name="图片 6" descr="驿站内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驿站内部"/>
                          <pic:cNvPicPr>
                            <a:picLocks noChangeAspect="1"/>
                          </pic:cNvPicPr>
                        </pic:nvPicPr>
                        <pic:blipFill>
                          <a:blip r:embed="rId18"/>
                          <a:stretch>
                            <a:fillRect/>
                          </a:stretch>
                        </pic:blipFill>
                        <pic:spPr>
                          <a:xfrm>
                            <a:off x="0" y="0"/>
                            <a:ext cx="2562860" cy="1921510"/>
                          </a:xfrm>
                          <a:prstGeom prst="rect">
                            <a:avLst/>
                          </a:prstGeom>
                        </pic:spPr>
                      </pic:pic>
                    </a:graphicData>
                  </a:graphic>
                </wp:inline>
              </w:drawing>
            </w:r>
          </w:p>
        </w:tc>
      </w:tr>
      <w:tr w14:paraId="66D5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8541FC4">
            <w:pPr>
              <w:pStyle w:val="2"/>
              <w:jc w:val="center"/>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河东城市驿站</w:t>
            </w:r>
          </w:p>
        </w:tc>
        <w:tc>
          <w:tcPr>
            <w:tcW w:w="4261" w:type="dxa"/>
          </w:tcPr>
          <w:p w14:paraId="285B3BD4">
            <w:pPr>
              <w:pStyle w:val="2"/>
              <w:jc w:val="center"/>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河东城市驿站内部</w:t>
            </w:r>
          </w:p>
        </w:tc>
      </w:tr>
      <w:tr w14:paraId="4988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EA7F66E">
            <w:pPr>
              <w:pStyle w:val="2"/>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62860" cy="1921510"/>
                  <wp:effectExtent l="0" t="0" r="6350" b="0"/>
                  <wp:docPr id="7" name="图片 7" descr="2驿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驿站"/>
                          <pic:cNvPicPr>
                            <a:picLocks noChangeAspect="1"/>
                          </pic:cNvPicPr>
                        </pic:nvPicPr>
                        <pic:blipFill>
                          <a:blip r:embed="rId19"/>
                          <a:stretch>
                            <a:fillRect/>
                          </a:stretch>
                        </pic:blipFill>
                        <pic:spPr>
                          <a:xfrm>
                            <a:off x="0" y="0"/>
                            <a:ext cx="2562860" cy="1921510"/>
                          </a:xfrm>
                          <a:prstGeom prst="rect">
                            <a:avLst/>
                          </a:prstGeom>
                        </pic:spPr>
                      </pic:pic>
                    </a:graphicData>
                  </a:graphic>
                </wp:inline>
              </w:drawing>
            </w:r>
          </w:p>
        </w:tc>
        <w:tc>
          <w:tcPr>
            <w:tcW w:w="4261" w:type="dxa"/>
          </w:tcPr>
          <w:p w14:paraId="40124CAB">
            <w:pPr>
              <w:pStyle w:val="2"/>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62860" cy="1921510"/>
                  <wp:effectExtent l="0" t="0" r="6350" b="0"/>
                  <wp:docPr id="8" name="图片 8" descr="公厕内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公厕内部"/>
                          <pic:cNvPicPr>
                            <a:picLocks noChangeAspect="1"/>
                          </pic:cNvPicPr>
                        </pic:nvPicPr>
                        <pic:blipFill>
                          <a:blip r:embed="rId20"/>
                          <a:stretch>
                            <a:fillRect/>
                          </a:stretch>
                        </pic:blipFill>
                        <pic:spPr>
                          <a:xfrm>
                            <a:off x="0" y="0"/>
                            <a:ext cx="2562860" cy="1921510"/>
                          </a:xfrm>
                          <a:prstGeom prst="rect">
                            <a:avLst/>
                          </a:prstGeom>
                        </pic:spPr>
                      </pic:pic>
                    </a:graphicData>
                  </a:graphic>
                </wp:inline>
              </w:drawing>
            </w:r>
          </w:p>
        </w:tc>
      </w:tr>
      <w:tr w14:paraId="4D24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3721BD5">
            <w:pPr>
              <w:pStyle w:val="2"/>
              <w:jc w:val="center"/>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农药厂驿站</w:t>
            </w:r>
          </w:p>
        </w:tc>
        <w:tc>
          <w:tcPr>
            <w:tcW w:w="4261" w:type="dxa"/>
          </w:tcPr>
          <w:p w14:paraId="7122DE1F">
            <w:pPr>
              <w:pStyle w:val="2"/>
              <w:jc w:val="center"/>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农药厂驿站内部</w:t>
            </w:r>
          </w:p>
        </w:tc>
      </w:tr>
    </w:tbl>
    <w:p w14:paraId="30472248">
      <w:pPr>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br w:type="page"/>
      </w:r>
    </w:p>
    <w:p w14:paraId="182FA904">
      <w:pPr>
        <w:pStyle w:val="2"/>
        <w:rPr>
          <w:rFonts w:hint="default"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附件3：反映绩效的照片</w:t>
      </w:r>
    </w:p>
    <w:p w14:paraId="41A29E2C">
      <w:pPr>
        <w:pStyle w:val="2"/>
        <w:jc w:val="center"/>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反映项目绩效的照片</w:t>
      </w:r>
    </w:p>
    <w:p w14:paraId="38B67334">
      <w:pPr>
        <w:pStyle w:val="2"/>
        <w:jc w:val="left"/>
        <w:rPr>
          <w:rFonts w:hint="default"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项目单位：永济市市容环卫中心</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2"/>
        <w:gridCol w:w="4262"/>
      </w:tblGrid>
      <w:tr w14:paraId="4443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BF9F47C">
            <w:pPr>
              <w:pStyle w:val="2"/>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62860" cy="2061210"/>
                  <wp:effectExtent l="0" t="0" r="6350" b="635"/>
                  <wp:docPr id="9" name="图片 9" descr="4驿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驿站"/>
                          <pic:cNvPicPr>
                            <a:picLocks noChangeAspect="1"/>
                          </pic:cNvPicPr>
                        </pic:nvPicPr>
                        <pic:blipFill>
                          <a:blip r:embed="rId21"/>
                          <a:stretch>
                            <a:fillRect/>
                          </a:stretch>
                        </pic:blipFill>
                        <pic:spPr>
                          <a:xfrm>
                            <a:off x="0" y="0"/>
                            <a:ext cx="2562860" cy="2061210"/>
                          </a:xfrm>
                          <a:prstGeom prst="rect">
                            <a:avLst/>
                          </a:prstGeom>
                        </pic:spPr>
                      </pic:pic>
                    </a:graphicData>
                  </a:graphic>
                </wp:inline>
              </w:drawing>
            </w:r>
          </w:p>
        </w:tc>
        <w:tc>
          <w:tcPr>
            <w:tcW w:w="4261" w:type="dxa"/>
          </w:tcPr>
          <w:p w14:paraId="115701CE">
            <w:pPr>
              <w:pStyle w:val="2"/>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62860" cy="2084070"/>
                  <wp:effectExtent l="0" t="0" r="6350" b="10160"/>
                  <wp:docPr id="10" name="图片 10" descr="微信图片_2024091316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913163506"/>
                          <pic:cNvPicPr>
                            <a:picLocks noChangeAspect="1"/>
                          </pic:cNvPicPr>
                        </pic:nvPicPr>
                        <pic:blipFill>
                          <a:blip r:embed="rId22"/>
                          <a:stretch>
                            <a:fillRect/>
                          </a:stretch>
                        </pic:blipFill>
                        <pic:spPr>
                          <a:xfrm>
                            <a:off x="0" y="0"/>
                            <a:ext cx="2562860" cy="2084070"/>
                          </a:xfrm>
                          <a:prstGeom prst="rect">
                            <a:avLst/>
                          </a:prstGeom>
                        </pic:spPr>
                      </pic:pic>
                    </a:graphicData>
                  </a:graphic>
                </wp:inline>
              </w:drawing>
            </w:r>
          </w:p>
        </w:tc>
      </w:tr>
      <w:tr w14:paraId="2D07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DF1BA29">
            <w:pPr>
              <w:pStyle w:val="2"/>
              <w:jc w:val="center"/>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柳园城市驿站</w:t>
            </w:r>
          </w:p>
        </w:tc>
        <w:tc>
          <w:tcPr>
            <w:tcW w:w="4261" w:type="dxa"/>
          </w:tcPr>
          <w:p w14:paraId="73910E31">
            <w:pPr>
              <w:pStyle w:val="2"/>
              <w:jc w:val="center"/>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柳园城市驿站内部</w:t>
            </w:r>
          </w:p>
        </w:tc>
      </w:tr>
      <w:tr w14:paraId="35CA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6758FF1">
            <w:pPr>
              <w:pStyle w:val="2"/>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62860" cy="2130425"/>
                  <wp:effectExtent l="0" t="0" r="6350" b="6985"/>
                  <wp:docPr id="11" name="图片 11" descr="道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道路2"/>
                          <pic:cNvPicPr>
                            <a:picLocks noChangeAspect="1"/>
                          </pic:cNvPicPr>
                        </pic:nvPicPr>
                        <pic:blipFill>
                          <a:blip r:embed="rId23"/>
                          <a:stretch>
                            <a:fillRect/>
                          </a:stretch>
                        </pic:blipFill>
                        <pic:spPr>
                          <a:xfrm>
                            <a:off x="0" y="0"/>
                            <a:ext cx="2562860" cy="2130425"/>
                          </a:xfrm>
                          <a:prstGeom prst="rect">
                            <a:avLst/>
                          </a:prstGeom>
                        </pic:spPr>
                      </pic:pic>
                    </a:graphicData>
                  </a:graphic>
                </wp:inline>
              </w:drawing>
            </w:r>
          </w:p>
        </w:tc>
        <w:tc>
          <w:tcPr>
            <w:tcW w:w="4261" w:type="dxa"/>
          </w:tcPr>
          <w:p w14:paraId="65BA9952">
            <w:pPr>
              <w:pStyle w:val="2"/>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62860" cy="2091690"/>
                  <wp:effectExtent l="0" t="0" r="6350" b="2540"/>
                  <wp:docPr id="12" name="图片 12" descr="道路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道路4"/>
                          <pic:cNvPicPr>
                            <a:picLocks noChangeAspect="1"/>
                          </pic:cNvPicPr>
                        </pic:nvPicPr>
                        <pic:blipFill>
                          <a:blip r:embed="rId24"/>
                          <a:stretch>
                            <a:fillRect/>
                          </a:stretch>
                        </pic:blipFill>
                        <pic:spPr>
                          <a:xfrm>
                            <a:off x="0" y="0"/>
                            <a:ext cx="2562860" cy="2091690"/>
                          </a:xfrm>
                          <a:prstGeom prst="rect">
                            <a:avLst/>
                          </a:prstGeom>
                        </pic:spPr>
                      </pic:pic>
                    </a:graphicData>
                  </a:graphic>
                </wp:inline>
              </w:drawing>
            </w:r>
          </w:p>
        </w:tc>
      </w:tr>
      <w:tr w14:paraId="4AB9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35A5BD7">
            <w:pPr>
              <w:pStyle w:val="2"/>
              <w:jc w:val="center"/>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涑水东街</w:t>
            </w:r>
          </w:p>
        </w:tc>
        <w:tc>
          <w:tcPr>
            <w:tcW w:w="4261" w:type="dxa"/>
          </w:tcPr>
          <w:p w14:paraId="302141FE">
            <w:pPr>
              <w:pStyle w:val="2"/>
              <w:jc w:val="center"/>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舜都大道</w:t>
            </w:r>
          </w:p>
        </w:tc>
      </w:tr>
      <w:tr w14:paraId="7D94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D408ED5">
            <w:pPr>
              <w:pStyle w:val="2"/>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62860" cy="1928495"/>
                  <wp:effectExtent l="0" t="0" r="6350" b="3810"/>
                  <wp:docPr id="13" name="图片 13" descr="道路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道路6"/>
                          <pic:cNvPicPr>
                            <a:picLocks noChangeAspect="1"/>
                          </pic:cNvPicPr>
                        </pic:nvPicPr>
                        <pic:blipFill>
                          <a:blip r:embed="rId25"/>
                          <a:stretch>
                            <a:fillRect/>
                          </a:stretch>
                        </pic:blipFill>
                        <pic:spPr>
                          <a:xfrm>
                            <a:off x="0" y="0"/>
                            <a:ext cx="2562860" cy="1928495"/>
                          </a:xfrm>
                          <a:prstGeom prst="rect">
                            <a:avLst/>
                          </a:prstGeom>
                        </pic:spPr>
                      </pic:pic>
                    </a:graphicData>
                  </a:graphic>
                </wp:inline>
              </w:drawing>
            </w:r>
          </w:p>
        </w:tc>
        <w:tc>
          <w:tcPr>
            <w:tcW w:w="4261" w:type="dxa"/>
          </w:tcPr>
          <w:p w14:paraId="53EBCC00">
            <w:pPr>
              <w:pStyle w:val="2"/>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60955" cy="1921510"/>
                  <wp:effectExtent l="0" t="0" r="8255" b="0"/>
                  <wp:docPr id="15" name="图片 15" descr="舜都大道与桥北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舜都大道与桥北街"/>
                          <pic:cNvPicPr>
                            <a:picLocks noChangeAspect="1"/>
                          </pic:cNvPicPr>
                        </pic:nvPicPr>
                        <pic:blipFill>
                          <a:blip r:embed="rId26"/>
                          <a:stretch>
                            <a:fillRect/>
                          </a:stretch>
                        </pic:blipFill>
                        <pic:spPr>
                          <a:xfrm>
                            <a:off x="0" y="0"/>
                            <a:ext cx="2560955" cy="1921510"/>
                          </a:xfrm>
                          <a:prstGeom prst="rect">
                            <a:avLst/>
                          </a:prstGeom>
                        </pic:spPr>
                      </pic:pic>
                    </a:graphicData>
                  </a:graphic>
                </wp:inline>
              </w:drawing>
            </w:r>
          </w:p>
        </w:tc>
      </w:tr>
      <w:tr w14:paraId="49EC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9FCC979">
            <w:pPr>
              <w:pStyle w:val="2"/>
              <w:jc w:val="center"/>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河东大道与银杏西街</w:t>
            </w:r>
          </w:p>
        </w:tc>
        <w:tc>
          <w:tcPr>
            <w:tcW w:w="4261" w:type="dxa"/>
          </w:tcPr>
          <w:p w14:paraId="72BD6673">
            <w:pPr>
              <w:pStyle w:val="2"/>
              <w:jc w:val="center"/>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舜都大道与迎新街</w:t>
            </w:r>
          </w:p>
        </w:tc>
      </w:tr>
    </w:tbl>
    <w:p w14:paraId="203BD1C1">
      <w:pPr>
        <w:rPr>
          <w:rFonts w:hint="eastAsia" w:ascii="仿宋" w:hAnsi="仿宋" w:eastAsia="仿宋" w:cs="仿宋"/>
          <w:color w:val="auto"/>
          <w:sz w:val="24"/>
          <w:szCs w:val="22"/>
          <w:highlight w:val="none"/>
        </w:rPr>
      </w:pPr>
      <w:bookmarkStart w:id="103" w:name="_Toc13670"/>
      <w:bookmarkStart w:id="104" w:name="_Toc8719"/>
      <w:bookmarkStart w:id="105" w:name="_Toc13902"/>
      <w:bookmarkStart w:id="106" w:name="_Toc10166"/>
      <w:r>
        <w:rPr>
          <w:rFonts w:hint="eastAsia" w:ascii="仿宋" w:hAnsi="仿宋" w:eastAsia="仿宋" w:cs="仿宋"/>
          <w:color w:val="auto"/>
          <w:sz w:val="24"/>
          <w:szCs w:val="22"/>
          <w:highlight w:val="none"/>
        </w:rPr>
        <w:br w:type="page"/>
      </w:r>
    </w:p>
    <w:p w14:paraId="489A3CC8">
      <w:pPr>
        <w:pStyle w:val="2"/>
        <w:outlineLvl w:val="0"/>
        <w:rPr>
          <w:rFonts w:hint="eastAsia" w:ascii="仿宋" w:hAnsi="仿宋" w:eastAsia="仿宋" w:cs="仿宋"/>
          <w:color w:val="auto"/>
          <w:sz w:val="24"/>
          <w:szCs w:val="22"/>
          <w:highlight w:val="none"/>
        </w:rPr>
        <w:sectPr>
          <w:footerReference r:id="rId6" w:type="default"/>
          <w:pgSz w:w="11906" w:h="16838"/>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FD398EA">
      <w:pPr>
        <w:pStyle w:val="2"/>
        <w:rPr>
          <w:rFonts w:hint="default"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附件3：反映绩效的照片</w:t>
      </w:r>
    </w:p>
    <w:p w14:paraId="0B89ACFB">
      <w:pPr>
        <w:pStyle w:val="2"/>
        <w:jc w:val="center"/>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反映项目绩效的照片</w:t>
      </w:r>
    </w:p>
    <w:p w14:paraId="5CE10744">
      <w:pPr>
        <w:pStyle w:val="2"/>
        <w:jc w:val="left"/>
        <w:rPr>
          <w:rFonts w:hint="default"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项目单位：永济市市容环卫中心</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0"/>
      </w:tblGrid>
      <w:tr w14:paraId="67F1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1" w:hRule="atLeast"/>
        </w:trPr>
        <w:tc>
          <w:tcPr>
            <w:tcW w:w="9040" w:type="dxa"/>
          </w:tcPr>
          <w:p w14:paraId="5981EF9F">
            <w:pPr>
              <w:pStyle w:val="2"/>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5427345" cy="6858635"/>
                  <wp:effectExtent l="0" t="0" r="2540" b="6985"/>
                  <wp:docPr id="20" name="图片 20" descr="永济市环卫作业（清扫）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永济市环卫作业（清扫）平面图"/>
                          <pic:cNvPicPr>
                            <a:picLocks noChangeAspect="1"/>
                          </pic:cNvPicPr>
                        </pic:nvPicPr>
                        <pic:blipFill>
                          <a:blip r:embed="rId27"/>
                          <a:srcRect t="17103" r="3893" b="14579"/>
                          <a:stretch>
                            <a:fillRect/>
                          </a:stretch>
                        </pic:blipFill>
                        <pic:spPr>
                          <a:xfrm>
                            <a:off x="0" y="0"/>
                            <a:ext cx="5427345" cy="6858635"/>
                          </a:xfrm>
                          <a:prstGeom prst="rect">
                            <a:avLst/>
                          </a:prstGeom>
                        </pic:spPr>
                      </pic:pic>
                    </a:graphicData>
                  </a:graphic>
                </wp:inline>
              </w:drawing>
            </w:r>
          </w:p>
        </w:tc>
      </w:tr>
      <w:tr w14:paraId="3CC7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040" w:type="dxa"/>
          </w:tcPr>
          <w:p w14:paraId="57335897">
            <w:pPr>
              <w:pStyle w:val="2"/>
              <w:jc w:val="center"/>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永济市环卫作业（清扫）平面图</w:t>
            </w:r>
          </w:p>
        </w:tc>
      </w:tr>
    </w:tbl>
    <w:p w14:paraId="09DE340A">
      <w:pPr>
        <w:pStyle w:val="2"/>
        <w:outlineLvl w:val="0"/>
        <w:rPr>
          <w:rFonts w:hint="eastAsia" w:ascii="仿宋" w:hAnsi="仿宋" w:eastAsia="仿宋" w:cs="仿宋"/>
          <w:color w:val="auto"/>
          <w:sz w:val="24"/>
          <w:szCs w:val="22"/>
          <w:highlight w:val="none"/>
        </w:rPr>
        <w:sectPr>
          <w:pgSz w:w="11906" w:h="16838"/>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1268C66">
      <w:pPr>
        <w:pStyle w:val="2"/>
        <w:rPr>
          <w:rFonts w:hint="default"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附件3：反映绩效的照片</w:t>
      </w:r>
    </w:p>
    <w:p w14:paraId="7881E8F3">
      <w:pPr>
        <w:pStyle w:val="2"/>
        <w:jc w:val="center"/>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反映项目绩效的照片</w:t>
      </w:r>
    </w:p>
    <w:p w14:paraId="187F153A">
      <w:pPr>
        <w:pStyle w:val="2"/>
        <w:jc w:val="left"/>
        <w:rPr>
          <w:rFonts w:hint="default"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项目单位：永济市市容环卫中心</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0"/>
      </w:tblGrid>
      <w:tr w14:paraId="6EDE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1" w:hRule="atLeast"/>
        </w:trPr>
        <w:tc>
          <w:tcPr>
            <w:tcW w:w="9040" w:type="dxa"/>
          </w:tcPr>
          <w:p w14:paraId="415895CB">
            <w:pPr>
              <w:pStyle w:val="2"/>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5466080" cy="6879590"/>
                  <wp:effectExtent l="0" t="0" r="6985" b="7620"/>
                  <wp:docPr id="22" name="图片 22" descr="永济市环卫作业（清运）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永济市环卫作业（清运）平面图"/>
                          <pic:cNvPicPr>
                            <a:picLocks noChangeAspect="1"/>
                          </pic:cNvPicPr>
                        </pic:nvPicPr>
                        <pic:blipFill>
                          <a:blip r:embed="rId28"/>
                          <a:srcRect l="-107" t="16968" b="12161"/>
                          <a:stretch>
                            <a:fillRect/>
                          </a:stretch>
                        </pic:blipFill>
                        <pic:spPr>
                          <a:xfrm>
                            <a:off x="0" y="0"/>
                            <a:ext cx="5466080" cy="6879590"/>
                          </a:xfrm>
                          <a:prstGeom prst="rect">
                            <a:avLst/>
                          </a:prstGeom>
                        </pic:spPr>
                      </pic:pic>
                    </a:graphicData>
                  </a:graphic>
                </wp:inline>
              </w:drawing>
            </w:r>
          </w:p>
        </w:tc>
      </w:tr>
      <w:tr w14:paraId="631E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040" w:type="dxa"/>
          </w:tcPr>
          <w:p w14:paraId="5E6D354A">
            <w:pPr>
              <w:pStyle w:val="2"/>
              <w:jc w:val="center"/>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永济市环卫作业（清运）平面图</w:t>
            </w:r>
          </w:p>
        </w:tc>
      </w:tr>
    </w:tbl>
    <w:p w14:paraId="43F94279">
      <w:pPr>
        <w:pStyle w:val="2"/>
        <w:outlineLvl w:val="0"/>
        <w:rPr>
          <w:rFonts w:hint="eastAsia" w:ascii="仿宋" w:hAnsi="仿宋" w:eastAsia="仿宋" w:cs="仿宋"/>
          <w:color w:val="auto"/>
          <w:sz w:val="24"/>
          <w:szCs w:val="22"/>
          <w:highlight w:val="none"/>
        </w:rPr>
        <w:sectPr>
          <w:pgSz w:w="11906" w:h="16838"/>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609DF5E">
      <w:pPr>
        <w:pStyle w:val="2"/>
        <w:outlineLvl w:val="0"/>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附件</w:t>
      </w:r>
      <w:r>
        <w:rPr>
          <w:rFonts w:hint="eastAsia" w:ascii="仿宋" w:eastAsia="仿宋" w:cs="仿宋"/>
          <w:color w:val="auto"/>
          <w:sz w:val="24"/>
          <w:szCs w:val="22"/>
          <w:highlight w:val="none"/>
          <w:lang w:val="en-US" w:eastAsia="zh-CN"/>
        </w:rPr>
        <w:t>4</w:t>
      </w:r>
      <w:r>
        <w:rPr>
          <w:rFonts w:hint="eastAsia" w:ascii="仿宋" w:hAnsi="仿宋" w:eastAsia="仿宋" w:cs="仿宋"/>
          <w:color w:val="auto"/>
          <w:sz w:val="24"/>
          <w:szCs w:val="22"/>
          <w:highlight w:val="none"/>
        </w:rPr>
        <w:t>：调查问卷分析报告</w:t>
      </w:r>
      <w:bookmarkEnd w:id="103"/>
      <w:bookmarkEnd w:id="104"/>
      <w:bookmarkEnd w:id="105"/>
      <w:bookmarkEnd w:id="106"/>
    </w:p>
    <w:p w14:paraId="7E9CAD8A">
      <w:pPr>
        <w:spacing w:line="560" w:lineRule="exact"/>
        <w:ind w:firstLine="643" w:firstLineChars="200"/>
        <w:jc w:val="center"/>
        <w:rPr>
          <w:rFonts w:hint="default" w:ascii="仿宋" w:hAnsi="仿宋" w:eastAsia="仿宋" w:cs="仿宋"/>
          <w:b/>
          <w:bCs w:val="0"/>
          <w:sz w:val="32"/>
          <w:szCs w:val="32"/>
          <w:highlight w:val="none"/>
          <w:lang w:val="en-US" w:eastAsia="zh-CN" w:bidi="ar"/>
        </w:rPr>
      </w:pPr>
      <w:r>
        <w:rPr>
          <w:rFonts w:hint="eastAsia" w:ascii="仿宋" w:hAnsi="仿宋" w:eastAsia="仿宋" w:cs="仿宋"/>
          <w:b/>
          <w:bCs w:val="0"/>
          <w:sz w:val="32"/>
          <w:szCs w:val="32"/>
          <w:highlight w:val="none"/>
          <w:lang w:val="en-US" w:eastAsia="zh-CN" w:bidi="ar"/>
        </w:rPr>
        <w:t>永济市市容环卫中心2023年部门整体支出</w:t>
      </w:r>
    </w:p>
    <w:p w14:paraId="427CBFFA">
      <w:pPr>
        <w:spacing w:line="560" w:lineRule="exact"/>
        <w:ind w:firstLine="643" w:firstLineChars="200"/>
        <w:jc w:val="center"/>
        <w:rPr>
          <w:rFonts w:hint="eastAsia" w:ascii="仿宋" w:hAnsi="仿宋" w:eastAsia="仿宋" w:cs="仿宋"/>
          <w:b/>
          <w:bCs w:val="0"/>
          <w:sz w:val="32"/>
          <w:szCs w:val="32"/>
          <w:highlight w:val="none"/>
          <w:lang w:val="en-US" w:eastAsia="zh-CN" w:bidi="ar"/>
        </w:rPr>
      </w:pPr>
      <w:r>
        <w:rPr>
          <w:rFonts w:hint="eastAsia" w:ascii="仿宋" w:hAnsi="仿宋" w:eastAsia="仿宋" w:cs="仿宋"/>
          <w:b/>
          <w:bCs w:val="0"/>
          <w:sz w:val="32"/>
          <w:szCs w:val="32"/>
          <w:highlight w:val="none"/>
          <w:lang w:val="en-US" w:eastAsia="zh-CN" w:bidi="ar"/>
        </w:rPr>
        <w:t>绩效评价调查问卷分析报告</w:t>
      </w:r>
    </w:p>
    <w:p w14:paraId="60D590F4">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一、调查目的</w:t>
      </w:r>
    </w:p>
    <w:p w14:paraId="4CCB290C">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本次通过问卷调查获取社会公众对永济市市容环卫中心整体的满意度。</w:t>
      </w:r>
    </w:p>
    <w:p w14:paraId="7E5C92B0">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二、调查对象</w:t>
      </w:r>
    </w:p>
    <w:p w14:paraId="62518293">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区域内的受益群体。</w:t>
      </w:r>
    </w:p>
    <w:p w14:paraId="08CBEA06">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三、调查方式和样本量</w:t>
      </w:r>
    </w:p>
    <w:p w14:paraId="62A65C01">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本次采用问卷星调查方式进行问卷调查。共调查受益群体100人，实际回收100份问卷。</w:t>
      </w:r>
    </w:p>
    <w:p w14:paraId="7CFB3349">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四、调查主要内容</w:t>
      </w:r>
    </w:p>
    <w:p w14:paraId="4A56E49A">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r>
        <w:rPr>
          <w:rFonts w:hint="default" w:ascii="仿宋" w:hAnsi="仿宋" w:eastAsia="仿宋" w:cs="仿宋"/>
          <w:b w:val="0"/>
          <w:bCs w:val="0"/>
          <w:kern w:val="2"/>
          <w:sz w:val="28"/>
          <w:szCs w:val="28"/>
          <w:highlight w:val="none"/>
          <w:lang w:val="en-US" w:eastAsia="zh-CN" w:bidi="ar-SA"/>
        </w:rPr>
        <w:t>本次问卷内容</w:t>
      </w:r>
      <w:r>
        <w:rPr>
          <w:rFonts w:hint="eastAsia" w:ascii="仿宋" w:hAnsi="仿宋" w:eastAsia="仿宋" w:cs="仿宋"/>
          <w:b w:val="0"/>
          <w:bCs w:val="0"/>
          <w:kern w:val="2"/>
          <w:sz w:val="28"/>
          <w:szCs w:val="28"/>
          <w:highlight w:val="none"/>
          <w:lang w:val="en-US" w:eastAsia="zh-CN" w:bidi="ar-SA"/>
        </w:rPr>
        <w:t>对受益群体调查主要是对永济市市容环卫中心在道路清扫保洁、驿站公厕管理、垃圾清运以及部门整体工作成效方面的内容。</w:t>
      </w:r>
    </w:p>
    <w:p w14:paraId="2F512BDC">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五、调查分析结果</w:t>
      </w:r>
    </w:p>
    <w:p w14:paraId="3C17FBD5">
      <w:pPr>
        <w:widowControl w:val="0"/>
        <w:spacing w:line="560" w:lineRule="exact"/>
        <w:ind w:firstLine="560" w:firstLineChars="200"/>
        <w:jc w:val="both"/>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（1）受益群体调查分析结果</w:t>
      </w:r>
    </w:p>
    <w:p w14:paraId="4F54712E">
      <w:pPr>
        <w:widowControl w:val="0"/>
        <w:spacing w:line="560" w:lineRule="exact"/>
        <w:ind w:firstLine="560" w:firstLineChars="200"/>
        <w:jc w:val="both"/>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本次共调查受益群体100人。</w:t>
      </w:r>
      <w:r>
        <w:rPr>
          <w:rFonts w:hint="eastAsia" w:ascii="仿宋" w:hAnsi="仿宋" w:eastAsia="仿宋" w:cs="仿宋"/>
          <w:sz w:val="28"/>
          <w:szCs w:val="28"/>
          <w:highlight w:val="none"/>
          <w:lang w:val="en-US" w:eastAsia="zh-CN"/>
        </w:rPr>
        <w:t>86%的群众对部门整体工作感到满意</w:t>
      </w:r>
      <w:r>
        <w:rPr>
          <w:rFonts w:hint="eastAsia" w:ascii="仿宋" w:hAnsi="仿宋" w:eastAsia="仿宋" w:cs="仿宋"/>
          <w:b w:val="0"/>
          <w:bCs w:val="0"/>
          <w:kern w:val="2"/>
          <w:sz w:val="28"/>
          <w:szCs w:val="28"/>
          <w:highlight w:val="none"/>
          <w:lang w:val="en-US" w:eastAsia="zh-CN" w:bidi="ar-SA"/>
        </w:rPr>
        <w:t>。以下为受益群体调查问卷统计结果。</w:t>
      </w:r>
    </w:p>
    <w:p w14:paraId="4C91640B">
      <w:pPr>
        <w:keepLines w:val="0"/>
        <w:spacing w:after="400"/>
        <w:ind w:firstLine="160"/>
        <w:jc w:val="center"/>
        <w:rPr>
          <w:b/>
          <w:sz w:val="32"/>
        </w:rPr>
      </w:pPr>
      <w:r>
        <w:rPr>
          <w:b/>
          <w:sz w:val="32"/>
        </w:rPr>
        <w:t>永济市市容环卫中心</w:t>
      </w:r>
      <w:r>
        <w:rPr>
          <w:rFonts w:hint="eastAsia"/>
          <w:b/>
          <w:sz w:val="32"/>
          <w:lang w:val="en-US" w:eastAsia="zh-CN"/>
        </w:rPr>
        <w:t>部门整体</w:t>
      </w:r>
      <w:r>
        <w:rPr>
          <w:b/>
          <w:sz w:val="32"/>
        </w:rPr>
        <w:t>满意度调查问卷</w:t>
      </w:r>
    </w:p>
    <w:p w14:paraId="5DBC46E0">
      <w:pPr>
        <w:rPr>
          <w:b w:val="0"/>
          <w:color w:val="0066FF"/>
          <w:sz w:val="24"/>
        </w:rPr>
      </w:pPr>
      <w:r>
        <w:rPr>
          <w:b w:val="0"/>
          <w:color w:val="000000"/>
          <w:sz w:val="24"/>
        </w:rPr>
        <w:t xml:space="preserve">1.请问您所在的街道是？   </w:t>
      </w:r>
      <w:r>
        <w:rPr>
          <w:b w:val="0"/>
          <w:color w:val="0066FF"/>
          <w:sz w:val="24"/>
        </w:rPr>
        <w:t>[填空题]</w:t>
      </w:r>
    </w:p>
    <w:p w14:paraId="094A46D6">
      <w:pPr>
        <w:jc w:val="left"/>
        <w:rPr>
          <w:b w:val="0"/>
          <w:color w:val="000000"/>
          <w:sz w:val="24"/>
        </w:rPr>
      </w:pPr>
    </w:p>
    <w:p w14:paraId="28719D02">
      <w:pPr>
        <w:jc w:val="left"/>
        <w:rPr>
          <w:b w:val="0"/>
          <w:color w:val="0066FF"/>
          <w:sz w:val="24"/>
        </w:rPr>
      </w:pPr>
      <w:r>
        <w:rPr>
          <w:b w:val="0"/>
          <w:color w:val="000000"/>
          <w:sz w:val="24"/>
        </w:rPr>
        <w:t xml:space="preserve">2.请您对所在片区的环卫清扫保洁工作进行评价。   </w:t>
      </w:r>
      <w:r>
        <w:rPr>
          <w:b w:val="0"/>
          <w:color w:val="0066FF"/>
          <w:sz w:val="24"/>
        </w:rPr>
        <w:t>[矩阵量表题]</w:t>
      </w:r>
    </w:p>
    <w:p w14:paraId="72FE95AD">
      <w:pPr>
        <w:keepLines w:val="0"/>
        <w:jc w:val="left"/>
        <w:rPr>
          <w:b/>
          <w:sz w:val="24"/>
        </w:rPr>
      </w:pPr>
      <w:r>
        <w:rPr>
          <w:b/>
          <w:sz w:val="24"/>
        </w:rPr>
        <w:t>该矩阵题平均分：2.83</w:t>
      </w:r>
    </w:p>
    <w:tbl>
      <w:tblPr>
        <w:tblStyle w:val="12"/>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2900"/>
        <w:gridCol w:w="1335"/>
        <w:gridCol w:w="1803"/>
        <w:gridCol w:w="1958"/>
        <w:gridCol w:w="1246"/>
      </w:tblGrid>
      <w:tr w14:paraId="168EA75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606" w:type="dxa"/>
            <w:shd w:val="clear" w:color="auto" w:fill="F5F5F5"/>
            <w:vAlign w:val="center"/>
          </w:tcPr>
          <w:p w14:paraId="3DB38D66">
            <w:pPr>
              <w:jc w:val="center"/>
            </w:pPr>
            <w:r>
              <w:t>题目\选项</w:t>
            </w:r>
          </w:p>
        </w:tc>
        <w:tc>
          <w:tcPr>
            <w:tcW w:w="1200" w:type="dxa"/>
            <w:shd w:val="clear" w:color="auto" w:fill="F5F5F5"/>
            <w:vAlign w:val="center"/>
          </w:tcPr>
          <w:p w14:paraId="5E45E435">
            <w:pPr>
              <w:jc w:val="center"/>
            </w:pPr>
            <w:r>
              <w:t>差</w:t>
            </w:r>
          </w:p>
        </w:tc>
        <w:tc>
          <w:tcPr>
            <w:tcW w:w="1620" w:type="dxa"/>
            <w:shd w:val="clear" w:color="auto" w:fill="F5F5F5"/>
            <w:vAlign w:val="center"/>
          </w:tcPr>
          <w:p w14:paraId="20F316DF">
            <w:pPr>
              <w:jc w:val="center"/>
            </w:pPr>
            <w:r>
              <w:t>一般</w:t>
            </w:r>
          </w:p>
        </w:tc>
        <w:tc>
          <w:tcPr>
            <w:tcW w:w="1760" w:type="dxa"/>
            <w:shd w:val="clear" w:color="auto" w:fill="F5F5F5"/>
            <w:vAlign w:val="center"/>
          </w:tcPr>
          <w:p w14:paraId="23562088">
            <w:pPr>
              <w:jc w:val="center"/>
            </w:pPr>
            <w:r>
              <w:t>好</w:t>
            </w:r>
          </w:p>
        </w:tc>
        <w:tc>
          <w:tcPr>
            <w:tcW w:w="1120" w:type="dxa"/>
            <w:shd w:val="clear" w:color="auto" w:fill="F5F5F5"/>
            <w:vAlign w:val="center"/>
          </w:tcPr>
          <w:p w14:paraId="1865A470">
            <w:pPr>
              <w:jc w:val="center"/>
            </w:pPr>
            <w:r>
              <w:t>平均分</w:t>
            </w:r>
          </w:p>
        </w:tc>
      </w:tr>
      <w:tr w14:paraId="6B76259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606" w:type="dxa"/>
            <w:shd w:val="clear" w:color="auto" w:fill="FFFFFF"/>
            <w:vAlign w:val="center"/>
          </w:tcPr>
          <w:p w14:paraId="140197AD">
            <w:pPr>
              <w:jc w:val="center"/>
            </w:pPr>
            <w:r>
              <w:t>道路清扫</w:t>
            </w:r>
          </w:p>
        </w:tc>
        <w:tc>
          <w:tcPr>
            <w:tcW w:w="1200" w:type="dxa"/>
            <w:shd w:val="clear" w:color="auto" w:fill="FFFFFF"/>
            <w:vAlign w:val="center"/>
          </w:tcPr>
          <w:p w14:paraId="3A9B5043">
            <w:pPr>
              <w:jc w:val="center"/>
            </w:pPr>
            <w:r>
              <w:t>1(1%)</w:t>
            </w:r>
          </w:p>
        </w:tc>
        <w:tc>
          <w:tcPr>
            <w:tcW w:w="1620" w:type="dxa"/>
            <w:shd w:val="clear" w:color="auto" w:fill="FFFFFF"/>
            <w:vAlign w:val="center"/>
          </w:tcPr>
          <w:p w14:paraId="04B238C5">
            <w:pPr>
              <w:jc w:val="center"/>
            </w:pPr>
            <w:r>
              <w:t>7(7%)</w:t>
            </w:r>
          </w:p>
        </w:tc>
        <w:tc>
          <w:tcPr>
            <w:tcW w:w="1760" w:type="dxa"/>
            <w:shd w:val="clear" w:color="auto" w:fill="FFFFFF"/>
            <w:vAlign w:val="center"/>
          </w:tcPr>
          <w:p w14:paraId="05CBF74D">
            <w:pPr>
              <w:jc w:val="center"/>
            </w:pPr>
            <w:r>
              <w:t>92(92%)</w:t>
            </w:r>
          </w:p>
        </w:tc>
        <w:tc>
          <w:tcPr>
            <w:tcW w:w="1120" w:type="dxa"/>
            <w:shd w:val="clear" w:color="auto" w:fill="FFFFFF"/>
            <w:vAlign w:val="center"/>
          </w:tcPr>
          <w:p w14:paraId="56A87F96">
            <w:pPr>
              <w:jc w:val="center"/>
            </w:pPr>
            <w:r>
              <w:t>2.91</w:t>
            </w:r>
          </w:p>
        </w:tc>
      </w:tr>
      <w:tr w14:paraId="0761D80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606" w:type="dxa"/>
            <w:shd w:val="clear" w:color="auto" w:fill="FAFAFA"/>
            <w:vAlign w:val="center"/>
          </w:tcPr>
          <w:p w14:paraId="13AE34E3">
            <w:pPr>
              <w:jc w:val="center"/>
            </w:pPr>
            <w:r>
              <w:t>绿化带清理</w:t>
            </w:r>
          </w:p>
        </w:tc>
        <w:tc>
          <w:tcPr>
            <w:tcW w:w="1200" w:type="dxa"/>
            <w:shd w:val="clear" w:color="auto" w:fill="FAFAFA"/>
            <w:vAlign w:val="center"/>
          </w:tcPr>
          <w:p w14:paraId="3A1EAB0A">
            <w:pPr>
              <w:jc w:val="center"/>
            </w:pPr>
            <w:r>
              <w:t>0(0%)</w:t>
            </w:r>
          </w:p>
        </w:tc>
        <w:tc>
          <w:tcPr>
            <w:tcW w:w="1620" w:type="dxa"/>
            <w:shd w:val="clear" w:color="auto" w:fill="FAFAFA"/>
            <w:vAlign w:val="center"/>
          </w:tcPr>
          <w:p w14:paraId="128F2981">
            <w:pPr>
              <w:jc w:val="center"/>
            </w:pPr>
            <w:r>
              <w:t>21(21%)</w:t>
            </w:r>
          </w:p>
        </w:tc>
        <w:tc>
          <w:tcPr>
            <w:tcW w:w="1760" w:type="dxa"/>
            <w:shd w:val="clear" w:color="auto" w:fill="FAFAFA"/>
            <w:vAlign w:val="center"/>
          </w:tcPr>
          <w:p w14:paraId="4EB5458F">
            <w:pPr>
              <w:jc w:val="center"/>
            </w:pPr>
            <w:r>
              <w:t>79(79%)</w:t>
            </w:r>
          </w:p>
        </w:tc>
        <w:tc>
          <w:tcPr>
            <w:tcW w:w="1120" w:type="dxa"/>
            <w:shd w:val="clear" w:color="auto" w:fill="FAFAFA"/>
            <w:vAlign w:val="center"/>
          </w:tcPr>
          <w:p w14:paraId="25AF3EB3">
            <w:pPr>
              <w:jc w:val="center"/>
            </w:pPr>
            <w:r>
              <w:t>2.79</w:t>
            </w:r>
          </w:p>
        </w:tc>
      </w:tr>
      <w:tr w14:paraId="07DE1820">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606" w:type="dxa"/>
            <w:shd w:val="clear" w:color="auto" w:fill="FFFFFF"/>
            <w:vAlign w:val="center"/>
          </w:tcPr>
          <w:p w14:paraId="3819FDE1">
            <w:pPr>
              <w:jc w:val="center"/>
            </w:pPr>
            <w:r>
              <w:t>果皮箱保洁</w:t>
            </w:r>
          </w:p>
        </w:tc>
        <w:tc>
          <w:tcPr>
            <w:tcW w:w="1200" w:type="dxa"/>
            <w:shd w:val="clear" w:color="auto" w:fill="FFFFFF"/>
            <w:vAlign w:val="center"/>
          </w:tcPr>
          <w:p w14:paraId="353F7453">
            <w:pPr>
              <w:jc w:val="center"/>
            </w:pPr>
            <w:r>
              <w:t>0(0%)</w:t>
            </w:r>
          </w:p>
        </w:tc>
        <w:tc>
          <w:tcPr>
            <w:tcW w:w="1620" w:type="dxa"/>
            <w:shd w:val="clear" w:color="auto" w:fill="FFFFFF"/>
            <w:vAlign w:val="center"/>
          </w:tcPr>
          <w:p w14:paraId="737E39B4">
            <w:pPr>
              <w:jc w:val="center"/>
            </w:pPr>
            <w:r>
              <w:t>20(20%)</w:t>
            </w:r>
          </w:p>
        </w:tc>
        <w:tc>
          <w:tcPr>
            <w:tcW w:w="1760" w:type="dxa"/>
            <w:shd w:val="clear" w:color="auto" w:fill="FFFFFF"/>
            <w:vAlign w:val="center"/>
          </w:tcPr>
          <w:p w14:paraId="462B5F01">
            <w:pPr>
              <w:jc w:val="center"/>
            </w:pPr>
            <w:r>
              <w:t>80(80%)</w:t>
            </w:r>
          </w:p>
        </w:tc>
        <w:tc>
          <w:tcPr>
            <w:tcW w:w="1120" w:type="dxa"/>
            <w:shd w:val="clear" w:color="auto" w:fill="FFFFFF"/>
            <w:vAlign w:val="center"/>
          </w:tcPr>
          <w:p w14:paraId="11D71FD5">
            <w:pPr>
              <w:jc w:val="center"/>
            </w:pPr>
            <w:r>
              <w:t>2.8</w:t>
            </w:r>
          </w:p>
        </w:tc>
      </w:tr>
      <w:tr w14:paraId="0500CE5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606" w:type="dxa"/>
            <w:shd w:val="clear" w:color="auto" w:fill="FAFAFA"/>
            <w:vAlign w:val="center"/>
          </w:tcPr>
          <w:p w14:paraId="39241323">
            <w:pPr>
              <w:jc w:val="center"/>
            </w:pPr>
            <w:r>
              <w:t>垃圾收集清运及时程度</w:t>
            </w:r>
          </w:p>
        </w:tc>
        <w:tc>
          <w:tcPr>
            <w:tcW w:w="1200" w:type="dxa"/>
            <w:shd w:val="clear" w:color="auto" w:fill="FAFAFA"/>
            <w:vAlign w:val="center"/>
          </w:tcPr>
          <w:p w14:paraId="10E33286">
            <w:pPr>
              <w:jc w:val="center"/>
            </w:pPr>
            <w:r>
              <w:t>1(1%)</w:t>
            </w:r>
          </w:p>
        </w:tc>
        <w:tc>
          <w:tcPr>
            <w:tcW w:w="1620" w:type="dxa"/>
            <w:shd w:val="clear" w:color="auto" w:fill="FAFAFA"/>
            <w:vAlign w:val="center"/>
          </w:tcPr>
          <w:p w14:paraId="2E84FF4D">
            <w:pPr>
              <w:jc w:val="center"/>
            </w:pPr>
            <w:r>
              <w:t>15(15%)</w:t>
            </w:r>
          </w:p>
        </w:tc>
        <w:tc>
          <w:tcPr>
            <w:tcW w:w="1760" w:type="dxa"/>
            <w:shd w:val="clear" w:color="auto" w:fill="FAFAFA"/>
            <w:vAlign w:val="center"/>
          </w:tcPr>
          <w:p w14:paraId="32895849">
            <w:pPr>
              <w:jc w:val="center"/>
            </w:pPr>
            <w:r>
              <w:t>84(84%)</w:t>
            </w:r>
          </w:p>
        </w:tc>
        <w:tc>
          <w:tcPr>
            <w:tcW w:w="1120" w:type="dxa"/>
            <w:shd w:val="clear" w:color="auto" w:fill="FAFAFA"/>
            <w:vAlign w:val="center"/>
          </w:tcPr>
          <w:p w14:paraId="5D5A6494">
            <w:pPr>
              <w:jc w:val="center"/>
            </w:pPr>
            <w:r>
              <w:t>2.83</w:t>
            </w:r>
          </w:p>
        </w:tc>
      </w:tr>
      <w:tr w14:paraId="5004F18B">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606" w:type="dxa"/>
            <w:shd w:val="clear" w:color="auto" w:fill="F5F5F5"/>
            <w:vAlign w:val="center"/>
          </w:tcPr>
          <w:p w14:paraId="7D57C382">
            <w:pPr>
              <w:jc w:val="center"/>
            </w:pPr>
            <w:r>
              <w:t>小计</w:t>
            </w:r>
          </w:p>
        </w:tc>
        <w:tc>
          <w:tcPr>
            <w:tcW w:w="1200" w:type="dxa"/>
            <w:shd w:val="clear" w:color="auto" w:fill="F5F5F5"/>
            <w:vAlign w:val="center"/>
          </w:tcPr>
          <w:p w14:paraId="79CD7108">
            <w:pPr>
              <w:jc w:val="center"/>
            </w:pPr>
            <w:r>
              <w:t>2(0.5%)</w:t>
            </w:r>
          </w:p>
        </w:tc>
        <w:tc>
          <w:tcPr>
            <w:tcW w:w="1620" w:type="dxa"/>
            <w:shd w:val="clear" w:color="auto" w:fill="F5F5F5"/>
            <w:vAlign w:val="center"/>
          </w:tcPr>
          <w:p w14:paraId="5C026D1E">
            <w:pPr>
              <w:jc w:val="center"/>
            </w:pPr>
            <w:r>
              <w:t>63(15.75%)</w:t>
            </w:r>
          </w:p>
        </w:tc>
        <w:tc>
          <w:tcPr>
            <w:tcW w:w="1760" w:type="dxa"/>
            <w:shd w:val="clear" w:color="auto" w:fill="F5F5F5"/>
            <w:vAlign w:val="center"/>
          </w:tcPr>
          <w:p w14:paraId="4DE68B4E">
            <w:pPr>
              <w:jc w:val="center"/>
            </w:pPr>
            <w:r>
              <w:t>335(83.75%)</w:t>
            </w:r>
          </w:p>
        </w:tc>
        <w:tc>
          <w:tcPr>
            <w:tcW w:w="1120" w:type="dxa"/>
            <w:shd w:val="clear" w:color="auto" w:fill="F5F5F5"/>
            <w:vAlign w:val="center"/>
          </w:tcPr>
          <w:p w14:paraId="55513ED8">
            <w:pPr>
              <w:jc w:val="center"/>
            </w:pPr>
            <w:r>
              <w:t>2.83</w:t>
            </w:r>
          </w:p>
        </w:tc>
      </w:tr>
    </w:tbl>
    <w:p w14:paraId="11738EB7"/>
    <w:p w14:paraId="56CB9B16">
      <w:pPr>
        <w:rPr>
          <w:b w:val="0"/>
          <w:color w:val="0066FF"/>
          <w:sz w:val="24"/>
        </w:rPr>
      </w:pPr>
      <w:r>
        <w:rPr>
          <w:b w:val="0"/>
          <w:color w:val="000000"/>
          <w:sz w:val="24"/>
        </w:rPr>
        <w:t xml:space="preserve">3.请您对片区内的公共厕所、驿站进行评价。   </w:t>
      </w:r>
      <w:r>
        <w:rPr>
          <w:b w:val="0"/>
          <w:color w:val="0066FF"/>
          <w:sz w:val="24"/>
        </w:rPr>
        <w:t>[矩阵量表题]</w:t>
      </w:r>
    </w:p>
    <w:p w14:paraId="08F3401E">
      <w:pPr>
        <w:keepLines w:val="0"/>
        <w:jc w:val="left"/>
        <w:rPr>
          <w:b/>
          <w:sz w:val="24"/>
        </w:rPr>
      </w:pPr>
      <w:r>
        <w:rPr>
          <w:b/>
          <w:sz w:val="24"/>
        </w:rPr>
        <w:t>该矩阵题平均分：2.84</w:t>
      </w:r>
    </w:p>
    <w:tbl>
      <w:tblPr>
        <w:tblStyle w:val="12"/>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146"/>
        <w:gridCol w:w="1024"/>
        <w:gridCol w:w="1335"/>
        <w:gridCol w:w="1491"/>
        <w:gridCol w:w="1246"/>
      </w:tblGrid>
      <w:tr w14:paraId="40483F7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726" w:type="dxa"/>
            <w:shd w:val="clear" w:color="auto" w:fill="F5F5F5"/>
            <w:vAlign w:val="center"/>
          </w:tcPr>
          <w:p w14:paraId="718969EE">
            <w:pPr>
              <w:jc w:val="center"/>
            </w:pPr>
            <w:r>
              <w:t>题目\选项</w:t>
            </w:r>
          </w:p>
        </w:tc>
        <w:tc>
          <w:tcPr>
            <w:tcW w:w="920" w:type="dxa"/>
            <w:shd w:val="clear" w:color="auto" w:fill="F5F5F5"/>
            <w:vAlign w:val="center"/>
          </w:tcPr>
          <w:p w14:paraId="1E6799F4">
            <w:pPr>
              <w:jc w:val="center"/>
            </w:pPr>
            <w:r>
              <w:t>差</w:t>
            </w:r>
          </w:p>
        </w:tc>
        <w:tc>
          <w:tcPr>
            <w:tcW w:w="1200" w:type="dxa"/>
            <w:shd w:val="clear" w:color="auto" w:fill="F5F5F5"/>
            <w:vAlign w:val="center"/>
          </w:tcPr>
          <w:p w14:paraId="61E85284">
            <w:pPr>
              <w:jc w:val="center"/>
            </w:pPr>
            <w:r>
              <w:t>一般</w:t>
            </w:r>
          </w:p>
        </w:tc>
        <w:tc>
          <w:tcPr>
            <w:tcW w:w="1340" w:type="dxa"/>
            <w:shd w:val="clear" w:color="auto" w:fill="F5F5F5"/>
            <w:vAlign w:val="center"/>
          </w:tcPr>
          <w:p w14:paraId="6FFFFC9C">
            <w:pPr>
              <w:jc w:val="center"/>
            </w:pPr>
            <w:r>
              <w:t>好</w:t>
            </w:r>
          </w:p>
        </w:tc>
        <w:tc>
          <w:tcPr>
            <w:tcW w:w="1120" w:type="dxa"/>
            <w:shd w:val="clear" w:color="auto" w:fill="F5F5F5"/>
            <w:vAlign w:val="center"/>
          </w:tcPr>
          <w:p w14:paraId="6BB884D0">
            <w:pPr>
              <w:jc w:val="center"/>
            </w:pPr>
            <w:r>
              <w:t>平均分</w:t>
            </w:r>
          </w:p>
        </w:tc>
      </w:tr>
      <w:tr w14:paraId="0063C7C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726" w:type="dxa"/>
            <w:shd w:val="clear" w:color="auto" w:fill="FFFFFF"/>
            <w:vAlign w:val="center"/>
          </w:tcPr>
          <w:p w14:paraId="74FD54D7">
            <w:pPr>
              <w:jc w:val="center"/>
            </w:pPr>
            <w:r>
              <w:t>开放时间</w:t>
            </w:r>
          </w:p>
        </w:tc>
        <w:tc>
          <w:tcPr>
            <w:tcW w:w="920" w:type="dxa"/>
            <w:shd w:val="clear" w:color="auto" w:fill="FFFFFF"/>
            <w:vAlign w:val="center"/>
          </w:tcPr>
          <w:p w14:paraId="7564D144">
            <w:pPr>
              <w:jc w:val="center"/>
            </w:pPr>
            <w:r>
              <w:t>0(0%)</w:t>
            </w:r>
          </w:p>
        </w:tc>
        <w:tc>
          <w:tcPr>
            <w:tcW w:w="1200" w:type="dxa"/>
            <w:shd w:val="clear" w:color="auto" w:fill="FFFFFF"/>
            <w:vAlign w:val="center"/>
          </w:tcPr>
          <w:p w14:paraId="4D92A497">
            <w:pPr>
              <w:jc w:val="center"/>
            </w:pPr>
            <w:r>
              <w:t>13(13%)</w:t>
            </w:r>
          </w:p>
        </w:tc>
        <w:tc>
          <w:tcPr>
            <w:tcW w:w="1340" w:type="dxa"/>
            <w:shd w:val="clear" w:color="auto" w:fill="FFFFFF"/>
            <w:vAlign w:val="center"/>
          </w:tcPr>
          <w:p w14:paraId="26FF2533">
            <w:pPr>
              <w:jc w:val="center"/>
            </w:pPr>
            <w:r>
              <w:t>87(87%)</w:t>
            </w:r>
          </w:p>
        </w:tc>
        <w:tc>
          <w:tcPr>
            <w:tcW w:w="1120" w:type="dxa"/>
            <w:shd w:val="clear" w:color="auto" w:fill="FFFFFF"/>
            <w:vAlign w:val="center"/>
          </w:tcPr>
          <w:p w14:paraId="192A2E87">
            <w:pPr>
              <w:jc w:val="center"/>
            </w:pPr>
            <w:r>
              <w:t>2.87</w:t>
            </w:r>
          </w:p>
        </w:tc>
      </w:tr>
      <w:tr w14:paraId="038E27BE">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726" w:type="dxa"/>
            <w:shd w:val="clear" w:color="auto" w:fill="FAFAFA"/>
            <w:vAlign w:val="center"/>
          </w:tcPr>
          <w:p w14:paraId="26B3A233">
            <w:pPr>
              <w:jc w:val="center"/>
            </w:pPr>
            <w:r>
              <w:t>环境整洁程度</w:t>
            </w:r>
          </w:p>
        </w:tc>
        <w:tc>
          <w:tcPr>
            <w:tcW w:w="920" w:type="dxa"/>
            <w:shd w:val="clear" w:color="auto" w:fill="FAFAFA"/>
            <w:vAlign w:val="center"/>
          </w:tcPr>
          <w:p w14:paraId="3EDB6BB3">
            <w:pPr>
              <w:jc w:val="center"/>
            </w:pPr>
            <w:r>
              <w:t>0(0%)</w:t>
            </w:r>
          </w:p>
        </w:tc>
        <w:tc>
          <w:tcPr>
            <w:tcW w:w="1200" w:type="dxa"/>
            <w:shd w:val="clear" w:color="auto" w:fill="FAFAFA"/>
            <w:vAlign w:val="center"/>
          </w:tcPr>
          <w:p w14:paraId="5E7B4C16">
            <w:pPr>
              <w:jc w:val="center"/>
            </w:pPr>
            <w:r>
              <w:t>20(20%)</w:t>
            </w:r>
          </w:p>
        </w:tc>
        <w:tc>
          <w:tcPr>
            <w:tcW w:w="1340" w:type="dxa"/>
            <w:shd w:val="clear" w:color="auto" w:fill="FAFAFA"/>
            <w:vAlign w:val="center"/>
          </w:tcPr>
          <w:p w14:paraId="2A2ED70D">
            <w:pPr>
              <w:jc w:val="center"/>
            </w:pPr>
            <w:r>
              <w:t>80(80%)</w:t>
            </w:r>
          </w:p>
        </w:tc>
        <w:tc>
          <w:tcPr>
            <w:tcW w:w="1120" w:type="dxa"/>
            <w:shd w:val="clear" w:color="auto" w:fill="FAFAFA"/>
            <w:vAlign w:val="center"/>
          </w:tcPr>
          <w:p w14:paraId="7F16ABCD">
            <w:pPr>
              <w:jc w:val="center"/>
            </w:pPr>
            <w:r>
              <w:t>2.8</w:t>
            </w:r>
          </w:p>
        </w:tc>
      </w:tr>
      <w:tr w14:paraId="62A8968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726" w:type="dxa"/>
            <w:shd w:val="clear" w:color="auto" w:fill="FFFFFF"/>
            <w:vAlign w:val="center"/>
          </w:tcPr>
          <w:p w14:paraId="7EF2E5AA">
            <w:pPr>
              <w:jc w:val="center"/>
            </w:pPr>
            <w:r>
              <w:t>内部设施配置</w:t>
            </w:r>
          </w:p>
        </w:tc>
        <w:tc>
          <w:tcPr>
            <w:tcW w:w="920" w:type="dxa"/>
            <w:shd w:val="clear" w:color="auto" w:fill="FFFFFF"/>
            <w:vAlign w:val="center"/>
          </w:tcPr>
          <w:p w14:paraId="38A5275A">
            <w:pPr>
              <w:jc w:val="center"/>
            </w:pPr>
            <w:r>
              <w:t>0(0%)</w:t>
            </w:r>
          </w:p>
        </w:tc>
        <w:tc>
          <w:tcPr>
            <w:tcW w:w="1200" w:type="dxa"/>
            <w:shd w:val="clear" w:color="auto" w:fill="FFFFFF"/>
            <w:vAlign w:val="center"/>
          </w:tcPr>
          <w:p w14:paraId="3C94A2FB">
            <w:pPr>
              <w:jc w:val="center"/>
            </w:pPr>
            <w:r>
              <w:t>15(15%)</w:t>
            </w:r>
          </w:p>
        </w:tc>
        <w:tc>
          <w:tcPr>
            <w:tcW w:w="1340" w:type="dxa"/>
            <w:shd w:val="clear" w:color="auto" w:fill="FFFFFF"/>
            <w:vAlign w:val="center"/>
          </w:tcPr>
          <w:p w14:paraId="46049699">
            <w:pPr>
              <w:jc w:val="center"/>
            </w:pPr>
            <w:r>
              <w:t>85(85%)</w:t>
            </w:r>
          </w:p>
        </w:tc>
        <w:tc>
          <w:tcPr>
            <w:tcW w:w="1120" w:type="dxa"/>
            <w:shd w:val="clear" w:color="auto" w:fill="FFFFFF"/>
            <w:vAlign w:val="center"/>
          </w:tcPr>
          <w:p w14:paraId="5EA0A86D">
            <w:pPr>
              <w:jc w:val="center"/>
            </w:pPr>
            <w:r>
              <w:t>2.85</w:t>
            </w:r>
          </w:p>
        </w:tc>
      </w:tr>
      <w:tr w14:paraId="743492E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726" w:type="dxa"/>
            <w:shd w:val="clear" w:color="auto" w:fill="F5F5F5"/>
            <w:vAlign w:val="center"/>
          </w:tcPr>
          <w:p w14:paraId="5B5F3E37">
            <w:pPr>
              <w:jc w:val="center"/>
            </w:pPr>
            <w:r>
              <w:t>小计</w:t>
            </w:r>
          </w:p>
        </w:tc>
        <w:tc>
          <w:tcPr>
            <w:tcW w:w="920" w:type="dxa"/>
            <w:shd w:val="clear" w:color="auto" w:fill="F5F5F5"/>
            <w:vAlign w:val="center"/>
          </w:tcPr>
          <w:p w14:paraId="3BBA9440">
            <w:pPr>
              <w:jc w:val="center"/>
            </w:pPr>
            <w:r>
              <w:t>0(0%)</w:t>
            </w:r>
          </w:p>
        </w:tc>
        <w:tc>
          <w:tcPr>
            <w:tcW w:w="1200" w:type="dxa"/>
            <w:shd w:val="clear" w:color="auto" w:fill="F5F5F5"/>
            <w:vAlign w:val="center"/>
          </w:tcPr>
          <w:p w14:paraId="61812727">
            <w:pPr>
              <w:jc w:val="center"/>
            </w:pPr>
            <w:r>
              <w:t>48(16%)</w:t>
            </w:r>
          </w:p>
        </w:tc>
        <w:tc>
          <w:tcPr>
            <w:tcW w:w="1340" w:type="dxa"/>
            <w:shd w:val="clear" w:color="auto" w:fill="F5F5F5"/>
            <w:vAlign w:val="center"/>
          </w:tcPr>
          <w:p w14:paraId="1A32F189">
            <w:pPr>
              <w:jc w:val="center"/>
            </w:pPr>
            <w:r>
              <w:t>252(84%)</w:t>
            </w:r>
          </w:p>
        </w:tc>
        <w:tc>
          <w:tcPr>
            <w:tcW w:w="1120" w:type="dxa"/>
            <w:shd w:val="clear" w:color="auto" w:fill="F5F5F5"/>
            <w:vAlign w:val="center"/>
          </w:tcPr>
          <w:p w14:paraId="3EBECAAB">
            <w:pPr>
              <w:jc w:val="center"/>
            </w:pPr>
            <w:r>
              <w:t>2.84</w:t>
            </w:r>
          </w:p>
        </w:tc>
      </w:tr>
    </w:tbl>
    <w:p w14:paraId="3BA5966B"/>
    <w:p w14:paraId="2506E112">
      <w:pPr>
        <w:rPr>
          <w:b w:val="0"/>
          <w:color w:val="0066FF"/>
          <w:sz w:val="24"/>
        </w:rPr>
      </w:pPr>
      <w:r>
        <w:rPr>
          <w:b w:val="0"/>
          <w:color w:val="000000"/>
          <w:sz w:val="24"/>
        </w:rPr>
        <w:t xml:space="preserve">4.请您对我市中心城区环卫工作整体情况进行评价。   </w:t>
      </w:r>
      <w:r>
        <w:rPr>
          <w:b w:val="0"/>
          <w:color w:val="0066FF"/>
          <w:sz w:val="24"/>
        </w:rPr>
        <w:t>[量表题]</w:t>
      </w:r>
    </w:p>
    <w:p w14:paraId="1639AF77">
      <w:pPr>
        <w:spacing w:before="150" w:after="150"/>
        <w:ind w:left="0" w:right="0"/>
        <w:rPr>
          <w:rFonts w:ascii="Times New Roman" w:hAnsi="Times New Roman" w:eastAsia="Times New Roman" w:cs="Times New Roman"/>
        </w:rPr>
      </w:pPr>
      <w:r>
        <w:rPr>
          <w:rFonts w:ascii="PMingLiU" w:hAnsi="PMingLiU" w:eastAsia="PMingLiU" w:cs="PMingLiU"/>
          <w:b/>
          <w:bCs/>
        </w:rPr>
        <w:t>本题平均分：</w:t>
      </w:r>
      <w:r>
        <w:rPr>
          <w:rFonts w:ascii="Times New Roman" w:hAnsi="Times New Roman" w:eastAsia="Times New Roman" w:cs="Times New Roman"/>
        </w:rPr>
        <w:t>4.53</w:t>
      </w:r>
    </w:p>
    <w:tbl>
      <w:tblPr>
        <w:tblStyle w:val="12"/>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673"/>
        <w:gridCol w:w="1113"/>
        <w:gridCol w:w="3456"/>
      </w:tblGrid>
      <w:tr w14:paraId="2336049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117B2AE9">
            <w:pPr>
              <w:jc w:val="left"/>
            </w:pPr>
            <w:r>
              <w:t>选项</w:t>
            </w:r>
          </w:p>
        </w:tc>
        <w:tc>
          <w:tcPr>
            <w:tcW w:w="1000" w:type="dxa"/>
            <w:shd w:val="clear" w:color="auto" w:fill="F5F5F5"/>
            <w:vAlign w:val="center"/>
          </w:tcPr>
          <w:p w14:paraId="70F7E7FD">
            <w:pPr>
              <w:jc w:val="center"/>
            </w:pPr>
            <w:r>
              <w:t>小计</w:t>
            </w:r>
          </w:p>
        </w:tc>
        <w:tc>
          <w:tcPr>
            <w:tcW w:w="3106" w:type="dxa"/>
            <w:shd w:val="clear" w:color="auto" w:fill="F5F5F5"/>
            <w:vAlign w:val="center"/>
          </w:tcPr>
          <w:p w14:paraId="703F637D">
            <w:pPr>
              <w:jc w:val="left"/>
            </w:pPr>
            <w:r>
              <w:t>比例</w:t>
            </w:r>
          </w:p>
        </w:tc>
      </w:tr>
      <w:tr w14:paraId="538DD50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E942E04">
            <w:pPr>
              <w:jc w:val="left"/>
            </w:pPr>
            <w:r>
              <w:t>很不满意</w:t>
            </w:r>
          </w:p>
        </w:tc>
        <w:tc>
          <w:tcPr>
            <w:tcW w:w="1000" w:type="dxa"/>
            <w:shd w:val="clear" w:color="auto" w:fill="FFFFFF"/>
            <w:vAlign w:val="center"/>
          </w:tcPr>
          <w:p w14:paraId="68B0D994">
            <w:pPr>
              <w:jc w:val="center"/>
            </w:pPr>
            <w:r>
              <w:t>0</w:t>
            </w:r>
          </w:p>
        </w:tc>
        <w:tc>
          <w:tcPr>
            <w:tcW w:w="3106" w:type="dxa"/>
            <w:shd w:val="clear" w:color="auto" w:fill="FFFFFF"/>
            <w:vAlign w:val="center"/>
          </w:tcPr>
          <w:p w14:paraId="0BB28A64">
            <w:pPr>
              <w:jc w:val="left"/>
            </w:pPr>
            <w:r>
              <w:drawing>
                <wp:inline distT="0" distB="0" distL="114300" distR="114300">
                  <wp:extent cx="1352550" cy="114300"/>
                  <wp:effectExtent l="0" t="0" r="7620" b="444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8"/>
                          <a:stretch>
                            <a:fillRect/>
                          </a:stretch>
                        </pic:blipFill>
                        <pic:spPr>
                          <a:xfrm>
                            <a:off x="0" y="0"/>
                            <a:ext cx="1352739" cy="114316"/>
                          </a:xfrm>
                          <a:prstGeom prst="rect">
                            <a:avLst/>
                          </a:prstGeom>
                        </pic:spPr>
                      </pic:pic>
                    </a:graphicData>
                  </a:graphic>
                </wp:inline>
              </w:drawing>
            </w:r>
            <w:r>
              <w:t>0%</w:t>
            </w:r>
          </w:p>
        </w:tc>
      </w:tr>
      <w:tr w14:paraId="04E53BD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6A1572CE">
            <w:pPr>
              <w:jc w:val="left"/>
            </w:pPr>
            <w:r>
              <w:t>不满意</w:t>
            </w:r>
          </w:p>
        </w:tc>
        <w:tc>
          <w:tcPr>
            <w:tcW w:w="1000" w:type="dxa"/>
            <w:shd w:val="clear" w:color="auto" w:fill="FAFAFA"/>
            <w:vAlign w:val="center"/>
          </w:tcPr>
          <w:p w14:paraId="4351DBF3">
            <w:pPr>
              <w:jc w:val="center"/>
            </w:pPr>
            <w:r>
              <w:t>0</w:t>
            </w:r>
          </w:p>
        </w:tc>
        <w:tc>
          <w:tcPr>
            <w:tcW w:w="3106" w:type="dxa"/>
            <w:shd w:val="clear" w:color="auto" w:fill="FAFAFA"/>
            <w:vAlign w:val="center"/>
          </w:tcPr>
          <w:p w14:paraId="6D118002">
            <w:pPr>
              <w:jc w:val="left"/>
            </w:pPr>
            <w:r>
              <w:drawing>
                <wp:inline distT="0" distB="0" distL="114300" distR="114300">
                  <wp:extent cx="1352550" cy="114300"/>
                  <wp:effectExtent l="0" t="0" r="7620" b="444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8"/>
                          <a:stretch>
                            <a:fillRect/>
                          </a:stretch>
                        </pic:blipFill>
                        <pic:spPr>
                          <a:xfrm>
                            <a:off x="0" y="0"/>
                            <a:ext cx="1352739" cy="114316"/>
                          </a:xfrm>
                          <a:prstGeom prst="rect">
                            <a:avLst/>
                          </a:prstGeom>
                        </pic:spPr>
                      </pic:pic>
                    </a:graphicData>
                  </a:graphic>
                </wp:inline>
              </w:drawing>
            </w:r>
            <w:r>
              <w:t>0%</w:t>
            </w:r>
          </w:p>
        </w:tc>
      </w:tr>
      <w:tr w14:paraId="4A541BE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7DA4291">
            <w:pPr>
              <w:jc w:val="left"/>
            </w:pPr>
            <w:r>
              <w:t>一般</w:t>
            </w:r>
          </w:p>
        </w:tc>
        <w:tc>
          <w:tcPr>
            <w:tcW w:w="1000" w:type="dxa"/>
            <w:shd w:val="clear" w:color="auto" w:fill="FFFFFF"/>
            <w:vAlign w:val="center"/>
          </w:tcPr>
          <w:p w14:paraId="2EBABE38">
            <w:pPr>
              <w:jc w:val="center"/>
            </w:pPr>
            <w:r>
              <w:t>14</w:t>
            </w:r>
          </w:p>
        </w:tc>
        <w:tc>
          <w:tcPr>
            <w:tcW w:w="3106" w:type="dxa"/>
            <w:shd w:val="clear" w:color="auto" w:fill="FFFFFF"/>
            <w:vAlign w:val="center"/>
          </w:tcPr>
          <w:p w14:paraId="77556F6B">
            <w:pPr>
              <w:jc w:val="left"/>
            </w:pPr>
            <w:r>
              <w:drawing>
                <wp:inline distT="0" distB="0" distL="114300" distR="114300">
                  <wp:extent cx="180975" cy="114300"/>
                  <wp:effectExtent l="0" t="0" r="2540" b="444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9"/>
                          <a:stretch>
                            <a:fillRect/>
                          </a:stretch>
                        </pic:blipFill>
                        <pic:spPr>
                          <a:xfrm>
                            <a:off x="0" y="0"/>
                            <a:ext cx="181000" cy="114316"/>
                          </a:xfrm>
                          <a:prstGeom prst="rect">
                            <a:avLst/>
                          </a:prstGeom>
                        </pic:spPr>
                      </pic:pic>
                    </a:graphicData>
                  </a:graphic>
                </wp:inline>
              </w:drawing>
            </w:r>
            <w:r>
              <w:drawing>
                <wp:inline distT="0" distB="0" distL="114300" distR="114300">
                  <wp:extent cx="1171575" cy="114300"/>
                  <wp:effectExtent l="0" t="0" r="5080" b="444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0"/>
                          <a:stretch>
                            <a:fillRect/>
                          </a:stretch>
                        </pic:blipFill>
                        <pic:spPr>
                          <a:xfrm>
                            <a:off x="0" y="0"/>
                            <a:ext cx="1171739" cy="114316"/>
                          </a:xfrm>
                          <a:prstGeom prst="rect">
                            <a:avLst/>
                          </a:prstGeom>
                        </pic:spPr>
                      </pic:pic>
                    </a:graphicData>
                  </a:graphic>
                </wp:inline>
              </w:drawing>
            </w:r>
            <w:r>
              <w:t>14%</w:t>
            </w:r>
          </w:p>
        </w:tc>
      </w:tr>
      <w:tr w14:paraId="624DB5B0">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06AF67C8">
            <w:pPr>
              <w:jc w:val="left"/>
            </w:pPr>
            <w:r>
              <w:t>满意</w:t>
            </w:r>
          </w:p>
        </w:tc>
        <w:tc>
          <w:tcPr>
            <w:tcW w:w="1000" w:type="dxa"/>
            <w:shd w:val="clear" w:color="auto" w:fill="FAFAFA"/>
            <w:vAlign w:val="center"/>
          </w:tcPr>
          <w:p w14:paraId="37287B61">
            <w:pPr>
              <w:jc w:val="center"/>
            </w:pPr>
            <w:r>
              <w:t>19</w:t>
            </w:r>
          </w:p>
        </w:tc>
        <w:tc>
          <w:tcPr>
            <w:tcW w:w="3106" w:type="dxa"/>
            <w:shd w:val="clear" w:color="auto" w:fill="FAFAFA"/>
            <w:vAlign w:val="center"/>
          </w:tcPr>
          <w:p w14:paraId="1AFB98FF">
            <w:pPr>
              <w:jc w:val="left"/>
            </w:pPr>
            <w:r>
              <w:drawing>
                <wp:inline distT="0" distB="0" distL="114300" distR="114300">
                  <wp:extent cx="247650" cy="114300"/>
                  <wp:effectExtent l="0" t="0" r="635" b="444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1"/>
                          <a:stretch>
                            <a:fillRect/>
                          </a:stretch>
                        </pic:blipFill>
                        <pic:spPr>
                          <a:xfrm>
                            <a:off x="0" y="0"/>
                            <a:ext cx="247685" cy="114316"/>
                          </a:xfrm>
                          <a:prstGeom prst="rect">
                            <a:avLst/>
                          </a:prstGeom>
                        </pic:spPr>
                      </pic:pic>
                    </a:graphicData>
                  </a:graphic>
                </wp:inline>
              </w:drawing>
            </w:r>
            <w:r>
              <w:drawing>
                <wp:inline distT="0" distB="0" distL="114300" distR="114300">
                  <wp:extent cx="1104900" cy="114300"/>
                  <wp:effectExtent l="0" t="0" r="6985" b="444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2"/>
                          <a:stretch>
                            <a:fillRect/>
                          </a:stretch>
                        </pic:blipFill>
                        <pic:spPr>
                          <a:xfrm>
                            <a:off x="0" y="0"/>
                            <a:ext cx="1105054" cy="114316"/>
                          </a:xfrm>
                          <a:prstGeom prst="rect">
                            <a:avLst/>
                          </a:prstGeom>
                        </pic:spPr>
                      </pic:pic>
                    </a:graphicData>
                  </a:graphic>
                </wp:inline>
              </w:drawing>
            </w:r>
            <w:r>
              <w:t>19%</w:t>
            </w:r>
          </w:p>
        </w:tc>
      </w:tr>
      <w:tr w14:paraId="64570CB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8A392DC">
            <w:pPr>
              <w:jc w:val="left"/>
            </w:pPr>
            <w:r>
              <w:t>很满意</w:t>
            </w:r>
          </w:p>
        </w:tc>
        <w:tc>
          <w:tcPr>
            <w:tcW w:w="1000" w:type="dxa"/>
            <w:shd w:val="clear" w:color="auto" w:fill="FFFFFF"/>
            <w:vAlign w:val="center"/>
          </w:tcPr>
          <w:p w14:paraId="5B7AB95A">
            <w:pPr>
              <w:jc w:val="center"/>
            </w:pPr>
            <w:r>
              <w:t>67</w:t>
            </w:r>
          </w:p>
        </w:tc>
        <w:tc>
          <w:tcPr>
            <w:tcW w:w="3106" w:type="dxa"/>
            <w:shd w:val="clear" w:color="auto" w:fill="FFFFFF"/>
            <w:vAlign w:val="center"/>
          </w:tcPr>
          <w:p w14:paraId="0C68DA75">
            <w:pPr>
              <w:jc w:val="left"/>
            </w:pPr>
            <w:r>
              <w:drawing>
                <wp:inline distT="0" distB="0" distL="114300" distR="114300">
                  <wp:extent cx="904875" cy="114300"/>
                  <wp:effectExtent l="0" t="0" r="1905" b="444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3"/>
                          <a:stretch>
                            <a:fillRect/>
                          </a:stretch>
                        </pic:blipFill>
                        <pic:spPr>
                          <a:xfrm>
                            <a:off x="0" y="0"/>
                            <a:ext cx="905001" cy="114316"/>
                          </a:xfrm>
                          <a:prstGeom prst="rect">
                            <a:avLst/>
                          </a:prstGeom>
                        </pic:spPr>
                      </pic:pic>
                    </a:graphicData>
                  </a:graphic>
                </wp:inline>
              </w:drawing>
            </w:r>
            <w:r>
              <w:drawing>
                <wp:inline distT="0" distB="0" distL="114300" distR="114300">
                  <wp:extent cx="447675" cy="114300"/>
                  <wp:effectExtent l="0" t="0" r="5715" b="444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4"/>
                          <a:stretch>
                            <a:fillRect/>
                          </a:stretch>
                        </pic:blipFill>
                        <pic:spPr>
                          <a:xfrm>
                            <a:off x="0" y="0"/>
                            <a:ext cx="447737" cy="114316"/>
                          </a:xfrm>
                          <a:prstGeom prst="rect">
                            <a:avLst/>
                          </a:prstGeom>
                        </pic:spPr>
                      </pic:pic>
                    </a:graphicData>
                  </a:graphic>
                </wp:inline>
              </w:drawing>
            </w:r>
            <w:r>
              <w:t>67%</w:t>
            </w:r>
          </w:p>
        </w:tc>
      </w:tr>
      <w:tr w14:paraId="7DE2FBD0">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75E2ADB2">
            <w:pPr>
              <w:jc w:val="left"/>
            </w:pPr>
            <w:r>
              <w:t>本题有效填写人次</w:t>
            </w:r>
          </w:p>
        </w:tc>
        <w:tc>
          <w:tcPr>
            <w:tcW w:w="1000" w:type="dxa"/>
            <w:shd w:val="clear" w:color="auto" w:fill="F5F5F5"/>
            <w:vAlign w:val="center"/>
          </w:tcPr>
          <w:p w14:paraId="6987A6F2">
            <w:pPr>
              <w:jc w:val="center"/>
            </w:pPr>
            <w:r>
              <w:t>100</w:t>
            </w:r>
          </w:p>
        </w:tc>
        <w:tc>
          <w:tcPr>
            <w:tcW w:w="3106" w:type="dxa"/>
            <w:shd w:val="clear" w:color="auto" w:fill="F5F5F5"/>
            <w:vAlign w:val="center"/>
          </w:tcPr>
          <w:p w14:paraId="4F769AD3">
            <w:pPr>
              <w:jc w:val="left"/>
            </w:pPr>
          </w:p>
        </w:tc>
      </w:tr>
    </w:tbl>
    <w:p w14:paraId="42E9835D"/>
    <w:p w14:paraId="231A63E4">
      <w:pPr>
        <w:rPr>
          <w:b w:val="0"/>
          <w:color w:val="0066FF"/>
          <w:sz w:val="24"/>
        </w:rPr>
      </w:pPr>
      <w:r>
        <w:rPr>
          <w:b w:val="0"/>
          <w:color w:val="000000"/>
          <w:sz w:val="24"/>
        </w:rPr>
        <w:t xml:space="preserve">5.如有建议意见，请在空格内填写。再次感谢您对环卫工作的支持！   </w:t>
      </w:r>
      <w:r>
        <w:rPr>
          <w:b w:val="0"/>
          <w:color w:val="0066FF"/>
          <w:sz w:val="24"/>
        </w:rPr>
        <w:t>[填空题]</w:t>
      </w:r>
    </w:p>
    <w:p w14:paraId="50E68972">
      <w:pPr>
        <w:rPr>
          <w:rFonts w:ascii="PMingLiU" w:hAnsi="PMingLiU" w:eastAsia="PMingLiU" w:cs="PMingLiU"/>
          <w:b/>
          <w:bCs/>
        </w:rPr>
      </w:pPr>
    </w:p>
    <w:p w14:paraId="3EA3246F">
      <w:pPr>
        <w:rPr>
          <w:rFonts w:ascii="Times New Roman" w:hAnsi="Times New Roman" w:eastAsia="Times New Roman" w:cs="Times New Roman"/>
        </w:rPr>
      </w:pPr>
      <w:r>
        <w:rPr>
          <w:rFonts w:ascii="PMingLiU" w:hAnsi="PMingLiU" w:eastAsia="PMingLiU" w:cs="PMingLiU"/>
          <w:b/>
          <w:bCs/>
        </w:rPr>
        <w:t>题目平均分之和：</w:t>
      </w:r>
      <w:r>
        <w:rPr>
          <w:rFonts w:ascii="Times New Roman" w:hAnsi="Times New Roman" w:eastAsia="Times New Roman" w:cs="Times New Roman"/>
          <w:b/>
          <w:bCs/>
          <w:color w:val="1EA0FA"/>
        </w:rPr>
        <w:t>24.38</w:t>
      </w:r>
    </w:p>
    <w:p w14:paraId="269D1CFE">
      <w:pPr>
        <w:rPr>
          <w:rFonts w:hint="eastAsia" w:ascii="仿宋" w:hAnsi="仿宋" w:eastAsia="仿宋" w:cs="仿宋"/>
          <w:b w:val="0"/>
          <w:bCs w:val="0"/>
          <w:sz w:val="24"/>
          <w:szCs w:val="24"/>
          <w:highlight w:val="none"/>
          <w:lang w:eastAsia="zh-CN"/>
        </w:rPr>
      </w:pPr>
      <w:bookmarkStart w:id="107" w:name="_Toc674"/>
      <w:bookmarkStart w:id="108" w:name="_Toc29707_WPSOffice_Level1"/>
      <w:bookmarkStart w:id="109" w:name="_Toc30310"/>
      <w:bookmarkStart w:id="110" w:name="_Toc25675_WPSOffice_Level1"/>
      <w:bookmarkStart w:id="111" w:name="_Toc8050"/>
      <w:bookmarkStart w:id="112" w:name="_Toc19342_WPSOffice_Level1"/>
      <w:r>
        <w:rPr>
          <w:rFonts w:hint="eastAsia" w:ascii="仿宋" w:hAnsi="仿宋" w:eastAsia="仿宋" w:cs="仿宋"/>
          <w:b w:val="0"/>
          <w:bCs w:val="0"/>
          <w:sz w:val="24"/>
          <w:szCs w:val="24"/>
          <w:highlight w:val="none"/>
          <w:lang w:eastAsia="zh-CN"/>
        </w:rPr>
        <w:br w:type="page"/>
      </w:r>
    </w:p>
    <w:p w14:paraId="3F27382A">
      <w:pPr>
        <w:tabs>
          <w:tab w:val="left" w:pos="247"/>
        </w:tabs>
        <w:bidi w:val="0"/>
        <w:jc w:val="left"/>
        <w:outlineLvl w:val="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附件</w:t>
      </w: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lang w:eastAsia="zh-CN"/>
        </w:rPr>
        <w:t>：基础数据表</w:t>
      </w:r>
      <w:bookmarkEnd w:id="107"/>
      <w:bookmarkEnd w:id="108"/>
      <w:bookmarkEnd w:id="109"/>
      <w:bookmarkEnd w:id="110"/>
      <w:bookmarkEnd w:id="111"/>
      <w:bookmarkEnd w:id="112"/>
    </w:p>
    <w:p w14:paraId="6B0D582E">
      <w:pPr>
        <w:pStyle w:val="6"/>
        <w:keepNext w:val="0"/>
        <w:keepLines w:val="0"/>
        <w:pageBreakBefore w:val="0"/>
        <w:widowControl w:val="0"/>
        <w:kinsoku/>
        <w:wordWrap/>
        <w:overflowPunct/>
        <w:topLinePunct w:val="0"/>
        <w:autoSpaceDE/>
        <w:autoSpaceDN/>
        <w:bidi w:val="0"/>
        <w:adjustRightInd/>
        <w:snapToGrid/>
        <w:spacing w:before="0" w:beforeAutospacing="0" w:after="0" w:line="480" w:lineRule="exact"/>
        <w:ind w:left="0" w:leftChars="0" w:right="0" w:rightChars="0"/>
        <w:jc w:val="center"/>
        <w:textAlignment w:val="auto"/>
        <w:outlineLvl w:val="9"/>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永济市市容环卫中心2023年度部门整体支出</w:t>
      </w:r>
    </w:p>
    <w:p w14:paraId="2F820C66">
      <w:pPr>
        <w:pStyle w:val="6"/>
        <w:keepNext w:val="0"/>
        <w:keepLines w:val="0"/>
        <w:pageBreakBefore w:val="0"/>
        <w:widowControl w:val="0"/>
        <w:kinsoku/>
        <w:wordWrap/>
        <w:overflowPunct/>
        <w:topLinePunct w:val="0"/>
        <w:autoSpaceDE/>
        <w:autoSpaceDN/>
        <w:bidi w:val="0"/>
        <w:adjustRightInd/>
        <w:snapToGrid/>
        <w:spacing w:before="0" w:beforeAutospacing="0" w:after="192" w:afterLines="50" w:line="480" w:lineRule="exact"/>
        <w:ind w:left="0" w:leftChars="0" w:right="0" w:rightChars="0"/>
        <w:jc w:val="center"/>
        <w:textAlignment w:val="auto"/>
        <w:outlineLvl w:val="9"/>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基础信息及自评报告复核情况表</w:t>
      </w:r>
    </w:p>
    <w:tbl>
      <w:tblPr>
        <w:tblStyle w:val="13"/>
        <w:tblW w:w="896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0"/>
        <w:gridCol w:w="7440"/>
      </w:tblGrid>
      <w:tr w14:paraId="53D1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520" w:type="dxa"/>
            <w:vAlign w:val="center"/>
          </w:tcPr>
          <w:p w14:paraId="00C4D60E">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单位名称</w:t>
            </w:r>
          </w:p>
        </w:tc>
        <w:tc>
          <w:tcPr>
            <w:tcW w:w="7440" w:type="dxa"/>
            <w:vAlign w:val="center"/>
          </w:tcPr>
          <w:p w14:paraId="2E512864">
            <w:pPr>
              <w:ind w:firstLine="0" w:firstLineChars="0"/>
              <w:jc w:val="both"/>
              <w:rPr>
                <w:rFonts w:hint="eastAsia" w:ascii="仿宋" w:hAnsi="仿宋" w:eastAsia="仿宋" w:cs="仿宋"/>
                <w:sz w:val="21"/>
                <w:szCs w:val="21"/>
              </w:rPr>
            </w:pPr>
            <w:r>
              <w:rPr>
                <w:rFonts w:hint="eastAsia" w:ascii="仿宋" w:hAnsi="仿宋" w:eastAsia="仿宋" w:cs="仿宋"/>
                <w:sz w:val="21"/>
                <w:szCs w:val="21"/>
              </w:rPr>
              <w:t>永济市</w:t>
            </w:r>
            <w:r>
              <w:rPr>
                <w:rFonts w:hint="eastAsia" w:ascii="仿宋" w:hAnsi="仿宋" w:eastAsia="仿宋" w:cs="仿宋"/>
                <w:sz w:val="21"/>
                <w:szCs w:val="21"/>
                <w:lang w:val="en-US" w:eastAsia="zh-CN"/>
              </w:rPr>
              <w:t>市容环卫中心</w:t>
            </w:r>
          </w:p>
        </w:tc>
      </w:tr>
      <w:tr w14:paraId="72A5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520" w:type="dxa"/>
            <w:vMerge w:val="restart"/>
            <w:vAlign w:val="center"/>
          </w:tcPr>
          <w:p w14:paraId="2C7C61E0">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财政资金</w:t>
            </w:r>
          </w:p>
        </w:tc>
        <w:tc>
          <w:tcPr>
            <w:tcW w:w="7440" w:type="dxa"/>
            <w:vAlign w:val="center"/>
          </w:tcPr>
          <w:p w14:paraId="3C729E08">
            <w:pPr>
              <w:ind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rPr>
              <w:t>年初结转结余：</w:t>
            </w:r>
            <w:r>
              <w:rPr>
                <w:rFonts w:hint="eastAsia" w:ascii="仿宋" w:hAnsi="仿宋" w:eastAsia="仿宋" w:cs="仿宋"/>
                <w:sz w:val="21"/>
                <w:szCs w:val="21"/>
                <w:lang w:val="en-US" w:eastAsia="zh-CN"/>
              </w:rPr>
              <w:t>0.00万元</w:t>
            </w:r>
          </w:p>
        </w:tc>
      </w:tr>
      <w:tr w14:paraId="38F9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520" w:type="dxa"/>
            <w:vMerge w:val="continue"/>
            <w:vAlign w:val="center"/>
          </w:tcPr>
          <w:p w14:paraId="3091FC18">
            <w:pPr>
              <w:ind w:firstLine="0" w:firstLineChars="0"/>
              <w:jc w:val="both"/>
              <w:rPr>
                <w:rFonts w:hint="eastAsia" w:ascii="仿宋" w:hAnsi="仿宋" w:eastAsia="仿宋" w:cs="仿宋"/>
                <w:sz w:val="21"/>
                <w:szCs w:val="21"/>
              </w:rPr>
            </w:pPr>
          </w:p>
        </w:tc>
        <w:tc>
          <w:tcPr>
            <w:tcW w:w="7440" w:type="dxa"/>
            <w:vAlign w:val="center"/>
          </w:tcPr>
          <w:p w14:paraId="56E1DC34">
            <w:pPr>
              <w:ind w:firstLine="0" w:firstLineChars="0"/>
              <w:jc w:val="both"/>
              <w:rPr>
                <w:rFonts w:hint="eastAsia" w:ascii="仿宋" w:hAnsi="仿宋" w:eastAsia="仿宋" w:cs="仿宋"/>
                <w:sz w:val="21"/>
                <w:szCs w:val="21"/>
              </w:rPr>
            </w:pPr>
            <w:r>
              <w:rPr>
                <w:rFonts w:hint="eastAsia" w:ascii="仿宋" w:hAnsi="仿宋" w:eastAsia="仿宋" w:cs="仿宋"/>
                <w:sz w:val="21"/>
                <w:szCs w:val="21"/>
              </w:rPr>
              <w:t>本年总收入：</w:t>
            </w:r>
            <w:r>
              <w:rPr>
                <w:rFonts w:hint="eastAsia" w:ascii="仿宋" w:hAnsi="仿宋" w:eastAsia="仿宋" w:cs="仿宋"/>
                <w:sz w:val="21"/>
                <w:szCs w:val="21"/>
                <w:lang w:val="en-US" w:eastAsia="zh-CN"/>
              </w:rPr>
              <w:t>2,191.42</w:t>
            </w:r>
            <w:r>
              <w:rPr>
                <w:rFonts w:hint="eastAsia" w:ascii="仿宋" w:hAnsi="仿宋" w:eastAsia="仿宋" w:cs="仿宋"/>
                <w:sz w:val="21"/>
                <w:szCs w:val="21"/>
              </w:rPr>
              <w:t>万元</w:t>
            </w:r>
          </w:p>
        </w:tc>
      </w:tr>
      <w:tr w14:paraId="5B71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520" w:type="dxa"/>
            <w:vMerge w:val="continue"/>
            <w:vAlign w:val="center"/>
          </w:tcPr>
          <w:p w14:paraId="78BD56F7">
            <w:pPr>
              <w:ind w:firstLine="0" w:firstLineChars="0"/>
              <w:jc w:val="both"/>
              <w:rPr>
                <w:rFonts w:hint="eastAsia" w:ascii="仿宋" w:hAnsi="仿宋" w:eastAsia="仿宋" w:cs="仿宋"/>
                <w:sz w:val="21"/>
                <w:szCs w:val="21"/>
              </w:rPr>
            </w:pPr>
          </w:p>
        </w:tc>
        <w:tc>
          <w:tcPr>
            <w:tcW w:w="7440" w:type="dxa"/>
            <w:vAlign w:val="center"/>
          </w:tcPr>
          <w:p w14:paraId="4977103E">
            <w:pPr>
              <w:ind w:firstLine="0" w:firstLineChars="0"/>
              <w:jc w:val="both"/>
              <w:rPr>
                <w:rFonts w:hint="eastAsia" w:ascii="仿宋" w:hAnsi="仿宋" w:eastAsia="仿宋" w:cs="仿宋"/>
                <w:sz w:val="21"/>
                <w:szCs w:val="21"/>
              </w:rPr>
            </w:pPr>
            <w:r>
              <w:rPr>
                <w:rFonts w:hint="eastAsia" w:ascii="仿宋" w:hAnsi="仿宋" w:eastAsia="仿宋" w:cs="仿宋"/>
                <w:sz w:val="21"/>
                <w:szCs w:val="21"/>
              </w:rPr>
              <w:t>本年总支出：</w:t>
            </w:r>
            <w:r>
              <w:rPr>
                <w:rFonts w:hint="eastAsia" w:ascii="仿宋" w:hAnsi="仿宋" w:eastAsia="仿宋" w:cs="仿宋"/>
                <w:sz w:val="21"/>
                <w:szCs w:val="21"/>
                <w:lang w:val="en-US" w:eastAsia="zh-CN"/>
              </w:rPr>
              <w:t>2,191.42</w:t>
            </w:r>
            <w:r>
              <w:rPr>
                <w:rFonts w:hint="eastAsia" w:ascii="仿宋" w:hAnsi="仿宋" w:eastAsia="仿宋" w:cs="仿宋"/>
                <w:sz w:val="21"/>
                <w:szCs w:val="21"/>
              </w:rPr>
              <w:t>万元</w:t>
            </w:r>
          </w:p>
        </w:tc>
      </w:tr>
      <w:tr w14:paraId="671D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520" w:type="dxa"/>
            <w:vAlign w:val="center"/>
          </w:tcPr>
          <w:p w14:paraId="37F529A9">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实施期间</w:t>
            </w:r>
          </w:p>
        </w:tc>
        <w:tc>
          <w:tcPr>
            <w:tcW w:w="7440" w:type="dxa"/>
            <w:vAlign w:val="center"/>
          </w:tcPr>
          <w:p w14:paraId="6D375AF4">
            <w:pPr>
              <w:ind w:firstLine="0" w:firstLineChars="0"/>
              <w:jc w:val="both"/>
              <w:rPr>
                <w:rFonts w:hint="eastAsia" w:ascii="仿宋" w:hAnsi="仿宋" w:eastAsia="仿宋" w:cs="仿宋"/>
                <w:sz w:val="21"/>
                <w:szCs w:val="21"/>
              </w:rPr>
            </w:pPr>
            <w:r>
              <w:rPr>
                <w:rFonts w:hint="eastAsia" w:ascii="仿宋" w:hAnsi="仿宋" w:eastAsia="仿宋" w:cs="仿宋"/>
                <w:sz w:val="21"/>
                <w:szCs w:val="21"/>
              </w:rPr>
              <w:t>202</w:t>
            </w:r>
            <w:r>
              <w:rPr>
                <w:rFonts w:hint="eastAsia" w:ascii="仿宋" w:hAnsi="仿宋" w:eastAsia="仿宋" w:cs="仿宋"/>
                <w:sz w:val="21"/>
                <w:szCs w:val="21"/>
                <w:lang w:val="en-US" w:eastAsia="zh-CN"/>
              </w:rPr>
              <w:t>3</w:t>
            </w:r>
            <w:r>
              <w:rPr>
                <w:rFonts w:hint="eastAsia" w:ascii="仿宋" w:hAnsi="仿宋" w:eastAsia="仿宋" w:cs="仿宋"/>
                <w:sz w:val="21"/>
                <w:szCs w:val="21"/>
              </w:rPr>
              <w:t>.1-202</w:t>
            </w:r>
            <w:r>
              <w:rPr>
                <w:rFonts w:hint="eastAsia" w:ascii="仿宋" w:hAnsi="仿宋" w:eastAsia="仿宋" w:cs="仿宋"/>
                <w:sz w:val="21"/>
                <w:szCs w:val="21"/>
                <w:lang w:val="en-US" w:eastAsia="zh-CN"/>
              </w:rPr>
              <w:t>3</w:t>
            </w:r>
            <w:r>
              <w:rPr>
                <w:rFonts w:hint="eastAsia" w:ascii="仿宋" w:hAnsi="仿宋" w:eastAsia="仿宋" w:cs="仿宋"/>
                <w:sz w:val="21"/>
                <w:szCs w:val="21"/>
              </w:rPr>
              <w:t>.12</w:t>
            </w:r>
          </w:p>
        </w:tc>
      </w:tr>
      <w:tr w14:paraId="20D6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8960" w:type="dxa"/>
            <w:gridSpan w:val="2"/>
            <w:vAlign w:val="center"/>
          </w:tcPr>
          <w:p w14:paraId="14A24DA9">
            <w:pPr>
              <w:ind w:firstLine="0" w:firstLineChars="0"/>
              <w:jc w:val="both"/>
              <w:rPr>
                <w:rFonts w:hint="eastAsia" w:ascii="仿宋" w:hAnsi="仿宋" w:eastAsia="仿宋" w:cs="仿宋"/>
                <w:sz w:val="21"/>
                <w:szCs w:val="21"/>
              </w:rPr>
            </w:pPr>
            <w:r>
              <w:rPr>
                <w:rFonts w:hint="eastAsia" w:ascii="仿宋" w:hAnsi="仿宋" w:eastAsia="仿宋" w:cs="仿宋"/>
                <w:sz w:val="21"/>
                <w:szCs w:val="21"/>
              </w:rPr>
              <w:t>一、基本情况</w:t>
            </w:r>
          </w:p>
          <w:p w14:paraId="2C5DFBFE">
            <w:pPr>
              <w:ind w:firstLine="357" w:firstLineChars="0"/>
              <w:jc w:val="both"/>
              <w:rPr>
                <w:rFonts w:hint="eastAsia" w:ascii="仿宋" w:hAnsi="仿宋" w:eastAsia="仿宋" w:cs="仿宋"/>
                <w:sz w:val="21"/>
                <w:szCs w:val="21"/>
              </w:rPr>
            </w:pPr>
            <w:r>
              <w:rPr>
                <w:rFonts w:hint="eastAsia" w:ascii="仿宋" w:hAnsi="仿宋" w:eastAsia="仿宋" w:cs="仿宋"/>
                <w:sz w:val="21"/>
                <w:szCs w:val="21"/>
              </w:rPr>
              <w:t>永济市市容环卫中心是永济市住房保障和城乡建设管理局下属事业单位，股级建制；统一社会信用代码：12141081408360157C；住所：永济市康乐路51号。内设机构有：办公室、财务科、质检科、收费科、党建办、清运队、清扫一队、清扫二队、清扫三队、清扫四队、清扫五队。</w:t>
            </w:r>
          </w:p>
          <w:p w14:paraId="0E2F9A57">
            <w:pPr>
              <w:ind w:firstLine="357" w:firstLineChars="0"/>
              <w:jc w:val="both"/>
              <w:rPr>
                <w:rFonts w:hint="eastAsia" w:ascii="仿宋" w:hAnsi="仿宋" w:eastAsia="仿宋" w:cs="仿宋"/>
                <w:sz w:val="21"/>
                <w:szCs w:val="21"/>
              </w:rPr>
            </w:pPr>
            <w:r>
              <w:rPr>
                <w:rFonts w:hint="eastAsia" w:ascii="仿宋" w:hAnsi="仿宋" w:eastAsia="仿宋" w:cs="仿宋"/>
                <w:sz w:val="21"/>
                <w:szCs w:val="21"/>
              </w:rPr>
              <w:t>永济市市容环卫中心核定差额事业编制13名，实有在编人员37人，其中23人借调至其他单位。临时环卫人员共647人，其中机关人员10人，清运机扫队94人，环卫工人及公厕管理员等543人。</w:t>
            </w:r>
          </w:p>
          <w:p w14:paraId="2BD575D4">
            <w:pPr>
              <w:ind w:firstLine="0" w:firstLineChars="0"/>
              <w:jc w:val="both"/>
              <w:rPr>
                <w:rFonts w:hint="eastAsia" w:ascii="仿宋" w:hAnsi="仿宋" w:eastAsia="仿宋" w:cs="仿宋"/>
                <w:sz w:val="21"/>
                <w:szCs w:val="21"/>
              </w:rPr>
            </w:pPr>
            <w:r>
              <w:rPr>
                <w:rFonts w:hint="eastAsia" w:ascii="仿宋" w:hAnsi="仿宋" w:eastAsia="仿宋" w:cs="仿宋"/>
                <w:sz w:val="21"/>
                <w:szCs w:val="21"/>
              </w:rPr>
              <w:t>二、绩效目标</w:t>
            </w:r>
          </w:p>
          <w:p w14:paraId="4EC10299">
            <w:pPr>
              <w:ind w:firstLine="0" w:firstLineChars="0"/>
              <w:jc w:val="both"/>
              <w:rPr>
                <w:rFonts w:hint="eastAsia" w:ascii="仿宋" w:hAnsi="仿宋" w:eastAsia="仿宋" w:cs="仿宋"/>
                <w:sz w:val="21"/>
                <w:szCs w:val="21"/>
              </w:rPr>
            </w:pPr>
            <w:r>
              <w:rPr>
                <w:rFonts w:hint="eastAsia" w:ascii="仿宋" w:hAnsi="仿宋" w:eastAsia="仿宋" w:cs="仿宋"/>
                <w:sz w:val="21"/>
                <w:szCs w:val="21"/>
              </w:rPr>
              <w:t>1.总体目标</w:t>
            </w:r>
          </w:p>
          <w:p w14:paraId="5F537A72">
            <w:pPr>
              <w:ind w:firstLine="0" w:firstLineChars="0"/>
              <w:jc w:val="both"/>
              <w:rPr>
                <w:rFonts w:hint="eastAsia" w:ascii="仿宋" w:hAnsi="仿宋" w:eastAsia="仿宋" w:cs="仿宋"/>
                <w:sz w:val="21"/>
                <w:szCs w:val="21"/>
              </w:rPr>
            </w:pPr>
            <w:r>
              <w:rPr>
                <w:rFonts w:hint="eastAsia" w:ascii="仿宋" w:hAnsi="仿宋" w:eastAsia="仿宋" w:cs="仿宋"/>
                <w:sz w:val="21"/>
                <w:szCs w:val="21"/>
              </w:rPr>
              <w:t>永济市市容环卫中心的总体目标是：贯彻落实城市市容环境卫生方面的方针政策、法律法规；负责城区主次干道、小街小巷等清扫保洁和城区机关单位、街道、家属区、生活垃圾分类收集、转运工作；负责城区公共卫生间、垃圾中转站及各类环卫设施的建设、运营、维护和管理工作；负责城区生活垃圾分类的相关工作；负责城区餐厨垃圾收集转运和处置工作；负责城区粪便垃圾收集转运和处置工作；负责生活垃圾无害化处置及生活垃圾焚烧发电运行的监管工作；承担城区生活垃圾、餐厨垃圾和粪便垃圾等特许经营企业的合同履约、考核评价相关工作；负责受理有关市容环境卫生的投诉和举报；完成市住建局交办的其他任务。为建设“魅力永济”作出应有的贡献。</w:t>
            </w:r>
          </w:p>
          <w:p w14:paraId="23B5F3A1">
            <w:pPr>
              <w:ind w:firstLine="0" w:firstLineChars="0"/>
              <w:jc w:val="both"/>
              <w:rPr>
                <w:rFonts w:hint="eastAsia" w:ascii="仿宋" w:hAnsi="仿宋" w:eastAsia="仿宋" w:cs="仿宋"/>
                <w:sz w:val="21"/>
                <w:szCs w:val="21"/>
              </w:rPr>
            </w:pPr>
            <w:r>
              <w:rPr>
                <w:rFonts w:hint="eastAsia" w:ascii="仿宋" w:hAnsi="仿宋" w:eastAsia="仿宋" w:cs="仿宋"/>
                <w:sz w:val="21"/>
                <w:szCs w:val="21"/>
              </w:rPr>
              <w:t>2.年度任务</w:t>
            </w:r>
          </w:p>
          <w:p w14:paraId="4532A66F">
            <w:pPr>
              <w:pStyle w:val="2"/>
              <w:rPr>
                <w:rFonts w:hint="eastAsia" w:ascii="仿宋" w:hAnsi="仿宋" w:eastAsia="仿宋" w:cs="仿宋"/>
                <w:sz w:val="21"/>
                <w:szCs w:val="21"/>
              </w:rPr>
            </w:pPr>
            <w:r>
              <w:rPr>
                <w:rFonts w:hint="eastAsia" w:ascii="仿宋" w:hAnsi="仿宋" w:eastAsia="仿宋" w:cs="仿宋"/>
                <w:sz w:val="21"/>
                <w:szCs w:val="21"/>
              </w:rPr>
              <w:t>（1）日常清扫保洁、冲洗降尘、清运垃圾：对永济市区385.29万㎡的作业区域，按照“机扫、人保、冲洗”三位一体的模式进行清扫保洁；每天对城区内28余条主次街道进行冲洗降尘；清理街道抛洒，清运无主垃圾、生活垃圾、餐厨垃圾等。</w:t>
            </w:r>
          </w:p>
          <w:p w14:paraId="11B5CCFE">
            <w:pPr>
              <w:pStyle w:val="2"/>
              <w:rPr>
                <w:rFonts w:hint="eastAsia" w:ascii="仿宋" w:hAnsi="仿宋" w:eastAsia="仿宋" w:cs="仿宋"/>
                <w:sz w:val="21"/>
                <w:szCs w:val="21"/>
              </w:rPr>
            </w:pPr>
            <w:r>
              <w:rPr>
                <w:rFonts w:hint="eastAsia" w:ascii="仿宋" w:hAnsi="仿宋" w:eastAsia="仿宋" w:cs="仿宋"/>
                <w:sz w:val="21"/>
                <w:szCs w:val="21"/>
              </w:rPr>
              <w:t>（2）开展垃圾分类投放点建设工作，举行垃圾分类宣传活动。</w:t>
            </w:r>
          </w:p>
          <w:p w14:paraId="293488BB">
            <w:pPr>
              <w:pStyle w:val="2"/>
              <w:rPr>
                <w:rFonts w:hint="eastAsia" w:ascii="仿宋" w:hAnsi="仿宋" w:eastAsia="仿宋" w:cs="仿宋"/>
                <w:sz w:val="21"/>
                <w:szCs w:val="21"/>
              </w:rPr>
            </w:pPr>
            <w:r>
              <w:rPr>
                <w:rFonts w:hint="eastAsia" w:ascii="仿宋" w:hAnsi="仿宋" w:eastAsia="仿宋" w:cs="仿宋"/>
                <w:sz w:val="21"/>
                <w:szCs w:val="21"/>
              </w:rPr>
              <w:t>（3）按时完成政府工作报告中新建10座公厕的建设任务。</w:t>
            </w:r>
          </w:p>
          <w:p w14:paraId="368CE1EE">
            <w:pPr>
              <w:pStyle w:val="2"/>
              <w:rPr>
                <w:rFonts w:hint="eastAsia" w:ascii="仿宋" w:hAnsi="仿宋" w:eastAsia="仿宋" w:cs="仿宋"/>
                <w:sz w:val="21"/>
                <w:szCs w:val="21"/>
              </w:rPr>
            </w:pPr>
            <w:r>
              <w:rPr>
                <w:rFonts w:hint="eastAsia" w:ascii="仿宋" w:hAnsi="仿宋" w:eastAsia="仿宋" w:cs="仿宋"/>
                <w:sz w:val="21"/>
                <w:szCs w:val="21"/>
              </w:rPr>
              <w:t>（4）驿站、公厕、中转站管理：对辖区33座驿站、公厕及4座中转站进行日常管理，实行“四净三无两通一明一香”标准。</w:t>
            </w:r>
          </w:p>
          <w:p w14:paraId="20A9DE61">
            <w:pPr>
              <w:pStyle w:val="2"/>
              <w:rPr>
                <w:rFonts w:hint="eastAsia" w:ascii="仿宋" w:hAnsi="仿宋" w:eastAsia="仿宋" w:cs="仿宋"/>
                <w:sz w:val="21"/>
                <w:szCs w:val="21"/>
              </w:rPr>
            </w:pPr>
            <w:r>
              <w:rPr>
                <w:rFonts w:hint="eastAsia" w:ascii="仿宋" w:hAnsi="仿宋" w:eastAsia="仿宋" w:cs="仿宋"/>
                <w:sz w:val="21"/>
                <w:szCs w:val="21"/>
              </w:rPr>
              <w:t>（5）垃圾处置费征收：开展垃圾处置费收费人员的管理培训，以自主缴费为主、供水部门代收为辅的方式征收垃圾处置费。</w:t>
            </w:r>
          </w:p>
          <w:p w14:paraId="3754BF92">
            <w:pPr>
              <w:pStyle w:val="2"/>
              <w:rPr>
                <w:rFonts w:hint="eastAsia"/>
              </w:rPr>
            </w:pPr>
            <w:r>
              <w:rPr>
                <w:rFonts w:hint="eastAsia" w:ascii="仿宋" w:hAnsi="仿宋" w:eastAsia="仿宋" w:cs="仿宋"/>
                <w:sz w:val="21"/>
                <w:szCs w:val="21"/>
              </w:rPr>
              <w:t>（6）其他工作：处理信访投诉，按规定开展党建工作等</w:t>
            </w:r>
          </w:p>
        </w:tc>
      </w:tr>
    </w:tbl>
    <w:p w14:paraId="5313BD4F">
      <w:pPr>
        <w:rPr>
          <w:rFonts w:hint="eastAsia" w:ascii="仿宋" w:hAnsi="仿宋" w:eastAsia="仿宋" w:cs="仿宋"/>
          <w:b w:val="0"/>
          <w:bCs/>
          <w:kern w:val="2"/>
          <w:sz w:val="22"/>
          <w:szCs w:val="22"/>
          <w:highlight w:val="none"/>
          <w:lang w:val="en-US" w:eastAsia="zh-CN" w:bidi="ar-SA"/>
        </w:rPr>
      </w:pPr>
      <w:bookmarkStart w:id="113" w:name="_Toc14919"/>
      <w:r>
        <w:rPr>
          <w:rFonts w:hint="eastAsia" w:ascii="仿宋" w:hAnsi="仿宋" w:eastAsia="仿宋" w:cs="仿宋"/>
          <w:b w:val="0"/>
          <w:bCs/>
          <w:kern w:val="2"/>
          <w:sz w:val="22"/>
          <w:szCs w:val="22"/>
          <w:highlight w:val="none"/>
          <w:lang w:val="en-US" w:eastAsia="zh-CN" w:bidi="ar-SA"/>
        </w:rPr>
        <w:br w:type="page"/>
      </w:r>
    </w:p>
    <w:p w14:paraId="74C2F8C4">
      <w:pPr>
        <w:pStyle w:val="6"/>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rightChars="0"/>
        <w:jc w:val="left"/>
        <w:textAlignment w:val="auto"/>
        <w:outlineLvl w:val="0"/>
        <w:rPr>
          <w:rFonts w:hint="default" w:ascii="仿宋" w:hAnsi="仿宋" w:eastAsia="仿宋" w:cs="仿宋"/>
          <w:b w:val="0"/>
          <w:bCs/>
          <w:kern w:val="2"/>
          <w:sz w:val="22"/>
          <w:szCs w:val="22"/>
          <w:highlight w:val="none"/>
          <w:lang w:val="en-US" w:eastAsia="zh-CN" w:bidi="ar-SA"/>
        </w:rPr>
      </w:pPr>
      <w:r>
        <w:rPr>
          <w:rFonts w:hint="eastAsia" w:ascii="仿宋" w:hAnsi="仿宋" w:eastAsia="仿宋" w:cs="仿宋"/>
          <w:b w:val="0"/>
          <w:bCs/>
          <w:kern w:val="2"/>
          <w:sz w:val="22"/>
          <w:szCs w:val="22"/>
          <w:highlight w:val="none"/>
          <w:lang w:val="en-US" w:eastAsia="zh-CN" w:bidi="ar-SA"/>
        </w:rPr>
        <w:t>附件6：部门整体支出合规性检查</w:t>
      </w:r>
      <w:bookmarkEnd w:id="113"/>
    </w:p>
    <w:p w14:paraId="5154221A">
      <w:pPr>
        <w:pStyle w:val="6"/>
        <w:keepNext w:val="0"/>
        <w:keepLines w:val="0"/>
        <w:pageBreakBefore w:val="0"/>
        <w:widowControl w:val="0"/>
        <w:kinsoku/>
        <w:wordWrap/>
        <w:overflowPunct/>
        <w:topLinePunct w:val="0"/>
        <w:autoSpaceDE/>
        <w:autoSpaceDN/>
        <w:bidi w:val="0"/>
        <w:adjustRightInd/>
        <w:snapToGrid/>
        <w:spacing w:before="0" w:beforeAutospacing="0" w:line="360" w:lineRule="auto"/>
        <w:ind w:left="0" w:leftChars="0" w:right="0" w:rightChars="0"/>
        <w:jc w:val="center"/>
        <w:textAlignment w:val="auto"/>
        <w:outlineLvl w:val="9"/>
        <w:rPr>
          <w:rFonts w:hint="eastAsia" w:ascii="仿宋" w:hAnsi="仿宋" w:eastAsia="仿宋" w:cs="仿宋"/>
          <w:b/>
          <w:kern w:val="2"/>
          <w:sz w:val="32"/>
          <w:szCs w:val="24"/>
          <w:lang w:val="en-US" w:eastAsia="zh-CN" w:bidi="ar-SA"/>
        </w:rPr>
      </w:pPr>
      <w:r>
        <w:rPr>
          <w:rFonts w:hint="eastAsia" w:ascii="仿宋" w:hAnsi="仿宋" w:eastAsia="仿宋" w:cs="仿宋"/>
          <w:b/>
          <w:kern w:val="2"/>
          <w:sz w:val="32"/>
          <w:szCs w:val="24"/>
          <w:lang w:val="en-US" w:eastAsia="zh-CN" w:bidi="ar-SA"/>
        </w:rPr>
        <w:t>整体支出绩效评价合规性检查</w:t>
      </w:r>
    </w:p>
    <w:p w14:paraId="444BBA7D">
      <w:pPr>
        <w:pStyle w:val="6"/>
        <w:keepNext w:val="0"/>
        <w:keepLines w:val="0"/>
        <w:pageBreakBefore w:val="0"/>
        <w:widowControl w:val="0"/>
        <w:kinsoku/>
        <w:wordWrap/>
        <w:overflowPunct/>
        <w:topLinePunct w:val="0"/>
        <w:autoSpaceDE/>
        <w:autoSpaceDN/>
        <w:bidi w:val="0"/>
        <w:adjustRightInd/>
        <w:snapToGrid/>
        <w:spacing w:before="0" w:beforeAutospacing="0" w:line="360" w:lineRule="auto"/>
        <w:ind w:left="0" w:leftChars="0" w:right="1470" w:firstLine="562" w:firstLineChars="200"/>
        <w:textAlignment w:val="auto"/>
        <w:rPr>
          <w:rFonts w:hint="eastAsia" w:ascii="仿宋" w:hAnsi="仿宋" w:eastAsia="仿宋" w:cs="仿宋"/>
          <w:b/>
          <w:bCs w:val="0"/>
          <w:kern w:val="2"/>
          <w:sz w:val="28"/>
          <w:szCs w:val="28"/>
          <w:lang w:val="en-US" w:eastAsia="zh-CN" w:bidi="ar"/>
        </w:rPr>
      </w:pPr>
      <w:r>
        <w:rPr>
          <w:rFonts w:hint="eastAsia" w:ascii="仿宋" w:hAnsi="仿宋" w:eastAsia="仿宋" w:cs="仿宋"/>
          <w:b/>
          <w:bCs w:val="0"/>
          <w:kern w:val="2"/>
          <w:sz w:val="28"/>
          <w:szCs w:val="28"/>
          <w:lang w:val="en-US" w:eastAsia="zh-CN" w:bidi="ar"/>
        </w:rPr>
        <w:t>一、合规性检查对象</w:t>
      </w:r>
    </w:p>
    <w:p w14:paraId="1F6E578C">
      <w:pPr>
        <w:spacing w:line="360" w:lineRule="auto"/>
        <w:ind w:firstLine="560" w:firstLineChars="200"/>
        <w:rPr>
          <w:rFonts w:hint="eastAsia" w:ascii="仿宋" w:hAnsi="仿宋" w:eastAsia="仿宋" w:cs="仿宋"/>
          <w:bCs/>
          <w:sz w:val="28"/>
          <w:szCs w:val="28"/>
          <w:highlight w:val="none"/>
          <w:lang w:val="en-US" w:eastAsia="zh-CN" w:bidi="ar"/>
        </w:rPr>
      </w:pPr>
      <w:r>
        <w:rPr>
          <w:rFonts w:hint="eastAsia" w:ascii="仿宋" w:hAnsi="仿宋" w:eastAsia="仿宋" w:cs="仿宋"/>
          <w:bCs/>
          <w:kern w:val="2"/>
          <w:sz w:val="28"/>
          <w:szCs w:val="28"/>
          <w:lang w:val="en-US" w:eastAsia="zh-CN" w:bidi="ar"/>
        </w:rPr>
        <w:t>本次绩效评价整体支出合规性检查对象为</w:t>
      </w:r>
      <w:r>
        <w:rPr>
          <w:rFonts w:hint="eastAsia" w:ascii="仿宋" w:hAnsi="仿宋" w:eastAsia="仿宋" w:cs="仿宋"/>
          <w:bCs/>
          <w:sz w:val="28"/>
          <w:szCs w:val="28"/>
          <w:highlight w:val="none"/>
          <w:lang w:eastAsia="zh-CN" w:bidi="ar"/>
        </w:rPr>
        <w:t>永济市</w:t>
      </w:r>
      <w:r>
        <w:rPr>
          <w:rFonts w:hint="eastAsia" w:ascii="仿宋" w:hAnsi="仿宋" w:eastAsia="仿宋" w:cs="仿宋"/>
          <w:bCs/>
          <w:sz w:val="28"/>
          <w:szCs w:val="28"/>
          <w:highlight w:val="none"/>
          <w:lang w:val="en-US" w:eastAsia="zh-CN" w:bidi="ar"/>
        </w:rPr>
        <w:t>市容环卫中心2023年整体支出资金</w:t>
      </w:r>
      <w:r>
        <w:rPr>
          <w:rFonts w:hint="eastAsia" w:ascii="仿宋" w:hAnsi="仿宋" w:eastAsia="仿宋" w:cs="仿宋"/>
          <w:sz w:val="28"/>
          <w:szCs w:val="28"/>
          <w:highlight w:val="none"/>
          <w:lang w:val="en-US" w:eastAsia="zh-CN"/>
        </w:rPr>
        <w:t>2,191.42万元</w:t>
      </w:r>
      <w:r>
        <w:rPr>
          <w:rFonts w:hint="eastAsia" w:ascii="仿宋" w:hAnsi="仿宋" w:eastAsia="仿宋" w:cs="仿宋"/>
          <w:bCs/>
          <w:sz w:val="28"/>
          <w:szCs w:val="28"/>
          <w:highlight w:val="none"/>
          <w:lang w:val="en-US" w:eastAsia="zh-CN" w:bidi="ar"/>
        </w:rPr>
        <w:t>的收支及结余情况。</w:t>
      </w:r>
    </w:p>
    <w:p w14:paraId="67C815B5">
      <w:pPr>
        <w:spacing w:line="360" w:lineRule="auto"/>
        <w:ind w:firstLine="562" w:firstLineChars="200"/>
        <w:rPr>
          <w:rFonts w:hint="eastAsia" w:ascii="仿宋" w:hAnsi="仿宋" w:eastAsia="仿宋" w:cs="仿宋"/>
          <w:b/>
          <w:bCs w:val="0"/>
          <w:kern w:val="2"/>
          <w:sz w:val="28"/>
          <w:szCs w:val="28"/>
          <w:lang w:val="en-US" w:eastAsia="zh-CN" w:bidi="ar"/>
        </w:rPr>
      </w:pPr>
      <w:r>
        <w:rPr>
          <w:rFonts w:hint="eastAsia" w:ascii="仿宋" w:hAnsi="仿宋" w:eastAsia="仿宋" w:cs="仿宋"/>
          <w:b/>
          <w:bCs w:val="0"/>
          <w:kern w:val="2"/>
          <w:sz w:val="28"/>
          <w:szCs w:val="28"/>
          <w:lang w:val="en-US" w:eastAsia="zh-CN" w:bidi="ar"/>
        </w:rPr>
        <w:t>二、合规性检查内容及结果</w:t>
      </w:r>
    </w:p>
    <w:p w14:paraId="352F7CB0">
      <w:pPr>
        <w:spacing w:line="360" w:lineRule="auto"/>
        <w:ind w:firstLine="560" w:firstLineChars="200"/>
        <w:rPr>
          <w:rFonts w:hint="eastAsia" w:ascii="仿宋" w:hAnsi="仿宋" w:eastAsia="仿宋" w:cs="仿宋"/>
          <w:bCs/>
          <w:kern w:val="2"/>
          <w:sz w:val="28"/>
          <w:szCs w:val="28"/>
          <w:lang w:val="en-US" w:eastAsia="zh-CN" w:bidi="ar"/>
        </w:rPr>
      </w:pPr>
      <w:r>
        <w:rPr>
          <w:rFonts w:hint="eastAsia" w:ascii="仿宋" w:hAnsi="仿宋" w:eastAsia="仿宋" w:cs="仿宋"/>
          <w:bCs/>
          <w:kern w:val="2"/>
          <w:sz w:val="28"/>
          <w:szCs w:val="28"/>
          <w:lang w:val="en-US" w:eastAsia="zh-CN" w:bidi="ar"/>
        </w:rPr>
        <w:t>本次绩效评价合规性检查内容包括收支分析、收支占比分析、近年预算变动分析、结余情况分析。内容如下：</w:t>
      </w:r>
    </w:p>
    <w:p w14:paraId="481205BB">
      <w:pPr>
        <w:keepNext w:val="0"/>
        <w:keepLines w:val="0"/>
        <w:pageBreakBefore w:val="0"/>
        <w:widowControl/>
        <w:numPr>
          <w:ilvl w:val="0"/>
          <w:numId w:val="0"/>
        </w:numPr>
        <w:kinsoku/>
        <w:wordWrap/>
        <w:overflowPunct/>
        <w:topLinePunct w:val="0"/>
        <w:autoSpaceDE/>
        <w:autoSpaceDN/>
        <w:bidi w:val="0"/>
        <w:snapToGrid w:val="0"/>
        <w:spacing w:line="560" w:lineRule="exact"/>
        <w:ind w:firstLine="562" w:firstLineChars="200"/>
        <w:textAlignment w:val="auto"/>
        <w:rPr>
          <w:rFonts w:hint="default" w:ascii="仿宋" w:hAnsi="仿宋" w:eastAsia="仿宋" w:cs="仿宋"/>
          <w:b/>
          <w:bCs/>
          <w:color w:val="000000"/>
          <w:kern w:val="0"/>
          <w:sz w:val="28"/>
          <w:szCs w:val="28"/>
          <w:highlight w:val="none"/>
          <w:shd w:val="clear" w:color="auto" w:fill="FFFFFF"/>
          <w:lang w:val="en-US" w:eastAsia="zh-CN"/>
        </w:rPr>
      </w:pPr>
      <w:r>
        <w:rPr>
          <w:rFonts w:hint="eastAsia" w:ascii="仿宋" w:hAnsi="仿宋" w:eastAsia="仿宋" w:cs="仿宋"/>
          <w:b/>
          <w:bCs/>
          <w:sz w:val="28"/>
          <w:szCs w:val="28"/>
          <w:highlight w:val="none"/>
          <w:lang w:val="en-US" w:eastAsia="zh-CN"/>
        </w:rPr>
        <w:t>1.</w:t>
      </w:r>
      <w:r>
        <w:rPr>
          <w:rFonts w:hint="eastAsia" w:ascii="仿宋" w:hAnsi="仿宋" w:eastAsia="仿宋" w:cs="仿宋"/>
          <w:b/>
          <w:bCs/>
          <w:color w:val="000000"/>
          <w:kern w:val="0"/>
          <w:sz w:val="28"/>
          <w:szCs w:val="28"/>
          <w:highlight w:val="none"/>
          <w:shd w:val="clear" w:color="auto" w:fill="FFFFFF"/>
          <w:lang w:val="en-US" w:eastAsia="zh-CN"/>
        </w:rPr>
        <w:t>2023年收支情况</w:t>
      </w:r>
    </w:p>
    <w:p w14:paraId="770EBC90">
      <w:pPr>
        <w:pStyle w:val="2"/>
        <w:ind w:firstLine="562"/>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sz w:val="28"/>
          <w:szCs w:val="28"/>
          <w:highlight w:val="none"/>
          <w:lang w:val="en-US" w:eastAsia="zh-CN"/>
        </w:rPr>
        <w:t>永济</w:t>
      </w:r>
      <w:r>
        <w:rPr>
          <w:rFonts w:hint="eastAsia" w:ascii="仿宋" w:hAnsi="仿宋" w:eastAsia="仿宋" w:cs="仿宋"/>
          <w:color w:val="000000"/>
          <w:kern w:val="0"/>
          <w:sz w:val="28"/>
          <w:szCs w:val="28"/>
          <w:highlight w:val="none"/>
          <w:shd w:val="clear" w:color="auto" w:fill="FFFFFF"/>
          <w:lang w:val="en-US" w:eastAsia="zh-CN"/>
        </w:rPr>
        <w:t>市市容环卫中心2023年预算</w:t>
      </w:r>
      <w:r>
        <w:rPr>
          <w:rFonts w:hint="eastAsia" w:ascii="仿宋" w:hAnsi="仿宋" w:eastAsia="仿宋" w:cs="仿宋"/>
          <w:b w:val="0"/>
          <w:bCs w:val="0"/>
          <w:color w:val="000000"/>
          <w:kern w:val="0"/>
          <w:sz w:val="28"/>
          <w:szCs w:val="28"/>
          <w:highlight w:val="none"/>
          <w:shd w:val="clear" w:color="auto" w:fill="FFFFFF"/>
          <w:lang w:val="en-US" w:eastAsia="zh-CN"/>
        </w:rPr>
        <w:t>2,042.26</w:t>
      </w:r>
      <w:r>
        <w:rPr>
          <w:rFonts w:hint="eastAsia" w:ascii="仿宋" w:hAnsi="仿宋" w:eastAsia="仿宋" w:cs="仿宋"/>
          <w:color w:val="000000"/>
          <w:kern w:val="0"/>
          <w:sz w:val="28"/>
          <w:szCs w:val="28"/>
          <w:highlight w:val="none"/>
          <w:shd w:val="clear" w:color="auto" w:fill="FFFFFF"/>
          <w:lang w:val="en-US" w:eastAsia="zh-CN"/>
        </w:rPr>
        <w:t>万元，调整后决算收入2,191.42万元，决算支出2,191.42万元，</w:t>
      </w:r>
      <w:r>
        <w:rPr>
          <w:rFonts w:hint="eastAsia" w:ascii="仿宋" w:hAnsi="仿宋" w:eastAsia="仿宋" w:cs="仿宋"/>
          <w:b w:val="0"/>
          <w:bCs w:val="0"/>
          <w:color w:val="000000"/>
          <w:kern w:val="0"/>
          <w:sz w:val="28"/>
          <w:szCs w:val="28"/>
          <w:highlight w:val="none"/>
          <w:shd w:val="clear" w:color="auto" w:fill="FFFFFF"/>
          <w:lang w:val="en-US" w:eastAsia="zh-CN"/>
        </w:rPr>
        <w:t>其中：基本支出449.97万元，项目支出1,741.45万元。详见下表。</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194"/>
        <w:gridCol w:w="1994"/>
        <w:gridCol w:w="2017"/>
        <w:gridCol w:w="2033"/>
      </w:tblGrid>
      <w:tr w14:paraId="62AD3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61835">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2C82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 基本支出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BE84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 项目支出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5B91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p>
        </w:tc>
      </w:tr>
      <w:tr w14:paraId="4B8E3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25A8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一、工资福利支出</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293EB">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4,208,557.00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70DF1">
            <w:pPr>
              <w:jc w:val="right"/>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sz w:val="24"/>
                <w:szCs w:val="24"/>
                <w:u w:val="none"/>
                <w:lang w:val="en-US" w:eastAsia="zh-CN"/>
              </w:rPr>
              <w:t xml:space="preserve">13,080,000.00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F7E7C">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17,288,557.00 </w:t>
            </w:r>
          </w:p>
        </w:tc>
      </w:tr>
      <w:tr w14:paraId="7DCE1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4BC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基本工资</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65954">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1,659,047.00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E05A9">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166D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1,659,047.00 </w:t>
            </w:r>
          </w:p>
        </w:tc>
      </w:tr>
      <w:tr w14:paraId="22F2B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A07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津贴补贴</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ECAE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192,584.00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83288">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0ED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192,584.00 </w:t>
            </w:r>
          </w:p>
        </w:tc>
      </w:tr>
      <w:tr w14:paraId="176B2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11D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奖金</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B03A0">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134,236.00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61968">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24A3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134,236.00 </w:t>
            </w:r>
          </w:p>
        </w:tc>
      </w:tr>
      <w:tr w14:paraId="5135E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F26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绩效工资</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7A0E2">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1,064,637.00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436E5">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A316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1,064,637.00 </w:t>
            </w:r>
          </w:p>
        </w:tc>
      </w:tr>
      <w:tr w14:paraId="5EC09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F23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基本养老保险缴费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1F55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446,562.00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A77F8">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158D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446,562.00 </w:t>
            </w:r>
          </w:p>
        </w:tc>
      </w:tr>
      <w:tr w14:paraId="377A2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D6D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职业年金缴费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6594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223,281.00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AE866">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EDF8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223,281.00 </w:t>
            </w:r>
          </w:p>
        </w:tc>
      </w:tr>
      <w:tr w14:paraId="73FA8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594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职工基本医疗保险缴费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A44B0">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181,416.00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C754E">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D6228">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181,416.00 </w:t>
            </w:r>
          </w:p>
        </w:tc>
      </w:tr>
      <w:tr w14:paraId="0FCB6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E24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其他社会保障缴费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9FA35">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27,693.00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15F70">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AA43">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27,693.00 </w:t>
            </w:r>
          </w:p>
        </w:tc>
      </w:tr>
      <w:tr w14:paraId="710A7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161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住房公积金</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6DA27">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279,101.00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33446">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0748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279,101.00 </w:t>
            </w:r>
          </w:p>
        </w:tc>
      </w:tr>
      <w:tr w14:paraId="0B22F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0C2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其他工资福利支出</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D34E7">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6FD5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13,080,000.00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907C2">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13,080,000.00 </w:t>
            </w:r>
          </w:p>
        </w:tc>
      </w:tr>
      <w:tr w14:paraId="05688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ACB4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二、商品和服务支出</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B610A">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23F96">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4,200,000.00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3007C">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4,200,000.00 </w:t>
            </w:r>
          </w:p>
        </w:tc>
      </w:tr>
      <w:tr w14:paraId="13DB5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FC9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办公费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A0CA1">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6EFE0">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21,000.00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E8EBA">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21,000.00 </w:t>
            </w:r>
          </w:p>
        </w:tc>
      </w:tr>
      <w:tr w14:paraId="555B2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7B1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印刷费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A1E60">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8B57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16,860.00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52750">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16,860.00 </w:t>
            </w:r>
          </w:p>
        </w:tc>
      </w:tr>
      <w:tr w14:paraId="71CAF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0BC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578CD">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D8075">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80,000.00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C6208">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80,000.00 </w:t>
            </w:r>
          </w:p>
        </w:tc>
      </w:tr>
      <w:tr w14:paraId="71A4A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386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098E0">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B2B2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109,637.00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338A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109,637.00 </w:t>
            </w:r>
          </w:p>
        </w:tc>
      </w:tr>
      <w:tr w14:paraId="7EFDE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2DF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邮电费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A3B81">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B4D35">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11,840.00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7C6B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11,840.00 </w:t>
            </w:r>
          </w:p>
        </w:tc>
      </w:tr>
      <w:tr w14:paraId="0C3E2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039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差旅费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E3B3">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B9559">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412.00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72E1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412.00 </w:t>
            </w:r>
          </w:p>
        </w:tc>
      </w:tr>
      <w:tr w14:paraId="6DD07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8FF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维修（护）费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2160">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F473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143,941.00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95BF3">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143,941.00 </w:t>
            </w:r>
          </w:p>
        </w:tc>
      </w:tr>
      <w:tr w14:paraId="72804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E6A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租赁费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F336E">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4F556">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19,150.00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4832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19,150.00 </w:t>
            </w:r>
          </w:p>
        </w:tc>
      </w:tr>
      <w:tr w14:paraId="3E6F6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E29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专用材料费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293B2">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43637">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320,000.00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1D02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320,000.00 </w:t>
            </w:r>
          </w:p>
        </w:tc>
      </w:tr>
      <w:tr w14:paraId="7B42A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C40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专用燃料费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136B7">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1F6C2">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1,900,000.00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7AA3">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1,900,000.00 </w:t>
            </w:r>
          </w:p>
        </w:tc>
      </w:tr>
      <w:tr w14:paraId="3EA89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C21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劳务费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90BF1">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61BA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22,000.00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99633">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22,000.00 </w:t>
            </w:r>
          </w:p>
        </w:tc>
      </w:tr>
      <w:tr w14:paraId="592A5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B79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工会经费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A4535">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D1CF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20,890.00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800F0">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20,890.00 </w:t>
            </w:r>
          </w:p>
        </w:tc>
      </w:tr>
      <w:tr w14:paraId="1BBA7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BB4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福利费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71DB6">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68602">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154,330.00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563A5">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154,330.00 </w:t>
            </w:r>
          </w:p>
        </w:tc>
      </w:tr>
      <w:tr w14:paraId="1F95C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0D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其他交通费用</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259E5">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29270">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1,300,000.00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C1CD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1,300,000.00 </w:t>
            </w:r>
          </w:p>
        </w:tc>
      </w:tr>
      <w:tr w14:paraId="432DD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223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其他商品和服务支出</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296DD">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103D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79,940.00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399C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79,940.00 </w:t>
            </w:r>
          </w:p>
        </w:tc>
      </w:tr>
      <w:tr w14:paraId="12426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637A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三、对个人和家庭的补助</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4FAD">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291,169.18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E454">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35,232.00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87837">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326,401.18 </w:t>
            </w:r>
          </w:p>
        </w:tc>
      </w:tr>
      <w:tr w14:paraId="55D29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7FC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退休费</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E9F10">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212,070.38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EF6C0">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7FE79">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212,070.38 </w:t>
            </w:r>
          </w:p>
        </w:tc>
      </w:tr>
      <w:tr w14:paraId="7A2D4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9A4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抚恤金</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4096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76,938.80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0291F">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BB089">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76,938.80 </w:t>
            </w:r>
          </w:p>
        </w:tc>
      </w:tr>
      <w:tr w14:paraId="35417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932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生活补助</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24A3A">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70DB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35,232.00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2EE75">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35,232.00 </w:t>
            </w:r>
          </w:p>
        </w:tc>
      </w:tr>
      <w:tr w14:paraId="720E3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76A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医疗费补助</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3AF5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2,160.00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DD1E1">
            <w:pPr>
              <w:rPr>
                <w:rFonts w:hint="eastAsia" w:ascii="仿宋" w:hAnsi="仿宋" w:eastAsia="仿宋" w:cs="仿宋"/>
                <w:i w:val="0"/>
                <w:iCs w:val="0"/>
                <w:color w:val="000000"/>
                <w:sz w:val="24"/>
                <w:szCs w:val="24"/>
                <w:u w:val="none"/>
              </w:rPr>
            </w:pP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52BD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2,160.00 </w:t>
            </w:r>
          </w:p>
        </w:tc>
      </w:tr>
      <w:tr w14:paraId="79627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8F01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四、资本性支出</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E69D9">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88429">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99,242.00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3000C">
            <w:pPr>
              <w:jc w:val="right"/>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 xml:space="preserve"> 99,242.00 </w:t>
            </w:r>
          </w:p>
        </w:tc>
      </w:tr>
      <w:tr w14:paraId="39220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590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办公设备购置</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767D3">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FCD12">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53,852.00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036A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53,852.00 </w:t>
            </w:r>
          </w:p>
        </w:tc>
      </w:tr>
      <w:tr w14:paraId="6448D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ED9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专用设备购置</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C29CE">
            <w:pPr>
              <w:jc w:val="right"/>
              <w:rPr>
                <w:rFonts w:hint="eastAsia" w:ascii="仿宋" w:hAnsi="仿宋" w:eastAsia="仿宋" w:cs="仿宋"/>
                <w:i w:val="0"/>
                <w:iCs w:val="0"/>
                <w:color w:val="000000"/>
                <w:sz w:val="24"/>
                <w:szCs w:val="24"/>
                <w:u w:val="none"/>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E48F8">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45,390.00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921F2">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45,390.00 </w:t>
            </w:r>
          </w:p>
        </w:tc>
      </w:tr>
      <w:tr w14:paraId="20020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C9F5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合计</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B2675">
            <w:pPr>
              <w:keepNext w:val="0"/>
              <w:keepLines w:val="0"/>
              <w:widowControl/>
              <w:suppressLineNumbers w:val="0"/>
              <w:jc w:val="righ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 4,499,726.18 </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E2B06">
            <w:pPr>
              <w:keepNext w:val="0"/>
              <w:keepLines w:val="0"/>
              <w:widowControl/>
              <w:suppressLineNumbers w:val="0"/>
              <w:jc w:val="righ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17,414,474.00 </w:t>
            </w:r>
          </w:p>
        </w:tc>
        <w:tc>
          <w:tcPr>
            <w:tcW w:w="11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94872">
            <w:pPr>
              <w:keepNext w:val="0"/>
              <w:keepLines w:val="0"/>
              <w:widowControl/>
              <w:suppressLineNumbers w:val="0"/>
              <w:jc w:val="righ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21,914,200.18 </w:t>
            </w:r>
          </w:p>
        </w:tc>
      </w:tr>
    </w:tbl>
    <w:p w14:paraId="1B5A4A96">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firstLine="562" w:firstLineChars="200"/>
        <w:textAlignment w:val="auto"/>
        <w:rPr>
          <w:rFonts w:hint="default" w:ascii="仿宋" w:hAnsi="仿宋" w:eastAsia="仿宋" w:cs="仿宋"/>
          <w:b/>
          <w:bCs/>
          <w:color w:val="000000"/>
          <w:kern w:val="0"/>
          <w:sz w:val="28"/>
          <w:szCs w:val="28"/>
          <w:highlight w:val="none"/>
          <w:shd w:val="clear" w:color="auto" w:fill="FFFFFF"/>
          <w:lang w:val="en-US" w:eastAsia="zh-CN"/>
        </w:rPr>
      </w:pPr>
      <w:r>
        <w:rPr>
          <w:rFonts w:hint="eastAsia" w:ascii="仿宋" w:hAnsi="仿宋" w:eastAsia="仿宋" w:cs="仿宋"/>
          <w:b/>
          <w:bCs/>
          <w:color w:val="000000"/>
          <w:kern w:val="0"/>
          <w:sz w:val="28"/>
          <w:szCs w:val="28"/>
          <w:highlight w:val="none"/>
          <w:shd w:val="clear" w:color="auto" w:fill="FFFFFF"/>
          <w:lang w:val="en-US" w:eastAsia="zh-CN"/>
        </w:rPr>
        <w:t>4.收支分析</w:t>
      </w:r>
    </w:p>
    <w:p w14:paraId="610376AC">
      <w:pPr>
        <w:bidi w:val="0"/>
        <w:ind w:firstLine="560" w:firstLineChars="200"/>
        <w:rPr>
          <w:rFonts w:hint="eastAsia" w:ascii="仿宋" w:hAnsi="仿宋" w:eastAsia="仿宋" w:cs="仿宋"/>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永济市市容环卫中心2022年度共支出2.013.08万元，</w:t>
      </w:r>
      <w:r>
        <w:rPr>
          <w:rFonts w:hint="eastAsia" w:ascii="仿宋" w:hAnsi="仿宋" w:eastAsia="仿宋" w:cs="仿宋"/>
          <w:color w:val="000000"/>
          <w:kern w:val="0"/>
          <w:sz w:val="28"/>
          <w:szCs w:val="28"/>
          <w:highlight w:val="none"/>
          <w:shd w:val="clear" w:color="auto" w:fill="FFFFFF"/>
        </w:rPr>
        <w:t>20</w:t>
      </w:r>
      <w:r>
        <w:rPr>
          <w:rFonts w:hint="eastAsia" w:ascii="仿宋" w:hAnsi="仿宋" w:eastAsia="仿宋" w:cs="仿宋"/>
          <w:color w:val="000000"/>
          <w:kern w:val="0"/>
          <w:sz w:val="28"/>
          <w:szCs w:val="28"/>
          <w:highlight w:val="none"/>
          <w:shd w:val="clear" w:color="auto" w:fill="FFFFFF"/>
          <w:lang w:val="en-US" w:eastAsia="zh-CN"/>
        </w:rPr>
        <w:t>23</w:t>
      </w:r>
      <w:r>
        <w:rPr>
          <w:rFonts w:hint="eastAsia" w:ascii="仿宋" w:hAnsi="仿宋" w:eastAsia="仿宋" w:cs="仿宋"/>
          <w:color w:val="000000"/>
          <w:kern w:val="0"/>
          <w:sz w:val="28"/>
          <w:szCs w:val="28"/>
          <w:highlight w:val="none"/>
          <w:shd w:val="clear" w:color="auto" w:fill="FFFFFF"/>
        </w:rPr>
        <w:t>年度</w:t>
      </w:r>
      <w:r>
        <w:rPr>
          <w:rFonts w:hint="eastAsia" w:ascii="仿宋" w:hAnsi="仿宋" w:eastAsia="仿宋" w:cs="仿宋"/>
          <w:color w:val="000000"/>
          <w:kern w:val="0"/>
          <w:sz w:val="28"/>
          <w:szCs w:val="28"/>
          <w:highlight w:val="none"/>
          <w:shd w:val="clear" w:color="auto" w:fill="FFFFFF"/>
          <w:lang w:val="en-US" w:eastAsia="zh-CN"/>
        </w:rPr>
        <w:t>共支出2,191.42万元，增加178.34万元。近两年支出变动情况详见下表。</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63"/>
        <w:gridCol w:w="1906"/>
        <w:gridCol w:w="1961"/>
        <w:gridCol w:w="1675"/>
        <w:gridCol w:w="1233"/>
      </w:tblGrid>
      <w:tr w14:paraId="77A12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542AA">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项目</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6940B">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 xml:space="preserve"> 2022年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03F1C">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 xml:space="preserve"> 2023年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DFFAB">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 xml:space="preserve"> 增减金额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06043">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变动率</w:t>
            </w:r>
          </w:p>
        </w:tc>
      </w:tr>
      <w:tr w14:paraId="2B2F1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9A9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基本工资</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2E656">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1,803,802.00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95FE2">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1,659,047.00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C2C4A">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-144,755.00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4755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-8.02%</w:t>
            </w:r>
          </w:p>
        </w:tc>
      </w:tr>
      <w:tr w14:paraId="24FF8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A8D7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津贴补贴</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00B8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206,752.00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5102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192,584.00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BC5D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-14,168.00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3A4C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-6.85%</w:t>
            </w:r>
          </w:p>
        </w:tc>
      </w:tr>
      <w:tr w14:paraId="417D4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BDC0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奖金</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F77F3">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129,141.00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A3A0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134,236.00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09BC4">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5,095.00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487A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3.95%</w:t>
            </w:r>
          </w:p>
        </w:tc>
      </w:tr>
      <w:tr w14:paraId="4810A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979D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绩效工资</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B06E0">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935,460.00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34F4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1,064,637.00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8DDF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129,177.00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7C0F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13.81%</w:t>
            </w:r>
          </w:p>
        </w:tc>
      </w:tr>
      <w:tr w14:paraId="28EDF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C880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基本养老保险</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3BF66">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426,189.60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E56F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446,562.00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BE8DA">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20,372.40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3484">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4.78%</w:t>
            </w:r>
          </w:p>
        </w:tc>
      </w:tr>
      <w:tr w14:paraId="03597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00CB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职业年金缴费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63C4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213,094.80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EB7CA">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223,281.00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7D9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10,186.20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8D41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4.78%</w:t>
            </w:r>
          </w:p>
        </w:tc>
      </w:tr>
      <w:tr w14:paraId="4BCAB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40B4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职工基本医疗保险</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C6AD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173,139.53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041E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181,416.00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0885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8,276.47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C3FF4">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4.78%</w:t>
            </w:r>
          </w:p>
        </w:tc>
      </w:tr>
      <w:tr w14:paraId="73D85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E9B0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其他社会保障</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802E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26,997.17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D3385">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27,693.00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95C46">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695.83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EE9F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2.58%</w:t>
            </w:r>
          </w:p>
        </w:tc>
      </w:tr>
      <w:tr w14:paraId="2A947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3BF7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住房公积金</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5776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213,094.80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BC48B">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279,101.00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229A4">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66,006.20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5AB5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30.98%</w:t>
            </w:r>
          </w:p>
        </w:tc>
      </w:tr>
      <w:tr w14:paraId="5308B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B198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退休费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68DB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105,280.00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DEC40">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212,070.38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7D9E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106,790.38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22D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101.43%</w:t>
            </w:r>
          </w:p>
        </w:tc>
      </w:tr>
      <w:tr w14:paraId="75C81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B319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抚恤金</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248F6">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C1F4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76,938.80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A0655">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76,938.80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A2C0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p>
        </w:tc>
      </w:tr>
      <w:tr w14:paraId="12BD3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77BD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医疗费补助</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564D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2,088.00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55434">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2,160.00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6E133">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72.00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DB5D2">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3.45%</w:t>
            </w:r>
          </w:p>
        </w:tc>
      </w:tr>
      <w:tr w14:paraId="7E81C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F0F9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生活补助</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808C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35,232.00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C8D12">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35,232.00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257F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6FE02">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0.00%</w:t>
            </w:r>
          </w:p>
        </w:tc>
      </w:tr>
      <w:tr w14:paraId="1ECCA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F32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其他工资福利支出</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4A775">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11,481,896.75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66D40">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13,080,000.00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0A0F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1,598,103.25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F8DD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13.92%</w:t>
            </w:r>
          </w:p>
        </w:tc>
      </w:tr>
      <w:tr w14:paraId="5611E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03CD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办公费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06B33">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17,300.00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BD6D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21,000.00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AF77B">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3,700.00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E1603">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21.39%</w:t>
            </w:r>
          </w:p>
        </w:tc>
      </w:tr>
      <w:tr w14:paraId="64A97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EE42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印刷费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565C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47,790.00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FD6C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16,860.00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68F92">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-30,930.00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4B5C5">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-64.72%</w:t>
            </w:r>
          </w:p>
        </w:tc>
      </w:tr>
      <w:tr w14:paraId="6FDB5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068B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19EF0">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68,168.00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6C054">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80,000.00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7DFE2">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11,832.00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D106A">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17.36%</w:t>
            </w:r>
          </w:p>
        </w:tc>
      </w:tr>
      <w:tr w14:paraId="73C1C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4481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FA815">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124,643.89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6BDB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109,637.00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4A82">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-15,006.89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0663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-12.04%</w:t>
            </w:r>
          </w:p>
        </w:tc>
      </w:tr>
      <w:tr w14:paraId="76748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DA8D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邮电费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9AF0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9,610.00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6E49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11,840.00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36A5A">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2,230.00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E6C6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23.20%</w:t>
            </w:r>
          </w:p>
        </w:tc>
      </w:tr>
      <w:tr w14:paraId="1203A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4CA1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差旅费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68C8F">
            <w:pPr>
              <w:rPr>
                <w:rFonts w:hint="eastAsia" w:ascii="仿宋" w:hAnsi="仿宋" w:eastAsia="仿宋" w:cs="仿宋"/>
                <w:i w:val="0"/>
                <w:iCs w:val="0"/>
                <w:color w:val="000000"/>
                <w:sz w:val="21"/>
                <w:szCs w:val="21"/>
                <w:highlight w:val="none"/>
                <w:u w:val="none"/>
              </w:rPr>
            </w:pP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78E22">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412.00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8649B">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412.00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916F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p>
        </w:tc>
      </w:tr>
      <w:tr w14:paraId="255A4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FEDE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维修（护）费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03967">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433,346.79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347E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143,941.00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0334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-289,405.79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99CC5">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-66.78%</w:t>
            </w:r>
          </w:p>
        </w:tc>
      </w:tr>
      <w:tr w14:paraId="1E09A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4DB5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租赁费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5B8F5">
            <w:pPr>
              <w:rPr>
                <w:rFonts w:hint="eastAsia" w:ascii="仿宋" w:hAnsi="仿宋" w:eastAsia="仿宋" w:cs="仿宋"/>
                <w:i w:val="0"/>
                <w:iCs w:val="0"/>
                <w:color w:val="000000"/>
                <w:sz w:val="21"/>
                <w:szCs w:val="21"/>
                <w:highlight w:val="none"/>
                <w:u w:val="none"/>
              </w:rPr>
            </w:pP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2FE0B">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19,150.00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5104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19,150.00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3F90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p>
        </w:tc>
      </w:tr>
      <w:tr w14:paraId="18A7F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1AC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专用材料费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3A593">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300,000.00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B7A12">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320,000.00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FE9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20,000.00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13EE7">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6.67%</w:t>
            </w:r>
          </w:p>
        </w:tc>
      </w:tr>
      <w:tr w14:paraId="4B451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E409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专用燃料费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49888">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2,028,000.00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78630">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1,900,000.00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A6095">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-128,000.00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4D304">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-6.31%</w:t>
            </w:r>
          </w:p>
        </w:tc>
      </w:tr>
      <w:tr w14:paraId="23F50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BA6D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劳务费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A01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6,560.00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C80C3">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22,000.00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80C6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15,440.00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481F6">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235.37%</w:t>
            </w:r>
          </w:p>
        </w:tc>
      </w:tr>
      <w:tr w14:paraId="2682B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C626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工会经费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FB77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19,199.00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B6DD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20,890.00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3463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1,691.00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6A005">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8.81%</w:t>
            </w:r>
          </w:p>
        </w:tc>
      </w:tr>
      <w:tr w14:paraId="71077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5F5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福利费</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4D84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16,922.00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2D59B">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154,330.00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BBE70">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137,408.00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EE230">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812.01%</w:t>
            </w:r>
          </w:p>
        </w:tc>
      </w:tr>
      <w:tr w14:paraId="136A2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AB47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其他交通费用</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82C06">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1,199,999.00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C400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1,300,000.00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22BD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100,001.00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E107B">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8.33%</w:t>
            </w:r>
          </w:p>
        </w:tc>
      </w:tr>
      <w:tr w14:paraId="4EAF9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A35E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其他商品和服务支出</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266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75,392.53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64E9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79,940.00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5ADF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4,547.47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BFF0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6.03%</w:t>
            </w:r>
          </w:p>
        </w:tc>
      </w:tr>
      <w:tr w14:paraId="221D5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336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办公设备购置</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68C7D">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1,990.00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6C18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53,852.00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3A59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51,862.00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8EEEC">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2606.13%</w:t>
            </w:r>
          </w:p>
        </w:tc>
      </w:tr>
      <w:tr w14:paraId="463B1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1FD9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专用设备购置</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2A07F">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22,580.00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7AAB3">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45,390.00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C117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22,810.00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C4FE9">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101.02%</w:t>
            </w:r>
          </w:p>
        </w:tc>
      </w:tr>
      <w:tr w14:paraId="7F323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BECD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其他</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E7EA2">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7,128.42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35CD6">
            <w:pPr>
              <w:rPr>
                <w:rFonts w:hint="eastAsia" w:ascii="仿宋" w:hAnsi="仿宋" w:eastAsia="仿宋" w:cs="仿宋"/>
                <w:i w:val="0"/>
                <w:iCs w:val="0"/>
                <w:color w:val="000000"/>
                <w:sz w:val="21"/>
                <w:szCs w:val="21"/>
                <w:highlight w:val="none"/>
                <w:u w:val="none"/>
              </w:rPr>
            </w:pP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CFFA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-7,128.42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2B673">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-100.00%</w:t>
            </w:r>
          </w:p>
        </w:tc>
      </w:tr>
      <w:tr w14:paraId="68F9B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571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合计</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9C6FE">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20,130,797.28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71A74">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21,914,200.18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F5EAB">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1,783,402.90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F0AF1">
            <w:pPr>
              <w:keepNext w:val="0"/>
              <w:keepLines w:val="0"/>
              <w:widowControl/>
              <w:suppressLineNumbers w:val="0"/>
              <w:jc w:val="righ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8.86%</w:t>
            </w:r>
          </w:p>
        </w:tc>
      </w:tr>
    </w:tbl>
    <w:p w14:paraId="30BF3D4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经查看永济市市容环卫中心整体支出情况，部门的大项支出主要为：环卫人员工资、环卫车辆燃油及维修保养费，占部门整体支出的74.29%；其中：环卫人员工资1,308.00万元，占比59.69%；环卫车辆燃油费及维修保养费320.00万元，占比14.6%。以下为上述三项费用的具体情况。</w:t>
      </w:r>
    </w:p>
    <w:p w14:paraId="2B81132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（1）环卫人员工资</w:t>
      </w:r>
    </w:p>
    <w:p w14:paraId="1831543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①工资标准</w:t>
      </w:r>
    </w:p>
    <w:p w14:paraId="65F4C5A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依据运城市委办公室 运城市人民政府《关于落实环卫工人等低收入群体收入增长机制的工作方案》的通知，自2023年5月起，环卫人员基础工资调整为1,880元/月。工龄工资依据本部门会议纪要设立。</w:t>
      </w:r>
    </w:p>
    <w:tbl>
      <w:tblPr>
        <w:tblStyle w:val="12"/>
        <w:tblW w:w="511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349"/>
        <w:gridCol w:w="1544"/>
        <w:gridCol w:w="2191"/>
        <w:gridCol w:w="1899"/>
        <w:gridCol w:w="1474"/>
      </w:tblGrid>
      <w:tr w14:paraId="27BC0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4AEB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人员类型</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6029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基础工资</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03F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工龄工资</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3716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绩效、全勤工资</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41C0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人均年工资</w:t>
            </w:r>
          </w:p>
        </w:tc>
      </w:tr>
      <w:tr w14:paraId="320F5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1A3E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清扫工</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5FAA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1880元/月</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84B6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50元/年</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927A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300元/月</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CEA1E">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26,760.00 </w:t>
            </w:r>
          </w:p>
        </w:tc>
      </w:tr>
      <w:tr w14:paraId="70C5F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53EF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装卸工</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B834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1880元/月</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0BFC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50元/年</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324C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300元/月</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82A86">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26,760.00 </w:t>
            </w:r>
          </w:p>
        </w:tc>
      </w:tr>
      <w:tr w14:paraId="4C3B4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A3AF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公厕保洁员</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A55A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1880元/月</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BD8D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50元/年</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141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300元/月</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D583B">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26,760.00 </w:t>
            </w:r>
          </w:p>
        </w:tc>
      </w:tr>
      <w:tr w14:paraId="65A3C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9075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清扫队的临时管理员（5年以下）</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C595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1800元/月</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E24F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50元/年</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E3A4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300元/月</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2602">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25,800.00 </w:t>
            </w:r>
          </w:p>
        </w:tc>
      </w:tr>
      <w:tr w14:paraId="5A723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E565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清扫队的临时管理员（5年以上）</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34AE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2100元/月</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0131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50元/年</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C063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500元/月</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36513">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31,800.00 </w:t>
            </w:r>
          </w:p>
        </w:tc>
      </w:tr>
      <w:tr w14:paraId="497E2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0270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队长、副队长的临时管理员</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CBBF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2200元/月</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56D3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50元/年</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DF2D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500元/月</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6AFE2">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33,000.00 </w:t>
            </w:r>
          </w:p>
        </w:tc>
      </w:tr>
      <w:tr w14:paraId="39ABF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761F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C1司机</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2DE9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1800元/月</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0B1D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2-3年100元/年，3-5年200元/年，5年以上300元/年</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CB3B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300元/月</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83026">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27,600.00 </w:t>
            </w:r>
          </w:p>
        </w:tc>
      </w:tr>
      <w:tr w14:paraId="23902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D23E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B2及以上司机</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C4EB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2500元/月</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9116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2-3年100元/年，3-5年200元/年，5年以上300元/年</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7699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300元/月</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ACD20">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36,000.00 </w:t>
            </w:r>
          </w:p>
        </w:tc>
      </w:tr>
    </w:tbl>
    <w:p w14:paraId="63A9245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②人员控制率</w:t>
      </w:r>
    </w:p>
    <w:p w14:paraId="5DE5C522">
      <w:pPr>
        <w:pStyle w:val="4"/>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永济市市容环卫中心的服务面积为385.29万㎡，环卫工人466人，人均清扫面积为8,267.93㎡。</w:t>
      </w:r>
    </w:p>
    <w:p w14:paraId="19DAAC0A">
      <w:pPr>
        <w:pStyle w:val="4"/>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根据明细表计算，舜都大道清扫面积68.92万㎡，配备环卫工人73人，人均清扫面积为9,441㎡；西厢路清扫面积12.9万㎡，配备环卫工人28人，人均清扫面积4,607㎡；河东大道清扫面积44万㎡，配备环卫工人26人，人均清扫面积16,923㎡。人均清扫面积不均衡。</w:t>
      </w:r>
    </w:p>
    <w:p w14:paraId="7F118898">
      <w:pPr>
        <w:pStyle w:val="4"/>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永济市市容环卫中心应按照《中华人民共和国城镇建设行业标准：城市道路清扫面积测算方法(CJ/T 277-2008)》等方法，测算服务区内的清扫面积；按照《都市环境卫生质量原则》划分道路等级和保洁等级；参考《城镇市容环境卫生劳动定额》及行业水平，结合路段实际情况，核定人均打扫面积及人数配置。</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98"/>
        <w:gridCol w:w="2316"/>
        <w:gridCol w:w="1911"/>
        <w:gridCol w:w="1913"/>
      </w:tblGrid>
      <w:tr w14:paraId="00845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EE94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区域</w:t>
            </w:r>
          </w:p>
        </w:tc>
        <w:tc>
          <w:tcPr>
            <w:tcW w:w="1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A906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清扫面积㎡</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F6F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清扫人数</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72D8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人均面积㎡</w:t>
            </w:r>
          </w:p>
        </w:tc>
      </w:tr>
      <w:tr w14:paraId="78C7B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3D5F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管理员</w:t>
            </w:r>
          </w:p>
        </w:tc>
        <w:tc>
          <w:tcPr>
            <w:tcW w:w="1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61C5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巡查面积385万㎡</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2E7FC">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42</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D7493">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9.17万㎡</w:t>
            </w:r>
          </w:p>
        </w:tc>
      </w:tr>
      <w:tr w14:paraId="08A25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2E42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舜都大道</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4D5B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689,230.00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FCB5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73</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F3BA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9,441.00</w:t>
            </w:r>
          </w:p>
        </w:tc>
      </w:tr>
      <w:tr w14:paraId="53088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CEF9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西厢路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45BDD">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129,000.00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42290">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28</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6C061">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4,607.00</w:t>
            </w:r>
          </w:p>
        </w:tc>
      </w:tr>
      <w:tr w14:paraId="09728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66C3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富强西街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4D722">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112,000.00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7091A">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28</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3D1C6">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4,000.00</w:t>
            </w:r>
          </w:p>
        </w:tc>
      </w:tr>
      <w:tr w14:paraId="51649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EB9AB">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富强东街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4A8BB">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50,225.00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60597">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931F9">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5,022.00</w:t>
            </w:r>
          </w:p>
        </w:tc>
      </w:tr>
      <w:tr w14:paraId="4FBED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7ABE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河东大道</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C9801">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440,000.00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3718D">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26</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67C66">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16,923.00</w:t>
            </w:r>
          </w:p>
        </w:tc>
      </w:tr>
      <w:tr w14:paraId="0D417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50CF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康乐路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D50CB">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58,000.00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4F70E">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5F53C">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3,625.00</w:t>
            </w:r>
          </w:p>
        </w:tc>
      </w:tr>
      <w:tr w14:paraId="4B8C3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E1AB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市府西街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A87D7">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125,000.00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5A6B3">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27C0B">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5,681.00</w:t>
            </w:r>
          </w:p>
        </w:tc>
      </w:tr>
      <w:tr w14:paraId="010F9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F35F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涑水西街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858A2">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222,000.00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B44D7">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3B8E4">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10,090.00</w:t>
            </w:r>
          </w:p>
        </w:tc>
      </w:tr>
      <w:tr w14:paraId="41CA0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A185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东环路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9AA69">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43,200.00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584F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19</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3C9F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2,273.00</w:t>
            </w:r>
          </w:p>
        </w:tc>
      </w:tr>
      <w:tr w14:paraId="114D1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793C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银杏西街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4CFBC">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60,000.00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F84AD">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7EA6E">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4,285.00</w:t>
            </w:r>
          </w:p>
        </w:tc>
      </w:tr>
      <w:tr w14:paraId="4EC58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2542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银杏东街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17976">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37,800.00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B341C">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DFEB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2,700.00</w:t>
            </w:r>
          </w:p>
        </w:tc>
      </w:tr>
      <w:tr w14:paraId="29979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852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迎宾路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914B4">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58,560.00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93B15">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18</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949B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3,253.00</w:t>
            </w:r>
          </w:p>
        </w:tc>
      </w:tr>
      <w:tr w14:paraId="66FBB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73D8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涑水东街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E538">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117,000.00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30927">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CAF0A">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7,312.00</w:t>
            </w:r>
          </w:p>
        </w:tc>
      </w:tr>
      <w:tr w14:paraId="12BAA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F348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西延</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E60FA">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372,000.00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C52BC">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C4B4E">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23,250.00</w:t>
            </w:r>
          </w:p>
        </w:tc>
      </w:tr>
      <w:tr w14:paraId="4BA11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595F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东延</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4EB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235,200.00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920A5">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15</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9D1C8">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15,680.00</w:t>
            </w:r>
          </w:p>
        </w:tc>
      </w:tr>
      <w:tr w14:paraId="14851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316F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条山东街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74B9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88,140.00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0319C">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22673">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6,295.00</w:t>
            </w:r>
          </w:p>
        </w:tc>
      </w:tr>
      <w:tr w14:paraId="1A63F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B81E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条山西街（含电机大街）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01E2E">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140,000.00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4D15A">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28</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4A612">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5,000.00</w:t>
            </w:r>
          </w:p>
        </w:tc>
      </w:tr>
      <w:tr w14:paraId="25C4E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D984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市府东街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7F4AA">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41,600.00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8CCD">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4C128">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3,466.00</w:t>
            </w:r>
          </w:p>
        </w:tc>
      </w:tr>
      <w:tr w14:paraId="25BFF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7950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黄河大道</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08C96">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280,000.00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4B38A">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BE4CA">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20,000.00</w:t>
            </w:r>
          </w:p>
        </w:tc>
      </w:tr>
      <w:tr w14:paraId="63F49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110C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迎新东街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70F95">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40,500.00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7C169">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C1E11">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5,062.00</w:t>
            </w:r>
          </w:p>
        </w:tc>
      </w:tr>
      <w:tr w14:paraId="071B8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1954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振兴街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FE590">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248,000.00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EAECD">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2288B">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22,545.00</w:t>
            </w:r>
          </w:p>
        </w:tc>
      </w:tr>
      <w:tr w14:paraId="67035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C1CD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电机支路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3D4DD">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4D00">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749F6">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2,444.00</w:t>
            </w:r>
          </w:p>
        </w:tc>
      </w:tr>
      <w:tr w14:paraId="03B8A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A3E6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东丰路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D2175">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31,900.00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FD7EE">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BE715">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2,658.00</w:t>
            </w:r>
          </w:p>
        </w:tc>
      </w:tr>
      <w:tr w14:paraId="02140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B5A2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迎新西街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10FEC">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63C0C">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941FD">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2,250.00</w:t>
            </w:r>
          </w:p>
        </w:tc>
      </w:tr>
      <w:tr w14:paraId="2D348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1F25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东外环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D3F1C">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102,500.00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AD969">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F65E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14,642.00</w:t>
            </w:r>
          </w:p>
        </w:tc>
      </w:tr>
      <w:tr w14:paraId="6BCF7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3981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御园路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539A5">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097B6">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1E710">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5,500.00</w:t>
            </w:r>
          </w:p>
        </w:tc>
      </w:tr>
      <w:tr w14:paraId="42E43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741B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兴业街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F7C5F">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7E4DB">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BFDC3">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5,333.00</w:t>
            </w:r>
          </w:p>
        </w:tc>
      </w:tr>
      <w:tr w14:paraId="15732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7C6A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滨河东街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5EED1">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ED142">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E0F65">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12,000.00</w:t>
            </w:r>
          </w:p>
        </w:tc>
      </w:tr>
      <w:tr w14:paraId="147E3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48C9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滨河西街</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DCCA5">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24,000.00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AAE56">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BE262">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12,000.00</w:t>
            </w:r>
          </w:p>
        </w:tc>
      </w:tr>
      <w:tr w14:paraId="42AC9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07C9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青年路</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5576A">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7,500.00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5F8D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3D99C">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7,500.00</w:t>
            </w:r>
          </w:p>
        </w:tc>
      </w:tr>
      <w:tr w14:paraId="11773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1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F19FE">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合计</w:t>
            </w:r>
          </w:p>
        </w:tc>
        <w:tc>
          <w:tcPr>
            <w:tcW w:w="1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D996E">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3,852,855.00</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A85D1">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545</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DDDE">
            <w:pPr>
              <w:jc w:val="center"/>
              <w:rPr>
                <w:rFonts w:hint="eastAsia" w:ascii="仿宋" w:hAnsi="仿宋" w:eastAsia="仿宋" w:cs="仿宋"/>
                <w:i w:val="0"/>
                <w:iCs w:val="0"/>
                <w:color w:val="000000"/>
                <w:sz w:val="24"/>
                <w:szCs w:val="24"/>
                <w:u w:val="none"/>
              </w:rPr>
            </w:pPr>
          </w:p>
        </w:tc>
      </w:tr>
    </w:tbl>
    <w:p w14:paraId="62A375C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（2）燃油及维修保养费</w:t>
      </w:r>
    </w:p>
    <w:p w14:paraId="095D339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容环卫中心通过政府采购，与永济市舜都大道北郊加油站有限公司签订车辆加油服务采购合同，与永济市迅通达汽车服务有限公司签订车辆维修和保养服务采购合同，按月结算费用。下表为永济市市容环卫中心车辆明细及状态。</w:t>
      </w:r>
    </w:p>
    <w:p w14:paraId="5C4C6DF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经查看各月加油及维修保养记录台账，永济市市容环卫中心应按照车牌号设置加油维修台账，便于定期对车辆状态进行评估；如某辆车维修费过高，应考虑报废或更换。</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55"/>
        <w:gridCol w:w="2172"/>
        <w:gridCol w:w="1762"/>
        <w:gridCol w:w="1309"/>
        <w:gridCol w:w="1540"/>
      </w:tblGrid>
      <w:tr w14:paraId="7E1C7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blHeader/>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7F84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车辆名称</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EEAB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环卫内部车牌</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74D4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购置时间</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357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使用年限</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347B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能源类型</w:t>
            </w:r>
          </w:p>
        </w:tc>
      </w:tr>
      <w:tr w14:paraId="510F8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D5E6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庆铃皮卡</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072C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环卫058</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C09F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2008.05</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E1B1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16</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A5BF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0263D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76CB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大勾臂车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F5A2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环卫001</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36CD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2015.12</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9CA6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9</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FFAA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柴油</w:t>
            </w:r>
          </w:p>
        </w:tc>
      </w:tr>
      <w:tr w14:paraId="2D184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7361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大勾臂车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1F18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环卫002</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1D1B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2015.12</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2E80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9</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953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柴油</w:t>
            </w:r>
          </w:p>
        </w:tc>
      </w:tr>
      <w:tr w14:paraId="5EDD0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7433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大勾臂车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F101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环卫003</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D06D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2015.12</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684B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9</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5A40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柴油</w:t>
            </w:r>
          </w:p>
        </w:tc>
      </w:tr>
      <w:tr w14:paraId="77E8E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5988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大勾臂车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3F95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环卫005</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4B1F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2015.12</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171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9</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F77D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柴油</w:t>
            </w:r>
          </w:p>
        </w:tc>
      </w:tr>
      <w:tr w14:paraId="48884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BCB7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雾炮车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70AB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环卫061</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A187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2018.12</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67F0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3B6C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柴油</w:t>
            </w:r>
          </w:p>
        </w:tc>
      </w:tr>
      <w:tr w14:paraId="4CC0C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B216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雾炮车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65DE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环卫062</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94A1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2018.12</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F9A6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D7CB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柴油</w:t>
            </w:r>
          </w:p>
        </w:tc>
      </w:tr>
      <w:tr w14:paraId="7116D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A7A7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高压清洗车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9850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环卫051</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FDBD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2015.12</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2AB5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9</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EE63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柴油</w:t>
            </w:r>
          </w:p>
        </w:tc>
      </w:tr>
      <w:tr w14:paraId="2F18A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3B6A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东风冲洗车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C35A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冲洗002</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B2B5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2018.04</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A687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351C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66E2B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40DC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海德餐厨车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0DC1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环卫019</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2951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2019.08</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48A8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5125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6B6A9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5846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福龙马餐厨车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6F9A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环卫041</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8417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8AFF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5510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38463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AFFA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福田自卸车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26A0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环卫033</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C1C3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2013.10 </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9F90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D0F7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08E54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85CC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福田自卸车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F68E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环卫035</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8EED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2013.10 </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928C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A94C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2747A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63AC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福田自卸车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4B63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环卫036</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99CF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2013.10 </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10B5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3B2A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64C1D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EED0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福田自卸车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1BCB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环卫038</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5224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2013.10 </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B3E9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6BCD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57103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7EAA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福田自卸车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B925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环卫039</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D643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2013.10 </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350F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00B7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7115C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311B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福田自卸车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29CB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环卫040</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1E7F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2013.10 </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0F4D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E67F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63B2E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104C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5吨福龙马压缩车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F5ED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环卫012</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1AA2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9950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E807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67238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794A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5吨福龙马压缩车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72E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环卫011</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EA5E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11DA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DA6A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1EC5D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10E0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5吨福龙马压缩车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CC4F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环卫010</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1E13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4CB7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6B78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5C7CA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C86C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5吨福龙马压缩车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B4E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环卫009</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3A04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2013.07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1B0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BB95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0CE29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8533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5吨福龙马压缩车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9F44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环卫008</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6806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2013.07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8D8D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A04A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7A8CB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2692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8吨福龙马压缩车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9D5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环卫006</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BE99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6FAC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A1D1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64FD4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6A4A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 福田3吨压缩车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74763">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B152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2017.08</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99F8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04C2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47A23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60DF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 福田3吨压缩车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5B787">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E99F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2017.08</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9149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52B4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735A2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CFD4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东风3吨压缩车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4C1C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环卫018</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08AE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2015.12</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32C5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90F5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2F5F5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64A5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东风3吨压缩车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839C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环卫016</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7FEF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2015.12</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97A0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4637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66D5D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A92C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东风3吨压缩车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CC2E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环卫049</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E310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2020.06</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5DD9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8D6C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12409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C8E1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东风3吨压缩车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8FCD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环卫050</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E373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2020.06</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1594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D2DC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4E5A9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A511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东风3吨压缩车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1D7A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环卫048</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F816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2020.06</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D003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B489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414F8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059B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东风3吨压缩车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152E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环卫015</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4DA3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2018.04</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C96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87AE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6A9C9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3E9C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东风3吨压缩车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155E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环卫013</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3C34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2010.04</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C030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260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560E8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67EC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道路养护车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2F74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道路养护车001</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F840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2015.12</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19E5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F180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柴油/汽油</w:t>
            </w:r>
          </w:p>
        </w:tc>
      </w:tr>
      <w:tr w14:paraId="69276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736A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庆铃巡查车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FB32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环卫059</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85CF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2016.03</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902D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94A3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79E01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2BF9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庆铃巡查车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DF34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环卫060</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1AD3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2016.03</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506D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E85C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56969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7A35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0B64F">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66D0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2020.06</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9E5F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0FD6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158CD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1172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福龙马小勾臂车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5CB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环卫022</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C08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F8E1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EA0B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66E35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9AE1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福龙马小勾臂车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0157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环卫023</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D766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2494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E6F3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2F2D2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8511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福龙马小勾臂车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1842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环卫025</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145F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165B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C4C1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356DE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A48A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海德小勾臂车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DEE0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环卫026</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B570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2016.01</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0D8D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A542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13FBF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BFDA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海德小勾臂车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CBD1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环卫028</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3BB1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2016.01</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B2FA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2A5D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053D5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C205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海德小勾臂车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46E7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环卫029</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93A7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2016.01</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FD9E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78D0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04C9C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B623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E0044">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2D31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2020.05</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584A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1A04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2CE5F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93FD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5D612">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D2E9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2020.05</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738B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BB7A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2F9E9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B3AF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2A0F">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F5EE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2020.05</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B628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D8DB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74095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468A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福田小勾臂车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ADFD4">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DE21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2020.05</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776D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3AB6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795A0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C04D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0980A">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22E7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2019.12</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5260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0A98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27DEF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99BE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B5A08">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97E4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2019.05</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EDE8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0401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00C14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80A1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D1A16">
            <w:pPr>
              <w:keepNext w:val="0"/>
              <w:keepLines w:val="0"/>
              <w:pageBreakBefore w:val="0"/>
              <w:kinsoku/>
              <w:wordWrap/>
              <w:overflowPunct/>
              <w:topLinePunct w:val="0"/>
              <w:autoSpaceDE/>
              <w:autoSpaceDN/>
              <w:bidi w:val="0"/>
              <w:adjustRightInd/>
              <w:snapToGrid/>
              <w:spacing w:line="200" w:lineRule="atLeast"/>
              <w:jc w:val="center"/>
              <w:rPr>
                <w:rFonts w:hint="eastAsia" w:ascii="仿宋" w:hAnsi="仿宋" w:eastAsia="仿宋" w:cs="仿宋"/>
                <w:i w:val="0"/>
                <w:iCs w:val="0"/>
                <w:color w:val="auto"/>
                <w:sz w:val="21"/>
                <w:szCs w:val="21"/>
                <w:u w:val="none"/>
              </w:rPr>
            </w:pP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3581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2020.05</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A3F4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75EC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2AFD1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81D2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FCBB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环卫032</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89C6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2016.04</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A1C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FAB5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78F7F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FB7B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东风小勾臂车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C47E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环卫031</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9738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2018.04</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B6DFD">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45AF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68787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B2C8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海德小勾臂车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02F7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环卫030</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6575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2016.01</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5AAA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E009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汽油</w:t>
            </w:r>
          </w:p>
        </w:tc>
      </w:tr>
      <w:tr w14:paraId="2AA8A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DCF6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中型勾臂车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994E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环卫020</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8DC5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2018.04</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67E6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0281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48E4C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E5DF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中联洗扫车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18ACC">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环卫045</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752E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2020.04</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5C6A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9768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4A610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1E94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中联洗扫车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1643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环卫043</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54BA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2020.04</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CBE3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E902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20079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895FA">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福龙马扫落叶车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ADFD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环卫046</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776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2014.07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B8C7F">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E7D01">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2C298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97715">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吸污车</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7B81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环卫043</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965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2017.12</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B1E0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9A0F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6B57F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13A3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小型扫路机</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8EE4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小扫车001</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95D4E">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2016.01</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6FE56">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8858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662BB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9CAD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小型扫路机</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41643">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小扫车002</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917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2016.01</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89384">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03CB2">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r w14:paraId="12715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 w:hRule="atLeast"/>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8B228">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小型扫路机</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6800">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小扫车003</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395FB">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2016.01</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60027">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5919">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柴油</w:t>
            </w:r>
          </w:p>
        </w:tc>
      </w:tr>
    </w:tbl>
    <w:p w14:paraId="52D9E1DF">
      <w:pPr>
        <w:rPr>
          <w:rFonts w:hint="eastAsia" w:ascii="仿宋" w:hAnsi="仿宋" w:eastAsia="仿宋" w:cs="仿宋"/>
          <w:b/>
          <w:bCs w:val="0"/>
          <w:sz w:val="28"/>
          <w:szCs w:val="28"/>
          <w:highlight w:val="none"/>
          <w:lang w:val="en-US" w:eastAsia="zh-CN" w:bidi="ar"/>
        </w:rPr>
      </w:pPr>
      <w:r>
        <w:rPr>
          <w:rFonts w:hint="eastAsia"/>
          <w:sz w:val="28"/>
          <w:szCs w:val="28"/>
          <w:lang w:val="en-US" w:eastAsia="zh-CN"/>
        </w:rPr>
        <w:t xml:space="preserve">  </w:t>
      </w:r>
      <w:r>
        <w:rPr>
          <w:rFonts w:hint="eastAsia" w:ascii="仿宋" w:hAnsi="仿宋" w:eastAsia="仿宋" w:cs="仿宋"/>
          <w:b/>
          <w:bCs w:val="0"/>
          <w:sz w:val="28"/>
          <w:szCs w:val="28"/>
          <w:highlight w:val="none"/>
          <w:lang w:val="en-US" w:eastAsia="zh-CN" w:bidi="ar"/>
        </w:rPr>
        <w:t xml:space="preserve">   三、资金使用中存在的问题</w:t>
      </w:r>
    </w:p>
    <w:p w14:paraId="1EE299E8">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 xml:space="preserve">本次现场评价工作中，我们对永济市市容环卫中心2023年度财务报表、总账及明细账账簿、凭证列表进行了审核；经过审核，主要存在以下问题：  </w:t>
      </w:r>
    </w:p>
    <w:p w14:paraId="53C365C5">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b/>
          <w:bCs w:val="0"/>
          <w:sz w:val="28"/>
          <w:szCs w:val="28"/>
          <w:highlight w:val="none"/>
          <w:lang w:val="en-US" w:eastAsia="zh-CN"/>
        </w:rPr>
        <w:t>1.</w:t>
      </w:r>
      <w:r>
        <w:rPr>
          <w:rFonts w:hint="eastAsia" w:ascii="仿宋" w:hAnsi="仿宋" w:eastAsia="仿宋" w:cs="仿宋"/>
          <w:b/>
          <w:bCs/>
          <w:sz w:val="28"/>
          <w:szCs w:val="28"/>
          <w:highlight w:val="none"/>
          <w:lang w:val="en-US" w:eastAsia="zh-CN"/>
        </w:rPr>
        <w:t>资产管理不规范</w:t>
      </w:r>
    </w:p>
    <w:p w14:paraId="78D32639">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永济市市容环卫中心的固定资产台账中部分资产品牌型号、使用人及管理人不明确。</w:t>
      </w:r>
    </w:p>
    <w:p w14:paraId="32B965AE">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b/>
          <w:bCs/>
          <w:sz w:val="28"/>
          <w:szCs w:val="28"/>
          <w:highlight w:val="none"/>
          <w:lang w:val="en-US" w:eastAsia="zh-CN"/>
        </w:rPr>
        <w:t>2.非税收入管理不规范</w:t>
      </w:r>
    </w:p>
    <w:p w14:paraId="690735DA">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0"/>
        <w:rPr>
          <w:rFonts w:hint="default" w:ascii="仿宋" w:hAnsi="仿宋" w:eastAsia="仿宋" w:cs="仿宋"/>
          <w:b w:val="0"/>
          <w:bCs/>
          <w:sz w:val="28"/>
          <w:szCs w:val="28"/>
          <w:highlight w:val="yellow"/>
          <w:lang w:val="en-US" w:eastAsia="zh-CN"/>
        </w:rPr>
      </w:pPr>
      <w:r>
        <w:rPr>
          <w:rFonts w:hint="eastAsia" w:ascii="仿宋" w:hAnsi="仿宋" w:eastAsia="仿宋" w:cs="仿宋"/>
          <w:b w:val="0"/>
          <w:bCs w:val="0"/>
          <w:kern w:val="0"/>
          <w:sz w:val="28"/>
          <w:szCs w:val="28"/>
          <w:highlight w:val="none"/>
          <w:lang w:val="en-US" w:eastAsia="zh-CN"/>
        </w:rPr>
        <w:t>永济市市容环卫中心</w:t>
      </w:r>
      <w:r>
        <w:rPr>
          <w:rFonts w:hint="eastAsia" w:ascii="仿宋" w:hAnsi="仿宋" w:eastAsia="仿宋" w:cs="仿宋"/>
          <w:b w:val="0"/>
          <w:bCs w:val="0"/>
          <w:kern w:val="2"/>
          <w:sz w:val="28"/>
          <w:szCs w:val="28"/>
          <w:highlight w:val="none"/>
          <w:lang w:val="en-US" w:eastAsia="zh-CN" w:bidi="ar-SA"/>
        </w:rPr>
        <w:t>建立了生活垃圾处理费征收台账，但该台账不完整，应收费金额、已收费金额与上缴国库金额不一致.</w:t>
      </w:r>
    </w:p>
    <w:p w14:paraId="5C436EE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2" w:firstLineChars="200"/>
        <w:textAlignment w:val="auto"/>
        <w:outlineLvl w:val="0"/>
        <w:rPr>
          <w:rFonts w:hint="eastAsia" w:ascii="仿宋" w:hAnsi="仿宋" w:eastAsia="仿宋" w:cs="仿宋"/>
          <w:b/>
          <w:bCs w:val="0"/>
          <w:sz w:val="28"/>
          <w:szCs w:val="28"/>
          <w:highlight w:val="none"/>
          <w:lang w:val="en-US" w:eastAsia="zh-CN" w:bidi="ar"/>
        </w:rPr>
      </w:pPr>
      <w:r>
        <w:rPr>
          <w:rFonts w:hint="eastAsia" w:ascii="仿宋" w:hAnsi="仿宋" w:eastAsia="仿宋" w:cs="仿宋"/>
          <w:b/>
          <w:bCs w:val="0"/>
          <w:sz w:val="28"/>
          <w:szCs w:val="28"/>
          <w:highlight w:val="none"/>
          <w:lang w:val="en-US" w:eastAsia="zh-CN" w:bidi="ar"/>
        </w:rPr>
        <w:t>四、建议</w:t>
      </w:r>
    </w:p>
    <w:p w14:paraId="0FB93B05">
      <w:pPr>
        <w:pStyle w:val="2"/>
        <w:rPr>
          <w:rFonts w:hint="default" w:ascii="仿宋_GB2312" w:eastAsia="仿宋_GB2312" w:cs="Times New Roman"/>
          <w:b w:val="0"/>
          <w:bCs w:val="0"/>
          <w:kern w:val="2"/>
          <w:sz w:val="28"/>
          <w:szCs w:val="28"/>
          <w:highlight w:val="none"/>
          <w:lang w:val="en-US" w:eastAsia="zh-CN" w:bidi="ar-SA"/>
        </w:rPr>
      </w:pPr>
      <w:r>
        <w:rPr>
          <w:rFonts w:hint="eastAsia" w:ascii="仿宋" w:hAnsi="仿宋" w:eastAsia="仿宋" w:cs="仿宋"/>
          <w:b w:val="0"/>
          <w:bCs/>
          <w:sz w:val="28"/>
          <w:szCs w:val="28"/>
          <w:highlight w:val="none"/>
          <w:lang w:val="en-US" w:eastAsia="zh-CN" w:bidi="ar"/>
        </w:rPr>
        <w:t xml:space="preserve">    强化内控管理，对内部经济活动的风险评估至少每年进行一次，在全面、系统、准确分析单位各经济业务活动风险的基础上，确定经济活动的风险点，剖析风险存在的原因，以及导致风险发生的可能性，以确保及时有效控制风险。</w:t>
      </w:r>
    </w:p>
    <w:sectPr>
      <w:pgSz w:w="11906" w:h="16838"/>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233A5C6-58ED-45F7-9865-67D88CAE47B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82EF6A42-8C4B-42D4-A018-BEE0B1B20E08}"/>
  </w:font>
  <w:font w:name="方正仿宋简体">
    <w:altName w:val="微软雅黑"/>
    <w:panose1 w:val="02000000000000000000"/>
    <w:charset w:val="00"/>
    <w:family w:val="auto"/>
    <w:pitch w:val="default"/>
    <w:sig w:usb0="00000000" w:usb1="00000000" w:usb2="00000012"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embedRegular r:id="rId3" w:fontKey="{4E2D30AD-AA02-4671-A093-1696F6DBF257}"/>
  </w:font>
  <w:font w:name="方正公文小标宋">
    <w:panose1 w:val="02000500000000000000"/>
    <w:charset w:val="86"/>
    <w:family w:val="auto"/>
    <w:pitch w:val="default"/>
    <w:sig w:usb0="A00002BF" w:usb1="38CF7CFA" w:usb2="00000016" w:usb3="00000000" w:csb0="00040001" w:csb1="00000000"/>
    <w:embedRegular r:id="rId4" w:fontKey="{B659973A-40F3-48A8-A9E6-EBFEC28DD82B}"/>
  </w:font>
  <w:font w:name="PMingLiU">
    <w:altName w:val="ksdb"/>
    <w:panose1 w:val="00000000000000000000"/>
    <w:charset w:val="00"/>
    <w:family w:val="auto"/>
    <w:pitch w:val="default"/>
    <w:sig w:usb0="00000000" w:usb1="00000000" w:usb2="00000000" w:usb3="00000000" w:csb0="00000000" w:csb1="00000000"/>
    <w:embedRegular r:id="rId5" w:fontKey="{62445402-03CC-4B34-9022-CA88EAC5A250}"/>
  </w:font>
  <w:font w:name="ksdb">
    <w:panose1 w:val="02000500000000000000"/>
    <w:charset w:val="00"/>
    <w:family w:val="auto"/>
    <w:pitch w:val="default"/>
    <w:sig w:usb0="00000001"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375B1">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C77FB4">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AC77FB4">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9E63A">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E11F60">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24E11F60">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4885B">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306239">
                          <w:pPr>
                            <w:pStyle w:val="8"/>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65306239">
                    <w:pPr>
                      <w:pStyle w:val="8"/>
                    </w:pPr>
                    <w:r>
                      <w:fldChar w:fldCharType="begin"/>
                    </w:r>
                    <w:r>
                      <w:instrText xml:space="preserve"> PAGE  \* MERGEFORMAT </w:instrText>
                    </w:r>
                    <w:r>
                      <w:fldChar w:fldCharType="separate"/>
                    </w:r>
                    <w:r>
                      <w:t>66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08809">
    <w:pPr>
      <w:pStyle w:val="9"/>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kMzk4YTE2OGFhMjgzMmFkZmM2MDM4YmM1MzNjNWEifQ=="/>
  </w:docVars>
  <w:rsids>
    <w:rsidRoot w:val="368C3E56"/>
    <w:rsid w:val="013B4ECC"/>
    <w:rsid w:val="02783976"/>
    <w:rsid w:val="02817D19"/>
    <w:rsid w:val="02A86837"/>
    <w:rsid w:val="04287543"/>
    <w:rsid w:val="04E452F2"/>
    <w:rsid w:val="054426D0"/>
    <w:rsid w:val="06826B27"/>
    <w:rsid w:val="06BE2ACC"/>
    <w:rsid w:val="07FB6203"/>
    <w:rsid w:val="08BD20E2"/>
    <w:rsid w:val="09366C94"/>
    <w:rsid w:val="09D83132"/>
    <w:rsid w:val="0A814CC9"/>
    <w:rsid w:val="0B402A57"/>
    <w:rsid w:val="0B9D2952"/>
    <w:rsid w:val="0BF908D2"/>
    <w:rsid w:val="0D8467F8"/>
    <w:rsid w:val="0DB23A23"/>
    <w:rsid w:val="0DE74336"/>
    <w:rsid w:val="0F955B67"/>
    <w:rsid w:val="0FBF54F9"/>
    <w:rsid w:val="10AB4B20"/>
    <w:rsid w:val="10BC5AA5"/>
    <w:rsid w:val="11D87F8D"/>
    <w:rsid w:val="12690F71"/>
    <w:rsid w:val="129F31DA"/>
    <w:rsid w:val="13484121"/>
    <w:rsid w:val="142459EF"/>
    <w:rsid w:val="14826D67"/>
    <w:rsid w:val="14A87179"/>
    <w:rsid w:val="15C253C4"/>
    <w:rsid w:val="16691AFB"/>
    <w:rsid w:val="16AD239E"/>
    <w:rsid w:val="18F51424"/>
    <w:rsid w:val="19995DE3"/>
    <w:rsid w:val="1A9D60D6"/>
    <w:rsid w:val="1AB8095B"/>
    <w:rsid w:val="1ACD0928"/>
    <w:rsid w:val="1C3F7E44"/>
    <w:rsid w:val="1C576A3B"/>
    <w:rsid w:val="1C6F09DA"/>
    <w:rsid w:val="1E1660C5"/>
    <w:rsid w:val="1E837E0B"/>
    <w:rsid w:val="1FFD7ADA"/>
    <w:rsid w:val="20BD21E5"/>
    <w:rsid w:val="21183928"/>
    <w:rsid w:val="21C65BE2"/>
    <w:rsid w:val="22FD59B9"/>
    <w:rsid w:val="23762E4B"/>
    <w:rsid w:val="248F6BD1"/>
    <w:rsid w:val="252F227F"/>
    <w:rsid w:val="25340D56"/>
    <w:rsid w:val="259E38D9"/>
    <w:rsid w:val="26083225"/>
    <w:rsid w:val="26254DD7"/>
    <w:rsid w:val="26390854"/>
    <w:rsid w:val="26607858"/>
    <w:rsid w:val="27337CE7"/>
    <w:rsid w:val="27BF5CC5"/>
    <w:rsid w:val="286A598B"/>
    <w:rsid w:val="29F700B4"/>
    <w:rsid w:val="2A291581"/>
    <w:rsid w:val="2CDA259B"/>
    <w:rsid w:val="2D216834"/>
    <w:rsid w:val="2E19549A"/>
    <w:rsid w:val="2E380BE4"/>
    <w:rsid w:val="2F3F1D34"/>
    <w:rsid w:val="306231CB"/>
    <w:rsid w:val="31B163D9"/>
    <w:rsid w:val="32983130"/>
    <w:rsid w:val="330578E0"/>
    <w:rsid w:val="33CB12A8"/>
    <w:rsid w:val="34775E1C"/>
    <w:rsid w:val="34BF62D9"/>
    <w:rsid w:val="360C62D3"/>
    <w:rsid w:val="36826277"/>
    <w:rsid w:val="368C3E56"/>
    <w:rsid w:val="37166CDE"/>
    <w:rsid w:val="381D7B0A"/>
    <w:rsid w:val="3820407D"/>
    <w:rsid w:val="383B2EA0"/>
    <w:rsid w:val="388C0C90"/>
    <w:rsid w:val="39C77372"/>
    <w:rsid w:val="3A0E58B6"/>
    <w:rsid w:val="3AC51F20"/>
    <w:rsid w:val="3AFF6407"/>
    <w:rsid w:val="3BF93239"/>
    <w:rsid w:val="3C3D6ABB"/>
    <w:rsid w:val="3D067074"/>
    <w:rsid w:val="3D1E4B3E"/>
    <w:rsid w:val="3D9D17E7"/>
    <w:rsid w:val="3DBA32F9"/>
    <w:rsid w:val="3DDC47DD"/>
    <w:rsid w:val="3E6573E9"/>
    <w:rsid w:val="3E8317B4"/>
    <w:rsid w:val="3F2C7B26"/>
    <w:rsid w:val="3F69027A"/>
    <w:rsid w:val="40302BBE"/>
    <w:rsid w:val="4051124B"/>
    <w:rsid w:val="4061546E"/>
    <w:rsid w:val="41CA07CA"/>
    <w:rsid w:val="4214006C"/>
    <w:rsid w:val="425D7EB7"/>
    <w:rsid w:val="426D4EE4"/>
    <w:rsid w:val="42E23C0C"/>
    <w:rsid w:val="433E4FA3"/>
    <w:rsid w:val="436726C5"/>
    <w:rsid w:val="43830FDD"/>
    <w:rsid w:val="43C04259"/>
    <w:rsid w:val="448D1197"/>
    <w:rsid w:val="455D53C5"/>
    <w:rsid w:val="457572C5"/>
    <w:rsid w:val="45896AF3"/>
    <w:rsid w:val="45EA4096"/>
    <w:rsid w:val="4667066F"/>
    <w:rsid w:val="46BC25AD"/>
    <w:rsid w:val="472052AE"/>
    <w:rsid w:val="47262F6D"/>
    <w:rsid w:val="47643C17"/>
    <w:rsid w:val="47ED3A8B"/>
    <w:rsid w:val="489D2DBB"/>
    <w:rsid w:val="48EE729C"/>
    <w:rsid w:val="49AD0F4D"/>
    <w:rsid w:val="4A180A44"/>
    <w:rsid w:val="4C7E73A7"/>
    <w:rsid w:val="4C883D82"/>
    <w:rsid w:val="4C8B0F3E"/>
    <w:rsid w:val="4E2734EA"/>
    <w:rsid w:val="4ED72B05"/>
    <w:rsid w:val="4F583EE0"/>
    <w:rsid w:val="4F7A20A8"/>
    <w:rsid w:val="510559A1"/>
    <w:rsid w:val="515245C0"/>
    <w:rsid w:val="533430C1"/>
    <w:rsid w:val="53723901"/>
    <w:rsid w:val="53CD6510"/>
    <w:rsid w:val="547472B9"/>
    <w:rsid w:val="55EB700D"/>
    <w:rsid w:val="56EC722D"/>
    <w:rsid w:val="56F61183"/>
    <w:rsid w:val="574511ED"/>
    <w:rsid w:val="57C56B57"/>
    <w:rsid w:val="57E97E47"/>
    <w:rsid w:val="58235C2E"/>
    <w:rsid w:val="5832362D"/>
    <w:rsid w:val="584274DB"/>
    <w:rsid w:val="592B61C1"/>
    <w:rsid w:val="59C3523C"/>
    <w:rsid w:val="5AD250D0"/>
    <w:rsid w:val="5BFE1B47"/>
    <w:rsid w:val="5C3E2F01"/>
    <w:rsid w:val="5D30351E"/>
    <w:rsid w:val="5D5E7239"/>
    <w:rsid w:val="5D9034A4"/>
    <w:rsid w:val="5EA73BC6"/>
    <w:rsid w:val="5EF83023"/>
    <w:rsid w:val="60486C4B"/>
    <w:rsid w:val="60494002"/>
    <w:rsid w:val="639C0BAB"/>
    <w:rsid w:val="63F2136B"/>
    <w:rsid w:val="64A55877"/>
    <w:rsid w:val="64EF53D8"/>
    <w:rsid w:val="650A75D2"/>
    <w:rsid w:val="66323BA1"/>
    <w:rsid w:val="66C25692"/>
    <w:rsid w:val="66D41C46"/>
    <w:rsid w:val="67DD3E48"/>
    <w:rsid w:val="683D2CA8"/>
    <w:rsid w:val="68B27D65"/>
    <w:rsid w:val="68DD74D8"/>
    <w:rsid w:val="68FD4865"/>
    <w:rsid w:val="69085463"/>
    <w:rsid w:val="69D67302"/>
    <w:rsid w:val="6AE930E1"/>
    <w:rsid w:val="6B363BA6"/>
    <w:rsid w:val="6CA51E3D"/>
    <w:rsid w:val="6CA60C9E"/>
    <w:rsid w:val="6CDC3602"/>
    <w:rsid w:val="6DCE0310"/>
    <w:rsid w:val="6E2D6B41"/>
    <w:rsid w:val="6E4B608D"/>
    <w:rsid w:val="6F027AC4"/>
    <w:rsid w:val="700E4B28"/>
    <w:rsid w:val="7017066F"/>
    <w:rsid w:val="703B0F88"/>
    <w:rsid w:val="70780034"/>
    <w:rsid w:val="70EE66E9"/>
    <w:rsid w:val="70F3716D"/>
    <w:rsid w:val="718722F2"/>
    <w:rsid w:val="721B2F45"/>
    <w:rsid w:val="73B255BC"/>
    <w:rsid w:val="75CD2DB2"/>
    <w:rsid w:val="760650F7"/>
    <w:rsid w:val="76263E3D"/>
    <w:rsid w:val="776711B3"/>
    <w:rsid w:val="77A318EC"/>
    <w:rsid w:val="77CC661E"/>
    <w:rsid w:val="77F67172"/>
    <w:rsid w:val="781C50D1"/>
    <w:rsid w:val="78BD078C"/>
    <w:rsid w:val="79144124"/>
    <w:rsid w:val="79E667DE"/>
    <w:rsid w:val="7A061C2F"/>
    <w:rsid w:val="7A3106D7"/>
    <w:rsid w:val="7A6A647A"/>
    <w:rsid w:val="7AD63D87"/>
    <w:rsid w:val="7B02600C"/>
    <w:rsid w:val="7BE0677D"/>
    <w:rsid w:val="7C0A73F6"/>
    <w:rsid w:val="7C7A50A1"/>
    <w:rsid w:val="7D8A1C32"/>
    <w:rsid w:val="7F0E3CA1"/>
    <w:rsid w:val="7F3C4A82"/>
    <w:rsid w:val="7F8C74FD"/>
    <w:rsid w:val="7FF642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rFonts w:ascii="仿宋_GB2312" w:eastAsia="仿宋_GB2312"/>
      <w:sz w:val="30"/>
    </w:rPr>
  </w:style>
  <w:style w:type="paragraph" w:styleId="4">
    <w:name w:val="table of authorities"/>
    <w:basedOn w:val="1"/>
    <w:next w:val="1"/>
    <w:qFormat/>
    <w:uiPriority w:val="0"/>
    <w:pPr>
      <w:ind w:left="420" w:leftChars="200"/>
    </w:pPr>
  </w:style>
  <w:style w:type="paragraph" w:styleId="5">
    <w:name w:val="annotation text"/>
    <w:basedOn w:val="1"/>
    <w:qFormat/>
    <w:uiPriority w:val="0"/>
    <w:pPr>
      <w:jc w:val="left"/>
    </w:pPr>
  </w:style>
  <w:style w:type="paragraph" w:styleId="6">
    <w:name w:val="Block Text"/>
    <w:basedOn w:val="1"/>
    <w:qFormat/>
    <w:uiPriority w:val="0"/>
    <w:pPr>
      <w:spacing w:before="100" w:beforeAutospacing="1"/>
      <w:ind w:left="700" w:leftChars="700" w:right="700" w:rightChars="700"/>
    </w:pPr>
  </w:style>
  <w:style w:type="paragraph" w:styleId="7">
    <w:name w:val="toc 5"/>
    <w:basedOn w:val="1"/>
    <w:next w:val="1"/>
    <w:qFormat/>
    <w:uiPriority w:val="0"/>
    <w:pPr>
      <w:spacing w:line="560" w:lineRule="exact"/>
      <w:ind w:left="0" w:firstLine="808" w:firstLineChars="200"/>
    </w:pPr>
    <w:rPr>
      <w:rFonts w:eastAsia="方正仿宋简体"/>
      <w:sz w:val="32"/>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table" w:styleId="13">
    <w:name w:val="Table Grid"/>
    <w:basedOn w:val="12"/>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0"/>
    <w:rPr>
      <w:b/>
    </w:rPr>
  </w:style>
  <w:style w:type="character" w:styleId="16">
    <w:name w:val="Hyperlink"/>
    <w:basedOn w:val="14"/>
    <w:qFormat/>
    <w:uiPriority w:val="0"/>
    <w:rPr>
      <w:color w:val="0000FF"/>
      <w:u w:val="single"/>
    </w:rPr>
  </w:style>
  <w:style w:type="character" w:customStyle="1" w:styleId="17">
    <w:name w:val="font31"/>
    <w:basedOn w:val="14"/>
    <w:qFormat/>
    <w:uiPriority w:val="0"/>
    <w:rPr>
      <w:rFonts w:hint="eastAsia" w:ascii="宋体" w:hAnsi="宋体" w:eastAsia="宋体" w:cs="宋体"/>
      <w:color w:val="000000"/>
      <w:sz w:val="20"/>
      <w:szCs w:val="20"/>
      <w:u w:val="none"/>
    </w:rPr>
  </w:style>
  <w:style w:type="paragraph" w:customStyle="1" w:styleId="18">
    <w:name w:val="闻政正文"/>
    <w:qFormat/>
    <w:uiPriority w:val="99"/>
    <w:pPr>
      <w:framePr w:wrap="around" w:vAnchor="margin" w:hAnchor="text" w:yAlign="top"/>
      <w:widowControl w:val="0"/>
      <w:spacing w:line="500" w:lineRule="exact"/>
      <w:ind w:firstLine="560"/>
      <w:jc w:val="both"/>
    </w:pPr>
    <w:rPr>
      <w:rFonts w:ascii="Arial Unicode MS" w:hAnsi="Arial Unicode MS" w:eastAsia="宋体" w:cs="Arial Unicode MS"/>
      <w:color w:val="000000"/>
      <w:sz w:val="28"/>
      <w:szCs w:val="28"/>
      <w:lang w:val="en-US" w:eastAsia="zh-CN" w:bidi="ar-SA"/>
    </w:rPr>
  </w:style>
  <w:style w:type="paragraph" w:customStyle="1" w:styleId="19">
    <w:name w:val="闻政-正文段落文字"/>
    <w:basedOn w:val="1"/>
    <w:qFormat/>
    <w:uiPriority w:val="0"/>
    <w:pPr>
      <w:spacing w:line="500" w:lineRule="exact"/>
      <w:ind w:firstLine="200" w:firstLineChars="200"/>
    </w:pPr>
    <w:rPr>
      <w:rFonts w:eastAsia="仿宋_GB2312"/>
      <w:kern w:val="0"/>
      <w:sz w:val="28"/>
      <w:szCs w:val="28"/>
    </w:rPr>
  </w:style>
  <w:style w:type="character" w:customStyle="1" w:styleId="20">
    <w:name w:val="font21"/>
    <w:basedOn w:val="14"/>
    <w:qFormat/>
    <w:uiPriority w:val="0"/>
    <w:rPr>
      <w:rFonts w:hint="eastAsia" w:ascii="仿宋" w:hAnsi="仿宋" w:eastAsia="仿宋" w:cs="仿宋"/>
      <w:color w:val="000000"/>
      <w:sz w:val="20"/>
      <w:szCs w:val="20"/>
      <w:u w:val="none"/>
    </w:rPr>
  </w:style>
  <w:style w:type="character" w:customStyle="1" w:styleId="21">
    <w:name w:val="font11"/>
    <w:basedOn w:val="14"/>
    <w:qFormat/>
    <w:uiPriority w:val="0"/>
    <w:rPr>
      <w:rFonts w:hint="eastAsia" w:ascii="宋体" w:hAnsi="宋体" w:eastAsia="宋体" w:cs="宋体"/>
      <w:color w:val="000000"/>
      <w:sz w:val="20"/>
      <w:szCs w:val="20"/>
      <w:u w:val="none"/>
    </w:rPr>
  </w:style>
  <w:style w:type="character" w:customStyle="1" w:styleId="22">
    <w:name w:val="font71"/>
    <w:basedOn w:val="14"/>
    <w:qFormat/>
    <w:uiPriority w:val="0"/>
    <w:rPr>
      <w:rFonts w:hint="eastAsia" w:ascii="宋体" w:hAnsi="宋体" w:eastAsia="宋体" w:cs="宋体"/>
      <w:color w:val="000000"/>
      <w:sz w:val="20"/>
      <w:szCs w:val="20"/>
      <w:u w:val="none"/>
    </w:rPr>
  </w:style>
  <w:style w:type="character" w:customStyle="1" w:styleId="23">
    <w:name w:val="font51"/>
    <w:basedOn w:val="14"/>
    <w:qFormat/>
    <w:uiPriority w:val="0"/>
    <w:rPr>
      <w:rFonts w:hint="eastAsia" w:ascii="仿宋" w:hAnsi="仿宋" w:eastAsia="仿宋" w:cs="仿宋"/>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35886</Words>
  <Characters>45505</Characters>
  <Lines>0</Lines>
  <Paragraphs>0</Paragraphs>
  <TotalTime>3</TotalTime>
  <ScaleCrop>false</ScaleCrop>
  <LinksUpToDate>false</LinksUpToDate>
  <CharactersWithSpaces>46583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2021-11-16T01:51:00Z</dcterms:created>
  <dc:creator>呼呼。</dc:creator>
  <cp:lastModifiedBy>呼呼。</cp:lastModifiedBy>
  <cp:lastPrinted>2023-11-17T04:06:00Z</cp:lastPrinted>
  <dcterms:modified xsi:type="dcterms:W3CDTF">2024-10-18T01:56:43Z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EE00AD30BFDF47BDBFE91DE6F521A36D</vt:lpwstr>
  </property>
</Properties>
</file>