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057A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公文小标宋" w:hAnsi="方正公文小标宋" w:eastAsia="方正公文小标宋" w:cs="方正公文小标宋"/>
          <w:b/>
          <w:bCs/>
          <w:kern w:val="0"/>
          <w:sz w:val="44"/>
          <w:szCs w:val="44"/>
          <w:highlight w:val="none"/>
          <w:lang w:val="en-US" w:eastAsia="zh-CN"/>
        </w:rPr>
      </w:pPr>
      <w:bookmarkStart w:id="0" w:name="_Toc10375"/>
    </w:p>
    <w:p w14:paraId="743678C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公文小标宋" w:hAnsi="方正公文小标宋" w:eastAsia="方正公文小标宋" w:cs="方正公文小标宋"/>
          <w:b/>
          <w:bCs/>
          <w:kern w:val="0"/>
          <w:sz w:val="44"/>
          <w:szCs w:val="44"/>
          <w:highlight w:val="none"/>
          <w:lang w:val="en-US" w:eastAsia="zh-CN"/>
        </w:rPr>
      </w:pPr>
    </w:p>
    <w:p w14:paraId="62F5099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公文小标宋" w:hAnsi="方正公文小标宋" w:eastAsia="方正公文小标宋" w:cs="方正公文小标宋"/>
          <w:b/>
          <w:bCs/>
          <w:kern w:val="0"/>
          <w:sz w:val="44"/>
          <w:szCs w:val="44"/>
          <w:highlight w:val="none"/>
          <w:lang w:val="en-US" w:eastAsia="zh-CN"/>
        </w:rPr>
      </w:pPr>
      <w:bookmarkStart w:id="1" w:name="_Toc12673"/>
      <w:bookmarkStart w:id="2" w:name="_Toc8946"/>
      <w:r>
        <w:rPr>
          <w:rFonts w:hint="eastAsia" w:ascii="方正公文小标宋" w:hAnsi="方正公文小标宋" w:eastAsia="方正公文小标宋" w:cs="方正公文小标宋"/>
          <w:b/>
          <w:bCs/>
          <w:kern w:val="0"/>
          <w:sz w:val="44"/>
          <w:szCs w:val="44"/>
          <w:highlight w:val="none"/>
          <w:lang w:val="en-US" w:eastAsia="zh-CN"/>
        </w:rPr>
        <w:t>永济市市场监督管理局</w:t>
      </w:r>
    </w:p>
    <w:p w14:paraId="17DB7C7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公文小标宋" w:hAnsi="方正公文小标宋" w:eastAsia="方正公文小标宋" w:cs="方正公文小标宋"/>
          <w:b/>
          <w:bCs/>
          <w:kern w:val="0"/>
          <w:sz w:val="44"/>
          <w:szCs w:val="44"/>
          <w:highlight w:val="none"/>
          <w:lang w:eastAsia="zh-CN"/>
        </w:rPr>
      </w:pPr>
      <w:r>
        <w:rPr>
          <w:rFonts w:hint="eastAsia" w:ascii="方正公文小标宋" w:hAnsi="方正公文小标宋" w:eastAsia="方正公文小标宋" w:cs="方正公文小标宋"/>
          <w:b/>
          <w:bCs/>
          <w:kern w:val="0"/>
          <w:sz w:val="44"/>
          <w:szCs w:val="44"/>
          <w:highlight w:val="none"/>
          <w:lang w:val="en-US" w:eastAsia="zh-CN"/>
        </w:rPr>
        <w:t>2023年度整体支出</w:t>
      </w:r>
      <w:bookmarkEnd w:id="1"/>
      <w:bookmarkEnd w:id="2"/>
      <w:bookmarkStart w:id="3" w:name="_Toc1354"/>
      <w:bookmarkStart w:id="4" w:name="_Toc26205"/>
      <w:r>
        <w:rPr>
          <w:rFonts w:hint="eastAsia" w:ascii="方正公文小标宋" w:hAnsi="方正公文小标宋" w:eastAsia="方正公文小标宋" w:cs="方正公文小标宋"/>
          <w:b/>
          <w:bCs/>
          <w:kern w:val="0"/>
          <w:sz w:val="44"/>
          <w:szCs w:val="44"/>
          <w:highlight w:val="none"/>
        </w:rPr>
        <w:t>绩效</w:t>
      </w:r>
      <w:r>
        <w:rPr>
          <w:rFonts w:hint="eastAsia" w:ascii="方正公文小标宋" w:hAnsi="方正公文小标宋" w:eastAsia="方正公文小标宋" w:cs="方正公文小标宋"/>
          <w:b/>
          <w:bCs/>
          <w:kern w:val="0"/>
          <w:sz w:val="44"/>
          <w:szCs w:val="44"/>
          <w:highlight w:val="none"/>
          <w:lang w:val="en-US" w:eastAsia="zh-CN"/>
        </w:rPr>
        <w:t>评价</w:t>
      </w:r>
      <w:bookmarkEnd w:id="3"/>
      <w:r>
        <w:rPr>
          <w:rFonts w:hint="eastAsia" w:ascii="方正公文小标宋" w:hAnsi="方正公文小标宋" w:eastAsia="方正公文小标宋" w:cs="方正公文小标宋"/>
          <w:b/>
          <w:bCs/>
          <w:kern w:val="0"/>
          <w:sz w:val="44"/>
          <w:szCs w:val="44"/>
          <w:highlight w:val="none"/>
          <w:lang w:val="en-US" w:eastAsia="zh-CN"/>
        </w:rPr>
        <w:t>报告</w:t>
      </w:r>
      <w:bookmarkEnd w:id="4"/>
    </w:p>
    <w:p w14:paraId="5EE61798">
      <w:pPr>
        <w:ind w:leftChars="100" w:right="225" w:rightChars="107"/>
        <w:jc w:val="center"/>
        <w:outlineLvl w:val="9"/>
        <w:rPr>
          <w:rFonts w:hint="eastAsia" w:ascii="仿宋" w:hAnsi="仿宋" w:eastAsia="仿宋" w:cs="仿宋"/>
          <w:b/>
          <w:bCs/>
          <w:spacing w:val="16"/>
          <w:sz w:val="32"/>
          <w:szCs w:val="32"/>
          <w:lang w:val="en-US" w:eastAsia="zh-CN"/>
        </w:rPr>
      </w:pPr>
      <w:r>
        <w:rPr>
          <w:rFonts w:hint="eastAsia" w:ascii="仿宋" w:hAnsi="仿宋" w:eastAsia="仿宋" w:cs="仿宋"/>
          <w:b/>
          <w:bCs/>
          <w:spacing w:val="16"/>
          <w:sz w:val="32"/>
          <w:szCs w:val="32"/>
          <w:lang w:val="en-US" w:eastAsia="zh-CN"/>
        </w:rPr>
        <w:t>晋广和绩评〔2024〕0009号</w:t>
      </w:r>
    </w:p>
    <w:p w14:paraId="3E581482">
      <w:pPr>
        <w:outlineLvl w:val="9"/>
        <w:rPr>
          <w:rFonts w:hint="eastAsia" w:ascii="宋体" w:hAnsi="宋体" w:eastAsia="宋体" w:cs="宋体"/>
          <w:b/>
          <w:bCs/>
          <w:kern w:val="0"/>
          <w:sz w:val="32"/>
          <w:szCs w:val="32"/>
          <w:highlight w:val="none"/>
        </w:rPr>
      </w:pPr>
    </w:p>
    <w:p w14:paraId="59B3FF52">
      <w:pPr>
        <w:outlineLvl w:val="9"/>
        <w:rPr>
          <w:rFonts w:hint="eastAsia" w:ascii="宋体" w:hAnsi="宋体" w:eastAsia="宋体" w:cs="宋体"/>
          <w:b/>
          <w:bCs/>
          <w:kern w:val="0"/>
          <w:sz w:val="32"/>
          <w:szCs w:val="32"/>
          <w:highlight w:val="none"/>
        </w:rPr>
      </w:pPr>
    </w:p>
    <w:p w14:paraId="79C4CEB2">
      <w:pPr>
        <w:outlineLvl w:val="9"/>
        <w:rPr>
          <w:rFonts w:hint="eastAsia" w:ascii="宋体" w:hAnsi="宋体" w:eastAsia="宋体" w:cs="宋体"/>
          <w:b/>
          <w:bCs/>
          <w:kern w:val="0"/>
          <w:sz w:val="32"/>
          <w:szCs w:val="32"/>
          <w:highlight w:val="none"/>
        </w:rPr>
      </w:pPr>
      <w:bookmarkStart w:id="225" w:name="_GoBack"/>
      <w:bookmarkEnd w:id="225"/>
    </w:p>
    <w:p w14:paraId="07C2CDA6">
      <w:pPr>
        <w:pStyle w:val="6"/>
        <w:outlineLvl w:val="9"/>
        <w:rPr>
          <w:rFonts w:hint="eastAsia"/>
        </w:rPr>
      </w:pPr>
    </w:p>
    <w:p w14:paraId="472F2405">
      <w:pPr>
        <w:pStyle w:val="2"/>
        <w:outlineLvl w:val="9"/>
        <w:rPr>
          <w:rFonts w:hint="eastAsia"/>
        </w:rPr>
      </w:pP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00"/>
      </w:tblGrid>
      <w:tr w14:paraId="335A0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500" w:type="dxa"/>
            <w:tcBorders>
              <w:tl2br w:val="nil"/>
              <w:tr2bl w:val="nil"/>
            </w:tcBorders>
            <w:noWrap w:val="0"/>
            <w:vAlign w:val="top"/>
          </w:tcPr>
          <w:p w14:paraId="14B2F5A1">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left"/>
              <w:textAlignment w:val="auto"/>
              <w:outlineLvl w:val="9"/>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项目</w:t>
            </w:r>
            <w:r>
              <w:rPr>
                <w:rFonts w:hint="eastAsia" w:ascii="仿宋" w:hAnsi="仿宋" w:eastAsia="仿宋" w:cs="仿宋"/>
                <w:b/>
                <w:sz w:val="32"/>
                <w:szCs w:val="32"/>
                <w:highlight w:val="none"/>
              </w:rPr>
              <w:t>单位：永济市市场监督管理局</w:t>
            </w:r>
          </w:p>
          <w:p w14:paraId="027B5D08">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left"/>
              <w:textAlignment w:val="auto"/>
              <w:outlineLvl w:val="9"/>
              <w:rPr>
                <w:rFonts w:hint="eastAsia" w:ascii="仿宋" w:hAnsi="仿宋" w:eastAsia="仿宋" w:cs="仿宋"/>
                <w:b/>
                <w:sz w:val="32"/>
                <w:szCs w:val="32"/>
                <w:highlight w:val="none"/>
              </w:rPr>
            </w:pPr>
            <w:r>
              <w:rPr>
                <w:rFonts w:hint="eastAsia" w:ascii="仿宋" w:hAnsi="仿宋" w:eastAsia="仿宋" w:cs="仿宋"/>
                <w:b/>
                <w:sz w:val="32"/>
                <w:szCs w:val="32"/>
                <w:highlight w:val="none"/>
              </w:rPr>
              <w:t>委托单位：</w:t>
            </w:r>
            <w:r>
              <w:rPr>
                <w:rFonts w:hint="eastAsia" w:ascii="仿宋" w:hAnsi="仿宋" w:eastAsia="仿宋" w:cs="仿宋"/>
                <w:b/>
                <w:sz w:val="32"/>
                <w:szCs w:val="32"/>
                <w:highlight w:val="none"/>
                <w:lang w:val="en-US" w:eastAsia="zh-CN"/>
              </w:rPr>
              <w:t>永济市</w:t>
            </w:r>
            <w:r>
              <w:rPr>
                <w:rFonts w:hint="eastAsia" w:ascii="仿宋" w:hAnsi="仿宋" w:eastAsia="仿宋" w:cs="仿宋"/>
                <w:b/>
                <w:sz w:val="32"/>
                <w:szCs w:val="32"/>
                <w:highlight w:val="none"/>
              </w:rPr>
              <w:t>财政局</w:t>
            </w:r>
          </w:p>
          <w:p w14:paraId="0ABD7307">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left"/>
              <w:textAlignment w:val="auto"/>
              <w:outlineLvl w:val="9"/>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评价机构：山西广和会计师事务所有限公司</w:t>
            </w:r>
          </w:p>
          <w:p w14:paraId="3A87A747">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left"/>
              <w:textAlignment w:val="auto"/>
              <w:outlineLvl w:val="9"/>
              <w:rPr>
                <w:rFonts w:hint="default" w:eastAsia="仿宋"/>
                <w:sz w:val="32"/>
                <w:szCs w:val="32"/>
                <w:lang w:val="en-US" w:eastAsia="zh-CN"/>
              </w:rPr>
            </w:pPr>
            <w:r>
              <w:rPr>
                <w:rFonts w:hint="eastAsia" w:ascii="仿宋" w:hAnsi="仿宋" w:eastAsia="仿宋" w:cs="仿宋"/>
                <w:b/>
                <w:sz w:val="32"/>
                <w:szCs w:val="32"/>
                <w:highlight w:val="none"/>
                <w:lang w:val="en-US" w:eastAsia="zh-CN"/>
              </w:rPr>
              <w:t>主 评 人：李亚飞</w:t>
            </w:r>
          </w:p>
        </w:tc>
      </w:tr>
    </w:tbl>
    <w:p w14:paraId="7DAE9E88">
      <w:pPr>
        <w:ind w:left="1602" w:leftChars="200" w:right="225" w:rightChars="107" w:hanging="1182" w:hangingChars="368"/>
        <w:jc w:val="left"/>
        <w:outlineLvl w:val="9"/>
        <w:rPr>
          <w:rFonts w:hint="eastAsia" w:ascii="宋体" w:hAnsi="宋体" w:eastAsia="宋体" w:cs="宋体"/>
          <w:b/>
          <w:sz w:val="32"/>
          <w:szCs w:val="32"/>
          <w:highlight w:val="none"/>
        </w:rPr>
      </w:pPr>
    </w:p>
    <w:p w14:paraId="626DA3CC">
      <w:pPr>
        <w:jc w:val="left"/>
        <w:outlineLvl w:val="9"/>
        <w:rPr>
          <w:rFonts w:hint="eastAsia" w:ascii="宋体" w:hAnsi="宋体" w:eastAsia="宋体" w:cs="宋体"/>
          <w:b/>
          <w:sz w:val="32"/>
          <w:szCs w:val="28"/>
          <w:highlight w:val="none"/>
        </w:rPr>
      </w:pPr>
    </w:p>
    <w:p w14:paraId="5A71C137">
      <w:pPr>
        <w:pStyle w:val="2"/>
        <w:outlineLvl w:val="9"/>
        <w:rPr>
          <w:rFonts w:hint="eastAsia"/>
          <w:highlight w:val="none"/>
        </w:rPr>
      </w:pPr>
    </w:p>
    <w:p w14:paraId="25445AF9">
      <w:pPr>
        <w:pStyle w:val="2"/>
        <w:outlineLvl w:val="9"/>
        <w:rPr>
          <w:rFonts w:hint="eastAsia"/>
        </w:rPr>
      </w:pPr>
    </w:p>
    <w:p w14:paraId="22C71D1D">
      <w:pPr>
        <w:pStyle w:val="2"/>
        <w:jc w:val="center"/>
        <w:outlineLvl w:val="9"/>
        <w:rPr>
          <w:rFonts w:hint="eastAsia" w:ascii="宋体" w:hAnsi="宋体" w:eastAsia="宋体" w:cs="宋体"/>
          <w:sz w:val="22"/>
          <w:highlight w:val="none"/>
        </w:rPr>
      </w:pPr>
    </w:p>
    <w:p w14:paraId="5787EB36">
      <w:pPr>
        <w:jc w:val="center"/>
        <w:outlineLvl w:val="9"/>
        <w:rPr>
          <w:rFonts w:hint="eastAsia" w:ascii="黑体" w:hAnsi="黑体" w:eastAsia="黑体" w:cs="黑体"/>
          <w:sz w:val="32"/>
          <w:szCs w:val="32"/>
        </w:rPr>
      </w:pPr>
      <w:r>
        <w:rPr>
          <w:rFonts w:hint="eastAsia" w:ascii="黑体" w:hAnsi="黑体" w:eastAsia="黑体" w:cs="黑体"/>
          <w:b/>
          <w:sz w:val="32"/>
          <w:szCs w:val="32"/>
          <w:highlight w:val="none"/>
        </w:rPr>
        <w:t>202</w:t>
      </w:r>
      <w:r>
        <w:rPr>
          <w:rFonts w:hint="eastAsia" w:ascii="黑体" w:hAnsi="黑体" w:eastAsia="黑体" w:cs="黑体"/>
          <w:b/>
          <w:sz w:val="32"/>
          <w:szCs w:val="32"/>
          <w:highlight w:val="none"/>
          <w:lang w:val="en-US" w:eastAsia="zh-CN"/>
        </w:rPr>
        <w:t>4</w:t>
      </w:r>
      <w:r>
        <w:rPr>
          <w:rFonts w:hint="eastAsia" w:ascii="黑体" w:hAnsi="黑体" w:eastAsia="黑体" w:cs="黑体"/>
          <w:b/>
          <w:sz w:val="32"/>
          <w:szCs w:val="32"/>
          <w:highlight w:val="none"/>
        </w:rPr>
        <w:t>年</w:t>
      </w:r>
      <w:r>
        <w:rPr>
          <w:rFonts w:hint="eastAsia" w:ascii="黑体" w:hAnsi="黑体" w:eastAsia="黑体" w:cs="黑体"/>
          <w:b/>
          <w:sz w:val="32"/>
          <w:szCs w:val="32"/>
          <w:highlight w:val="none"/>
          <w:lang w:val="en-US" w:eastAsia="zh-CN"/>
        </w:rPr>
        <w:t>10</w:t>
      </w:r>
      <w:r>
        <w:rPr>
          <w:rFonts w:hint="eastAsia" w:ascii="黑体" w:hAnsi="黑体" w:eastAsia="黑体" w:cs="黑体"/>
          <w:b/>
          <w:sz w:val="32"/>
          <w:szCs w:val="32"/>
          <w:highlight w:val="none"/>
        </w:rPr>
        <w:t>月</w:t>
      </w:r>
    </w:p>
    <w:p w14:paraId="7C4C5156">
      <w:pPr>
        <w:jc w:val="center"/>
        <w:outlineLvl w:val="9"/>
        <w:rPr>
          <w:rFonts w:hint="eastAsia" w:ascii="仿宋" w:hAnsi="仿宋" w:eastAsia="仿宋" w:cs="仿宋"/>
          <w:b/>
          <w:bCs/>
          <w:sz w:val="32"/>
          <w:szCs w:val="4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2F231AD">
      <w:pPr>
        <w:pStyle w:val="2"/>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heme="minorBidi"/>
          <w:kern w:val="2"/>
          <w:sz w:val="21"/>
          <w:szCs w:val="24"/>
          <w:lang w:val="en-US" w:eastAsia="zh-CN" w:bidi="ar-SA"/>
        </w:rPr>
        <w:id w:val="147476342"/>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14:paraId="5F9FE0EF">
          <w:pPr>
            <w:spacing w:before="0" w:beforeLines="0" w:after="0" w:afterLines="0" w:line="240" w:lineRule="auto"/>
            <w:ind w:left="0" w:leftChars="0" w:right="0" w:rightChars="0"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目</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录</w:t>
          </w:r>
        </w:p>
        <w:p w14:paraId="7ED31D8F">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TOC \o "1-2" \h \u </w:instrText>
          </w:r>
          <w:r>
            <w:rPr>
              <w:rFonts w:hint="eastAsia" w:ascii="仿宋" w:hAnsi="仿宋" w:eastAsia="仿宋" w:cs="仿宋"/>
              <w:sz w:val="24"/>
              <w:szCs w:val="24"/>
              <w:lang w:val="en-US" w:eastAsia="zh-CN"/>
            </w:rPr>
            <w:fldChar w:fldCharType="separate"/>
          </w:r>
          <w:r>
            <w:rPr>
              <w:rFonts w:hint="eastAsia" w:ascii="仿宋" w:hAnsi="仿宋" w:eastAsia="仿宋" w:cs="仿宋"/>
              <w:b/>
              <w:sz w:val="24"/>
              <w:szCs w:val="24"/>
              <w:lang w:val="en-US" w:eastAsia="zh-CN"/>
            </w:rPr>
            <w:fldChar w:fldCharType="begin"/>
          </w:r>
          <w:r>
            <w:rPr>
              <w:rFonts w:hint="eastAsia" w:ascii="仿宋" w:hAnsi="仿宋" w:eastAsia="仿宋" w:cs="仿宋"/>
              <w:b/>
              <w:sz w:val="24"/>
              <w:szCs w:val="24"/>
              <w:lang w:val="en-US" w:eastAsia="zh-CN"/>
            </w:rPr>
            <w:instrText xml:space="preserve"> HYPERLINK \l _Toc22131 </w:instrText>
          </w:r>
          <w:r>
            <w:rPr>
              <w:rFonts w:hint="eastAsia" w:ascii="仿宋" w:hAnsi="仿宋" w:eastAsia="仿宋" w:cs="仿宋"/>
              <w:b/>
              <w:sz w:val="24"/>
              <w:szCs w:val="24"/>
              <w:lang w:val="en-US" w:eastAsia="zh-CN"/>
            </w:rPr>
            <w:fldChar w:fldCharType="separate"/>
          </w:r>
          <w:r>
            <w:rPr>
              <w:rFonts w:hint="eastAsia" w:ascii="仿宋" w:hAnsi="仿宋" w:eastAsia="仿宋" w:cs="仿宋"/>
              <w:b/>
              <w:bCs/>
              <w:sz w:val="24"/>
              <w:szCs w:val="24"/>
              <w:highlight w:val="none"/>
              <w:lang w:val="en-US" w:eastAsia="zh-CN"/>
            </w:rPr>
            <w:t>摘  要</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_Toc22131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w:t>
          </w:r>
          <w:r>
            <w:rPr>
              <w:rFonts w:hint="eastAsia" w:ascii="仿宋" w:hAnsi="仿宋" w:eastAsia="仿宋" w:cs="仿宋"/>
              <w:b/>
              <w:sz w:val="24"/>
              <w:szCs w:val="24"/>
            </w:rPr>
            <w:fldChar w:fldCharType="end"/>
          </w:r>
          <w:r>
            <w:rPr>
              <w:rFonts w:hint="eastAsia" w:ascii="仿宋" w:hAnsi="仿宋" w:eastAsia="仿宋" w:cs="仿宋"/>
              <w:b/>
              <w:sz w:val="24"/>
              <w:szCs w:val="24"/>
              <w:lang w:val="en-US" w:eastAsia="zh-CN"/>
            </w:rPr>
            <w:fldChar w:fldCharType="end"/>
          </w:r>
        </w:p>
        <w:p w14:paraId="4FDB4154">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fldChar w:fldCharType="begin"/>
          </w:r>
          <w:r>
            <w:rPr>
              <w:rFonts w:hint="eastAsia" w:ascii="仿宋" w:hAnsi="仿宋" w:eastAsia="仿宋" w:cs="仿宋"/>
              <w:b/>
              <w:sz w:val="24"/>
              <w:szCs w:val="24"/>
              <w:lang w:val="en-US" w:eastAsia="zh-CN"/>
            </w:rPr>
            <w:instrText xml:space="preserve"> HYPERLINK \l _Toc12998 </w:instrText>
          </w:r>
          <w:r>
            <w:rPr>
              <w:rFonts w:hint="eastAsia" w:ascii="仿宋" w:hAnsi="仿宋" w:eastAsia="仿宋" w:cs="仿宋"/>
              <w:b/>
              <w:sz w:val="24"/>
              <w:szCs w:val="24"/>
              <w:lang w:val="en-US" w:eastAsia="zh-CN"/>
            </w:rPr>
            <w:fldChar w:fldCharType="separate"/>
          </w:r>
          <w:r>
            <w:rPr>
              <w:rFonts w:hint="eastAsia" w:ascii="仿宋" w:hAnsi="仿宋" w:eastAsia="仿宋" w:cs="仿宋"/>
              <w:b/>
              <w:bCs/>
              <w:sz w:val="24"/>
              <w:szCs w:val="24"/>
              <w:highlight w:val="none"/>
              <w:lang w:val="en-US" w:eastAsia="zh-CN"/>
            </w:rPr>
            <w:t>一、部门基本情况</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_Toc12998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6</w:t>
          </w:r>
          <w:r>
            <w:rPr>
              <w:rFonts w:hint="eastAsia" w:ascii="仿宋" w:hAnsi="仿宋" w:eastAsia="仿宋" w:cs="仿宋"/>
              <w:b/>
              <w:sz w:val="24"/>
              <w:szCs w:val="24"/>
            </w:rPr>
            <w:fldChar w:fldCharType="end"/>
          </w:r>
          <w:r>
            <w:rPr>
              <w:rFonts w:hint="eastAsia" w:ascii="仿宋" w:hAnsi="仿宋" w:eastAsia="仿宋" w:cs="仿宋"/>
              <w:b/>
              <w:sz w:val="24"/>
              <w:szCs w:val="24"/>
              <w:lang w:val="en-US" w:eastAsia="zh-CN"/>
            </w:rPr>
            <w:fldChar w:fldCharType="end"/>
          </w:r>
        </w:p>
        <w:p w14:paraId="302F0DF5">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_Toc6308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highlight w:val="none"/>
              <w:lang w:val="en-US" w:eastAsia="zh-CN"/>
            </w:rPr>
            <w:t>（一）部门概况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_Toc6308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7B520E59">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_Toc21967 </w:instrText>
          </w:r>
          <w:r>
            <w:rPr>
              <w:rFonts w:hint="eastAsia" w:ascii="仿宋" w:hAnsi="仿宋" w:eastAsia="仿宋" w:cs="仿宋"/>
              <w:sz w:val="24"/>
              <w:szCs w:val="24"/>
              <w:lang w:val="en-US" w:eastAsia="zh-CN"/>
            </w:rPr>
            <w:fldChar w:fldCharType="separate"/>
          </w:r>
          <w:r>
            <w:rPr>
              <w:rFonts w:hint="eastAsia" w:ascii="仿宋" w:hAnsi="仿宋" w:eastAsia="仿宋" w:cs="仿宋"/>
              <w:bCs/>
              <w:kern w:val="2"/>
              <w:sz w:val="24"/>
              <w:szCs w:val="24"/>
              <w:highlight w:val="none"/>
              <w:lang w:val="en-US" w:eastAsia="zh-CN" w:bidi="ar-SA"/>
            </w:rPr>
            <w:t>（二）部门预算批复及整体支出情况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_Toc21967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0F9F3984">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_Toc11753 </w:instrText>
          </w:r>
          <w:r>
            <w:rPr>
              <w:rFonts w:hint="eastAsia" w:ascii="仿宋" w:hAnsi="仿宋" w:eastAsia="仿宋" w:cs="仿宋"/>
              <w:sz w:val="24"/>
              <w:szCs w:val="24"/>
              <w:lang w:val="en-US" w:eastAsia="zh-CN"/>
            </w:rPr>
            <w:fldChar w:fldCharType="separate"/>
          </w:r>
          <w:r>
            <w:rPr>
              <w:rFonts w:hint="eastAsia" w:ascii="仿宋" w:hAnsi="仿宋" w:eastAsia="仿宋" w:cs="仿宋"/>
              <w:bCs/>
              <w:kern w:val="2"/>
              <w:sz w:val="24"/>
              <w:szCs w:val="24"/>
              <w:highlight w:val="none"/>
              <w:lang w:val="en-US" w:eastAsia="zh-CN" w:bidi="ar-SA"/>
            </w:rPr>
            <w:t>（三）部门整体绩效目标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_Toc11753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3849A7CE">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fldChar w:fldCharType="begin"/>
          </w:r>
          <w:r>
            <w:rPr>
              <w:rFonts w:hint="eastAsia" w:ascii="仿宋" w:hAnsi="仿宋" w:eastAsia="仿宋" w:cs="仿宋"/>
              <w:b/>
              <w:sz w:val="24"/>
              <w:szCs w:val="24"/>
              <w:lang w:val="en-US" w:eastAsia="zh-CN"/>
            </w:rPr>
            <w:instrText xml:space="preserve"> HYPERLINK \l _Toc8948 </w:instrText>
          </w:r>
          <w:r>
            <w:rPr>
              <w:rFonts w:hint="eastAsia" w:ascii="仿宋" w:hAnsi="仿宋" w:eastAsia="仿宋" w:cs="仿宋"/>
              <w:b/>
              <w:sz w:val="24"/>
              <w:szCs w:val="24"/>
              <w:lang w:val="en-US" w:eastAsia="zh-CN"/>
            </w:rPr>
            <w:fldChar w:fldCharType="separate"/>
          </w:r>
          <w:r>
            <w:rPr>
              <w:rFonts w:hint="eastAsia" w:ascii="仿宋" w:hAnsi="仿宋" w:eastAsia="仿宋" w:cs="仿宋"/>
              <w:b/>
              <w:bCs/>
              <w:sz w:val="24"/>
              <w:szCs w:val="24"/>
              <w:highlight w:val="none"/>
              <w:lang w:val="en-US" w:eastAsia="zh-CN"/>
            </w:rPr>
            <w:t>二、绩效评价工作开展情况</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_Toc8948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13</w:t>
          </w:r>
          <w:r>
            <w:rPr>
              <w:rFonts w:hint="eastAsia" w:ascii="仿宋" w:hAnsi="仿宋" w:eastAsia="仿宋" w:cs="仿宋"/>
              <w:b/>
              <w:sz w:val="24"/>
              <w:szCs w:val="24"/>
            </w:rPr>
            <w:fldChar w:fldCharType="end"/>
          </w:r>
          <w:r>
            <w:rPr>
              <w:rFonts w:hint="eastAsia" w:ascii="仿宋" w:hAnsi="仿宋" w:eastAsia="仿宋" w:cs="仿宋"/>
              <w:b/>
              <w:sz w:val="24"/>
              <w:szCs w:val="24"/>
              <w:lang w:val="en-US" w:eastAsia="zh-CN"/>
            </w:rPr>
            <w:fldChar w:fldCharType="end"/>
          </w:r>
        </w:p>
        <w:p w14:paraId="43B3FDB9">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_Toc1852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highlight w:val="none"/>
              <w:lang w:eastAsia="zh-CN"/>
            </w:rPr>
            <w:t>（一）绩效评价的目的和依据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_Toc1852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27C2787C">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_Toc7644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highlight w:val="none"/>
              <w:lang w:eastAsia="zh-CN"/>
            </w:rPr>
            <w:t>（二）绩效评价的对象和范围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_Toc7644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374FB031">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_Toc9856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highlight w:val="none"/>
            </w:rPr>
            <w:t>（</w:t>
          </w:r>
          <w:r>
            <w:rPr>
              <w:rFonts w:hint="eastAsia" w:ascii="仿宋" w:hAnsi="仿宋" w:eastAsia="仿宋" w:cs="仿宋"/>
              <w:bCs/>
              <w:sz w:val="24"/>
              <w:szCs w:val="24"/>
              <w:highlight w:val="none"/>
              <w:lang w:eastAsia="zh-CN"/>
            </w:rPr>
            <w:t>三</w:t>
          </w:r>
          <w:r>
            <w:rPr>
              <w:rFonts w:hint="eastAsia" w:ascii="仿宋" w:hAnsi="仿宋" w:eastAsia="仿宋" w:cs="仿宋"/>
              <w:bCs/>
              <w:sz w:val="24"/>
              <w:szCs w:val="24"/>
              <w:highlight w:val="none"/>
            </w:rPr>
            <w:t>）绩效评价原则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_Toc9856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252D50A2">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_Toc8758 </w:instrText>
          </w:r>
          <w:r>
            <w:rPr>
              <w:rFonts w:hint="eastAsia" w:ascii="仿宋" w:hAnsi="仿宋" w:eastAsia="仿宋" w:cs="仿宋"/>
              <w:sz w:val="24"/>
              <w:szCs w:val="24"/>
              <w:lang w:val="en-US" w:eastAsia="zh-CN"/>
            </w:rPr>
            <w:fldChar w:fldCharType="separate"/>
          </w:r>
          <w:r>
            <w:rPr>
              <w:rFonts w:hint="eastAsia" w:ascii="仿宋" w:hAnsi="仿宋" w:eastAsia="仿宋" w:cs="仿宋"/>
              <w:bCs w:val="0"/>
              <w:sz w:val="24"/>
              <w:szCs w:val="24"/>
              <w:highlight w:val="none"/>
              <w:lang w:eastAsia="zh-CN"/>
            </w:rPr>
            <w:t>（四）绩效评价方法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_Toc8758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7E9584D9">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_Toc15523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绩效评价</w:t>
          </w:r>
          <w:r>
            <w:rPr>
              <w:rFonts w:hint="eastAsia" w:ascii="仿宋" w:hAnsi="仿宋" w:eastAsia="仿宋" w:cs="仿宋"/>
              <w:sz w:val="24"/>
              <w:szCs w:val="24"/>
              <w:highlight w:val="none"/>
              <w:lang w:val="en-US" w:eastAsia="zh-CN"/>
            </w:rPr>
            <w:t>的</w:t>
          </w:r>
          <w:r>
            <w:rPr>
              <w:rFonts w:hint="eastAsia" w:ascii="仿宋" w:hAnsi="仿宋" w:eastAsia="仿宋" w:cs="仿宋"/>
              <w:sz w:val="24"/>
              <w:szCs w:val="24"/>
              <w:highlight w:val="none"/>
            </w:rPr>
            <w:t>指标</w:t>
          </w:r>
          <w:r>
            <w:rPr>
              <w:rFonts w:hint="eastAsia" w:ascii="仿宋" w:hAnsi="仿宋" w:eastAsia="仿宋" w:cs="仿宋"/>
              <w:sz w:val="24"/>
              <w:szCs w:val="24"/>
              <w:highlight w:val="none"/>
              <w:lang w:eastAsia="zh-CN"/>
            </w:rPr>
            <w:t>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_Toc15523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59256729">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_Toc6498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rPr>
            <w:t>（</w:t>
          </w:r>
          <w:r>
            <w:rPr>
              <w:rFonts w:hint="eastAsia" w:ascii="仿宋" w:hAnsi="仿宋" w:eastAsia="仿宋" w:cs="仿宋"/>
              <w:bCs/>
              <w:sz w:val="24"/>
              <w:szCs w:val="24"/>
              <w:lang w:val="en-US" w:eastAsia="zh-CN"/>
            </w:rPr>
            <w:t>六</w:t>
          </w:r>
          <w:r>
            <w:rPr>
              <w:rFonts w:hint="eastAsia" w:ascii="仿宋" w:hAnsi="仿宋" w:eastAsia="仿宋" w:cs="仿宋"/>
              <w:bCs/>
              <w:sz w:val="24"/>
              <w:szCs w:val="24"/>
            </w:rPr>
            <w:t>）评价的组织及实施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_Toc6498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5769648F">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_Toc16638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highlight w:val="none"/>
              <w:lang w:val="en-US" w:eastAsia="zh-CN"/>
            </w:rPr>
            <w:t>（七）</w:t>
          </w:r>
          <w:r>
            <w:rPr>
              <w:rFonts w:hint="eastAsia" w:ascii="仿宋" w:hAnsi="仿宋" w:eastAsia="仿宋" w:cs="仿宋"/>
              <w:bCs/>
              <w:sz w:val="24"/>
              <w:szCs w:val="24"/>
              <w:highlight w:val="none"/>
            </w:rPr>
            <w:t>分值评级</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_Toc16638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13DA7165">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fldChar w:fldCharType="begin"/>
          </w:r>
          <w:r>
            <w:rPr>
              <w:rFonts w:hint="eastAsia" w:ascii="仿宋" w:hAnsi="仿宋" w:eastAsia="仿宋" w:cs="仿宋"/>
              <w:b/>
              <w:sz w:val="24"/>
              <w:szCs w:val="24"/>
              <w:lang w:val="en-US" w:eastAsia="zh-CN"/>
            </w:rPr>
            <w:instrText xml:space="preserve"> HYPERLINK \l _Toc2769 </w:instrText>
          </w:r>
          <w:r>
            <w:rPr>
              <w:rFonts w:hint="eastAsia" w:ascii="仿宋" w:hAnsi="仿宋" w:eastAsia="仿宋" w:cs="仿宋"/>
              <w:b/>
              <w:sz w:val="24"/>
              <w:szCs w:val="24"/>
              <w:lang w:val="en-US" w:eastAsia="zh-CN"/>
            </w:rPr>
            <w:fldChar w:fldCharType="separate"/>
          </w:r>
          <w:r>
            <w:rPr>
              <w:rFonts w:hint="eastAsia" w:ascii="仿宋" w:hAnsi="仿宋" w:eastAsia="仿宋" w:cs="仿宋"/>
              <w:b/>
              <w:sz w:val="24"/>
              <w:szCs w:val="24"/>
              <w:highlight w:val="none"/>
            </w:rPr>
            <w:t>三、</w:t>
          </w:r>
          <w:r>
            <w:rPr>
              <w:rFonts w:hint="eastAsia" w:ascii="仿宋" w:hAnsi="仿宋" w:eastAsia="仿宋" w:cs="仿宋"/>
              <w:b/>
              <w:sz w:val="24"/>
              <w:szCs w:val="24"/>
              <w:highlight w:val="none"/>
              <w:lang w:val="en-US" w:eastAsia="zh-CN"/>
            </w:rPr>
            <w:t>综合评价情况及评价结论</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_Toc2769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20</w:t>
          </w:r>
          <w:r>
            <w:rPr>
              <w:rFonts w:hint="eastAsia" w:ascii="仿宋" w:hAnsi="仿宋" w:eastAsia="仿宋" w:cs="仿宋"/>
              <w:b/>
              <w:sz w:val="24"/>
              <w:szCs w:val="24"/>
            </w:rPr>
            <w:fldChar w:fldCharType="end"/>
          </w:r>
          <w:r>
            <w:rPr>
              <w:rFonts w:hint="eastAsia" w:ascii="仿宋" w:hAnsi="仿宋" w:eastAsia="仿宋" w:cs="仿宋"/>
              <w:b/>
              <w:sz w:val="24"/>
              <w:szCs w:val="24"/>
              <w:lang w:val="en-US" w:eastAsia="zh-CN"/>
            </w:rPr>
            <w:fldChar w:fldCharType="end"/>
          </w:r>
        </w:p>
        <w:p w14:paraId="15BD9212">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_Toc15574 </w:instrText>
          </w:r>
          <w:r>
            <w:rPr>
              <w:rFonts w:hint="eastAsia" w:ascii="仿宋" w:hAnsi="仿宋" w:eastAsia="仿宋" w:cs="仿宋"/>
              <w:sz w:val="24"/>
              <w:szCs w:val="24"/>
              <w:lang w:val="en-US" w:eastAsia="zh-CN"/>
            </w:rPr>
            <w:fldChar w:fldCharType="separate"/>
          </w:r>
          <w:r>
            <w:rPr>
              <w:rFonts w:hint="eastAsia" w:ascii="仿宋" w:hAnsi="仿宋" w:eastAsia="仿宋" w:cs="仿宋"/>
              <w:sz w:val="24"/>
              <w:szCs w:val="24"/>
              <w:highlight w:val="none"/>
            </w:rPr>
            <w:t>（一）</w:t>
          </w:r>
          <w:r>
            <w:rPr>
              <w:rFonts w:hint="eastAsia" w:ascii="仿宋" w:hAnsi="仿宋" w:eastAsia="仿宋" w:cs="仿宋"/>
              <w:sz w:val="24"/>
              <w:szCs w:val="24"/>
              <w:highlight w:val="none"/>
              <w:lang w:val="en-US" w:eastAsia="zh-CN"/>
            </w:rPr>
            <w:t>综合</w:t>
          </w:r>
          <w:r>
            <w:rPr>
              <w:rFonts w:hint="eastAsia" w:ascii="仿宋" w:hAnsi="仿宋" w:eastAsia="仿宋" w:cs="仿宋"/>
              <w:sz w:val="24"/>
              <w:szCs w:val="24"/>
              <w:highlight w:val="none"/>
            </w:rPr>
            <w:t>评</w:t>
          </w:r>
          <w:r>
            <w:rPr>
              <w:rFonts w:hint="eastAsia" w:ascii="仿宋" w:hAnsi="仿宋" w:eastAsia="仿宋" w:cs="仿宋"/>
              <w:sz w:val="24"/>
              <w:szCs w:val="24"/>
              <w:highlight w:val="none"/>
              <w:lang w:val="en-US" w:eastAsia="zh-CN"/>
            </w:rPr>
            <w:t>价情况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_Toc15574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5221DE76">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_Toc17403 </w:instrText>
          </w:r>
          <w:r>
            <w:rPr>
              <w:rFonts w:hint="eastAsia" w:ascii="仿宋" w:hAnsi="仿宋" w:eastAsia="仿宋" w:cs="仿宋"/>
              <w:sz w:val="24"/>
              <w:szCs w:val="24"/>
              <w:lang w:val="en-US" w:eastAsia="zh-CN"/>
            </w:rPr>
            <w:fldChar w:fldCharType="separate"/>
          </w:r>
          <w:r>
            <w:rPr>
              <w:rFonts w:hint="eastAsia" w:ascii="仿宋" w:hAnsi="仿宋" w:eastAsia="仿宋" w:cs="仿宋"/>
              <w:bCs/>
              <w:kern w:val="2"/>
              <w:sz w:val="24"/>
              <w:szCs w:val="24"/>
              <w:highlight w:val="none"/>
              <w:lang w:val="en-US" w:eastAsia="zh-CN" w:bidi="ar-SA"/>
            </w:rPr>
            <w:t>（二）评价结论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_Toc17403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463733CE">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fldChar w:fldCharType="begin"/>
          </w:r>
          <w:r>
            <w:rPr>
              <w:rFonts w:hint="eastAsia" w:ascii="仿宋" w:hAnsi="仿宋" w:eastAsia="仿宋" w:cs="仿宋"/>
              <w:b/>
              <w:sz w:val="24"/>
              <w:szCs w:val="24"/>
              <w:lang w:val="en-US" w:eastAsia="zh-CN"/>
            </w:rPr>
            <w:instrText xml:space="preserve"> HYPERLINK \l _Toc13283 </w:instrText>
          </w:r>
          <w:r>
            <w:rPr>
              <w:rFonts w:hint="eastAsia" w:ascii="仿宋" w:hAnsi="仿宋" w:eastAsia="仿宋" w:cs="仿宋"/>
              <w:b/>
              <w:sz w:val="24"/>
              <w:szCs w:val="24"/>
              <w:lang w:val="en-US" w:eastAsia="zh-CN"/>
            </w:rPr>
            <w:fldChar w:fldCharType="separate"/>
          </w:r>
          <w:r>
            <w:rPr>
              <w:rFonts w:hint="eastAsia" w:ascii="仿宋" w:hAnsi="仿宋" w:eastAsia="仿宋" w:cs="仿宋"/>
              <w:b/>
              <w:sz w:val="24"/>
              <w:szCs w:val="24"/>
              <w:highlight w:val="none"/>
              <w:lang w:eastAsia="zh-CN"/>
            </w:rPr>
            <w:t>四、</w:t>
          </w:r>
          <w:r>
            <w:rPr>
              <w:rFonts w:hint="eastAsia" w:ascii="仿宋" w:hAnsi="仿宋" w:eastAsia="仿宋" w:cs="仿宋"/>
              <w:b/>
              <w:sz w:val="24"/>
              <w:szCs w:val="24"/>
              <w:highlight w:val="none"/>
            </w:rPr>
            <w:t>绩效评价指标分析情况</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_Toc13283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23</w:t>
          </w:r>
          <w:r>
            <w:rPr>
              <w:rFonts w:hint="eastAsia" w:ascii="仿宋" w:hAnsi="仿宋" w:eastAsia="仿宋" w:cs="仿宋"/>
              <w:b/>
              <w:sz w:val="24"/>
              <w:szCs w:val="24"/>
            </w:rPr>
            <w:fldChar w:fldCharType="end"/>
          </w:r>
          <w:r>
            <w:rPr>
              <w:rFonts w:hint="eastAsia" w:ascii="仿宋" w:hAnsi="仿宋" w:eastAsia="仿宋" w:cs="仿宋"/>
              <w:b/>
              <w:sz w:val="24"/>
              <w:szCs w:val="24"/>
              <w:lang w:val="en-US" w:eastAsia="zh-CN"/>
            </w:rPr>
            <w:fldChar w:fldCharType="end"/>
          </w:r>
        </w:p>
        <w:p w14:paraId="247FDCB8">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_Toc32081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highlight w:val="none"/>
              <w:lang w:val="en-US" w:eastAsia="zh-CN"/>
            </w:rPr>
            <w:t>（一）部门决策</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_Toc32081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0EA277BD">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_Toc6659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highlight w:val="none"/>
              <w:lang w:val="en-US" w:eastAsia="zh-CN"/>
            </w:rPr>
            <w:t>（二）部门管理分析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_Toc6659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7BE3A8DD">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_Toc19367 </w:instrText>
          </w:r>
          <w:r>
            <w:rPr>
              <w:rFonts w:hint="eastAsia" w:ascii="仿宋" w:hAnsi="仿宋" w:eastAsia="仿宋" w:cs="仿宋"/>
              <w:sz w:val="24"/>
              <w:szCs w:val="24"/>
              <w:lang w:val="en-US" w:eastAsia="zh-CN"/>
            </w:rPr>
            <w:fldChar w:fldCharType="separate"/>
          </w:r>
          <w:r>
            <w:rPr>
              <w:rFonts w:hint="eastAsia" w:ascii="仿宋" w:hAnsi="仿宋" w:eastAsia="仿宋" w:cs="仿宋"/>
              <w:bCs/>
              <w:sz w:val="24"/>
              <w:szCs w:val="24"/>
              <w:highlight w:val="none"/>
              <w:lang w:val="en-US" w:eastAsia="zh-CN"/>
            </w:rPr>
            <w:t>（三）部门产出分析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_Toc19367 \h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23B28BEB">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\l _Toc1920 </w:instrText>
          </w:r>
          <w:r>
            <w:rPr>
              <w:rFonts w:hint="eastAsia" w:ascii="仿宋" w:hAnsi="仿宋" w:eastAsia="仿宋" w:cs="仿宋"/>
              <w:sz w:val="24"/>
              <w:szCs w:val="24"/>
              <w:lang w:val="en-US" w:eastAsia="zh-CN"/>
            </w:rPr>
            <w:fldChar w:fldCharType="separate"/>
          </w:r>
          <w:r>
            <w:rPr>
              <w:rFonts w:hint="eastAsia" w:ascii="仿宋" w:hAnsi="仿宋" w:eastAsia="仿宋" w:cs="仿宋"/>
              <w:bCs/>
              <w:kern w:val="2"/>
              <w:sz w:val="24"/>
              <w:szCs w:val="24"/>
              <w:highlight w:val="none"/>
              <w:lang w:val="en-US" w:eastAsia="zh-CN" w:bidi="ar-SA"/>
            </w:rPr>
            <w:t>（四）部门效果分析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_Toc1920 \h </w:instrText>
          </w:r>
          <w:r>
            <w:rPr>
              <w:rFonts w:hint="eastAsia" w:ascii="仿宋" w:hAnsi="仿宋" w:eastAsia="仿宋" w:cs="仿宋"/>
              <w:sz w:val="24"/>
              <w:szCs w:val="24"/>
            </w:rPr>
            <w:fldChar w:fldCharType="separate"/>
          </w:r>
          <w:r>
            <w:rPr>
              <w:rFonts w:hint="eastAsia" w:ascii="仿宋" w:hAnsi="仿宋" w:eastAsia="仿宋" w:cs="仿宋"/>
              <w:sz w:val="24"/>
              <w:szCs w:val="24"/>
            </w:rPr>
            <w:t>39</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fldChar w:fldCharType="end"/>
          </w:r>
        </w:p>
        <w:p w14:paraId="2FA7B4BA">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fldChar w:fldCharType="begin"/>
          </w:r>
          <w:r>
            <w:rPr>
              <w:rFonts w:hint="eastAsia" w:ascii="仿宋" w:hAnsi="仿宋" w:eastAsia="仿宋" w:cs="仿宋"/>
              <w:b/>
              <w:sz w:val="24"/>
              <w:szCs w:val="24"/>
              <w:lang w:val="en-US" w:eastAsia="zh-CN"/>
            </w:rPr>
            <w:instrText xml:space="preserve"> HYPERLINK \l _Toc27097 </w:instrText>
          </w:r>
          <w:r>
            <w:rPr>
              <w:rFonts w:hint="eastAsia" w:ascii="仿宋" w:hAnsi="仿宋" w:eastAsia="仿宋" w:cs="仿宋"/>
              <w:b/>
              <w:sz w:val="24"/>
              <w:szCs w:val="24"/>
              <w:lang w:val="en-US" w:eastAsia="zh-CN"/>
            </w:rPr>
            <w:fldChar w:fldCharType="separate"/>
          </w:r>
          <w:r>
            <w:rPr>
              <w:rFonts w:hint="eastAsia" w:ascii="仿宋" w:hAnsi="仿宋" w:eastAsia="仿宋" w:cs="仿宋"/>
              <w:b/>
              <w:sz w:val="24"/>
              <w:szCs w:val="24"/>
              <w:highlight w:val="none"/>
              <w:lang w:val="en-US" w:eastAsia="zh-CN"/>
            </w:rPr>
            <w:t>五</w:t>
          </w:r>
          <w:r>
            <w:rPr>
              <w:rFonts w:hint="eastAsia" w:ascii="仿宋" w:hAnsi="仿宋" w:eastAsia="仿宋" w:cs="仿宋"/>
              <w:b/>
              <w:sz w:val="24"/>
              <w:szCs w:val="24"/>
              <w:highlight w:val="none"/>
            </w:rPr>
            <w:t>、存在的问题及</w:t>
          </w:r>
          <w:r>
            <w:rPr>
              <w:rFonts w:hint="eastAsia" w:ascii="仿宋" w:hAnsi="仿宋" w:eastAsia="仿宋" w:cs="仿宋"/>
              <w:b/>
              <w:sz w:val="24"/>
              <w:szCs w:val="24"/>
              <w:highlight w:val="none"/>
              <w:lang w:val="en-US" w:eastAsia="zh-CN"/>
            </w:rPr>
            <w:t>原因分析</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_Toc27097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43</w:t>
          </w:r>
          <w:r>
            <w:rPr>
              <w:rFonts w:hint="eastAsia" w:ascii="仿宋" w:hAnsi="仿宋" w:eastAsia="仿宋" w:cs="仿宋"/>
              <w:b/>
              <w:sz w:val="24"/>
              <w:szCs w:val="24"/>
            </w:rPr>
            <w:fldChar w:fldCharType="end"/>
          </w:r>
          <w:r>
            <w:rPr>
              <w:rFonts w:hint="eastAsia" w:ascii="仿宋" w:hAnsi="仿宋" w:eastAsia="仿宋" w:cs="仿宋"/>
              <w:b/>
              <w:sz w:val="24"/>
              <w:szCs w:val="24"/>
              <w:lang w:val="en-US" w:eastAsia="zh-CN"/>
            </w:rPr>
            <w:fldChar w:fldCharType="end"/>
          </w:r>
        </w:p>
        <w:p w14:paraId="347F18F8">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fldChar w:fldCharType="begin"/>
          </w:r>
          <w:r>
            <w:rPr>
              <w:rFonts w:hint="eastAsia" w:ascii="仿宋" w:hAnsi="仿宋" w:eastAsia="仿宋" w:cs="仿宋"/>
              <w:b/>
              <w:sz w:val="24"/>
              <w:szCs w:val="24"/>
              <w:lang w:val="en-US" w:eastAsia="zh-CN"/>
            </w:rPr>
            <w:instrText xml:space="preserve"> HYPERLINK \l _Toc23090 </w:instrText>
          </w:r>
          <w:r>
            <w:rPr>
              <w:rFonts w:hint="eastAsia" w:ascii="仿宋" w:hAnsi="仿宋" w:eastAsia="仿宋" w:cs="仿宋"/>
              <w:b/>
              <w:sz w:val="24"/>
              <w:szCs w:val="24"/>
              <w:lang w:val="en-US" w:eastAsia="zh-CN"/>
            </w:rPr>
            <w:fldChar w:fldCharType="separate"/>
          </w:r>
          <w:r>
            <w:rPr>
              <w:rFonts w:hint="eastAsia" w:ascii="仿宋" w:hAnsi="仿宋" w:eastAsia="仿宋" w:cs="仿宋"/>
              <w:b/>
              <w:sz w:val="24"/>
              <w:szCs w:val="24"/>
              <w:highlight w:val="none"/>
              <w:lang w:val="en-US" w:eastAsia="zh-CN"/>
            </w:rPr>
            <w:t>六、有关建议</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_Toc23090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43</w:t>
          </w:r>
          <w:r>
            <w:rPr>
              <w:rFonts w:hint="eastAsia" w:ascii="仿宋" w:hAnsi="仿宋" w:eastAsia="仿宋" w:cs="仿宋"/>
              <w:b/>
              <w:sz w:val="24"/>
              <w:szCs w:val="24"/>
            </w:rPr>
            <w:fldChar w:fldCharType="end"/>
          </w:r>
          <w:r>
            <w:rPr>
              <w:rFonts w:hint="eastAsia" w:ascii="仿宋" w:hAnsi="仿宋" w:eastAsia="仿宋" w:cs="仿宋"/>
              <w:b/>
              <w:sz w:val="24"/>
              <w:szCs w:val="24"/>
              <w:lang w:val="en-US" w:eastAsia="zh-CN"/>
            </w:rPr>
            <w:fldChar w:fldCharType="end"/>
          </w:r>
        </w:p>
        <w:p w14:paraId="0996C00B">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fldChar w:fldCharType="begin"/>
          </w:r>
          <w:r>
            <w:rPr>
              <w:rFonts w:hint="eastAsia" w:ascii="仿宋" w:hAnsi="仿宋" w:eastAsia="仿宋" w:cs="仿宋"/>
              <w:b/>
              <w:sz w:val="24"/>
              <w:szCs w:val="24"/>
              <w:lang w:val="en-US" w:eastAsia="zh-CN"/>
            </w:rPr>
            <w:instrText xml:space="preserve"> HYPERLINK \l _Toc15985 </w:instrText>
          </w:r>
          <w:r>
            <w:rPr>
              <w:rFonts w:hint="eastAsia" w:ascii="仿宋" w:hAnsi="仿宋" w:eastAsia="仿宋" w:cs="仿宋"/>
              <w:b/>
              <w:sz w:val="24"/>
              <w:szCs w:val="24"/>
              <w:lang w:val="en-US" w:eastAsia="zh-CN"/>
            </w:rPr>
            <w:fldChar w:fldCharType="separate"/>
          </w:r>
          <w:r>
            <w:rPr>
              <w:rFonts w:hint="eastAsia" w:ascii="仿宋" w:hAnsi="仿宋" w:eastAsia="仿宋" w:cs="仿宋"/>
              <w:b/>
              <w:sz w:val="24"/>
              <w:szCs w:val="24"/>
              <w:highlight w:val="none"/>
              <w:lang w:val="en-US" w:eastAsia="zh-CN"/>
            </w:rPr>
            <w:t>七</w:t>
          </w:r>
          <w:r>
            <w:rPr>
              <w:rFonts w:hint="eastAsia" w:ascii="仿宋" w:hAnsi="仿宋" w:eastAsia="仿宋" w:cs="仿宋"/>
              <w:b/>
              <w:sz w:val="24"/>
              <w:szCs w:val="24"/>
              <w:highlight w:val="none"/>
            </w:rPr>
            <w:t>、绩效评价结果应用建议</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_Toc15985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45</w:t>
          </w:r>
          <w:r>
            <w:rPr>
              <w:rFonts w:hint="eastAsia" w:ascii="仿宋" w:hAnsi="仿宋" w:eastAsia="仿宋" w:cs="仿宋"/>
              <w:b/>
              <w:sz w:val="24"/>
              <w:szCs w:val="24"/>
            </w:rPr>
            <w:fldChar w:fldCharType="end"/>
          </w:r>
          <w:r>
            <w:rPr>
              <w:rFonts w:hint="eastAsia" w:ascii="仿宋" w:hAnsi="仿宋" w:eastAsia="仿宋" w:cs="仿宋"/>
              <w:b/>
              <w:sz w:val="24"/>
              <w:szCs w:val="24"/>
              <w:lang w:val="en-US" w:eastAsia="zh-CN"/>
            </w:rPr>
            <w:fldChar w:fldCharType="end"/>
          </w:r>
        </w:p>
        <w:p w14:paraId="312E904E">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_Toc28970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highlight w:val="none"/>
              <w:lang w:val="en-US" w:eastAsia="zh-CN"/>
            </w:rPr>
            <w:t>附件1：绩效评价指标表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_Toc28970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47</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lang w:val="en-US" w:eastAsia="zh-CN"/>
            </w:rPr>
            <w:fldChar w:fldCharType="end"/>
          </w:r>
        </w:p>
        <w:p w14:paraId="684E2A3B">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_Toc23930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lang w:val="en-US" w:eastAsia="zh-CN"/>
            </w:rPr>
            <w:t>附件2：绩效评价指标评分表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_Toc23930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56</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lang w:val="en-US" w:eastAsia="zh-CN"/>
            </w:rPr>
            <w:fldChar w:fldCharType="end"/>
          </w:r>
        </w:p>
        <w:p w14:paraId="2C1C8C1C">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_Toc30006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kern w:val="2"/>
              <w:sz w:val="24"/>
              <w:szCs w:val="24"/>
              <w:highlight w:val="none"/>
              <w:lang w:val="en-US" w:eastAsia="zh-CN" w:bidi="ar-SA"/>
            </w:rPr>
            <w:t>附件3：反映绩效的照片</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_Toc30006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57</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lang w:val="en-US" w:eastAsia="zh-CN"/>
            </w:rPr>
            <w:fldChar w:fldCharType="end"/>
          </w:r>
        </w:p>
        <w:p w14:paraId="36888129">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_Toc31791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：调查问卷分析报告</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_Toc31791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61</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lang w:val="en-US" w:eastAsia="zh-CN"/>
            </w:rPr>
            <w:fldChar w:fldCharType="end"/>
          </w:r>
        </w:p>
        <w:p w14:paraId="2A672F96">
          <w:pPr>
            <w:pStyle w:val="18"/>
            <w:keepNext w:val="0"/>
            <w:keepLines w:val="0"/>
            <w:pageBreakBefore w:val="0"/>
            <w:widowControl/>
            <w:tabs>
              <w:tab w:val="right" w:leader="dot" w:pos="8306"/>
            </w:tabs>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_Toc25195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sz w:val="24"/>
              <w:szCs w:val="24"/>
              <w:highlight w:val="none"/>
              <w:lang w:eastAsia="zh-CN"/>
            </w:rPr>
            <w:t>附件</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lang w:eastAsia="zh-CN"/>
            </w:rPr>
            <w:t>：基础数据表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_Toc25195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66</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lang w:val="en-US" w:eastAsia="zh-CN"/>
            </w:rPr>
            <w:fldChar w:fldCharType="end"/>
          </w:r>
        </w:p>
        <w:p w14:paraId="31907A11">
          <w:pPr>
            <w:pStyle w:val="19"/>
            <w:keepNext w:val="0"/>
            <w:keepLines w:val="0"/>
            <w:pageBreakBefore w:val="0"/>
            <w:widowControl/>
            <w:tabs>
              <w:tab w:val="right" w:leader="dot" w:pos="8306"/>
            </w:tabs>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rPr>
          </w:pPr>
          <w:r>
            <w:rPr>
              <w:rFonts w:hint="eastAsia" w:ascii="仿宋" w:hAnsi="仿宋" w:eastAsia="仿宋" w:cs="仿宋"/>
              <w:b w:val="0"/>
              <w:bCs w:val="0"/>
              <w:sz w:val="24"/>
              <w:szCs w:val="24"/>
              <w:lang w:val="en-US" w:eastAsia="zh-CN"/>
            </w:rPr>
            <w:fldChar w:fldCharType="begin"/>
          </w:r>
          <w:r>
            <w:rPr>
              <w:rFonts w:hint="eastAsia" w:ascii="仿宋" w:hAnsi="仿宋" w:eastAsia="仿宋" w:cs="仿宋"/>
              <w:b w:val="0"/>
              <w:bCs w:val="0"/>
              <w:sz w:val="24"/>
              <w:szCs w:val="24"/>
              <w:lang w:val="en-US" w:eastAsia="zh-CN"/>
            </w:rPr>
            <w:instrText xml:space="preserve"> HYPERLINK \l _Toc14391 </w:instrText>
          </w:r>
          <w:r>
            <w:rPr>
              <w:rFonts w:hint="eastAsia" w:ascii="仿宋" w:hAnsi="仿宋" w:eastAsia="仿宋" w:cs="仿宋"/>
              <w:b w:val="0"/>
              <w:bCs w:val="0"/>
              <w:sz w:val="24"/>
              <w:szCs w:val="24"/>
              <w:lang w:val="en-US" w:eastAsia="zh-CN"/>
            </w:rPr>
            <w:fldChar w:fldCharType="separate"/>
          </w:r>
          <w:r>
            <w:rPr>
              <w:rFonts w:hint="eastAsia" w:ascii="仿宋" w:hAnsi="仿宋" w:eastAsia="仿宋" w:cs="仿宋"/>
              <w:b w:val="0"/>
              <w:bCs w:val="0"/>
              <w:kern w:val="2"/>
              <w:sz w:val="24"/>
              <w:szCs w:val="24"/>
              <w:highlight w:val="none"/>
              <w:lang w:val="en-US" w:eastAsia="zh-CN" w:bidi="ar-SA"/>
            </w:rPr>
            <w:t>附件6：部门整体支出合规性检查</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_Toc14391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67</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lang w:val="en-US" w:eastAsia="zh-CN"/>
            </w:rPr>
            <w:fldChar w:fldCharType="end"/>
          </w:r>
        </w:p>
        <w:p w14:paraId="42409138">
          <w:pPr>
            <w:outlineLvl w:val="9"/>
            <w:rPr>
              <w:rFonts w:hint="eastAsia" w:asciiTheme="minorHAnsi" w:hAnsiTheme="minorHAnsi" w:eastAsiaTheme="minorEastAsia" w:cstheme="minorBidi"/>
              <w:b/>
              <w:kern w:val="2"/>
              <w:sz w:val="21"/>
              <w:szCs w:val="24"/>
              <w:lang w:val="en-US" w:eastAsia="zh-CN" w:bidi="ar-SA"/>
            </w:rPr>
          </w:pPr>
          <w:r>
            <w:rPr>
              <w:rFonts w:hint="eastAsia" w:ascii="仿宋" w:hAnsi="仿宋" w:eastAsia="仿宋" w:cs="仿宋"/>
              <w:b/>
              <w:sz w:val="24"/>
              <w:szCs w:val="24"/>
              <w:lang w:val="en-US" w:eastAsia="zh-CN"/>
            </w:rPr>
            <w:fldChar w:fldCharType="end"/>
          </w:r>
        </w:p>
      </w:sdtContent>
    </w:sdt>
    <w:p w14:paraId="6BFC8E00">
      <w:pPr>
        <w:pStyle w:val="2"/>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0156683">
      <w:pPr>
        <w:jc w:val="center"/>
        <w:outlineLvl w:val="0"/>
        <w:rPr>
          <w:rFonts w:hint="eastAsia" w:ascii="仿宋" w:hAnsi="仿宋" w:eastAsia="仿宋" w:cs="仿宋"/>
          <w:b/>
          <w:bCs/>
          <w:sz w:val="32"/>
          <w:szCs w:val="40"/>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5" w:name="_Toc22131"/>
      <w:bookmarkStart w:id="6" w:name="_Toc8569"/>
    </w:p>
    <w:p w14:paraId="384BD0FB">
      <w:pPr>
        <w:jc w:val="center"/>
        <w:outlineLvl w:val="0"/>
        <w:rPr>
          <w:rFonts w:hint="eastAsia" w:ascii="仿宋" w:hAnsi="仿宋" w:eastAsia="仿宋" w:cs="仿宋"/>
          <w:b/>
          <w:bCs/>
          <w:sz w:val="32"/>
          <w:szCs w:val="40"/>
          <w:highlight w:val="none"/>
          <w:lang w:val="en-US" w:eastAsia="zh-CN"/>
        </w:rPr>
      </w:pPr>
      <w:r>
        <w:rPr>
          <w:rFonts w:hint="eastAsia" w:ascii="仿宋" w:hAnsi="仿宋" w:eastAsia="仿宋" w:cs="仿宋"/>
          <w:b/>
          <w:bCs/>
          <w:sz w:val="32"/>
          <w:szCs w:val="40"/>
          <w:highlight w:val="none"/>
          <w:lang w:val="en-US" w:eastAsia="zh-CN"/>
        </w:rPr>
        <w:t>摘  要</w:t>
      </w:r>
      <w:bookmarkEnd w:id="0"/>
      <w:bookmarkEnd w:id="5"/>
      <w:bookmarkEnd w:id="6"/>
    </w:p>
    <w:p w14:paraId="03B29BC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sz w:val="28"/>
          <w:szCs w:val="28"/>
          <w:highlight w:val="none"/>
          <w:lang w:val="en-US" w:eastAsia="zh-CN"/>
        </w:rPr>
      </w:pPr>
      <w:bookmarkStart w:id="7" w:name="_Toc21200_WPSOffice_Level1"/>
      <w:bookmarkStart w:id="8" w:name="_Toc3191_WPSOffice_Level1"/>
      <w:bookmarkStart w:id="9" w:name="_Toc17584_WPSOffice_Level1"/>
      <w:bookmarkStart w:id="10" w:name="_Toc10379_WPSOffice_Level1"/>
      <w:bookmarkStart w:id="11" w:name="_Toc13429_WPSOffice_Level1"/>
      <w:bookmarkStart w:id="12" w:name="_Toc25652_WPSOffice_Level1"/>
      <w:bookmarkStart w:id="13" w:name="_Toc1130_WPSOffice_Level1"/>
      <w:bookmarkStart w:id="14" w:name="_Toc10139_WPSOffice_Level1"/>
      <w:bookmarkStart w:id="15" w:name="_Toc12898_WPSOffice_Level1"/>
      <w:bookmarkStart w:id="16" w:name="_Toc15809"/>
      <w:bookmarkStart w:id="17" w:name="_Toc7564"/>
      <w:bookmarkStart w:id="18" w:name="_Toc31436_WPSOffice_Level1"/>
      <w:r>
        <w:rPr>
          <w:rFonts w:hint="eastAsia" w:ascii="仿宋" w:hAnsi="仿宋" w:eastAsia="仿宋" w:cs="仿宋"/>
          <w:b/>
          <w:bCs/>
          <w:sz w:val="28"/>
          <w:szCs w:val="28"/>
          <w:highlight w:val="none"/>
          <w:lang w:val="en-US" w:eastAsia="zh-CN"/>
        </w:rPr>
        <w:t>一、</w:t>
      </w:r>
      <w:bookmarkEnd w:id="7"/>
      <w:bookmarkEnd w:id="8"/>
      <w:bookmarkEnd w:id="9"/>
      <w:bookmarkEnd w:id="10"/>
      <w:bookmarkEnd w:id="11"/>
      <w:bookmarkEnd w:id="12"/>
      <w:bookmarkEnd w:id="13"/>
      <w:bookmarkEnd w:id="14"/>
      <w:bookmarkEnd w:id="15"/>
      <w:r>
        <w:rPr>
          <w:rFonts w:hint="eastAsia" w:ascii="仿宋" w:hAnsi="仿宋" w:eastAsia="仿宋" w:cs="仿宋"/>
          <w:b/>
          <w:bCs/>
          <w:sz w:val="28"/>
          <w:szCs w:val="28"/>
          <w:highlight w:val="none"/>
          <w:lang w:val="en-US" w:eastAsia="zh-CN"/>
        </w:rPr>
        <w:t>整体概况</w:t>
      </w:r>
      <w:bookmarkEnd w:id="16"/>
      <w:bookmarkEnd w:id="17"/>
      <w:bookmarkEnd w:id="18"/>
    </w:p>
    <w:p w14:paraId="47F2C9E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lang w:val="en-US" w:eastAsia="zh-CN"/>
        </w:rPr>
      </w:pPr>
      <w:bookmarkStart w:id="19" w:name="_Toc5536_WPSOffice_Level2"/>
      <w:bookmarkStart w:id="20" w:name="_Toc1447"/>
      <w:bookmarkStart w:id="21" w:name="_Toc9987"/>
      <w:r>
        <w:rPr>
          <w:rFonts w:hint="eastAsia" w:ascii="仿宋" w:hAnsi="仿宋" w:eastAsia="仿宋" w:cs="仿宋"/>
          <w:b/>
          <w:bCs/>
          <w:sz w:val="28"/>
          <w:szCs w:val="28"/>
          <w:highlight w:val="none"/>
          <w:lang w:val="en-US" w:eastAsia="zh-CN"/>
        </w:rPr>
        <w:t>（一）部门简介</w:t>
      </w:r>
      <w:bookmarkEnd w:id="19"/>
      <w:bookmarkEnd w:id="20"/>
      <w:bookmarkEnd w:id="21"/>
    </w:p>
    <w:p w14:paraId="69212C4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outlineLvl w:val="9"/>
        <w:rPr>
          <w:rFonts w:hint="eastAsia" w:ascii="仿宋" w:hAnsi="仿宋" w:eastAsia="仿宋" w:cs="仿宋"/>
          <w:strike w:val="0"/>
          <w:dstrike w:val="0"/>
          <w:kern w:val="2"/>
          <w:sz w:val="28"/>
          <w:szCs w:val="28"/>
          <w:highlight w:val="none"/>
          <w:lang w:val="en-US" w:eastAsia="zh-CN" w:bidi="ar-SA"/>
        </w:rPr>
      </w:pPr>
      <w:r>
        <w:rPr>
          <w:rFonts w:hint="eastAsia" w:ascii="仿宋" w:hAnsi="仿宋" w:eastAsia="仿宋" w:cs="仿宋"/>
          <w:sz w:val="28"/>
          <w:szCs w:val="28"/>
          <w:highlight w:val="none"/>
          <w:lang w:val="en-US" w:eastAsia="zh-CN"/>
        </w:rPr>
        <w:t>永济市市场监督管理局属行政单位，机构性质为机关，位于永济市迎新东街61号，单位负责人：孙文伟，统一社会信用代码：11141081356677602U。</w:t>
      </w:r>
    </w:p>
    <w:p w14:paraId="28C8876F">
      <w:pPr>
        <w:pStyle w:val="2"/>
        <w:keepNext w:val="0"/>
        <w:keepLines w:val="0"/>
        <w:pageBreakBefore w:val="0"/>
        <w:widowControl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永济市市场监督管理局下设22个股室，其中包括办公室、人事股、法制股、行政审批股、信用监督管理股、消费者权益保护和市场交易监督管理股、反垄断和反不正当竞争股（规范直销与打击传销办公室）、价格监督管理股、网络交易监督管理股、广告监督管理股、质量管理股、食品安全协调股（食品安全委员会办公室）、食品监督管理股、药品器械监督管理股、特殊食品化妆品监督管理股、特种设备安全监察股、计量和标准化管理股、知识产权保护发展股、财务股、宣传与应急管理股、党建办公室、市场主体发展服务股、执法稽查股，另设10个派出机构，分别为城东街道市场监督管理所、城西街道市场监督管理所、城北街道市场监督管理所、虞乡镇市场监督管理所、卿头镇市场监督管理所、开张镇市场监督管理所、栲栳镇市场监督管理所、张营镇市场监督管理所、蒲州镇市场监督管理所、韩阳镇市场监督管理所。</w:t>
      </w:r>
    </w:p>
    <w:p w14:paraId="4115F35E">
      <w:pPr>
        <w:pStyle w:val="2"/>
        <w:keepNext w:val="0"/>
        <w:keepLines w:val="0"/>
        <w:pageBreakBefore w:val="0"/>
        <w:widowControl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2023年底市场监督管理局共有编制153名，在职人员共185人。其中：行政编76名，在职人员69人；事业编77名，在职人员105人；行政工勤11人。</w:t>
      </w:r>
    </w:p>
    <w:p w14:paraId="1B5B9B0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bookmarkStart w:id="22" w:name="_Toc14229"/>
      <w:bookmarkStart w:id="23" w:name="_Toc31778"/>
      <w:r>
        <w:rPr>
          <w:rFonts w:hint="eastAsia" w:ascii="仿宋" w:hAnsi="仿宋" w:eastAsia="仿宋" w:cs="仿宋"/>
          <w:b/>
          <w:bCs/>
          <w:kern w:val="2"/>
          <w:sz w:val="28"/>
          <w:szCs w:val="28"/>
          <w:highlight w:val="none"/>
          <w:lang w:val="en-US" w:eastAsia="zh-CN" w:bidi="ar-SA"/>
        </w:rPr>
        <w:t>（二）部门整体绩效目标</w:t>
      </w:r>
      <w:bookmarkEnd w:id="22"/>
      <w:bookmarkEnd w:id="23"/>
    </w:p>
    <w:p w14:paraId="472A4E81">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b/>
          <w:bCs w:val="0"/>
          <w:sz w:val="28"/>
          <w:szCs w:val="28"/>
          <w:highlight w:val="none"/>
          <w:lang w:val="en-US" w:eastAsia="zh-CN"/>
        </w:rPr>
      </w:pPr>
      <w:bookmarkStart w:id="24" w:name="_Toc10373"/>
      <w:r>
        <w:rPr>
          <w:rFonts w:hint="eastAsia" w:ascii="仿宋" w:hAnsi="仿宋" w:eastAsia="仿宋" w:cs="仿宋"/>
          <w:b/>
          <w:bCs w:val="0"/>
          <w:sz w:val="28"/>
          <w:szCs w:val="28"/>
          <w:highlight w:val="none"/>
          <w:lang w:val="en-US" w:eastAsia="zh-CN"/>
        </w:rPr>
        <w:t>1.总体目标</w:t>
      </w:r>
      <w:bookmarkEnd w:id="24"/>
    </w:p>
    <w:p w14:paraId="58C2D649">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sz w:val="28"/>
          <w:szCs w:val="28"/>
          <w:highlight w:val="none"/>
          <w:lang w:val="en-US" w:eastAsia="zh-CN"/>
        </w:rPr>
      </w:pPr>
      <w:bookmarkStart w:id="25" w:name="_Toc17606"/>
      <w:r>
        <w:rPr>
          <w:rFonts w:hint="eastAsia" w:ascii="仿宋" w:hAnsi="仿宋" w:eastAsia="仿宋" w:cs="仿宋"/>
          <w:sz w:val="28"/>
          <w:szCs w:val="28"/>
          <w:highlight w:val="none"/>
          <w:lang w:val="en-US" w:eastAsia="zh-CN"/>
        </w:rPr>
        <w:t>扎实推进市场监管领域各项重点工作任务，充分发挥综合协调作用，深入推进隐患排查治理，坚决扛起防范化解重大风险政治任务。围绕加快转型、振兴崛起，紧盯构建“543”现代产业矩阵，聚焦质量强市、服务优商、安全兴业、监管守正、作风务实5个工作路径，持续提升监管效能，优化营商环境，激发市场活力。为全市人民群众提供安全可靠的生活环境，为全市经营单位提供安全可靠的营商环境，最大程度为我市经济社会高质量发展贡献市场监管部门的力量。</w:t>
      </w:r>
      <w:bookmarkEnd w:id="25"/>
    </w:p>
    <w:p w14:paraId="26D32E7F">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sz w:val="28"/>
          <w:szCs w:val="28"/>
          <w:highlight w:val="none"/>
          <w:lang w:val="en-US" w:eastAsia="zh-CN"/>
        </w:rPr>
      </w:pPr>
      <w:bookmarkStart w:id="26" w:name="_Toc23984"/>
      <w:r>
        <w:rPr>
          <w:rFonts w:hint="eastAsia" w:ascii="仿宋" w:hAnsi="仿宋" w:eastAsia="仿宋" w:cs="仿宋"/>
          <w:b/>
          <w:bCs w:val="0"/>
          <w:sz w:val="28"/>
          <w:szCs w:val="28"/>
          <w:highlight w:val="none"/>
          <w:lang w:val="en-US" w:eastAsia="zh-CN"/>
        </w:rPr>
        <w:t>2.年度任务</w:t>
      </w:r>
      <w:bookmarkEnd w:id="26"/>
    </w:p>
    <w:p w14:paraId="349210B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（1）工业产品等抽检批次≥320批次。</w:t>
      </w:r>
    </w:p>
    <w:p w14:paraId="1D96E9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（2）专业领域业务培训次数≥1次。</w:t>
      </w:r>
    </w:p>
    <w:p w14:paraId="40F00E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（3）下乡检查业务工作次数≥300次。</w:t>
      </w:r>
    </w:p>
    <w:p w14:paraId="0ABED7A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（4）购置执法制式服装和标识≤72套。</w:t>
      </w:r>
    </w:p>
    <w:p w14:paraId="7539B3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（5）资金用于监管基层所数量10个。</w:t>
      </w:r>
    </w:p>
    <w:p w14:paraId="4BBF80A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（6）执法检查工作完成率100%。</w:t>
      </w:r>
    </w:p>
    <w:p w14:paraId="39BF703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（7）公务用车数量14辆。</w:t>
      </w:r>
    </w:p>
    <w:p w14:paraId="74D7007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（8）监管值班值守天数1年。</w:t>
      </w:r>
    </w:p>
    <w:p w14:paraId="108411A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1"/>
        <w:rPr>
          <w:rFonts w:hint="eastAsia" w:ascii="仿宋" w:hAnsi="仿宋" w:eastAsia="仿宋" w:cs="仿宋"/>
          <w:b w:val="0"/>
          <w:bCs w:val="0"/>
          <w:sz w:val="28"/>
          <w:szCs w:val="28"/>
          <w:highlight w:val="none"/>
          <w:lang w:val="en-US" w:eastAsia="zh-CN"/>
        </w:rPr>
      </w:pPr>
      <w:bookmarkStart w:id="27" w:name="_Toc5149"/>
      <w:bookmarkStart w:id="28" w:name="_Toc15295"/>
      <w:r>
        <w:rPr>
          <w:rFonts w:hint="eastAsia" w:ascii="仿宋" w:hAnsi="仿宋" w:eastAsia="仿宋" w:cs="仿宋"/>
          <w:b w:val="0"/>
          <w:bCs w:val="0"/>
          <w:sz w:val="28"/>
          <w:szCs w:val="28"/>
          <w:highlight w:val="none"/>
          <w:lang w:val="en-US" w:eastAsia="zh-CN"/>
        </w:rPr>
        <w:t>（9）人员经费供养人员数量178人。</w:t>
      </w:r>
    </w:p>
    <w:p w14:paraId="4D8DE7D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（三）部门整体收支情况</w:t>
      </w:r>
      <w:bookmarkEnd w:id="27"/>
      <w:bookmarkEnd w:id="28"/>
    </w:p>
    <w:p w14:paraId="439EC01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Cs/>
          <w:sz w:val="28"/>
          <w:szCs w:val="28"/>
          <w:highlight w:val="none"/>
          <w:lang w:eastAsia="zh-CN" w:bidi="ar"/>
        </w:rPr>
        <w:t>永济市</w:t>
      </w:r>
      <w:r>
        <w:rPr>
          <w:rFonts w:hint="eastAsia" w:ascii="仿宋" w:hAnsi="仿宋" w:eastAsia="仿宋" w:cs="仿宋"/>
          <w:bCs/>
          <w:sz w:val="28"/>
          <w:szCs w:val="28"/>
          <w:highlight w:val="none"/>
          <w:lang w:val="en-US" w:eastAsia="zh-CN" w:bidi="ar"/>
        </w:rPr>
        <w:t>市场监督管理局</w:t>
      </w:r>
      <w:r>
        <w:rPr>
          <w:rFonts w:hint="eastAsia" w:ascii="仿宋" w:hAnsi="仿宋" w:eastAsia="仿宋" w:cs="仿宋"/>
          <w:color w:val="000000"/>
          <w:kern w:val="0"/>
          <w:sz w:val="28"/>
          <w:szCs w:val="28"/>
          <w:highlight w:val="none"/>
          <w:shd w:val="clear" w:color="auto" w:fill="FFFFFF"/>
          <w:lang w:val="en-US" w:eastAsia="zh-CN"/>
        </w:rPr>
        <w:t>2023年年初预算2,254.45万元，追加预算119.83万元，结转上级专款（市级）1.5万元，预算收入共计</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color w:val="000000"/>
          <w:kern w:val="0"/>
          <w:sz w:val="28"/>
          <w:szCs w:val="28"/>
          <w:highlight w:val="none"/>
          <w:shd w:val="clear" w:color="auto" w:fill="FFFFFF"/>
          <w:lang w:val="en-US" w:eastAsia="zh-CN"/>
        </w:rPr>
        <w:t>万元，决算支出</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color w:val="000000"/>
          <w:kern w:val="0"/>
          <w:sz w:val="28"/>
          <w:szCs w:val="28"/>
          <w:highlight w:val="none"/>
          <w:shd w:val="clear" w:color="auto" w:fill="FFFFFF"/>
          <w:lang w:val="en-US" w:eastAsia="zh-CN"/>
        </w:rPr>
        <w:t>万元，</w:t>
      </w:r>
      <w:r>
        <w:rPr>
          <w:rFonts w:hint="eastAsia" w:ascii="仿宋" w:hAnsi="仿宋" w:eastAsia="仿宋" w:cs="仿宋"/>
          <w:b w:val="0"/>
          <w:bCs w:val="0"/>
          <w:color w:val="000000"/>
          <w:kern w:val="0"/>
          <w:sz w:val="28"/>
          <w:szCs w:val="28"/>
          <w:highlight w:val="none"/>
          <w:shd w:val="clear" w:color="auto" w:fill="FFFFFF"/>
          <w:lang w:val="en-US" w:eastAsia="zh-CN"/>
        </w:rPr>
        <w:t>其中：基本支出2,237.39万元，项目支出121.51万元。</w:t>
      </w:r>
    </w:p>
    <w:p w14:paraId="20372F6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sz w:val="28"/>
          <w:szCs w:val="28"/>
          <w:highlight w:val="none"/>
          <w:lang w:val="en-US" w:eastAsia="zh-CN"/>
        </w:rPr>
      </w:pPr>
      <w:bookmarkStart w:id="29" w:name="_Toc5970"/>
      <w:bookmarkStart w:id="30" w:name="_Toc20170"/>
      <w:r>
        <w:rPr>
          <w:rFonts w:hint="eastAsia" w:ascii="仿宋" w:hAnsi="仿宋" w:eastAsia="仿宋" w:cs="仿宋"/>
          <w:b/>
          <w:bCs/>
          <w:sz w:val="28"/>
          <w:szCs w:val="28"/>
          <w:highlight w:val="none"/>
          <w:lang w:val="en-US" w:eastAsia="zh-CN"/>
        </w:rPr>
        <w:t>二、评价结论</w:t>
      </w:r>
      <w:bookmarkEnd w:id="29"/>
      <w:bookmarkEnd w:id="30"/>
    </w:p>
    <w:p w14:paraId="6C61187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sz w:val="28"/>
          <w:szCs w:val="28"/>
          <w:highlight w:val="none"/>
          <w:lang w:val="en-US" w:eastAsia="zh-CN"/>
        </w:rPr>
        <w:t>永济市市场监督管理局2023</w:t>
      </w:r>
      <w:r>
        <w:rPr>
          <w:rFonts w:hint="eastAsia" w:ascii="仿宋" w:hAnsi="仿宋" w:eastAsia="仿宋" w:cs="仿宋"/>
          <w:b w:val="0"/>
          <w:bCs w:val="0"/>
          <w:kern w:val="2"/>
          <w:sz w:val="28"/>
          <w:szCs w:val="28"/>
          <w:highlight w:val="none"/>
          <w:lang w:val="en-US" w:eastAsia="zh-CN" w:bidi="ar-SA"/>
        </w:rPr>
        <w:t>年度整体支出</w:t>
      </w:r>
      <w:r>
        <w:rPr>
          <w:rFonts w:hint="eastAsia" w:ascii="仿宋" w:hAnsi="仿宋" w:eastAsia="仿宋" w:cs="仿宋"/>
          <w:b w:val="0"/>
          <w:bCs w:val="0"/>
          <w:kern w:val="2"/>
          <w:sz w:val="28"/>
          <w:szCs w:val="28"/>
          <w:lang w:val="en-US" w:eastAsia="zh-CN" w:bidi="ar-SA"/>
        </w:rPr>
        <w:t>绩效总得分为</w:t>
      </w:r>
      <w:r>
        <w:rPr>
          <w:rFonts w:hint="eastAsia" w:ascii="仿宋" w:hAnsi="仿宋" w:eastAsia="仿宋" w:cs="仿宋"/>
          <w:b w:val="0"/>
          <w:bCs w:val="0"/>
          <w:kern w:val="2"/>
          <w:sz w:val="28"/>
          <w:szCs w:val="28"/>
          <w:highlight w:val="none"/>
          <w:lang w:val="en-US" w:eastAsia="zh-CN" w:bidi="ar-SA"/>
        </w:rPr>
        <w:t>89.12</w:t>
      </w:r>
      <w:r>
        <w:rPr>
          <w:rFonts w:hint="eastAsia" w:ascii="仿宋" w:hAnsi="仿宋" w:eastAsia="仿宋" w:cs="仿宋"/>
          <w:b w:val="0"/>
          <w:bCs w:val="0"/>
          <w:kern w:val="2"/>
          <w:sz w:val="28"/>
          <w:szCs w:val="28"/>
          <w:lang w:val="en-US" w:eastAsia="zh-CN" w:bidi="ar-SA"/>
        </w:rPr>
        <w:t>分，绩效评级为“良”。具体得分情况见下表：</w:t>
      </w:r>
    </w:p>
    <w:p w14:paraId="25DC638A">
      <w:pPr>
        <w:pStyle w:val="15"/>
        <w:keepNext w:val="0"/>
        <w:keepLines w:val="0"/>
        <w:pageBreakBefore w:val="0"/>
        <w:framePr w:wrap="auto" w:vAnchor="margin" w:hAnchor="text" w:yAlign="inline"/>
        <w:widowControl w:val="0"/>
        <w:kinsoku/>
        <w:wordWrap/>
        <w:overflowPunct/>
        <w:topLinePunct w:val="0"/>
        <w:autoSpaceDE/>
        <w:autoSpaceDN/>
        <w:bidi w:val="0"/>
        <w:adjustRightInd w:val="0"/>
        <w:snapToGrid w:val="0"/>
        <w:spacing w:line="560" w:lineRule="exact"/>
        <w:ind w:firstLine="0"/>
        <w:jc w:val="center"/>
        <w:textAlignment w:val="auto"/>
        <w:outlineLvl w:val="9"/>
        <w:rPr>
          <w:rFonts w:hint="eastAsia" w:ascii="仿宋" w:hAnsi="仿宋" w:eastAsia="仿宋" w:cs="仿宋"/>
          <w:b/>
          <w:bCs/>
          <w:color w:val="auto"/>
          <w:szCs w:val="24"/>
          <w:lang w:val="zh-TW"/>
        </w:rPr>
      </w:pPr>
      <w:r>
        <w:rPr>
          <w:rFonts w:hint="eastAsia" w:ascii="仿宋" w:hAnsi="仿宋" w:eastAsia="仿宋" w:cs="仿宋"/>
          <w:b/>
          <w:bCs/>
          <w:color w:val="auto"/>
          <w:szCs w:val="24"/>
          <w:lang w:val="zh-TW"/>
        </w:rPr>
        <w:t xml:space="preserve">  </w:t>
      </w:r>
      <w:r>
        <w:rPr>
          <w:rFonts w:hint="eastAsia" w:ascii="仿宋" w:hAnsi="仿宋" w:eastAsia="仿宋" w:cs="仿宋"/>
          <w:b/>
          <w:bCs/>
          <w:color w:val="auto"/>
          <w:szCs w:val="24"/>
          <w:lang w:val="zh-TW" w:eastAsia="zh-TW"/>
        </w:rPr>
        <w:t>项目绩效评价得分表</w:t>
      </w:r>
    </w:p>
    <w:tbl>
      <w:tblPr>
        <w:tblStyle w:val="11"/>
        <w:tblW w:w="4998" w:type="pct"/>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9"/>
        <w:gridCol w:w="1419"/>
        <w:gridCol w:w="1419"/>
        <w:gridCol w:w="1419"/>
        <w:gridCol w:w="1419"/>
        <w:gridCol w:w="1424"/>
      </w:tblGrid>
      <w:tr w14:paraId="59CD3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blHeader/>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D7E0B">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pacing w:val="75"/>
                <w:kern w:val="0"/>
                <w:sz w:val="24"/>
                <w:szCs w:val="24"/>
                <w:highlight w:val="none"/>
                <w:u w:val="none"/>
                <w:fitText w:val="630" w:id="824591385"/>
                <w:lang w:val="en-US" w:eastAsia="zh-CN" w:bidi="ar"/>
              </w:rPr>
              <w:t>指</w:t>
            </w:r>
            <w:r>
              <w:rPr>
                <w:rFonts w:hint="eastAsia" w:ascii="仿宋" w:hAnsi="仿宋" w:eastAsia="仿宋" w:cs="仿宋"/>
                <w:b/>
                <w:bCs/>
                <w:i w:val="0"/>
                <w:iCs w:val="0"/>
                <w:color w:val="000000"/>
                <w:spacing w:val="0"/>
                <w:kern w:val="0"/>
                <w:sz w:val="24"/>
                <w:szCs w:val="24"/>
                <w:highlight w:val="none"/>
                <w:u w:val="none"/>
                <w:fitText w:val="630" w:id="824591385"/>
                <w:lang w:val="en-US" w:eastAsia="zh-CN" w:bidi="ar"/>
              </w:rPr>
              <w:t>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DC94">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部门决策</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60C3D">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部门管理</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C4FE">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部门产出</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1768">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部门效果</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444D0">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pacing w:val="75"/>
                <w:kern w:val="0"/>
                <w:sz w:val="24"/>
                <w:szCs w:val="24"/>
                <w:highlight w:val="none"/>
                <w:u w:val="none"/>
                <w:fitText w:val="630" w:id="786782258"/>
                <w:lang w:val="en-US" w:eastAsia="zh-CN" w:bidi="ar"/>
              </w:rPr>
              <w:t>合</w:t>
            </w:r>
            <w:r>
              <w:rPr>
                <w:rFonts w:hint="eastAsia" w:ascii="仿宋" w:hAnsi="仿宋" w:eastAsia="仿宋" w:cs="仿宋"/>
                <w:b/>
                <w:bCs/>
                <w:i w:val="0"/>
                <w:iCs w:val="0"/>
                <w:color w:val="000000"/>
                <w:spacing w:val="0"/>
                <w:kern w:val="0"/>
                <w:sz w:val="24"/>
                <w:szCs w:val="24"/>
                <w:highlight w:val="none"/>
                <w:u w:val="none"/>
                <w:fitText w:val="630" w:id="786782258"/>
                <w:lang w:val="en-US" w:eastAsia="zh-CN" w:bidi="ar"/>
              </w:rPr>
              <w:t>计</w:t>
            </w:r>
          </w:p>
        </w:tc>
      </w:tr>
      <w:tr w14:paraId="5AE41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99BDC">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pacing w:val="75"/>
                <w:kern w:val="0"/>
                <w:sz w:val="24"/>
                <w:szCs w:val="24"/>
                <w:highlight w:val="none"/>
                <w:u w:val="none"/>
                <w:fitText w:val="630" w:id="53625847"/>
                <w:lang w:val="en-US" w:eastAsia="zh-CN"/>
              </w:rPr>
              <w:t>分</w:t>
            </w:r>
            <w:r>
              <w:rPr>
                <w:rFonts w:hint="eastAsia" w:ascii="仿宋" w:hAnsi="仿宋" w:eastAsia="仿宋" w:cs="仿宋"/>
                <w:i w:val="0"/>
                <w:iCs w:val="0"/>
                <w:color w:val="000000"/>
                <w:spacing w:val="0"/>
                <w:kern w:val="0"/>
                <w:sz w:val="24"/>
                <w:szCs w:val="24"/>
                <w:highlight w:val="none"/>
                <w:u w:val="none"/>
                <w:fitText w:val="630" w:id="53625847"/>
                <w:lang w:val="en-US" w:eastAsia="zh-CN"/>
              </w:rPr>
              <w:t>值</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4C1A7">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15.00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1925">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38105">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DC611">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15.00</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5338">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100.00</w:t>
            </w:r>
          </w:p>
        </w:tc>
      </w:tr>
      <w:tr w14:paraId="6C3F1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F137">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pacing w:val="75"/>
                <w:kern w:val="0"/>
                <w:sz w:val="24"/>
                <w:szCs w:val="24"/>
                <w:highlight w:val="none"/>
                <w:u w:val="none"/>
                <w:fitText w:val="630" w:id="365964376"/>
                <w:lang w:val="en-US" w:eastAsia="zh-CN"/>
              </w:rPr>
              <w:t>得</w:t>
            </w:r>
            <w:r>
              <w:rPr>
                <w:rFonts w:hint="eastAsia" w:ascii="仿宋" w:hAnsi="仿宋" w:eastAsia="仿宋" w:cs="仿宋"/>
                <w:i w:val="0"/>
                <w:iCs w:val="0"/>
                <w:color w:val="000000"/>
                <w:spacing w:val="0"/>
                <w:kern w:val="0"/>
                <w:sz w:val="24"/>
                <w:szCs w:val="24"/>
                <w:highlight w:val="none"/>
                <w:u w:val="none"/>
                <w:fitText w:val="630" w:id="365964376"/>
                <w:lang w:val="en-US" w:eastAsia="zh-CN"/>
              </w:rPr>
              <w:t>分</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6D23">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15.00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AEFCA">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32.45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6ED6">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28.89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618A">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12.78</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BF74">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89.12</w:t>
            </w:r>
          </w:p>
        </w:tc>
      </w:tr>
      <w:tr w14:paraId="21551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2529E">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得分率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18B05">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100.00%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185C">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81.12%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C458">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96.30%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6FDB">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85.20%</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7DD7">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89.12%</w:t>
            </w:r>
          </w:p>
        </w:tc>
      </w:tr>
    </w:tbl>
    <w:p w14:paraId="4032F9EA">
      <w:pPr>
        <w:pStyle w:val="14"/>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0"/>
        <w:rPr>
          <w:rFonts w:hint="eastAsia" w:ascii="仿宋" w:hAnsi="仿宋" w:eastAsia="仿宋" w:cs="仿宋"/>
          <w:b/>
        </w:rPr>
      </w:pPr>
      <w:bookmarkStart w:id="31" w:name="_Toc8345"/>
      <w:bookmarkStart w:id="32" w:name="_Toc27284"/>
      <w:r>
        <w:rPr>
          <w:rFonts w:hint="eastAsia" w:ascii="仿宋" w:hAnsi="仿宋" w:eastAsia="仿宋" w:cs="仿宋"/>
          <w:b/>
          <w:lang w:val="en-US" w:eastAsia="zh-CN"/>
        </w:rPr>
        <w:t>三</w:t>
      </w:r>
      <w:r>
        <w:rPr>
          <w:rFonts w:hint="eastAsia" w:ascii="仿宋" w:hAnsi="仿宋" w:eastAsia="仿宋" w:cs="仿宋"/>
          <w:b/>
        </w:rPr>
        <w:t>、存在的主要问题及改进意见</w:t>
      </w:r>
      <w:bookmarkEnd w:id="31"/>
      <w:bookmarkEnd w:id="32"/>
    </w:p>
    <w:p w14:paraId="7464518D">
      <w:pPr>
        <w:pStyle w:val="14"/>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仿宋" w:hAnsi="仿宋" w:eastAsia="仿宋" w:cs="仿宋"/>
          <w:b/>
          <w:highlight w:val="none"/>
          <w:lang w:val="en-US" w:eastAsia="zh-CN"/>
        </w:rPr>
      </w:pPr>
      <w:bookmarkStart w:id="33" w:name="_Toc9293"/>
      <w:bookmarkStart w:id="34" w:name="_Toc4761"/>
      <w:r>
        <w:rPr>
          <w:rFonts w:hint="eastAsia" w:ascii="仿宋" w:hAnsi="仿宋" w:eastAsia="仿宋" w:cs="仿宋"/>
          <w:b/>
          <w:highlight w:val="none"/>
          <w:lang w:eastAsia="zh-CN"/>
        </w:rPr>
        <w:t>（</w:t>
      </w:r>
      <w:r>
        <w:rPr>
          <w:rFonts w:hint="eastAsia" w:ascii="仿宋" w:hAnsi="仿宋" w:eastAsia="仿宋" w:cs="仿宋"/>
          <w:b/>
          <w:highlight w:val="none"/>
          <w:lang w:val="en-US" w:eastAsia="zh-CN"/>
        </w:rPr>
        <w:t>一</w:t>
      </w:r>
      <w:r>
        <w:rPr>
          <w:rFonts w:hint="eastAsia" w:ascii="仿宋" w:hAnsi="仿宋" w:eastAsia="仿宋" w:cs="仿宋"/>
          <w:b/>
          <w:highlight w:val="none"/>
          <w:lang w:eastAsia="zh-CN"/>
        </w:rPr>
        <w:t>）</w:t>
      </w:r>
      <w:r>
        <w:rPr>
          <w:rFonts w:hint="eastAsia" w:ascii="仿宋" w:hAnsi="仿宋" w:eastAsia="仿宋" w:cs="仿宋"/>
          <w:b/>
          <w:highlight w:val="none"/>
        </w:rPr>
        <w:t>存在的问题</w:t>
      </w:r>
      <w:bookmarkEnd w:id="33"/>
      <w:bookmarkEnd w:id="34"/>
    </w:p>
    <w:p w14:paraId="52F5E022">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1.在职人员超编制</w:t>
      </w:r>
    </w:p>
    <w:p w14:paraId="3E971FCD">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sz w:val="28"/>
          <w:szCs w:val="28"/>
          <w:highlight w:val="none"/>
          <w:lang w:val="en-US" w:eastAsia="zh-CN"/>
        </w:rPr>
        <w:t>截至2023年末，永济市市场监督管理局</w:t>
      </w:r>
      <w:r>
        <w:rPr>
          <w:rFonts w:hint="eastAsia" w:ascii="仿宋" w:hAnsi="仿宋" w:eastAsia="仿宋" w:cs="仿宋"/>
          <w:b w:val="0"/>
          <w:bCs w:val="0"/>
          <w:sz w:val="28"/>
          <w:szCs w:val="28"/>
          <w:highlight w:val="none"/>
          <w:lang w:val="en-US" w:eastAsia="zh-CN"/>
        </w:rPr>
        <w:t>2023年底市场监督管理局共有编制153名，在职人员共185人。其中：行政编76名，在职人员69人；事业编77名，在职人员105人；行政工勤11人。</w:t>
      </w:r>
      <w:r>
        <w:rPr>
          <w:rFonts w:hint="eastAsia" w:ascii="仿宋" w:hAnsi="仿宋" w:eastAsia="仿宋" w:cs="仿宋"/>
          <w:sz w:val="28"/>
          <w:szCs w:val="28"/>
          <w:highlight w:val="none"/>
          <w:lang w:val="en-US" w:eastAsia="zh-CN"/>
        </w:rPr>
        <w:t>在职人员控制率120.91%。</w:t>
      </w:r>
    </w:p>
    <w:p w14:paraId="696BC518">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2.资金混用、超范围列支</w:t>
      </w:r>
    </w:p>
    <w:p w14:paraId="791C0D2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yellow"/>
          <w:lang w:val="en-US" w:eastAsia="zh-CN" w:bidi="ar-SA"/>
        </w:rPr>
      </w:pPr>
      <w:r>
        <w:rPr>
          <w:rFonts w:hint="eastAsia" w:ascii="仿宋" w:hAnsi="仿宋" w:eastAsia="仿宋" w:cs="仿宋"/>
          <w:b w:val="0"/>
          <w:bCs w:val="0"/>
          <w:kern w:val="0"/>
          <w:sz w:val="28"/>
          <w:szCs w:val="28"/>
          <w:highlight w:val="none"/>
          <w:lang w:val="en-US" w:eastAsia="zh-CN"/>
        </w:rPr>
        <w:t>永济市市场监督管理局的</w:t>
      </w:r>
      <w:r>
        <w:rPr>
          <w:rFonts w:hint="eastAsia" w:ascii="仿宋" w:hAnsi="仿宋" w:eastAsia="仿宋" w:cs="仿宋"/>
          <w:b w:val="0"/>
          <w:bCs w:val="0"/>
          <w:kern w:val="2"/>
          <w:sz w:val="28"/>
          <w:szCs w:val="28"/>
          <w:highlight w:val="none"/>
          <w:lang w:val="en-US" w:eastAsia="zh-CN" w:bidi="ar-SA"/>
        </w:rPr>
        <w:t>部分资金支出方向未能严格按照部门预算批复的用途。如：公用经费支付自收自支在职人员工资、社保、奖金和自收自支退休人员取暖费、遗属补助等共计</w:t>
      </w:r>
      <w:r>
        <w:rPr>
          <w:rFonts w:hint="eastAsia" w:ascii="仿宋" w:hAnsi="仿宋" w:eastAsia="仿宋" w:cs="仿宋"/>
          <w:b w:val="0"/>
          <w:bCs w:val="0"/>
          <w:color w:val="000000"/>
          <w:kern w:val="0"/>
          <w:sz w:val="28"/>
          <w:szCs w:val="28"/>
          <w:highlight w:val="none"/>
          <w:shd w:val="clear" w:color="auto" w:fill="FFFFFF"/>
          <w:lang w:val="en-US" w:eastAsia="zh-CN"/>
        </w:rPr>
        <w:t>705,696.08</w:t>
      </w:r>
      <w:r>
        <w:rPr>
          <w:rFonts w:hint="eastAsia" w:ascii="仿宋" w:hAnsi="仿宋" w:eastAsia="仿宋" w:cs="仿宋"/>
          <w:b w:val="0"/>
          <w:bCs w:val="0"/>
          <w:kern w:val="2"/>
          <w:sz w:val="28"/>
          <w:szCs w:val="28"/>
          <w:highlight w:val="none"/>
          <w:lang w:val="en-US" w:eastAsia="zh-CN" w:bidi="ar-SA"/>
        </w:rPr>
        <w:t>元。</w:t>
      </w:r>
    </w:p>
    <w:p w14:paraId="4681C46C">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3.资产管理不规范</w:t>
      </w:r>
    </w:p>
    <w:p w14:paraId="3B77612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0"/>
          <w:sz w:val="28"/>
          <w:szCs w:val="28"/>
          <w:highlight w:val="none"/>
          <w:lang w:val="en-US" w:eastAsia="zh-CN"/>
        </w:rPr>
      </w:pPr>
      <w:r>
        <w:rPr>
          <w:rFonts w:hint="eastAsia" w:ascii="仿宋" w:hAnsi="仿宋" w:eastAsia="仿宋" w:cs="仿宋"/>
          <w:sz w:val="28"/>
          <w:szCs w:val="28"/>
          <w:lang w:val="en-US" w:eastAsia="zh-CN"/>
        </w:rPr>
        <w:t>①固定资产卡片共计1637项资产，其中1366项资产品牌与规格型号不完善，985项资产管理部门与管理人不明确</w:t>
      </w:r>
      <w:r>
        <w:rPr>
          <w:rFonts w:hint="eastAsia" w:ascii="仿宋" w:hAnsi="仿宋" w:eastAsia="仿宋" w:cs="仿宋"/>
          <w:b w:val="0"/>
          <w:bCs w:val="0"/>
          <w:kern w:val="0"/>
          <w:sz w:val="28"/>
          <w:szCs w:val="28"/>
          <w:highlight w:val="none"/>
          <w:lang w:val="en-US" w:eastAsia="zh-CN"/>
        </w:rPr>
        <w:t>。</w:t>
      </w:r>
    </w:p>
    <w:p w14:paraId="0FECB84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②89个资产在固定资产清查表中显示报废，分别为激光打印机2台、柜机空调3台、挂机空调4台、冰箱1台、办公桌3张、折叠条桌2张、保险柜1个、塑料凳1个、台式电脑6台、便携式计算机1台、冷暖扇1个、执法记录仪24个、办公椅24张、饮水机1台、吊扇4个、电视机2个、油烟机1个，目前尚未处置。</w:t>
      </w:r>
    </w:p>
    <w:p w14:paraId="6070ACE5">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③固定资产清查的数量与账面数量有出入。</w:t>
      </w:r>
    </w:p>
    <w:p w14:paraId="78F18645">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4.工作履职不到位</w:t>
      </w:r>
    </w:p>
    <w:p w14:paraId="383B740C">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根据查看2022年和2023年全国12315平台的数据统计，2022年投诉和举报共896起，投诉调解成功率为51.42%，2023年投诉和举报共1140起，投诉调解成功率为47.6%，消费者投诉率提高了27.23%，投诉调解成功率降低了3.82%。</w:t>
      </w:r>
    </w:p>
    <w:p w14:paraId="1363ABE3">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sz w:val="28"/>
          <w:szCs w:val="28"/>
          <w:highlight w:val="none"/>
          <w:lang w:val="en-US" w:eastAsia="zh-CN"/>
        </w:rPr>
      </w:pPr>
      <w:bookmarkStart w:id="35" w:name="_Toc27732"/>
      <w:bookmarkStart w:id="36" w:name="_Toc32644"/>
      <w:r>
        <w:rPr>
          <w:rFonts w:hint="eastAsia" w:ascii="仿宋" w:hAnsi="仿宋" w:eastAsia="仿宋" w:cs="仿宋"/>
          <w:b/>
          <w:sz w:val="28"/>
          <w:szCs w:val="28"/>
          <w:highlight w:val="none"/>
          <w:lang w:val="en-US" w:eastAsia="zh-CN"/>
        </w:rPr>
        <w:t>（二）有关建议</w:t>
      </w:r>
      <w:bookmarkEnd w:id="35"/>
      <w:bookmarkEnd w:id="36"/>
    </w:p>
    <w:p w14:paraId="492D57C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
          <w:bCs/>
          <w:sz w:val="28"/>
          <w:szCs w:val="28"/>
          <w:lang w:val="en-US" w:eastAsia="zh-CN"/>
        </w:rPr>
        <w:t>1.</w:t>
      </w:r>
      <w:r>
        <w:rPr>
          <w:rFonts w:hint="eastAsia" w:ascii="仿宋" w:hAnsi="仿宋" w:eastAsia="仿宋" w:cs="仿宋"/>
          <w:b/>
          <w:bCs/>
          <w:color w:val="auto"/>
          <w:sz w:val="28"/>
          <w:szCs w:val="28"/>
          <w:highlight w:val="none"/>
        </w:rPr>
        <w:t>规范财政资金支出</w:t>
      </w:r>
      <w:r>
        <w:rPr>
          <w:rFonts w:hint="eastAsia" w:ascii="仿宋" w:hAnsi="仿宋" w:eastAsia="仿宋" w:cs="仿宋"/>
          <w:b/>
          <w:bCs/>
          <w:color w:val="auto"/>
          <w:sz w:val="28"/>
          <w:szCs w:val="28"/>
          <w:highlight w:val="none"/>
          <w:lang w:eastAsia="zh-CN"/>
        </w:rPr>
        <w:t>，保障资金按用途使用。</w:t>
      </w:r>
    </w:p>
    <w:p w14:paraId="1220F32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color w:val="auto"/>
          <w:sz w:val="28"/>
          <w:szCs w:val="28"/>
          <w:highlight w:val="none"/>
          <w:lang w:val="en-US" w:eastAsia="zh-CN"/>
        </w:rPr>
        <w:t>加强对预算资金编报、项目资金使用、财务收支的管理，严禁预算执行中随意扩大支出范围，各项目资金应做到专款专用，避免出现相互挤占资金的情况。在部门职权范围内的资金使用，按部门内部控制制度执行，超出部门职权范围的资金使用，报上级部门审批；</w:t>
      </w:r>
      <w:r>
        <w:rPr>
          <w:rFonts w:hint="eastAsia" w:ascii="仿宋" w:hAnsi="仿宋" w:eastAsia="仿宋" w:cs="仿宋"/>
          <w:sz w:val="28"/>
          <w:szCs w:val="28"/>
          <w:lang w:val="en-US" w:eastAsia="zh-CN"/>
        </w:rPr>
        <w:t>对于已经发生的经济业务或者事项，应当及时进行会计核算。</w:t>
      </w:r>
    </w:p>
    <w:p w14:paraId="0A5BB8D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2.加强固定资产管理水平</w:t>
      </w:r>
    </w:p>
    <w:p w14:paraId="58B2A50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加强对财务人员的培训学习，提高理论素质，在日常财务工作中，严格按照《政府会计制度》相关规定进行会计处理，保证会计处理的合法性、合规性</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财务人员、固定资产管理人员应完善固定资产使用部门、使用人、存放地址等信息，资产</w:t>
      </w:r>
      <w:r>
        <w:rPr>
          <w:rFonts w:hint="eastAsia" w:ascii="仿宋" w:hAnsi="仿宋" w:eastAsia="仿宋" w:cs="仿宋"/>
          <w:b w:val="0"/>
          <w:bCs w:val="0"/>
          <w:color w:val="auto"/>
          <w:sz w:val="28"/>
          <w:szCs w:val="28"/>
          <w:highlight w:val="none"/>
          <w:lang w:val="en-US" w:eastAsia="zh-CN"/>
        </w:rPr>
        <w:t>使用</w:t>
      </w:r>
      <w:r>
        <w:rPr>
          <w:rFonts w:hint="eastAsia" w:ascii="仿宋" w:hAnsi="仿宋" w:eastAsia="仿宋" w:cs="仿宋"/>
          <w:b w:val="0"/>
          <w:bCs w:val="0"/>
          <w:color w:val="auto"/>
          <w:sz w:val="28"/>
          <w:szCs w:val="28"/>
          <w:highlight w:val="none"/>
        </w:rPr>
        <w:t>部门和使用人发生变动时，应及时办理交接手续，变更登记信息</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定期与各资产使用部门对账，随时了解资产使用状况，有问题及时发现，使用部门与财务部门应加强沟通，资产使用出现问题及时告知，需要进行处理的按规定及时处理。</w:t>
      </w:r>
    </w:p>
    <w:p w14:paraId="73921819">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3.加强队伍建设、优化工作流程</w:t>
      </w:r>
    </w:p>
    <w:p w14:paraId="6117E1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定期组织工作人员参加专业培训，内容涵盖消费者权益保护法律法规、沟通技巧、谈判策略、心理学等方面，以提高他们在处理投诉时的专业水平和应对能力。根据投诉量和工作难度，合理分配调解人员，确保每个投诉案件都能得到及时有效地处理。对于紧急投诉案件，应启动应急处理程序，优先处理，以避免问题进一步扩大。</w:t>
      </w:r>
    </w:p>
    <w:p w14:paraId="23D1A67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4.加强对消费者的宣传教育</w:t>
      </w:r>
    </w:p>
    <w:p w14:paraId="0B14B98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开展多种形式的消费者权益保护宣传教育活动，增强消费者的自我保护意识和维权能力。向消费者普及投诉渠道和方法，引导消费者理性投诉，避免过度维权或不当维权。</w:t>
      </w:r>
    </w:p>
    <w:p w14:paraId="385F6009">
      <w:pPr>
        <w:jc w:val="center"/>
        <w:outlineLvl w:val="9"/>
        <w:rPr>
          <w:rFonts w:hint="eastAsia" w:ascii="仿宋" w:hAnsi="仿宋" w:eastAsia="仿宋" w:cs="仿宋"/>
          <w:b/>
          <w:bCs/>
          <w:sz w:val="32"/>
          <w:szCs w:val="4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A51F4AF">
      <w:pPr>
        <w:pStyle w:val="2"/>
        <w:rPr>
          <w:rFonts w:hint="eastAsia" w:ascii="仿宋" w:hAnsi="仿宋" w:eastAsia="仿宋" w:cs="仿宋"/>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C747C6B">
      <w:pPr>
        <w:jc w:val="center"/>
        <w:outlineLvl w:val="0"/>
        <w:rPr>
          <w:rFonts w:hint="eastAsia" w:ascii="仿宋" w:hAnsi="仿宋" w:eastAsia="仿宋" w:cs="仿宋"/>
          <w:b/>
          <w:bCs/>
          <w:sz w:val="32"/>
          <w:szCs w:val="40"/>
          <w:highlight w:val="none"/>
          <w:lang w:val="en-US" w:eastAsia="zh-CN"/>
        </w:rPr>
      </w:pPr>
      <w:bookmarkStart w:id="37" w:name="_Toc17522"/>
      <w:bookmarkStart w:id="38" w:name="_Toc17824"/>
      <w:r>
        <w:rPr>
          <w:rFonts w:hint="eastAsia" w:ascii="仿宋" w:hAnsi="仿宋" w:eastAsia="仿宋" w:cs="仿宋"/>
          <w:b/>
          <w:bCs/>
          <w:sz w:val="32"/>
          <w:szCs w:val="40"/>
          <w:highlight w:val="none"/>
          <w:lang w:val="en-US" w:eastAsia="zh-CN"/>
        </w:rPr>
        <w:t>永济市市场监督管理局</w:t>
      </w:r>
      <w:bookmarkEnd w:id="37"/>
      <w:bookmarkEnd w:id="38"/>
    </w:p>
    <w:p w14:paraId="45548F8B">
      <w:pPr>
        <w:jc w:val="center"/>
        <w:outlineLvl w:val="9"/>
        <w:rPr>
          <w:rFonts w:hint="eastAsia" w:ascii="仿宋" w:hAnsi="仿宋" w:eastAsia="仿宋" w:cs="仿宋"/>
          <w:b/>
          <w:bCs/>
          <w:sz w:val="32"/>
          <w:szCs w:val="40"/>
          <w:highlight w:val="none"/>
          <w:lang w:val="en-US" w:eastAsia="zh-CN"/>
        </w:rPr>
      </w:pPr>
      <w:bookmarkStart w:id="39" w:name="_Toc5444"/>
      <w:r>
        <w:rPr>
          <w:rFonts w:hint="eastAsia" w:ascii="仿宋" w:hAnsi="仿宋" w:eastAsia="仿宋" w:cs="仿宋"/>
          <w:b/>
          <w:bCs/>
          <w:sz w:val="32"/>
          <w:szCs w:val="40"/>
          <w:highlight w:val="none"/>
          <w:lang w:val="en-US" w:eastAsia="zh-CN"/>
        </w:rPr>
        <w:t>2023年度整体支出绩效评价报告</w:t>
      </w:r>
      <w:bookmarkEnd w:id="39"/>
    </w:p>
    <w:p w14:paraId="37D5BA3F">
      <w:pPr>
        <w:pStyle w:val="2"/>
        <w:jc w:val="right"/>
        <w:outlineLvl w:val="9"/>
        <w:rPr>
          <w:rFonts w:hint="eastAsia" w:ascii="仿宋" w:hAnsi="仿宋" w:eastAsia="仿宋" w:cs="仿宋"/>
          <w:sz w:val="28"/>
          <w:szCs w:val="36"/>
          <w:highlight w:val="none"/>
        </w:rPr>
      </w:pPr>
      <w:r>
        <w:rPr>
          <w:rFonts w:hint="eastAsia" w:ascii="仿宋" w:hAnsi="仿宋" w:eastAsia="仿宋" w:cs="仿宋"/>
          <w:sz w:val="28"/>
          <w:szCs w:val="36"/>
          <w:highlight w:val="none"/>
        </w:rPr>
        <w:t>晋广和绩评〔</w:t>
      </w:r>
      <w:r>
        <w:rPr>
          <w:rFonts w:hint="eastAsia" w:ascii="仿宋" w:hAnsi="仿宋" w:eastAsia="仿宋" w:cs="仿宋"/>
          <w:sz w:val="28"/>
          <w:szCs w:val="36"/>
          <w:highlight w:val="none"/>
          <w:lang w:val="en-US" w:eastAsia="zh-CN"/>
        </w:rPr>
        <w:t>2024</w:t>
      </w:r>
      <w:r>
        <w:rPr>
          <w:rFonts w:hint="eastAsia" w:ascii="仿宋" w:hAnsi="仿宋" w:eastAsia="仿宋" w:cs="仿宋"/>
          <w:sz w:val="28"/>
          <w:szCs w:val="36"/>
          <w:highlight w:val="none"/>
        </w:rPr>
        <w:t>〕</w:t>
      </w:r>
      <w:r>
        <w:rPr>
          <w:rFonts w:hint="eastAsia" w:ascii="仿宋" w:hAnsi="仿宋" w:eastAsia="仿宋" w:cs="仿宋"/>
          <w:sz w:val="28"/>
          <w:szCs w:val="36"/>
          <w:highlight w:val="none"/>
          <w:lang w:val="en-US" w:eastAsia="zh-CN"/>
        </w:rPr>
        <w:t>0009</w:t>
      </w:r>
      <w:r>
        <w:rPr>
          <w:rFonts w:hint="eastAsia" w:ascii="仿宋" w:hAnsi="仿宋" w:eastAsia="仿宋" w:cs="仿宋"/>
          <w:sz w:val="28"/>
          <w:szCs w:val="36"/>
          <w:highlight w:val="none"/>
        </w:rPr>
        <w:t>号</w:t>
      </w:r>
    </w:p>
    <w:p w14:paraId="4170D5E8">
      <w:pPr>
        <w:pStyle w:val="2"/>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bCs/>
          <w:sz w:val="28"/>
          <w:szCs w:val="28"/>
          <w:highlight w:val="none"/>
        </w:rPr>
      </w:pPr>
      <w:r>
        <w:rPr>
          <w:rFonts w:hint="eastAsia" w:ascii="仿宋" w:hAnsi="仿宋" w:eastAsia="仿宋" w:cs="仿宋"/>
          <w:sz w:val="28"/>
          <w:szCs w:val="28"/>
          <w:highlight w:val="none"/>
        </w:rPr>
        <w:t>为落实全面实施预算绩效管理，提高财政资源配置效率和使用效益，增强政府公信力和执行力。根据永济市财政局《202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年重点绩效评价实施方案》（永财绩〔202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号）文件的要求，山西广和会计师事务所有限公司接受永济市财政局委托，对</w:t>
      </w:r>
      <w:r>
        <w:rPr>
          <w:rFonts w:hint="eastAsia" w:ascii="仿宋" w:hAnsi="仿宋" w:eastAsia="仿宋" w:cs="仿宋"/>
          <w:sz w:val="28"/>
          <w:szCs w:val="28"/>
          <w:highlight w:val="none"/>
          <w:lang w:val="en-US" w:eastAsia="zh-CN"/>
        </w:rPr>
        <w:t>永济市市场监督管理局</w:t>
      </w: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年度整体支出进行绩效评价。评价结果为</w:t>
      </w:r>
      <w:r>
        <w:rPr>
          <w:rFonts w:hint="eastAsia" w:ascii="仿宋" w:hAnsi="仿宋" w:eastAsia="仿宋" w:cs="仿宋"/>
          <w:sz w:val="28"/>
          <w:szCs w:val="28"/>
          <w:highlight w:val="none"/>
          <w:u w:val="none"/>
          <w:lang w:val="en-US" w:eastAsia="zh-CN"/>
        </w:rPr>
        <w:t>89.12</w:t>
      </w:r>
      <w:r>
        <w:rPr>
          <w:rFonts w:hint="eastAsia" w:ascii="仿宋" w:hAnsi="仿宋" w:eastAsia="仿宋" w:cs="仿宋"/>
          <w:sz w:val="28"/>
          <w:szCs w:val="28"/>
          <w:highlight w:val="none"/>
        </w:rPr>
        <w:t>分。有关情况如下</w:t>
      </w:r>
    </w:p>
    <w:p w14:paraId="01983970">
      <w:pPr>
        <w:pStyle w:val="2"/>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0"/>
        <w:rPr>
          <w:rFonts w:hint="eastAsia" w:ascii="仿宋" w:hAnsi="仿宋" w:eastAsia="仿宋" w:cs="仿宋"/>
          <w:b/>
          <w:bCs/>
          <w:sz w:val="28"/>
          <w:szCs w:val="36"/>
          <w:highlight w:val="none"/>
          <w:lang w:val="en-US" w:eastAsia="zh-CN"/>
        </w:rPr>
      </w:pPr>
      <w:bookmarkStart w:id="40" w:name="_Toc19328"/>
      <w:bookmarkStart w:id="41" w:name="_Toc18366"/>
      <w:bookmarkStart w:id="42" w:name="_Toc15335"/>
      <w:bookmarkStart w:id="43" w:name="_Toc12998"/>
      <w:r>
        <w:rPr>
          <w:rFonts w:hint="eastAsia" w:ascii="仿宋" w:hAnsi="仿宋" w:eastAsia="仿宋" w:cs="仿宋"/>
          <w:b/>
          <w:bCs/>
          <w:sz w:val="28"/>
          <w:szCs w:val="36"/>
          <w:highlight w:val="none"/>
          <w:lang w:val="en-US" w:eastAsia="zh-CN"/>
        </w:rPr>
        <w:t>一、部门基本情况</w:t>
      </w:r>
      <w:bookmarkEnd w:id="40"/>
      <w:bookmarkEnd w:id="41"/>
      <w:bookmarkEnd w:id="42"/>
      <w:bookmarkEnd w:id="43"/>
    </w:p>
    <w:p w14:paraId="6AADB712">
      <w:pPr>
        <w:pStyle w:val="2"/>
        <w:keepNext w:val="0"/>
        <w:keepLines w:val="0"/>
        <w:pageBreakBefore w:val="0"/>
        <w:widowControl w:val="0"/>
        <w:kinsoku/>
        <w:wordWrap/>
        <w:overflowPunct/>
        <w:topLinePunct w:val="0"/>
        <w:autoSpaceDE/>
        <w:autoSpaceDN/>
        <w:bidi w:val="0"/>
        <w:spacing w:line="560" w:lineRule="exact"/>
        <w:textAlignment w:val="auto"/>
        <w:outlineLvl w:val="1"/>
        <w:rPr>
          <w:rFonts w:hint="eastAsia" w:ascii="仿宋" w:hAnsi="仿宋" w:eastAsia="仿宋" w:cs="仿宋"/>
          <w:b/>
          <w:bCs/>
          <w:sz w:val="28"/>
          <w:szCs w:val="36"/>
          <w:highlight w:val="none"/>
          <w:lang w:val="en-US" w:eastAsia="zh-CN"/>
        </w:rPr>
      </w:pPr>
      <w:r>
        <w:rPr>
          <w:rFonts w:hint="eastAsia" w:ascii="仿宋" w:hAnsi="仿宋" w:eastAsia="仿宋" w:cs="仿宋"/>
          <w:b/>
          <w:bCs/>
          <w:sz w:val="28"/>
          <w:szCs w:val="36"/>
          <w:highlight w:val="none"/>
          <w:lang w:val="en-US" w:eastAsia="zh-CN"/>
        </w:rPr>
        <w:t xml:space="preserve">    </w:t>
      </w:r>
      <w:bookmarkStart w:id="44" w:name="_Toc6308"/>
      <w:bookmarkStart w:id="45" w:name="_Toc21735"/>
      <w:bookmarkStart w:id="46" w:name="_Toc28754"/>
      <w:bookmarkStart w:id="47" w:name="_Toc19437"/>
      <w:r>
        <w:rPr>
          <w:rFonts w:hint="eastAsia" w:ascii="仿宋" w:hAnsi="仿宋" w:eastAsia="仿宋" w:cs="仿宋"/>
          <w:b/>
          <w:bCs/>
          <w:sz w:val="28"/>
          <w:szCs w:val="36"/>
          <w:highlight w:val="none"/>
          <w:lang w:val="en-US" w:eastAsia="zh-CN"/>
        </w:rPr>
        <w:t>（一）部门概况</w:t>
      </w:r>
      <w:bookmarkEnd w:id="44"/>
      <w:bookmarkEnd w:id="45"/>
      <w:bookmarkEnd w:id="46"/>
      <w:bookmarkEnd w:id="47"/>
    </w:p>
    <w:p w14:paraId="76687B5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0" w:firstLineChars="200"/>
        <w:textAlignment w:val="auto"/>
        <w:outlineLvl w:val="9"/>
        <w:rPr>
          <w:rFonts w:hint="eastAsia" w:ascii="仿宋" w:hAnsi="仿宋" w:eastAsia="仿宋" w:cs="仿宋"/>
          <w:strike w:val="0"/>
          <w:dstrike w:val="0"/>
          <w:kern w:val="2"/>
          <w:sz w:val="28"/>
          <w:szCs w:val="28"/>
          <w:highlight w:val="none"/>
          <w:lang w:val="en-US" w:eastAsia="zh-CN" w:bidi="ar-SA"/>
        </w:rPr>
      </w:pPr>
      <w:r>
        <w:rPr>
          <w:rFonts w:hint="eastAsia" w:ascii="仿宋" w:hAnsi="仿宋" w:eastAsia="仿宋" w:cs="仿宋"/>
          <w:sz w:val="28"/>
          <w:szCs w:val="28"/>
          <w:highlight w:val="none"/>
          <w:lang w:val="en-US" w:eastAsia="zh-CN"/>
        </w:rPr>
        <w:t>永济市市场监督管理局属行政单位，机构性质为机关，位于永济市迎新东街61号，单位负责人：孙文伟，统一社会信用代码：11141081356677602U。</w:t>
      </w:r>
    </w:p>
    <w:p w14:paraId="35ED6FF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1.部门的主要职责</w:t>
      </w:r>
    </w:p>
    <w:p w14:paraId="58691E31">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负责全市市场综合监督管理。贯彻执行国家和省市场监督管理的法律法规规章，起草有关政策性规定，组织实施质量强市战略、食品安全战略和标准化战略，拟订并组织实施有关规划，规范和维护市场秩序，营造诚实守信、公平竞争的市场环境。</w:t>
      </w:r>
    </w:p>
    <w:p w14:paraId="18A5961A">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（2）建立市场主体信息公示和共享机制，依法公示和共享有关信息，加强信用监管，推动全市市场主体信用体系建设。</w:t>
      </w:r>
    </w:p>
    <w:p w14:paraId="47A0E360">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3）负责组织和指导全市市场监管综合执法工作。承担市场监管综合执法队伍整合和建设，推动实行统一的市场监管。对市场主体生产、经营、交易中的有关违法行为和案件进行查处和指导。规范全市市场监管行政执法行为。</w:t>
      </w:r>
    </w:p>
    <w:p w14:paraId="48526801">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（4）负责全市反垄断有关工作。统筹推进竞争政策实施，组织指导实施公平竞争审查制度。</w:t>
      </w:r>
    </w:p>
    <w:p w14:paraId="1CB09804">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5）负责监督管理市场秩序。依法监督管理市场交易、网络商品交易及有关服务的行为。查处价格收费违法违规、不正当竞争、违法直销、传销、侵犯商标专利知识产权和制售假冒伪劣行为。指导全市广告业发展，监督管理广告活动。查处无照生产经营和相关无证生产经营行为。指导市消费者协会开展消费维权工作。</w:t>
      </w:r>
    </w:p>
    <w:p w14:paraId="5D4CFE4C">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（6）负责全市宏观质量管理。统筹全市质量基础设施建设与应用，会同有关部门组织实施重大工程设备质量监理制度，组织重大质量事故调查，组织实施缺陷产品召回制度，监督管理产品防伪工作。</w:t>
      </w:r>
    </w:p>
    <w:p w14:paraId="4BDF4A2F">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（7）负责全市产品质量安全监督管理。管理全市产品质量安全风险监控和本级监督抽查工作。建立并组织实施质量分级制度、质量安全追溯制度。负责全市工业产品生产许可监督管理工作。</w:t>
      </w:r>
    </w:p>
    <w:p w14:paraId="52E92618">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（8）负责全市特种设备安全监督管理。综合管理全市特种设备安全监察、监督工作，监督检查高耗能特种设备节能标准和锅炉环境保护标准的执行情况。</w:t>
      </w:r>
    </w:p>
    <w:p w14:paraId="2FD69E48">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9）负责全市食品安全监督管理综合协调。组织制定全市食品安全政策措施并组织实施。负责全市食品安全应急体系建设，组织指导重大食品安全事件应急处置和调查处理工作。建立健全全市食品安全重要信息直报制度。承担永济市食品安全委员会日常工作。</w:t>
      </w:r>
    </w:p>
    <w:p w14:paraId="605B1B25">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10）负责全市食品安全监督管理。建立覆盖食品生产、流通、消费全过程的监督检查制度和隐患排查治理机制并组织实施，防范区域性、系统性食品安全风险。推动建立食品生产经营者落实主体责任的机制，健全食品安全追溯体系。组织开展全市食品安全监督抽检、风险监测、核查处置和风险预警、风险交流工作。组织指导全市食盐生产经营质量安全监管。负责酒类商品监督管理工作。</w:t>
      </w:r>
    </w:p>
    <w:p w14:paraId="7E025585">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（11）负责全市药品（含中药、民族药，下同）、医疗器械和化妆品安全监督管理。贯彻执行国家药品、医疗器械、化妆品安全监督管理的法律、法规和规章，组织起草相关政策性规定并监督实施。</w:t>
      </w:r>
    </w:p>
    <w:p w14:paraId="02D32226">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（12）组织监督实施药品、医疗器械、化妆品标准和分类管理制度，配合有关部门实施国家基本药物制度。</w:t>
      </w:r>
    </w:p>
    <w:p w14:paraId="4067BBD6">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（13）组织监督实施药品、医疗器械经营质量管理规范。组织监督实施化妆品经营、使用卫生标准和技术规范。</w:t>
      </w:r>
    </w:p>
    <w:p w14:paraId="741D49B4">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（14）负责药品、医疗器械和化妆品上市后风险管理。组织开展药品不良反应、医疗器械不良事件和化妆品不良反应的监测、评价和处置工作。依法承担药品、医疗器械和化妆品安全应急管理工作。</w:t>
      </w:r>
    </w:p>
    <w:p w14:paraId="0F889016">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15）负责组织实施药品、医疗器械和化妆品监督检查。制定检查制度，依法查处药品、医疗器械和化妆品经营、使用环节违法行为，监督实施问题产品召回和处置制度，依职责组织指导查处其他环节的违法行为。</w:t>
      </w:r>
    </w:p>
    <w:p w14:paraId="69A736A7">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（16）负责统一管理全市计量工作。推行法定计量单位和国家计量制度，管理全市计量器具及量值传递和比对工作。规范、监督全市商品量和市场计量行为。</w:t>
      </w:r>
    </w:p>
    <w:p w14:paraId="5CB6ECE9">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17）负责统一管理全市标准化工作。推动全市新型标准体系建设。监督国家标准、行业标准和地方标准（含标准样品）的贯彻实施。依法监督管理团体标准和企业标准工作。按规定承担技术性贸易措施有关工作。管理全市商品条码工作。</w:t>
      </w:r>
    </w:p>
    <w:p w14:paraId="2B3CBB27">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（18）负责统一管理、监督和协调全市认证认可、检验检测工作。组织实施国家统一的认证认可和合格评定监督管理制度。规范检验检测市场，完善检验检测体系。</w:t>
      </w:r>
    </w:p>
    <w:p w14:paraId="62717F76">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19）负责全市知识产权工作。拟订并组织实施加强知识产权强市建设、强化知识产权创造、保护和运用的发展规划和制度措施。推动全市知识产权保护体系建设。指导和监督全市知识产权保护工作，促进知识产权运用。</w:t>
      </w:r>
    </w:p>
    <w:p w14:paraId="5E9738D2">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（20）负责市场监督管理信息化建设、新闻宣传。</w:t>
      </w:r>
    </w:p>
    <w:p w14:paraId="688E9767">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（21）指导、协调全市非公经济组织党建工作。</w:t>
      </w:r>
    </w:p>
    <w:p w14:paraId="69246AFC">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（22）完成市委市政府交办的其他任务。</w:t>
      </w:r>
    </w:p>
    <w:p w14:paraId="3DEAE795">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（23）职能转变。</w:t>
      </w:r>
    </w:p>
    <w:p w14:paraId="20ADBFAA">
      <w:pPr>
        <w:pStyle w:val="2"/>
        <w:keepNext w:val="0"/>
        <w:keepLines w:val="0"/>
        <w:pageBreakBefore w:val="0"/>
        <w:numPr>
          <w:ilvl w:val="0"/>
          <w:numId w:val="0"/>
        </w:numPr>
        <w:kinsoku/>
        <w:wordWrap/>
        <w:overflowPunct/>
        <w:topLinePunct w:val="0"/>
        <w:autoSpaceDE/>
        <w:autoSpaceDN/>
        <w:bidi w:val="0"/>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2.部门组织机构及人员情况</w:t>
      </w:r>
    </w:p>
    <w:p w14:paraId="6C01D48D">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bookmarkStart w:id="48" w:name="_Toc21023"/>
      <w:r>
        <w:rPr>
          <w:rFonts w:hint="eastAsia" w:ascii="仿宋" w:hAnsi="仿宋" w:eastAsia="仿宋" w:cs="仿宋"/>
          <w:b w:val="0"/>
          <w:bCs w:val="0"/>
          <w:sz w:val="28"/>
          <w:szCs w:val="28"/>
          <w:highlight w:val="none"/>
          <w:lang w:val="en-US" w:eastAsia="zh-CN"/>
        </w:rPr>
        <w:t>永济市市场监督管理局下设22个股室，其中包括办公室、人事股、法制股、行政审批股、信用监督管理股、消费者权益保护和市场交易监督管理股、反垄断和反不正当竞争股（规范直销与打击传销办公室）、价格监督管理股、网络交易监督管理股、广告监督管理股、质量管理股、食品安全协调股（食品安全委员会办公室）、食品监督管理股、药品器械监督管理股、特殊食品化妆品监督管理股、特种设备安全监察股、计量和标准化管理股、知识产权保护发展股、财务股、宣传与应急管理股、党建办公室市场主体发展服务股、执法稽查股，另设10个派出机构，分别为城东街道市场监督管理所、城西街道市场监督管理所、城北街道市场监督管理所、虞乡镇市场监督管理所、卿头镇市场监督管理所、开张镇市场监督管理所、栲栳镇市场监督管理所、张营镇市场监督管理所、蒲州镇市场监督管理所、韩阳镇市场监督管理所。</w:t>
      </w:r>
    </w:p>
    <w:p w14:paraId="4AF00C95">
      <w:pPr>
        <w:pStyle w:val="2"/>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2023年底市场监督管理局共有编制153名，在职人员共185人。其中：行政编76名，在职人员69人；事业编77名，在职人员105人；行政工勤11人。</w:t>
      </w:r>
    </w:p>
    <w:p w14:paraId="1F17DB2F">
      <w:pPr>
        <w:keepNext w:val="0"/>
        <w:keepLines w:val="0"/>
        <w:pageBreakBefore w:val="0"/>
        <w:widowControl w:val="0"/>
        <w:kinsoku/>
        <w:wordWrap/>
        <w:overflowPunct/>
        <w:topLinePunct w:val="0"/>
        <w:autoSpaceDE/>
        <w:autoSpaceDN/>
        <w:bidi w:val="0"/>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bookmarkStart w:id="49" w:name="_Toc21967"/>
      <w:bookmarkStart w:id="50" w:name="_Toc6818"/>
      <w:r>
        <w:rPr>
          <w:rFonts w:hint="eastAsia" w:ascii="仿宋" w:hAnsi="仿宋" w:eastAsia="仿宋" w:cs="仿宋"/>
          <w:b/>
          <w:bCs/>
          <w:kern w:val="2"/>
          <w:sz w:val="28"/>
          <w:szCs w:val="28"/>
          <w:highlight w:val="none"/>
          <w:lang w:val="en-US" w:eastAsia="zh-CN" w:bidi="ar-SA"/>
        </w:rPr>
        <w:t>（二）部门预算批复及整体支出情况</w:t>
      </w:r>
      <w:bookmarkEnd w:id="48"/>
      <w:bookmarkEnd w:id="49"/>
      <w:bookmarkEnd w:id="50"/>
    </w:p>
    <w:p w14:paraId="0E8E6392">
      <w:pPr>
        <w:pStyle w:val="2"/>
        <w:keepNext w:val="0"/>
        <w:keepLines w:val="0"/>
        <w:pageBreakBefore w:val="0"/>
        <w:kinsoku/>
        <w:wordWrap/>
        <w:overflowPunct/>
        <w:topLinePunct w:val="0"/>
        <w:autoSpaceDE/>
        <w:autoSpaceDN/>
        <w:bidi w:val="0"/>
        <w:spacing w:line="560" w:lineRule="exact"/>
        <w:ind w:firstLine="562"/>
        <w:textAlignment w:val="auto"/>
        <w:outlineLvl w:val="9"/>
        <w:rPr>
          <w:rFonts w:hint="eastAsia" w:ascii="仿宋" w:hAnsi="仿宋" w:eastAsia="仿宋" w:cs="仿宋"/>
          <w:b/>
          <w:bCs/>
          <w:color w:val="000000"/>
          <w:kern w:val="0"/>
          <w:sz w:val="28"/>
          <w:szCs w:val="28"/>
          <w:highlight w:val="none"/>
          <w:shd w:val="clear" w:color="auto" w:fill="FFFFFF"/>
          <w:lang w:val="en-US" w:eastAsia="zh-CN"/>
        </w:rPr>
      </w:pPr>
      <w:r>
        <w:rPr>
          <w:rFonts w:hint="eastAsia" w:ascii="仿宋" w:hAnsi="仿宋" w:eastAsia="仿宋" w:cs="仿宋"/>
          <w:b/>
          <w:bCs/>
          <w:color w:val="000000"/>
          <w:kern w:val="0"/>
          <w:sz w:val="28"/>
          <w:szCs w:val="28"/>
          <w:highlight w:val="none"/>
          <w:shd w:val="clear" w:color="auto" w:fill="FFFFFF"/>
          <w:lang w:val="en-US" w:eastAsia="zh-CN"/>
        </w:rPr>
        <w:t>1.预算批复情况</w:t>
      </w:r>
    </w:p>
    <w:p w14:paraId="55686622">
      <w:pPr>
        <w:pStyle w:val="2"/>
        <w:keepNext w:val="0"/>
        <w:keepLines w:val="0"/>
        <w:pageBreakBefore w:val="0"/>
        <w:kinsoku/>
        <w:wordWrap/>
        <w:overflowPunct/>
        <w:topLinePunct w:val="0"/>
        <w:autoSpaceDE/>
        <w:autoSpaceDN/>
        <w:bidi w:val="0"/>
        <w:spacing w:line="560" w:lineRule="exact"/>
        <w:ind w:firstLine="562"/>
        <w:textAlignment w:val="auto"/>
        <w:outlineLvl w:val="9"/>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永济市市场监督管理局2023年部门年初预算为2,254.45万元。其中：基本支出2,134.95万元，项目支出119.50万元。</w:t>
      </w:r>
    </w:p>
    <w:p w14:paraId="499E4F9C">
      <w:pPr>
        <w:pStyle w:val="2"/>
        <w:keepNext w:val="0"/>
        <w:keepLines w:val="0"/>
        <w:pageBreakBefore w:val="0"/>
        <w:kinsoku/>
        <w:wordWrap/>
        <w:overflowPunct/>
        <w:topLinePunct w:val="0"/>
        <w:autoSpaceDE/>
        <w:autoSpaceDN/>
        <w:bidi w:val="0"/>
        <w:spacing w:line="560" w:lineRule="exact"/>
        <w:ind w:firstLine="562"/>
        <w:textAlignment w:val="auto"/>
        <w:outlineLvl w:val="9"/>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bCs/>
          <w:color w:val="000000"/>
          <w:kern w:val="0"/>
          <w:sz w:val="28"/>
          <w:szCs w:val="28"/>
          <w:highlight w:val="none"/>
          <w:shd w:val="clear" w:color="auto" w:fill="FFFFFF"/>
          <w:lang w:val="en-US" w:eastAsia="zh-CN"/>
        </w:rPr>
        <w:t>2.预算资金下达情况</w:t>
      </w:r>
    </w:p>
    <w:p w14:paraId="1F0257F0">
      <w:pPr>
        <w:pStyle w:val="2"/>
        <w:keepNext w:val="0"/>
        <w:keepLines w:val="0"/>
        <w:pageBreakBefore w:val="0"/>
        <w:kinsoku/>
        <w:wordWrap/>
        <w:overflowPunct/>
        <w:topLinePunct w:val="0"/>
        <w:autoSpaceDE/>
        <w:autoSpaceDN/>
        <w:bidi w:val="0"/>
        <w:spacing w:line="560" w:lineRule="exact"/>
        <w:ind w:firstLine="562"/>
        <w:textAlignment w:val="auto"/>
        <w:outlineLvl w:val="9"/>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永济市市场监督管理局2023年共收入2,375.78万元，其中：年初预算批复2,254.45万元，其中包括中央一般转移支付5万元，省级一般转移支付6.3万元；追加预算119.83万元、结转市级专款1.5万元。</w:t>
      </w:r>
    </w:p>
    <w:p w14:paraId="34C9D969">
      <w:pPr>
        <w:keepNext w:val="0"/>
        <w:keepLines w:val="0"/>
        <w:pageBreakBefore w:val="0"/>
        <w:widowControl/>
        <w:numPr>
          <w:ilvl w:val="0"/>
          <w:numId w:val="0"/>
        </w:numPr>
        <w:kinsoku/>
        <w:wordWrap/>
        <w:overflowPunct/>
        <w:topLinePunct w:val="0"/>
        <w:autoSpaceDE/>
        <w:autoSpaceDN/>
        <w:bidi w:val="0"/>
        <w:snapToGrid w:val="0"/>
        <w:spacing w:line="560" w:lineRule="exact"/>
        <w:ind w:firstLine="562" w:firstLineChars="200"/>
        <w:textAlignment w:val="auto"/>
        <w:outlineLvl w:val="9"/>
        <w:rPr>
          <w:rFonts w:hint="eastAsia" w:ascii="仿宋" w:hAnsi="仿宋" w:eastAsia="仿宋" w:cs="仿宋"/>
          <w:b/>
          <w:bCs/>
          <w:color w:val="000000"/>
          <w:kern w:val="0"/>
          <w:sz w:val="28"/>
          <w:szCs w:val="28"/>
          <w:highlight w:val="none"/>
          <w:shd w:val="clear" w:color="auto" w:fill="FFFFFF"/>
          <w:lang w:eastAsia="zh-CN"/>
        </w:rPr>
      </w:pPr>
      <w:r>
        <w:rPr>
          <w:rFonts w:hint="eastAsia" w:ascii="仿宋" w:hAnsi="仿宋" w:eastAsia="仿宋" w:cs="仿宋"/>
          <w:b/>
          <w:bCs/>
          <w:color w:val="000000"/>
          <w:kern w:val="0"/>
          <w:sz w:val="28"/>
          <w:szCs w:val="28"/>
          <w:highlight w:val="none"/>
          <w:shd w:val="clear" w:color="auto" w:fill="FFFFFF"/>
          <w:lang w:val="en-US" w:eastAsia="zh-CN"/>
        </w:rPr>
        <w:t>3.2023年</w:t>
      </w:r>
      <w:r>
        <w:rPr>
          <w:rFonts w:hint="eastAsia" w:ascii="仿宋" w:hAnsi="仿宋" w:eastAsia="仿宋" w:cs="仿宋"/>
          <w:b/>
          <w:bCs/>
          <w:color w:val="000000"/>
          <w:kern w:val="0"/>
          <w:sz w:val="28"/>
          <w:szCs w:val="28"/>
          <w:highlight w:val="none"/>
          <w:shd w:val="clear" w:color="auto" w:fill="FFFFFF"/>
          <w:lang w:eastAsia="zh-CN"/>
        </w:rPr>
        <w:t>整体</w:t>
      </w:r>
      <w:r>
        <w:rPr>
          <w:rFonts w:hint="eastAsia" w:ascii="仿宋" w:hAnsi="仿宋" w:eastAsia="仿宋" w:cs="仿宋"/>
          <w:b/>
          <w:bCs/>
          <w:color w:val="000000"/>
          <w:kern w:val="0"/>
          <w:sz w:val="28"/>
          <w:szCs w:val="28"/>
          <w:highlight w:val="none"/>
          <w:shd w:val="clear" w:color="auto" w:fill="FFFFFF"/>
        </w:rPr>
        <w:t>支出情况</w:t>
      </w:r>
    </w:p>
    <w:p w14:paraId="73BEA2CD">
      <w:pPr>
        <w:pStyle w:val="2"/>
        <w:keepNext w:val="0"/>
        <w:keepLines w:val="0"/>
        <w:pageBreakBefore w:val="0"/>
        <w:kinsoku/>
        <w:wordWrap/>
        <w:overflowPunct/>
        <w:topLinePunct w:val="0"/>
        <w:autoSpaceDE/>
        <w:autoSpaceDN/>
        <w:bidi w:val="0"/>
        <w:spacing w:line="560" w:lineRule="exact"/>
        <w:ind w:firstLine="562"/>
        <w:textAlignment w:val="auto"/>
        <w:outlineLvl w:val="9"/>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永济市市场监督管理局2023年共支出2,358.90万元，其中：基本支出2,237.39万元，项目支出121.51万元。</w:t>
      </w:r>
      <w:r>
        <w:rPr>
          <w:rFonts w:hint="eastAsia" w:ascii="仿宋" w:hAnsi="仿宋" w:eastAsia="仿宋" w:cs="仿宋"/>
          <w:sz w:val="28"/>
          <w:szCs w:val="28"/>
          <w:highlight w:val="none"/>
          <w:lang w:val="en-US" w:eastAsia="zh-CN"/>
        </w:rPr>
        <w:t>资金明细</w:t>
      </w:r>
      <w:r>
        <w:rPr>
          <w:rFonts w:hint="eastAsia" w:ascii="仿宋" w:hAnsi="仿宋" w:eastAsia="仿宋" w:cs="仿宋"/>
          <w:b w:val="0"/>
          <w:bCs w:val="0"/>
          <w:color w:val="000000"/>
          <w:kern w:val="0"/>
          <w:sz w:val="28"/>
          <w:szCs w:val="28"/>
          <w:highlight w:val="none"/>
          <w:shd w:val="clear" w:color="auto" w:fill="FFFFFF"/>
          <w:lang w:val="en-US" w:eastAsia="zh-CN"/>
        </w:rPr>
        <w:t>详见表1</w:t>
      </w:r>
    </w:p>
    <w:p w14:paraId="56B76D0C">
      <w:pPr>
        <w:pStyle w:val="2"/>
        <w:keepNext w:val="0"/>
        <w:keepLines w:val="0"/>
        <w:pageBreakBefore w:val="0"/>
        <w:kinsoku/>
        <w:wordWrap/>
        <w:overflowPunct/>
        <w:topLinePunct w:val="0"/>
        <w:autoSpaceDE/>
        <w:autoSpaceDN/>
        <w:bidi w:val="0"/>
        <w:spacing w:line="560" w:lineRule="exact"/>
        <w:ind w:firstLine="3267" w:firstLineChars="1167"/>
        <w:jc w:val="left"/>
        <w:textAlignment w:val="auto"/>
        <w:outlineLvl w:val="9"/>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 xml:space="preserve">表1资金明细表            </w:t>
      </w:r>
    </w:p>
    <w:p w14:paraId="7BBFB455">
      <w:pPr>
        <w:pStyle w:val="2"/>
        <w:keepNext w:val="0"/>
        <w:keepLines w:val="0"/>
        <w:pageBreakBefore w:val="0"/>
        <w:kinsoku/>
        <w:wordWrap/>
        <w:overflowPunct/>
        <w:topLinePunct w:val="0"/>
        <w:autoSpaceDE/>
        <w:autoSpaceDN/>
        <w:bidi w:val="0"/>
        <w:spacing w:line="560" w:lineRule="exact"/>
        <w:ind w:firstLine="2800" w:firstLineChars="1167"/>
        <w:jc w:val="right"/>
        <w:textAlignment w:val="auto"/>
        <w:outlineLvl w:val="9"/>
        <w:rPr>
          <w:rFonts w:hint="eastAsia" w:ascii="仿宋" w:hAnsi="仿宋" w:eastAsia="仿宋" w:cs="仿宋"/>
          <w:b w:val="0"/>
          <w:bCs w:val="0"/>
          <w:color w:val="000000"/>
          <w:kern w:val="0"/>
          <w:sz w:val="24"/>
          <w:szCs w:val="24"/>
          <w:highlight w:val="none"/>
          <w:shd w:val="clear" w:color="auto" w:fill="FFFFFF"/>
          <w:lang w:val="en-US" w:eastAsia="zh-CN"/>
        </w:rPr>
      </w:pPr>
      <w:r>
        <w:rPr>
          <w:rFonts w:hint="eastAsia" w:ascii="仿宋" w:hAnsi="仿宋" w:eastAsia="仿宋" w:cs="仿宋"/>
          <w:b w:val="0"/>
          <w:bCs w:val="0"/>
          <w:color w:val="000000"/>
          <w:kern w:val="0"/>
          <w:sz w:val="24"/>
          <w:szCs w:val="24"/>
          <w:highlight w:val="none"/>
          <w:shd w:val="clear" w:color="auto" w:fill="FFFFFF"/>
          <w:lang w:val="en-US" w:eastAsia="zh-CN"/>
        </w:rPr>
        <w:t>单位：元</w:t>
      </w:r>
    </w:p>
    <w:tbl>
      <w:tblPr>
        <w:tblStyle w:val="11"/>
        <w:tblW w:w="98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29"/>
        <w:gridCol w:w="1287"/>
        <w:gridCol w:w="1287"/>
        <w:gridCol w:w="1287"/>
        <w:gridCol w:w="1287"/>
        <w:gridCol w:w="1287"/>
        <w:gridCol w:w="1289"/>
      </w:tblGrid>
      <w:tr w14:paraId="7DAF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B9BE">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项目/经济分类</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A914">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年初预算</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2301">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追加预算</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C3A8">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结转上级专款</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E7C2">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本年预算</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DAA7">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实际支出</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563F">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预算结余</w:t>
            </w:r>
          </w:p>
        </w:tc>
      </w:tr>
      <w:tr w14:paraId="37259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7B1FC">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人员类项目</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24BDF">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17,985,797.88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AC5BD">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1,167,655.00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E24F2">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1DDD">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19,153,452.88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3D4A">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19,130,073.77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6ACF">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23,379.11 </w:t>
            </w:r>
          </w:p>
        </w:tc>
      </w:tr>
      <w:tr w14:paraId="16F63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FEB47">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公用经费</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51B08">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3,363,736.04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98FB">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73BD">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D04F">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3,363,736.04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0C95">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3,243,802.31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4E52C">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119,933.73 </w:t>
            </w:r>
          </w:p>
        </w:tc>
      </w:tr>
      <w:tr w14:paraId="588A9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57D0C">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“个转企”补助奖励</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E1982">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8A182">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21,000.00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6C270">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9490">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21,000.00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99E1">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18,600.00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4D4C5">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2,400.00 </w:t>
            </w:r>
          </w:p>
        </w:tc>
      </w:tr>
      <w:tr w14:paraId="0F325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F6FF">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工业产品和环保相关产品、日用消费品质量监督抽查专项经费</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934A7">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400,000.00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6C2B">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46280">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A5883">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400,000.00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12AD">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396,500.00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765E">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3,500.00 </w:t>
            </w:r>
          </w:p>
        </w:tc>
      </w:tr>
      <w:tr w14:paraId="378CC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87A4">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公平竞争审查第三方评估所需费用</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129E">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80,000.00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8673">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D7090">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91685">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80,000.00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DF02">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80,000.00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077FE">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   </w:t>
            </w:r>
          </w:p>
        </w:tc>
      </w:tr>
      <w:tr w14:paraId="265A4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6D05">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综合行政执法制式服装和标志配发经费</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4FFE">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388,900.00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D01D">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8025">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E9BFD">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388,900.00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AC17">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383,002.10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225AF">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5,897.90 </w:t>
            </w:r>
          </w:p>
        </w:tc>
      </w:tr>
      <w:tr w14:paraId="4A5BD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632B2">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2023年遗属补助和取暖费</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6FDC0">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213,072.00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E5D9">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8962A">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CD8E">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213,072.00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7249">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199,404.00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7CE46">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13,668.00 </w:t>
            </w:r>
          </w:p>
        </w:tc>
      </w:tr>
      <w:tr w14:paraId="00A55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9373B">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高素质人才生活补助</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3C98">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71B5">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9,600.00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7791B">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B708">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9,600.00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F06D">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9,600.00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F37E">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   </w:t>
            </w:r>
          </w:p>
        </w:tc>
      </w:tr>
      <w:tr w14:paraId="35619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C0FA9">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2023年中央财政补助工商行政管理专项经费</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9FC3">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50,000.00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73A7">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C341A">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0A29">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50,000.00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B932">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50,000.00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8B97">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   </w:t>
            </w:r>
          </w:p>
        </w:tc>
      </w:tr>
      <w:tr w14:paraId="3FC66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BF07">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基层市场监管补助资金</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5358A">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63,000.00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B35C">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D349">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12FF">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63,000.00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53C8">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63,000.00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669B6">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   </w:t>
            </w:r>
          </w:p>
        </w:tc>
      </w:tr>
      <w:tr w14:paraId="4917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E5586">
            <w:pPr>
              <w:keepNext w:val="0"/>
              <w:keepLines w:val="0"/>
              <w:widowControl/>
              <w:suppressLineNumbers w:val="0"/>
              <w:jc w:val="left"/>
              <w:textAlignment w:val="center"/>
              <w:outlineLvl w:val="9"/>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目标责任考核奖</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F394">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47445">
            <w:pPr>
              <w:outlineLvl w:val="9"/>
              <w:rPr>
                <w:rFonts w:hint="eastAsia" w:ascii="仿宋" w:hAnsi="仿宋" w:eastAsia="仿宋" w:cs="仿宋"/>
                <w:i w:val="0"/>
                <w:iCs w:val="0"/>
                <w:color w:val="000000"/>
                <w:sz w:val="16"/>
                <w:szCs w:val="16"/>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A376">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15,000.00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32A4">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15,000.00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612E">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15,000.00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7956">
            <w:pPr>
              <w:keepNext w:val="0"/>
              <w:keepLines w:val="0"/>
              <w:widowControl/>
              <w:suppressLineNumbers w:val="0"/>
              <w:jc w:val="right"/>
              <w:textAlignment w:val="center"/>
              <w:outlineLvl w:val="9"/>
              <w:rPr>
                <w:rFonts w:hint="eastAsia" w:ascii="仿宋" w:hAnsi="仿宋" w:eastAsia="仿宋" w:cs="仿宋"/>
                <w:i w:val="0"/>
                <w:iCs w:val="0"/>
                <w:color w:val="000000"/>
                <w:sz w:val="16"/>
                <w:szCs w:val="16"/>
                <w:u w:val="none"/>
              </w:rPr>
            </w:pPr>
            <w:r>
              <w:rPr>
                <w:rFonts w:hint="eastAsia" w:ascii="仿宋" w:hAnsi="仿宋" w:eastAsia="仿宋" w:cs="仿宋"/>
                <w:i w:val="0"/>
                <w:iCs w:val="0"/>
                <w:color w:val="000000"/>
                <w:kern w:val="0"/>
                <w:sz w:val="16"/>
                <w:szCs w:val="16"/>
                <w:u w:val="none"/>
                <w:lang w:val="en-US" w:eastAsia="zh-CN" w:bidi="ar"/>
              </w:rPr>
              <w:t xml:space="preserve"> -   </w:t>
            </w:r>
          </w:p>
        </w:tc>
      </w:tr>
      <w:tr w14:paraId="4DBE2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A864">
            <w:pPr>
              <w:jc w:val="center"/>
              <w:outlineLvl w:val="9"/>
              <w:rPr>
                <w:rFonts w:hint="eastAsia" w:ascii="仿宋" w:hAnsi="仿宋" w:eastAsia="仿宋" w:cs="仿宋"/>
                <w:b/>
                <w:bCs/>
                <w:i w:val="0"/>
                <w:iCs w:val="0"/>
                <w:color w:val="000000"/>
                <w:sz w:val="18"/>
                <w:szCs w:val="18"/>
                <w:u w:val="none"/>
                <w:lang w:val="en-US" w:eastAsia="zh-CN"/>
              </w:rPr>
            </w:pPr>
            <w:r>
              <w:rPr>
                <w:rFonts w:hint="eastAsia" w:ascii="仿宋" w:hAnsi="仿宋" w:eastAsia="仿宋" w:cs="仿宋"/>
                <w:b/>
                <w:bCs/>
                <w:i w:val="0"/>
                <w:iCs w:val="0"/>
                <w:color w:val="000000"/>
                <w:sz w:val="18"/>
                <w:szCs w:val="18"/>
                <w:u w:val="none"/>
                <w:lang w:val="en-US" w:eastAsia="zh-CN"/>
              </w:rPr>
              <w:t>合计</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0559">
            <w:pPr>
              <w:keepNext w:val="0"/>
              <w:keepLines w:val="0"/>
              <w:widowControl/>
              <w:suppressLineNumbers w:val="0"/>
              <w:jc w:val="right"/>
              <w:textAlignment w:val="center"/>
              <w:outlineLvl w:val="9"/>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 xml:space="preserve">22,544,505.92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86A4">
            <w:pPr>
              <w:keepNext w:val="0"/>
              <w:keepLines w:val="0"/>
              <w:widowControl/>
              <w:suppressLineNumbers w:val="0"/>
              <w:jc w:val="right"/>
              <w:textAlignment w:val="center"/>
              <w:outlineLvl w:val="9"/>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 xml:space="preserve">1,198,255.00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A575C">
            <w:pPr>
              <w:keepNext w:val="0"/>
              <w:keepLines w:val="0"/>
              <w:widowControl/>
              <w:suppressLineNumbers w:val="0"/>
              <w:jc w:val="right"/>
              <w:textAlignment w:val="center"/>
              <w:outlineLvl w:val="9"/>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 xml:space="preserve"> 15,000.00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0C995">
            <w:pPr>
              <w:keepNext w:val="0"/>
              <w:keepLines w:val="0"/>
              <w:widowControl/>
              <w:suppressLineNumbers w:val="0"/>
              <w:jc w:val="right"/>
              <w:textAlignment w:val="center"/>
              <w:outlineLvl w:val="9"/>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 xml:space="preserve">23,757,760.92 </w:t>
            </w:r>
          </w:p>
        </w:tc>
        <w:tc>
          <w:tcPr>
            <w:tcW w:w="1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49DF">
            <w:pPr>
              <w:keepNext w:val="0"/>
              <w:keepLines w:val="0"/>
              <w:widowControl/>
              <w:suppressLineNumbers w:val="0"/>
              <w:jc w:val="right"/>
              <w:textAlignment w:val="center"/>
              <w:outlineLvl w:val="9"/>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 xml:space="preserve">23,588,982.18 </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CF3C4">
            <w:pPr>
              <w:keepNext w:val="0"/>
              <w:keepLines w:val="0"/>
              <w:widowControl/>
              <w:suppressLineNumbers w:val="0"/>
              <w:jc w:val="right"/>
              <w:textAlignment w:val="center"/>
              <w:outlineLvl w:val="9"/>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 xml:space="preserve">168,778.74 </w:t>
            </w:r>
          </w:p>
        </w:tc>
      </w:tr>
    </w:tbl>
    <w:p w14:paraId="52A955DF">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2" w:firstLineChars="200"/>
        <w:textAlignment w:val="auto"/>
        <w:outlineLvl w:val="9"/>
        <w:rPr>
          <w:rFonts w:hint="eastAsia" w:ascii="仿宋" w:hAnsi="仿宋" w:eastAsia="仿宋" w:cs="仿宋"/>
          <w:b/>
          <w:bCs/>
          <w:color w:val="000000"/>
          <w:kern w:val="0"/>
          <w:sz w:val="28"/>
          <w:szCs w:val="28"/>
          <w:highlight w:val="none"/>
          <w:shd w:val="clear" w:color="auto" w:fill="FFFFFF"/>
          <w:lang w:eastAsia="zh-CN"/>
        </w:rPr>
      </w:pPr>
      <w:r>
        <w:rPr>
          <w:rFonts w:hint="eastAsia" w:ascii="仿宋" w:hAnsi="仿宋" w:eastAsia="仿宋" w:cs="仿宋"/>
          <w:b/>
          <w:bCs/>
          <w:color w:val="000000"/>
          <w:kern w:val="0"/>
          <w:sz w:val="28"/>
          <w:szCs w:val="28"/>
          <w:highlight w:val="none"/>
          <w:shd w:val="clear" w:color="auto" w:fill="FFFFFF"/>
          <w:lang w:val="en-US" w:eastAsia="zh-CN"/>
        </w:rPr>
        <w:t>4.年末结转结余资金</w:t>
      </w:r>
      <w:r>
        <w:rPr>
          <w:rFonts w:hint="eastAsia" w:ascii="仿宋" w:hAnsi="仿宋" w:eastAsia="仿宋" w:cs="仿宋"/>
          <w:b/>
          <w:bCs/>
          <w:color w:val="000000"/>
          <w:kern w:val="0"/>
          <w:sz w:val="28"/>
          <w:szCs w:val="28"/>
          <w:highlight w:val="none"/>
          <w:shd w:val="clear" w:color="auto" w:fill="FFFFFF"/>
        </w:rPr>
        <w:t>情况</w:t>
      </w:r>
    </w:p>
    <w:p w14:paraId="1575E59E">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0" w:firstLineChars="200"/>
        <w:textAlignment w:val="auto"/>
        <w:outlineLvl w:val="9"/>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永济市市场监督管理局2023</w:t>
      </w:r>
      <w:r>
        <w:rPr>
          <w:rFonts w:hint="eastAsia" w:ascii="仿宋" w:hAnsi="仿宋" w:eastAsia="仿宋" w:cs="仿宋"/>
          <w:color w:val="000000"/>
          <w:kern w:val="0"/>
          <w:sz w:val="28"/>
          <w:szCs w:val="28"/>
          <w:highlight w:val="none"/>
          <w:shd w:val="clear" w:color="auto" w:fill="FFFFFF"/>
          <w:lang w:val="en-US" w:eastAsia="zh-CN"/>
        </w:rPr>
        <w:t>年预算</w:t>
      </w:r>
      <w:r>
        <w:rPr>
          <w:rFonts w:hint="eastAsia" w:ascii="仿宋" w:hAnsi="仿宋" w:eastAsia="仿宋" w:cs="仿宋"/>
          <w:b w:val="0"/>
          <w:bCs w:val="0"/>
          <w:color w:val="000000"/>
          <w:kern w:val="0"/>
          <w:sz w:val="28"/>
          <w:szCs w:val="28"/>
          <w:highlight w:val="none"/>
          <w:shd w:val="clear" w:color="auto" w:fill="FFFFFF"/>
          <w:lang w:val="en-US" w:eastAsia="zh-CN"/>
        </w:rPr>
        <w:t>2,254.45</w:t>
      </w:r>
      <w:r>
        <w:rPr>
          <w:rFonts w:hint="eastAsia" w:ascii="仿宋" w:hAnsi="仿宋" w:eastAsia="仿宋" w:cs="仿宋"/>
          <w:color w:val="000000"/>
          <w:kern w:val="0"/>
          <w:sz w:val="28"/>
          <w:szCs w:val="28"/>
          <w:highlight w:val="none"/>
          <w:shd w:val="clear" w:color="auto" w:fill="FFFFFF"/>
          <w:lang w:val="en-US" w:eastAsia="zh-CN"/>
        </w:rPr>
        <w:t>万元，调整后决算收入</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color w:val="000000"/>
          <w:kern w:val="0"/>
          <w:sz w:val="28"/>
          <w:szCs w:val="28"/>
          <w:highlight w:val="none"/>
          <w:shd w:val="clear" w:color="auto" w:fill="FFFFFF"/>
          <w:lang w:val="en-US" w:eastAsia="zh-CN"/>
        </w:rPr>
        <w:t>万元，决算支出</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color w:val="000000"/>
          <w:kern w:val="0"/>
          <w:sz w:val="28"/>
          <w:szCs w:val="28"/>
          <w:highlight w:val="none"/>
          <w:shd w:val="clear" w:color="auto" w:fill="FFFFFF"/>
          <w:lang w:val="en-US" w:eastAsia="zh-CN"/>
        </w:rPr>
        <w:t>万元，本年度末结余资金16.88万元，年末结余资金财政已收回。</w:t>
      </w:r>
    </w:p>
    <w:p w14:paraId="7CBA65F2">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2" w:firstLineChars="200"/>
        <w:textAlignment w:val="auto"/>
        <w:outlineLvl w:val="9"/>
        <w:rPr>
          <w:rFonts w:hint="eastAsia" w:ascii="仿宋" w:hAnsi="仿宋" w:eastAsia="仿宋" w:cs="仿宋"/>
          <w:b/>
          <w:bCs/>
          <w:color w:val="000000"/>
          <w:kern w:val="0"/>
          <w:sz w:val="28"/>
          <w:szCs w:val="28"/>
          <w:highlight w:val="none"/>
          <w:shd w:val="clear" w:color="auto" w:fill="FFFFFF"/>
          <w:lang w:val="en-US" w:eastAsia="zh-CN"/>
        </w:rPr>
      </w:pPr>
      <w:r>
        <w:rPr>
          <w:rFonts w:hint="eastAsia" w:ascii="仿宋" w:hAnsi="仿宋" w:eastAsia="仿宋" w:cs="仿宋"/>
          <w:b/>
          <w:bCs/>
          <w:color w:val="000000"/>
          <w:kern w:val="0"/>
          <w:sz w:val="28"/>
          <w:szCs w:val="28"/>
          <w:highlight w:val="none"/>
          <w:shd w:val="clear" w:color="auto" w:fill="FFFFFF"/>
          <w:lang w:val="en-US" w:eastAsia="zh-CN"/>
        </w:rPr>
        <w:t>5.财务收支分析</w:t>
      </w:r>
    </w:p>
    <w:p w14:paraId="3AD1BB65">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bookmarkStart w:id="51" w:name="_Toc32599"/>
      <w:r>
        <w:rPr>
          <w:rFonts w:hint="eastAsia" w:ascii="仿宋" w:hAnsi="仿宋" w:eastAsia="仿宋" w:cs="仿宋"/>
          <w:b w:val="0"/>
          <w:bCs w:val="0"/>
          <w:sz w:val="28"/>
          <w:szCs w:val="36"/>
          <w:lang w:val="en-US" w:eastAsia="zh-CN"/>
        </w:rPr>
        <w:t>2023年收入预算为2254.45万元，比上年收入预算2112.5万元增长141.95万元，增长6.71%。支出预算为2254.45万元，比上年增长6.71%，其中工资福利支出为1742.67万元，比上年增长12.9%，原因是本年度单位</w:t>
      </w:r>
      <w:r>
        <w:rPr>
          <w:rFonts w:hint="eastAsia" w:ascii="仿宋" w:hAnsi="仿宋" w:eastAsia="仿宋" w:cs="仿宋"/>
          <w:b w:val="0"/>
          <w:bCs w:val="0"/>
          <w:color w:val="auto"/>
          <w:sz w:val="28"/>
          <w:szCs w:val="36"/>
          <w:lang w:val="en-US" w:eastAsia="zh-CN"/>
        </w:rPr>
        <w:t>通过招录公务员和招聘事业人员，在职人员增加5名，且工资标准提高，新增了基础绩效奖等工资项目；对个人和家庭的补助为55.91万元，比上年减少3.58%，原因是退休人员自然减员5人，退休费及基础绩效奖减少，独生子女费减少；商品服务支出为336.37万元,较上年增长150.84%，原因是由于招录公务员和招聘事业人员，单位人员增加5人，导致公用经费、工会经费、福利费和其他交通费用增加，而且2023年预算根据财政局安排将单位业务经费纳入公用经费项目预算，导致商品和服务支出增加较多。项目支出为119.5万元，比上年377万元减少257.5万元，下降68.3%，原因是往年的其他运转类项目纳入公用经费，以及食品安全抽检费用不纳入预算，导致项目支出减少。支出预算为</w:t>
      </w:r>
      <w:r>
        <w:rPr>
          <w:rFonts w:hint="eastAsia" w:ascii="仿宋" w:hAnsi="仿宋" w:eastAsia="仿宋" w:cs="仿宋"/>
          <w:b w:val="0"/>
          <w:bCs w:val="0"/>
          <w:color w:val="auto"/>
          <w:kern w:val="0"/>
          <w:sz w:val="28"/>
          <w:szCs w:val="28"/>
          <w:highlight w:val="none"/>
          <w:shd w:val="clear" w:color="auto" w:fill="FFFFFF"/>
          <w:lang w:val="en-US" w:eastAsia="zh-CN"/>
        </w:rPr>
        <w:t>2,358.90</w:t>
      </w:r>
      <w:r>
        <w:rPr>
          <w:rFonts w:hint="eastAsia" w:ascii="仿宋" w:hAnsi="仿宋" w:eastAsia="仿宋" w:cs="仿宋"/>
          <w:b w:val="0"/>
          <w:bCs w:val="0"/>
          <w:color w:val="auto"/>
          <w:sz w:val="28"/>
          <w:szCs w:val="36"/>
          <w:lang w:val="en-US" w:eastAsia="zh-CN"/>
        </w:rPr>
        <w:t>万元，比上年减少5.46%，原因是食品监督抽检项目不再纳入2023年预算。</w:t>
      </w:r>
    </w:p>
    <w:p w14:paraId="221CAA4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bookmarkStart w:id="52" w:name="_Toc11753"/>
      <w:bookmarkStart w:id="53" w:name="_Toc12527"/>
      <w:r>
        <w:rPr>
          <w:rFonts w:hint="eastAsia" w:ascii="仿宋" w:hAnsi="仿宋" w:eastAsia="仿宋" w:cs="仿宋"/>
          <w:b/>
          <w:bCs/>
          <w:kern w:val="2"/>
          <w:sz w:val="28"/>
          <w:szCs w:val="28"/>
          <w:highlight w:val="none"/>
          <w:lang w:val="en-US" w:eastAsia="zh-CN" w:bidi="ar-SA"/>
        </w:rPr>
        <w:t>（三）部门整体绩效目标</w:t>
      </w:r>
      <w:bookmarkEnd w:id="51"/>
      <w:bookmarkEnd w:id="52"/>
      <w:bookmarkEnd w:id="53"/>
    </w:p>
    <w:p w14:paraId="6626BC49">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b/>
          <w:bCs w:val="0"/>
          <w:sz w:val="28"/>
          <w:szCs w:val="28"/>
          <w:highlight w:val="none"/>
          <w:lang w:val="en-US" w:eastAsia="zh-CN"/>
        </w:rPr>
      </w:pPr>
      <w:bookmarkStart w:id="54" w:name="_Toc31823"/>
      <w:bookmarkStart w:id="55" w:name="_Toc10871"/>
      <w:r>
        <w:rPr>
          <w:rFonts w:hint="eastAsia" w:ascii="仿宋" w:hAnsi="仿宋" w:eastAsia="仿宋" w:cs="仿宋"/>
          <w:b/>
          <w:bCs w:val="0"/>
          <w:sz w:val="28"/>
          <w:szCs w:val="28"/>
          <w:highlight w:val="none"/>
          <w:lang w:val="en-US" w:eastAsia="zh-CN"/>
        </w:rPr>
        <w:t>1.总体目标</w:t>
      </w:r>
      <w:bookmarkEnd w:id="54"/>
      <w:bookmarkEnd w:id="55"/>
    </w:p>
    <w:p w14:paraId="2C8384BD">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sz w:val="28"/>
          <w:szCs w:val="28"/>
          <w:highlight w:val="none"/>
          <w:lang w:val="en-US" w:eastAsia="zh-CN"/>
        </w:rPr>
      </w:pPr>
      <w:bookmarkStart w:id="56" w:name="_Toc14259"/>
      <w:bookmarkStart w:id="57" w:name="_Toc28160"/>
      <w:r>
        <w:rPr>
          <w:rFonts w:hint="eastAsia" w:ascii="仿宋" w:hAnsi="仿宋" w:eastAsia="仿宋" w:cs="仿宋"/>
          <w:sz w:val="28"/>
          <w:szCs w:val="28"/>
          <w:highlight w:val="none"/>
          <w:lang w:val="en-US" w:eastAsia="zh-CN"/>
        </w:rPr>
        <w:t>扎实推进市场监管领域各项重点工作任务，充分发挥综合协调作用，深入推进隐患排查治理，坚决扛起防范化解重大风险政治任务。围绕加快转型、振兴崛起，紧盯构建“543”现代产业矩阵，聚焦质量强市、服务优商、安全兴业、监管守正、作风务实5个工作路径，持续提升监管效能，优化营商环境，激发市场活力。为全市人民群众提供安全放心的消费环境，为各类市场主体提供安全可靠的营商环境，最大程度为我市经济社会高质量发展贡献市场监管部门的力量。</w:t>
      </w:r>
    </w:p>
    <w:p w14:paraId="37CED8C5">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highlight w:val="none"/>
          <w:lang w:val="en-US" w:eastAsia="zh-CN"/>
        </w:rPr>
      </w:pPr>
      <w:bookmarkStart w:id="58" w:name="_Toc5303"/>
      <w:r>
        <w:rPr>
          <w:rFonts w:hint="eastAsia" w:ascii="仿宋" w:hAnsi="仿宋" w:eastAsia="仿宋" w:cs="仿宋"/>
          <w:b/>
          <w:bCs w:val="0"/>
          <w:sz w:val="28"/>
          <w:szCs w:val="28"/>
          <w:highlight w:val="none"/>
          <w:lang w:val="en-US" w:eastAsia="zh-CN"/>
        </w:rPr>
        <w:t>2.2023年绩效目标</w:t>
      </w:r>
      <w:bookmarkEnd w:id="56"/>
      <w:bookmarkEnd w:id="57"/>
      <w:bookmarkEnd w:id="58"/>
    </w:p>
    <w:p w14:paraId="5BA5786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bookmarkStart w:id="59" w:name="_Toc32212"/>
      <w:r>
        <w:rPr>
          <w:rFonts w:hint="eastAsia" w:ascii="仿宋" w:hAnsi="仿宋" w:eastAsia="仿宋" w:cs="仿宋"/>
          <w:kern w:val="2"/>
          <w:sz w:val="28"/>
          <w:szCs w:val="28"/>
          <w:highlight w:val="none"/>
          <w:lang w:val="en-US" w:eastAsia="zh-CN" w:bidi="ar-SA"/>
        </w:rPr>
        <w:t>（1）进一步完善市场体系建设工作，优化相关建议。</w:t>
      </w:r>
    </w:p>
    <w:p w14:paraId="7CF4388E">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（2）多措并举提升市场主体推进工作。</w:t>
      </w:r>
    </w:p>
    <w:p w14:paraId="44EB756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（3）对市场主体准入、生产、经营、交易中的有关违法行为和案件进行查处和指导。</w:t>
      </w:r>
    </w:p>
    <w:p w14:paraId="13D0A98C">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（4）统筹推进竞争政策实施。</w:t>
      </w:r>
    </w:p>
    <w:p w14:paraId="11EEBF3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（5）依法查处价格收费违法违规，无照生产经营等行为。</w:t>
      </w:r>
    </w:p>
    <w:p w14:paraId="40AA9E69">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（6）统筹基础设施建设与应用，会同有关部门组织实施质量监理制度。</w:t>
      </w:r>
    </w:p>
    <w:p w14:paraId="453609C7">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（7）配合上级部门实施质量分级制度、质量安全追溯制度。</w:t>
      </w:r>
    </w:p>
    <w:p w14:paraId="5E54EF8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（8）综合管理全市特种设备安全监察、监督工作，监督检查高耗能特种设备节能标准等</w:t>
      </w:r>
    </w:p>
    <w:p w14:paraId="52F90A1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（9）建立健全全市食品安全重要信息直报制度，承担永济市食品安全委员会工作。</w:t>
      </w:r>
    </w:p>
    <w:p w14:paraId="3428ABA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（10）贯彻执行相关法律、法规和规章，组织起草相关政策性规定并监督实施，配合有关部门实施国家基本药物制度。</w:t>
      </w:r>
    </w:p>
    <w:p w14:paraId="47EE42C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（11）推行法定计量单位和国家计量制度，管理全市计量器具及量值传递和比对。</w:t>
      </w:r>
    </w:p>
    <w:p w14:paraId="370A6EC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（12）贯彻实施国家标准、行业标准和地方标准的监督，按规定承担技术性贸易措施有关工作。</w:t>
      </w:r>
    </w:p>
    <w:p w14:paraId="69C80D5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（13）完善组织实施国家统一的认证认可和合格评定监督管理制度。</w:t>
      </w:r>
    </w:p>
    <w:p w14:paraId="7B8291F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（14）指导和监督全市知识产权保护工作，促进知识产权运用。</w:t>
      </w:r>
    </w:p>
    <w:p w14:paraId="319BF23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lang w:val="en-US" w:eastAsia="zh-CN"/>
        </w:rPr>
      </w:pPr>
      <w:r>
        <w:rPr>
          <w:rFonts w:hint="eastAsia" w:ascii="仿宋" w:hAnsi="仿宋" w:eastAsia="仿宋" w:cs="仿宋"/>
          <w:kern w:val="2"/>
          <w:sz w:val="28"/>
          <w:szCs w:val="28"/>
          <w:highlight w:val="none"/>
          <w:lang w:val="en-US" w:eastAsia="zh-CN" w:bidi="ar-SA"/>
        </w:rPr>
        <w:t>（15）全面做好相关工作。</w:t>
      </w:r>
    </w:p>
    <w:p w14:paraId="067B9640">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bCs/>
          <w:sz w:val="28"/>
          <w:szCs w:val="28"/>
          <w:highlight w:val="none"/>
          <w:lang w:val="en-US" w:eastAsia="zh-CN"/>
        </w:rPr>
      </w:pPr>
      <w:bookmarkStart w:id="60" w:name="_Toc8948"/>
      <w:bookmarkStart w:id="61" w:name="_Toc26639"/>
      <w:r>
        <w:rPr>
          <w:rFonts w:hint="eastAsia" w:ascii="仿宋" w:hAnsi="仿宋" w:eastAsia="仿宋" w:cs="仿宋"/>
          <w:b/>
          <w:bCs/>
          <w:sz w:val="28"/>
          <w:szCs w:val="28"/>
          <w:highlight w:val="none"/>
          <w:lang w:val="en-US" w:eastAsia="zh-CN"/>
        </w:rPr>
        <w:t>二、绩效评价工作开展情况</w:t>
      </w:r>
      <w:bookmarkEnd w:id="59"/>
      <w:bookmarkEnd w:id="60"/>
      <w:bookmarkEnd w:id="61"/>
    </w:p>
    <w:p w14:paraId="12A7C3C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sz w:val="28"/>
          <w:szCs w:val="28"/>
          <w:highlight w:val="none"/>
          <w:lang w:eastAsia="zh-CN"/>
        </w:rPr>
      </w:pPr>
      <w:bookmarkStart w:id="62" w:name="_Toc1852"/>
      <w:bookmarkStart w:id="63" w:name="_Toc1340"/>
      <w:bookmarkStart w:id="64" w:name="_Toc23969_WPSOffice_Level2"/>
      <w:bookmarkStart w:id="65" w:name="_Toc9883_WPSOffice_Level2"/>
      <w:bookmarkStart w:id="66" w:name="_Toc12"/>
      <w:bookmarkStart w:id="67" w:name="_Toc664_WPSOffice_Level2"/>
      <w:bookmarkStart w:id="68" w:name="_Toc8672_WPSOffice_Level2"/>
      <w:bookmarkStart w:id="69" w:name="_Toc23113"/>
      <w:bookmarkStart w:id="70" w:name="_Toc910"/>
      <w:bookmarkStart w:id="71" w:name="_Toc3613_WPSOffice_Level2"/>
      <w:r>
        <w:rPr>
          <w:rFonts w:hint="eastAsia" w:ascii="仿宋" w:hAnsi="仿宋" w:eastAsia="仿宋" w:cs="仿宋"/>
          <w:b/>
          <w:sz w:val="28"/>
          <w:szCs w:val="28"/>
          <w:highlight w:val="none"/>
          <w:lang w:eastAsia="zh-CN"/>
        </w:rPr>
        <w:t>（一）绩效评价的目的和依据</w:t>
      </w:r>
      <w:bookmarkEnd w:id="62"/>
      <w:bookmarkEnd w:id="63"/>
      <w:bookmarkEnd w:id="64"/>
      <w:bookmarkEnd w:id="65"/>
      <w:bookmarkEnd w:id="66"/>
      <w:bookmarkEnd w:id="67"/>
      <w:bookmarkEnd w:id="68"/>
      <w:bookmarkEnd w:id="69"/>
      <w:bookmarkEnd w:id="70"/>
      <w:bookmarkEnd w:id="71"/>
    </w:p>
    <w:p w14:paraId="1D400776">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b/>
          <w:bCs w:val="0"/>
          <w:sz w:val="28"/>
          <w:szCs w:val="28"/>
          <w:highlight w:val="none"/>
          <w:lang w:val="en-US" w:eastAsia="zh-CN"/>
        </w:rPr>
      </w:pPr>
      <w:bookmarkStart w:id="72" w:name="_Toc30571"/>
      <w:r>
        <w:rPr>
          <w:rFonts w:hint="eastAsia" w:ascii="仿宋" w:hAnsi="仿宋" w:eastAsia="仿宋" w:cs="仿宋"/>
          <w:b/>
          <w:bCs w:val="0"/>
          <w:sz w:val="28"/>
          <w:szCs w:val="28"/>
          <w:highlight w:val="none"/>
          <w:lang w:val="en-US" w:eastAsia="zh-CN"/>
        </w:rPr>
        <w:t>1.绩效评价的目的</w:t>
      </w:r>
      <w:bookmarkEnd w:id="72"/>
    </w:p>
    <w:p w14:paraId="5D9A3FC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财政支出绩效评价旨在通过评价改善预算部门的财政支出管理，提高财政资金使用效益，强化支出责任和效率意识，优化资源配置及提高公共服务水平。本次绩效评价根据《中华人民共和国预算法》《中共中央 国务院关于全面实施预算绩效管理的意见》《财政部关于印发&lt;项目支出绩效评价管理办法&gt;的通知》(财预〔2020〕10号)、《永济市财政局202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年重点绩效评价实施方案》（永财绩〔202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eastAsia="zh-CN"/>
        </w:rPr>
        <w:t>号）等文件的相关规定，客观、公正、全面地评价永济市市场监督管理局2023年度整体支出情况，总结经验，发现问题，并提出改进的相关措施和建议。</w:t>
      </w:r>
    </w:p>
    <w:p w14:paraId="28DE4F02">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9"/>
        <w:rPr>
          <w:rFonts w:hint="eastAsia" w:ascii="仿宋" w:hAnsi="仿宋" w:eastAsia="仿宋" w:cs="仿宋"/>
          <w:b/>
          <w:bCs w:val="0"/>
          <w:sz w:val="28"/>
          <w:szCs w:val="28"/>
          <w:lang w:eastAsia="zh-CN"/>
        </w:rPr>
      </w:pPr>
      <w:r>
        <w:rPr>
          <w:rFonts w:hint="eastAsia" w:ascii="仿宋" w:hAnsi="仿宋" w:eastAsia="仿宋" w:cs="仿宋"/>
          <w:b/>
          <w:bCs w:val="0"/>
          <w:sz w:val="28"/>
          <w:szCs w:val="28"/>
          <w:lang w:eastAsia="zh-CN"/>
        </w:rPr>
        <w:t>2.绩效评价依据</w:t>
      </w:r>
    </w:p>
    <w:p w14:paraId="602B5E0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73" w:name="_Toc69"/>
      <w:bookmarkStart w:id="74" w:name="_Toc26346"/>
      <w:r>
        <w:rPr>
          <w:rFonts w:hint="eastAsia" w:ascii="仿宋" w:hAnsi="仿宋" w:eastAsia="仿宋" w:cs="仿宋"/>
          <w:sz w:val="28"/>
          <w:szCs w:val="28"/>
          <w:highlight w:val="none"/>
        </w:rPr>
        <w:t>（1）《中华人民共和国预算法（2018年修正）》</w:t>
      </w:r>
    </w:p>
    <w:p w14:paraId="18D1A57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eastAsia="zh-CN"/>
        </w:rPr>
        <w:t>中共中央、国务院</w:t>
      </w:r>
      <w:r>
        <w:rPr>
          <w:rFonts w:hint="eastAsia" w:ascii="仿宋" w:hAnsi="仿宋" w:eastAsia="仿宋" w:cs="仿宋"/>
          <w:sz w:val="28"/>
          <w:szCs w:val="28"/>
          <w:highlight w:val="none"/>
        </w:rPr>
        <w:t>关于全面实施预算绩效管理的意见（中发〔2018〕34号）</w:t>
      </w:r>
    </w:p>
    <w:p w14:paraId="7A02A2E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（3）财政部关于贯彻落实《中共中央国务院关于全面实施预算绩效管理的意见》的通知（财预〔2018〕167号）</w:t>
      </w:r>
    </w:p>
    <w:p w14:paraId="2248282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（4）《关于印发&lt;项目支出绩效评价管理办法&gt;的通知》（财预〔2020〕10号）</w:t>
      </w:r>
    </w:p>
    <w:p w14:paraId="343946D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（5）《中央部门项目支出核心绩效目标和指标设置及取值指引（试行）》（财预〔2021〕101号）</w:t>
      </w:r>
    </w:p>
    <w:p w14:paraId="2173681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（6）《财政专项资金管理办法》（晋财省直预〔2021〕9号）</w:t>
      </w:r>
    </w:p>
    <w:p w14:paraId="403A0C7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（7）中国注册会计师协会关于印发《会计师事务所财政支出绩效评价业务指引》的通知（会协〔2016〕10号）</w:t>
      </w:r>
    </w:p>
    <w:p w14:paraId="230A97A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（8）《中国注册会计师执业准则》</w:t>
      </w:r>
    </w:p>
    <w:p w14:paraId="7661384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（9）《政府会计准则》及《政府会计制度》</w:t>
      </w:r>
    </w:p>
    <w:p w14:paraId="1E2263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（10）《财政部关于加强专项资金财政财务管理与监督的通知》</w:t>
      </w:r>
    </w:p>
    <w:p w14:paraId="697452F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（11）《行政单位会计制度》及《事业单位会计准则》</w:t>
      </w:r>
    </w:p>
    <w:p w14:paraId="7A125BE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（12）《永济市财政局</w:t>
      </w:r>
      <w:r>
        <w:rPr>
          <w:rFonts w:hint="eastAsia" w:ascii="仿宋" w:hAnsi="仿宋" w:eastAsia="仿宋" w:cs="仿宋"/>
          <w:sz w:val="28"/>
          <w:szCs w:val="28"/>
          <w:highlight w:val="none"/>
          <w:lang w:eastAsia="zh-CN"/>
        </w:rPr>
        <w:t>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lang w:eastAsia="zh-CN"/>
        </w:rPr>
        <w:t>年</w:t>
      </w:r>
      <w:r>
        <w:rPr>
          <w:rFonts w:hint="eastAsia" w:ascii="仿宋" w:hAnsi="仿宋" w:eastAsia="仿宋" w:cs="仿宋"/>
          <w:sz w:val="28"/>
          <w:szCs w:val="28"/>
          <w:highlight w:val="none"/>
        </w:rPr>
        <w:t>重点绩效评价实施方案》（永财字〔202</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号）</w:t>
      </w:r>
    </w:p>
    <w:p w14:paraId="3B80E06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（13）《关于进一步加强政府非税收入管理的通知》（永政办发〔2020〕18号）</w:t>
      </w:r>
    </w:p>
    <w:p w14:paraId="074800E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（14）《行政单位资产配置标准（试行）》（永财字〔2017〕97号）</w:t>
      </w:r>
    </w:p>
    <w:p w14:paraId="1C5609C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（15）《永济市</w:t>
      </w:r>
      <w:r>
        <w:rPr>
          <w:rFonts w:hint="eastAsia" w:ascii="仿宋" w:hAnsi="仿宋" w:eastAsia="仿宋" w:cs="仿宋"/>
          <w:sz w:val="28"/>
          <w:szCs w:val="28"/>
          <w:highlight w:val="none"/>
          <w:lang w:val="en-US" w:eastAsia="zh-CN"/>
        </w:rPr>
        <w:t>市场监督管理局</w:t>
      </w:r>
      <w:r>
        <w:rPr>
          <w:rFonts w:hint="eastAsia" w:ascii="仿宋" w:hAnsi="仿宋" w:eastAsia="仿宋" w:cs="仿宋"/>
          <w:sz w:val="28"/>
          <w:szCs w:val="28"/>
          <w:highlight w:val="none"/>
        </w:rPr>
        <w:t>职能配置、内设机构和人员编制规定》（永</w:t>
      </w:r>
      <w:r>
        <w:rPr>
          <w:rFonts w:hint="eastAsia" w:ascii="仿宋" w:hAnsi="仿宋" w:eastAsia="仿宋" w:cs="仿宋"/>
          <w:sz w:val="28"/>
          <w:szCs w:val="28"/>
          <w:highlight w:val="none"/>
          <w:lang w:val="en-US" w:eastAsia="zh-CN"/>
        </w:rPr>
        <w:t>编办</w:t>
      </w:r>
      <w:r>
        <w:rPr>
          <w:rFonts w:hint="eastAsia" w:ascii="仿宋" w:hAnsi="仿宋" w:eastAsia="仿宋" w:cs="仿宋"/>
          <w:sz w:val="28"/>
          <w:szCs w:val="28"/>
          <w:highlight w:val="none"/>
        </w:rPr>
        <w:t>字〔</w:t>
      </w:r>
      <w:r>
        <w:rPr>
          <w:rFonts w:hint="eastAsia" w:ascii="仿宋" w:hAnsi="仿宋" w:eastAsia="仿宋" w:cs="仿宋"/>
          <w:sz w:val="28"/>
          <w:szCs w:val="28"/>
          <w:highlight w:val="none"/>
          <w:lang w:val="en-US" w:eastAsia="zh-CN"/>
        </w:rPr>
        <w:t>2021</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26</w:t>
      </w:r>
      <w:r>
        <w:rPr>
          <w:rFonts w:hint="eastAsia" w:ascii="仿宋" w:hAnsi="仿宋" w:eastAsia="仿宋" w:cs="仿宋"/>
          <w:sz w:val="28"/>
          <w:szCs w:val="28"/>
          <w:highlight w:val="none"/>
        </w:rPr>
        <w:t>号）</w:t>
      </w:r>
    </w:p>
    <w:p w14:paraId="20B2213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（16）永济市市场监督管理局2023年工作总结</w:t>
      </w:r>
    </w:p>
    <w:p w14:paraId="5A16F9A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3年永济市市场监督管理局述职报告汇编</w:t>
      </w:r>
    </w:p>
    <w:p w14:paraId="5212ED5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（18）永济市市场监督管理局部门管理制度汇编</w:t>
      </w:r>
    </w:p>
    <w:p w14:paraId="65DDDD3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）其他有关的</w:t>
      </w:r>
      <w:r>
        <w:rPr>
          <w:rFonts w:hint="eastAsia" w:ascii="仿宋" w:hAnsi="仿宋" w:eastAsia="仿宋" w:cs="仿宋"/>
          <w:sz w:val="28"/>
          <w:szCs w:val="28"/>
          <w:highlight w:val="none"/>
          <w:lang w:eastAsia="zh-CN"/>
        </w:rPr>
        <w:t>法律法规、</w:t>
      </w:r>
      <w:r>
        <w:rPr>
          <w:rFonts w:hint="eastAsia" w:ascii="仿宋" w:hAnsi="仿宋" w:eastAsia="仿宋" w:cs="仿宋"/>
          <w:sz w:val="28"/>
          <w:szCs w:val="28"/>
          <w:highlight w:val="none"/>
        </w:rPr>
        <w:t>规章</w:t>
      </w:r>
      <w:r>
        <w:rPr>
          <w:rFonts w:hint="eastAsia" w:ascii="仿宋" w:hAnsi="仿宋" w:eastAsia="仿宋" w:cs="仿宋"/>
          <w:sz w:val="28"/>
          <w:szCs w:val="28"/>
          <w:highlight w:val="none"/>
          <w:lang w:val="en-US" w:eastAsia="zh-CN"/>
        </w:rPr>
        <w:t>制度</w:t>
      </w:r>
      <w:r>
        <w:rPr>
          <w:rFonts w:hint="eastAsia" w:ascii="仿宋" w:hAnsi="仿宋" w:eastAsia="仿宋" w:cs="仿宋"/>
          <w:sz w:val="28"/>
          <w:szCs w:val="28"/>
          <w:highlight w:val="none"/>
        </w:rPr>
        <w:t>、政策文件</w:t>
      </w:r>
    </w:p>
    <w:p w14:paraId="04D641F5">
      <w:pPr>
        <w:keepNext w:val="0"/>
        <w:keepLines w:val="0"/>
        <w:pageBreakBefore w:val="0"/>
        <w:widowControl w:val="0"/>
        <w:kinsoku/>
        <w:wordWrap/>
        <w:overflowPunct/>
        <w:topLinePunct w:val="0"/>
        <w:autoSpaceDE/>
        <w:autoSpaceDN/>
        <w:bidi w:val="0"/>
        <w:adjustRightInd/>
        <w:snapToGrid/>
        <w:spacing w:line="560" w:lineRule="exact"/>
        <w:ind w:firstLine="691"/>
        <w:textAlignment w:val="auto"/>
        <w:outlineLvl w:val="1"/>
        <w:rPr>
          <w:rFonts w:hint="eastAsia" w:ascii="仿宋" w:hAnsi="仿宋" w:eastAsia="仿宋" w:cs="仿宋"/>
          <w:b/>
          <w:sz w:val="28"/>
          <w:szCs w:val="28"/>
          <w:highlight w:val="none"/>
          <w:lang w:eastAsia="zh-CN"/>
        </w:rPr>
      </w:pPr>
      <w:bookmarkStart w:id="75" w:name="_Toc3659"/>
      <w:bookmarkStart w:id="76" w:name="_Toc7644"/>
      <w:r>
        <w:rPr>
          <w:rFonts w:hint="eastAsia" w:ascii="仿宋" w:hAnsi="仿宋" w:eastAsia="仿宋" w:cs="仿宋"/>
          <w:b/>
          <w:sz w:val="28"/>
          <w:szCs w:val="28"/>
          <w:highlight w:val="none"/>
          <w:lang w:eastAsia="zh-CN"/>
        </w:rPr>
        <w:t>（二）绩效评价的对象和范围</w:t>
      </w:r>
      <w:bookmarkEnd w:id="73"/>
      <w:bookmarkEnd w:id="74"/>
      <w:bookmarkEnd w:id="75"/>
      <w:bookmarkEnd w:id="76"/>
    </w:p>
    <w:p w14:paraId="75268CBF">
      <w:pPr>
        <w:keepNext w:val="0"/>
        <w:keepLines w:val="0"/>
        <w:pageBreakBefore w:val="0"/>
        <w:widowControl w:val="0"/>
        <w:kinsoku/>
        <w:wordWrap/>
        <w:overflowPunct/>
        <w:topLinePunct w:val="0"/>
        <w:autoSpaceDE/>
        <w:autoSpaceDN/>
        <w:bidi w:val="0"/>
        <w:adjustRightInd/>
        <w:snapToGrid/>
        <w:spacing w:line="560" w:lineRule="exact"/>
        <w:ind w:firstLine="691" w:firstLineChars="246"/>
        <w:textAlignment w:val="auto"/>
        <w:outlineLvl w:val="9"/>
        <w:rPr>
          <w:rFonts w:hint="eastAsia" w:ascii="仿宋" w:hAnsi="仿宋" w:eastAsia="仿宋" w:cs="仿宋"/>
          <w:b/>
          <w:bCs/>
          <w:sz w:val="28"/>
          <w:szCs w:val="28"/>
          <w:highlight w:val="none"/>
        </w:rPr>
      </w:pPr>
      <w:bookmarkStart w:id="77" w:name="_Toc7888"/>
      <w:bookmarkStart w:id="78" w:name="_Toc25256"/>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lang w:val="en-US" w:eastAsia="zh-CN"/>
        </w:rPr>
        <w:t>.</w:t>
      </w:r>
      <w:r>
        <w:rPr>
          <w:rFonts w:hint="eastAsia" w:ascii="仿宋" w:hAnsi="仿宋" w:eastAsia="仿宋" w:cs="仿宋"/>
          <w:b/>
          <w:bCs/>
          <w:sz w:val="28"/>
          <w:szCs w:val="28"/>
          <w:highlight w:val="none"/>
        </w:rPr>
        <w:t>绩效评价对象</w:t>
      </w:r>
      <w:bookmarkEnd w:id="77"/>
      <w:bookmarkEnd w:id="78"/>
    </w:p>
    <w:p w14:paraId="372781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本次绩效评价对象为</w:t>
      </w:r>
      <w:r>
        <w:rPr>
          <w:rFonts w:hint="eastAsia" w:ascii="仿宋" w:hAnsi="仿宋" w:eastAsia="仿宋" w:cs="仿宋"/>
          <w:sz w:val="28"/>
          <w:szCs w:val="28"/>
          <w:highlight w:val="none"/>
          <w:lang w:eastAsia="zh-CN"/>
        </w:rPr>
        <w:t>永济市市场监督管理局</w:t>
      </w:r>
      <w:r>
        <w:rPr>
          <w:rFonts w:hint="eastAsia" w:ascii="仿宋" w:hAnsi="仿宋" w:eastAsia="仿宋" w:cs="仿宋"/>
          <w:sz w:val="28"/>
          <w:szCs w:val="28"/>
          <w:highlight w:val="none"/>
          <w:lang w:val="en-US" w:eastAsia="zh-CN"/>
        </w:rPr>
        <w:t>部门整体</w:t>
      </w:r>
    </w:p>
    <w:p w14:paraId="7C4F73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绩效评价范围</w:t>
      </w:r>
    </w:p>
    <w:p w14:paraId="1DFE7E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在获取永济市市场监督管理局整体支出目标设定、预算配置、预算执行及管理、资产管理、基本职责履行情况及效益、相关项目实施情况及后期运行情况等基本资料的基础上，通过对所收集相关资料的分析，结合相关政策文件，利用指标体系对永济市市场监督管理局整体支出项目进行绩效评价。</w:t>
      </w:r>
    </w:p>
    <w:p w14:paraId="3030BA7D">
      <w:pPr>
        <w:keepNext w:val="0"/>
        <w:keepLines w:val="0"/>
        <w:pageBreakBefore w:val="0"/>
        <w:widowControl w:val="0"/>
        <w:kinsoku/>
        <w:wordWrap/>
        <w:overflowPunct/>
        <w:topLinePunct w:val="0"/>
        <w:autoSpaceDE/>
        <w:autoSpaceDN/>
        <w:bidi w:val="0"/>
        <w:adjustRightInd/>
        <w:snapToGrid/>
        <w:spacing w:line="560" w:lineRule="exact"/>
        <w:ind w:firstLine="560"/>
        <w:textAlignment w:val="auto"/>
        <w:outlineLvl w:val="1"/>
        <w:rPr>
          <w:rFonts w:hint="eastAsia" w:ascii="仿宋" w:hAnsi="仿宋" w:eastAsia="仿宋" w:cs="仿宋"/>
          <w:b w:val="0"/>
          <w:bCs w:val="0"/>
          <w:sz w:val="28"/>
          <w:szCs w:val="28"/>
          <w:highlight w:val="none"/>
        </w:rPr>
      </w:pPr>
      <w:bookmarkStart w:id="79" w:name="_Toc29817_WPSOffice_Level2"/>
      <w:bookmarkStart w:id="80" w:name="_Toc14012_WPSOffice_Level2"/>
      <w:bookmarkStart w:id="81" w:name="_Toc25078_WPSOffice_Level2"/>
      <w:bookmarkStart w:id="82" w:name="_Toc16858"/>
      <w:bookmarkStart w:id="83" w:name="_Toc769_WPSOffice_Level2"/>
      <w:bookmarkStart w:id="84" w:name="_Toc3041_WPSOffice_Level2"/>
      <w:bookmarkStart w:id="85" w:name="_Toc9856"/>
      <w:bookmarkStart w:id="86" w:name="_Toc12820"/>
      <w:bookmarkStart w:id="87" w:name="_Toc13226"/>
      <w:bookmarkStart w:id="88" w:name="_Toc24219_WPSOffice_Level2"/>
      <w:bookmarkStart w:id="89" w:name="_Toc22145_WPSOffice_Level2"/>
      <w:bookmarkStart w:id="90" w:name="_Toc205_WPSOffice_Level2"/>
      <w:bookmarkStart w:id="91" w:name="_Toc5442_WPSOffice_Level2"/>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eastAsia="zh-CN"/>
        </w:rPr>
        <w:t>三</w:t>
      </w:r>
      <w:r>
        <w:rPr>
          <w:rFonts w:hint="eastAsia" w:ascii="仿宋" w:hAnsi="仿宋" w:eastAsia="仿宋" w:cs="仿宋"/>
          <w:b/>
          <w:bCs/>
          <w:sz w:val="28"/>
          <w:szCs w:val="28"/>
          <w:highlight w:val="none"/>
        </w:rPr>
        <w:t>）绩效评价原则</w:t>
      </w:r>
      <w:bookmarkEnd w:id="79"/>
      <w:bookmarkEnd w:id="80"/>
      <w:bookmarkEnd w:id="81"/>
      <w:bookmarkEnd w:id="82"/>
      <w:bookmarkEnd w:id="83"/>
      <w:bookmarkEnd w:id="84"/>
      <w:bookmarkEnd w:id="85"/>
      <w:bookmarkEnd w:id="86"/>
      <w:bookmarkEnd w:id="87"/>
      <w:bookmarkEnd w:id="88"/>
      <w:bookmarkEnd w:id="89"/>
    </w:p>
    <w:bookmarkEnd w:id="90"/>
    <w:bookmarkEnd w:id="91"/>
    <w:p w14:paraId="261916D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1.科学规范原则</w:t>
      </w:r>
    </w:p>
    <w:p w14:paraId="0C3984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严格执行绩效评价准备阶段、绩效评价实施阶段、撰写和提交绩效评价报告阶段要求的各项程序，按照科学可行的要求，采用定量与定性分析相结合的方法。</w:t>
      </w:r>
    </w:p>
    <w:p w14:paraId="662C7B3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2.公正公开原则</w:t>
      </w:r>
    </w:p>
    <w:p w14:paraId="5C07E7C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绩效评价应当符合真实、客观、公正的要求，依法公开并接受监督。</w:t>
      </w:r>
    </w:p>
    <w:p w14:paraId="2AB3653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3.分级分类原则</w:t>
      </w:r>
    </w:p>
    <w:p w14:paraId="145A6AB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绩效评价由各级财政部门、各预算部门根据评价对象的特点分类组织实施。</w:t>
      </w:r>
    </w:p>
    <w:p w14:paraId="376DEAE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4.绩效相关原则</w:t>
      </w:r>
    </w:p>
    <w:p w14:paraId="01DCAFD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绩效评价应当针对部门具体支出及其产出绩效进行，运用科学合理的绩效评价指标、评价标准和评价方法，对支出的经济性、效率性和效益性进行客观、公正的评价，评价结果应当清晰反映支出和产出绩效之间的紧密对应关系。</w:t>
      </w:r>
      <w:r>
        <w:rPr>
          <w:rFonts w:hint="eastAsia" w:ascii="仿宋" w:hAnsi="仿宋" w:eastAsia="仿宋" w:cs="仿宋"/>
          <w:sz w:val="28"/>
          <w:szCs w:val="28"/>
          <w:highlight w:val="none"/>
          <w:lang w:val="en-US" w:eastAsia="zh-CN"/>
        </w:rPr>
        <w:t xml:space="preserve"> </w:t>
      </w:r>
    </w:p>
    <w:p w14:paraId="3C4C507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val="0"/>
          <w:bCs/>
          <w:sz w:val="28"/>
          <w:szCs w:val="28"/>
          <w:highlight w:val="none"/>
          <w:lang w:eastAsia="zh-CN"/>
        </w:rPr>
      </w:pPr>
      <w:bookmarkStart w:id="92" w:name="_Toc4043_WPSOffice_Level2"/>
      <w:bookmarkStart w:id="93" w:name="_Toc30027_WPSOffice_Level2"/>
      <w:bookmarkStart w:id="94" w:name="_Toc8758"/>
      <w:bookmarkStart w:id="95" w:name="_Toc1638"/>
      <w:bookmarkStart w:id="96" w:name="_Toc5086"/>
      <w:bookmarkStart w:id="97" w:name="_Toc10410_WPSOffice_Level2"/>
      <w:bookmarkStart w:id="98" w:name="_Toc380"/>
      <w:r>
        <w:rPr>
          <w:rFonts w:hint="eastAsia" w:ascii="仿宋" w:hAnsi="仿宋" w:eastAsia="仿宋" w:cs="仿宋"/>
          <w:b/>
          <w:bCs w:val="0"/>
          <w:sz w:val="28"/>
          <w:szCs w:val="28"/>
          <w:highlight w:val="none"/>
          <w:lang w:eastAsia="zh-CN"/>
        </w:rPr>
        <w:t>（四）绩效评价方法</w:t>
      </w:r>
      <w:bookmarkEnd w:id="92"/>
      <w:bookmarkEnd w:id="93"/>
      <w:bookmarkEnd w:id="94"/>
      <w:bookmarkEnd w:id="95"/>
      <w:bookmarkEnd w:id="96"/>
      <w:bookmarkEnd w:id="97"/>
    </w:p>
    <w:p w14:paraId="7304E36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1.成本效益分析法</w:t>
      </w:r>
    </w:p>
    <w:p w14:paraId="0B3B3D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是指将一定时期内总成本与总效益进行对比分析，以评价绩效目标实现程度。结合预算支出确定的目标，比较支出所产生的效益和付出的成本，评价绩效目标的合理性。</w:t>
      </w:r>
    </w:p>
    <w:p w14:paraId="0979F9C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2.比较法</w:t>
      </w:r>
    </w:p>
    <w:p w14:paraId="0B0FF43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依据永济市财政局下达的年度预算，对照部门实际支出情况，比较实际支出内容与预算批复内容的差异，深入分析原因；依据相关政策文件，评价整体支出是否按照规定执行；依据资金预算文件和会计凭证，评价资金到位及使用情况；结合预算支出确定的目标，将整体支出绩效目标与支出实际效果对比，分析判断整体支出目标的实现情况；将整体支出预期收益与实施效益数据对比，结合问卷调查情况，评价部门整体支出效益实现程度。</w:t>
      </w:r>
    </w:p>
    <w:p w14:paraId="76647EE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3.因素分析法</w:t>
      </w:r>
    </w:p>
    <w:p w14:paraId="1813CEE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是指通过综合分析影响绩效目标实现、实施效果的内外因素，计算投入产出比的方法。</w:t>
      </w:r>
    </w:p>
    <w:p w14:paraId="36A51FD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4.综合指数评价法</w:t>
      </w:r>
    </w:p>
    <w:p w14:paraId="5AFA49D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结合</w:t>
      </w:r>
      <w:r>
        <w:rPr>
          <w:rFonts w:hint="eastAsia" w:ascii="仿宋" w:hAnsi="仿宋" w:eastAsia="仿宋" w:cs="仿宋"/>
          <w:sz w:val="28"/>
          <w:szCs w:val="28"/>
          <w:highlight w:val="none"/>
          <w:lang w:val="en-US" w:eastAsia="zh-CN"/>
        </w:rPr>
        <w:t>永济市市场监督管理局</w:t>
      </w:r>
      <w:r>
        <w:rPr>
          <w:rFonts w:hint="eastAsia" w:ascii="仿宋" w:hAnsi="仿宋" w:eastAsia="仿宋" w:cs="仿宋"/>
          <w:kern w:val="0"/>
          <w:sz w:val="28"/>
          <w:szCs w:val="28"/>
          <w:highlight w:val="none"/>
          <w:lang w:val="en-US" w:eastAsia="zh-CN"/>
        </w:rPr>
        <w:t xml:space="preserve">的基本情况，搜集整理国家及省市县出台的相关政策法规，制定科学合理的评价指标体系及评价标准。然后根据各项绩效指标的实际水平，对照评价标准值，分别计算各项指标评价得分，再按照设定的各项指标权数计算出综合评价得分，分析评价绩效目标实现情况的评价方法。 </w:t>
      </w:r>
    </w:p>
    <w:p w14:paraId="3BC4F9EF">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5.公众评判法</w:t>
      </w:r>
    </w:p>
    <w:p w14:paraId="7C4E83D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通过现场调查、访谈、问卷调查等方式，着重对产出、效果、满意度情况进行详细了解，获取定性与定量评价依据。</w:t>
      </w:r>
    </w:p>
    <w:bookmarkEnd w:id="98"/>
    <w:p w14:paraId="6AEAA0C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sz w:val="28"/>
          <w:szCs w:val="28"/>
          <w:highlight w:val="none"/>
          <w:lang w:eastAsia="zh-CN"/>
        </w:rPr>
      </w:pPr>
      <w:bookmarkStart w:id="99" w:name="_Toc20505"/>
      <w:bookmarkStart w:id="100" w:name="_Toc407"/>
      <w:bookmarkStart w:id="101" w:name="_Toc5379"/>
      <w:bookmarkStart w:id="102" w:name="_Toc15523"/>
      <w:bookmarkStart w:id="103" w:name="_Toc25006"/>
      <w:bookmarkStart w:id="104" w:name="_Toc9883_WPSOffice_Level1"/>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lang w:val="en-US" w:eastAsia="zh-CN"/>
        </w:rPr>
        <w:t>五</w:t>
      </w:r>
      <w:r>
        <w:rPr>
          <w:rFonts w:hint="eastAsia" w:ascii="仿宋" w:hAnsi="仿宋" w:eastAsia="仿宋" w:cs="仿宋"/>
          <w:b/>
          <w:sz w:val="28"/>
          <w:szCs w:val="28"/>
          <w:highlight w:val="none"/>
          <w:lang w:eastAsia="zh-CN"/>
        </w:rPr>
        <w:t>）</w:t>
      </w:r>
      <w:r>
        <w:rPr>
          <w:rFonts w:hint="eastAsia" w:ascii="仿宋" w:hAnsi="仿宋" w:eastAsia="仿宋" w:cs="仿宋"/>
          <w:b/>
          <w:sz w:val="28"/>
          <w:szCs w:val="28"/>
          <w:highlight w:val="none"/>
        </w:rPr>
        <w:t>绩效评价</w:t>
      </w:r>
      <w:r>
        <w:rPr>
          <w:rFonts w:hint="eastAsia" w:ascii="仿宋" w:hAnsi="仿宋" w:eastAsia="仿宋" w:cs="仿宋"/>
          <w:b/>
          <w:sz w:val="28"/>
          <w:szCs w:val="28"/>
          <w:highlight w:val="none"/>
          <w:lang w:val="en-US" w:eastAsia="zh-CN"/>
        </w:rPr>
        <w:t>的</w:t>
      </w:r>
      <w:r>
        <w:rPr>
          <w:rFonts w:hint="eastAsia" w:ascii="仿宋" w:hAnsi="仿宋" w:eastAsia="仿宋" w:cs="仿宋"/>
          <w:b/>
          <w:sz w:val="28"/>
          <w:szCs w:val="28"/>
          <w:highlight w:val="none"/>
        </w:rPr>
        <w:t>指标</w:t>
      </w:r>
      <w:r>
        <w:rPr>
          <w:rFonts w:hint="eastAsia" w:ascii="仿宋" w:hAnsi="仿宋" w:eastAsia="仿宋" w:cs="仿宋"/>
          <w:b/>
          <w:sz w:val="28"/>
          <w:szCs w:val="28"/>
          <w:highlight w:val="none"/>
          <w:lang w:eastAsia="zh-CN"/>
        </w:rPr>
        <w:t>体系</w:t>
      </w:r>
      <w:bookmarkEnd w:id="99"/>
      <w:bookmarkEnd w:id="100"/>
      <w:bookmarkEnd w:id="101"/>
      <w:bookmarkEnd w:id="102"/>
      <w:bookmarkEnd w:id="103"/>
      <w:bookmarkEnd w:id="104"/>
      <w:bookmarkStart w:id="105" w:name="_Toc28008"/>
      <w:bookmarkStart w:id="106" w:name="_Toc514670444"/>
    </w:p>
    <w:bookmarkEnd w:id="105"/>
    <w:bookmarkEnd w:id="106"/>
    <w:p w14:paraId="2DFE889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bookmarkStart w:id="107" w:name="_Toc18016"/>
      <w:bookmarkStart w:id="108" w:name="_Toc3468"/>
      <w:bookmarkStart w:id="109" w:name="_Toc25675_WPSOffice_Level2"/>
      <w:bookmarkStart w:id="110" w:name="_Toc19342_WPSOffice_Level2"/>
      <w:bookmarkStart w:id="111" w:name="_Toc29707_WPSOffice_Level2"/>
      <w:r>
        <w:rPr>
          <w:rFonts w:hint="eastAsia" w:ascii="仿宋" w:hAnsi="仿宋" w:eastAsia="仿宋" w:cs="仿宋"/>
          <w:b/>
          <w:bCs/>
          <w:sz w:val="28"/>
          <w:szCs w:val="28"/>
          <w:highlight w:val="none"/>
          <w:lang w:val="en-US" w:eastAsia="zh-CN"/>
        </w:rPr>
        <w:t>1.</w:t>
      </w:r>
      <w:r>
        <w:rPr>
          <w:rFonts w:hint="eastAsia" w:ascii="仿宋" w:hAnsi="仿宋" w:eastAsia="仿宋" w:cs="仿宋"/>
          <w:b/>
          <w:bCs/>
          <w:sz w:val="28"/>
          <w:szCs w:val="28"/>
          <w:highlight w:val="none"/>
        </w:rPr>
        <w:t>指标体系设计思路</w:t>
      </w:r>
      <w:bookmarkEnd w:id="107"/>
      <w:bookmarkEnd w:id="108"/>
      <w:bookmarkEnd w:id="109"/>
      <w:bookmarkEnd w:id="110"/>
      <w:bookmarkEnd w:id="111"/>
    </w:p>
    <w:p w14:paraId="691944B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rPr>
      </w:pPr>
      <w:r>
        <w:rPr>
          <w:rFonts w:hint="eastAsia" w:ascii="仿宋" w:hAnsi="仿宋" w:eastAsia="仿宋" w:cs="仿宋"/>
          <w:sz w:val="28"/>
          <w:szCs w:val="28"/>
          <w:lang w:eastAsia="zh-CN"/>
        </w:rPr>
        <w:t>根据绩效评价的基本原理、原则和项目特点，结合绩效目标，参考《项目支出绩效评价管理办法》（财预〔2020〕10号）和《永济市财政局202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年重点绩效评价实施方案》（永财绩〔202</w:t>
      </w: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号）等相关文件规定，按照“</w:t>
      </w:r>
      <w:r>
        <w:rPr>
          <w:rFonts w:hint="eastAsia" w:ascii="仿宋" w:hAnsi="仿宋" w:eastAsia="仿宋" w:cs="仿宋"/>
          <w:sz w:val="28"/>
          <w:szCs w:val="28"/>
          <w:lang w:val="en-US" w:eastAsia="zh-CN"/>
        </w:rPr>
        <w:t>部门决策</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部门管理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部门产出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部门效果</w:t>
      </w:r>
      <w:r>
        <w:rPr>
          <w:rFonts w:hint="eastAsia" w:ascii="仿宋" w:hAnsi="仿宋" w:eastAsia="仿宋" w:cs="仿宋"/>
          <w:sz w:val="28"/>
          <w:szCs w:val="28"/>
          <w:lang w:eastAsia="zh-CN"/>
        </w:rPr>
        <w:t>”的逻辑思路对绩效目标进行分解，结合计划标准、通用标准、历史标准等制定指标目标值，形成永济市市场监督管理局2023年度整体支出绩效评价指标评分体系。</w:t>
      </w:r>
    </w:p>
    <w:p w14:paraId="20F7DF8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bookmarkStart w:id="112" w:name="_Toc8936_WPSOffice_Level2"/>
      <w:bookmarkStart w:id="113" w:name="_Toc21210"/>
      <w:bookmarkStart w:id="114" w:name="_Toc8629"/>
      <w:bookmarkStart w:id="115" w:name="_Toc9340_WPSOffice_Level2"/>
      <w:bookmarkStart w:id="116" w:name="_Toc10494"/>
      <w:bookmarkStart w:id="117" w:name="_Toc16396_WPSOffice_Level2"/>
      <w:bookmarkStart w:id="118" w:name="_Toc11719_WPSOffice_Level2"/>
      <w:bookmarkStart w:id="119" w:name="_Toc17976_WPSOffice_Level2"/>
      <w:bookmarkStart w:id="120" w:name="_Toc14901_WPSOffice_Level2"/>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评价指标设置</w:t>
      </w:r>
      <w:bookmarkEnd w:id="112"/>
      <w:bookmarkEnd w:id="113"/>
      <w:bookmarkEnd w:id="114"/>
      <w:bookmarkEnd w:id="115"/>
      <w:bookmarkEnd w:id="116"/>
      <w:bookmarkEnd w:id="117"/>
      <w:bookmarkEnd w:id="118"/>
      <w:bookmarkEnd w:id="119"/>
      <w:bookmarkEnd w:id="120"/>
    </w:p>
    <w:p w14:paraId="73CC505D">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bCs/>
          <w:sz w:val="28"/>
          <w:szCs w:val="28"/>
          <w:highlight w:val="none"/>
          <w:lang w:eastAsia="zh-CN"/>
        </w:rPr>
        <w:t>我们结合</w:t>
      </w:r>
      <w:r>
        <w:rPr>
          <w:rFonts w:hint="eastAsia" w:ascii="仿宋" w:hAnsi="仿宋" w:eastAsia="仿宋" w:cs="仿宋"/>
          <w:sz w:val="28"/>
          <w:szCs w:val="28"/>
          <w:highlight w:val="none"/>
          <w:lang w:val="en-US" w:eastAsia="zh-CN"/>
        </w:rPr>
        <w:t>永济市市场监督管理局</w:t>
      </w:r>
      <w:r>
        <w:rPr>
          <w:rFonts w:hint="eastAsia" w:ascii="仿宋" w:hAnsi="仿宋" w:eastAsia="仿宋" w:cs="仿宋"/>
          <w:sz w:val="28"/>
          <w:szCs w:val="28"/>
          <w:highlight w:val="none"/>
        </w:rPr>
        <w:t>202</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年度整体支出</w:t>
      </w:r>
      <w:r>
        <w:rPr>
          <w:rFonts w:hint="eastAsia" w:ascii="仿宋" w:hAnsi="仿宋" w:eastAsia="仿宋" w:cs="仿宋"/>
          <w:bCs/>
          <w:sz w:val="28"/>
          <w:szCs w:val="28"/>
          <w:highlight w:val="none"/>
          <w:lang w:eastAsia="zh-CN"/>
        </w:rPr>
        <w:t>的特点，设置</w:t>
      </w:r>
      <w:r>
        <w:rPr>
          <w:rFonts w:hint="eastAsia" w:ascii="仿宋" w:hAnsi="仿宋" w:eastAsia="仿宋" w:cs="仿宋"/>
          <w:bCs/>
          <w:sz w:val="28"/>
          <w:szCs w:val="28"/>
          <w:highlight w:val="none"/>
        </w:rPr>
        <w:t>了如下评价指标</w:t>
      </w:r>
      <w:r>
        <w:rPr>
          <w:rFonts w:hint="eastAsia" w:ascii="仿宋" w:hAnsi="仿宋" w:eastAsia="仿宋" w:cs="仿宋"/>
          <w:bCs/>
          <w:sz w:val="28"/>
          <w:szCs w:val="28"/>
          <w:highlight w:val="none"/>
          <w:lang w:eastAsia="zh-CN"/>
        </w:rPr>
        <w:t>。</w:t>
      </w:r>
      <w:r>
        <w:rPr>
          <w:rFonts w:hint="eastAsia" w:ascii="仿宋" w:hAnsi="仿宋" w:eastAsia="仿宋" w:cs="仿宋"/>
          <w:sz w:val="28"/>
          <w:szCs w:val="28"/>
          <w:highlight w:val="none"/>
        </w:rPr>
        <w:t>具体评价指标设置、权重、指标解释、评分依据、评分标准见附件</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25"/>
        <w:gridCol w:w="2397"/>
        <w:gridCol w:w="3997"/>
      </w:tblGrid>
      <w:tr w14:paraId="7D18D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5" w:hRule="atLeast"/>
          <w:tblHeader/>
        </w:trPr>
        <w:tc>
          <w:tcPr>
            <w:tcW w:w="1247"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50DBB123">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一级指标</w:t>
            </w:r>
          </w:p>
        </w:tc>
        <w:tc>
          <w:tcPr>
            <w:tcW w:w="1407"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07F839DF">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二级指标</w:t>
            </w:r>
          </w:p>
        </w:tc>
        <w:tc>
          <w:tcPr>
            <w:tcW w:w="2345"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30ED0B0D">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三级指标</w:t>
            </w:r>
          </w:p>
        </w:tc>
      </w:tr>
      <w:tr w14:paraId="5FC77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E8B09">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部门决策</w:t>
            </w:r>
          </w:p>
          <w:p w14:paraId="6DF9FF9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（15分）</w:t>
            </w:r>
          </w:p>
        </w:tc>
        <w:tc>
          <w:tcPr>
            <w:tcW w:w="1407" w:type="pct"/>
            <w:vMerge w:val="restart"/>
            <w:tcBorders>
              <w:top w:val="single" w:color="000000" w:sz="4" w:space="0"/>
              <w:left w:val="single" w:color="000000" w:sz="4" w:space="0"/>
              <w:bottom w:val="nil"/>
              <w:right w:val="single" w:color="000000" w:sz="4" w:space="0"/>
            </w:tcBorders>
            <w:shd w:val="clear" w:color="auto" w:fill="auto"/>
            <w:noWrap/>
            <w:vAlign w:val="center"/>
          </w:tcPr>
          <w:p w14:paraId="4A257B2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目标设定</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76C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绩效目标合理性</w:t>
            </w:r>
          </w:p>
        </w:tc>
      </w:tr>
      <w:tr w14:paraId="078C3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A1DDB">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1C1099B8">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78F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绩效指标明确性</w:t>
            </w:r>
          </w:p>
        </w:tc>
      </w:tr>
      <w:tr w14:paraId="573CF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D350">
            <w:pPr>
              <w:jc w:val="center"/>
              <w:outlineLvl w:val="9"/>
              <w:rPr>
                <w:rFonts w:hint="eastAsia" w:ascii="仿宋" w:hAnsi="仿宋" w:eastAsia="仿宋" w:cs="仿宋"/>
                <w:i w:val="0"/>
                <w:iCs w:val="0"/>
                <w:color w:val="000000"/>
                <w:sz w:val="21"/>
                <w:szCs w:val="21"/>
                <w:highlight w:val="none"/>
                <w:u w:val="none"/>
              </w:rPr>
            </w:pPr>
          </w:p>
        </w:tc>
        <w:tc>
          <w:tcPr>
            <w:tcW w:w="1407" w:type="pct"/>
            <w:vMerge w:val="restart"/>
            <w:tcBorders>
              <w:top w:val="single" w:color="000000" w:sz="4" w:space="0"/>
              <w:left w:val="single" w:color="000000" w:sz="4" w:space="0"/>
              <w:bottom w:val="nil"/>
              <w:right w:val="single" w:color="000000" w:sz="4" w:space="0"/>
            </w:tcBorders>
            <w:shd w:val="clear" w:color="auto" w:fill="auto"/>
            <w:noWrap/>
            <w:vAlign w:val="center"/>
          </w:tcPr>
          <w:p w14:paraId="2AA8811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绩效指标明确性</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3BD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预算编制科学性</w:t>
            </w:r>
          </w:p>
        </w:tc>
      </w:tr>
      <w:tr w14:paraId="10BA4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1EC3B">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D68EEAC">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0B8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预算配置合理性</w:t>
            </w:r>
          </w:p>
        </w:tc>
      </w:tr>
      <w:tr w14:paraId="7F4A3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7559">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部门管理</w:t>
            </w:r>
          </w:p>
          <w:p w14:paraId="5F76341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（40分）</w:t>
            </w:r>
          </w:p>
        </w:tc>
        <w:tc>
          <w:tcPr>
            <w:tcW w:w="14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7EE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预算管理</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A86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预算执行管理</w:t>
            </w:r>
          </w:p>
        </w:tc>
      </w:tr>
      <w:tr w14:paraId="5EE14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F2A1">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43C0">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2983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预算绩效管理</w:t>
            </w:r>
          </w:p>
        </w:tc>
      </w:tr>
      <w:tr w14:paraId="2E4FA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6EEC7">
            <w:pPr>
              <w:jc w:val="center"/>
              <w:outlineLvl w:val="9"/>
              <w:rPr>
                <w:rFonts w:hint="eastAsia" w:ascii="仿宋" w:hAnsi="仿宋" w:eastAsia="仿宋" w:cs="仿宋"/>
                <w:i w:val="0"/>
                <w:iCs w:val="0"/>
                <w:color w:val="000000"/>
                <w:sz w:val="21"/>
                <w:szCs w:val="21"/>
                <w:highlight w:val="none"/>
                <w:u w:val="none"/>
              </w:rPr>
            </w:pPr>
          </w:p>
        </w:tc>
        <w:tc>
          <w:tcPr>
            <w:tcW w:w="1407" w:type="pct"/>
            <w:vMerge w:val="restart"/>
            <w:tcBorders>
              <w:top w:val="single" w:color="000000" w:sz="4" w:space="0"/>
              <w:left w:val="single" w:color="000000" w:sz="4" w:space="0"/>
              <w:bottom w:val="nil"/>
              <w:right w:val="single" w:color="000000" w:sz="4" w:space="0"/>
            </w:tcBorders>
            <w:shd w:val="clear" w:color="auto" w:fill="auto"/>
            <w:noWrap/>
            <w:vAlign w:val="center"/>
          </w:tcPr>
          <w:p w14:paraId="5EBC034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收支管理</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F4A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收支管理规范性</w:t>
            </w:r>
          </w:p>
        </w:tc>
      </w:tr>
      <w:tr w14:paraId="09C24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A07C">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0D9993BE">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8FD1">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支出结构合理性</w:t>
            </w:r>
          </w:p>
        </w:tc>
      </w:tr>
      <w:tr w14:paraId="2673C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DA83">
            <w:pPr>
              <w:jc w:val="center"/>
              <w:outlineLvl w:val="9"/>
              <w:rPr>
                <w:rFonts w:hint="eastAsia" w:ascii="仿宋" w:hAnsi="仿宋" w:eastAsia="仿宋" w:cs="仿宋"/>
                <w:i w:val="0"/>
                <w:iCs w:val="0"/>
                <w:color w:val="000000"/>
                <w:sz w:val="21"/>
                <w:szCs w:val="21"/>
                <w:highlight w:val="none"/>
                <w:u w:val="none"/>
              </w:rPr>
            </w:pPr>
          </w:p>
        </w:tc>
        <w:tc>
          <w:tcPr>
            <w:tcW w:w="1407"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5561ACF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资产管理</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29A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资产管理规范性</w:t>
            </w:r>
          </w:p>
        </w:tc>
      </w:tr>
      <w:tr w14:paraId="0D615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195C">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3B2A8A7">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850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固定资产利用率</w:t>
            </w:r>
          </w:p>
        </w:tc>
      </w:tr>
      <w:tr w14:paraId="1525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A113">
            <w:pPr>
              <w:jc w:val="center"/>
              <w:outlineLvl w:val="9"/>
              <w:rPr>
                <w:rFonts w:hint="eastAsia" w:ascii="仿宋" w:hAnsi="仿宋" w:eastAsia="仿宋" w:cs="仿宋"/>
                <w:i w:val="0"/>
                <w:iCs w:val="0"/>
                <w:color w:val="000000"/>
                <w:sz w:val="21"/>
                <w:szCs w:val="21"/>
                <w:highlight w:val="none"/>
                <w:u w:val="none"/>
              </w:rPr>
            </w:pPr>
          </w:p>
        </w:tc>
        <w:tc>
          <w:tcPr>
            <w:tcW w:w="1407"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11B4456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人员管理</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704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在职人员控制率</w:t>
            </w:r>
          </w:p>
        </w:tc>
      </w:tr>
      <w:tr w14:paraId="54739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48E6B">
            <w:pPr>
              <w:jc w:val="center"/>
              <w:outlineLvl w:val="9"/>
              <w:rPr>
                <w:rFonts w:hint="eastAsia" w:ascii="仿宋" w:hAnsi="仿宋" w:eastAsia="仿宋" w:cs="仿宋"/>
                <w:i w:val="0"/>
                <w:iCs w:val="0"/>
                <w:color w:val="000000"/>
                <w:sz w:val="21"/>
                <w:szCs w:val="21"/>
                <w:highlight w:val="none"/>
                <w:u w:val="none"/>
              </w:rPr>
            </w:pPr>
          </w:p>
        </w:tc>
        <w:tc>
          <w:tcPr>
            <w:tcW w:w="1407" w:type="pct"/>
            <w:vMerge w:val="restart"/>
            <w:tcBorders>
              <w:top w:val="single" w:color="auto" w:sz="4" w:space="0"/>
              <w:left w:val="single" w:color="000000" w:sz="4" w:space="0"/>
              <w:right w:val="single" w:color="000000" w:sz="4" w:space="0"/>
            </w:tcBorders>
            <w:shd w:val="clear" w:color="auto" w:fill="auto"/>
            <w:noWrap/>
            <w:vAlign w:val="center"/>
          </w:tcPr>
          <w:p w14:paraId="0C6AD7C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其他管理</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4A1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政府采购管理</w:t>
            </w:r>
          </w:p>
        </w:tc>
      </w:tr>
      <w:tr w14:paraId="30BE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3225">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left w:val="single" w:color="000000" w:sz="4" w:space="0"/>
              <w:right w:val="single" w:color="000000" w:sz="4" w:space="0"/>
            </w:tcBorders>
            <w:shd w:val="clear" w:color="auto" w:fill="auto"/>
            <w:noWrap/>
            <w:vAlign w:val="center"/>
          </w:tcPr>
          <w:p w14:paraId="4AD20E3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25116">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信息公开</w:t>
            </w:r>
          </w:p>
        </w:tc>
      </w:tr>
      <w:tr w14:paraId="5DDF7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EF5E7">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left w:val="single" w:color="000000" w:sz="4" w:space="0"/>
              <w:bottom w:val="single" w:color="auto" w:sz="4" w:space="0"/>
              <w:right w:val="single" w:color="000000" w:sz="4" w:space="0"/>
            </w:tcBorders>
            <w:shd w:val="clear" w:color="auto" w:fill="auto"/>
            <w:noWrap/>
            <w:vAlign w:val="center"/>
          </w:tcPr>
          <w:p w14:paraId="36C60991">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2C5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资金监管</w:t>
            </w:r>
          </w:p>
        </w:tc>
      </w:tr>
      <w:tr w14:paraId="2B52F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EF836">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部门产出</w:t>
            </w:r>
          </w:p>
          <w:p w14:paraId="32E2942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（30分）</w:t>
            </w:r>
          </w:p>
        </w:tc>
        <w:tc>
          <w:tcPr>
            <w:tcW w:w="1407"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41D2C7CF">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目标任务实现程度</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45A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质量安全监管完成情况</w:t>
            </w:r>
          </w:p>
        </w:tc>
      </w:tr>
      <w:tr w14:paraId="1D875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A93B">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617A5F2">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5F3A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食品安全监管完成情况</w:t>
            </w:r>
          </w:p>
        </w:tc>
      </w:tr>
      <w:tr w14:paraId="1CADF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E35B">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381D9DE">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346B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重点项目完成情况</w:t>
            </w:r>
          </w:p>
        </w:tc>
      </w:tr>
      <w:tr w14:paraId="69453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15AB">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316BA80">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C41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市场秩序监管完成情况</w:t>
            </w:r>
          </w:p>
        </w:tc>
      </w:tr>
      <w:tr w14:paraId="1358C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8BC9">
            <w:pPr>
              <w:jc w:val="center"/>
              <w:outlineLvl w:val="9"/>
              <w:rPr>
                <w:rFonts w:hint="eastAsia" w:ascii="仿宋" w:hAnsi="仿宋" w:eastAsia="仿宋" w:cs="仿宋"/>
                <w:i w:val="0"/>
                <w:iCs w:val="0"/>
                <w:color w:val="000000"/>
                <w:sz w:val="21"/>
                <w:szCs w:val="21"/>
                <w:highlight w:val="none"/>
                <w:u w:val="none"/>
              </w:rPr>
            </w:pPr>
          </w:p>
        </w:tc>
        <w:tc>
          <w:tcPr>
            <w:tcW w:w="1407" w:type="pct"/>
            <w:tcBorders>
              <w:top w:val="single" w:color="auto" w:sz="4" w:space="0"/>
              <w:left w:val="single" w:color="000000" w:sz="4" w:space="0"/>
              <w:right w:val="single" w:color="000000" w:sz="4" w:space="0"/>
            </w:tcBorders>
            <w:shd w:val="clear" w:color="auto" w:fill="auto"/>
            <w:noWrap/>
            <w:vAlign w:val="center"/>
          </w:tcPr>
          <w:p w14:paraId="0A40473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目标任务完成质量</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F55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目标质量达标情况</w:t>
            </w:r>
          </w:p>
        </w:tc>
      </w:tr>
      <w:tr w14:paraId="37C5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4D981">
            <w:pPr>
              <w:jc w:val="center"/>
              <w:outlineLvl w:val="9"/>
              <w:rPr>
                <w:rFonts w:hint="eastAsia" w:ascii="仿宋" w:hAnsi="仿宋" w:eastAsia="仿宋" w:cs="仿宋"/>
                <w:i w:val="0"/>
                <w:iCs w:val="0"/>
                <w:color w:val="000000"/>
                <w:sz w:val="21"/>
                <w:szCs w:val="21"/>
                <w:highlight w:val="none"/>
                <w:u w:val="none"/>
              </w:rPr>
            </w:pPr>
          </w:p>
        </w:tc>
        <w:tc>
          <w:tcPr>
            <w:tcW w:w="1407"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2AEA4BFB">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目标任务完成及时性</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EEF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目标任务产出时效</w:t>
            </w:r>
          </w:p>
        </w:tc>
      </w:tr>
      <w:tr w14:paraId="3B57F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71732">
            <w:pPr>
              <w:jc w:val="center"/>
              <w:outlineLvl w:val="9"/>
              <w:rPr>
                <w:rFonts w:hint="eastAsia" w:ascii="仿宋" w:hAnsi="仿宋" w:eastAsia="仿宋" w:cs="仿宋"/>
                <w:i w:val="0"/>
                <w:iCs w:val="0"/>
                <w:color w:val="000000"/>
                <w:sz w:val="21"/>
                <w:szCs w:val="21"/>
                <w:highlight w:val="none"/>
                <w:u w:val="none"/>
              </w:rPr>
            </w:pPr>
          </w:p>
        </w:tc>
        <w:tc>
          <w:tcPr>
            <w:tcW w:w="1407"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3A321E3B">
            <w:pPr>
              <w:jc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运行成本控制有效性</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9A5B">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成本控制情况</w:t>
            </w:r>
          </w:p>
        </w:tc>
      </w:tr>
      <w:tr w14:paraId="1B771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247" w:type="pct"/>
            <w:vMerge w:val="restart"/>
            <w:tcBorders>
              <w:top w:val="single" w:color="000000" w:sz="4" w:space="0"/>
              <w:left w:val="single" w:color="000000" w:sz="4" w:space="0"/>
              <w:right w:val="single" w:color="000000" w:sz="4" w:space="0"/>
            </w:tcBorders>
            <w:shd w:val="clear" w:color="auto" w:fill="auto"/>
            <w:noWrap/>
            <w:vAlign w:val="center"/>
          </w:tcPr>
          <w:p w14:paraId="65E0D52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部门效果</w:t>
            </w:r>
          </w:p>
          <w:p w14:paraId="215BB01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（15分）</w:t>
            </w:r>
          </w:p>
        </w:tc>
        <w:tc>
          <w:tcPr>
            <w:tcW w:w="1407" w:type="pct"/>
            <w:vMerge w:val="restart"/>
            <w:tcBorders>
              <w:top w:val="single" w:color="auto" w:sz="4" w:space="0"/>
              <w:left w:val="single" w:color="000000" w:sz="4" w:space="0"/>
              <w:right w:val="single" w:color="000000" w:sz="4" w:space="0"/>
            </w:tcBorders>
            <w:shd w:val="clear" w:color="auto" w:fill="auto"/>
            <w:noWrap/>
            <w:vAlign w:val="center"/>
          </w:tcPr>
          <w:p w14:paraId="2BF1B5B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经济效益</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DFC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保障食品安全</w:t>
            </w:r>
          </w:p>
        </w:tc>
      </w:tr>
      <w:tr w14:paraId="3B858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left w:val="single" w:color="000000" w:sz="4" w:space="0"/>
              <w:right w:val="single" w:color="000000" w:sz="4" w:space="0"/>
            </w:tcBorders>
            <w:shd w:val="clear" w:color="auto" w:fill="auto"/>
            <w:noWrap/>
            <w:vAlign w:val="center"/>
          </w:tcPr>
          <w:p w14:paraId="1C06EA1A">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p>
        </w:tc>
        <w:tc>
          <w:tcPr>
            <w:tcW w:w="1407" w:type="pct"/>
            <w:vMerge w:val="continue"/>
            <w:tcBorders>
              <w:left w:val="single" w:color="000000" w:sz="4" w:space="0"/>
              <w:right w:val="single" w:color="000000" w:sz="4" w:space="0"/>
            </w:tcBorders>
            <w:shd w:val="clear" w:color="auto" w:fill="auto"/>
            <w:noWrap/>
            <w:vAlign w:val="center"/>
          </w:tcPr>
          <w:p w14:paraId="3B81702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E53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营造安全放心消费环境</w:t>
            </w:r>
          </w:p>
        </w:tc>
      </w:tr>
      <w:tr w14:paraId="33ED8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left w:val="single" w:color="000000" w:sz="4" w:space="0"/>
              <w:right w:val="single" w:color="000000" w:sz="4" w:space="0"/>
            </w:tcBorders>
            <w:shd w:val="clear" w:color="auto" w:fill="auto"/>
            <w:noWrap/>
            <w:vAlign w:val="center"/>
          </w:tcPr>
          <w:p w14:paraId="726A100E">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p>
        </w:tc>
        <w:tc>
          <w:tcPr>
            <w:tcW w:w="1407" w:type="pct"/>
            <w:vMerge w:val="continue"/>
            <w:tcBorders>
              <w:left w:val="single" w:color="000000" w:sz="4" w:space="0"/>
              <w:right w:val="single" w:color="000000" w:sz="4" w:space="0"/>
            </w:tcBorders>
            <w:shd w:val="clear" w:color="auto" w:fill="auto"/>
            <w:noWrap/>
            <w:vAlign w:val="center"/>
          </w:tcPr>
          <w:p w14:paraId="65712441">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97D2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提高产品合格率</w:t>
            </w:r>
          </w:p>
        </w:tc>
      </w:tr>
      <w:tr w14:paraId="2973D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left w:val="single" w:color="000000" w:sz="4" w:space="0"/>
              <w:right w:val="single" w:color="000000" w:sz="4" w:space="0"/>
            </w:tcBorders>
            <w:shd w:val="clear" w:color="auto" w:fill="auto"/>
            <w:noWrap/>
            <w:vAlign w:val="center"/>
          </w:tcPr>
          <w:p w14:paraId="2FA4D7A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p>
        </w:tc>
        <w:tc>
          <w:tcPr>
            <w:tcW w:w="1407" w:type="pct"/>
            <w:vMerge w:val="continue"/>
            <w:tcBorders>
              <w:left w:val="single" w:color="000000" w:sz="4" w:space="0"/>
              <w:right w:val="single" w:color="000000" w:sz="4" w:space="0"/>
            </w:tcBorders>
            <w:shd w:val="clear" w:color="auto" w:fill="auto"/>
            <w:noWrap/>
            <w:vAlign w:val="center"/>
          </w:tcPr>
          <w:p w14:paraId="3195411F">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4CE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促进市场公平竞争</w:t>
            </w:r>
          </w:p>
        </w:tc>
      </w:tr>
      <w:tr w14:paraId="7ACE7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left w:val="single" w:color="000000" w:sz="4" w:space="0"/>
              <w:right w:val="single" w:color="000000" w:sz="4" w:space="0"/>
            </w:tcBorders>
            <w:shd w:val="clear" w:color="auto" w:fill="auto"/>
            <w:noWrap/>
            <w:vAlign w:val="center"/>
          </w:tcPr>
          <w:p w14:paraId="2DF7394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p>
        </w:tc>
        <w:tc>
          <w:tcPr>
            <w:tcW w:w="140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CB5F41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可持续性</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A9F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干部队伍建设</w:t>
            </w:r>
          </w:p>
        </w:tc>
      </w:tr>
      <w:tr w14:paraId="345C0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left w:val="single" w:color="000000" w:sz="4" w:space="0"/>
              <w:right w:val="single" w:color="000000" w:sz="4" w:space="0"/>
            </w:tcBorders>
            <w:shd w:val="clear" w:color="auto" w:fill="auto"/>
            <w:noWrap/>
            <w:vAlign w:val="center"/>
          </w:tcPr>
          <w:p w14:paraId="0F64537A">
            <w:pPr>
              <w:jc w:val="center"/>
              <w:outlineLvl w:val="9"/>
              <w:rPr>
                <w:rFonts w:hint="eastAsia" w:ascii="仿宋" w:hAnsi="仿宋" w:eastAsia="仿宋" w:cs="仿宋"/>
                <w:i w:val="0"/>
                <w:iCs w:val="0"/>
                <w:color w:val="000000"/>
                <w:sz w:val="21"/>
                <w:szCs w:val="21"/>
                <w:highlight w:val="none"/>
                <w:u w:val="none"/>
              </w:rPr>
            </w:pPr>
          </w:p>
        </w:tc>
        <w:tc>
          <w:tcPr>
            <w:tcW w:w="14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39C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社会满意</w:t>
            </w: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AE6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服务对象满意度</w:t>
            </w:r>
          </w:p>
        </w:tc>
      </w:tr>
      <w:tr w14:paraId="15048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247" w:type="pct"/>
            <w:vMerge w:val="continue"/>
            <w:tcBorders>
              <w:left w:val="single" w:color="000000" w:sz="4" w:space="0"/>
              <w:bottom w:val="single" w:color="000000" w:sz="4" w:space="0"/>
              <w:right w:val="single" w:color="000000" w:sz="4" w:space="0"/>
            </w:tcBorders>
            <w:shd w:val="clear" w:color="auto" w:fill="auto"/>
            <w:noWrap/>
            <w:vAlign w:val="center"/>
          </w:tcPr>
          <w:p w14:paraId="32B33BF8">
            <w:pPr>
              <w:jc w:val="center"/>
              <w:outlineLvl w:val="9"/>
              <w:rPr>
                <w:rFonts w:hint="eastAsia" w:ascii="仿宋" w:hAnsi="仿宋" w:eastAsia="仿宋" w:cs="仿宋"/>
                <w:i w:val="0"/>
                <w:iCs w:val="0"/>
                <w:color w:val="000000"/>
                <w:sz w:val="21"/>
                <w:szCs w:val="21"/>
                <w:highlight w:val="none"/>
                <w:u w:val="none"/>
              </w:rPr>
            </w:pPr>
          </w:p>
        </w:tc>
        <w:tc>
          <w:tcPr>
            <w:tcW w:w="1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AE6E">
            <w:pPr>
              <w:jc w:val="center"/>
              <w:outlineLvl w:val="9"/>
              <w:rPr>
                <w:rFonts w:hint="eastAsia" w:ascii="仿宋" w:hAnsi="仿宋" w:eastAsia="仿宋" w:cs="仿宋"/>
                <w:i w:val="0"/>
                <w:iCs w:val="0"/>
                <w:color w:val="000000"/>
                <w:sz w:val="21"/>
                <w:szCs w:val="21"/>
                <w:highlight w:val="none"/>
                <w:u w:val="none"/>
              </w:rPr>
            </w:pPr>
          </w:p>
        </w:tc>
        <w:tc>
          <w:tcPr>
            <w:tcW w:w="2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64E0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管理对象满意度</w:t>
            </w:r>
          </w:p>
        </w:tc>
      </w:tr>
      <w:tr w14:paraId="6A65B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003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合计</w:t>
            </w:r>
          </w:p>
        </w:tc>
      </w:tr>
    </w:tbl>
    <w:p w14:paraId="41730A8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rPr>
      </w:pPr>
      <w:bookmarkStart w:id="121" w:name="_Toc17440"/>
      <w:bookmarkStart w:id="122" w:name="_Toc6498"/>
      <w:bookmarkStart w:id="123" w:name="_Toc7335"/>
      <w:bookmarkStart w:id="124" w:name="_Toc30579_WPSOffice_Level2"/>
      <w:bookmarkStart w:id="125" w:name="_Toc15720"/>
      <w:bookmarkStart w:id="126" w:name="_Toc7482_WPSOffice_Level2"/>
      <w:r>
        <w:rPr>
          <w:rFonts w:hint="eastAsia" w:ascii="仿宋" w:hAnsi="仿宋" w:eastAsia="仿宋" w:cs="仿宋"/>
          <w:b/>
          <w:bCs/>
          <w:sz w:val="28"/>
          <w:szCs w:val="28"/>
        </w:rPr>
        <w:t>（</w:t>
      </w:r>
      <w:r>
        <w:rPr>
          <w:rFonts w:hint="eastAsia" w:ascii="仿宋" w:hAnsi="仿宋" w:eastAsia="仿宋" w:cs="仿宋"/>
          <w:b/>
          <w:bCs/>
          <w:sz w:val="28"/>
          <w:szCs w:val="28"/>
          <w:lang w:val="en-US" w:eastAsia="zh-CN"/>
        </w:rPr>
        <w:t>六</w:t>
      </w:r>
      <w:r>
        <w:rPr>
          <w:rFonts w:hint="eastAsia" w:ascii="仿宋" w:hAnsi="仿宋" w:eastAsia="仿宋" w:cs="仿宋"/>
          <w:b/>
          <w:bCs/>
          <w:sz w:val="28"/>
          <w:szCs w:val="28"/>
        </w:rPr>
        <w:t>）评价的组织及实施</w:t>
      </w:r>
      <w:bookmarkEnd w:id="121"/>
      <w:bookmarkEnd w:id="122"/>
      <w:bookmarkEnd w:id="123"/>
      <w:bookmarkEnd w:id="124"/>
      <w:bookmarkEnd w:id="125"/>
    </w:p>
    <w:p w14:paraId="3C170F7B">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rPr>
      </w:pPr>
      <w:bookmarkStart w:id="127" w:name="_Toc28969_WPSOffice_Level3"/>
      <w:r>
        <w:rPr>
          <w:rFonts w:hint="eastAsia" w:ascii="仿宋" w:hAnsi="仿宋" w:eastAsia="仿宋" w:cs="仿宋"/>
          <w:b/>
          <w:bCs/>
          <w:sz w:val="28"/>
          <w:szCs w:val="28"/>
        </w:rPr>
        <w:t>1.人员分工</w:t>
      </w:r>
      <w:bookmarkEnd w:id="127"/>
    </w:p>
    <w:p w14:paraId="333D48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根据</w:t>
      </w:r>
      <w:r>
        <w:rPr>
          <w:rFonts w:hint="eastAsia" w:ascii="仿宋" w:hAnsi="仿宋" w:eastAsia="仿宋" w:cs="仿宋"/>
          <w:sz w:val="28"/>
          <w:szCs w:val="28"/>
          <w:lang w:val="en-US" w:eastAsia="zh-CN"/>
        </w:rPr>
        <w:t>永济市市场监督管理局</w:t>
      </w:r>
      <w:r>
        <w:rPr>
          <w:rFonts w:hint="eastAsia" w:ascii="仿宋" w:hAnsi="仿宋" w:eastAsia="仿宋" w:cs="仿宋"/>
          <w:sz w:val="28"/>
          <w:szCs w:val="28"/>
        </w:rPr>
        <w:t>20</w:t>
      </w:r>
      <w:r>
        <w:rPr>
          <w:rFonts w:hint="eastAsia" w:ascii="仿宋" w:hAnsi="仿宋" w:eastAsia="仿宋" w:cs="仿宋"/>
          <w:sz w:val="28"/>
          <w:szCs w:val="28"/>
          <w:lang w:val="en-US" w:eastAsia="zh-CN"/>
        </w:rPr>
        <w:t>23</w:t>
      </w:r>
      <w:r>
        <w:rPr>
          <w:rFonts w:hint="eastAsia" w:ascii="仿宋" w:hAnsi="仿宋" w:eastAsia="仿宋" w:cs="仿宋"/>
          <w:sz w:val="28"/>
          <w:szCs w:val="28"/>
        </w:rPr>
        <w:t>年度整体支出</w:t>
      </w:r>
      <w:r>
        <w:rPr>
          <w:rFonts w:hint="eastAsia" w:ascii="仿宋" w:hAnsi="仿宋" w:eastAsia="仿宋" w:cs="仿宋"/>
          <w:sz w:val="28"/>
          <w:szCs w:val="28"/>
          <w:lang w:val="en-US" w:eastAsia="zh-CN"/>
        </w:rPr>
        <w:t>的</w:t>
      </w:r>
      <w:r>
        <w:rPr>
          <w:rFonts w:hint="eastAsia" w:ascii="仿宋" w:hAnsi="仿宋" w:eastAsia="仿宋" w:cs="仿宋"/>
          <w:sz w:val="28"/>
          <w:szCs w:val="28"/>
        </w:rPr>
        <w:t>情况，成立绩效评价工作组。</w:t>
      </w:r>
    </w:p>
    <w:p w14:paraId="43D7C7F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本次绩效评价工作组成员名单见表</w:t>
      </w:r>
      <w:r>
        <w:rPr>
          <w:rFonts w:hint="eastAsia" w:ascii="仿宋" w:hAnsi="仿宋" w:eastAsia="仿宋" w:cs="仿宋"/>
          <w:sz w:val="28"/>
          <w:szCs w:val="28"/>
          <w:lang w:val="en-US" w:eastAsia="zh-CN"/>
        </w:rPr>
        <w:t>2</w:t>
      </w:r>
      <w:r>
        <w:rPr>
          <w:rFonts w:hint="eastAsia" w:ascii="仿宋" w:hAnsi="仿宋" w:eastAsia="仿宋" w:cs="仿宋"/>
          <w:sz w:val="28"/>
          <w:szCs w:val="28"/>
        </w:rPr>
        <w:t>：</w:t>
      </w:r>
    </w:p>
    <w:p w14:paraId="39902BD0">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lang w:val="en-US"/>
        </w:rPr>
      </w:pPr>
      <w:r>
        <w:rPr>
          <w:rFonts w:hint="eastAsia" w:ascii="仿宋" w:hAnsi="仿宋" w:eastAsia="仿宋" w:cs="仿宋"/>
          <w:b w:val="0"/>
          <w:bCs w:val="0"/>
          <w:color w:val="000000"/>
          <w:kern w:val="0"/>
          <w:sz w:val="28"/>
          <w:szCs w:val="28"/>
          <w:highlight w:val="none"/>
          <w:shd w:val="clear" w:color="auto" w:fill="FFFFFF"/>
          <w:lang w:val="en-US" w:eastAsia="zh-CN"/>
        </w:rPr>
        <w:t>表2：评价组成员分工表</w:t>
      </w:r>
    </w:p>
    <w:tbl>
      <w:tblPr>
        <w:tblStyle w:val="11"/>
        <w:tblW w:w="8880" w:type="dxa"/>
        <w:tblInd w:w="108" w:type="dxa"/>
        <w:shd w:val="clear" w:color="auto" w:fill="auto"/>
        <w:tblLayout w:type="fixed"/>
        <w:tblCellMar>
          <w:top w:w="0" w:type="dxa"/>
          <w:left w:w="108" w:type="dxa"/>
          <w:bottom w:w="0" w:type="dxa"/>
          <w:right w:w="108" w:type="dxa"/>
        </w:tblCellMar>
      </w:tblPr>
      <w:tblGrid>
        <w:gridCol w:w="851"/>
        <w:gridCol w:w="992"/>
        <w:gridCol w:w="1323"/>
        <w:gridCol w:w="1512"/>
        <w:gridCol w:w="4202"/>
      </w:tblGrid>
      <w:tr w14:paraId="5BFAFCE3">
        <w:tblPrEx>
          <w:shd w:val="clear" w:color="auto" w:fill="auto"/>
          <w:tblCellMar>
            <w:top w:w="0" w:type="dxa"/>
            <w:left w:w="108" w:type="dxa"/>
            <w:bottom w:w="0" w:type="dxa"/>
            <w:right w:w="108" w:type="dxa"/>
          </w:tblCellMar>
        </w:tblPrEx>
        <w:trPr>
          <w:trHeight w:val="680" w:hRule="atLeast"/>
          <w:tblHeader/>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0CBBDB">
            <w:pPr>
              <w:widowControl/>
              <w:jc w:val="center"/>
              <w:outlineLvl w:val="9"/>
              <w:rPr>
                <w:rFonts w:hint="eastAsia" w:ascii="仿宋" w:hAnsi="仿宋" w:eastAsia="仿宋" w:cs="仿宋"/>
                <w:b/>
                <w:bCs/>
                <w:kern w:val="0"/>
                <w:sz w:val="22"/>
                <w:szCs w:val="22"/>
              </w:rPr>
            </w:pPr>
            <w:bookmarkStart w:id="128" w:name="_Toc26280_WPSOffice_Level3"/>
            <w:r>
              <w:rPr>
                <w:rFonts w:hint="eastAsia" w:ascii="仿宋" w:hAnsi="仿宋" w:eastAsia="仿宋" w:cs="仿宋"/>
                <w:b/>
                <w:bCs/>
                <w:kern w:val="0"/>
                <w:sz w:val="22"/>
                <w:szCs w:val="22"/>
              </w:rPr>
              <w:t>序号</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3AF888">
            <w:pPr>
              <w:widowControl/>
              <w:jc w:val="center"/>
              <w:outlineLvl w:val="9"/>
              <w:rPr>
                <w:rFonts w:hint="eastAsia" w:ascii="仿宋" w:hAnsi="仿宋" w:eastAsia="仿宋" w:cs="仿宋"/>
                <w:b/>
                <w:bCs/>
                <w:kern w:val="0"/>
                <w:sz w:val="22"/>
                <w:szCs w:val="22"/>
              </w:rPr>
            </w:pPr>
            <w:r>
              <w:rPr>
                <w:rFonts w:hint="eastAsia" w:ascii="仿宋" w:hAnsi="仿宋" w:eastAsia="仿宋" w:cs="仿宋"/>
                <w:b/>
                <w:bCs/>
                <w:kern w:val="0"/>
                <w:sz w:val="22"/>
                <w:szCs w:val="22"/>
              </w:rPr>
              <w:t>姓  名</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CB55C36">
            <w:pPr>
              <w:widowControl/>
              <w:jc w:val="center"/>
              <w:outlineLvl w:val="9"/>
              <w:rPr>
                <w:rFonts w:hint="eastAsia" w:ascii="仿宋" w:hAnsi="仿宋" w:eastAsia="仿宋" w:cs="仿宋"/>
                <w:b/>
                <w:bCs/>
                <w:kern w:val="0"/>
                <w:sz w:val="22"/>
                <w:szCs w:val="22"/>
              </w:rPr>
            </w:pPr>
            <w:r>
              <w:rPr>
                <w:rFonts w:hint="eastAsia" w:ascii="仿宋" w:hAnsi="仿宋" w:eastAsia="仿宋" w:cs="仿宋"/>
                <w:b/>
                <w:bCs/>
                <w:kern w:val="0"/>
                <w:sz w:val="22"/>
                <w:szCs w:val="22"/>
              </w:rPr>
              <w:t>在本项目中担任职责</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69B6CEF">
            <w:pPr>
              <w:widowControl/>
              <w:jc w:val="center"/>
              <w:outlineLvl w:val="9"/>
              <w:rPr>
                <w:rFonts w:hint="eastAsia" w:ascii="仿宋" w:hAnsi="仿宋" w:eastAsia="仿宋" w:cs="仿宋"/>
                <w:b/>
                <w:bCs/>
                <w:kern w:val="0"/>
                <w:sz w:val="22"/>
                <w:szCs w:val="22"/>
              </w:rPr>
            </w:pPr>
            <w:r>
              <w:rPr>
                <w:rFonts w:hint="eastAsia" w:ascii="仿宋" w:hAnsi="仿宋" w:eastAsia="仿宋" w:cs="仿宋"/>
                <w:b/>
                <w:bCs/>
                <w:kern w:val="0"/>
                <w:sz w:val="22"/>
                <w:szCs w:val="22"/>
              </w:rPr>
              <w:t>技术职称</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7C01CF4">
            <w:pPr>
              <w:widowControl/>
              <w:jc w:val="center"/>
              <w:outlineLvl w:val="9"/>
              <w:rPr>
                <w:rFonts w:hint="eastAsia" w:ascii="仿宋" w:hAnsi="仿宋" w:eastAsia="仿宋" w:cs="仿宋"/>
                <w:b/>
                <w:bCs/>
                <w:kern w:val="0"/>
                <w:sz w:val="22"/>
                <w:szCs w:val="22"/>
              </w:rPr>
            </w:pPr>
            <w:r>
              <w:rPr>
                <w:rFonts w:hint="eastAsia" w:ascii="仿宋" w:hAnsi="仿宋" w:eastAsia="仿宋" w:cs="仿宋"/>
                <w:b/>
                <w:bCs/>
                <w:kern w:val="0"/>
                <w:sz w:val="22"/>
                <w:szCs w:val="22"/>
              </w:rPr>
              <w:t>工作内容</w:t>
            </w:r>
          </w:p>
        </w:tc>
      </w:tr>
      <w:tr w14:paraId="4EFEA0C2">
        <w:tblPrEx>
          <w:tblCellMar>
            <w:top w:w="0" w:type="dxa"/>
            <w:left w:w="108" w:type="dxa"/>
            <w:bottom w:w="0" w:type="dxa"/>
            <w:right w:w="108" w:type="dxa"/>
          </w:tblCellMar>
        </w:tblPrEx>
        <w:trPr>
          <w:trHeight w:val="737"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A0DFADF">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1</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A40133">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陈创存</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09C169">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质量控制复核人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26284E">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注册会计师、评估师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5091AA">
            <w:pPr>
              <w:widowControl/>
              <w:jc w:val="left"/>
              <w:outlineLvl w:val="9"/>
              <w:rPr>
                <w:rFonts w:hint="eastAsia" w:ascii="仿宋" w:hAnsi="仿宋" w:eastAsia="仿宋" w:cs="仿宋"/>
                <w:kern w:val="0"/>
                <w:sz w:val="22"/>
                <w:szCs w:val="22"/>
              </w:rPr>
            </w:pPr>
            <w:r>
              <w:rPr>
                <w:rFonts w:hint="eastAsia" w:ascii="仿宋" w:hAnsi="仿宋" w:eastAsia="仿宋" w:cs="仿宋"/>
                <w:kern w:val="0"/>
                <w:sz w:val="22"/>
                <w:szCs w:val="22"/>
              </w:rPr>
              <w:t>协调沟通，参与制定实施方案，修改绩效评价报告，督导项目进度和项目质量。</w:t>
            </w:r>
          </w:p>
        </w:tc>
      </w:tr>
      <w:tr w14:paraId="17F69496">
        <w:tblPrEx>
          <w:tblCellMar>
            <w:top w:w="0" w:type="dxa"/>
            <w:left w:w="108" w:type="dxa"/>
            <w:bottom w:w="0" w:type="dxa"/>
            <w:right w:w="108" w:type="dxa"/>
          </w:tblCellMar>
        </w:tblPrEx>
        <w:trPr>
          <w:trHeight w:val="737"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F00C072">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2</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1A3E66D">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阴文平</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AB23089">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lang w:val="en-US" w:eastAsia="zh-CN"/>
              </w:rPr>
              <w:t>项目经理/</w:t>
            </w:r>
            <w:r>
              <w:rPr>
                <w:rFonts w:hint="eastAsia" w:ascii="仿宋" w:hAnsi="仿宋" w:eastAsia="仿宋" w:cs="仿宋"/>
                <w:kern w:val="0"/>
                <w:sz w:val="22"/>
                <w:szCs w:val="22"/>
              </w:rPr>
              <w:t>二级复核人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78ADE9">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注册会计师、山西注协领军人才</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848E05">
            <w:pPr>
              <w:widowControl/>
              <w:jc w:val="left"/>
              <w:outlineLvl w:val="9"/>
              <w:rPr>
                <w:rFonts w:hint="eastAsia" w:ascii="仿宋" w:hAnsi="仿宋" w:eastAsia="仿宋" w:cs="仿宋"/>
                <w:kern w:val="0"/>
                <w:sz w:val="22"/>
                <w:szCs w:val="22"/>
              </w:rPr>
            </w:pPr>
            <w:r>
              <w:rPr>
                <w:rFonts w:hint="eastAsia" w:ascii="仿宋" w:hAnsi="仿宋" w:eastAsia="仿宋" w:cs="仿宋"/>
                <w:kern w:val="0"/>
                <w:sz w:val="22"/>
                <w:szCs w:val="22"/>
              </w:rPr>
              <w:t>参与制定实施方案，督促各小组按照时间进度执行业务，参与总报告修改，审核总报告。</w:t>
            </w:r>
          </w:p>
        </w:tc>
      </w:tr>
      <w:tr w14:paraId="1309A7C6">
        <w:tblPrEx>
          <w:tblCellMar>
            <w:top w:w="0" w:type="dxa"/>
            <w:left w:w="108" w:type="dxa"/>
            <w:bottom w:w="0" w:type="dxa"/>
            <w:right w:w="108" w:type="dxa"/>
          </w:tblCellMar>
        </w:tblPrEx>
        <w:trPr>
          <w:trHeight w:val="737"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06D2894">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3</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7A61769">
            <w:pPr>
              <w:keepNext w:val="0"/>
              <w:keepLines w:val="0"/>
              <w:pageBreakBefore w:val="0"/>
              <w:widowControl/>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kern w:val="0"/>
                <w:sz w:val="22"/>
                <w:szCs w:val="22"/>
              </w:rPr>
            </w:pPr>
            <w:r>
              <w:rPr>
                <w:rFonts w:hint="eastAsia" w:ascii="仿宋" w:hAnsi="仿宋" w:eastAsia="仿宋" w:cs="仿宋"/>
                <w:color w:val="auto"/>
                <w:kern w:val="0"/>
                <w:sz w:val="22"/>
                <w:szCs w:val="22"/>
                <w:highlight w:val="none"/>
                <w:lang w:val="en-US" w:eastAsia="zh-CN"/>
              </w:rPr>
              <w:t>李亚飞</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0FFBAB3">
            <w:pPr>
              <w:widowControl/>
              <w:jc w:val="center"/>
              <w:outlineLvl w:val="9"/>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主评人/</w:t>
            </w:r>
          </w:p>
          <w:p w14:paraId="2752A9F3">
            <w:pPr>
              <w:widowControl/>
              <w:jc w:val="center"/>
              <w:outlineLvl w:val="9"/>
              <w:rPr>
                <w:rFonts w:hint="eastAsia" w:ascii="仿宋" w:hAnsi="仿宋" w:eastAsia="仿宋" w:cs="仿宋"/>
                <w:kern w:val="0"/>
                <w:sz w:val="22"/>
                <w:szCs w:val="22"/>
                <w:lang w:val="en-US"/>
              </w:rPr>
            </w:pPr>
            <w:r>
              <w:rPr>
                <w:rFonts w:hint="eastAsia" w:ascii="仿宋" w:hAnsi="仿宋" w:eastAsia="仿宋" w:cs="仿宋"/>
                <w:kern w:val="0"/>
                <w:sz w:val="22"/>
                <w:szCs w:val="22"/>
                <w:lang w:val="en-US" w:eastAsia="zh-CN"/>
              </w:rPr>
              <w:t>一级复核人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C003924">
            <w:pPr>
              <w:keepNext w:val="0"/>
              <w:keepLines w:val="0"/>
              <w:pageBreakBefore w:val="0"/>
              <w:widowControl/>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kern w:val="0"/>
                <w:sz w:val="22"/>
                <w:szCs w:val="22"/>
                <w:lang w:val="en-US" w:eastAsia="zh-CN"/>
              </w:rPr>
            </w:pP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A9212D4">
            <w:pPr>
              <w:keepNext w:val="0"/>
              <w:keepLines w:val="0"/>
              <w:pageBreakBefore w:val="0"/>
              <w:widowControl/>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kern w:val="0"/>
                <w:sz w:val="22"/>
                <w:szCs w:val="22"/>
              </w:rPr>
            </w:pPr>
            <w:r>
              <w:rPr>
                <w:rFonts w:hint="eastAsia" w:ascii="仿宋" w:hAnsi="仿宋" w:eastAsia="仿宋" w:cs="仿宋"/>
                <w:color w:val="auto"/>
                <w:kern w:val="0"/>
                <w:sz w:val="22"/>
                <w:szCs w:val="22"/>
                <w:highlight w:val="none"/>
              </w:rPr>
              <w:t>组织制定方案与现场</w:t>
            </w:r>
            <w:r>
              <w:rPr>
                <w:rFonts w:hint="eastAsia" w:ascii="仿宋" w:hAnsi="仿宋" w:eastAsia="仿宋" w:cs="仿宋"/>
                <w:color w:val="auto"/>
                <w:kern w:val="0"/>
                <w:sz w:val="22"/>
                <w:szCs w:val="22"/>
                <w:highlight w:val="none"/>
                <w:lang w:eastAsia="zh-CN"/>
              </w:rPr>
              <w:t>绩效监控</w:t>
            </w:r>
            <w:r>
              <w:rPr>
                <w:rFonts w:hint="eastAsia" w:ascii="仿宋" w:hAnsi="仿宋" w:eastAsia="仿宋" w:cs="仿宋"/>
                <w:color w:val="auto"/>
                <w:kern w:val="0"/>
                <w:sz w:val="22"/>
                <w:szCs w:val="22"/>
                <w:highlight w:val="none"/>
              </w:rPr>
              <w:t>、负责总报告撰写。</w:t>
            </w:r>
          </w:p>
        </w:tc>
      </w:tr>
      <w:tr w14:paraId="3818B8E8">
        <w:tblPrEx>
          <w:shd w:val="clear" w:color="auto" w:fill="auto"/>
          <w:tblCellMar>
            <w:top w:w="0" w:type="dxa"/>
            <w:left w:w="108" w:type="dxa"/>
            <w:bottom w:w="0" w:type="dxa"/>
            <w:right w:w="108" w:type="dxa"/>
          </w:tblCellMar>
        </w:tblPrEx>
        <w:trPr>
          <w:trHeight w:val="737"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BDC236">
            <w:pPr>
              <w:widowControl/>
              <w:jc w:val="center"/>
              <w:outlineLvl w:val="9"/>
              <w:rPr>
                <w:rFonts w:hint="eastAsia" w:ascii="仿宋" w:hAnsi="仿宋" w:eastAsia="仿宋" w:cs="仿宋"/>
                <w:kern w:val="0"/>
                <w:sz w:val="22"/>
                <w:szCs w:val="22"/>
              </w:rPr>
            </w:pPr>
            <w:r>
              <w:rPr>
                <w:rFonts w:hint="eastAsia" w:ascii="仿宋" w:hAnsi="仿宋" w:eastAsia="仿宋" w:cs="仿宋"/>
                <w:kern w:val="0"/>
                <w:sz w:val="22"/>
                <w:szCs w:val="22"/>
              </w:rPr>
              <w:t>4</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3C00911">
            <w:pPr>
              <w:keepNext w:val="0"/>
              <w:keepLines w:val="0"/>
              <w:pageBreakBefore w:val="0"/>
              <w:widowControl/>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color w:val="000000"/>
                <w:kern w:val="0"/>
                <w:sz w:val="22"/>
                <w:szCs w:val="22"/>
                <w:lang w:eastAsia="zh-CN"/>
              </w:rPr>
            </w:pPr>
            <w:r>
              <w:rPr>
                <w:rFonts w:hint="eastAsia" w:ascii="仿宋" w:hAnsi="仿宋" w:eastAsia="仿宋" w:cs="仿宋"/>
                <w:color w:val="auto"/>
                <w:kern w:val="0"/>
                <w:sz w:val="22"/>
                <w:szCs w:val="22"/>
                <w:highlight w:val="none"/>
                <w:lang w:eastAsia="zh-CN"/>
              </w:rPr>
              <w:t>马国霞</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4E5959">
            <w:pPr>
              <w:widowControl/>
              <w:jc w:val="center"/>
              <w:outlineLvl w:val="9"/>
              <w:rPr>
                <w:rFonts w:hint="eastAsia" w:ascii="仿宋" w:hAnsi="仿宋" w:eastAsia="仿宋" w:cs="仿宋"/>
                <w:color w:val="000000"/>
                <w:kern w:val="0"/>
                <w:sz w:val="22"/>
                <w:szCs w:val="22"/>
                <w:lang w:eastAsia="zh-CN"/>
              </w:rPr>
            </w:pPr>
            <w:r>
              <w:rPr>
                <w:rFonts w:hint="eastAsia" w:ascii="仿宋" w:hAnsi="仿宋" w:eastAsia="仿宋" w:cs="仿宋"/>
                <w:color w:val="000000"/>
                <w:kern w:val="0"/>
                <w:sz w:val="22"/>
                <w:szCs w:val="22"/>
              </w:rPr>
              <w:t>绩效评价组</w:t>
            </w:r>
            <w:r>
              <w:rPr>
                <w:rFonts w:hint="eastAsia" w:ascii="仿宋" w:hAnsi="仿宋" w:eastAsia="仿宋" w:cs="仿宋"/>
                <w:color w:val="000000"/>
                <w:kern w:val="0"/>
                <w:sz w:val="22"/>
                <w:szCs w:val="22"/>
                <w:lang w:eastAsia="zh-CN"/>
              </w:rPr>
              <w:t>成员</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9AF894">
            <w:pPr>
              <w:keepNext w:val="0"/>
              <w:keepLines w:val="0"/>
              <w:pageBreakBefore w:val="0"/>
              <w:widowControl/>
              <w:kinsoku/>
              <w:wordWrap/>
              <w:overflowPunct/>
              <w:topLinePunct w:val="0"/>
              <w:autoSpaceDE/>
              <w:autoSpaceDN/>
              <w:bidi w:val="0"/>
              <w:adjustRightInd/>
              <w:snapToGrid/>
              <w:spacing w:line="300" w:lineRule="exact"/>
              <w:jc w:val="center"/>
              <w:textAlignment w:val="auto"/>
              <w:outlineLvl w:val="9"/>
              <w:rPr>
                <w:rFonts w:hint="eastAsia" w:ascii="仿宋" w:hAnsi="仿宋" w:eastAsia="仿宋" w:cs="仿宋"/>
                <w:color w:val="000000"/>
                <w:kern w:val="0"/>
                <w:sz w:val="22"/>
                <w:szCs w:val="22"/>
                <w:lang w:eastAsia="zh-CN"/>
              </w:rPr>
            </w:pPr>
            <w:r>
              <w:rPr>
                <w:rFonts w:hint="eastAsia" w:ascii="仿宋" w:hAnsi="仿宋" w:eastAsia="仿宋" w:cs="仿宋"/>
                <w:color w:val="auto"/>
                <w:kern w:val="0"/>
                <w:sz w:val="22"/>
                <w:szCs w:val="22"/>
                <w:highlight w:val="none"/>
              </w:rPr>
              <w:t>中级会计师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B77A10">
            <w:pPr>
              <w:keepNext w:val="0"/>
              <w:keepLines w:val="0"/>
              <w:pageBreakBefore w:val="0"/>
              <w:widowControl/>
              <w:kinsoku/>
              <w:wordWrap/>
              <w:overflowPunct/>
              <w:topLinePunct w:val="0"/>
              <w:autoSpaceDE/>
              <w:autoSpaceDN/>
              <w:bidi w:val="0"/>
              <w:adjustRightInd/>
              <w:snapToGrid/>
              <w:spacing w:line="300" w:lineRule="exact"/>
              <w:jc w:val="left"/>
              <w:textAlignment w:val="auto"/>
              <w:outlineLvl w:val="9"/>
              <w:rPr>
                <w:rFonts w:hint="eastAsia" w:ascii="仿宋" w:hAnsi="仿宋" w:eastAsia="仿宋" w:cs="仿宋"/>
                <w:color w:val="000000"/>
                <w:kern w:val="0"/>
                <w:sz w:val="22"/>
                <w:szCs w:val="22"/>
              </w:rPr>
            </w:pPr>
            <w:r>
              <w:rPr>
                <w:rFonts w:hint="eastAsia" w:ascii="仿宋" w:hAnsi="仿宋" w:eastAsia="仿宋" w:cs="仿宋"/>
                <w:color w:val="auto"/>
                <w:kern w:val="0"/>
                <w:sz w:val="22"/>
                <w:szCs w:val="22"/>
                <w:highlight w:val="none"/>
              </w:rPr>
              <w:t>参与现场</w:t>
            </w:r>
            <w:r>
              <w:rPr>
                <w:rFonts w:hint="eastAsia" w:ascii="仿宋" w:hAnsi="仿宋" w:eastAsia="仿宋" w:cs="仿宋"/>
                <w:color w:val="auto"/>
                <w:kern w:val="0"/>
                <w:sz w:val="22"/>
                <w:szCs w:val="22"/>
                <w:highlight w:val="none"/>
                <w:lang w:eastAsia="zh-CN"/>
              </w:rPr>
              <w:t>绩效监控</w:t>
            </w:r>
            <w:r>
              <w:rPr>
                <w:rFonts w:hint="eastAsia" w:ascii="仿宋" w:hAnsi="仿宋" w:eastAsia="仿宋" w:cs="仿宋"/>
                <w:color w:val="auto"/>
                <w:kern w:val="0"/>
                <w:sz w:val="22"/>
                <w:szCs w:val="22"/>
                <w:highlight w:val="none"/>
              </w:rPr>
              <w:t>、问卷调查等</w:t>
            </w:r>
          </w:p>
        </w:tc>
      </w:tr>
    </w:tbl>
    <w:p w14:paraId="26AD78C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2.评价时间及主要工作进程安排</w:t>
      </w:r>
      <w:bookmarkEnd w:id="128"/>
    </w:p>
    <w:p w14:paraId="50D91E6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129" w:name="_Toc17255"/>
      <w:r>
        <w:rPr>
          <w:rFonts w:hint="eastAsia" w:ascii="仿宋" w:hAnsi="仿宋" w:eastAsia="仿宋" w:cs="仿宋"/>
          <w:sz w:val="28"/>
          <w:szCs w:val="28"/>
          <w:highlight w:val="none"/>
        </w:rPr>
        <w:t>绩效评价工作分为评价准备阶段、评价实施阶段和评价报告撰写阶段。</w:t>
      </w:r>
    </w:p>
    <w:p w14:paraId="575DF6A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（1）</w:t>
      </w:r>
      <w:r>
        <w:rPr>
          <w:rFonts w:hint="eastAsia" w:ascii="仿宋" w:hAnsi="仿宋" w:eastAsia="仿宋" w:cs="仿宋"/>
          <w:b/>
          <w:bCs/>
          <w:sz w:val="28"/>
          <w:szCs w:val="28"/>
          <w:highlight w:val="none"/>
        </w:rPr>
        <w:t>评价准备阶段（20</w:t>
      </w:r>
      <w:r>
        <w:rPr>
          <w:rFonts w:hint="eastAsia" w:ascii="仿宋" w:hAnsi="仿宋" w:eastAsia="仿宋" w:cs="仿宋"/>
          <w:b/>
          <w:bCs/>
          <w:sz w:val="28"/>
          <w:szCs w:val="28"/>
          <w:highlight w:val="none"/>
          <w:lang w:val="en-US" w:eastAsia="zh-CN"/>
        </w:rPr>
        <w:t>24</w:t>
      </w:r>
      <w:r>
        <w:rPr>
          <w:rFonts w:hint="eastAsia" w:ascii="仿宋" w:hAnsi="仿宋" w:eastAsia="仿宋" w:cs="仿宋"/>
          <w:b/>
          <w:bCs/>
          <w:sz w:val="28"/>
          <w:szCs w:val="28"/>
          <w:highlight w:val="none"/>
        </w:rPr>
        <w:t>年</w:t>
      </w:r>
      <w:r>
        <w:rPr>
          <w:rFonts w:hint="eastAsia" w:ascii="仿宋" w:hAnsi="仿宋" w:eastAsia="仿宋" w:cs="仿宋"/>
          <w:b/>
          <w:bCs/>
          <w:sz w:val="28"/>
          <w:szCs w:val="28"/>
          <w:highlight w:val="none"/>
          <w:lang w:val="en-US" w:eastAsia="zh-CN"/>
        </w:rPr>
        <w:t>7</w:t>
      </w:r>
      <w:r>
        <w:rPr>
          <w:rFonts w:hint="eastAsia" w:ascii="仿宋" w:hAnsi="仿宋" w:eastAsia="仿宋" w:cs="仿宋"/>
          <w:b/>
          <w:bCs/>
          <w:sz w:val="28"/>
          <w:szCs w:val="28"/>
          <w:highlight w:val="none"/>
        </w:rPr>
        <w:t>月</w:t>
      </w:r>
      <w:r>
        <w:rPr>
          <w:rFonts w:hint="eastAsia" w:ascii="仿宋" w:hAnsi="仿宋" w:eastAsia="仿宋" w:cs="仿宋"/>
          <w:b/>
          <w:bCs/>
          <w:sz w:val="28"/>
          <w:szCs w:val="28"/>
          <w:highlight w:val="none"/>
          <w:lang w:val="en-US" w:eastAsia="zh-CN"/>
        </w:rPr>
        <w:t>10</w:t>
      </w:r>
      <w:r>
        <w:rPr>
          <w:rFonts w:hint="eastAsia" w:ascii="仿宋" w:hAnsi="仿宋" w:eastAsia="仿宋" w:cs="仿宋"/>
          <w:b/>
          <w:bCs/>
          <w:sz w:val="28"/>
          <w:szCs w:val="28"/>
          <w:highlight w:val="none"/>
        </w:rPr>
        <w:t>日—</w:t>
      </w:r>
      <w:r>
        <w:rPr>
          <w:rFonts w:hint="eastAsia" w:ascii="仿宋" w:hAnsi="仿宋" w:eastAsia="仿宋" w:cs="仿宋"/>
          <w:b/>
          <w:bCs/>
          <w:sz w:val="28"/>
          <w:szCs w:val="28"/>
          <w:highlight w:val="none"/>
          <w:lang w:val="en-US" w:eastAsia="zh-CN"/>
        </w:rPr>
        <w:t>7</w:t>
      </w:r>
      <w:r>
        <w:rPr>
          <w:rFonts w:hint="eastAsia" w:ascii="仿宋" w:hAnsi="仿宋" w:eastAsia="仿宋" w:cs="仿宋"/>
          <w:b/>
          <w:bCs/>
          <w:sz w:val="28"/>
          <w:szCs w:val="28"/>
          <w:highlight w:val="none"/>
        </w:rPr>
        <w:t>月</w:t>
      </w:r>
      <w:r>
        <w:rPr>
          <w:rFonts w:hint="eastAsia" w:ascii="仿宋" w:hAnsi="仿宋" w:eastAsia="仿宋" w:cs="仿宋"/>
          <w:b/>
          <w:bCs/>
          <w:sz w:val="28"/>
          <w:szCs w:val="28"/>
          <w:highlight w:val="none"/>
          <w:lang w:val="en-US" w:eastAsia="zh-CN"/>
        </w:rPr>
        <w:t>26</w:t>
      </w:r>
      <w:r>
        <w:rPr>
          <w:rFonts w:hint="eastAsia" w:ascii="仿宋" w:hAnsi="仿宋" w:eastAsia="仿宋" w:cs="仿宋"/>
          <w:b/>
          <w:bCs/>
          <w:sz w:val="28"/>
          <w:szCs w:val="28"/>
          <w:highlight w:val="none"/>
        </w:rPr>
        <w:t>日）</w:t>
      </w:r>
    </w:p>
    <w:p w14:paraId="6320969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制定绩效评价实施方案。评价小组研读了相关文件，并与</w:t>
      </w:r>
      <w:r>
        <w:rPr>
          <w:rFonts w:hint="eastAsia" w:ascii="仿宋" w:hAnsi="仿宋" w:eastAsia="仿宋" w:cs="仿宋"/>
          <w:sz w:val="28"/>
          <w:szCs w:val="28"/>
          <w:highlight w:val="none"/>
          <w:lang w:val="en-US" w:eastAsia="zh-CN"/>
        </w:rPr>
        <w:t>永济市市场监督管理局</w:t>
      </w:r>
      <w:r>
        <w:rPr>
          <w:rFonts w:hint="eastAsia" w:ascii="仿宋" w:hAnsi="仿宋" w:eastAsia="仿宋" w:cs="仿宋"/>
          <w:sz w:val="28"/>
          <w:szCs w:val="28"/>
          <w:highlight w:val="none"/>
        </w:rPr>
        <w:t>人员就</w:t>
      </w:r>
      <w:r>
        <w:rPr>
          <w:rFonts w:hint="eastAsia" w:ascii="仿宋" w:hAnsi="仿宋" w:eastAsia="仿宋" w:cs="仿宋"/>
          <w:sz w:val="28"/>
          <w:szCs w:val="28"/>
          <w:highlight w:val="none"/>
          <w:lang w:eastAsia="zh-CN"/>
        </w:rPr>
        <w:t>单位情况、</w:t>
      </w:r>
      <w:r>
        <w:rPr>
          <w:rFonts w:hint="eastAsia" w:ascii="仿宋" w:hAnsi="仿宋" w:eastAsia="仿宋" w:cs="仿宋"/>
          <w:sz w:val="28"/>
          <w:szCs w:val="28"/>
          <w:highlight w:val="none"/>
        </w:rPr>
        <w:t>项目具体实施情况进行了解，并进一步查阅相关资料。评价小组内部研讨后，</w:t>
      </w:r>
      <w:r>
        <w:rPr>
          <w:rFonts w:hint="eastAsia" w:ascii="仿宋" w:hAnsi="仿宋" w:eastAsia="仿宋" w:cs="仿宋"/>
          <w:sz w:val="28"/>
          <w:szCs w:val="28"/>
          <w:highlight w:val="none"/>
          <w:lang w:eastAsia="zh-CN"/>
        </w:rPr>
        <w:t>拟</w:t>
      </w:r>
      <w:r>
        <w:rPr>
          <w:rFonts w:hint="eastAsia" w:ascii="仿宋" w:hAnsi="仿宋" w:eastAsia="仿宋" w:cs="仿宋"/>
          <w:sz w:val="28"/>
          <w:szCs w:val="28"/>
          <w:highlight w:val="none"/>
        </w:rPr>
        <w:t>定工作方案、指标体系、调查问卷及访谈内容，</w:t>
      </w:r>
      <w:r>
        <w:rPr>
          <w:rFonts w:hint="eastAsia" w:ascii="仿宋" w:hAnsi="仿宋" w:eastAsia="仿宋" w:cs="仿宋"/>
          <w:sz w:val="28"/>
          <w:szCs w:val="28"/>
          <w:highlight w:val="none"/>
          <w:lang w:val="en-US" w:eastAsia="zh-CN"/>
        </w:rPr>
        <w:t>报永济市财政局绩效管理股，永济市财政局绩效管理股组织局机关相关部门业务股室和专家</w:t>
      </w:r>
      <w:r>
        <w:rPr>
          <w:rFonts w:hint="eastAsia" w:ascii="仿宋" w:hAnsi="仿宋" w:eastAsia="仿宋" w:cs="仿宋"/>
          <w:sz w:val="28"/>
          <w:szCs w:val="28"/>
          <w:highlight w:val="none"/>
          <w:lang w:eastAsia="zh-CN"/>
        </w:rPr>
        <w:t>审核，审核后</w:t>
      </w:r>
      <w:r>
        <w:rPr>
          <w:rFonts w:hint="eastAsia" w:ascii="仿宋" w:hAnsi="仿宋" w:eastAsia="仿宋" w:cs="仿宋"/>
          <w:sz w:val="28"/>
          <w:szCs w:val="28"/>
          <w:highlight w:val="none"/>
        </w:rPr>
        <w:t>根据审核论证意见对方案和指标进行修改并完善，确定绩效评价方案、指标体系、调查问卷及访谈内容。</w:t>
      </w:r>
    </w:p>
    <w:p w14:paraId="67416B3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评价实施阶段（20</w:t>
      </w:r>
      <w:r>
        <w:rPr>
          <w:rFonts w:hint="eastAsia" w:ascii="仿宋" w:hAnsi="仿宋" w:eastAsia="仿宋" w:cs="仿宋"/>
          <w:b/>
          <w:bCs/>
          <w:sz w:val="28"/>
          <w:szCs w:val="28"/>
          <w:highlight w:val="none"/>
          <w:lang w:val="en-US" w:eastAsia="zh-CN"/>
        </w:rPr>
        <w:t>24</w:t>
      </w:r>
      <w:r>
        <w:rPr>
          <w:rFonts w:hint="eastAsia" w:ascii="仿宋" w:hAnsi="仿宋" w:eastAsia="仿宋" w:cs="仿宋"/>
          <w:b/>
          <w:bCs/>
          <w:sz w:val="28"/>
          <w:szCs w:val="28"/>
          <w:highlight w:val="none"/>
        </w:rPr>
        <w:t>年</w:t>
      </w:r>
      <w:r>
        <w:rPr>
          <w:rFonts w:hint="eastAsia" w:ascii="仿宋" w:hAnsi="仿宋" w:eastAsia="仿宋" w:cs="仿宋"/>
          <w:b/>
          <w:bCs/>
          <w:sz w:val="28"/>
          <w:szCs w:val="28"/>
          <w:highlight w:val="none"/>
          <w:lang w:val="en-US" w:eastAsia="zh-CN"/>
        </w:rPr>
        <w:t>7</w:t>
      </w:r>
      <w:r>
        <w:rPr>
          <w:rFonts w:hint="eastAsia" w:ascii="仿宋" w:hAnsi="仿宋" w:eastAsia="仿宋" w:cs="仿宋"/>
          <w:b/>
          <w:bCs/>
          <w:sz w:val="28"/>
          <w:szCs w:val="28"/>
          <w:highlight w:val="none"/>
        </w:rPr>
        <w:t>月</w:t>
      </w:r>
      <w:r>
        <w:rPr>
          <w:rFonts w:hint="eastAsia" w:ascii="仿宋" w:hAnsi="仿宋" w:eastAsia="仿宋" w:cs="仿宋"/>
          <w:b/>
          <w:bCs/>
          <w:sz w:val="28"/>
          <w:szCs w:val="28"/>
          <w:highlight w:val="none"/>
          <w:lang w:val="en-US" w:eastAsia="zh-CN"/>
        </w:rPr>
        <w:t>29</w:t>
      </w:r>
      <w:r>
        <w:rPr>
          <w:rFonts w:hint="eastAsia" w:ascii="仿宋" w:hAnsi="仿宋" w:eastAsia="仿宋" w:cs="仿宋"/>
          <w:b/>
          <w:bCs/>
          <w:sz w:val="28"/>
          <w:szCs w:val="28"/>
          <w:highlight w:val="none"/>
        </w:rPr>
        <w:t>日—</w:t>
      </w:r>
      <w:r>
        <w:rPr>
          <w:rFonts w:hint="eastAsia" w:ascii="仿宋" w:hAnsi="仿宋" w:eastAsia="仿宋" w:cs="仿宋"/>
          <w:b/>
          <w:bCs/>
          <w:sz w:val="28"/>
          <w:szCs w:val="28"/>
          <w:highlight w:val="none"/>
          <w:lang w:val="en-US" w:eastAsia="zh-CN"/>
        </w:rPr>
        <w:t>9</w:t>
      </w:r>
      <w:r>
        <w:rPr>
          <w:rFonts w:hint="eastAsia" w:ascii="仿宋" w:hAnsi="仿宋" w:eastAsia="仿宋" w:cs="仿宋"/>
          <w:b/>
          <w:bCs/>
          <w:sz w:val="28"/>
          <w:szCs w:val="28"/>
          <w:highlight w:val="none"/>
        </w:rPr>
        <w:t>月</w:t>
      </w:r>
      <w:r>
        <w:rPr>
          <w:rFonts w:hint="eastAsia" w:ascii="仿宋" w:hAnsi="仿宋" w:eastAsia="仿宋" w:cs="仿宋"/>
          <w:b/>
          <w:bCs/>
          <w:sz w:val="28"/>
          <w:szCs w:val="28"/>
          <w:highlight w:val="none"/>
          <w:lang w:val="en-US" w:eastAsia="zh-CN"/>
        </w:rPr>
        <w:t>13</w:t>
      </w:r>
      <w:r>
        <w:rPr>
          <w:rFonts w:hint="eastAsia" w:ascii="仿宋" w:hAnsi="仿宋" w:eastAsia="仿宋" w:cs="仿宋"/>
          <w:b/>
          <w:bCs/>
          <w:sz w:val="28"/>
          <w:szCs w:val="28"/>
          <w:highlight w:val="none"/>
        </w:rPr>
        <w:t>日）</w:t>
      </w:r>
    </w:p>
    <w:p w14:paraId="4DDB8FB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根据确定的绩效评价方案，评价小组将绩效评价实施方案、需要准备的资料清单等发至</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，并要求</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按照方案要求编写绩效自评报告、提供相关电子资料及纸质资料。</w:t>
      </w:r>
    </w:p>
    <w:p w14:paraId="77A058E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首先，由评价小组组长根据访谈大纲，约谈项目负责人，完成访谈工作；</w:t>
      </w:r>
      <w:r>
        <w:rPr>
          <w:rFonts w:hint="eastAsia" w:ascii="仿宋" w:hAnsi="仿宋" w:eastAsia="仿宋" w:cs="仿宋"/>
          <w:sz w:val="28"/>
          <w:szCs w:val="28"/>
          <w:highlight w:val="none"/>
          <w:lang w:eastAsia="zh-CN"/>
        </w:rPr>
        <w:t>第二，</w:t>
      </w:r>
      <w:r>
        <w:rPr>
          <w:rFonts w:hint="eastAsia" w:ascii="仿宋" w:hAnsi="仿宋" w:eastAsia="仿宋" w:cs="仿宋"/>
          <w:sz w:val="28"/>
          <w:szCs w:val="28"/>
          <w:highlight w:val="none"/>
        </w:rPr>
        <w:t>组织评价小组人员对</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提供的资料进行审核，重点对</w:t>
      </w:r>
      <w:r>
        <w:rPr>
          <w:rFonts w:hint="eastAsia" w:ascii="仿宋" w:hAnsi="仿宋" w:eastAsia="仿宋" w:cs="仿宋"/>
          <w:sz w:val="28"/>
          <w:szCs w:val="28"/>
          <w:highlight w:val="none"/>
          <w:lang w:eastAsia="zh-CN"/>
        </w:rPr>
        <w:t>部门的目标设定、预算执行及管理、资产管理、职责履行、相关项目资料</w:t>
      </w:r>
      <w:r>
        <w:rPr>
          <w:rFonts w:hint="eastAsia" w:ascii="仿宋" w:hAnsi="仿宋" w:eastAsia="仿宋" w:cs="仿宋"/>
          <w:sz w:val="28"/>
          <w:szCs w:val="28"/>
          <w:highlight w:val="none"/>
        </w:rPr>
        <w:t>等进行复核，</w:t>
      </w:r>
      <w:r>
        <w:rPr>
          <w:rFonts w:hint="eastAsia" w:ascii="仿宋" w:hAnsi="仿宋" w:eastAsia="仿宋" w:cs="仿宋"/>
          <w:sz w:val="28"/>
          <w:szCs w:val="28"/>
          <w:highlight w:val="none"/>
          <w:lang w:eastAsia="zh-CN"/>
        </w:rPr>
        <w:t>并实地勘察部门工作完成情况、项目实施情况</w:t>
      </w:r>
      <w:r>
        <w:rPr>
          <w:rFonts w:hint="eastAsia" w:ascii="仿宋" w:hAnsi="仿宋" w:eastAsia="仿宋" w:cs="仿宋"/>
          <w:sz w:val="28"/>
          <w:szCs w:val="28"/>
          <w:highlight w:val="none"/>
        </w:rPr>
        <w:t>；第三，评价组</w:t>
      </w:r>
      <w:r>
        <w:rPr>
          <w:rFonts w:hint="eastAsia" w:ascii="仿宋" w:hAnsi="仿宋" w:eastAsia="仿宋" w:cs="仿宋"/>
          <w:sz w:val="28"/>
          <w:szCs w:val="28"/>
          <w:highlight w:val="none"/>
          <w:lang w:val="en-US" w:eastAsia="zh-CN"/>
        </w:rPr>
        <w:t>对永济市市场监督管理局</w:t>
      </w:r>
      <w:r>
        <w:rPr>
          <w:rFonts w:hint="eastAsia" w:ascii="仿宋" w:hAnsi="仿宋" w:eastAsia="仿宋" w:cs="仿宋"/>
          <w:sz w:val="28"/>
          <w:szCs w:val="28"/>
          <w:highlight w:val="none"/>
        </w:rPr>
        <w:t>人员</w:t>
      </w:r>
      <w:r>
        <w:rPr>
          <w:rFonts w:hint="eastAsia" w:ascii="仿宋" w:hAnsi="仿宋" w:eastAsia="仿宋" w:cs="仿宋"/>
          <w:sz w:val="28"/>
          <w:szCs w:val="28"/>
          <w:highlight w:val="none"/>
          <w:lang w:val="en-US" w:eastAsia="zh-CN"/>
        </w:rPr>
        <w:t>履职所针对的受益人群</w:t>
      </w:r>
      <w:r>
        <w:rPr>
          <w:rFonts w:hint="eastAsia" w:ascii="仿宋" w:hAnsi="仿宋" w:eastAsia="仿宋" w:cs="仿宋"/>
          <w:sz w:val="28"/>
          <w:szCs w:val="28"/>
          <w:highlight w:val="none"/>
        </w:rPr>
        <w:t>进行问卷调查。</w:t>
      </w:r>
    </w:p>
    <w:p w14:paraId="31BA930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评价组根据搜集和整理的相关数据及实地核查情况，按照评价标准，对各项指标进行初步计算和打分。</w:t>
      </w:r>
    </w:p>
    <w:p w14:paraId="7BC1982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报告撰写提交阶段（20</w:t>
      </w:r>
      <w:r>
        <w:rPr>
          <w:rFonts w:hint="eastAsia" w:ascii="仿宋" w:hAnsi="仿宋" w:eastAsia="仿宋" w:cs="仿宋"/>
          <w:b/>
          <w:bCs/>
          <w:sz w:val="28"/>
          <w:szCs w:val="28"/>
          <w:highlight w:val="none"/>
          <w:lang w:val="en-US" w:eastAsia="zh-CN"/>
        </w:rPr>
        <w:t>24</w:t>
      </w:r>
      <w:r>
        <w:rPr>
          <w:rFonts w:hint="eastAsia" w:ascii="仿宋" w:hAnsi="仿宋" w:eastAsia="仿宋" w:cs="仿宋"/>
          <w:b/>
          <w:bCs/>
          <w:sz w:val="28"/>
          <w:szCs w:val="28"/>
          <w:highlight w:val="none"/>
        </w:rPr>
        <w:t>年</w:t>
      </w:r>
      <w:r>
        <w:rPr>
          <w:rFonts w:hint="eastAsia" w:ascii="仿宋" w:hAnsi="仿宋" w:eastAsia="仿宋" w:cs="仿宋"/>
          <w:b/>
          <w:bCs/>
          <w:sz w:val="28"/>
          <w:szCs w:val="28"/>
          <w:highlight w:val="none"/>
          <w:lang w:val="en-US" w:eastAsia="zh-CN"/>
        </w:rPr>
        <w:t>9</w:t>
      </w:r>
      <w:r>
        <w:rPr>
          <w:rFonts w:hint="eastAsia" w:ascii="仿宋" w:hAnsi="仿宋" w:eastAsia="仿宋" w:cs="仿宋"/>
          <w:b/>
          <w:bCs/>
          <w:sz w:val="28"/>
          <w:szCs w:val="28"/>
          <w:highlight w:val="none"/>
        </w:rPr>
        <w:t>月</w:t>
      </w:r>
      <w:r>
        <w:rPr>
          <w:rFonts w:hint="eastAsia" w:ascii="仿宋" w:hAnsi="仿宋" w:eastAsia="仿宋" w:cs="仿宋"/>
          <w:b/>
          <w:bCs/>
          <w:sz w:val="28"/>
          <w:szCs w:val="28"/>
          <w:highlight w:val="none"/>
          <w:lang w:val="en-US" w:eastAsia="zh-CN"/>
        </w:rPr>
        <w:t>14</w:t>
      </w:r>
      <w:r>
        <w:rPr>
          <w:rFonts w:hint="eastAsia" w:ascii="仿宋" w:hAnsi="仿宋" w:eastAsia="仿宋" w:cs="仿宋"/>
          <w:b/>
          <w:bCs/>
          <w:sz w:val="28"/>
          <w:szCs w:val="28"/>
          <w:highlight w:val="none"/>
        </w:rPr>
        <w:t>日—</w:t>
      </w:r>
      <w:r>
        <w:rPr>
          <w:rFonts w:hint="eastAsia" w:ascii="仿宋" w:hAnsi="仿宋" w:eastAsia="仿宋" w:cs="仿宋"/>
          <w:b/>
          <w:bCs/>
          <w:sz w:val="28"/>
          <w:szCs w:val="28"/>
          <w:highlight w:val="none"/>
          <w:lang w:val="en-US" w:eastAsia="zh-CN"/>
        </w:rPr>
        <w:t>10</w:t>
      </w:r>
      <w:r>
        <w:rPr>
          <w:rFonts w:hint="eastAsia" w:ascii="仿宋" w:hAnsi="仿宋" w:eastAsia="仿宋" w:cs="仿宋"/>
          <w:b/>
          <w:bCs/>
          <w:sz w:val="28"/>
          <w:szCs w:val="28"/>
          <w:highlight w:val="none"/>
        </w:rPr>
        <w:t>月</w:t>
      </w:r>
      <w:r>
        <w:rPr>
          <w:rFonts w:hint="eastAsia" w:ascii="仿宋" w:hAnsi="仿宋" w:eastAsia="仿宋" w:cs="仿宋"/>
          <w:b/>
          <w:bCs/>
          <w:sz w:val="28"/>
          <w:szCs w:val="28"/>
          <w:highlight w:val="none"/>
          <w:lang w:val="en-US" w:eastAsia="zh-CN"/>
        </w:rPr>
        <w:t>20</w:t>
      </w:r>
      <w:r>
        <w:rPr>
          <w:rFonts w:hint="eastAsia" w:ascii="仿宋" w:hAnsi="仿宋" w:eastAsia="仿宋" w:cs="仿宋"/>
          <w:b/>
          <w:bCs/>
          <w:sz w:val="28"/>
          <w:szCs w:val="28"/>
          <w:highlight w:val="none"/>
        </w:rPr>
        <w:t>日）</w:t>
      </w:r>
    </w:p>
    <w:p w14:paraId="23A2CB9D">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560" w:firstLineChars="200"/>
        <w:jc w:val="both"/>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评价组整理、综合分析</w:t>
      </w:r>
      <w:r>
        <w:rPr>
          <w:rFonts w:hint="eastAsia" w:ascii="仿宋" w:hAnsi="仿宋" w:eastAsia="仿宋" w:cs="仿宋"/>
          <w:sz w:val="28"/>
          <w:szCs w:val="28"/>
          <w:highlight w:val="none"/>
          <w:lang w:eastAsia="zh-CN"/>
        </w:rPr>
        <w:t>部门</w:t>
      </w:r>
      <w:r>
        <w:rPr>
          <w:rFonts w:hint="eastAsia" w:ascii="仿宋" w:hAnsi="仿宋" w:eastAsia="仿宋" w:cs="仿宋"/>
          <w:sz w:val="28"/>
          <w:szCs w:val="28"/>
          <w:highlight w:val="none"/>
        </w:rPr>
        <w:t>相关信息，根据评价指标体系、评价标准和评价方法，对评价对象的绩效情况进行全面的定量、定性分析和综合评价，并提炼结论撰写绩效评价报告，提交</w:t>
      </w:r>
      <w:r>
        <w:rPr>
          <w:rFonts w:hint="eastAsia" w:ascii="仿宋" w:hAnsi="仿宋" w:eastAsia="仿宋" w:cs="仿宋"/>
          <w:sz w:val="28"/>
          <w:szCs w:val="28"/>
          <w:highlight w:val="none"/>
          <w:lang w:val="en-US" w:eastAsia="zh-CN"/>
        </w:rPr>
        <w:t>永济市财政局绩效管理股</w:t>
      </w:r>
      <w:r>
        <w:rPr>
          <w:rFonts w:hint="eastAsia" w:ascii="仿宋" w:hAnsi="仿宋" w:eastAsia="仿宋" w:cs="仿宋"/>
          <w:sz w:val="28"/>
          <w:szCs w:val="28"/>
          <w:highlight w:val="none"/>
        </w:rPr>
        <w:t>，根据</w:t>
      </w:r>
      <w:r>
        <w:rPr>
          <w:rFonts w:hint="eastAsia" w:ascii="仿宋" w:hAnsi="仿宋" w:eastAsia="仿宋" w:cs="仿宋"/>
          <w:sz w:val="28"/>
          <w:szCs w:val="28"/>
          <w:highlight w:val="none"/>
          <w:lang w:val="en-US" w:eastAsia="zh-CN"/>
        </w:rPr>
        <w:t>永济市</w:t>
      </w:r>
      <w:r>
        <w:rPr>
          <w:rFonts w:hint="eastAsia" w:ascii="仿宋" w:hAnsi="仿宋" w:eastAsia="仿宋" w:cs="仿宋"/>
          <w:sz w:val="28"/>
          <w:szCs w:val="28"/>
          <w:highlight w:val="none"/>
          <w:lang w:eastAsia="zh-CN"/>
        </w:rPr>
        <w:t>财政局</w:t>
      </w:r>
      <w:r>
        <w:rPr>
          <w:rFonts w:hint="eastAsia" w:ascii="仿宋" w:hAnsi="仿宋" w:eastAsia="仿宋" w:cs="仿宋"/>
          <w:sz w:val="28"/>
          <w:szCs w:val="28"/>
          <w:highlight w:val="none"/>
        </w:rPr>
        <w:t>专家审核意见修改绩效评价报告</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并提交正式绩效评价报告</w:t>
      </w:r>
      <w:r>
        <w:rPr>
          <w:rFonts w:hint="eastAsia" w:ascii="仿宋" w:hAnsi="仿宋" w:eastAsia="仿宋" w:cs="仿宋"/>
          <w:sz w:val="28"/>
          <w:szCs w:val="28"/>
          <w:highlight w:val="none"/>
          <w:lang w:eastAsia="zh-CN"/>
        </w:rPr>
        <w:t>。</w:t>
      </w:r>
    </w:p>
    <w:p w14:paraId="66EFEE5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val="0"/>
          <w:bCs w:val="0"/>
          <w:sz w:val="28"/>
          <w:szCs w:val="28"/>
          <w:highlight w:val="none"/>
        </w:rPr>
      </w:pPr>
      <w:bookmarkStart w:id="130" w:name="_Toc9181"/>
      <w:bookmarkStart w:id="131" w:name="_Toc16638"/>
      <w:r>
        <w:rPr>
          <w:rFonts w:hint="eastAsia" w:ascii="仿宋" w:hAnsi="仿宋" w:eastAsia="仿宋" w:cs="仿宋"/>
          <w:b/>
          <w:bCs/>
          <w:sz w:val="28"/>
          <w:szCs w:val="28"/>
          <w:highlight w:val="none"/>
          <w:lang w:val="en-US" w:eastAsia="zh-CN"/>
        </w:rPr>
        <w:t>（七）</w:t>
      </w:r>
      <w:r>
        <w:rPr>
          <w:rFonts w:hint="eastAsia" w:ascii="仿宋" w:hAnsi="仿宋" w:eastAsia="仿宋" w:cs="仿宋"/>
          <w:b/>
          <w:bCs/>
          <w:sz w:val="28"/>
          <w:szCs w:val="28"/>
          <w:highlight w:val="none"/>
        </w:rPr>
        <w:t>分值评级</w:t>
      </w:r>
      <w:bookmarkEnd w:id="126"/>
      <w:bookmarkEnd w:id="129"/>
      <w:bookmarkEnd w:id="130"/>
      <w:bookmarkEnd w:id="131"/>
    </w:p>
    <w:p w14:paraId="1748BE9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项目评价结果分为优、良、中、差四个档次，根据评价分值，确定评价对象对应的档次。具体分值与档次见表</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w:t>
      </w:r>
    </w:p>
    <w:p w14:paraId="66D3BCD6">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highlight w:val="none"/>
          <w:lang w:val="en-US"/>
        </w:rPr>
      </w:pPr>
      <w:r>
        <w:rPr>
          <w:rFonts w:hint="eastAsia" w:ascii="仿宋" w:hAnsi="仿宋" w:eastAsia="仿宋" w:cs="仿宋"/>
          <w:b w:val="0"/>
          <w:bCs w:val="0"/>
          <w:color w:val="000000"/>
          <w:kern w:val="0"/>
          <w:sz w:val="28"/>
          <w:szCs w:val="28"/>
          <w:highlight w:val="none"/>
          <w:shd w:val="clear" w:color="auto" w:fill="FFFFFF"/>
          <w:lang w:val="en-US" w:eastAsia="zh-CN"/>
        </w:rPr>
        <w:t>表3：评价分值与评价等级表</w:t>
      </w:r>
    </w:p>
    <w:tbl>
      <w:tblPr>
        <w:tblStyle w:val="11"/>
        <w:tblW w:w="8440" w:type="dxa"/>
        <w:tblInd w:w="0" w:type="dxa"/>
        <w:shd w:val="clear" w:color="auto" w:fill="auto"/>
        <w:tblLayout w:type="fixed"/>
        <w:tblCellMar>
          <w:top w:w="0" w:type="dxa"/>
          <w:left w:w="0" w:type="dxa"/>
          <w:bottom w:w="0" w:type="dxa"/>
          <w:right w:w="0" w:type="dxa"/>
        </w:tblCellMar>
      </w:tblPr>
      <w:tblGrid>
        <w:gridCol w:w="1688"/>
        <w:gridCol w:w="1429"/>
        <w:gridCol w:w="1947"/>
        <w:gridCol w:w="1833"/>
        <w:gridCol w:w="1543"/>
      </w:tblGrid>
      <w:tr w14:paraId="3F41CAB8">
        <w:tblPrEx>
          <w:shd w:val="clear" w:color="auto" w:fill="auto"/>
          <w:tblCellMar>
            <w:top w:w="0" w:type="dxa"/>
            <w:left w:w="0" w:type="dxa"/>
            <w:bottom w:w="0" w:type="dxa"/>
            <w:right w:w="0" w:type="dxa"/>
          </w:tblCellMar>
        </w:tblPrEx>
        <w:trPr>
          <w:trHeight w:val="463" w:hRule="atLeast"/>
          <w:tblHeader/>
        </w:trPr>
        <w:tc>
          <w:tcPr>
            <w:tcW w:w="168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25CCF535">
            <w:pPr>
              <w:keepNext w:val="0"/>
              <w:keepLines w:val="0"/>
              <w:widowControl/>
              <w:suppressLineNumbers w:val="0"/>
              <w:jc w:val="center"/>
              <w:textAlignment w:val="center"/>
              <w:outlineLvl w:val="9"/>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等级</w:t>
            </w:r>
          </w:p>
        </w:tc>
        <w:tc>
          <w:tcPr>
            <w:tcW w:w="142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7EDD4415">
            <w:pPr>
              <w:keepNext w:val="0"/>
              <w:keepLines w:val="0"/>
              <w:widowControl/>
              <w:suppressLineNumbers w:val="0"/>
              <w:jc w:val="center"/>
              <w:textAlignment w:val="center"/>
              <w:outlineLvl w:val="9"/>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优</w:t>
            </w:r>
          </w:p>
        </w:tc>
        <w:tc>
          <w:tcPr>
            <w:tcW w:w="194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5620B6E8">
            <w:pPr>
              <w:keepNext w:val="0"/>
              <w:keepLines w:val="0"/>
              <w:widowControl/>
              <w:suppressLineNumbers w:val="0"/>
              <w:jc w:val="center"/>
              <w:textAlignment w:val="center"/>
              <w:outlineLvl w:val="9"/>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良</w:t>
            </w:r>
          </w:p>
        </w:tc>
        <w:tc>
          <w:tcPr>
            <w:tcW w:w="183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48EEDC8B">
            <w:pPr>
              <w:keepNext w:val="0"/>
              <w:keepLines w:val="0"/>
              <w:widowControl/>
              <w:suppressLineNumbers w:val="0"/>
              <w:jc w:val="center"/>
              <w:textAlignment w:val="center"/>
              <w:outlineLvl w:val="9"/>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中</w:t>
            </w:r>
          </w:p>
        </w:tc>
        <w:tc>
          <w:tcPr>
            <w:tcW w:w="154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14:paraId="13A447FE">
            <w:pPr>
              <w:keepNext w:val="0"/>
              <w:keepLines w:val="0"/>
              <w:widowControl/>
              <w:suppressLineNumbers w:val="0"/>
              <w:jc w:val="center"/>
              <w:textAlignment w:val="center"/>
              <w:outlineLvl w:val="9"/>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差</w:t>
            </w:r>
          </w:p>
        </w:tc>
      </w:tr>
      <w:tr w14:paraId="6C425013">
        <w:tblPrEx>
          <w:shd w:val="clear" w:color="auto" w:fill="auto"/>
          <w:tblCellMar>
            <w:top w:w="0" w:type="dxa"/>
            <w:left w:w="0" w:type="dxa"/>
            <w:bottom w:w="0" w:type="dxa"/>
            <w:right w:w="0" w:type="dxa"/>
          </w:tblCellMar>
        </w:tblPrEx>
        <w:trPr>
          <w:trHeight w:val="477" w:hRule="atLeast"/>
          <w:tblHeader/>
        </w:trPr>
        <w:tc>
          <w:tcPr>
            <w:tcW w:w="16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D3C43C">
            <w:pPr>
              <w:keepNext w:val="0"/>
              <w:keepLines w:val="0"/>
              <w:widowControl/>
              <w:suppressLineNumbers w:val="0"/>
              <w:jc w:val="center"/>
              <w:textAlignment w:val="center"/>
              <w:outlineLvl w:val="9"/>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分值</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C37337">
            <w:pPr>
              <w:keepNext w:val="0"/>
              <w:keepLines w:val="0"/>
              <w:widowControl/>
              <w:suppressLineNumbers w:val="0"/>
              <w:jc w:val="center"/>
              <w:textAlignment w:val="center"/>
              <w:outlineLvl w:val="9"/>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分值≥90</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01F94A1">
            <w:pPr>
              <w:keepNext w:val="0"/>
              <w:keepLines w:val="0"/>
              <w:widowControl/>
              <w:suppressLineNumbers w:val="0"/>
              <w:jc w:val="center"/>
              <w:textAlignment w:val="center"/>
              <w:outlineLvl w:val="9"/>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90＜分值≥80</w:t>
            </w:r>
          </w:p>
        </w:tc>
        <w:tc>
          <w:tcPr>
            <w:tcW w:w="18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036C055">
            <w:pPr>
              <w:keepNext w:val="0"/>
              <w:keepLines w:val="0"/>
              <w:widowControl/>
              <w:suppressLineNumbers w:val="0"/>
              <w:jc w:val="center"/>
              <w:textAlignment w:val="center"/>
              <w:outlineLvl w:val="9"/>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80＜分值≥60</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62CAD2">
            <w:pPr>
              <w:keepNext w:val="0"/>
              <w:keepLines w:val="0"/>
              <w:widowControl/>
              <w:suppressLineNumbers w:val="0"/>
              <w:jc w:val="center"/>
              <w:textAlignment w:val="center"/>
              <w:outlineLvl w:val="9"/>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60＜分值</w:t>
            </w:r>
          </w:p>
        </w:tc>
      </w:tr>
    </w:tbl>
    <w:p w14:paraId="37A035D8">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0"/>
        <w:rPr>
          <w:rFonts w:hint="eastAsia" w:ascii="仿宋" w:hAnsi="仿宋" w:eastAsia="仿宋" w:cs="仿宋"/>
          <w:b/>
          <w:color w:val="auto"/>
          <w:sz w:val="28"/>
          <w:szCs w:val="28"/>
          <w:highlight w:val="none"/>
          <w:lang w:val="en-US" w:eastAsia="zh-CN"/>
        </w:rPr>
      </w:pPr>
      <w:bookmarkStart w:id="132" w:name="_Toc27150"/>
      <w:bookmarkStart w:id="133" w:name="_Toc13521"/>
      <w:bookmarkStart w:id="134" w:name="_Toc2769"/>
      <w:bookmarkStart w:id="135" w:name="_Toc16275"/>
      <w:bookmarkStart w:id="136" w:name="_Toc16626"/>
      <w:bookmarkStart w:id="137" w:name="_Toc7148"/>
      <w:bookmarkStart w:id="138" w:name="_Toc2837"/>
      <w:r>
        <w:rPr>
          <w:rFonts w:hint="eastAsia" w:ascii="仿宋" w:hAnsi="仿宋" w:eastAsia="仿宋" w:cs="仿宋"/>
          <w:b/>
          <w:color w:val="auto"/>
          <w:sz w:val="28"/>
          <w:szCs w:val="28"/>
          <w:highlight w:val="none"/>
        </w:rPr>
        <w:t>三、</w:t>
      </w:r>
      <w:r>
        <w:rPr>
          <w:rFonts w:hint="eastAsia" w:ascii="仿宋" w:hAnsi="仿宋" w:eastAsia="仿宋" w:cs="仿宋"/>
          <w:b/>
          <w:color w:val="auto"/>
          <w:sz w:val="28"/>
          <w:szCs w:val="28"/>
          <w:highlight w:val="none"/>
          <w:lang w:val="en-US" w:eastAsia="zh-CN"/>
        </w:rPr>
        <w:t>综合评价情况及评价结论</w:t>
      </w:r>
      <w:bookmarkEnd w:id="132"/>
      <w:bookmarkEnd w:id="133"/>
      <w:bookmarkEnd w:id="134"/>
      <w:bookmarkEnd w:id="135"/>
      <w:bookmarkEnd w:id="136"/>
      <w:bookmarkEnd w:id="137"/>
      <w:bookmarkEnd w:id="138"/>
    </w:p>
    <w:p w14:paraId="7A0BD4E6">
      <w:pPr>
        <w:pStyle w:val="14"/>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仿宋" w:hAnsi="仿宋" w:eastAsia="仿宋" w:cs="仿宋"/>
          <w:b/>
          <w:highlight w:val="none"/>
          <w:lang w:val="en-US"/>
        </w:rPr>
      </w:pPr>
      <w:bookmarkStart w:id="139" w:name="_Toc15574"/>
      <w:bookmarkStart w:id="140" w:name="_Toc5189"/>
      <w:bookmarkStart w:id="141" w:name="_Toc13458"/>
      <w:bookmarkStart w:id="142" w:name="_Toc17532"/>
      <w:r>
        <w:rPr>
          <w:rFonts w:hint="eastAsia" w:ascii="仿宋" w:hAnsi="仿宋" w:eastAsia="仿宋" w:cs="仿宋"/>
          <w:b/>
          <w:highlight w:val="none"/>
        </w:rPr>
        <w:t>（一）</w:t>
      </w:r>
      <w:r>
        <w:rPr>
          <w:rFonts w:hint="eastAsia" w:ascii="仿宋" w:hAnsi="仿宋" w:eastAsia="仿宋" w:cs="仿宋"/>
          <w:b/>
          <w:highlight w:val="none"/>
          <w:lang w:val="en-US" w:eastAsia="zh-CN"/>
        </w:rPr>
        <w:t>综合</w:t>
      </w:r>
      <w:r>
        <w:rPr>
          <w:rFonts w:hint="eastAsia" w:ascii="仿宋" w:hAnsi="仿宋" w:eastAsia="仿宋" w:cs="仿宋"/>
          <w:b/>
          <w:highlight w:val="none"/>
        </w:rPr>
        <w:t>评</w:t>
      </w:r>
      <w:r>
        <w:rPr>
          <w:rFonts w:hint="eastAsia" w:ascii="仿宋" w:hAnsi="仿宋" w:eastAsia="仿宋" w:cs="仿宋"/>
          <w:b/>
          <w:highlight w:val="none"/>
          <w:lang w:val="en-US" w:eastAsia="zh-CN"/>
        </w:rPr>
        <w:t>价情况</w:t>
      </w:r>
      <w:bookmarkEnd w:id="139"/>
      <w:bookmarkEnd w:id="140"/>
      <w:bookmarkEnd w:id="141"/>
    </w:p>
    <w:p w14:paraId="50B3703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绩效评价项目组通过实施数据采集、现场核查、问卷调查、重点访谈、汇总分析等程序，依据相关文件和经审定的评价指标体系及评分标准，对</w:t>
      </w:r>
      <w:r>
        <w:rPr>
          <w:rFonts w:hint="eastAsia" w:ascii="仿宋" w:hAnsi="仿宋" w:eastAsia="仿宋" w:cs="仿宋"/>
          <w:sz w:val="28"/>
          <w:szCs w:val="28"/>
          <w:highlight w:val="none"/>
          <w:lang w:val="en-US" w:eastAsia="zh-CN"/>
        </w:rPr>
        <w:t>永济市市场监督管理局2023</w:t>
      </w:r>
      <w:r>
        <w:rPr>
          <w:rFonts w:hint="eastAsia" w:ascii="仿宋" w:hAnsi="仿宋" w:eastAsia="仿宋" w:cs="仿宋"/>
          <w:b w:val="0"/>
          <w:bCs w:val="0"/>
          <w:kern w:val="2"/>
          <w:sz w:val="28"/>
          <w:szCs w:val="28"/>
          <w:highlight w:val="none"/>
          <w:lang w:val="en-US" w:eastAsia="zh-CN" w:bidi="ar-SA"/>
        </w:rPr>
        <w:t>年度整体支出绩效进行客观评价，最终结果为：总得分为89.12分，绩效评级为“良”，各指标详细打分情况见附件2。</w:t>
      </w:r>
    </w:p>
    <w:p w14:paraId="03E73971">
      <w:pPr>
        <w:pStyle w:val="15"/>
        <w:keepNext w:val="0"/>
        <w:keepLines w:val="0"/>
        <w:pageBreakBefore w:val="0"/>
        <w:framePr w:wrap="auto" w:vAnchor="margin" w:hAnchor="text" w:yAlign="inline"/>
        <w:widowControl w:val="0"/>
        <w:kinsoku/>
        <w:wordWrap/>
        <w:overflowPunct/>
        <w:topLinePunct w:val="0"/>
        <w:autoSpaceDE/>
        <w:autoSpaceDN/>
        <w:bidi w:val="0"/>
        <w:adjustRightInd w:val="0"/>
        <w:snapToGrid w:val="0"/>
        <w:spacing w:line="560" w:lineRule="exact"/>
        <w:ind w:firstLine="0"/>
        <w:jc w:val="center"/>
        <w:textAlignment w:val="auto"/>
        <w:outlineLvl w:val="9"/>
        <w:rPr>
          <w:rFonts w:hint="eastAsia" w:ascii="仿宋" w:hAnsi="仿宋" w:eastAsia="仿宋" w:cs="仿宋"/>
          <w:b/>
          <w:bCs/>
          <w:color w:val="auto"/>
          <w:szCs w:val="24"/>
          <w:highlight w:val="none"/>
          <w:lang w:val="zh-TW"/>
        </w:rPr>
      </w:pPr>
      <w:r>
        <w:rPr>
          <w:rFonts w:hint="eastAsia" w:ascii="仿宋" w:hAnsi="仿宋" w:eastAsia="仿宋" w:cs="仿宋"/>
          <w:b/>
          <w:bCs/>
          <w:color w:val="auto"/>
          <w:szCs w:val="24"/>
          <w:highlight w:val="none"/>
          <w:lang w:val="zh-TW"/>
        </w:rPr>
        <w:t xml:space="preserve">  </w:t>
      </w:r>
      <w:r>
        <w:rPr>
          <w:rFonts w:hint="eastAsia" w:ascii="仿宋" w:hAnsi="仿宋" w:eastAsia="仿宋" w:cs="仿宋"/>
          <w:b/>
          <w:bCs/>
          <w:color w:val="auto"/>
          <w:szCs w:val="24"/>
          <w:highlight w:val="none"/>
          <w:lang w:val="zh-TW" w:eastAsia="zh-TW"/>
        </w:rPr>
        <w:t>项目绩效评价得分表</w:t>
      </w:r>
    </w:p>
    <w:tbl>
      <w:tblPr>
        <w:tblStyle w:val="11"/>
        <w:tblW w:w="4998" w:type="pct"/>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9"/>
        <w:gridCol w:w="1419"/>
        <w:gridCol w:w="1419"/>
        <w:gridCol w:w="1419"/>
        <w:gridCol w:w="1419"/>
        <w:gridCol w:w="1424"/>
      </w:tblGrid>
      <w:tr w14:paraId="241C9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blHeader/>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1FFE">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pacing w:val="75"/>
                <w:kern w:val="0"/>
                <w:sz w:val="24"/>
                <w:szCs w:val="24"/>
                <w:highlight w:val="none"/>
                <w:u w:val="none"/>
                <w:fitText w:val="630" w:id="516372706"/>
                <w:lang w:val="en-US" w:eastAsia="zh-CN" w:bidi="ar"/>
              </w:rPr>
              <w:t>指</w:t>
            </w:r>
            <w:r>
              <w:rPr>
                <w:rFonts w:hint="eastAsia" w:ascii="仿宋" w:hAnsi="仿宋" w:eastAsia="仿宋" w:cs="仿宋"/>
                <w:b/>
                <w:bCs/>
                <w:i w:val="0"/>
                <w:iCs w:val="0"/>
                <w:color w:val="000000"/>
                <w:spacing w:val="0"/>
                <w:kern w:val="0"/>
                <w:sz w:val="24"/>
                <w:szCs w:val="24"/>
                <w:highlight w:val="none"/>
                <w:u w:val="none"/>
                <w:fitText w:val="630" w:id="516372706"/>
                <w:lang w:val="en-US" w:eastAsia="zh-CN" w:bidi="ar"/>
              </w:rPr>
              <w:t>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A700">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部门决策</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2B91">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部门管理</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41A8D">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部门产出</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992E">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lang w:val="en-US" w:eastAsia="zh-CN"/>
              </w:rPr>
            </w:pPr>
            <w:r>
              <w:rPr>
                <w:rFonts w:hint="eastAsia" w:ascii="仿宋" w:hAnsi="仿宋" w:eastAsia="仿宋" w:cs="仿宋"/>
                <w:b/>
                <w:bCs/>
                <w:i w:val="0"/>
                <w:iCs w:val="0"/>
                <w:color w:val="000000"/>
                <w:sz w:val="24"/>
                <w:szCs w:val="24"/>
                <w:highlight w:val="none"/>
                <w:u w:val="none"/>
                <w:lang w:val="en-US" w:eastAsia="zh-CN"/>
              </w:rPr>
              <w:t>部门效果</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A2001">
            <w:pPr>
              <w:keepNext w:val="0"/>
              <w:keepLines w:val="0"/>
              <w:widowControl/>
              <w:suppressLineNumbers w:val="0"/>
              <w:jc w:val="center"/>
              <w:textAlignment w:val="center"/>
              <w:outlineLvl w:val="9"/>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spacing w:val="75"/>
                <w:kern w:val="0"/>
                <w:sz w:val="24"/>
                <w:szCs w:val="24"/>
                <w:highlight w:val="none"/>
                <w:u w:val="none"/>
                <w:fitText w:val="630" w:id="42868876"/>
                <w:lang w:val="en-US" w:eastAsia="zh-CN" w:bidi="ar"/>
              </w:rPr>
              <w:t>合</w:t>
            </w:r>
            <w:r>
              <w:rPr>
                <w:rFonts w:hint="eastAsia" w:ascii="仿宋" w:hAnsi="仿宋" w:eastAsia="仿宋" w:cs="仿宋"/>
                <w:b/>
                <w:bCs/>
                <w:i w:val="0"/>
                <w:iCs w:val="0"/>
                <w:color w:val="000000"/>
                <w:spacing w:val="0"/>
                <w:kern w:val="0"/>
                <w:sz w:val="24"/>
                <w:szCs w:val="24"/>
                <w:highlight w:val="none"/>
                <w:u w:val="none"/>
                <w:fitText w:val="630" w:id="42868876"/>
                <w:lang w:val="en-US" w:eastAsia="zh-CN" w:bidi="ar"/>
              </w:rPr>
              <w:t>计</w:t>
            </w:r>
          </w:p>
        </w:tc>
      </w:tr>
      <w:tr w14:paraId="3DA9C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637C">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pacing w:val="75"/>
                <w:kern w:val="0"/>
                <w:sz w:val="24"/>
                <w:szCs w:val="24"/>
                <w:highlight w:val="none"/>
                <w:u w:val="none"/>
                <w:fitText w:val="630" w:id="1156080002"/>
                <w:lang w:val="en-US" w:eastAsia="zh-CN"/>
              </w:rPr>
              <w:t>分</w:t>
            </w:r>
            <w:r>
              <w:rPr>
                <w:rFonts w:hint="eastAsia" w:ascii="仿宋" w:hAnsi="仿宋" w:eastAsia="仿宋" w:cs="仿宋"/>
                <w:i w:val="0"/>
                <w:iCs w:val="0"/>
                <w:color w:val="000000"/>
                <w:spacing w:val="0"/>
                <w:kern w:val="0"/>
                <w:sz w:val="24"/>
                <w:szCs w:val="24"/>
                <w:highlight w:val="none"/>
                <w:u w:val="none"/>
                <w:fitText w:val="630" w:id="1156080002"/>
                <w:lang w:val="en-US" w:eastAsia="zh-CN"/>
              </w:rPr>
              <w:t>值</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77D34">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15.00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F40F4">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E8DA">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AEA5">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15.00</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B740">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100.00</w:t>
            </w:r>
          </w:p>
        </w:tc>
      </w:tr>
      <w:tr w14:paraId="39E83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8267">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pacing w:val="75"/>
                <w:kern w:val="0"/>
                <w:sz w:val="24"/>
                <w:szCs w:val="24"/>
                <w:highlight w:val="none"/>
                <w:u w:val="none"/>
                <w:fitText w:val="630" w:id="1235627105"/>
                <w:lang w:val="en-US" w:eastAsia="zh-CN"/>
              </w:rPr>
              <w:t>得</w:t>
            </w:r>
            <w:r>
              <w:rPr>
                <w:rFonts w:hint="eastAsia" w:ascii="仿宋" w:hAnsi="仿宋" w:eastAsia="仿宋" w:cs="仿宋"/>
                <w:i w:val="0"/>
                <w:iCs w:val="0"/>
                <w:color w:val="000000"/>
                <w:spacing w:val="0"/>
                <w:kern w:val="0"/>
                <w:sz w:val="24"/>
                <w:szCs w:val="24"/>
                <w:highlight w:val="none"/>
                <w:u w:val="none"/>
                <w:fitText w:val="630" w:id="1235627105"/>
                <w:lang w:val="en-US" w:eastAsia="zh-CN"/>
              </w:rPr>
              <w:t>分</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47BDF">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15.00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F07A8">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32.45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D0EE6">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28.89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1A35">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12.78</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EFFC">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89.12</w:t>
            </w:r>
          </w:p>
        </w:tc>
      </w:tr>
      <w:tr w14:paraId="76934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04B7E">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得分率</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7FABF">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100.00%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B571">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81.12%</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A2917">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96.30%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BBD6">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85.20%</w:t>
            </w: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65B2">
            <w:pPr>
              <w:keepNext w:val="0"/>
              <w:keepLines w:val="0"/>
              <w:widowControl/>
              <w:suppressLineNumbers w:val="0"/>
              <w:jc w:val="center"/>
              <w:textAlignment w:val="center"/>
              <w:outlineLvl w:val="9"/>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89.12%</w:t>
            </w:r>
          </w:p>
        </w:tc>
      </w:tr>
    </w:tbl>
    <w:p w14:paraId="69BEF44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bookmarkStart w:id="143" w:name="_Toc17403"/>
      <w:bookmarkStart w:id="144" w:name="_Toc8065"/>
      <w:bookmarkStart w:id="145" w:name="_Toc22944"/>
      <w:r>
        <w:rPr>
          <w:rFonts w:hint="eastAsia" w:ascii="仿宋" w:hAnsi="仿宋" w:eastAsia="仿宋" w:cs="仿宋"/>
          <w:b/>
          <w:bCs/>
          <w:kern w:val="2"/>
          <w:sz w:val="28"/>
          <w:szCs w:val="28"/>
          <w:highlight w:val="none"/>
          <w:lang w:val="en-US" w:eastAsia="zh-CN" w:bidi="ar-SA"/>
        </w:rPr>
        <w:t>（二）评价结论</w:t>
      </w:r>
      <w:bookmarkEnd w:id="143"/>
      <w:bookmarkEnd w:id="144"/>
      <w:bookmarkEnd w:id="145"/>
    </w:p>
    <w:p w14:paraId="09329A9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经过对</w:t>
      </w:r>
      <w:r>
        <w:rPr>
          <w:rFonts w:hint="eastAsia" w:ascii="仿宋" w:hAnsi="仿宋" w:eastAsia="仿宋" w:cs="仿宋"/>
          <w:sz w:val="28"/>
          <w:szCs w:val="28"/>
          <w:highlight w:val="none"/>
          <w:lang w:val="en-US" w:eastAsia="zh-CN"/>
        </w:rPr>
        <w:t>永济市市场监督管理局2023</w:t>
      </w:r>
      <w:r>
        <w:rPr>
          <w:rFonts w:hint="eastAsia" w:ascii="仿宋" w:hAnsi="仿宋" w:eastAsia="仿宋" w:cs="仿宋"/>
          <w:b w:val="0"/>
          <w:bCs w:val="0"/>
          <w:kern w:val="2"/>
          <w:sz w:val="28"/>
          <w:szCs w:val="28"/>
          <w:highlight w:val="none"/>
          <w:lang w:val="en-US" w:eastAsia="zh-CN" w:bidi="ar-SA"/>
        </w:rPr>
        <w:t>年度整体支出从部门决策、部门管理、部门产出、部门效果四个方面进行综合评价，得出以下结论：</w:t>
      </w:r>
    </w:p>
    <w:p w14:paraId="07FD64D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kern w:val="2"/>
          <w:sz w:val="28"/>
          <w:szCs w:val="28"/>
          <w:highlight w:val="none"/>
          <w:lang w:val="en-US" w:eastAsia="zh-CN" w:bidi="ar-SA"/>
        </w:rPr>
        <w:t>1.部门决策：</w:t>
      </w:r>
      <w:r>
        <w:rPr>
          <w:rFonts w:hint="eastAsia" w:ascii="仿宋" w:hAnsi="仿宋" w:eastAsia="仿宋" w:cs="仿宋"/>
          <w:highlight w:val="none"/>
          <w:lang w:val="en-US" w:eastAsia="zh-CN"/>
        </w:rPr>
        <w:t>通过核查</w:t>
      </w:r>
      <w:r>
        <w:rPr>
          <w:rFonts w:hint="eastAsia" w:ascii="仿宋" w:hAnsi="仿宋" w:eastAsia="仿宋" w:cs="仿宋"/>
          <w:sz w:val="28"/>
          <w:szCs w:val="28"/>
          <w:highlight w:val="none"/>
          <w:lang w:val="en-US" w:eastAsia="zh-CN"/>
        </w:rPr>
        <w:t>永济市市场监督管理局</w:t>
      </w:r>
      <w:r>
        <w:rPr>
          <w:rFonts w:hint="eastAsia" w:ascii="仿宋" w:hAnsi="仿宋" w:eastAsia="仿宋" w:cs="仿宋"/>
          <w:lang w:val="en-US" w:eastAsia="zh-CN"/>
        </w:rPr>
        <w:t>2023年</w:t>
      </w:r>
      <w:r>
        <w:rPr>
          <w:rFonts w:hint="eastAsia" w:ascii="仿宋" w:hAnsi="仿宋" w:eastAsia="仿宋" w:cs="仿宋"/>
          <w:sz w:val="28"/>
          <w:szCs w:val="28"/>
          <w:highlight w:val="none"/>
          <w:lang w:val="en-US" w:eastAsia="zh-CN"/>
        </w:rPr>
        <w:t>《永济市整体支出绩效目标申报表》，申报整体绩效目标依据充分，</w:t>
      </w:r>
      <w:r>
        <w:rPr>
          <w:rFonts w:hint="eastAsia" w:ascii="仿宋" w:hAnsi="仿宋" w:eastAsia="仿宋" w:cs="仿宋"/>
          <w:b w:val="0"/>
          <w:bCs w:val="0"/>
          <w:color w:val="auto"/>
          <w:sz w:val="28"/>
          <w:szCs w:val="28"/>
          <w:highlight w:val="none"/>
          <w:lang w:val="en-US" w:eastAsia="zh-CN"/>
        </w:rPr>
        <w:t>绩效目标已细化分解为具体的工作任务，绩效指标明确、清晰、可量化，绩效目标与部门年度任务数相匹配，绩效目标设置本年度预算资金为2254.45万元，与部门年初预算资金相匹配。</w:t>
      </w:r>
    </w:p>
    <w:p w14:paraId="607ECE83">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部门预算编制及资金分配符合部门职责，符合市委市政府方针政策和工作要求，部门的预算资金能根据2023年度工作重点任务在不同项目、不同用途之间合理分配。</w:t>
      </w:r>
      <w:r>
        <w:rPr>
          <w:rFonts w:hint="eastAsia" w:ascii="仿宋" w:hAnsi="仿宋" w:eastAsia="仿宋" w:cs="仿宋"/>
          <w:b w:val="0"/>
          <w:bCs w:val="0"/>
          <w:sz w:val="28"/>
          <w:szCs w:val="36"/>
          <w:lang w:val="en-US" w:eastAsia="zh-CN"/>
        </w:rPr>
        <w:t>三公经费变动率≤0、重点支出安排率100%。</w:t>
      </w:r>
    </w:p>
    <w:p w14:paraId="17049A5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yellow"/>
          <w:lang w:val="en-US" w:eastAsia="zh-CN" w:bidi="ar-SA"/>
        </w:rPr>
      </w:pPr>
      <w:r>
        <w:rPr>
          <w:rFonts w:hint="eastAsia" w:ascii="仿宋" w:hAnsi="仿宋" w:eastAsia="仿宋" w:cs="仿宋"/>
          <w:b w:val="0"/>
          <w:bCs w:val="0"/>
          <w:kern w:val="2"/>
          <w:sz w:val="28"/>
          <w:szCs w:val="28"/>
          <w:highlight w:val="none"/>
          <w:lang w:val="en-US" w:eastAsia="zh-CN" w:bidi="ar-SA"/>
        </w:rPr>
        <w:t>2.部门管理：</w:t>
      </w:r>
      <w:r>
        <w:rPr>
          <w:rFonts w:hint="eastAsia" w:ascii="仿宋" w:hAnsi="仿宋" w:eastAsia="仿宋" w:cs="仿宋"/>
          <w:b w:val="0"/>
          <w:bCs w:val="0"/>
          <w:color w:val="000000"/>
          <w:kern w:val="0"/>
          <w:sz w:val="28"/>
          <w:szCs w:val="28"/>
          <w:highlight w:val="none"/>
          <w:shd w:val="clear" w:color="auto" w:fill="FFFFFF"/>
          <w:lang w:val="en-US" w:eastAsia="zh-CN"/>
        </w:rPr>
        <w:t>2023年年初预算为2,254.45万元，追加预算119.83万元、结转市级专款1.5万元，共</w:t>
      </w:r>
      <w:r>
        <w:rPr>
          <w:rFonts w:hint="eastAsia" w:ascii="仿宋" w:hAnsi="仿宋" w:eastAsia="仿宋" w:cs="仿宋"/>
          <w:b w:val="0"/>
          <w:bCs w:val="0"/>
          <w:kern w:val="2"/>
          <w:sz w:val="28"/>
          <w:szCs w:val="28"/>
          <w:highlight w:val="none"/>
          <w:lang w:val="en-US" w:eastAsia="zh-CN" w:bidi="ar-SA"/>
        </w:rPr>
        <w:t>下达预算资金</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b w:val="0"/>
          <w:bCs w:val="0"/>
          <w:kern w:val="2"/>
          <w:sz w:val="28"/>
          <w:szCs w:val="28"/>
          <w:highlight w:val="none"/>
          <w:lang w:val="en-US" w:eastAsia="zh-CN" w:bidi="ar-SA"/>
        </w:rPr>
        <w:t>万元，决算支出</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b w:val="0"/>
          <w:bCs w:val="0"/>
          <w:kern w:val="2"/>
          <w:sz w:val="28"/>
          <w:szCs w:val="28"/>
          <w:highlight w:val="none"/>
          <w:lang w:val="en-US" w:eastAsia="zh-CN" w:bidi="ar-SA"/>
        </w:rPr>
        <w:t>万元，支付进度率99.29%、预算完成率99.29%、预算调整率5.38%、转移支付下达率100%；经审核2023年度财务报表、总账及明细账账簿、凭证，</w:t>
      </w:r>
      <w:r>
        <w:rPr>
          <w:rFonts w:hint="eastAsia" w:ascii="仿宋" w:hAnsi="仿宋" w:eastAsia="仿宋" w:cs="仿宋"/>
          <w:sz w:val="28"/>
          <w:szCs w:val="28"/>
          <w:highlight w:val="none"/>
          <w:lang w:val="en-US" w:eastAsia="zh-CN"/>
        </w:rPr>
        <w:t>2023年</w:t>
      </w:r>
      <w:r>
        <w:rPr>
          <w:rFonts w:hint="eastAsia" w:ascii="仿宋" w:hAnsi="仿宋" w:eastAsia="仿宋" w:cs="仿宋"/>
          <w:b w:val="0"/>
          <w:bCs w:val="0"/>
          <w:kern w:val="2"/>
          <w:sz w:val="28"/>
          <w:szCs w:val="28"/>
          <w:highlight w:val="none"/>
          <w:lang w:val="en-US" w:eastAsia="zh-CN" w:bidi="ar-SA"/>
        </w:rPr>
        <w:t>共取得罚没收入68.8万元，已全部上缴国库，部分资金支出方向不符合部门预算批复的用途，如公用经费支付自收自支在职人员工资、社保、奖金和自收自支退休人员费用等共计</w:t>
      </w:r>
      <w:r>
        <w:rPr>
          <w:rFonts w:hint="eastAsia" w:ascii="仿宋" w:hAnsi="仿宋" w:eastAsia="仿宋" w:cs="仿宋"/>
          <w:b w:val="0"/>
          <w:bCs w:val="0"/>
          <w:color w:val="000000"/>
          <w:kern w:val="0"/>
          <w:sz w:val="28"/>
          <w:szCs w:val="28"/>
          <w:highlight w:val="none"/>
          <w:shd w:val="clear" w:color="auto" w:fill="FFFFFF"/>
          <w:lang w:val="en-US" w:eastAsia="zh-CN"/>
        </w:rPr>
        <w:t>705,696.08</w:t>
      </w:r>
      <w:r>
        <w:rPr>
          <w:rFonts w:hint="eastAsia" w:ascii="仿宋" w:hAnsi="仿宋" w:eastAsia="仿宋" w:cs="仿宋"/>
          <w:b w:val="0"/>
          <w:bCs w:val="0"/>
          <w:kern w:val="2"/>
          <w:sz w:val="28"/>
          <w:szCs w:val="28"/>
          <w:highlight w:val="none"/>
          <w:lang w:val="en-US" w:eastAsia="zh-CN" w:bidi="ar-SA"/>
        </w:rPr>
        <w:t>元。</w:t>
      </w:r>
    </w:p>
    <w:p w14:paraId="1D15BB1E">
      <w:pPr>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highlight w:val="none"/>
          <w:lang w:val="en-US" w:eastAsia="zh-CN"/>
        </w:rPr>
      </w:pPr>
      <w:r>
        <w:rPr>
          <w:rFonts w:hint="eastAsia" w:ascii="仿宋" w:hAnsi="仿宋" w:eastAsia="仿宋" w:cs="仿宋"/>
          <w:b w:val="0"/>
          <w:bCs w:val="0"/>
          <w:kern w:val="2"/>
          <w:sz w:val="28"/>
          <w:szCs w:val="28"/>
          <w:highlight w:val="none"/>
          <w:lang w:val="en-US" w:eastAsia="zh-CN" w:bidi="ar-SA"/>
        </w:rPr>
        <w:t>3.部门产出：</w:t>
      </w:r>
      <w:r>
        <w:rPr>
          <w:rFonts w:hint="eastAsia" w:ascii="仿宋" w:hAnsi="仿宋" w:eastAsia="仿宋" w:cs="仿宋"/>
          <w:sz w:val="28"/>
          <w:szCs w:val="36"/>
          <w:highlight w:val="none"/>
          <w:lang w:val="en-US" w:eastAsia="zh-CN"/>
        </w:rPr>
        <w:t>质</w:t>
      </w:r>
      <w:r>
        <w:rPr>
          <w:rFonts w:hint="eastAsia" w:ascii="仿宋" w:hAnsi="仿宋" w:eastAsia="仿宋" w:cs="仿宋"/>
          <w:sz w:val="28"/>
          <w:szCs w:val="36"/>
          <w:lang w:val="en-US" w:eastAsia="zh-CN"/>
        </w:rPr>
        <w:t>监情况：全年共抽检8大类37种产品共计323批次，完成目标任务320批次，合格314批次，不合格9批次，合格率高达97.21%；安全隐患排查涵盖食品安全、工业产品、药品、特种设备等方面，排查次数已超过139批次；食品安全监管：2023年确保1240家食品企业落实主体责任，确保“三类人、四件事、四本账”得到妥善执行，并及时组织了35场食品安全培训，完成了7家企业的ISO9001质量管理体系认证；重点项目：2023年成功完成“个转企”30家、创建“五面红旗”1家；市场秩序监管：建立了17个“12315消费维权服务站”，2023年双随机检查结果在国家企业信用信息公示系统进行公示，全国12315平台2023年1-12月投诉共717起、举报423起，总计1140起，其中投诉按时初查率为97.9%、投诉按时办结率为100%。所有监</w:t>
      </w:r>
      <w:r>
        <w:rPr>
          <w:rFonts w:hint="eastAsia" w:ascii="仿宋" w:hAnsi="仿宋" w:eastAsia="仿宋" w:cs="仿宋"/>
          <w:sz w:val="28"/>
          <w:szCs w:val="36"/>
          <w:highlight w:val="none"/>
          <w:lang w:val="en-US" w:eastAsia="zh-CN"/>
        </w:rPr>
        <w:t>管任务均能按时完成，未出现工作延误的情况。</w:t>
      </w:r>
    </w:p>
    <w:bookmarkEnd w:id="142"/>
    <w:p w14:paraId="0DC25BDF">
      <w:pPr>
        <w:pStyle w:val="2"/>
        <w:keepNext w:val="0"/>
        <w:keepLines w:val="0"/>
        <w:pageBreakBefore w:val="0"/>
        <w:widowControl w:val="0"/>
        <w:kinsoku/>
        <w:wordWrap/>
        <w:overflowPunct/>
        <w:topLinePunct w:val="0"/>
        <w:autoSpaceDE/>
        <w:autoSpaceDN/>
        <w:bidi w:val="0"/>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4.部门效果：2023年，永济市市场监督管理局进行了35场培训，管理了2532家单位，开展了15项专项整治，检查了5365家食品单位，对815家实施了风险分级管理，整改了340多个问题，处理了32批次不合格食品，提升了食品安全信任度，确保了市民食品安全，且未发生重大事故。投诉和举报从2022年的896起增加到2023年的1140起，调解成功率略有下降。抽检323批次产品，合格率为97.21%，强化了市场秩序。建立了公平竞争审查模式，审查了178份文件，指导查处了两起不正当竞争案件。加强了人才队伍建设，推进了执法人员培训，提升了执法能力。满意度调查显示，398名受访者中超过90%对服务表示满意，反映出积极的工作态度和较高的工作成效认可。</w:t>
      </w:r>
    </w:p>
    <w:p w14:paraId="76031526">
      <w:pPr>
        <w:keepNext w:val="0"/>
        <w:keepLines w:val="0"/>
        <w:pageBreakBefore w:val="0"/>
        <w:widowControl w:val="0"/>
        <w:kinsoku/>
        <w:wordWrap/>
        <w:overflowPunct/>
        <w:topLinePunct w:val="0"/>
        <w:autoSpaceDE/>
        <w:autoSpaceDN/>
        <w:bidi w:val="0"/>
        <w:adjustRightInd w:val="0"/>
        <w:snapToGrid w:val="0"/>
        <w:spacing w:line="560" w:lineRule="exact"/>
        <w:ind w:firstLine="562" w:firstLineChars="200"/>
        <w:textAlignment w:val="auto"/>
        <w:outlineLvl w:val="0"/>
        <w:rPr>
          <w:rFonts w:hint="eastAsia" w:ascii="仿宋" w:hAnsi="仿宋" w:eastAsia="仿宋" w:cs="仿宋"/>
          <w:b/>
          <w:sz w:val="28"/>
          <w:szCs w:val="28"/>
          <w:highlight w:val="none"/>
        </w:rPr>
      </w:pPr>
      <w:bookmarkStart w:id="146" w:name="_Toc2322"/>
      <w:bookmarkStart w:id="147" w:name="_Toc13283"/>
      <w:bookmarkStart w:id="148" w:name="_Toc29446"/>
      <w:r>
        <w:rPr>
          <w:rFonts w:hint="eastAsia" w:ascii="仿宋" w:hAnsi="仿宋" w:eastAsia="仿宋" w:cs="仿宋"/>
          <w:b/>
          <w:sz w:val="28"/>
          <w:szCs w:val="28"/>
          <w:highlight w:val="none"/>
          <w:lang w:eastAsia="zh-CN"/>
        </w:rPr>
        <w:t>四、</w:t>
      </w:r>
      <w:r>
        <w:rPr>
          <w:rFonts w:hint="eastAsia" w:ascii="仿宋" w:hAnsi="仿宋" w:eastAsia="仿宋" w:cs="仿宋"/>
          <w:b/>
          <w:sz w:val="28"/>
          <w:szCs w:val="28"/>
          <w:highlight w:val="none"/>
        </w:rPr>
        <w:t>绩效评价指标分析情况</w:t>
      </w:r>
      <w:bookmarkEnd w:id="146"/>
      <w:bookmarkEnd w:id="147"/>
      <w:bookmarkEnd w:id="148"/>
    </w:p>
    <w:p w14:paraId="28F92FB4">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lang w:val="en-US" w:eastAsia="zh-CN"/>
        </w:rPr>
      </w:pPr>
      <w:bookmarkStart w:id="149" w:name="_Toc9534"/>
      <w:bookmarkStart w:id="150" w:name="_Toc21853"/>
      <w:bookmarkStart w:id="151" w:name="_Toc32081"/>
      <w:r>
        <w:rPr>
          <w:rFonts w:hint="eastAsia" w:ascii="仿宋" w:hAnsi="仿宋" w:eastAsia="仿宋" w:cs="仿宋"/>
          <w:b/>
          <w:bCs/>
          <w:sz w:val="28"/>
          <w:szCs w:val="28"/>
          <w:highlight w:val="none"/>
          <w:lang w:val="en-US" w:eastAsia="zh-CN"/>
        </w:rPr>
        <w:t>（一）</w:t>
      </w:r>
      <w:bookmarkEnd w:id="149"/>
      <w:r>
        <w:rPr>
          <w:rFonts w:hint="eastAsia" w:ascii="仿宋" w:hAnsi="仿宋" w:eastAsia="仿宋" w:cs="仿宋"/>
          <w:b/>
          <w:bCs/>
          <w:sz w:val="28"/>
          <w:szCs w:val="28"/>
          <w:highlight w:val="none"/>
          <w:lang w:val="en-US" w:eastAsia="zh-CN"/>
        </w:rPr>
        <w:t>部门决策</w:t>
      </w:r>
      <w:bookmarkEnd w:id="150"/>
      <w:bookmarkEnd w:id="151"/>
    </w:p>
    <w:p w14:paraId="6537D30B">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部门决策分别从目标设定、预算配置两个方面进行分析，共设置两个二级指标四个三级指标。部门决策分值15分，实际得分15分，得分率100%。各分项指标得分情况如下表4-1所示：</w:t>
      </w:r>
    </w:p>
    <w:p w14:paraId="1C385DE2">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highlight w:val="none"/>
          <w:lang w:val="en-US" w:eastAsia="zh-CN"/>
        </w:rPr>
      </w:pPr>
      <w:r>
        <w:rPr>
          <w:rFonts w:hint="eastAsia" w:ascii="仿宋" w:hAnsi="仿宋" w:eastAsia="仿宋" w:cs="仿宋"/>
          <w:sz w:val="28"/>
          <w:szCs w:val="28"/>
          <w:highlight w:val="none"/>
          <w:lang w:val="en-US" w:eastAsia="zh-CN"/>
        </w:rPr>
        <w:t>表4-1 部门决策得分情况表</w:t>
      </w:r>
    </w:p>
    <w:tbl>
      <w:tblPr>
        <w:tblStyle w:val="11"/>
        <w:tblW w:w="4995" w:type="pct"/>
        <w:jc w:val="center"/>
        <w:shd w:val="clear" w:color="auto" w:fill="auto"/>
        <w:tblLayout w:type="autofit"/>
        <w:tblCellMar>
          <w:top w:w="0" w:type="dxa"/>
          <w:left w:w="0" w:type="dxa"/>
          <w:bottom w:w="0" w:type="dxa"/>
          <w:right w:w="0" w:type="dxa"/>
        </w:tblCellMar>
      </w:tblPr>
      <w:tblGrid>
        <w:gridCol w:w="1517"/>
        <w:gridCol w:w="3610"/>
        <w:gridCol w:w="1063"/>
        <w:gridCol w:w="1063"/>
        <w:gridCol w:w="1063"/>
      </w:tblGrid>
      <w:tr w14:paraId="2E41E24A">
        <w:tblPrEx>
          <w:shd w:val="clear" w:color="auto" w:fill="auto"/>
          <w:tblCellMar>
            <w:top w:w="0" w:type="dxa"/>
            <w:left w:w="0" w:type="dxa"/>
            <w:bottom w:w="0" w:type="dxa"/>
            <w:right w:w="0" w:type="dxa"/>
          </w:tblCellMar>
        </w:tblPrEx>
        <w:trPr>
          <w:trHeight w:val="403" w:hRule="atLeast"/>
          <w:tblHeader/>
          <w:jc w:val="center"/>
        </w:trPr>
        <w:tc>
          <w:tcPr>
            <w:tcW w:w="91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24835B89">
            <w:pPr>
              <w:keepNext w:val="0"/>
              <w:keepLines w:val="0"/>
              <w:widowControl/>
              <w:suppressLineNumbers w:val="0"/>
              <w:jc w:val="center"/>
              <w:textAlignment w:val="center"/>
              <w:outlineLvl w:val="9"/>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二级指标</w:t>
            </w:r>
          </w:p>
        </w:tc>
        <w:tc>
          <w:tcPr>
            <w:tcW w:w="217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610AA5EB">
            <w:pPr>
              <w:keepNext w:val="0"/>
              <w:keepLines w:val="0"/>
              <w:widowControl/>
              <w:suppressLineNumbers w:val="0"/>
              <w:jc w:val="center"/>
              <w:textAlignment w:val="center"/>
              <w:outlineLvl w:val="9"/>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三级指标</w:t>
            </w:r>
          </w:p>
        </w:tc>
        <w:tc>
          <w:tcPr>
            <w:tcW w:w="63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55BD3D2D">
            <w:pPr>
              <w:keepNext w:val="0"/>
              <w:keepLines w:val="0"/>
              <w:widowControl/>
              <w:suppressLineNumbers w:val="0"/>
              <w:jc w:val="center"/>
              <w:textAlignment w:val="center"/>
              <w:outlineLvl w:val="9"/>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权重</w:t>
            </w:r>
          </w:p>
        </w:tc>
        <w:tc>
          <w:tcPr>
            <w:tcW w:w="63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3F513442">
            <w:pPr>
              <w:keepNext w:val="0"/>
              <w:keepLines w:val="0"/>
              <w:widowControl/>
              <w:suppressLineNumbers w:val="0"/>
              <w:jc w:val="center"/>
              <w:textAlignment w:val="center"/>
              <w:outlineLvl w:val="9"/>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 xml:space="preserve"> 得分 </w:t>
            </w:r>
          </w:p>
        </w:tc>
        <w:tc>
          <w:tcPr>
            <w:tcW w:w="63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609C80CC">
            <w:pPr>
              <w:keepNext w:val="0"/>
              <w:keepLines w:val="0"/>
              <w:widowControl/>
              <w:suppressLineNumbers w:val="0"/>
              <w:jc w:val="center"/>
              <w:textAlignment w:val="center"/>
              <w:outlineLvl w:val="9"/>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得分率</w:t>
            </w:r>
          </w:p>
        </w:tc>
      </w:tr>
      <w:tr w14:paraId="660B5746">
        <w:tblPrEx>
          <w:tblCellMar>
            <w:top w:w="0" w:type="dxa"/>
            <w:left w:w="0" w:type="dxa"/>
            <w:bottom w:w="0" w:type="dxa"/>
            <w:right w:w="0" w:type="dxa"/>
          </w:tblCellMar>
        </w:tblPrEx>
        <w:trPr>
          <w:trHeight w:val="400" w:hRule="atLeast"/>
          <w:jc w:val="center"/>
        </w:trPr>
        <w:tc>
          <w:tcPr>
            <w:tcW w:w="912"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21A041C0">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A1目标设定</w:t>
            </w:r>
          </w:p>
        </w:tc>
        <w:tc>
          <w:tcPr>
            <w:tcW w:w="217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D1BA335">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A1-1绩效目标合理性</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8BAB93D">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3.00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63F9778">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3.00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F0A9598">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21BA8C24">
        <w:tblPrEx>
          <w:tblCellMar>
            <w:top w:w="0" w:type="dxa"/>
            <w:left w:w="0" w:type="dxa"/>
            <w:bottom w:w="0" w:type="dxa"/>
            <w:right w:w="0" w:type="dxa"/>
          </w:tblCellMar>
        </w:tblPrEx>
        <w:trPr>
          <w:trHeight w:val="400" w:hRule="atLeast"/>
          <w:jc w:val="center"/>
        </w:trPr>
        <w:tc>
          <w:tcPr>
            <w:tcW w:w="912"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25AA390B">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p>
        </w:tc>
        <w:tc>
          <w:tcPr>
            <w:tcW w:w="217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600D454">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A1-2绩效指标明确性</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B4EC3D0">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6D9D7E2">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B691B8A">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030DE1C1">
        <w:tblPrEx>
          <w:shd w:val="clear" w:color="auto" w:fill="auto"/>
          <w:tblCellMar>
            <w:top w:w="0" w:type="dxa"/>
            <w:left w:w="0" w:type="dxa"/>
            <w:bottom w:w="0" w:type="dxa"/>
            <w:right w:w="0" w:type="dxa"/>
          </w:tblCellMar>
        </w:tblPrEx>
        <w:trPr>
          <w:trHeight w:val="400" w:hRule="atLeast"/>
          <w:jc w:val="center"/>
        </w:trPr>
        <w:tc>
          <w:tcPr>
            <w:tcW w:w="912"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08D17D4">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p>
        </w:tc>
        <w:tc>
          <w:tcPr>
            <w:tcW w:w="217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A952F2D">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小计</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0A8A132">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5.00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2D0842D">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5.00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C09CAED">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03BB3CDC">
        <w:tblPrEx>
          <w:tblCellMar>
            <w:top w:w="0" w:type="dxa"/>
            <w:left w:w="0" w:type="dxa"/>
            <w:bottom w:w="0" w:type="dxa"/>
            <w:right w:w="0" w:type="dxa"/>
          </w:tblCellMar>
        </w:tblPrEx>
        <w:trPr>
          <w:trHeight w:val="400" w:hRule="atLeast"/>
          <w:jc w:val="center"/>
        </w:trPr>
        <w:tc>
          <w:tcPr>
            <w:tcW w:w="91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D1D6DC5">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A2预算配置</w:t>
            </w:r>
          </w:p>
        </w:tc>
        <w:tc>
          <w:tcPr>
            <w:tcW w:w="217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DAF2BA0">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A2-1</w:t>
            </w:r>
            <w:r>
              <w:rPr>
                <w:rFonts w:hint="eastAsia" w:ascii="仿宋" w:hAnsi="仿宋" w:eastAsia="仿宋" w:cs="仿宋"/>
                <w:i w:val="0"/>
                <w:iCs w:val="0"/>
                <w:color w:val="000000"/>
                <w:kern w:val="0"/>
                <w:sz w:val="21"/>
                <w:szCs w:val="21"/>
                <w:u w:val="none"/>
                <w:lang w:val="en-US" w:eastAsia="zh-CN" w:bidi="ar"/>
              </w:rPr>
              <w:t>预算编制科学性</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BA24228">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4.00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4E1DA2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4.00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987E3C5">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74053F60">
        <w:tblPrEx>
          <w:shd w:val="clear" w:color="auto" w:fill="auto"/>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78206D0">
            <w:pPr>
              <w:jc w:val="center"/>
              <w:outlineLvl w:val="9"/>
              <w:rPr>
                <w:rFonts w:hint="eastAsia" w:ascii="仿宋" w:hAnsi="仿宋" w:eastAsia="仿宋" w:cs="仿宋"/>
                <w:i w:val="0"/>
                <w:color w:val="000000"/>
                <w:sz w:val="21"/>
                <w:szCs w:val="21"/>
                <w:highlight w:val="none"/>
                <w:u w:val="none"/>
              </w:rPr>
            </w:pPr>
          </w:p>
        </w:tc>
        <w:tc>
          <w:tcPr>
            <w:tcW w:w="217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9BE99CC">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A2-2预算配置合理性</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EC6E19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6.00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50D096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6.00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E86F09C">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622800A8">
        <w:tblPrEx>
          <w:shd w:val="clear" w:color="auto" w:fill="auto"/>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039C49F">
            <w:pPr>
              <w:jc w:val="center"/>
              <w:outlineLvl w:val="9"/>
              <w:rPr>
                <w:rFonts w:hint="eastAsia" w:ascii="仿宋" w:hAnsi="仿宋" w:eastAsia="仿宋" w:cs="仿宋"/>
                <w:i w:val="0"/>
                <w:color w:val="000000"/>
                <w:sz w:val="21"/>
                <w:szCs w:val="21"/>
                <w:highlight w:val="none"/>
                <w:u w:val="none"/>
              </w:rPr>
            </w:pPr>
          </w:p>
        </w:tc>
        <w:tc>
          <w:tcPr>
            <w:tcW w:w="217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545B5FE">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小计</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252C86B">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10.00</w:t>
            </w:r>
          </w:p>
        </w:tc>
        <w:tc>
          <w:tcPr>
            <w:tcW w:w="6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6A5AF49">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10.00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00709A5">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533FFC44">
        <w:tblPrEx>
          <w:tblCellMar>
            <w:top w:w="0" w:type="dxa"/>
            <w:left w:w="0" w:type="dxa"/>
            <w:bottom w:w="0" w:type="dxa"/>
            <w:right w:w="0" w:type="dxa"/>
          </w:tblCellMar>
        </w:tblPrEx>
        <w:trPr>
          <w:trHeight w:val="400" w:hRule="atLeast"/>
          <w:jc w:val="center"/>
        </w:trPr>
        <w:tc>
          <w:tcPr>
            <w:tcW w:w="3082"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0B3535A">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合计</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250806B">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15.00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8660552">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15.00</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15D52C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bl>
    <w:p w14:paraId="072E756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highlight w:val="none"/>
          <w:lang w:val="en-US" w:eastAsia="zh-CN"/>
        </w:rPr>
        <w:t>1</w:t>
      </w:r>
      <w:r>
        <w:rPr>
          <w:rFonts w:hint="eastAsia" w:ascii="仿宋" w:hAnsi="仿宋" w:eastAsia="仿宋" w:cs="仿宋"/>
          <w:b/>
          <w:bCs/>
          <w:sz w:val="28"/>
          <w:szCs w:val="28"/>
          <w:highlight w:val="none"/>
          <w:lang w:val="en-US" w:eastAsia="zh-CN"/>
        </w:rPr>
        <w:t>.A1目标设定,权重5分，得分5分</w:t>
      </w:r>
    </w:p>
    <w:p w14:paraId="39284B82">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（1）A1-1绩效目标合理性</w:t>
      </w:r>
    </w:p>
    <w:p w14:paraId="62E36F4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场监督管理局设立的整体绩效目标为：扎实推进市场监管领域各项重点工作任务，充分发挥综合协调作用，深入推进隐患排查治理，坚决扛起防范化解重大风险政治任务。围绕加快转型、振兴崛起，紧盯构建“543”现代产业矩阵，聚焦质量强市、服务优商、安全兴业、监管守正、作风务实5个工作路径，持续提升监管效能，优化营商环境，激发市场活力。为全市人民群众提供安全可靠的生活环境，为全市经营单位提供安全可靠的营商环境，最大程度为永济市经济社会高质量发展贡献市场监管部门的力量。</w:t>
      </w:r>
    </w:p>
    <w:p w14:paraId="4EFECB2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通过对永济市市场监督管理局在绩效目标申报方面的健全性进行核查，永济市市场监督管理局具备《永济市整体支出绩效目标申报表》，</w:t>
      </w:r>
      <w:r>
        <w:rPr>
          <w:rFonts w:hint="eastAsia" w:ascii="仿宋" w:hAnsi="仿宋" w:eastAsia="仿宋" w:cs="仿宋"/>
          <w:b w:val="0"/>
          <w:bCs w:val="0"/>
          <w:color w:val="auto"/>
          <w:sz w:val="28"/>
          <w:szCs w:val="28"/>
          <w:highlight w:val="none"/>
          <w:lang w:val="en-US" w:eastAsia="zh-CN"/>
        </w:rPr>
        <w:t>结合部门预算编制情况表等相关文件资料，设置的部门整体支出绩效目标符合部门“三定”方案确定的职能职责，符合部门制定的中长期实施规划，与规划的年度工作任务相契合。</w:t>
      </w:r>
      <w:r>
        <w:rPr>
          <w:rFonts w:hint="eastAsia" w:ascii="仿宋" w:hAnsi="仿宋" w:eastAsia="仿宋" w:cs="仿宋"/>
          <w:sz w:val="28"/>
          <w:szCs w:val="28"/>
          <w:highlight w:val="none"/>
          <w:lang w:val="en-US" w:eastAsia="zh-CN"/>
        </w:rPr>
        <w:t>申报整体绩效目标依据充分。</w:t>
      </w:r>
    </w:p>
    <w:p w14:paraId="7D7C73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依据评分标准，该指标权重3分，得分3分。</w:t>
      </w:r>
    </w:p>
    <w:p w14:paraId="5378F1E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（2）A1-2绩效指标明确性</w:t>
      </w:r>
    </w:p>
    <w:p w14:paraId="19CFD6C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永济市市场监督管理局提供的《2023年度部门整体支出绩效目标申报表》，设置的部门整体支出绩效目标已细化分解为具体的工作任务，绩效指标明确、清晰、可量化，绩效目标与部门年度任务数相匹配，绩效目标设置本年度预算资金为2254.45万元，与部门年初预算资金相匹配。</w:t>
      </w:r>
    </w:p>
    <w:p w14:paraId="20E1872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依据评分标准，该指标权重2分，得分2分。</w:t>
      </w:r>
    </w:p>
    <w:p w14:paraId="39A28E3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highlight w:val="none"/>
          <w:lang w:val="en-US" w:eastAsia="zh-CN"/>
        </w:rPr>
        <w:t>2</w:t>
      </w:r>
      <w:r>
        <w:rPr>
          <w:rFonts w:hint="eastAsia" w:ascii="仿宋" w:hAnsi="仿宋" w:eastAsia="仿宋" w:cs="仿宋"/>
          <w:b/>
          <w:bCs/>
          <w:sz w:val="28"/>
          <w:szCs w:val="28"/>
          <w:highlight w:val="none"/>
          <w:lang w:val="en-US" w:eastAsia="zh-CN"/>
        </w:rPr>
        <w:t>.A2预算配置,权重10分，得分10分</w:t>
      </w:r>
    </w:p>
    <w:p w14:paraId="17C9EB5A">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（1）A2-1预算编制科学性</w:t>
      </w:r>
    </w:p>
    <w:p w14:paraId="5D9A61B5">
      <w:pPr>
        <w:pStyle w:val="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年初编制的预算收入为2254.45万元，均为一般公共预算2254.45万，其中工资福利支出为1742.67万元，对个人和家庭的补助为55.91万元，商品服务支出为312.12万元，资本性支出24.25万元；项目支出为119.5万元，基本支出根据年度经济社会发展目标、国家宏观调控总体要求和跨年度预算平衡的需要，参考上一年度预算执行情况、有关支出绩效评价结果和本年度收支预测，按照规定程序征求各方面意见后，进行编制，并在规定时间内及时报送，符合《中华人民共和国预算法》预算编制的相关要求。</w:t>
      </w:r>
    </w:p>
    <w:p w14:paraId="75833954">
      <w:pPr>
        <w:pStyle w:val="9"/>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依据评分标准，本指标权重4分，得分4分。</w:t>
      </w:r>
    </w:p>
    <w:p w14:paraId="55BE162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（2）A2-2预算配置合理性</w:t>
      </w:r>
    </w:p>
    <w:p w14:paraId="50DABC6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  根据永济市财政局《关于批复2023年度部门预算的通知》（永财字</w:t>
      </w:r>
      <w:r>
        <w:rPr>
          <w:rFonts w:hint="eastAsia" w:ascii="仿宋" w:hAnsi="仿宋" w:eastAsia="仿宋" w:cs="仿宋"/>
          <w:sz w:val="28"/>
          <w:szCs w:val="28"/>
          <w:highlight w:val="none"/>
          <w:lang w:eastAsia="zh-CN"/>
        </w:rPr>
        <w:t>〔202</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w:t>
      </w:r>
      <w:r>
        <w:rPr>
          <w:rFonts w:hint="eastAsia" w:ascii="仿宋" w:hAnsi="仿宋" w:eastAsia="仿宋" w:cs="仿宋"/>
          <w:b w:val="0"/>
          <w:bCs w:val="0"/>
          <w:color w:val="auto"/>
          <w:sz w:val="28"/>
          <w:szCs w:val="28"/>
          <w:highlight w:val="none"/>
          <w:lang w:val="en-US" w:eastAsia="zh-CN"/>
        </w:rPr>
        <w:t>2号）,结合永济市市场监督管理局提供的2023年度部门预算编制情况表等相关资料，部门预算编制及资金分配符合部门职责，符合市委市政府方针政策和工作要求，部门的预算资金能根据2023年度工作重点任务，在不同项目、不同用途之间合理分配。</w:t>
      </w:r>
    </w:p>
    <w:p w14:paraId="1C7888FB">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预算</w:t>
      </w:r>
      <w:r>
        <w:rPr>
          <w:rFonts w:hint="eastAsia" w:ascii="仿宋" w:hAnsi="仿宋" w:eastAsia="仿宋" w:cs="仿宋"/>
          <w:b w:val="0"/>
          <w:bCs w:val="0"/>
          <w:color w:val="000000"/>
          <w:kern w:val="0"/>
          <w:sz w:val="28"/>
          <w:szCs w:val="28"/>
          <w:highlight w:val="none"/>
          <w:shd w:val="clear" w:color="auto" w:fill="FFFFFF"/>
          <w:lang w:val="en-US" w:eastAsia="zh-CN"/>
        </w:rPr>
        <w:t>2,254.45</w:t>
      </w:r>
      <w:r>
        <w:rPr>
          <w:rFonts w:hint="eastAsia" w:ascii="仿宋" w:hAnsi="仿宋" w:eastAsia="仿宋" w:cs="仿宋"/>
          <w:b w:val="0"/>
          <w:bCs w:val="0"/>
          <w:kern w:val="2"/>
          <w:sz w:val="28"/>
          <w:szCs w:val="28"/>
          <w:highlight w:val="none"/>
          <w:lang w:val="en-US" w:eastAsia="zh-CN" w:bidi="ar-SA"/>
        </w:rPr>
        <w:t>万元均为一般公共预算，符合《预算法》“一般公共预算安排用于保障和改善社会民生，推动经济社会发展，维持国家机构正常运转”。</w:t>
      </w:r>
    </w:p>
    <w:p w14:paraId="51A6FF9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2023年收入预算为2254.45万元，比上年收入预算2112.5万元增长141.95万元，增长6.71%。支出预算为2254.45万元，比上年增长6.71%，其中工资福利支出为1742.67万元，比上年增长12.9%，原因是本年度单位通过招录公务员和招聘事业人员，在职人员增加5名，且工资标准提高，新增了基础绩效奖等工资项目；对个人和家庭的补助为55.91万元，比上年减少3.58%，原因是退休人员自然减员5人，退休费及基础绩效奖减少，独生子女费减少；商品服务支出为336.37万元,较上年增长150.84%，原因是由于招录公务员和招聘事业人员，单位人员增加5人，导致公用经费、工会经费、福利费和其他交通费用增加，而且2023年预算根据财政局安排将单位业务经费纳入公用经费项目预算，导致商品和服务支出增加较多。项目支出为119.5万元，比上年377万元减少257.5万元，下降68.3%，原因是往年的其他运转类项目纳入公用经费，以及食品安全抽检费用不纳入预算，导致项目支出减少。支出预算为2,358.90万元，比上年减少5.46%，原因是食品监督抽检项目不再纳入2023年预算。</w:t>
      </w:r>
    </w:p>
    <w:p w14:paraId="61320299">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依据评分标准，预算编制符合《预算法》，</w:t>
      </w:r>
      <w:r>
        <w:rPr>
          <w:rFonts w:hint="eastAsia" w:ascii="仿宋" w:hAnsi="仿宋" w:eastAsia="仿宋" w:cs="仿宋"/>
          <w:b w:val="0"/>
          <w:bCs w:val="0"/>
          <w:kern w:val="2"/>
          <w:sz w:val="28"/>
          <w:szCs w:val="28"/>
          <w:highlight w:val="none"/>
          <w:lang w:val="en-US" w:eastAsia="zh-CN" w:bidi="ar-SA"/>
        </w:rPr>
        <w:t>预算编制按照政府收支分类科目、预算支出标准和要求等进行编制，</w:t>
      </w:r>
      <w:r>
        <w:rPr>
          <w:rFonts w:hint="eastAsia" w:ascii="仿宋" w:hAnsi="仿宋" w:eastAsia="仿宋" w:cs="仿宋"/>
          <w:b w:val="0"/>
          <w:bCs w:val="0"/>
          <w:sz w:val="28"/>
          <w:szCs w:val="36"/>
          <w:lang w:val="en-US" w:eastAsia="zh-CN"/>
        </w:rPr>
        <w:t>得1分；收支范围及支出方向有相应法律依据得1分；预算较上年增减变动，符合部门履职需要得1分。此处得分3分。</w:t>
      </w:r>
    </w:p>
    <w:p w14:paraId="28C489C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②永济市市场监督管理局2023年“三公经费”预算12万元，与2022年预算持平，依据评分标准，三公经费变动率≤0，得1分。此处得分1分。</w:t>
      </w:r>
    </w:p>
    <w:p w14:paraId="0C62D06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③永济市市场监督管理局重点支出为</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b w:val="0"/>
          <w:bCs w:val="0"/>
          <w:sz w:val="28"/>
          <w:szCs w:val="36"/>
          <w:lang w:val="en-US" w:eastAsia="zh-CN"/>
        </w:rPr>
        <w:t>万元，占总支出的100%，依据评分标准，重点支出安排率＞85%得2分，在50%-85%之间的，计算确定，此处得分2分。</w:t>
      </w:r>
    </w:p>
    <w:p w14:paraId="5246AC97">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lang w:val="en-US" w:eastAsia="zh-CN"/>
        </w:rPr>
      </w:pPr>
      <w:r>
        <w:rPr>
          <w:rFonts w:hint="eastAsia" w:ascii="仿宋" w:hAnsi="仿宋" w:eastAsia="仿宋" w:cs="仿宋"/>
          <w:b w:val="0"/>
          <w:bCs w:val="0"/>
          <w:kern w:val="2"/>
          <w:sz w:val="28"/>
          <w:szCs w:val="28"/>
          <w:highlight w:val="none"/>
          <w:lang w:val="en-US" w:eastAsia="zh-CN" w:bidi="ar-SA"/>
        </w:rPr>
        <w:t>依据评分标准，本指标权重6分，得分6分。</w:t>
      </w:r>
    </w:p>
    <w:p w14:paraId="39B80477">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lang w:val="en-US" w:eastAsia="zh-CN"/>
        </w:rPr>
      </w:pPr>
      <w:bookmarkStart w:id="152" w:name="_Toc6659"/>
      <w:bookmarkStart w:id="153" w:name="_Toc32077"/>
      <w:bookmarkStart w:id="154" w:name="_Toc983"/>
      <w:r>
        <w:rPr>
          <w:rFonts w:hint="eastAsia" w:ascii="仿宋" w:hAnsi="仿宋" w:eastAsia="仿宋" w:cs="仿宋"/>
          <w:b/>
          <w:bCs/>
          <w:sz w:val="28"/>
          <w:szCs w:val="28"/>
          <w:highlight w:val="none"/>
          <w:lang w:val="en-US" w:eastAsia="zh-CN"/>
        </w:rPr>
        <w:t>（二）部门管理分析</w:t>
      </w:r>
      <w:bookmarkEnd w:id="152"/>
      <w:bookmarkEnd w:id="153"/>
      <w:bookmarkEnd w:id="154"/>
    </w:p>
    <w:p w14:paraId="01FB0AD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部门管理从预算管理、收支管理、资产管理、其他管理四个方面进行分析，共设置四个二级指标十个三级指标。部门管理分值40分，实际得分32.45分，得分率81.12%。各分项指标得分情况如下表4-2所示：</w:t>
      </w:r>
    </w:p>
    <w:p w14:paraId="23850410">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highlight w:val="none"/>
          <w:lang w:val="en-US" w:eastAsia="zh-CN"/>
        </w:rPr>
      </w:pPr>
      <w:r>
        <w:rPr>
          <w:rFonts w:hint="eastAsia" w:ascii="仿宋" w:hAnsi="仿宋" w:eastAsia="仿宋" w:cs="仿宋"/>
          <w:sz w:val="28"/>
          <w:szCs w:val="28"/>
          <w:highlight w:val="none"/>
          <w:lang w:val="en-US" w:eastAsia="zh-CN"/>
        </w:rPr>
        <w:t>表4-2 部门管理得分情况表</w:t>
      </w:r>
    </w:p>
    <w:tbl>
      <w:tblPr>
        <w:tblStyle w:val="11"/>
        <w:tblW w:w="4998" w:type="pct"/>
        <w:jc w:val="center"/>
        <w:shd w:val="clear" w:color="auto" w:fill="auto"/>
        <w:tblLayout w:type="autofit"/>
        <w:tblCellMar>
          <w:top w:w="0" w:type="dxa"/>
          <w:left w:w="0" w:type="dxa"/>
          <w:bottom w:w="0" w:type="dxa"/>
          <w:right w:w="0" w:type="dxa"/>
        </w:tblCellMar>
      </w:tblPr>
      <w:tblGrid>
        <w:gridCol w:w="1385"/>
        <w:gridCol w:w="3371"/>
        <w:gridCol w:w="1187"/>
        <w:gridCol w:w="1189"/>
        <w:gridCol w:w="1189"/>
      </w:tblGrid>
      <w:tr w14:paraId="1C5FA874">
        <w:tblPrEx>
          <w:shd w:val="clear" w:color="auto" w:fill="auto"/>
          <w:tblCellMar>
            <w:top w:w="0" w:type="dxa"/>
            <w:left w:w="0" w:type="dxa"/>
            <w:bottom w:w="0" w:type="dxa"/>
            <w:right w:w="0" w:type="dxa"/>
          </w:tblCellMar>
        </w:tblPrEx>
        <w:trPr>
          <w:trHeight w:val="363" w:hRule="atLeast"/>
          <w:tblHeader/>
          <w:jc w:val="center"/>
        </w:trPr>
        <w:tc>
          <w:tcPr>
            <w:tcW w:w="832"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9" w:type="dxa"/>
              <w:left w:w="9" w:type="dxa"/>
              <w:right w:w="9" w:type="dxa"/>
            </w:tcMar>
            <w:vAlign w:val="center"/>
          </w:tcPr>
          <w:p w14:paraId="7AF49800">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二级指标</w:t>
            </w:r>
          </w:p>
        </w:tc>
        <w:tc>
          <w:tcPr>
            <w:tcW w:w="202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9" w:type="dxa"/>
              <w:left w:w="9" w:type="dxa"/>
              <w:right w:w="9" w:type="dxa"/>
            </w:tcMar>
            <w:vAlign w:val="center"/>
          </w:tcPr>
          <w:p w14:paraId="6A45AFD5">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9" w:type="dxa"/>
              <w:left w:w="9" w:type="dxa"/>
              <w:right w:w="9" w:type="dxa"/>
            </w:tcMar>
            <w:vAlign w:val="center"/>
          </w:tcPr>
          <w:p w14:paraId="152E6288">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9" w:type="dxa"/>
              <w:left w:w="9" w:type="dxa"/>
              <w:right w:w="9" w:type="dxa"/>
            </w:tcMar>
            <w:vAlign w:val="center"/>
          </w:tcPr>
          <w:p w14:paraId="1219A374">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9" w:type="dxa"/>
              <w:left w:w="9" w:type="dxa"/>
              <w:right w:w="9" w:type="dxa"/>
            </w:tcMar>
            <w:vAlign w:val="center"/>
          </w:tcPr>
          <w:p w14:paraId="7F958558">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得分率</w:t>
            </w:r>
          </w:p>
        </w:tc>
      </w:tr>
      <w:tr w14:paraId="28BB41CB">
        <w:tblPrEx>
          <w:tblCellMar>
            <w:top w:w="0" w:type="dxa"/>
            <w:left w:w="0" w:type="dxa"/>
            <w:bottom w:w="0" w:type="dxa"/>
            <w:right w:w="0" w:type="dxa"/>
          </w:tblCellMar>
        </w:tblPrEx>
        <w:trPr>
          <w:trHeight w:val="360" w:hRule="atLeast"/>
          <w:jc w:val="center"/>
        </w:trPr>
        <w:tc>
          <w:tcPr>
            <w:tcW w:w="83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434197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B1预算管理</w:t>
            </w: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36C5109">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B1-1预算执行管理</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D56C1BC">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8.00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9EC68E3">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7.45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097AF5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93.13%</w:t>
            </w:r>
          </w:p>
        </w:tc>
      </w:tr>
      <w:tr w14:paraId="50C71B5C">
        <w:tblPrEx>
          <w:shd w:val="clear" w:color="auto" w:fill="auto"/>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1DEF137">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6DCEF50">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B1-2预算绩效管理</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D4388D0">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7.00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F87539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7.00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6734BB5">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7DDAA09C">
        <w:tblPrEx>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4CADD74">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0C7BAA8">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小计</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56330AD">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15.00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765AE07">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14.45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C72A7BA">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96.33%</w:t>
            </w:r>
          </w:p>
        </w:tc>
      </w:tr>
      <w:tr w14:paraId="5F7A1618">
        <w:tblPrEx>
          <w:shd w:val="clear" w:color="auto" w:fill="auto"/>
          <w:tblCellMar>
            <w:top w:w="0" w:type="dxa"/>
            <w:left w:w="0" w:type="dxa"/>
            <w:bottom w:w="0" w:type="dxa"/>
            <w:right w:w="0" w:type="dxa"/>
          </w:tblCellMar>
        </w:tblPrEx>
        <w:trPr>
          <w:trHeight w:val="360" w:hRule="atLeast"/>
          <w:jc w:val="center"/>
        </w:trPr>
        <w:tc>
          <w:tcPr>
            <w:tcW w:w="83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B0E66C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B2收支管理</w:t>
            </w: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CB30246">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B2-1收支管理规范性</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2CCF39A">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6.00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6E134A0">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3.00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23AD8A0">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50.00%</w:t>
            </w:r>
          </w:p>
        </w:tc>
      </w:tr>
      <w:tr w14:paraId="72678C4F">
        <w:tblPrEx>
          <w:shd w:val="clear" w:color="auto" w:fill="auto"/>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EAB0FF5">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47C6A42">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B2-2支出结构合理性</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A9470DE">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4.00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17FBDC5">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4.00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F9FD578">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7F4400AB">
        <w:tblPrEx>
          <w:shd w:val="clear" w:color="auto" w:fill="auto"/>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1F88FE1">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4D4F87D">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小计</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CCF61EE">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10.00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C734185">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7.00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360562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70.00%</w:t>
            </w:r>
          </w:p>
        </w:tc>
      </w:tr>
      <w:tr w14:paraId="34C160BF">
        <w:tblPrEx>
          <w:tblCellMar>
            <w:top w:w="0" w:type="dxa"/>
            <w:left w:w="0" w:type="dxa"/>
            <w:bottom w:w="0" w:type="dxa"/>
            <w:right w:w="0" w:type="dxa"/>
          </w:tblCellMar>
        </w:tblPrEx>
        <w:trPr>
          <w:trHeight w:val="360" w:hRule="atLeast"/>
          <w:jc w:val="center"/>
        </w:trPr>
        <w:tc>
          <w:tcPr>
            <w:tcW w:w="83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7C0A6CA">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B3资产管理</w:t>
            </w: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51ED9CC">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B3-1资产管理规范性</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A492949">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5.00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ABE04C9">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3.00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079BF6B">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60.00%</w:t>
            </w:r>
          </w:p>
        </w:tc>
      </w:tr>
      <w:tr w14:paraId="63ABCE66">
        <w:tblPrEx>
          <w:shd w:val="clear" w:color="auto" w:fill="auto"/>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60B8664">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6E89811">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B3-2固定资产利用率</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1F88749">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3.00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B58732E">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3.00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2DF5735">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0F77F767">
        <w:tblPrEx>
          <w:shd w:val="clear" w:color="auto" w:fill="auto"/>
          <w:tblCellMar>
            <w:top w:w="0" w:type="dxa"/>
            <w:left w:w="0" w:type="dxa"/>
            <w:bottom w:w="0" w:type="dxa"/>
            <w:right w:w="0" w:type="dxa"/>
          </w:tblCellMar>
        </w:tblPrEx>
        <w:trPr>
          <w:trHeight w:val="360" w:hRule="atLeast"/>
          <w:jc w:val="center"/>
        </w:trPr>
        <w:tc>
          <w:tcPr>
            <w:tcW w:w="83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FC0134B">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34F88F9">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小计</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A505388">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8.00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7AAC384">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6.00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D268CAF">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75.00%</w:t>
            </w:r>
          </w:p>
        </w:tc>
      </w:tr>
      <w:tr w14:paraId="021E07C9">
        <w:tblPrEx>
          <w:tblCellMar>
            <w:top w:w="0" w:type="dxa"/>
            <w:left w:w="0" w:type="dxa"/>
            <w:bottom w:w="0" w:type="dxa"/>
            <w:right w:w="0" w:type="dxa"/>
          </w:tblCellMar>
        </w:tblPrEx>
        <w:trPr>
          <w:trHeight w:val="360" w:hRule="atLeast"/>
          <w:jc w:val="center"/>
        </w:trPr>
        <w:tc>
          <w:tcPr>
            <w:tcW w:w="832"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7F23E338">
            <w:pPr>
              <w:jc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B4其他管理</w:t>
            </w: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F371C20">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B4-1人员管理</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8215E23">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A682F13">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0.00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9F37E3F">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0.00%</w:t>
            </w:r>
          </w:p>
        </w:tc>
      </w:tr>
      <w:tr w14:paraId="27FFE63B">
        <w:tblPrEx>
          <w:shd w:val="clear" w:color="auto" w:fill="auto"/>
          <w:tblCellMar>
            <w:top w:w="0" w:type="dxa"/>
            <w:left w:w="0" w:type="dxa"/>
            <w:bottom w:w="0" w:type="dxa"/>
            <w:right w:w="0" w:type="dxa"/>
          </w:tblCellMar>
        </w:tblPrEx>
        <w:trPr>
          <w:trHeight w:val="360" w:hRule="atLeast"/>
          <w:jc w:val="center"/>
        </w:trPr>
        <w:tc>
          <w:tcPr>
            <w:tcW w:w="832"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25C3BC9A">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C2D374D">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B4-2政府采购管理</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CDBC1B4">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5B2393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2.00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4B06CDE">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74A1CFBA">
        <w:tblPrEx>
          <w:tblCellMar>
            <w:top w:w="0" w:type="dxa"/>
            <w:left w:w="0" w:type="dxa"/>
            <w:bottom w:w="0" w:type="dxa"/>
            <w:right w:w="0" w:type="dxa"/>
          </w:tblCellMar>
        </w:tblPrEx>
        <w:trPr>
          <w:trHeight w:val="360" w:hRule="atLeast"/>
          <w:jc w:val="center"/>
        </w:trPr>
        <w:tc>
          <w:tcPr>
            <w:tcW w:w="832"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732BD89C">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20ACEC6">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B4-3信息公开</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CFA6193">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B795EB2">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2.00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9791709">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28C8C09B">
        <w:tblPrEx>
          <w:shd w:val="clear" w:color="auto" w:fill="auto"/>
          <w:tblCellMar>
            <w:top w:w="0" w:type="dxa"/>
            <w:left w:w="0" w:type="dxa"/>
            <w:bottom w:w="0" w:type="dxa"/>
            <w:right w:w="0" w:type="dxa"/>
          </w:tblCellMar>
        </w:tblPrEx>
        <w:trPr>
          <w:trHeight w:val="360" w:hRule="atLeast"/>
          <w:jc w:val="center"/>
        </w:trPr>
        <w:tc>
          <w:tcPr>
            <w:tcW w:w="832"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73FED29F">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7C4EACD">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B4-4资金监管</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24F7C8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1.00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5C70AE4">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7792F34">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5811DE4E">
        <w:tblPrEx>
          <w:shd w:val="clear" w:color="auto" w:fill="auto"/>
          <w:tblCellMar>
            <w:top w:w="0" w:type="dxa"/>
            <w:left w:w="0" w:type="dxa"/>
            <w:bottom w:w="0" w:type="dxa"/>
            <w:right w:w="0" w:type="dxa"/>
          </w:tblCellMar>
        </w:tblPrEx>
        <w:trPr>
          <w:trHeight w:val="360" w:hRule="atLeast"/>
          <w:jc w:val="center"/>
        </w:trPr>
        <w:tc>
          <w:tcPr>
            <w:tcW w:w="832"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46744C8">
            <w:pPr>
              <w:jc w:val="center"/>
              <w:outlineLvl w:val="9"/>
              <w:rPr>
                <w:rFonts w:hint="eastAsia" w:ascii="仿宋" w:hAnsi="仿宋" w:eastAsia="仿宋" w:cs="仿宋"/>
                <w:i w:val="0"/>
                <w:color w:val="000000"/>
                <w:sz w:val="21"/>
                <w:szCs w:val="21"/>
                <w:highlight w:val="none"/>
                <w:u w:val="none"/>
              </w:rPr>
            </w:pPr>
          </w:p>
        </w:tc>
        <w:tc>
          <w:tcPr>
            <w:tcW w:w="202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476C747">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小计</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F492A2B">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7.00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D71739A">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5.00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7CDBB1E">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71.42%</w:t>
            </w:r>
          </w:p>
        </w:tc>
      </w:tr>
      <w:tr w14:paraId="102C4AF0">
        <w:tblPrEx>
          <w:shd w:val="clear" w:color="auto" w:fill="auto"/>
          <w:tblCellMar>
            <w:top w:w="0" w:type="dxa"/>
            <w:left w:w="0" w:type="dxa"/>
            <w:bottom w:w="0" w:type="dxa"/>
            <w:right w:w="0" w:type="dxa"/>
          </w:tblCellMar>
        </w:tblPrEx>
        <w:trPr>
          <w:trHeight w:val="360"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6F5497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合计</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210FB9B">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40.00 </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96C910D">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32.45 </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D2423FC">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81.12%</w:t>
            </w:r>
          </w:p>
        </w:tc>
      </w:tr>
    </w:tbl>
    <w:p w14:paraId="5E56C7D1">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1.B1预算管理，权重15分，得分14.45分</w:t>
      </w:r>
    </w:p>
    <w:p w14:paraId="5B3A29F5">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（1）B1-1预算执行管理</w:t>
      </w:r>
    </w:p>
    <w:p w14:paraId="1A6ADB92">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预算执行管理从6个方面进行评价，分别是：支付进度率、预算完成率、预算调整率、转移支付下达率、结转结余率、结转结余变动率。预算执行管理指标权重8分，得分7.45分。</w:t>
      </w:r>
    </w:p>
    <w:p w14:paraId="701784DB">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①永济市市场监督管理局2023年度实际下达</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b w:val="0"/>
          <w:bCs w:val="0"/>
          <w:kern w:val="2"/>
          <w:sz w:val="28"/>
          <w:szCs w:val="28"/>
          <w:highlight w:val="none"/>
          <w:lang w:val="en-US" w:eastAsia="zh-CN" w:bidi="ar-SA"/>
        </w:rPr>
        <w:t>万元，支出</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b w:val="0"/>
          <w:bCs w:val="0"/>
          <w:kern w:val="2"/>
          <w:sz w:val="28"/>
          <w:szCs w:val="28"/>
          <w:highlight w:val="none"/>
          <w:lang w:val="en-US" w:eastAsia="zh-CN" w:bidi="ar-SA"/>
        </w:rPr>
        <w:t>万元。支付进度率=（</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b w:val="0"/>
          <w:bCs w:val="0"/>
          <w:kern w:val="2"/>
          <w:sz w:val="28"/>
          <w:szCs w:val="28"/>
          <w:highlight w:val="none"/>
          <w:lang w:val="en-US" w:eastAsia="zh-CN" w:bidi="ar-SA"/>
        </w:rPr>
        <w:t>万元/</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b w:val="0"/>
          <w:bCs w:val="0"/>
          <w:kern w:val="2"/>
          <w:sz w:val="28"/>
          <w:szCs w:val="28"/>
          <w:highlight w:val="none"/>
          <w:lang w:val="en-US" w:eastAsia="zh-CN" w:bidi="ar-SA"/>
        </w:rPr>
        <w:t>万元）×100%=99.29%，依据评分标准，按实际执行情况打分，支付进度率总分值1分。以山西省财政厅的计算口径“序时进度的98%”作为标准支付进度率，依据部门每个季度末的支付进度率与标准支付进度率进行比较，（实际支付进度完成率大于或等于100%，得0.25分；实际支付进度完成率小于90%，得0分；实际支付进度完成率在90%-100%之间的，在0分和0.25分之间按完成率计算得分；支付进度率为100%的得1分）。支付进度率指标权重1分，得分0.99分。</w:t>
      </w:r>
    </w:p>
    <w:p w14:paraId="4C7A49FE">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②永济市市场监督管理局2023年度收入共计</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b w:val="0"/>
          <w:bCs w:val="0"/>
          <w:kern w:val="2"/>
          <w:sz w:val="28"/>
          <w:szCs w:val="28"/>
          <w:highlight w:val="none"/>
          <w:lang w:val="en-US" w:eastAsia="zh-CN" w:bidi="ar-SA"/>
        </w:rPr>
        <w:t>万元，2023年度支出共计</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b w:val="0"/>
          <w:bCs w:val="0"/>
          <w:kern w:val="2"/>
          <w:sz w:val="28"/>
          <w:szCs w:val="28"/>
          <w:highlight w:val="none"/>
          <w:lang w:val="en-US" w:eastAsia="zh-CN" w:bidi="ar-SA"/>
        </w:rPr>
        <w:t>万元，预算完成率=（</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b w:val="0"/>
          <w:bCs w:val="0"/>
          <w:kern w:val="2"/>
          <w:sz w:val="28"/>
          <w:szCs w:val="28"/>
          <w:highlight w:val="none"/>
          <w:lang w:val="en-US" w:eastAsia="zh-CN" w:bidi="ar-SA"/>
        </w:rPr>
        <w:t>万元/</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b w:val="0"/>
          <w:bCs w:val="0"/>
          <w:kern w:val="2"/>
          <w:sz w:val="28"/>
          <w:szCs w:val="28"/>
          <w:highlight w:val="none"/>
          <w:lang w:val="en-US" w:eastAsia="zh-CN" w:bidi="ar-SA"/>
        </w:rPr>
        <w:t>万元）×100%=99.29%，依据评分标准，预算完成率大于或等于95%的得2分。预算完成率指标权重2分，得分2分。</w:t>
      </w:r>
    </w:p>
    <w:p w14:paraId="2FFF8F7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③永济市市场监督管理局2023年度共追加预算</w:t>
      </w:r>
      <w:r>
        <w:rPr>
          <w:rFonts w:hint="eastAsia" w:ascii="仿宋" w:hAnsi="仿宋" w:eastAsia="仿宋" w:cs="仿宋"/>
          <w:b w:val="0"/>
          <w:bCs w:val="0"/>
          <w:color w:val="000000"/>
          <w:kern w:val="0"/>
          <w:sz w:val="28"/>
          <w:szCs w:val="28"/>
          <w:highlight w:val="none"/>
          <w:shd w:val="clear" w:color="auto" w:fill="FFFFFF"/>
          <w:lang w:val="en-US" w:eastAsia="zh-CN"/>
        </w:rPr>
        <w:t>121.33</w:t>
      </w:r>
      <w:r>
        <w:rPr>
          <w:rFonts w:hint="eastAsia" w:ascii="仿宋" w:hAnsi="仿宋" w:eastAsia="仿宋" w:cs="仿宋"/>
          <w:b w:val="0"/>
          <w:bCs w:val="0"/>
          <w:kern w:val="2"/>
          <w:sz w:val="28"/>
          <w:szCs w:val="28"/>
          <w:highlight w:val="none"/>
          <w:lang w:val="en-US" w:eastAsia="zh-CN" w:bidi="ar-SA"/>
        </w:rPr>
        <w:t>万元，具体为增加人员工资82.66万元，奖金14.41万元，离退休费19.69万元、”个转企“补助奖励2.1万元、高素质人才生活补助0.96万元、目标责任考核奖1.5万元。预算调整率=（</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b w:val="0"/>
          <w:bCs w:val="0"/>
          <w:kern w:val="2"/>
          <w:sz w:val="28"/>
          <w:szCs w:val="28"/>
          <w:highlight w:val="none"/>
          <w:lang w:val="en-US" w:eastAsia="zh-CN" w:bidi="ar-SA"/>
        </w:rPr>
        <w:t>万元-</w:t>
      </w:r>
      <w:r>
        <w:rPr>
          <w:rFonts w:hint="eastAsia" w:ascii="仿宋" w:hAnsi="仿宋" w:eastAsia="仿宋" w:cs="仿宋"/>
          <w:b w:val="0"/>
          <w:bCs w:val="0"/>
          <w:color w:val="000000"/>
          <w:kern w:val="0"/>
          <w:sz w:val="28"/>
          <w:szCs w:val="28"/>
          <w:highlight w:val="none"/>
          <w:shd w:val="clear" w:color="auto" w:fill="FFFFFF"/>
          <w:lang w:val="en-US" w:eastAsia="zh-CN"/>
        </w:rPr>
        <w:t>2,254.45</w:t>
      </w:r>
      <w:r>
        <w:rPr>
          <w:rFonts w:hint="eastAsia" w:ascii="仿宋" w:hAnsi="仿宋" w:eastAsia="仿宋" w:cs="仿宋"/>
          <w:b w:val="0"/>
          <w:bCs w:val="0"/>
          <w:kern w:val="2"/>
          <w:sz w:val="28"/>
          <w:szCs w:val="28"/>
          <w:highlight w:val="none"/>
          <w:lang w:val="en-US" w:eastAsia="zh-CN" w:bidi="ar-SA"/>
        </w:rPr>
        <w:t>万元）/</w:t>
      </w:r>
      <w:r>
        <w:rPr>
          <w:rFonts w:hint="eastAsia" w:ascii="仿宋" w:hAnsi="仿宋" w:eastAsia="仿宋" w:cs="仿宋"/>
          <w:b w:val="0"/>
          <w:bCs w:val="0"/>
          <w:color w:val="000000"/>
          <w:kern w:val="0"/>
          <w:sz w:val="28"/>
          <w:szCs w:val="28"/>
          <w:highlight w:val="none"/>
          <w:shd w:val="clear" w:color="auto" w:fill="FFFFFF"/>
          <w:lang w:val="en-US" w:eastAsia="zh-CN"/>
        </w:rPr>
        <w:t>2,254.45</w:t>
      </w:r>
      <w:r>
        <w:rPr>
          <w:rFonts w:hint="eastAsia" w:ascii="仿宋" w:hAnsi="仿宋" w:eastAsia="仿宋" w:cs="仿宋"/>
          <w:b w:val="0"/>
          <w:bCs w:val="0"/>
          <w:kern w:val="2"/>
          <w:sz w:val="28"/>
          <w:szCs w:val="28"/>
          <w:highlight w:val="none"/>
          <w:lang w:val="en-US" w:eastAsia="zh-CN" w:bidi="ar-SA"/>
        </w:rPr>
        <w:t>万元=5.38%，依据评分标准，预算调整率在0-20%之间的按照比例得分，预算调整率得分=（20%-5.38%）/20%×2分=1.46分。预算调整率指标权重2分，得分1.46分。</w:t>
      </w:r>
    </w:p>
    <w:p w14:paraId="503058D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④永济市市场监督管理局2023年中央一般转移支付实际下达5万元、省级一般转移支付实际下达6.3万元。依据评分标准，转移支付下达率=100%得1分。转移支付下达率指标权重1分，得分1分。</w:t>
      </w:r>
    </w:p>
    <w:p w14:paraId="032B8E58">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⑤永济市市场监督管理局2023年度结余资金0.00元，支出预算总数0.00元。结转结余率为0，依据评分标准，结转结余率等于0得2分。结转结余率指标权重1分，得分1分。</w:t>
      </w:r>
    </w:p>
    <w:p w14:paraId="30A3EE67">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⑥永济市市场监督管理局2022年末结转和结余资金0万元，2023年末结转和结余资金0万元。结转结余变动率为0%，依据评分标准，结转结余变动率小于或等于0的得1分。结转结余变动率指标权重1分，得1分。</w:t>
      </w:r>
    </w:p>
    <w:p w14:paraId="3480FA0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依据评分标准，本指标权重8分，得7.45分。</w:t>
      </w:r>
    </w:p>
    <w:p w14:paraId="67CE4965">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（2）B1-2预算绩效管理</w:t>
      </w:r>
    </w:p>
    <w:p w14:paraId="077F21F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场监督管理局编报了部门整体支出绩效目标申报表，针对具体的项目支出编报了绩效目标申报表。依据评分标准，编报部门整体支出绩效目标申报表得1分，编报项目支出绩效目标申报表得1分。此处得分1分。</w:t>
      </w:r>
    </w:p>
    <w:p w14:paraId="2947B625">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通过查看永济市市场监督管理局提供的《财政项目支出绩效运行监控情况表》，能够对绩效目标的实现程度进行监控。依据评分标准，进行监控的得2分。此处得分2分。</w:t>
      </w:r>
    </w:p>
    <w:p w14:paraId="5D0FE63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永济市市场监督管理局能够对部门整体和具体的项目支出进行绩效自评，依据评分标准，编报部门预算整体支出绩效自评表和自评报告，得1分；对完工项目实施项目绩效自评并编制绩效自评表和自评报告，得1分。</w:t>
      </w:r>
    </w:p>
    <w:p w14:paraId="23F4E22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yellow"/>
          <w:lang w:val="en-US" w:eastAsia="zh-CN"/>
        </w:rPr>
      </w:pPr>
      <w:r>
        <w:rPr>
          <w:rFonts w:hint="eastAsia" w:ascii="仿宋" w:hAnsi="仿宋" w:eastAsia="仿宋" w:cs="仿宋"/>
          <w:sz w:val="28"/>
          <w:szCs w:val="28"/>
          <w:highlight w:val="none"/>
          <w:lang w:val="en-US" w:eastAsia="zh-CN"/>
        </w:rPr>
        <w:t>永济市市场监督管理局在日常工作中能够对员工进行考核，员工考核与绩效工资进行挂钩。依据评分标准，部门对考核结果进行应用的得1分。此处得分1分。</w:t>
      </w:r>
    </w:p>
    <w:p w14:paraId="5982C84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依据评分标准，本指标权重7分，得分7分。</w:t>
      </w:r>
    </w:p>
    <w:p w14:paraId="077FA0F9">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2.B2收支管理，权重10分，得分7分</w:t>
      </w:r>
    </w:p>
    <w:p w14:paraId="20EFA124">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（1）B2-1收支管理规范性</w:t>
      </w:r>
    </w:p>
    <w:p w14:paraId="78E2AE72">
      <w:pPr>
        <w:pStyle w:val="2"/>
        <w:ind w:firstLine="562"/>
        <w:outlineLvl w:val="9"/>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①永济市市场监督管理局2023年共收入2,375.78万元，收入来源符合财政部规定的范围，均具有指标文件。具体详见下表。</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36"/>
        <w:gridCol w:w="2230"/>
        <w:gridCol w:w="3456"/>
      </w:tblGrid>
      <w:tr w14:paraId="1E1D4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blHeader/>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592D">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资金文号</w:t>
            </w:r>
          </w:p>
        </w:tc>
        <w:tc>
          <w:tcPr>
            <w:tcW w:w="1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7599">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 xml:space="preserve"> 金额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A7C6">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用途</w:t>
            </w:r>
          </w:p>
        </w:tc>
      </w:tr>
      <w:tr w14:paraId="18656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0D4F">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永财字〔2023〕2号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A9E4">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 xml:space="preserve"> 17,975,797.88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4B7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人员类项目</w:t>
            </w:r>
          </w:p>
        </w:tc>
      </w:tr>
      <w:tr w14:paraId="4A260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28B9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永财预〔2023〕036号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B7202">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u w:val="none"/>
                <w:lang w:val="en-US" w:eastAsia="zh-CN" w:bidi="ar"/>
              </w:rPr>
              <w:t xml:space="preserve"> 341,048.00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F5C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人员类项目</w:t>
            </w:r>
          </w:p>
        </w:tc>
      </w:tr>
      <w:tr w14:paraId="3CBB2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73E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永财预〔2023〕049号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A0DB">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826,607.00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1AB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人员类项目</w:t>
            </w:r>
          </w:p>
        </w:tc>
      </w:tr>
      <w:tr w14:paraId="02DE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3D0E6">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永财预指〔2023〕119号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78EF">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10,000.00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D816">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人员类项目</w:t>
            </w:r>
          </w:p>
        </w:tc>
      </w:tr>
      <w:tr w14:paraId="5CBA7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41A48">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永财字〔2023〕2号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66E4">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u w:val="none"/>
                <w:lang w:val="en-US" w:eastAsia="zh-CN" w:bidi="ar"/>
              </w:rPr>
              <w:t xml:space="preserve"> 3,363,736.04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7DA9">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公用经费</w:t>
            </w:r>
          </w:p>
        </w:tc>
      </w:tr>
      <w:tr w14:paraId="25846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56AE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永财字〔2023〕2号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3C93E">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u w:val="none"/>
                <w:lang w:val="en-US" w:eastAsia="zh-CN" w:bidi="ar"/>
              </w:rPr>
              <w:t xml:space="preserve"> 213,072.00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AA02">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遗属补助</w:t>
            </w:r>
          </w:p>
        </w:tc>
      </w:tr>
      <w:tr w14:paraId="66482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613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永财预指〔2023〕012号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70D3">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21,000.00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291FF">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”个转企“补助奖励</w:t>
            </w:r>
          </w:p>
        </w:tc>
      </w:tr>
      <w:tr w14:paraId="78B45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738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永财字〔2023〕2号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463C0">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u w:val="none"/>
                <w:lang w:val="en-US" w:eastAsia="zh-CN" w:bidi="ar"/>
              </w:rPr>
              <w:t xml:space="preserve"> 400,000.00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C2AB2">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工业产品和环保相关产品、日用消费品质量监督抽查专项经费</w:t>
            </w:r>
          </w:p>
        </w:tc>
      </w:tr>
      <w:tr w14:paraId="3CBF0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A32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永财字〔2023〕2号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3A85">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u w:val="none"/>
                <w:lang w:val="en-US" w:eastAsia="zh-CN" w:bidi="ar"/>
              </w:rPr>
              <w:t xml:space="preserve"> 80,000.00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99243">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公平竞争审查第三方评估所需费用</w:t>
            </w:r>
          </w:p>
        </w:tc>
      </w:tr>
      <w:tr w14:paraId="693F9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FC07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永财字〔2023〕2号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381D">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u w:val="none"/>
                <w:lang w:val="en-US" w:eastAsia="zh-CN" w:bidi="ar"/>
              </w:rPr>
              <w:t xml:space="preserve"> 388,900.00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5A8D7">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综合行政执法制式服装和标志配发经费</w:t>
            </w:r>
          </w:p>
        </w:tc>
      </w:tr>
      <w:tr w14:paraId="6EC49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4D9A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永财预指〔2023〕008号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7245">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u w:val="none"/>
                <w:lang w:val="en-US" w:eastAsia="zh-CN" w:bidi="ar"/>
              </w:rPr>
              <w:t xml:space="preserve"> 9,600.00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D4C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高素质人才生活补助</w:t>
            </w:r>
          </w:p>
        </w:tc>
      </w:tr>
      <w:tr w14:paraId="24425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6FAF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永财行〔2023〕004号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E40BF">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u w:val="none"/>
                <w:lang w:val="en-US" w:eastAsia="zh-CN" w:bidi="ar"/>
              </w:rPr>
              <w:t xml:space="preserve"> 50,000.00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11FA1">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2023年中央财政补助工商行政管理专项经费</w:t>
            </w:r>
          </w:p>
        </w:tc>
      </w:tr>
      <w:tr w14:paraId="3B7C0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75C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永财行〔2023〕005号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FB1B">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u w:val="none"/>
                <w:lang w:val="en-US" w:eastAsia="zh-CN" w:bidi="ar"/>
              </w:rPr>
              <w:t xml:space="preserve"> 63,000.00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CE1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基层市场监管补助资金</w:t>
            </w:r>
          </w:p>
        </w:tc>
      </w:tr>
      <w:tr w14:paraId="1115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B106">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永财行〔2023〕022号</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EE38">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u w:val="none"/>
                <w:lang w:val="en-US" w:eastAsia="zh-CN" w:bidi="ar"/>
              </w:rPr>
              <w:t xml:space="preserve"> 15,000.00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6229">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目标责任考核奖</w:t>
            </w:r>
          </w:p>
        </w:tc>
      </w:tr>
      <w:tr w14:paraId="5683D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C43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合计</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8CB8">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u w:val="none"/>
                <w:lang w:val="en-US" w:eastAsia="zh-CN" w:bidi="ar"/>
              </w:rPr>
              <w:t xml:space="preserve"> 23,757,760.92 </w:t>
            </w:r>
          </w:p>
        </w:tc>
        <w:tc>
          <w:tcPr>
            <w:tcW w:w="20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07326">
            <w:pPr>
              <w:jc w:val="right"/>
              <w:outlineLvl w:val="9"/>
              <w:rPr>
                <w:rFonts w:hint="eastAsia" w:ascii="仿宋" w:hAnsi="仿宋" w:eastAsia="仿宋" w:cs="仿宋"/>
                <w:i w:val="0"/>
                <w:iCs w:val="0"/>
                <w:color w:val="000000"/>
                <w:sz w:val="21"/>
                <w:szCs w:val="21"/>
                <w:highlight w:val="none"/>
                <w:u w:val="none"/>
              </w:rPr>
            </w:pPr>
          </w:p>
        </w:tc>
      </w:tr>
    </w:tbl>
    <w:p w14:paraId="00301188">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依据评分标准，收入来源符合财政部规定的范围，同时具有指标文件支持，得1分。</w:t>
      </w:r>
    </w:p>
    <w:p w14:paraId="12D219D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yellow"/>
          <w:lang w:val="en-US" w:eastAsia="zh-CN" w:bidi="ar-SA"/>
        </w:rPr>
      </w:pPr>
      <w:r>
        <w:rPr>
          <w:rFonts w:hint="eastAsia" w:ascii="仿宋" w:hAnsi="仿宋" w:eastAsia="仿宋" w:cs="仿宋"/>
          <w:b w:val="0"/>
          <w:bCs w:val="0"/>
          <w:kern w:val="2"/>
          <w:sz w:val="28"/>
          <w:szCs w:val="28"/>
          <w:highlight w:val="none"/>
          <w:lang w:val="en-US" w:eastAsia="zh-CN" w:bidi="ar-SA"/>
        </w:rPr>
        <w:t>②永济市市场监督管理局收取的非税收入主要为市场监管罚没收入，2023年共取得罚没收入68.8万元，全部上缴国库。</w:t>
      </w:r>
    </w:p>
    <w:p w14:paraId="34E2A830">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依据评分标准，对收取市场监管罚没收入工作进行评价，包括：收费标准文件、票据管理及存档，非税收入上缴追缴，制定非税收入资金管理措施等工作。得1分。</w:t>
      </w:r>
    </w:p>
    <w:p w14:paraId="5F0A879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③本次评价工作中，我们对永济市市场监督管理局2023年度财务报表、总账及明细账账簿、凭证进行了审核；经过审核，资金的拨付符合资金管理办法，资金的拨付有完整的审批程序和手续，重大开支均经过集体决策，但部分资金支出方向不符合部门预算批复的用途。如：公用经费支付自收自支在职人员工资、社保、奖金和自收自支退休人员等共</w:t>
      </w:r>
      <w:r>
        <w:rPr>
          <w:rFonts w:hint="eastAsia" w:ascii="仿宋" w:hAnsi="仿宋" w:eastAsia="仿宋" w:cs="仿宋"/>
          <w:b w:val="0"/>
          <w:bCs w:val="0"/>
          <w:color w:val="000000"/>
          <w:kern w:val="0"/>
          <w:sz w:val="28"/>
          <w:szCs w:val="28"/>
          <w:highlight w:val="none"/>
          <w:shd w:val="clear" w:color="auto" w:fill="FFFFFF"/>
          <w:lang w:val="en-US" w:eastAsia="zh-CN"/>
        </w:rPr>
        <w:t>705,696.08</w:t>
      </w:r>
      <w:r>
        <w:rPr>
          <w:rFonts w:hint="eastAsia" w:ascii="仿宋" w:hAnsi="仿宋" w:eastAsia="仿宋" w:cs="仿宋"/>
          <w:b w:val="0"/>
          <w:bCs w:val="0"/>
          <w:kern w:val="2"/>
          <w:sz w:val="28"/>
          <w:szCs w:val="28"/>
          <w:highlight w:val="none"/>
          <w:lang w:val="en-US" w:eastAsia="zh-CN" w:bidi="ar-SA"/>
        </w:rPr>
        <w:t>元，自收自支人员工资及社保等应由单位自行承担不应挤占财政资金，依据评分标准，资金存在截留、挤占、挪用、虚列支出等情况。此处不得分。</w:t>
      </w:r>
    </w:p>
    <w:p w14:paraId="669C106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④经查看财务凭证，永济市市场监督管理局能够按照国库单一账户进行支付。依据评分标准，国库集中支付规范性要按照国库单一账户体系进行集中支付，支付规范得1分。</w:t>
      </w:r>
    </w:p>
    <w:p w14:paraId="77A59F3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收支管理规范性指标权重6分，得分3分。</w:t>
      </w:r>
    </w:p>
    <w:p w14:paraId="6AB5F871">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（2）B1-2支出结构合理性</w:t>
      </w:r>
    </w:p>
    <w:p w14:paraId="6F68F3B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①永济市市场监督管理局2023年共支出</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b w:val="0"/>
          <w:bCs w:val="0"/>
          <w:kern w:val="2"/>
          <w:sz w:val="28"/>
          <w:szCs w:val="28"/>
          <w:highlight w:val="none"/>
          <w:lang w:val="en-US" w:eastAsia="zh-CN" w:bidi="ar-SA"/>
        </w:rPr>
        <w:t>万元，其中人员类项目基本支出占比81.10%，公用经费占比13.75%，项目支出占比5.15%；由于市场监督管理局工作</w:t>
      </w:r>
      <w:r>
        <w:rPr>
          <w:rFonts w:hint="eastAsia" w:ascii="仿宋" w:hAnsi="仿宋" w:eastAsia="仿宋" w:cs="仿宋"/>
          <w:b w:val="0"/>
          <w:bCs w:val="0"/>
          <w:color w:val="auto"/>
          <w:kern w:val="2"/>
          <w:sz w:val="28"/>
          <w:szCs w:val="28"/>
          <w:highlight w:val="none"/>
          <w:lang w:val="en-US" w:eastAsia="zh-CN" w:bidi="ar-SA"/>
        </w:rPr>
        <w:t>性质以执法监督检查为主</w:t>
      </w:r>
      <w:r>
        <w:rPr>
          <w:rFonts w:hint="eastAsia" w:ascii="仿宋" w:hAnsi="仿宋" w:eastAsia="仿宋" w:cs="仿宋"/>
          <w:b w:val="0"/>
          <w:bCs w:val="0"/>
          <w:kern w:val="2"/>
          <w:sz w:val="28"/>
          <w:szCs w:val="28"/>
          <w:highlight w:val="none"/>
          <w:lang w:val="en-US" w:eastAsia="zh-CN" w:bidi="ar-SA"/>
        </w:rPr>
        <w:t>，因此支出占比较大的主要为人员费用，具体支出结构见下表。</w:t>
      </w:r>
    </w:p>
    <w:tbl>
      <w:tblPr>
        <w:tblStyle w:val="11"/>
        <w:tblW w:w="5524" w:type="pct"/>
        <w:tblInd w:w="-3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03"/>
        <w:gridCol w:w="1788"/>
        <w:gridCol w:w="2411"/>
        <w:gridCol w:w="1275"/>
        <w:gridCol w:w="1139"/>
      </w:tblGrid>
      <w:tr w14:paraId="47920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tblHeader/>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FA0EF">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资金文号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8B46">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 xml:space="preserve"> 金额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8999">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用途</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10744">
            <w:pPr>
              <w:keepNext w:val="0"/>
              <w:keepLines w:val="0"/>
              <w:widowControl/>
              <w:suppressLineNumbers w:val="0"/>
              <w:jc w:val="center"/>
              <w:textAlignment w:val="center"/>
              <w:outlineLvl w:val="9"/>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支出类型</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2093">
            <w:pPr>
              <w:keepNext w:val="0"/>
              <w:keepLines w:val="0"/>
              <w:widowControl/>
              <w:suppressLineNumbers w:val="0"/>
              <w:jc w:val="center"/>
              <w:textAlignment w:val="center"/>
              <w:outlineLvl w:val="9"/>
              <w:rPr>
                <w:rFonts w:hint="eastAsia"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比例</w:t>
            </w:r>
          </w:p>
        </w:tc>
      </w:tr>
      <w:tr w14:paraId="0F49F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C55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C694">
            <w:pPr>
              <w:keepNext w:val="0"/>
              <w:keepLines w:val="0"/>
              <w:widowControl/>
              <w:suppressLineNumbers w:val="0"/>
              <w:jc w:val="right"/>
              <w:textAlignment w:val="center"/>
              <w:outlineLvl w:val="9"/>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 xml:space="preserve">17,952,418.77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228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人员类项目</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862A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基本支出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C3533">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76.11%</w:t>
            </w:r>
          </w:p>
        </w:tc>
      </w:tr>
      <w:tr w14:paraId="6E7F7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0EA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永财预〔2023〕036号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51FB">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 xml:space="preserve">341,048.00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382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人员类项目</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3815">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基本支出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ABA6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1.45%</w:t>
            </w:r>
          </w:p>
        </w:tc>
      </w:tr>
      <w:tr w14:paraId="167D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3AF9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永财预〔2023〕049号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A419">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826,607.00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F8EE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人员类项目</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36DF">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基本支出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004A">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3.50%</w:t>
            </w:r>
          </w:p>
        </w:tc>
      </w:tr>
      <w:tr w14:paraId="75B8C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313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永财预指〔2023〕119号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C0FAB">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10,000.00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9B3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人员类项目</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063C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基本支出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F18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0.04%</w:t>
            </w:r>
          </w:p>
        </w:tc>
      </w:tr>
      <w:tr w14:paraId="12A27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C71E">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CF9CE">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 xml:space="preserve"> 3,243,802.31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F382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公用经费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3571">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基本支出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9956">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13.75%</w:t>
            </w:r>
          </w:p>
        </w:tc>
      </w:tr>
      <w:tr w14:paraId="50F23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4C91">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B9FF">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 xml:space="preserve"> 199,404.00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DC5E7">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遗属补助</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E3010">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D6078">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0.85%</w:t>
            </w:r>
          </w:p>
        </w:tc>
      </w:tr>
      <w:tr w14:paraId="0C5DA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FF064">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永财预指〔2023〕012号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6B31">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 xml:space="preserve"> 18,600.00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0781">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”个转企“补助奖励</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25C6">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F013">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0.08%</w:t>
            </w:r>
          </w:p>
        </w:tc>
      </w:tr>
      <w:tr w14:paraId="58B07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FA0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AD3E">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396,500.00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7BB8">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工业产品和环保相关产品、日用消费品质量监督抽查专项经费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C2F0">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BB7F">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1.68%</w:t>
            </w:r>
          </w:p>
        </w:tc>
      </w:tr>
      <w:tr w14:paraId="4DE19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A1B2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E1D5A">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80,000.00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F7E8">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公平竞争审查第三方评估所需费用</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37F6">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E49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0.34%</w:t>
            </w:r>
          </w:p>
        </w:tc>
      </w:tr>
      <w:tr w14:paraId="4EBB6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50E2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永财字〔2023〕2号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1B8D">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383,002.10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E824E">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综合行政执法制式服装和标志配发经费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97E7">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16C00">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1.62%</w:t>
            </w:r>
          </w:p>
        </w:tc>
      </w:tr>
      <w:tr w14:paraId="53849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CF14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永财预指〔2023〕008号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E92CD">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9,600.00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7276">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高素质人才生活补助</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E2B8">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D770">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0.04%</w:t>
            </w:r>
          </w:p>
        </w:tc>
      </w:tr>
      <w:tr w14:paraId="0715B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1F2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永财行〔2023〕004号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F30F1">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50,000.00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AB46">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2023年中央财政补助工商行政管理专项经费</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CD9D7">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4CE3">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0.21%</w:t>
            </w:r>
          </w:p>
        </w:tc>
      </w:tr>
      <w:tr w14:paraId="7718E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3667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永财行〔2023〕005号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4EA2">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63,000.00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F39C9">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基层市场监管补助资金</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F9D2">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3196">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0.27%</w:t>
            </w:r>
          </w:p>
        </w:tc>
      </w:tr>
      <w:tr w14:paraId="05A4F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506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sz w:val="21"/>
                <w:szCs w:val="21"/>
                <w:highlight w:val="none"/>
                <w:u w:val="none"/>
              </w:rPr>
              <w:t>永财行〔2023〕022号</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2153">
            <w:pPr>
              <w:keepNext w:val="0"/>
              <w:keepLines w:val="0"/>
              <w:widowControl/>
              <w:suppressLineNumbers w:val="0"/>
              <w:jc w:val="right"/>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 xml:space="preserve"> 15,000.00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B63A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目标责任考核奖</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4AC8">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项目支出</w:t>
            </w: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97E5F">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0.06%</w:t>
            </w:r>
          </w:p>
        </w:tc>
      </w:tr>
      <w:tr w14:paraId="08D3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49E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合计</w:t>
            </w:r>
          </w:p>
        </w:tc>
        <w:tc>
          <w:tcPr>
            <w:tcW w:w="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8518">
            <w:pPr>
              <w:keepNext w:val="0"/>
              <w:keepLines w:val="0"/>
              <w:widowControl/>
              <w:suppressLineNumbers w:val="0"/>
              <w:jc w:val="right"/>
              <w:textAlignment w:val="center"/>
              <w:outlineLvl w:val="9"/>
              <w:rPr>
                <w:rFonts w:hint="eastAsia" w:ascii="仿宋" w:hAnsi="仿宋" w:eastAsia="仿宋" w:cs="仿宋"/>
                <w:i w:val="0"/>
                <w:iCs w:val="0"/>
                <w:color w:val="000000"/>
                <w:kern w:val="2"/>
                <w:sz w:val="21"/>
                <w:szCs w:val="21"/>
                <w:highlight w:val="none"/>
                <w:u w:val="none"/>
                <w:lang w:val="en-US" w:eastAsia="zh-CN" w:bidi="ar-SA"/>
              </w:rPr>
            </w:pPr>
            <w:r>
              <w:rPr>
                <w:rFonts w:hint="eastAsia" w:ascii="仿宋" w:hAnsi="仿宋" w:eastAsia="仿宋" w:cs="仿宋"/>
                <w:i w:val="0"/>
                <w:iCs w:val="0"/>
                <w:color w:val="000000"/>
                <w:kern w:val="0"/>
                <w:sz w:val="21"/>
                <w:szCs w:val="21"/>
                <w:highlight w:val="none"/>
                <w:u w:val="none"/>
                <w:lang w:val="en-US" w:eastAsia="zh-CN" w:bidi="ar"/>
              </w:rPr>
              <w:t xml:space="preserve"> 23,588,982.18 </w:t>
            </w:r>
          </w:p>
        </w:tc>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4105">
            <w:pPr>
              <w:jc w:val="right"/>
              <w:outlineLvl w:val="9"/>
              <w:rPr>
                <w:rFonts w:hint="eastAsia" w:ascii="仿宋" w:hAnsi="仿宋" w:eastAsia="仿宋" w:cs="仿宋"/>
                <w:i w:val="0"/>
                <w:iCs w:val="0"/>
                <w:color w:val="000000"/>
                <w:sz w:val="21"/>
                <w:szCs w:val="21"/>
                <w:highlight w:val="none"/>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B523F">
            <w:pPr>
              <w:jc w:val="right"/>
              <w:outlineLvl w:val="9"/>
              <w:rPr>
                <w:rFonts w:hint="eastAsia" w:ascii="仿宋" w:hAnsi="仿宋" w:eastAsia="仿宋" w:cs="仿宋"/>
                <w:i w:val="0"/>
                <w:iCs w:val="0"/>
                <w:color w:val="000000"/>
                <w:sz w:val="21"/>
                <w:szCs w:val="21"/>
                <w:highlight w:val="none"/>
                <w:u w:val="none"/>
              </w:rPr>
            </w:pPr>
          </w:p>
        </w:tc>
        <w:tc>
          <w:tcPr>
            <w:tcW w:w="1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F2A5">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100.00%</w:t>
            </w:r>
          </w:p>
        </w:tc>
      </w:tr>
    </w:tbl>
    <w:p w14:paraId="585E70C0">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依据评分标准，部门支出分配与部门年度工作任务相匹配，得2分，除因政策因素调整导致外，否则不得分。此处得分2分。</w:t>
      </w:r>
    </w:p>
    <w:p w14:paraId="5AA943A5">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②经查看资料，永济市市场监督管理局工作为监督检查，因此重点支出主要为人员类支出，安排资金能够满足重点工作任务所需，依据评分标准，此处得分2分。</w:t>
      </w:r>
    </w:p>
    <w:p w14:paraId="2178AD7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收支结构合理性指标权重4分，得分4分。</w:t>
      </w:r>
    </w:p>
    <w:p w14:paraId="0906F650">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3.B3资产管理，权重8分，得分6分</w:t>
      </w:r>
    </w:p>
    <w:p w14:paraId="3D5F94E1">
      <w:pPr>
        <w:ind w:firstLine="562" w:firstLineChars="200"/>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（1）B3-1资产管理规范性</w:t>
      </w:r>
    </w:p>
    <w:p w14:paraId="04C382D4">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永济市市场监督管理局针对实物资产制定了完备的资产管理制度。该制度对资产的购置、验收、领用、处置、损坏、清查盘点以及资产档案保管等方面均作出了明确规定。资产管理制度合法、合规且完整得1分。</w:t>
      </w:r>
    </w:p>
    <w:p w14:paraId="047AF874">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2023年购置挂机空调3台、多功能一体机10台、监控一套、办公家具，新购置资产的价格及配置数量未超过《永济市行政单位资产配置标准》，此处得1分。</w:t>
      </w:r>
    </w:p>
    <w:p w14:paraId="244B41CB">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其中固定资产卡片共计1637项资产，其中1366项资产品牌与规格型号不完善，985项资产管理部门与管理人不明确，此处不得分。</w:t>
      </w:r>
    </w:p>
    <w:p w14:paraId="1935C94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依据评分标准，该指标权重5分，得3分。</w:t>
      </w:r>
    </w:p>
    <w:p w14:paraId="5D68259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（2）B3-2固定资产利用率</w:t>
      </w:r>
    </w:p>
    <w:p w14:paraId="1D733E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通过对固定资产台账和资产盘点表进行核查比对，涉及1637个固定资产，金额14,330,581.62元，其中在用资产1637个，金额为14,330,581.62元，固定资产利用率=（实际在用固定资产总额/所有固定资产总额）*100%。=（14,330,581.62/14,330,581.62）*100=100%。</w:t>
      </w:r>
    </w:p>
    <w:p w14:paraId="1D6FC38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根据“固定资产利用率≥95%得满分，每减少5%，扣除1分，扣完为止。”评分标准，固定资产利用率=100%。该指标设定分值3分，经综合评价，指标得分为3分。</w:t>
      </w:r>
    </w:p>
    <w:p w14:paraId="70FC265E">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4.B4其他管理，权重7分，得分5分</w:t>
      </w:r>
    </w:p>
    <w:p w14:paraId="548F18CE">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（1）B4-1人员管理</w:t>
      </w:r>
    </w:p>
    <w:p w14:paraId="3C3BB8C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sz w:val="28"/>
          <w:szCs w:val="28"/>
          <w:highlight w:val="none"/>
          <w:lang w:val="en-US" w:eastAsia="zh-CN"/>
        </w:rPr>
        <w:t>截至2023年末，永济市市场监督管理局</w:t>
      </w:r>
      <w:r>
        <w:rPr>
          <w:rFonts w:hint="eastAsia" w:ascii="仿宋" w:hAnsi="仿宋" w:eastAsia="仿宋" w:cs="仿宋"/>
          <w:b w:val="0"/>
          <w:bCs w:val="0"/>
          <w:sz w:val="28"/>
          <w:szCs w:val="28"/>
          <w:highlight w:val="none"/>
          <w:lang w:val="en-US" w:eastAsia="zh-CN"/>
        </w:rPr>
        <w:t>2023年底市场监督管理局共有编制153名，在职人员共185人。其中：行政编76名，在职人员69人；事业编77名，在职人员105人；行政工勤11人。</w:t>
      </w:r>
    </w:p>
    <w:p w14:paraId="7141529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在职人员控制率=（实有人数185人/编制名额153名）×100%=120.91%，根据评分标准，在职人员控制率≤100%的得1分，在职人员控制率≥120%的得0分；此处得分0分。</w:t>
      </w:r>
    </w:p>
    <w:p w14:paraId="6C8E5FCF">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人员管理指标权重2分，得分0分。</w:t>
      </w:r>
    </w:p>
    <w:p w14:paraId="707B18B0">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（2）B4-2政府采购管理</w:t>
      </w:r>
    </w:p>
    <w:p w14:paraId="0353B86A">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永济市市场监督管理局2023年度共备案政府采购预算资金  1,145,930.00元，实际完成政府采购计划1,129,550.00元；政府采购执行率98.57%。</w:t>
      </w:r>
    </w:p>
    <w:p w14:paraId="7C4428FC">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依据评分标准，本指标权重2分，得分2分。</w:t>
      </w:r>
    </w:p>
    <w:p w14:paraId="7FFA5D49">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（3）B4-3信息公开</w:t>
      </w:r>
    </w:p>
    <w:p w14:paraId="289BC04E">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场监督管理局已根据相关规定于2023年3月16日在永济市政府网站公开了2023年度预算公开信息；于2024年8月23日，在永济市政府网站公开了2023年度部门决算公开信息。依据评分标准，按规定内容公开预决算信息得1分；按规定时限公开政务信息得1分。</w:t>
      </w:r>
    </w:p>
    <w:p w14:paraId="3FBA82D4">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依据评分标准，本指标权重2分，得分2分。</w:t>
      </w:r>
    </w:p>
    <w:p w14:paraId="4C6518C4">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（4）B4-4资金监管</w:t>
      </w:r>
    </w:p>
    <w:p w14:paraId="5C2A40C4">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通过调查，永济市财政局对永济市市场监督管理局2023年度预算信息和决算信息已进行审核并公示，未发现不良问题。依据评分标准，永济市市场监督管理局2023年4月-8月接受市委第二巡察组的检查，巡察组共发现14个问题，问题基本整改，永济市市场监管局已出具情况说明。</w:t>
      </w:r>
    </w:p>
    <w:p w14:paraId="6A340E38">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依据评分标准，本指标权重1分，得1分。</w:t>
      </w:r>
    </w:p>
    <w:p w14:paraId="75A6F35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sz w:val="28"/>
          <w:szCs w:val="28"/>
          <w:highlight w:val="none"/>
          <w:lang w:val="en-US" w:eastAsia="zh-CN"/>
        </w:rPr>
      </w:pPr>
      <w:bookmarkStart w:id="155" w:name="_Toc19367"/>
      <w:bookmarkStart w:id="156" w:name="_Toc18679"/>
      <w:r>
        <w:rPr>
          <w:rFonts w:hint="eastAsia" w:ascii="仿宋" w:hAnsi="仿宋" w:eastAsia="仿宋" w:cs="仿宋"/>
          <w:b/>
          <w:bCs/>
          <w:sz w:val="28"/>
          <w:szCs w:val="28"/>
          <w:highlight w:val="none"/>
          <w:lang w:val="en-US" w:eastAsia="zh-CN"/>
        </w:rPr>
        <w:t>（三）部门产出分析</w:t>
      </w:r>
      <w:bookmarkEnd w:id="155"/>
      <w:bookmarkEnd w:id="156"/>
    </w:p>
    <w:p w14:paraId="0C8C850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部门产出分析分别从目标任务实现程度、目标任务完成质量、目标任务完成及时性、运行成本控制有效性四个方面进行分析，共设置四个二级指标七个三级指标。部门产出分值30分，实际得分28.89分，得分率96.3%。各分项指标得分情况如下表4-3所示：</w:t>
      </w:r>
    </w:p>
    <w:p w14:paraId="6945C2FC">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highlight w:val="none"/>
          <w:lang w:val="en-US" w:eastAsia="zh-CN"/>
        </w:rPr>
      </w:pPr>
      <w:r>
        <w:rPr>
          <w:rFonts w:hint="eastAsia" w:ascii="仿宋" w:hAnsi="仿宋" w:eastAsia="仿宋" w:cs="仿宋"/>
          <w:sz w:val="28"/>
          <w:szCs w:val="28"/>
          <w:highlight w:val="none"/>
          <w:lang w:val="en-US" w:eastAsia="zh-CN"/>
        </w:rPr>
        <w:t>表4-3 部门产出得分情况表</w:t>
      </w:r>
    </w:p>
    <w:tbl>
      <w:tblPr>
        <w:tblStyle w:val="11"/>
        <w:tblW w:w="4998" w:type="pct"/>
        <w:jc w:val="center"/>
        <w:shd w:val="clear" w:color="auto" w:fill="auto"/>
        <w:tblLayout w:type="autofit"/>
        <w:tblCellMar>
          <w:top w:w="0" w:type="dxa"/>
          <w:left w:w="0" w:type="dxa"/>
          <w:bottom w:w="0" w:type="dxa"/>
          <w:right w:w="0" w:type="dxa"/>
        </w:tblCellMar>
      </w:tblPr>
      <w:tblGrid>
        <w:gridCol w:w="1358"/>
        <w:gridCol w:w="3398"/>
        <w:gridCol w:w="1187"/>
        <w:gridCol w:w="1189"/>
        <w:gridCol w:w="1189"/>
      </w:tblGrid>
      <w:tr w14:paraId="3B94E103">
        <w:tblPrEx>
          <w:shd w:val="clear" w:color="auto" w:fill="auto"/>
          <w:tblCellMar>
            <w:top w:w="0" w:type="dxa"/>
            <w:left w:w="0" w:type="dxa"/>
            <w:bottom w:w="0" w:type="dxa"/>
            <w:right w:w="0" w:type="dxa"/>
          </w:tblCellMar>
        </w:tblPrEx>
        <w:trPr>
          <w:trHeight w:val="363" w:hRule="atLeast"/>
          <w:tblHeader/>
          <w:jc w:val="center"/>
        </w:trPr>
        <w:tc>
          <w:tcPr>
            <w:tcW w:w="81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688070E8">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二级指标</w:t>
            </w:r>
          </w:p>
        </w:tc>
        <w:tc>
          <w:tcPr>
            <w:tcW w:w="204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71214284">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1FCEEFDC">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16392705">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4972C13B">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得分率</w:t>
            </w:r>
          </w:p>
        </w:tc>
      </w:tr>
      <w:tr w14:paraId="5A462F46">
        <w:tblPrEx>
          <w:shd w:val="clear" w:color="auto" w:fill="auto"/>
          <w:tblCellMar>
            <w:top w:w="0" w:type="dxa"/>
            <w:left w:w="0" w:type="dxa"/>
            <w:bottom w:w="0" w:type="dxa"/>
            <w:right w:w="0" w:type="dxa"/>
          </w:tblCellMar>
        </w:tblPrEx>
        <w:trPr>
          <w:trHeight w:val="360" w:hRule="atLeast"/>
          <w:jc w:val="center"/>
        </w:trPr>
        <w:tc>
          <w:tcPr>
            <w:tcW w:w="816"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14043D1C">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C1目标任务实现程度</w:t>
            </w: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3AD0584">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C1-1质量安全监管完成情况</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3E12A78">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4.00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7066C1B">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4.00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4F478AE">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376CE5BC">
        <w:tblPrEx>
          <w:shd w:val="clear" w:color="auto" w:fill="auto"/>
          <w:tblCellMar>
            <w:top w:w="0" w:type="dxa"/>
            <w:left w:w="0" w:type="dxa"/>
            <w:bottom w:w="0" w:type="dxa"/>
            <w:right w:w="0" w:type="dxa"/>
          </w:tblCellMar>
        </w:tblPrEx>
        <w:trPr>
          <w:trHeight w:val="360" w:hRule="atLeast"/>
          <w:jc w:val="center"/>
        </w:trPr>
        <w:tc>
          <w:tcPr>
            <w:tcW w:w="816"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35675F8E">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6AF7041">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C1-2食品安全监管完成情况</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F1C041B">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5.00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12116E0">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5BE7999">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3FDB7920">
        <w:tblPrEx>
          <w:shd w:val="clear" w:color="auto" w:fill="auto"/>
          <w:tblCellMar>
            <w:top w:w="0" w:type="dxa"/>
            <w:left w:w="0" w:type="dxa"/>
            <w:bottom w:w="0" w:type="dxa"/>
            <w:right w:w="0" w:type="dxa"/>
          </w:tblCellMar>
        </w:tblPrEx>
        <w:trPr>
          <w:trHeight w:val="360" w:hRule="atLeast"/>
          <w:jc w:val="center"/>
        </w:trPr>
        <w:tc>
          <w:tcPr>
            <w:tcW w:w="816"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3CD77E96">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6ABE5C6">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C1-3重点项目完成情况</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05CD3E0">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6.00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50879D2">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C87AF2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83.33%</w:t>
            </w:r>
          </w:p>
        </w:tc>
      </w:tr>
      <w:tr w14:paraId="17219841">
        <w:tblPrEx>
          <w:shd w:val="clear" w:color="auto" w:fill="auto"/>
          <w:tblCellMar>
            <w:top w:w="0" w:type="dxa"/>
            <w:left w:w="0" w:type="dxa"/>
            <w:bottom w:w="0" w:type="dxa"/>
            <w:right w:w="0" w:type="dxa"/>
          </w:tblCellMar>
        </w:tblPrEx>
        <w:trPr>
          <w:trHeight w:val="360" w:hRule="atLeast"/>
          <w:jc w:val="center"/>
        </w:trPr>
        <w:tc>
          <w:tcPr>
            <w:tcW w:w="816"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0E87AEF5">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169DC1B">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C1-4市场秩序监管完成情况</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6E7E194">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5.00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AC950E9">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4.95</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B41775C">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99.00%</w:t>
            </w:r>
          </w:p>
        </w:tc>
      </w:tr>
      <w:tr w14:paraId="64E54171">
        <w:tblPrEx>
          <w:tblCellMar>
            <w:top w:w="0" w:type="dxa"/>
            <w:left w:w="0" w:type="dxa"/>
            <w:bottom w:w="0" w:type="dxa"/>
            <w:right w:w="0" w:type="dxa"/>
          </w:tblCellMar>
        </w:tblPrEx>
        <w:trPr>
          <w:trHeight w:val="360" w:hRule="atLeast"/>
          <w:jc w:val="center"/>
        </w:trPr>
        <w:tc>
          <w:tcPr>
            <w:tcW w:w="816"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40C41FD">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91492BC">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小计</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1BD8C7A">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20.00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9716A60">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18.95</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E40D48B">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94.75%</w:t>
            </w:r>
          </w:p>
        </w:tc>
      </w:tr>
      <w:tr w14:paraId="215E65E4">
        <w:tblPrEx>
          <w:shd w:val="clear" w:color="auto" w:fill="auto"/>
          <w:tblCellMar>
            <w:top w:w="0" w:type="dxa"/>
            <w:left w:w="0" w:type="dxa"/>
            <w:bottom w:w="0" w:type="dxa"/>
            <w:right w:w="0" w:type="dxa"/>
          </w:tblCellMar>
        </w:tblPrEx>
        <w:trPr>
          <w:trHeight w:val="360" w:hRule="atLeast"/>
          <w:jc w:val="center"/>
        </w:trPr>
        <w:tc>
          <w:tcPr>
            <w:tcW w:w="81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7A8338B">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C2目标任务完成质量</w:t>
            </w: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E15FF05">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C2-1目标质量达标情况</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78D0161">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5.00</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E2B5D29">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4.94</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CAD9F77">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98.80%</w:t>
            </w:r>
          </w:p>
        </w:tc>
      </w:tr>
      <w:tr w14:paraId="52052D2B">
        <w:tblPrEx>
          <w:tblCellMar>
            <w:top w:w="0" w:type="dxa"/>
            <w:left w:w="0" w:type="dxa"/>
            <w:bottom w:w="0" w:type="dxa"/>
            <w:right w:w="0" w:type="dxa"/>
          </w:tblCellMar>
        </w:tblPrEx>
        <w:trPr>
          <w:trHeight w:val="360" w:hRule="atLeast"/>
          <w:jc w:val="center"/>
        </w:trPr>
        <w:tc>
          <w:tcPr>
            <w:tcW w:w="81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6F4EAB6">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C3目标任务完成及时性</w:t>
            </w: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50EFE11">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C3-1目标任务产出时效</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E4432E9">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2.00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BEC1EFF">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2.00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687597EE">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15E98391">
        <w:tblPrEx>
          <w:shd w:val="clear" w:color="auto" w:fill="auto"/>
          <w:tblCellMar>
            <w:top w:w="0" w:type="dxa"/>
            <w:left w:w="0" w:type="dxa"/>
            <w:bottom w:w="0" w:type="dxa"/>
            <w:right w:w="0" w:type="dxa"/>
          </w:tblCellMar>
        </w:tblPrEx>
        <w:trPr>
          <w:trHeight w:val="360" w:hRule="atLeast"/>
          <w:jc w:val="center"/>
        </w:trPr>
        <w:tc>
          <w:tcPr>
            <w:tcW w:w="81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3BDE5588">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C4运行成本控制有效性</w:t>
            </w:r>
          </w:p>
        </w:tc>
        <w:tc>
          <w:tcPr>
            <w:tcW w:w="204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5CBC9DB">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C4-1成本控制情况</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DB382AB">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u w:val="none"/>
                <w:lang w:val="en-US" w:eastAsia="zh-CN" w:bidi="ar"/>
              </w:rPr>
              <w:t>3.00</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9DC5C24">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3.00</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BA74B6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484A3B32">
        <w:tblPrEx>
          <w:tblCellMar>
            <w:top w:w="0" w:type="dxa"/>
            <w:left w:w="0" w:type="dxa"/>
            <w:bottom w:w="0" w:type="dxa"/>
            <w:right w:w="0" w:type="dxa"/>
          </w:tblCellMar>
        </w:tblPrEx>
        <w:trPr>
          <w:trHeight w:val="360"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C6195A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合计</w:t>
            </w:r>
          </w:p>
        </w:tc>
        <w:tc>
          <w:tcPr>
            <w:tcW w:w="118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C94F5EE">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30.00</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6638DF3">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28.89</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F9AB188">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96.30%</w:t>
            </w:r>
          </w:p>
        </w:tc>
      </w:tr>
    </w:tbl>
    <w:p w14:paraId="5E9E952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1.C1目标任务实现程度，权重20分，得18.95分</w:t>
      </w:r>
    </w:p>
    <w:p w14:paraId="6E4D07D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（1）C1-1质量安全监管完成情况</w:t>
      </w:r>
    </w:p>
    <w:p w14:paraId="2E5F42F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①2023年永济市市场监督管理局共完成8大类工业产品抽检，由10个基层监管所对环保、消防、农资、电工材料、建筑和装修装饰材料、食品相关产品、学习用品、儿童玩具、日用化工等工业产品进行监督抽查，全年共抽检8大类37种产品共计323批次,合格314批次，不合格9批次，合格率达97.21%，依据评分标准，得2分</w:t>
      </w:r>
    </w:p>
    <w:p w14:paraId="3BE362A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②2023年永济市市场监督管理局超额完成安全隐患排查，其中食品环节：组织开展了学校食堂、食醋、肉制品、酒类、全市餐饮业食品安全等15个食品安全专项整治。全年累计检查5365家次并严格实施食品生产经营安全风险分级管理制度，对全市范围内的食品生产企业和食品经营单位进行详尽的风险分级评估；工业产品环节：在工业产品领域，共进行了171家次的安全隐患排查，其中发现16家存在安全隐患，已责令整改；药品流通环节：全年对药品经营使用单位进行了202家次检查；特种设备使用环节：检查特种设备生产使用单位112家次，下达安全监察指令书27份，排查并整治了119项特种设备问题隐患；化妆品经营环节：对全市化妆品经营使用企业进行了全面覆盖的检查，共责令38家企业进行改正，查处了8家存在化妆品违法行为的单位，并立案8起，依据评分标准，得2分。</w:t>
      </w:r>
    </w:p>
    <w:p w14:paraId="10E8D44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依据评分标准，本指标权重4分，得分4分。</w:t>
      </w:r>
    </w:p>
    <w:p w14:paraId="62CDBFB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（2）C1-2食品安全监管完成情况</w:t>
      </w:r>
    </w:p>
    <w:p w14:paraId="5C81FE8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b w:val="0"/>
          <w:bCs w:val="0"/>
          <w:sz w:val="28"/>
          <w:szCs w:val="36"/>
          <w:lang w:val="en-US" w:eastAsia="zh-CN"/>
        </w:rPr>
        <w:t>①2023年共</w:t>
      </w:r>
      <w:r>
        <w:rPr>
          <w:rFonts w:hint="eastAsia" w:ascii="仿宋" w:hAnsi="仿宋" w:eastAsia="仿宋" w:cs="仿宋"/>
          <w:sz w:val="28"/>
          <w:szCs w:val="36"/>
          <w:lang w:val="en-US" w:eastAsia="zh-CN"/>
        </w:rPr>
        <w:t>完成7家食品生产企业完成ISO9001质量管理体系认证，分别为山西纯粹醋业有限公司、永济市好美味食品有限公司、永济市老冯家食品有限公司、永济市桑落王酒业有限公司、永济市神味食品加工厂、永济市鑫麦康面业股份有限公司、永济市玉倩食品有限公司，经核查相关认证资料，认证机构为北京中安质环认证有限公司，颁证时间为2023年，均符合要求，依据评分标准，完成3家食品生产企业质量管理体系认证三年提升，得2分。</w:t>
      </w:r>
    </w:p>
    <w:p w14:paraId="7EEC03C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②2023年永济市市场监督管理局分级分批开展了线上线下培训共35场，采用巡回授课、网络视频授课等方式组织开展食品安全知识培训，依据评分标准，开展食品安全线上线下培训，得1分。</w:t>
      </w:r>
    </w:p>
    <w:p w14:paraId="3569E59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③督促食品生产经营企业（单位）建立主要负责人负总责，食品安全总监、食品安全员分级负责的食品安全责任体系，建立风险管控清单，健全“日管控、周排查、月调度”工作机制，精准防控风险隐患。截至2023年底企业落实食品安全主体责任工作已在1240家食品生产经营单位全面开展，依据评分标准，落实食品安全责任1240家，得1分。</w:t>
      </w:r>
    </w:p>
    <w:p w14:paraId="28FA002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④经查询永济市2023年重大食品安全事故的新闻及山西省食品安全通报记录，永济市未发生重大食品安全事故，依据评分标准，2023年无重大食品安全事故发生，得1分。</w:t>
      </w:r>
    </w:p>
    <w:p w14:paraId="72930CF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依据评分标准，本指标权重5分，得分5分。</w:t>
      </w:r>
    </w:p>
    <w:p w14:paraId="6E56967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（3）C1-3重点项目完成情况</w:t>
      </w:r>
    </w:p>
    <w:p w14:paraId="104A950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①经查看财务凭证及支付明细表，2023年中央财政补助工商行政管理专项经费用于报销差旅费、图书、办公用品、电脑耗材、值班食品等，符合《工商行政管理专项补助经费管理办法》补助范围及分配办法“工商行政管理专项补助经费主要用于工商行政管理部门基础设施维修改造、基本装备、执法办案以及特殊业务等补助支出。”依据评分标准，用于10个基层市场监管所，得1分。</w:t>
      </w:r>
    </w:p>
    <w:p w14:paraId="0CDC85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②2023年永济市市场监督管理局市场主体发展服务股完成“个转企”36家，实行“一对一、点对点”，全程推进帮办代办，依据评分标准，完成“个转企”30家，得1分。</w:t>
      </w:r>
    </w:p>
    <w:p w14:paraId="2F573DD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③根据《关于加快推进综合行政执法制式服装和标志配发工作的通知》（晋司通（2021）53号）的要求，集中统一采购，在文件提供的成交供应商、供货区域及成交价格一览表中，选择符合要求的供应商，经查看财务凭证，际华三五四三针织服饰有限公司供应帽子、领带、帽徽、肩章、制服等共计4.22万元，陕西浩洋警用装备有限公司供应制服7.78万元，上海衡韵实业发展有限公司供应皮鞋、腰带，共计26.3万元。得1分。</w:t>
      </w:r>
    </w:p>
    <w:p w14:paraId="742B3F7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④经查看财务支付明细表，摘要为差旅费支出（仅为检查差旅费、下乡差旅费）的费用共有217笔，共计130444元，凭证附件齐全，依据评分标准，得1分。</w:t>
      </w:r>
    </w:p>
    <w:p w14:paraId="3DA42E7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⑤根据永济市市场监督管理局关于印发《永济市2023年度“五面红旗”示范非公企业创建工作方案》的通知，2023年永济市创建2个“五面红旗”，截至2023年底，永济电机安居物业管理有限责任公司被评选为全市“五面红旗”示范单位称号。未完成实施方案中创建2个“五面红旗”的工作目标，得1分。</w:t>
      </w:r>
    </w:p>
    <w:p w14:paraId="4B71AB4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依据评分标准，本指标权重6分，得分5分。</w:t>
      </w:r>
    </w:p>
    <w:p w14:paraId="5D73014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（4）C1-4市场秩序监管完成情况</w:t>
      </w:r>
    </w:p>
    <w:p w14:paraId="161ABB7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①2023年永济市市场监督管理局共建设17个“12315消费维权服务站”服务站名称分别为永济市雪花山景区旅游开发有限公司、永济市好又多购物广场、永济市南风购物超市、永济市瑞田农贸市场有限公司、永济市客乐购生活超市蒲津店、永济市供销大楼等，于2023年9月4日在永济市人民政府官网公示17个维权服务站主体信息及辖区市场监管部门以及联系电话，得1分。</w:t>
      </w:r>
    </w:p>
    <w:p w14:paraId="6EF2ED8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②2023年3月14日公布双随机抽查工作计划，建立了双随机监管抽查事项清单,2023年4月3日在永济市政府官网公示，2023年全年共双随机抽查74次，双随机抽检结果在国家企业信用信息公示系统进行公示，全年信用风险分类结果运用率100%，得2分。</w:t>
      </w:r>
    </w:p>
    <w:p w14:paraId="3938412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③经查看全国12315平台中统计分析系统数据，2023年1-12月投诉共717起、举报423起，共1140起，其中投诉按时初查率为97.9%、投诉按时办结率为100%（此数据仅为网上投诉举报，不包含现场投诉举报），依据评分标准，投诉处理及时率未达到100%，得1.95分。</w:t>
      </w:r>
    </w:p>
    <w:p w14:paraId="520B3A1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依据评分标准，本指标权重5分，得分4.95分。</w:t>
      </w:r>
    </w:p>
    <w:p w14:paraId="25CF9EAA">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2.C2目标任务完成质量，权重5分，得4.89分</w:t>
      </w:r>
    </w:p>
    <w:p w14:paraId="2975D7A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C2-1目标质量达标情况</w:t>
      </w:r>
    </w:p>
    <w:p w14:paraId="06644FE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①1240家食品安全主体责任“三类人、四件事、四本账”均落实到位，</w:t>
      </w:r>
      <w:r>
        <w:rPr>
          <w:rFonts w:hint="eastAsia" w:ascii="仿宋" w:hAnsi="仿宋" w:eastAsia="仿宋" w:cs="仿宋"/>
          <w:sz w:val="28"/>
          <w:szCs w:val="36"/>
          <w:lang w:val="en-US" w:eastAsia="zh-CN"/>
        </w:rPr>
        <w:t>督促食品生产经营企业（单位）建立主要负责人负总责，食品安全总监、食品安全员分级负责的食品安全责任体系，建立风险管控清单，健全“日管控、周排查、月调度”工作机制，精准防控风险隐患。</w:t>
      </w:r>
      <w:r>
        <w:rPr>
          <w:rFonts w:hint="eastAsia" w:ascii="仿宋" w:hAnsi="仿宋" w:eastAsia="仿宋" w:cs="仿宋"/>
          <w:b w:val="0"/>
          <w:bCs w:val="0"/>
          <w:sz w:val="28"/>
          <w:szCs w:val="36"/>
          <w:lang w:val="en-US" w:eastAsia="zh-CN"/>
        </w:rPr>
        <w:t>得2分。</w:t>
      </w:r>
    </w:p>
    <w:p w14:paraId="0D7D3DF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b w:val="0"/>
          <w:bCs w:val="0"/>
          <w:sz w:val="28"/>
          <w:szCs w:val="36"/>
          <w:lang w:val="en-US" w:eastAsia="zh-CN"/>
        </w:rPr>
        <w:t>②全年共抽检8大类37种产品共</w:t>
      </w:r>
      <w:r>
        <w:rPr>
          <w:rFonts w:hint="eastAsia" w:ascii="仿宋" w:hAnsi="仿宋" w:eastAsia="仿宋" w:cs="仿宋"/>
          <w:sz w:val="28"/>
          <w:szCs w:val="36"/>
          <w:lang w:val="en-US" w:eastAsia="zh-CN"/>
        </w:rPr>
        <w:t>计323批次,合格314批次，不合格9批次，合格率达97.21%，得1.94分。</w:t>
      </w:r>
    </w:p>
    <w:p w14:paraId="560DB6D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sz w:val="28"/>
          <w:szCs w:val="36"/>
          <w:lang w:val="en-US" w:eastAsia="zh-CN"/>
        </w:rPr>
        <w:t>③经查看食品监管股相关资料，</w:t>
      </w:r>
      <w:r>
        <w:rPr>
          <w:rFonts w:hint="eastAsia" w:ascii="仿宋" w:hAnsi="仿宋" w:eastAsia="仿宋" w:cs="仿宋"/>
          <w:b w:val="0"/>
          <w:bCs w:val="0"/>
          <w:sz w:val="28"/>
          <w:szCs w:val="36"/>
          <w:lang w:val="en-US" w:eastAsia="zh-CN"/>
        </w:rPr>
        <w:t>全年累计处置12345政府热线投诉食品安全方面问题65个，满意率达95%，得0.95分。</w:t>
      </w:r>
    </w:p>
    <w:p w14:paraId="13D579D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依据评分标准，本指标权重5分，得分4.89分。</w:t>
      </w:r>
    </w:p>
    <w:p w14:paraId="0D88F850">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3.C3目标任务完成及时性，权重2分，得2分</w:t>
      </w:r>
    </w:p>
    <w:p w14:paraId="6625B270">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C3-1目标任务产出时效</w:t>
      </w:r>
    </w:p>
    <w:p w14:paraId="66FA493D">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产品质量监督抽检时限分别为日用纺织品、食品相关产品9月30日前完成、其余产品抽样11月30日前完成质量监督抽查工作；公平竞争审查于2023年6月20至30日；“五面红旗”考核验收工作在12月10日前完成；示范建站于2023年5月22日-6月23日完成；日常监督检查在2023年底前完成，经审核各项抽查检查表，基本能按照实施方案计划时间完成，未发现推迟完成工作任务的情况。</w:t>
      </w:r>
    </w:p>
    <w:p w14:paraId="4502DD3F">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依据评分标准，本指标权重2分，得2分。</w:t>
      </w:r>
    </w:p>
    <w:p w14:paraId="21E53D9B">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4.C4运行成本控制有效性，权重3分，得3分</w:t>
      </w:r>
    </w:p>
    <w:p w14:paraId="313C11C9">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C4-1成本控制情况</w:t>
      </w:r>
    </w:p>
    <w:p w14:paraId="3A56AB98">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①2023年公用经费实际支出3,243,802.31元，公用经费预算金额 3,363,736.04元，公用经费控制率96.43%≤100%，得1分。</w:t>
      </w:r>
    </w:p>
    <w:p w14:paraId="3BE4EFD8">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②2023年三公经费实际支出119,999.97元，三公经费预算金额120,000.00元，三公经费控制率99.99%≤100%，得1分。</w:t>
      </w:r>
    </w:p>
    <w:p w14:paraId="1E8AB07D">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③2023年人员经费实际支出19,130,073.77元，人员经费预算金额19,153,452.88元，人员经费控制率99.88%≤100%，得1分。</w:t>
      </w:r>
    </w:p>
    <w:p w14:paraId="05B79222">
      <w:pPr>
        <w:keepNext w:val="0"/>
        <w:keepLines w:val="0"/>
        <w:pageBreakBefore w:val="0"/>
        <w:widowControl w:val="0"/>
        <w:tabs>
          <w:tab w:val="left" w:pos="6863"/>
        </w:tabs>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36"/>
          <w:lang w:val="en-US" w:eastAsia="zh-CN"/>
        </w:rPr>
      </w:pPr>
      <w:r>
        <w:rPr>
          <w:rFonts w:hint="eastAsia" w:ascii="仿宋" w:hAnsi="仿宋" w:eastAsia="仿宋" w:cs="仿宋"/>
          <w:sz w:val="28"/>
          <w:szCs w:val="36"/>
          <w:lang w:val="en-US" w:eastAsia="zh-CN"/>
        </w:rPr>
        <w:t>依据评分标准，本指标权重3分，得3分。</w:t>
      </w:r>
    </w:p>
    <w:p w14:paraId="529E545F">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1"/>
        <w:rPr>
          <w:rFonts w:hint="eastAsia" w:ascii="仿宋" w:hAnsi="仿宋" w:eastAsia="仿宋" w:cs="仿宋"/>
          <w:b/>
          <w:bCs/>
          <w:kern w:val="2"/>
          <w:sz w:val="28"/>
          <w:szCs w:val="28"/>
          <w:highlight w:val="none"/>
          <w:lang w:val="en-US" w:eastAsia="zh-CN" w:bidi="ar-SA"/>
        </w:rPr>
      </w:pPr>
      <w:bookmarkStart w:id="157" w:name="_Toc7608"/>
      <w:bookmarkStart w:id="158" w:name="_Toc1920"/>
      <w:r>
        <w:rPr>
          <w:rFonts w:hint="eastAsia" w:ascii="仿宋" w:hAnsi="仿宋" w:eastAsia="仿宋" w:cs="仿宋"/>
          <w:b/>
          <w:bCs/>
          <w:kern w:val="2"/>
          <w:sz w:val="28"/>
          <w:szCs w:val="28"/>
          <w:highlight w:val="none"/>
          <w:lang w:val="en-US" w:eastAsia="zh-CN" w:bidi="ar-SA"/>
        </w:rPr>
        <w:t>（四）部门效果分析</w:t>
      </w:r>
      <w:bookmarkEnd w:id="157"/>
      <w:bookmarkEnd w:id="158"/>
    </w:p>
    <w:p w14:paraId="22DA8696">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部门效果分析分别从经济效益、可持续性、社会满意三个方面进行分析，共设置三个二级指标七个三级指标。部门效果指标分值15分，实际得分12.78分，得分率85.20%。各分项指标得分情况如下表4-4所示：</w:t>
      </w:r>
    </w:p>
    <w:p w14:paraId="493AA79D">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表4-4 部门效果得分情况表</w:t>
      </w:r>
    </w:p>
    <w:tbl>
      <w:tblPr>
        <w:tblStyle w:val="11"/>
        <w:tblW w:w="4998" w:type="pct"/>
        <w:jc w:val="center"/>
        <w:shd w:val="clear" w:color="auto" w:fill="auto"/>
        <w:tblLayout w:type="autofit"/>
        <w:tblCellMar>
          <w:top w:w="0" w:type="dxa"/>
          <w:left w:w="0" w:type="dxa"/>
          <w:bottom w:w="0" w:type="dxa"/>
          <w:right w:w="0" w:type="dxa"/>
        </w:tblCellMar>
      </w:tblPr>
      <w:tblGrid>
        <w:gridCol w:w="1493"/>
        <w:gridCol w:w="3263"/>
        <w:gridCol w:w="1187"/>
        <w:gridCol w:w="1189"/>
        <w:gridCol w:w="1189"/>
      </w:tblGrid>
      <w:tr w14:paraId="45AF39DA">
        <w:tblPrEx>
          <w:shd w:val="clear" w:color="auto" w:fill="auto"/>
          <w:tblCellMar>
            <w:top w:w="0" w:type="dxa"/>
            <w:left w:w="0" w:type="dxa"/>
            <w:bottom w:w="0" w:type="dxa"/>
            <w:right w:w="0" w:type="dxa"/>
          </w:tblCellMar>
        </w:tblPrEx>
        <w:trPr>
          <w:trHeight w:val="397" w:hRule="atLeast"/>
          <w:tblHeader/>
          <w:jc w:val="center"/>
        </w:trPr>
        <w:tc>
          <w:tcPr>
            <w:tcW w:w="89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1965B237">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二级指标</w:t>
            </w:r>
          </w:p>
        </w:tc>
        <w:tc>
          <w:tcPr>
            <w:tcW w:w="196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205D46D9">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6179DF62">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214D841E">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14:paraId="2F22C9B4">
            <w:pPr>
              <w:keepNext w:val="0"/>
              <w:keepLines w:val="0"/>
              <w:widowControl/>
              <w:suppressLineNumbers w:val="0"/>
              <w:jc w:val="center"/>
              <w:textAlignment w:val="center"/>
              <w:outlineLvl w:val="9"/>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得分率</w:t>
            </w:r>
          </w:p>
        </w:tc>
      </w:tr>
      <w:tr w14:paraId="70542BC5">
        <w:tblPrEx>
          <w:shd w:val="clear" w:color="auto" w:fill="auto"/>
          <w:tblCellMar>
            <w:top w:w="0" w:type="dxa"/>
            <w:left w:w="0" w:type="dxa"/>
            <w:bottom w:w="0" w:type="dxa"/>
            <w:right w:w="0" w:type="dxa"/>
          </w:tblCellMar>
        </w:tblPrEx>
        <w:trPr>
          <w:trHeight w:val="397" w:hRule="atLeast"/>
          <w:jc w:val="center"/>
        </w:trPr>
        <w:tc>
          <w:tcPr>
            <w:tcW w:w="897"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14:paraId="18C05FA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D1经济效益</w:t>
            </w: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750368C">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D1-1保障食品安全</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D39F17D">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1F15EA26">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60FC67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100.00%</w:t>
            </w:r>
          </w:p>
        </w:tc>
      </w:tr>
      <w:tr w14:paraId="31DE2391">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1867F08D">
            <w:pPr>
              <w:keepNext w:val="0"/>
              <w:keepLines w:val="0"/>
              <w:widowControl/>
              <w:suppressLineNumbers w:val="0"/>
              <w:jc w:val="center"/>
              <w:textAlignment w:val="center"/>
              <w:outlineLvl w:val="9"/>
              <w:rPr>
                <w:rFonts w:hint="eastAsia" w:ascii="仿宋" w:hAnsi="仿宋" w:eastAsia="仿宋" w:cs="仿宋"/>
                <w:i w:val="0"/>
                <w:color w:val="000000"/>
                <w:kern w:val="0"/>
                <w:sz w:val="21"/>
                <w:szCs w:val="21"/>
                <w:highlight w:val="none"/>
                <w:u w:val="none"/>
                <w:lang w:val="en-US" w:eastAsia="zh-CN" w:bidi="ar"/>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65F108B">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D1-2营造安全放心消费环境</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FA2C75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BBDC97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0.00</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663BF7F">
            <w:pPr>
              <w:keepNext w:val="0"/>
              <w:keepLines w:val="0"/>
              <w:widowControl/>
              <w:suppressLineNumbers w:val="0"/>
              <w:jc w:val="center"/>
              <w:textAlignment w:val="center"/>
              <w:outlineLvl w:val="9"/>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0.00%</w:t>
            </w:r>
          </w:p>
        </w:tc>
      </w:tr>
      <w:tr w14:paraId="1C09043D">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1D079F9E">
            <w:pPr>
              <w:jc w:val="center"/>
              <w:outlineLvl w:val="9"/>
              <w:rPr>
                <w:rFonts w:hint="eastAsia" w:ascii="仿宋" w:hAnsi="仿宋" w:eastAsia="仿宋" w:cs="仿宋"/>
                <w:i w:val="0"/>
                <w:color w:val="000000"/>
                <w:sz w:val="21"/>
                <w:szCs w:val="21"/>
                <w:highlight w:val="none"/>
                <w:u w:val="none"/>
                <w:lang w:val="en-US" w:eastAsia="zh-CN"/>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AD6ADED">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D1-3提高产品合格率</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F301F75">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1693457">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570EB3A4">
            <w:pPr>
              <w:keepNext w:val="0"/>
              <w:keepLines w:val="0"/>
              <w:widowControl/>
              <w:suppressLineNumbers w:val="0"/>
              <w:jc w:val="center"/>
              <w:textAlignment w:val="center"/>
              <w:outlineLvl w:val="9"/>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100.00%</w:t>
            </w:r>
          </w:p>
        </w:tc>
      </w:tr>
      <w:tr w14:paraId="4BEE4E2E">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28EDA4EE">
            <w:pPr>
              <w:jc w:val="center"/>
              <w:outlineLvl w:val="9"/>
              <w:rPr>
                <w:rFonts w:hint="eastAsia" w:ascii="仿宋" w:hAnsi="仿宋" w:eastAsia="仿宋" w:cs="仿宋"/>
                <w:i w:val="0"/>
                <w:color w:val="000000"/>
                <w:sz w:val="21"/>
                <w:szCs w:val="21"/>
                <w:highlight w:val="none"/>
                <w:u w:val="none"/>
                <w:lang w:val="en-US" w:eastAsia="zh-CN"/>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F3A2191">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D1-4促进市场公平竞争</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025867C">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609702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7516840">
            <w:pPr>
              <w:keepNext w:val="0"/>
              <w:keepLines w:val="0"/>
              <w:widowControl/>
              <w:suppressLineNumbers w:val="0"/>
              <w:jc w:val="center"/>
              <w:textAlignment w:val="center"/>
              <w:outlineLvl w:val="9"/>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100.00%</w:t>
            </w:r>
          </w:p>
        </w:tc>
      </w:tr>
      <w:tr w14:paraId="21E6D5E8">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29D9E7A">
            <w:pPr>
              <w:jc w:val="center"/>
              <w:outlineLvl w:val="9"/>
              <w:rPr>
                <w:rFonts w:hint="eastAsia" w:ascii="仿宋" w:hAnsi="仿宋" w:eastAsia="仿宋" w:cs="仿宋"/>
                <w:i w:val="0"/>
                <w:color w:val="000000"/>
                <w:sz w:val="21"/>
                <w:szCs w:val="21"/>
                <w:highlight w:val="none"/>
                <w:u w:val="none"/>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06212C8">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624EBFD">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8.00 </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F6B630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6.00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FBBE64F">
            <w:pPr>
              <w:keepNext w:val="0"/>
              <w:keepLines w:val="0"/>
              <w:widowControl/>
              <w:suppressLineNumbers w:val="0"/>
              <w:jc w:val="center"/>
              <w:textAlignment w:val="center"/>
              <w:outlineLvl w:val="9"/>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75.00%</w:t>
            </w:r>
          </w:p>
        </w:tc>
      </w:tr>
      <w:tr w14:paraId="4F14289D">
        <w:tblPrEx>
          <w:shd w:val="clear" w:color="auto" w:fill="auto"/>
          <w:tblCellMar>
            <w:top w:w="0" w:type="dxa"/>
            <w:left w:w="0" w:type="dxa"/>
            <w:bottom w:w="0" w:type="dxa"/>
            <w:right w:w="0" w:type="dxa"/>
          </w:tblCellMar>
        </w:tblPrEx>
        <w:trPr>
          <w:trHeight w:val="397" w:hRule="atLeast"/>
          <w:jc w:val="center"/>
        </w:trPr>
        <w:tc>
          <w:tcPr>
            <w:tcW w:w="897" w:type="pct"/>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73B028E">
            <w:pPr>
              <w:jc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sz w:val="21"/>
                <w:szCs w:val="21"/>
                <w:highlight w:val="none"/>
                <w:u w:val="none"/>
                <w:lang w:val="en-US" w:eastAsia="zh-CN"/>
              </w:rPr>
              <w:t>D2可持续性</w:t>
            </w: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40A87EB0">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D2-1</w:t>
            </w:r>
            <w:r>
              <w:rPr>
                <w:rFonts w:hint="eastAsia" w:ascii="仿宋" w:hAnsi="仿宋" w:eastAsia="仿宋" w:cs="仿宋"/>
                <w:i w:val="0"/>
                <w:iCs w:val="0"/>
                <w:color w:val="000000"/>
                <w:sz w:val="21"/>
                <w:szCs w:val="21"/>
                <w:highlight w:val="none"/>
                <w:u w:val="none"/>
                <w:lang w:val="en-US" w:eastAsia="zh-CN"/>
              </w:rPr>
              <w:t>干部队伍建设</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0459A357">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25A2ACE">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41F30F1F">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100.00%</w:t>
            </w:r>
          </w:p>
        </w:tc>
      </w:tr>
      <w:tr w14:paraId="17F82A0D">
        <w:tblPrEx>
          <w:shd w:val="clear" w:color="auto" w:fill="auto"/>
          <w:tblCellMar>
            <w:top w:w="0" w:type="dxa"/>
            <w:left w:w="0" w:type="dxa"/>
            <w:bottom w:w="0" w:type="dxa"/>
            <w:right w:w="0" w:type="dxa"/>
          </w:tblCellMar>
        </w:tblPrEx>
        <w:trPr>
          <w:trHeight w:val="397" w:hRule="atLeast"/>
          <w:jc w:val="center"/>
        </w:trPr>
        <w:tc>
          <w:tcPr>
            <w:tcW w:w="897" w:type="pct"/>
            <w:vMerge w:val="restart"/>
            <w:tcBorders>
              <w:left w:val="single" w:color="000000" w:sz="4" w:space="0"/>
              <w:right w:val="single" w:color="000000" w:sz="4" w:space="0"/>
            </w:tcBorders>
            <w:shd w:val="clear" w:color="auto" w:fill="auto"/>
            <w:tcMar>
              <w:top w:w="9" w:type="dxa"/>
              <w:left w:w="9" w:type="dxa"/>
              <w:right w:w="9" w:type="dxa"/>
            </w:tcMar>
            <w:vAlign w:val="center"/>
          </w:tcPr>
          <w:p w14:paraId="4DE35015">
            <w:pPr>
              <w:jc w:val="center"/>
              <w:outlineLvl w:val="9"/>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sz w:val="21"/>
                <w:szCs w:val="21"/>
                <w:highlight w:val="none"/>
                <w:u w:val="none"/>
                <w:lang w:val="en-US" w:eastAsia="zh-CN"/>
              </w:rPr>
              <w:t>D3社会满意</w:t>
            </w: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EA8509A">
            <w:pPr>
              <w:keepNext w:val="0"/>
              <w:keepLines w:val="0"/>
              <w:widowControl/>
              <w:suppressLineNumbers w:val="0"/>
              <w:jc w:val="left"/>
              <w:textAlignment w:val="center"/>
              <w:outlineLvl w:val="9"/>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iCs w:val="0"/>
                <w:color w:val="000000"/>
                <w:sz w:val="21"/>
                <w:szCs w:val="21"/>
                <w:highlight w:val="none"/>
                <w:u w:val="none"/>
                <w:lang w:val="en-US" w:eastAsia="zh-CN"/>
              </w:rPr>
              <w:t>D3-1服务对象满意度</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3E72577">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3.00 </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956D5EF">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2.90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D61313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96.67%</w:t>
            </w:r>
          </w:p>
        </w:tc>
      </w:tr>
      <w:tr w14:paraId="7243DD13">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09DAF0DA">
            <w:pPr>
              <w:jc w:val="center"/>
              <w:outlineLvl w:val="9"/>
              <w:rPr>
                <w:rFonts w:hint="eastAsia" w:ascii="仿宋" w:hAnsi="仿宋" w:eastAsia="仿宋" w:cs="仿宋"/>
                <w:i w:val="0"/>
                <w:color w:val="000000"/>
                <w:sz w:val="21"/>
                <w:szCs w:val="21"/>
                <w:highlight w:val="none"/>
                <w:u w:val="none"/>
                <w:lang w:val="en-US" w:eastAsia="zh-CN"/>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54576940">
            <w:pPr>
              <w:keepNext w:val="0"/>
              <w:keepLines w:val="0"/>
              <w:widowControl/>
              <w:suppressLineNumbers w:val="0"/>
              <w:jc w:val="left"/>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D3-2管理对象满意度</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19295279">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48E2255">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1.88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D3642A1">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94.00%</w:t>
            </w:r>
          </w:p>
        </w:tc>
      </w:tr>
      <w:tr w14:paraId="5BC177EE">
        <w:tblPrEx>
          <w:shd w:val="clear" w:color="auto" w:fill="auto"/>
          <w:tblCellMar>
            <w:top w:w="0" w:type="dxa"/>
            <w:left w:w="0" w:type="dxa"/>
            <w:bottom w:w="0" w:type="dxa"/>
            <w:right w:w="0" w:type="dxa"/>
          </w:tblCellMar>
        </w:tblPrEx>
        <w:trPr>
          <w:trHeight w:val="397" w:hRule="atLeast"/>
          <w:jc w:val="center"/>
        </w:trPr>
        <w:tc>
          <w:tcPr>
            <w:tcW w:w="897" w:type="pct"/>
            <w:vMerge w:val="continue"/>
            <w:tcBorders>
              <w:left w:val="single" w:color="000000" w:sz="4" w:space="0"/>
              <w:right w:val="single" w:color="000000" w:sz="4" w:space="0"/>
            </w:tcBorders>
            <w:shd w:val="clear" w:color="auto" w:fill="auto"/>
            <w:tcMar>
              <w:top w:w="9" w:type="dxa"/>
              <w:left w:w="9" w:type="dxa"/>
              <w:right w:w="9" w:type="dxa"/>
            </w:tcMar>
            <w:vAlign w:val="center"/>
          </w:tcPr>
          <w:p w14:paraId="1AAA2F90">
            <w:pPr>
              <w:jc w:val="center"/>
              <w:outlineLvl w:val="9"/>
              <w:rPr>
                <w:rFonts w:hint="eastAsia" w:ascii="仿宋" w:hAnsi="仿宋" w:eastAsia="仿宋" w:cs="仿宋"/>
                <w:i w:val="0"/>
                <w:color w:val="000000"/>
                <w:sz w:val="21"/>
                <w:szCs w:val="21"/>
                <w:highlight w:val="none"/>
                <w:u w:val="none"/>
                <w:lang w:val="en-US" w:eastAsia="zh-CN"/>
              </w:rPr>
            </w:pPr>
          </w:p>
        </w:tc>
        <w:tc>
          <w:tcPr>
            <w:tcW w:w="196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691EEC3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7322931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5.00 </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14:paraId="29041EEC">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 4.78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D9C8F9C">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95.60%</w:t>
            </w:r>
          </w:p>
        </w:tc>
      </w:tr>
      <w:tr w14:paraId="4F037742">
        <w:tblPrEx>
          <w:shd w:val="clear" w:color="auto" w:fill="auto"/>
          <w:tblCellMar>
            <w:top w:w="0" w:type="dxa"/>
            <w:left w:w="0" w:type="dxa"/>
            <w:bottom w:w="0" w:type="dxa"/>
            <w:right w:w="0" w:type="dxa"/>
          </w:tblCellMar>
        </w:tblPrEx>
        <w:trPr>
          <w:trHeight w:val="397"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24DF3256">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合计</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0A22B4EE">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15.00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30D4CD72">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12.78 </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14:paraId="7636ED55">
            <w:pPr>
              <w:keepNext w:val="0"/>
              <w:keepLines w:val="0"/>
              <w:widowControl/>
              <w:suppressLineNumbers w:val="0"/>
              <w:jc w:val="center"/>
              <w:textAlignment w:val="center"/>
              <w:outlineLvl w:val="9"/>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85.20%</w:t>
            </w:r>
          </w:p>
        </w:tc>
      </w:tr>
    </w:tbl>
    <w:p w14:paraId="17C223F9">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bookmarkStart w:id="159" w:name="_Toc12711"/>
      <w:r>
        <w:rPr>
          <w:rFonts w:hint="eastAsia" w:ascii="仿宋" w:hAnsi="仿宋" w:eastAsia="仿宋" w:cs="仿宋"/>
          <w:b/>
          <w:bCs/>
          <w:kern w:val="2"/>
          <w:sz w:val="28"/>
          <w:szCs w:val="28"/>
          <w:highlight w:val="none"/>
          <w:lang w:val="en-US" w:eastAsia="zh-CN" w:bidi="ar-SA"/>
        </w:rPr>
        <w:t>1.D1经济效益，权重8分，得6分。</w:t>
      </w:r>
      <w:bookmarkEnd w:id="159"/>
    </w:p>
    <w:p w14:paraId="34E51B68">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（1）D1-1保障食品安全</w:t>
      </w:r>
    </w:p>
    <w:p w14:paraId="42C9C30F">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2023年度永济市市场监督管理局分级分批开展了线上线下培训35场，落实包保责任2532家主体，累计开展专项整治15项，检查食品生产经营单位5365家次，实行风险分类分级管理815家，整改问题340余条，核查处置抽检不合格食品32批次，严格把控食品安全风险，提高了公众对食品安全的信任及满意，让永济市市民食品安全得到保障；经查阅山西省及永济市关于食品安全的新闻报道及通报文件，2023年永济市未发生重大食品安全事故。</w:t>
      </w:r>
    </w:p>
    <w:p w14:paraId="2B2CBA6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lang w:val="en-US" w:eastAsia="zh-CN"/>
        </w:rPr>
      </w:pPr>
      <w:r>
        <w:rPr>
          <w:rFonts w:hint="eastAsia" w:ascii="仿宋" w:hAnsi="仿宋" w:eastAsia="仿宋" w:cs="仿宋"/>
          <w:b w:val="0"/>
          <w:bCs w:val="0"/>
          <w:kern w:val="2"/>
          <w:sz w:val="28"/>
          <w:szCs w:val="28"/>
          <w:highlight w:val="none"/>
          <w:lang w:val="en-US" w:eastAsia="zh-CN" w:bidi="ar-SA"/>
        </w:rPr>
        <w:t>依据评分标准，本指标权重2分，得2分。</w:t>
      </w:r>
    </w:p>
    <w:p w14:paraId="5F72D6A9">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（2）D1-2营造安全放心消费环境</w:t>
      </w:r>
    </w:p>
    <w:p w14:paraId="63292A6A">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根据查看2022年和2023年全国12315平台的数据统计，2022年投诉和举报共896起，投诉调解成功率为51.42%，2023年投诉和举报共1140起，投诉调解成功率为47.6%，消费者投诉率提高了27.23%，投诉调解成功率降低了3.82%。</w:t>
      </w:r>
    </w:p>
    <w:p w14:paraId="141540D0">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根据评分标准，本指标权重2分，此项不得分。</w:t>
      </w:r>
    </w:p>
    <w:p w14:paraId="7695EF7C">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（3）D1-3提高产品合格率</w:t>
      </w:r>
    </w:p>
    <w:p w14:paraId="1967F02F">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2023年共抽检8大类37种产品共计323批次,合格314批次，不合格9批次，合格率达97.21%。通过质量抽检，规范市场秩序，严厉打击了制售假冒伪劣违法行为。</w:t>
      </w:r>
    </w:p>
    <w:p w14:paraId="62090E3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lang w:val="en-US" w:eastAsia="zh-CN"/>
        </w:rPr>
      </w:pPr>
      <w:r>
        <w:rPr>
          <w:rFonts w:hint="eastAsia" w:ascii="仿宋" w:hAnsi="仿宋" w:eastAsia="仿宋" w:cs="仿宋"/>
          <w:b w:val="0"/>
          <w:bCs w:val="0"/>
          <w:kern w:val="2"/>
          <w:sz w:val="28"/>
          <w:szCs w:val="28"/>
          <w:highlight w:val="none"/>
          <w:lang w:val="en-US" w:eastAsia="zh-CN" w:bidi="ar-SA"/>
        </w:rPr>
        <w:t>依据评分标准，本指标权重2分，得2分。</w:t>
      </w:r>
    </w:p>
    <w:p w14:paraId="7BC85DE0">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（4）D1-4促进市场公平竞争</w:t>
      </w:r>
    </w:p>
    <w:p w14:paraId="2D5C5A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永济市市场监督管理局2023年建立了公平竞争审查“四全四审”模式，组织成员单位将涉及公平竞争审查方面需要清理、修改、废止的规范性文件进行了自查，开展了为期半月的督查指导并限期整改问题，接受咨询5件次，审查文件178份。根据《运城市2023年反垄断和反不正当竞争工作要点》，安排各所队开展了关于加强民生领域垄断行为的专项执法，指导城北、城西所查处了两起不正当竞争案件，罚没0.15万元。通过市场监管局的打击垄断、不正当竞争行为，提高市场资源配置效率有效促进了市场公平竞争。</w:t>
      </w:r>
    </w:p>
    <w:p w14:paraId="7BC4C29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依据评分标准，本指标权重2分，得2分。</w:t>
      </w:r>
    </w:p>
    <w:p w14:paraId="23D55CC0">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bookmarkStart w:id="160" w:name="_Toc21238"/>
      <w:r>
        <w:rPr>
          <w:rFonts w:hint="eastAsia" w:ascii="仿宋" w:hAnsi="仿宋" w:eastAsia="仿宋" w:cs="仿宋"/>
          <w:b/>
          <w:bCs/>
          <w:kern w:val="2"/>
          <w:sz w:val="28"/>
          <w:szCs w:val="28"/>
          <w:highlight w:val="none"/>
          <w:lang w:val="en-US" w:eastAsia="zh-CN" w:bidi="ar-SA"/>
        </w:rPr>
        <w:t>2.D2可持续性，权重2分，得2分。</w:t>
      </w:r>
      <w:bookmarkEnd w:id="160"/>
    </w:p>
    <w:p w14:paraId="096D2A11">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D2-1干部队伍建设</w:t>
      </w:r>
    </w:p>
    <w:p w14:paraId="3608050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根据现场调研访谈以及人才培养相关档案资料抽查，市场监</w:t>
      </w:r>
    </w:p>
    <w:p w14:paraId="3D54AC99">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管局将人才工作纳入年度工作计划，切实推进和加强市场监管人</w:t>
      </w:r>
    </w:p>
    <w:p w14:paraId="6AC73DBF">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才队伍建设，把人才工作列入年度考核内容，积极鼓励支持干部</w:t>
      </w:r>
    </w:p>
    <w:p w14:paraId="4699059E">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职工职称晋升、学历提高和开展继续教育，提升综合素质，不断</w:t>
      </w:r>
    </w:p>
    <w:p w14:paraId="782B5DD3">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推进人才队伍建设。</w:t>
      </w:r>
    </w:p>
    <w:p w14:paraId="243A467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2023年市场监管局制定了培训计划，主要开展了执法培训、</w:t>
      </w:r>
    </w:p>
    <w:p w14:paraId="2E5B809E">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kern w:val="2"/>
          <w:sz w:val="28"/>
          <w:szCs w:val="28"/>
          <w:highlight w:val="none"/>
          <w:lang w:val="en-US" w:eastAsia="zh-CN" w:bidi="ar-SA"/>
        </w:rPr>
      </w:pPr>
      <w:r>
        <w:rPr>
          <w:rFonts w:hint="eastAsia" w:ascii="仿宋" w:hAnsi="仿宋" w:eastAsia="仿宋" w:cs="仿宋"/>
          <w:kern w:val="2"/>
          <w:sz w:val="28"/>
          <w:szCs w:val="28"/>
          <w:highlight w:val="none"/>
          <w:lang w:val="en-US" w:eastAsia="zh-CN" w:bidi="ar-SA"/>
        </w:rPr>
        <w:t>法制培训、特种设备培训、食品从业人员培训等。其中组织全体执法人员参加学习贯彻习近平法治思想暨强化行政执法能力建设专题培训课程，邀请专家、法律顾问开展消费者权益保护和行政处罚法专题培训，组织参加“行政执法大讲堂”培训活动11期次，组织执法人员开展案卷评查，提升一线执法人员办案能力，推进依法行政，严格执法，通过培训增长见识、丰富知识、提高能力，提高了人才的综合协调能力和业务本领。</w:t>
      </w:r>
    </w:p>
    <w:p w14:paraId="6C5DD741">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依据评分标准，本指标权重2分，得2分。</w:t>
      </w:r>
    </w:p>
    <w:p w14:paraId="7F41F541">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kern w:val="2"/>
          <w:sz w:val="28"/>
          <w:szCs w:val="28"/>
          <w:highlight w:val="none"/>
          <w:lang w:val="en-US" w:eastAsia="zh-CN" w:bidi="ar-SA"/>
        </w:rPr>
      </w:pPr>
      <w:bookmarkStart w:id="161" w:name="_Toc23716"/>
      <w:r>
        <w:rPr>
          <w:rFonts w:hint="eastAsia" w:ascii="仿宋" w:hAnsi="仿宋" w:eastAsia="仿宋" w:cs="仿宋"/>
          <w:b/>
          <w:bCs/>
          <w:kern w:val="2"/>
          <w:sz w:val="28"/>
          <w:szCs w:val="28"/>
          <w:highlight w:val="none"/>
          <w:lang w:val="en-US" w:eastAsia="zh-CN" w:bidi="ar-SA"/>
        </w:rPr>
        <w:t>3.D3社会满意，权重5分，得4.78分。</w:t>
      </w:r>
      <w:bookmarkEnd w:id="161"/>
    </w:p>
    <w:p w14:paraId="4139885F">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D3-1服务对象满意度</w:t>
      </w:r>
    </w:p>
    <w:p w14:paraId="3662FF74">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次针对市场监督管理局监管商户及群众进行了满意度问卷调查，参与问卷调查的受益群体为398人，通过问卷调查，了解受访者对食品安全监管、部门工作业务流程、机关办事制度改革、市场公平竞争、宣传培训工作以及服务工作等方面的看法和满意度，服务对象对市场监督管理局2023年度的服务工作总体满意程度较高，超过90%的受访者表示满意或非常满意，反映出受访者对该局的服务态度较为正面。问卷满意度结果汇总见表4-3-1。</w:t>
      </w:r>
    </w:p>
    <w:p w14:paraId="5ADEF443">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依据评分标准，本指标权重3分，得2.9分。</w:t>
      </w:r>
    </w:p>
    <w:p w14:paraId="6E6FF9EB">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lang w:val="en-US" w:eastAsia="zh-CN"/>
        </w:rPr>
      </w:pPr>
      <w:r>
        <w:rPr>
          <w:rFonts w:hint="eastAsia" w:ascii="仿宋" w:hAnsi="仿宋" w:eastAsia="仿宋" w:cs="仿宋"/>
          <w:b w:val="0"/>
          <w:bCs w:val="0"/>
          <w:kern w:val="2"/>
          <w:sz w:val="28"/>
          <w:szCs w:val="28"/>
          <w:highlight w:val="none"/>
          <w:lang w:val="en-US" w:eastAsia="zh-CN" w:bidi="ar-SA"/>
        </w:rPr>
        <w:t>表4-3-1问卷满意度结果汇总表</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14:paraId="307CC84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6F0BE93">
            <w:pPr>
              <w:jc w:val="left"/>
              <w:outlineLvl w:val="9"/>
              <w:rPr>
                <w:rFonts w:hint="eastAsia" w:ascii="仿宋" w:hAnsi="仿宋" w:eastAsia="仿宋" w:cs="仿宋"/>
              </w:rPr>
            </w:pPr>
            <w:r>
              <w:rPr>
                <w:rFonts w:hint="eastAsia" w:ascii="仿宋" w:hAnsi="仿宋" w:eastAsia="仿宋" w:cs="仿宋"/>
              </w:rPr>
              <w:t>选项</w:t>
            </w:r>
          </w:p>
        </w:tc>
        <w:tc>
          <w:tcPr>
            <w:tcW w:w="1000" w:type="dxa"/>
            <w:shd w:val="clear" w:color="auto" w:fill="F5F5F5"/>
            <w:vAlign w:val="center"/>
          </w:tcPr>
          <w:p w14:paraId="28D17DFE">
            <w:pPr>
              <w:jc w:val="center"/>
              <w:outlineLvl w:val="9"/>
              <w:rPr>
                <w:rFonts w:hint="eastAsia" w:ascii="仿宋" w:hAnsi="仿宋" w:eastAsia="仿宋" w:cs="仿宋"/>
              </w:rPr>
            </w:pPr>
            <w:r>
              <w:rPr>
                <w:rFonts w:hint="eastAsia" w:ascii="仿宋" w:hAnsi="仿宋" w:eastAsia="仿宋" w:cs="仿宋"/>
              </w:rPr>
              <w:t>小计</w:t>
            </w:r>
          </w:p>
        </w:tc>
        <w:tc>
          <w:tcPr>
            <w:tcW w:w="3106" w:type="dxa"/>
            <w:shd w:val="clear" w:color="auto" w:fill="F5F5F5"/>
            <w:vAlign w:val="center"/>
          </w:tcPr>
          <w:p w14:paraId="481C00DC">
            <w:pPr>
              <w:jc w:val="left"/>
              <w:outlineLvl w:val="9"/>
              <w:rPr>
                <w:rFonts w:hint="eastAsia" w:ascii="仿宋" w:hAnsi="仿宋" w:eastAsia="仿宋" w:cs="仿宋"/>
              </w:rPr>
            </w:pPr>
            <w:r>
              <w:rPr>
                <w:rFonts w:hint="eastAsia" w:ascii="仿宋" w:hAnsi="仿宋" w:eastAsia="仿宋" w:cs="仿宋"/>
              </w:rPr>
              <w:t>比例</w:t>
            </w:r>
          </w:p>
        </w:tc>
      </w:tr>
      <w:tr w14:paraId="066BF81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2876A51">
            <w:pPr>
              <w:jc w:val="left"/>
              <w:outlineLvl w:val="9"/>
              <w:rPr>
                <w:rFonts w:hint="eastAsia" w:ascii="仿宋" w:hAnsi="仿宋" w:eastAsia="仿宋" w:cs="仿宋"/>
              </w:rPr>
            </w:pPr>
            <w:r>
              <w:rPr>
                <w:rFonts w:hint="eastAsia" w:ascii="仿宋" w:hAnsi="仿宋" w:eastAsia="仿宋" w:cs="仿宋"/>
              </w:rPr>
              <w:t>非常满意</w:t>
            </w:r>
          </w:p>
        </w:tc>
        <w:tc>
          <w:tcPr>
            <w:tcW w:w="1000" w:type="dxa"/>
            <w:shd w:val="clear" w:color="auto" w:fill="FFFFFF"/>
            <w:vAlign w:val="center"/>
          </w:tcPr>
          <w:p w14:paraId="20E99370">
            <w:pPr>
              <w:jc w:val="center"/>
              <w:outlineLvl w:val="9"/>
              <w:rPr>
                <w:rFonts w:hint="eastAsia" w:ascii="仿宋" w:hAnsi="仿宋" w:eastAsia="仿宋" w:cs="仿宋"/>
              </w:rPr>
            </w:pPr>
            <w:r>
              <w:rPr>
                <w:rFonts w:hint="eastAsia" w:ascii="仿宋" w:hAnsi="仿宋" w:eastAsia="仿宋" w:cs="仿宋"/>
              </w:rPr>
              <w:t>369</w:t>
            </w:r>
          </w:p>
        </w:tc>
        <w:tc>
          <w:tcPr>
            <w:tcW w:w="3106" w:type="dxa"/>
            <w:shd w:val="clear" w:color="auto" w:fill="FFFFFF"/>
            <w:vAlign w:val="center"/>
          </w:tcPr>
          <w:p w14:paraId="31290855">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247775" cy="114300"/>
                  <wp:effectExtent l="0" t="0" r="9525" b="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8"/>
                          <a:stretch>
                            <a:fillRect/>
                          </a:stretch>
                        </pic:blipFill>
                        <pic:spPr>
                          <a:xfrm>
                            <a:off x="0" y="0"/>
                            <a:ext cx="1247949" cy="114316"/>
                          </a:xfrm>
                          <a:prstGeom prst="rect">
                            <a:avLst/>
                          </a:prstGeom>
                        </pic:spPr>
                      </pic:pic>
                    </a:graphicData>
                  </a:graphic>
                </wp:inline>
              </w:drawing>
            </w:r>
            <w:r>
              <w:rPr>
                <w:rFonts w:hint="eastAsia" w:ascii="仿宋" w:hAnsi="仿宋" w:eastAsia="仿宋" w:cs="仿宋"/>
              </w:rPr>
              <w:drawing>
                <wp:inline distT="0" distB="0" distL="114300" distR="114300">
                  <wp:extent cx="104775" cy="114300"/>
                  <wp:effectExtent l="0" t="0" r="9525"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9"/>
                          <a:stretch>
                            <a:fillRect/>
                          </a:stretch>
                        </pic:blipFill>
                        <pic:spPr>
                          <a:xfrm>
                            <a:off x="0" y="0"/>
                            <a:ext cx="104790" cy="114316"/>
                          </a:xfrm>
                          <a:prstGeom prst="rect">
                            <a:avLst/>
                          </a:prstGeom>
                        </pic:spPr>
                      </pic:pic>
                    </a:graphicData>
                  </a:graphic>
                </wp:inline>
              </w:drawing>
            </w:r>
            <w:r>
              <w:rPr>
                <w:rFonts w:hint="eastAsia" w:ascii="仿宋" w:hAnsi="仿宋" w:eastAsia="仿宋" w:cs="仿宋"/>
              </w:rPr>
              <w:t>92.71%</w:t>
            </w:r>
          </w:p>
        </w:tc>
      </w:tr>
      <w:tr w14:paraId="619A951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B6F28A7">
            <w:pPr>
              <w:jc w:val="left"/>
              <w:outlineLvl w:val="9"/>
              <w:rPr>
                <w:rFonts w:hint="eastAsia" w:ascii="仿宋" w:hAnsi="仿宋" w:eastAsia="仿宋" w:cs="仿宋"/>
              </w:rPr>
            </w:pPr>
            <w:r>
              <w:rPr>
                <w:rFonts w:hint="eastAsia" w:ascii="仿宋" w:hAnsi="仿宋" w:eastAsia="仿宋" w:cs="仿宋"/>
              </w:rPr>
              <w:t>比较满意</w:t>
            </w:r>
          </w:p>
        </w:tc>
        <w:tc>
          <w:tcPr>
            <w:tcW w:w="1000" w:type="dxa"/>
            <w:shd w:val="clear" w:color="auto" w:fill="FAFAFA"/>
            <w:vAlign w:val="center"/>
          </w:tcPr>
          <w:p w14:paraId="1D0C8F51">
            <w:pPr>
              <w:jc w:val="center"/>
              <w:outlineLvl w:val="9"/>
              <w:rPr>
                <w:rFonts w:hint="eastAsia" w:ascii="仿宋" w:hAnsi="仿宋" w:eastAsia="仿宋" w:cs="仿宋"/>
              </w:rPr>
            </w:pPr>
            <w:r>
              <w:rPr>
                <w:rFonts w:hint="eastAsia" w:ascii="仿宋" w:hAnsi="仿宋" w:eastAsia="仿宋" w:cs="仿宋"/>
              </w:rPr>
              <w:t>17</w:t>
            </w:r>
          </w:p>
        </w:tc>
        <w:tc>
          <w:tcPr>
            <w:tcW w:w="3106" w:type="dxa"/>
            <w:shd w:val="clear" w:color="auto" w:fill="FAFAFA"/>
            <w:vAlign w:val="center"/>
          </w:tcPr>
          <w:p w14:paraId="2F2F1E56">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57150" cy="114300"/>
                  <wp:effectExtent l="0" t="0" r="6350" b="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10"/>
                          <a:stretch>
                            <a:fillRect/>
                          </a:stretch>
                        </pic:blipFill>
                        <pic:spPr>
                          <a:xfrm>
                            <a:off x="0" y="0"/>
                            <a:ext cx="57158" cy="114316"/>
                          </a:xfrm>
                          <a:prstGeom prst="rect">
                            <a:avLst/>
                          </a:prstGeom>
                        </pic:spPr>
                      </pic:pic>
                    </a:graphicData>
                  </a:graphic>
                </wp:inline>
              </w:drawing>
            </w:r>
            <w:r>
              <w:rPr>
                <w:rFonts w:hint="eastAsia" w:ascii="仿宋" w:hAnsi="仿宋" w:eastAsia="仿宋" w:cs="仿宋"/>
              </w:rPr>
              <w:drawing>
                <wp:inline distT="0" distB="0" distL="114300" distR="114300">
                  <wp:extent cx="1295400" cy="1143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1"/>
                          <a:stretch>
                            <a:fillRect/>
                          </a:stretch>
                        </pic:blipFill>
                        <pic:spPr>
                          <a:xfrm>
                            <a:off x="0" y="0"/>
                            <a:ext cx="1295581" cy="114316"/>
                          </a:xfrm>
                          <a:prstGeom prst="rect">
                            <a:avLst/>
                          </a:prstGeom>
                        </pic:spPr>
                      </pic:pic>
                    </a:graphicData>
                  </a:graphic>
                </wp:inline>
              </w:drawing>
            </w:r>
            <w:r>
              <w:rPr>
                <w:rFonts w:hint="eastAsia" w:ascii="仿宋" w:hAnsi="仿宋" w:eastAsia="仿宋" w:cs="仿宋"/>
              </w:rPr>
              <w:t>4.27%</w:t>
            </w:r>
          </w:p>
        </w:tc>
      </w:tr>
      <w:tr w14:paraId="259E5AF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0E2C5DD">
            <w:pPr>
              <w:jc w:val="left"/>
              <w:outlineLvl w:val="9"/>
              <w:rPr>
                <w:rFonts w:hint="eastAsia" w:ascii="仿宋" w:hAnsi="仿宋" w:eastAsia="仿宋" w:cs="仿宋"/>
              </w:rPr>
            </w:pPr>
            <w:r>
              <w:rPr>
                <w:rFonts w:hint="eastAsia" w:ascii="仿宋" w:hAnsi="仿宋" w:eastAsia="仿宋" w:cs="仿宋"/>
              </w:rPr>
              <w:t>满意</w:t>
            </w:r>
          </w:p>
        </w:tc>
        <w:tc>
          <w:tcPr>
            <w:tcW w:w="1000" w:type="dxa"/>
            <w:shd w:val="clear" w:color="auto" w:fill="FFFFFF"/>
            <w:vAlign w:val="center"/>
          </w:tcPr>
          <w:p w14:paraId="2F75D5BB">
            <w:pPr>
              <w:jc w:val="center"/>
              <w:outlineLvl w:val="9"/>
              <w:rPr>
                <w:rFonts w:hint="eastAsia" w:ascii="仿宋" w:hAnsi="仿宋" w:eastAsia="仿宋" w:cs="仿宋"/>
              </w:rPr>
            </w:pPr>
            <w:r>
              <w:rPr>
                <w:rFonts w:hint="eastAsia" w:ascii="仿宋" w:hAnsi="仿宋" w:eastAsia="仿宋" w:cs="仿宋"/>
              </w:rPr>
              <w:t>12</w:t>
            </w:r>
          </w:p>
        </w:tc>
        <w:tc>
          <w:tcPr>
            <w:tcW w:w="3106" w:type="dxa"/>
            <w:shd w:val="clear" w:color="auto" w:fill="FFFFFF"/>
            <w:vAlign w:val="center"/>
          </w:tcPr>
          <w:p w14:paraId="12D4257A">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38100" cy="114300"/>
                  <wp:effectExtent l="0" t="0" r="0" b="0"/>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12"/>
                          <a:stretch>
                            <a:fillRect/>
                          </a:stretch>
                        </pic:blipFill>
                        <pic:spPr>
                          <a:xfrm>
                            <a:off x="0" y="0"/>
                            <a:ext cx="38105" cy="114316"/>
                          </a:xfrm>
                          <a:prstGeom prst="rect">
                            <a:avLst/>
                          </a:prstGeom>
                        </pic:spPr>
                      </pic:pic>
                    </a:graphicData>
                  </a:graphic>
                </wp:inline>
              </w:drawing>
            </w:r>
            <w:r>
              <w:rPr>
                <w:rFonts w:hint="eastAsia" w:ascii="仿宋" w:hAnsi="仿宋" w:eastAsia="仿宋" w:cs="仿宋"/>
              </w:rPr>
              <w:drawing>
                <wp:inline distT="0" distB="0" distL="114300" distR="114300">
                  <wp:extent cx="1314450" cy="114300"/>
                  <wp:effectExtent l="0" t="0" r="635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3"/>
                          <a:stretch>
                            <a:fillRect/>
                          </a:stretch>
                        </pic:blipFill>
                        <pic:spPr>
                          <a:xfrm>
                            <a:off x="0" y="0"/>
                            <a:ext cx="1314634" cy="114316"/>
                          </a:xfrm>
                          <a:prstGeom prst="rect">
                            <a:avLst/>
                          </a:prstGeom>
                        </pic:spPr>
                      </pic:pic>
                    </a:graphicData>
                  </a:graphic>
                </wp:inline>
              </w:drawing>
            </w:r>
            <w:r>
              <w:rPr>
                <w:rFonts w:hint="eastAsia" w:ascii="仿宋" w:hAnsi="仿宋" w:eastAsia="仿宋" w:cs="仿宋"/>
              </w:rPr>
              <w:t>3.02%</w:t>
            </w:r>
          </w:p>
        </w:tc>
      </w:tr>
      <w:tr w14:paraId="1A37143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957DB8D">
            <w:pPr>
              <w:jc w:val="left"/>
              <w:outlineLvl w:val="9"/>
              <w:rPr>
                <w:rFonts w:hint="eastAsia" w:ascii="仿宋" w:hAnsi="仿宋" w:eastAsia="仿宋" w:cs="仿宋"/>
              </w:rPr>
            </w:pPr>
            <w:r>
              <w:rPr>
                <w:rFonts w:hint="eastAsia" w:ascii="仿宋" w:hAnsi="仿宋" w:eastAsia="仿宋" w:cs="仿宋"/>
              </w:rPr>
              <w:t>不满意</w:t>
            </w:r>
          </w:p>
        </w:tc>
        <w:tc>
          <w:tcPr>
            <w:tcW w:w="1000" w:type="dxa"/>
            <w:shd w:val="clear" w:color="auto" w:fill="FAFAFA"/>
            <w:vAlign w:val="center"/>
          </w:tcPr>
          <w:p w14:paraId="09214624">
            <w:pPr>
              <w:jc w:val="center"/>
              <w:outlineLvl w:val="9"/>
              <w:rPr>
                <w:rFonts w:hint="eastAsia" w:ascii="仿宋" w:hAnsi="仿宋" w:eastAsia="仿宋" w:cs="仿宋"/>
              </w:rPr>
            </w:pPr>
            <w:r>
              <w:rPr>
                <w:rFonts w:hint="eastAsia" w:ascii="仿宋" w:hAnsi="仿宋" w:eastAsia="仿宋" w:cs="仿宋"/>
              </w:rPr>
              <w:t>0</w:t>
            </w:r>
          </w:p>
        </w:tc>
        <w:tc>
          <w:tcPr>
            <w:tcW w:w="3106" w:type="dxa"/>
            <w:shd w:val="clear" w:color="auto" w:fill="FAFAFA"/>
            <w:vAlign w:val="center"/>
          </w:tcPr>
          <w:p w14:paraId="52DD552C">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352550" cy="114300"/>
                  <wp:effectExtent l="0" t="0" r="6350" b="0"/>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14"/>
                          <a:stretch>
                            <a:fillRect/>
                          </a:stretch>
                        </pic:blipFill>
                        <pic:spPr>
                          <a:xfrm>
                            <a:off x="0" y="0"/>
                            <a:ext cx="1352739" cy="114316"/>
                          </a:xfrm>
                          <a:prstGeom prst="rect">
                            <a:avLst/>
                          </a:prstGeom>
                        </pic:spPr>
                      </pic:pic>
                    </a:graphicData>
                  </a:graphic>
                </wp:inline>
              </w:drawing>
            </w:r>
            <w:r>
              <w:rPr>
                <w:rFonts w:hint="eastAsia" w:ascii="仿宋" w:hAnsi="仿宋" w:eastAsia="仿宋" w:cs="仿宋"/>
              </w:rPr>
              <w:t>0%</w:t>
            </w:r>
          </w:p>
        </w:tc>
      </w:tr>
      <w:tr w14:paraId="2DF0DB0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9C8095F">
            <w:pPr>
              <w:jc w:val="left"/>
              <w:outlineLvl w:val="9"/>
              <w:rPr>
                <w:rFonts w:hint="eastAsia" w:ascii="仿宋" w:hAnsi="仿宋" w:eastAsia="仿宋" w:cs="仿宋"/>
              </w:rPr>
            </w:pPr>
            <w:r>
              <w:rPr>
                <w:rFonts w:hint="eastAsia" w:ascii="仿宋" w:hAnsi="仿宋" w:eastAsia="仿宋" w:cs="仿宋"/>
              </w:rPr>
              <w:t>本题有效填写人次</w:t>
            </w:r>
          </w:p>
        </w:tc>
        <w:tc>
          <w:tcPr>
            <w:tcW w:w="1000" w:type="dxa"/>
            <w:shd w:val="clear" w:color="auto" w:fill="F5F5F5"/>
            <w:vAlign w:val="center"/>
          </w:tcPr>
          <w:p w14:paraId="75756D43">
            <w:pPr>
              <w:jc w:val="center"/>
              <w:outlineLvl w:val="9"/>
              <w:rPr>
                <w:rFonts w:hint="eastAsia" w:ascii="仿宋" w:hAnsi="仿宋" w:eastAsia="仿宋" w:cs="仿宋"/>
              </w:rPr>
            </w:pPr>
            <w:r>
              <w:rPr>
                <w:rFonts w:hint="eastAsia" w:ascii="仿宋" w:hAnsi="仿宋" w:eastAsia="仿宋" w:cs="仿宋"/>
              </w:rPr>
              <w:t>398</w:t>
            </w:r>
          </w:p>
        </w:tc>
        <w:tc>
          <w:tcPr>
            <w:tcW w:w="3106" w:type="dxa"/>
            <w:shd w:val="clear" w:color="auto" w:fill="F5F5F5"/>
            <w:vAlign w:val="center"/>
          </w:tcPr>
          <w:p w14:paraId="00A9C619">
            <w:pPr>
              <w:jc w:val="left"/>
              <w:outlineLvl w:val="9"/>
              <w:rPr>
                <w:rFonts w:hint="eastAsia" w:ascii="仿宋" w:hAnsi="仿宋" w:eastAsia="仿宋" w:cs="仿宋"/>
              </w:rPr>
            </w:pPr>
          </w:p>
        </w:tc>
      </w:tr>
    </w:tbl>
    <w:p w14:paraId="19D35293">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D3-2管理对象满意度</w:t>
      </w:r>
    </w:p>
    <w:p w14:paraId="7DAF836B">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根据问卷调查结果显示，大部分受访者工作年限在5年以上（80.7%），表明受访者具有较为丰富的工作经验。在对单位各方面满意度的评价中，整体表现较为积极。其中，对单位领导管理水平、所在部门职责履行情况和所在部门2023年工作成效的满意度较高，平均分均在4.8分以上，显示出对领导和部门工作成效的认可。而在具体方面，如内部管理情况、信息公开情况、部门资金使用分配情况等方面，满意度也较高，平均分在4.7分以上，反映出单位在管理和信息公开方面做得较好。</w:t>
      </w:r>
      <w:r>
        <w:rPr>
          <w:rFonts w:hint="eastAsia" w:ascii="仿宋" w:hAnsi="仿宋" w:eastAsia="仿宋" w:cs="仿宋"/>
          <w:sz w:val="28"/>
          <w:szCs w:val="28"/>
          <w:highlight w:val="none"/>
          <w:lang w:val="en-US" w:eastAsia="zh-CN"/>
        </w:rPr>
        <w:t>问卷满意度结果汇总见表4-3-2。</w:t>
      </w:r>
    </w:p>
    <w:p w14:paraId="6CF9FC2F">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依据评分标准，本指标权重2分，得1.88分。</w:t>
      </w:r>
    </w:p>
    <w:p w14:paraId="2F2B5E91">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 w:hAnsi="仿宋" w:eastAsia="仿宋" w:cs="仿宋"/>
          <w:lang w:val="en-US" w:eastAsia="zh-CN"/>
        </w:rPr>
      </w:pPr>
      <w:r>
        <w:rPr>
          <w:rFonts w:hint="eastAsia" w:ascii="仿宋" w:hAnsi="仿宋" w:eastAsia="仿宋" w:cs="仿宋"/>
          <w:b w:val="0"/>
          <w:bCs w:val="0"/>
          <w:kern w:val="2"/>
          <w:sz w:val="28"/>
          <w:szCs w:val="28"/>
          <w:highlight w:val="none"/>
          <w:lang w:val="en-US" w:eastAsia="zh-CN" w:bidi="ar-SA"/>
        </w:rPr>
        <w:t>表4-3-2问卷满意度结果汇总表</w:t>
      </w:r>
    </w:p>
    <w:tbl>
      <w:tblPr>
        <w:tblStyle w:val="11"/>
        <w:tblW w:w="4998"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1969"/>
        <w:gridCol w:w="907"/>
        <w:gridCol w:w="1204"/>
        <w:gridCol w:w="1309"/>
        <w:gridCol w:w="1565"/>
        <w:gridCol w:w="1565"/>
      </w:tblGrid>
      <w:tr w14:paraId="0608F7F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5F5F5"/>
            <w:vAlign w:val="center"/>
          </w:tcPr>
          <w:p w14:paraId="752ACF80">
            <w:pPr>
              <w:jc w:val="center"/>
              <w:outlineLvl w:val="9"/>
              <w:rPr>
                <w:rFonts w:hint="eastAsia" w:ascii="仿宋" w:hAnsi="仿宋" w:eastAsia="仿宋" w:cs="仿宋"/>
              </w:rPr>
            </w:pPr>
            <w:r>
              <w:rPr>
                <w:rFonts w:hint="eastAsia" w:ascii="仿宋" w:hAnsi="仿宋" w:eastAsia="仿宋" w:cs="仿宋"/>
              </w:rPr>
              <w:t>题目\选项</w:t>
            </w:r>
          </w:p>
        </w:tc>
        <w:tc>
          <w:tcPr>
            <w:tcW w:w="532" w:type="pct"/>
            <w:shd w:val="clear" w:color="auto" w:fill="F5F5F5"/>
            <w:vAlign w:val="center"/>
          </w:tcPr>
          <w:p w14:paraId="20F65EDB">
            <w:pPr>
              <w:jc w:val="center"/>
              <w:outlineLvl w:val="9"/>
              <w:rPr>
                <w:rFonts w:hint="eastAsia" w:ascii="仿宋" w:hAnsi="仿宋" w:eastAsia="仿宋" w:cs="仿宋"/>
              </w:rPr>
            </w:pPr>
            <w:r>
              <w:rPr>
                <w:rFonts w:hint="eastAsia" w:ascii="仿宋" w:hAnsi="仿宋" w:eastAsia="仿宋" w:cs="仿宋"/>
              </w:rPr>
              <w:t>不满意</w:t>
            </w:r>
          </w:p>
        </w:tc>
        <w:tc>
          <w:tcPr>
            <w:tcW w:w="706" w:type="pct"/>
            <w:shd w:val="clear" w:color="auto" w:fill="F5F5F5"/>
            <w:vAlign w:val="center"/>
          </w:tcPr>
          <w:p w14:paraId="5C2FBF1F">
            <w:pPr>
              <w:jc w:val="center"/>
              <w:outlineLvl w:val="9"/>
              <w:rPr>
                <w:rFonts w:hint="eastAsia" w:ascii="仿宋" w:hAnsi="仿宋" w:eastAsia="仿宋" w:cs="仿宋"/>
              </w:rPr>
            </w:pPr>
            <w:r>
              <w:rPr>
                <w:rFonts w:hint="eastAsia" w:ascii="仿宋" w:hAnsi="仿宋" w:eastAsia="仿宋" w:cs="仿宋"/>
              </w:rPr>
              <w:t>不太满意</w:t>
            </w:r>
          </w:p>
        </w:tc>
        <w:tc>
          <w:tcPr>
            <w:tcW w:w="768" w:type="pct"/>
            <w:shd w:val="clear" w:color="auto" w:fill="F5F5F5"/>
            <w:vAlign w:val="center"/>
          </w:tcPr>
          <w:p w14:paraId="7BD1EE2E">
            <w:pPr>
              <w:jc w:val="center"/>
              <w:outlineLvl w:val="9"/>
              <w:rPr>
                <w:rFonts w:hint="eastAsia" w:ascii="仿宋" w:hAnsi="仿宋" w:eastAsia="仿宋" w:cs="仿宋"/>
              </w:rPr>
            </w:pPr>
            <w:r>
              <w:rPr>
                <w:rFonts w:hint="eastAsia" w:ascii="仿宋" w:hAnsi="仿宋" w:eastAsia="仿宋" w:cs="仿宋"/>
              </w:rPr>
              <w:t>一般</w:t>
            </w:r>
          </w:p>
        </w:tc>
        <w:tc>
          <w:tcPr>
            <w:tcW w:w="918" w:type="pct"/>
            <w:shd w:val="clear" w:color="auto" w:fill="F5F5F5"/>
            <w:vAlign w:val="center"/>
          </w:tcPr>
          <w:p w14:paraId="56850528">
            <w:pPr>
              <w:jc w:val="center"/>
              <w:outlineLvl w:val="9"/>
              <w:rPr>
                <w:rFonts w:hint="eastAsia" w:ascii="仿宋" w:hAnsi="仿宋" w:eastAsia="仿宋" w:cs="仿宋"/>
              </w:rPr>
            </w:pPr>
            <w:r>
              <w:rPr>
                <w:rFonts w:hint="eastAsia" w:ascii="仿宋" w:hAnsi="仿宋" w:eastAsia="仿宋" w:cs="仿宋"/>
              </w:rPr>
              <w:t>比较满意</w:t>
            </w:r>
          </w:p>
        </w:tc>
        <w:tc>
          <w:tcPr>
            <w:tcW w:w="918" w:type="pct"/>
            <w:shd w:val="clear" w:color="auto" w:fill="F5F5F5"/>
            <w:vAlign w:val="center"/>
          </w:tcPr>
          <w:p w14:paraId="0F706D34">
            <w:pPr>
              <w:jc w:val="center"/>
              <w:outlineLvl w:val="9"/>
              <w:rPr>
                <w:rFonts w:hint="eastAsia" w:ascii="仿宋" w:hAnsi="仿宋" w:eastAsia="仿宋" w:cs="仿宋"/>
              </w:rPr>
            </w:pPr>
            <w:r>
              <w:rPr>
                <w:rFonts w:hint="eastAsia" w:ascii="仿宋" w:hAnsi="仿宋" w:eastAsia="仿宋" w:cs="仿宋"/>
              </w:rPr>
              <w:t>非常满意</w:t>
            </w:r>
          </w:p>
        </w:tc>
      </w:tr>
      <w:tr w14:paraId="48DF052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FFFFF"/>
            <w:vAlign w:val="center"/>
          </w:tcPr>
          <w:p w14:paraId="3020BE96">
            <w:pPr>
              <w:jc w:val="center"/>
              <w:outlineLvl w:val="9"/>
              <w:rPr>
                <w:rFonts w:hint="eastAsia" w:ascii="仿宋" w:hAnsi="仿宋" w:eastAsia="仿宋" w:cs="仿宋"/>
              </w:rPr>
            </w:pPr>
            <w:r>
              <w:rPr>
                <w:rFonts w:hint="eastAsia" w:ascii="仿宋" w:hAnsi="仿宋" w:eastAsia="仿宋" w:cs="仿宋"/>
              </w:rPr>
              <w:t>内部管理情况</w:t>
            </w:r>
          </w:p>
        </w:tc>
        <w:tc>
          <w:tcPr>
            <w:tcW w:w="532" w:type="pct"/>
            <w:shd w:val="clear" w:color="auto" w:fill="FFFFFF"/>
            <w:vAlign w:val="center"/>
          </w:tcPr>
          <w:p w14:paraId="26CF71D8">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FFFFF"/>
            <w:vAlign w:val="center"/>
          </w:tcPr>
          <w:p w14:paraId="79DBBE91">
            <w:pPr>
              <w:jc w:val="center"/>
              <w:outlineLvl w:val="9"/>
              <w:rPr>
                <w:rFonts w:hint="eastAsia" w:ascii="仿宋" w:hAnsi="仿宋" w:eastAsia="仿宋" w:cs="仿宋"/>
              </w:rPr>
            </w:pPr>
            <w:r>
              <w:rPr>
                <w:rFonts w:hint="eastAsia" w:ascii="仿宋" w:hAnsi="仿宋" w:eastAsia="仿宋" w:cs="仿宋"/>
              </w:rPr>
              <w:t>1(0.88%)</w:t>
            </w:r>
          </w:p>
        </w:tc>
        <w:tc>
          <w:tcPr>
            <w:tcW w:w="768" w:type="pct"/>
            <w:shd w:val="clear" w:color="auto" w:fill="FFFFFF"/>
            <w:vAlign w:val="center"/>
          </w:tcPr>
          <w:p w14:paraId="374B0258">
            <w:pPr>
              <w:jc w:val="center"/>
              <w:outlineLvl w:val="9"/>
              <w:rPr>
                <w:rFonts w:hint="eastAsia" w:ascii="仿宋" w:hAnsi="仿宋" w:eastAsia="仿宋" w:cs="仿宋"/>
              </w:rPr>
            </w:pPr>
            <w:r>
              <w:rPr>
                <w:rFonts w:hint="eastAsia" w:ascii="仿宋" w:hAnsi="仿宋" w:eastAsia="仿宋" w:cs="仿宋"/>
              </w:rPr>
              <w:t>5(4.39%)</w:t>
            </w:r>
          </w:p>
        </w:tc>
        <w:tc>
          <w:tcPr>
            <w:tcW w:w="918" w:type="pct"/>
            <w:shd w:val="clear" w:color="auto" w:fill="FFFFFF"/>
            <w:vAlign w:val="center"/>
          </w:tcPr>
          <w:p w14:paraId="06202090">
            <w:pPr>
              <w:jc w:val="center"/>
              <w:outlineLvl w:val="9"/>
              <w:rPr>
                <w:rFonts w:hint="eastAsia" w:ascii="仿宋" w:hAnsi="仿宋" w:eastAsia="仿宋" w:cs="仿宋"/>
              </w:rPr>
            </w:pPr>
            <w:r>
              <w:rPr>
                <w:rFonts w:hint="eastAsia" w:ascii="仿宋" w:hAnsi="仿宋" w:eastAsia="仿宋" w:cs="仿宋"/>
              </w:rPr>
              <w:t>21(18.42%)</w:t>
            </w:r>
          </w:p>
        </w:tc>
        <w:tc>
          <w:tcPr>
            <w:tcW w:w="918" w:type="pct"/>
            <w:shd w:val="clear" w:color="auto" w:fill="FFFFFF"/>
            <w:vAlign w:val="center"/>
          </w:tcPr>
          <w:p w14:paraId="7A88083F">
            <w:pPr>
              <w:jc w:val="center"/>
              <w:outlineLvl w:val="9"/>
              <w:rPr>
                <w:rFonts w:hint="eastAsia" w:ascii="仿宋" w:hAnsi="仿宋" w:eastAsia="仿宋" w:cs="仿宋"/>
              </w:rPr>
            </w:pPr>
            <w:r>
              <w:rPr>
                <w:rFonts w:hint="eastAsia" w:ascii="仿宋" w:hAnsi="仿宋" w:eastAsia="仿宋" w:cs="仿宋"/>
              </w:rPr>
              <w:t>87(76.32%)</w:t>
            </w:r>
          </w:p>
        </w:tc>
      </w:tr>
      <w:tr w14:paraId="34846EF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AFAFA"/>
            <w:vAlign w:val="center"/>
          </w:tcPr>
          <w:p w14:paraId="73E8BDA4">
            <w:pPr>
              <w:jc w:val="center"/>
              <w:outlineLvl w:val="9"/>
              <w:rPr>
                <w:rFonts w:hint="eastAsia" w:ascii="仿宋" w:hAnsi="仿宋" w:eastAsia="仿宋" w:cs="仿宋"/>
              </w:rPr>
            </w:pPr>
            <w:r>
              <w:rPr>
                <w:rFonts w:hint="eastAsia" w:ascii="仿宋" w:hAnsi="仿宋" w:eastAsia="仿宋" w:cs="仿宋"/>
              </w:rPr>
              <w:t>职能分配情况</w:t>
            </w:r>
          </w:p>
        </w:tc>
        <w:tc>
          <w:tcPr>
            <w:tcW w:w="532" w:type="pct"/>
            <w:shd w:val="clear" w:color="auto" w:fill="FAFAFA"/>
            <w:vAlign w:val="center"/>
          </w:tcPr>
          <w:p w14:paraId="2022C50C">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AFAFA"/>
            <w:vAlign w:val="center"/>
          </w:tcPr>
          <w:p w14:paraId="1C94031E">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AFAFA"/>
            <w:vAlign w:val="center"/>
          </w:tcPr>
          <w:p w14:paraId="19DB92A0">
            <w:pPr>
              <w:jc w:val="center"/>
              <w:outlineLvl w:val="9"/>
              <w:rPr>
                <w:rFonts w:hint="eastAsia" w:ascii="仿宋" w:hAnsi="仿宋" w:eastAsia="仿宋" w:cs="仿宋"/>
              </w:rPr>
            </w:pPr>
            <w:r>
              <w:rPr>
                <w:rFonts w:hint="eastAsia" w:ascii="仿宋" w:hAnsi="仿宋" w:eastAsia="仿宋" w:cs="仿宋"/>
              </w:rPr>
              <w:t>8(7.02%)</w:t>
            </w:r>
          </w:p>
        </w:tc>
        <w:tc>
          <w:tcPr>
            <w:tcW w:w="918" w:type="pct"/>
            <w:shd w:val="clear" w:color="auto" w:fill="FAFAFA"/>
            <w:vAlign w:val="center"/>
          </w:tcPr>
          <w:p w14:paraId="340183B2">
            <w:pPr>
              <w:jc w:val="center"/>
              <w:outlineLvl w:val="9"/>
              <w:rPr>
                <w:rFonts w:hint="eastAsia" w:ascii="仿宋" w:hAnsi="仿宋" w:eastAsia="仿宋" w:cs="仿宋"/>
              </w:rPr>
            </w:pPr>
            <w:r>
              <w:rPr>
                <w:rFonts w:hint="eastAsia" w:ascii="仿宋" w:hAnsi="仿宋" w:eastAsia="仿宋" w:cs="仿宋"/>
              </w:rPr>
              <w:t>22(19.3%)</w:t>
            </w:r>
          </w:p>
        </w:tc>
        <w:tc>
          <w:tcPr>
            <w:tcW w:w="918" w:type="pct"/>
            <w:shd w:val="clear" w:color="auto" w:fill="FAFAFA"/>
            <w:vAlign w:val="center"/>
          </w:tcPr>
          <w:p w14:paraId="3BA622AB">
            <w:pPr>
              <w:jc w:val="center"/>
              <w:outlineLvl w:val="9"/>
              <w:rPr>
                <w:rFonts w:hint="eastAsia" w:ascii="仿宋" w:hAnsi="仿宋" w:eastAsia="仿宋" w:cs="仿宋"/>
              </w:rPr>
            </w:pPr>
            <w:r>
              <w:rPr>
                <w:rFonts w:hint="eastAsia" w:ascii="仿宋" w:hAnsi="仿宋" w:eastAsia="仿宋" w:cs="仿宋"/>
              </w:rPr>
              <w:t>84(73.68%)</w:t>
            </w:r>
          </w:p>
        </w:tc>
      </w:tr>
      <w:tr w14:paraId="47F2803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FFFFF"/>
            <w:vAlign w:val="center"/>
          </w:tcPr>
          <w:p w14:paraId="181DB59F">
            <w:pPr>
              <w:jc w:val="center"/>
              <w:outlineLvl w:val="9"/>
              <w:rPr>
                <w:rFonts w:hint="eastAsia" w:ascii="仿宋" w:hAnsi="仿宋" w:eastAsia="仿宋" w:cs="仿宋"/>
              </w:rPr>
            </w:pPr>
            <w:r>
              <w:rPr>
                <w:rFonts w:hint="eastAsia" w:ascii="仿宋" w:hAnsi="仿宋" w:eastAsia="仿宋" w:cs="仿宋"/>
              </w:rPr>
              <w:t>信息公开情况</w:t>
            </w:r>
          </w:p>
        </w:tc>
        <w:tc>
          <w:tcPr>
            <w:tcW w:w="532" w:type="pct"/>
            <w:shd w:val="clear" w:color="auto" w:fill="FFFFFF"/>
            <w:vAlign w:val="center"/>
          </w:tcPr>
          <w:p w14:paraId="4BEC558D">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FFFFF"/>
            <w:vAlign w:val="center"/>
          </w:tcPr>
          <w:p w14:paraId="403745C2">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FFFFF"/>
            <w:vAlign w:val="center"/>
          </w:tcPr>
          <w:p w14:paraId="7480B9CF">
            <w:pPr>
              <w:jc w:val="center"/>
              <w:outlineLvl w:val="9"/>
              <w:rPr>
                <w:rFonts w:hint="eastAsia" w:ascii="仿宋" w:hAnsi="仿宋" w:eastAsia="仿宋" w:cs="仿宋"/>
              </w:rPr>
            </w:pPr>
            <w:r>
              <w:rPr>
                <w:rFonts w:hint="eastAsia" w:ascii="仿宋" w:hAnsi="仿宋" w:eastAsia="仿宋" w:cs="仿宋"/>
              </w:rPr>
              <w:t>3(2.63%)</w:t>
            </w:r>
          </w:p>
        </w:tc>
        <w:tc>
          <w:tcPr>
            <w:tcW w:w="918" w:type="pct"/>
            <w:shd w:val="clear" w:color="auto" w:fill="FFFFFF"/>
            <w:vAlign w:val="center"/>
          </w:tcPr>
          <w:p w14:paraId="24FAD69B">
            <w:pPr>
              <w:jc w:val="center"/>
              <w:outlineLvl w:val="9"/>
              <w:rPr>
                <w:rFonts w:hint="eastAsia" w:ascii="仿宋" w:hAnsi="仿宋" w:eastAsia="仿宋" w:cs="仿宋"/>
              </w:rPr>
            </w:pPr>
            <w:r>
              <w:rPr>
                <w:rFonts w:hint="eastAsia" w:ascii="仿宋" w:hAnsi="仿宋" w:eastAsia="仿宋" w:cs="仿宋"/>
              </w:rPr>
              <w:t>22(19.3%)</w:t>
            </w:r>
          </w:p>
        </w:tc>
        <w:tc>
          <w:tcPr>
            <w:tcW w:w="918" w:type="pct"/>
            <w:shd w:val="clear" w:color="auto" w:fill="FFFFFF"/>
            <w:vAlign w:val="center"/>
          </w:tcPr>
          <w:p w14:paraId="4921EB2F">
            <w:pPr>
              <w:jc w:val="center"/>
              <w:outlineLvl w:val="9"/>
              <w:rPr>
                <w:rFonts w:hint="eastAsia" w:ascii="仿宋" w:hAnsi="仿宋" w:eastAsia="仿宋" w:cs="仿宋"/>
              </w:rPr>
            </w:pPr>
            <w:r>
              <w:rPr>
                <w:rFonts w:hint="eastAsia" w:ascii="仿宋" w:hAnsi="仿宋" w:eastAsia="仿宋" w:cs="仿宋"/>
              </w:rPr>
              <w:t>89(78.07%)</w:t>
            </w:r>
          </w:p>
        </w:tc>
      </w:tr>
      <w:tr w14:paraId="6F5266C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AFAFA"/>
            <w:vAlign w:val="center"/>
          </w:tcPr>
          <w:p w14:paraId="0D644A4B">
            <w:pPr>
              <w:jc w:val="center"/>
              <w:outlineLvl w:val="9"/>
              <w:rPr>
                <w:rFonts w:hint="eastAsia" w:ascii="仿宋" w:hAnsi="仿宋" w:eastAsia="仿宋" w:cs="仿宋"/>
              </w:rPr>
            </w:pPr>
            <w:r>
              <w:rPr>
                <w:rFonts w:hint="eastAsia" w:ascii="仿宋" w:hAnsi="仿宋" w:eastAsia="仿宋" w:cs="仿宋"/>
              </w:rPr>
              <w:t>部门资金使用分配情况</w:t>
            </w:r>
          </w:p>
        </w:tc>
        <w:tc>
          <w:tcPr>
            <w:tcW w:w="532" w:type="pct"/>
            <w:shd w:val="clear" w:color="auto" w:fill="FAFAFA"/>
            <w:vAlign w:val="center"/>
          </w:tcPr>
          <w:p w14:paraId="1681B0B8">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AFAFA"/>
            <w:vAlign w:val="center"/>
          </w:tcPr>
          <w:p w14:paraId="6535BBD0">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AFAFA"/>
            <w:vAlign w:val="center"/>
          </w:tcPr>
          <w:p w14:paraId="5E67AB78">
            <w:pPr>
              <w:jc w:val="center"/>
              <w:outlineLvl w:val="9"/>
              <w:rPr>
                <w:rFonts w:hint="eastAsia" w:ascii="仿宋" w:hAnsi="仿宋" w:eastAsia="仿宋" w:cs="仿宋"/>
              </w:rPr>
            </w:pPr>
            <w:r>
              <w:rPr>
                <w:rFonts w:hint="eastAsia" w:ascii="仿宋" w:hAnsi="仿宋" w:eastAsia="仿宋" w:cs="仿宋"/>
              </w:rPr>
              <w:t>2(1.75%)</w:t>
            </w:r>
          </w:p>
        </w:tc>
        <w:tc>
          <w:tcPr>
            <w:tcW w:w="918" w:type="pct"/>
            <w:shd w:val="clear" w:color="auto" w:fill="FAFAFA"/>
            <w:vAlign w:val="center"/>
          </w:tcPr>
          <w:p w14:paraId="6DDB6217">
            <w:pPr>
              <w:jc w:val="center"/>
              <w:outlineLvl w:val="9"/>
              <w:rPr>
                <w:rFonts w:hint="eastAsia" w:ascii="仿宋" w:hAnsi="仿宋" w:eastAsia="仿宋" w:cs="仿宋"/>
              </w:rPr>
            </w:pPr>
            <w:r>
              <w:rPr>
                <w:rFonts w:hint="eastAsia" w:ascii="仿宋" w:hAnsi="仿宋" w:eastAsia="仿宋" w:cs="仿宋"/>
              </w:rPr>
              <w:t>25(21.93%)</w:t>
            </w:r>
          </w:p>
        </w:tc>
        <w:tc>
          <w:tcPr>
            <w:tcW w:w="918" w:type="pct"/>
            <w:shd w:val="clear" w:color="auto" w:fill="FAFAFA"/>
            <w:vAlign w:val="center"/>
          </w:tcPr>
          <w:p w14:paraId="4F05976B">
            <w:pPr>
              <w:jc w:val="center"/>
              <w:outlineLvl w:val="9"/>
              <w:rPr>
                <w:rFonts w:hint="eastAsia" w:ascii="仿宋" w:hAnsi="仿宋" w:eastAsia="仿宋" w:cs="仿宋"/>
              </w:rPr>
            </w:pPr>
            <w:r>
              <w:rPr>
                <w:rFonts w:hint="eastAsia" w:ascii="仿宋" w:hAnsi="仿宋" w:eastAsia="仿宋" w:cs="仿宋"/>
              </w:rPr>
              <w:t>87(76.32%)</w:t>
            </w:r>
          </w:p>
        </w:tc>
      </w:tr>
      <w:tr w14:paraId="4950EB4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FFFFF"/>
            <w:vAlign w:val="center"/>
          </w:tcPr>
          <w:p w14:paraId="1A652BF1">
            <w:pPr>
              <w:jc w:val="center"/>
              <w:outlineLvl w:val="9"/>
              <w:rPr>
                <w:rFonts w:hint="eastAsia" w:ascii="仿宋" w:hAnsi="仿宋" w:eastAsia="仿宋" w:cs="仿宋"/>
              </w:rPr>
            </w:pPr>
            <w:r>
              <w:rPr>
                <w:rFonts w:hint="eastAsia" w:ascii="仿宋" w:hAnsi="仿宋" w:eastAsia="仿宋" w:cs="仿宋"/>
              </w:rPr>
              <w:t>部门间信息交流便捷性</w:t>
            </w:r>
          </w:p>
        </w:tc>
        <w:tc>
          <w:tcPr>
            <w:tcW w:w="532" w:type="pct"/>
            <w:shd w:val="clear" w:color="auto" w:fill="FFFFFF"/>
            <w:vAlign w:val="center"/>
          </w:tcPr>
          <w:p w14:paraId="1686B600">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FFFFF"/>
            <w:vAlign w:val="center"/>
          </w:tcPr>
          <w:p w14:paraId="1D0948C4">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FFFFF"/>
            <w:vAlign w:val="center"/>
          </w:tcPr>
          <w:p w14:paraId="37C47E94">
            <w:pPr>
              <w:jc w:val="center"/>
              <w:outlineLvl w:val="9"/>
              <w:rPr>
                <w:rFonts w:hint="eastAsia" w:ascii="仿宋" w:hAnsi="仿宋" w:eastAsia="仿宋" w:cs="仿宋"/>
              </w:rPr>
            </w:pPr>
            <w:r>
              <w:rPr>
                <w:rFonts w:hint="eastAsia" w:ascii="仿宋" w:hAnsi="仿宋" w:eastAsia="仿宋" w:cs="仿宋"/>
              </w:rPr>
              <w:t>4(3.51%)</w:t>
            </w:r>
          </w:p>
        </w:tc>
        <w:tc>
          <w:tcPr>
            <w:tcW w:w="918" w:type="pct"/>
            <w:shd w:val="clear" w:color="auto" w:fill="FFFFFF"/>
            <w:vAlign w:val="center"/>
          </w:tcPr>
          <w:p w14:paraId="4E8EFB3A">
            <w:pPr>
              <w:jc w:val="center"/>
              <w:outlineLvl w:val="9"/>
              <w:rPr>
                <w:rFonts w:hint="eastAsia" w:ascii="仿宋" w:hAnsi="仿宋" w:eastAsia="仿宋" w:cs="仿宋"/>
              </w:rPr>
            </w:pPr>
            <w:r>
              <w:rPr>
                <w:rFonts w:hint="eastAsia" w:ascii="仿宋" w:hAnsi="仿宋" w:eastAsia="仿宋" w:cs="仿宋"/>
              </w:rPr>
              <w:t>26(22.81%)</w:t>
            </w:r>
          </w:p>
        </w:tc>
        <w:tc>
          <w:tcPr>
            <w:tcW w:w="918" w:type="pct"/>
            <w:shd w:val="clear" w:color="auto" w:fill="FFFFFF"/>
            <w:vAlign w:val="center"/>
          </w:tcPr>
          <w:p w14:paraId="1005C5DA">
            <w:pPr>
              <w:jc w:val="center"/>
              <w:outlineLvl w:val="9"/>
              <w:rPr>
                <w:rFonts w:hint="eastAsia" w:ascii="仿宋" w:hAnsi="仿宋" w:eastAsia="仿宋" w:cs="仿宋"/>
              </w:rPr>
            </w:pPr>
            <w:r>
              <w:rPr>
                <w:rFonts w:hint="eastAsia" w:ascii="仿宋" w:hAnsi="仿宋" w:eastAsia="仿宋" w:cs="仿宋"/>
              </w:rPr>
              <w:t>84(73.68%)</w:t>
            </w:r>
          </w:p>
        </w:tc>
      </w:tr>
      <w:tr w14:paraId="20D62B4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AFAFA"/>
            <w:vAlign w:val="center"/>
          </w:tcPr>
          <w:p w14:paraId="29914149">
            <w:pPr>
              <w:jc w:val="center"/>
              <w:outlineLvl w:val="9"/>
              <w:rPr>
                <w:rFonts w:hint="eastAsia" w:ascii="仿宋" w:hAnsi="仿宋" w:eastAsia="仿宋" w:cs="仿宋"/>
              </w:rPr>
            </w:pPr>
            <w:r>
              <w:rPr>
                <w:rFonts w:hint="eastAsia" w:ascii="仿宋" w:hAnsi="仿宋" w:eastAsia="仿宋" w:cs="仿宋"/>
              </w:rPr>
              <w:t>单位管理制度情况</w:t>
            </w:r>
          </w:p>
        </w:tc>
        <w:tc>
          <w:tcPr>
            <w:tcW w:w="532" w:type="pct"/>
            <w:shd w:val="clear" w:color="auto" w:fill="FAFAFA"/>
            <w:vAlign w:val="center"/>
          </w:tcPr>
          <w:p w14:paraId="799BF4FC">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AFAFA"/>
            <w:vAlign w:val="center"/>
          </w:tcPr>
          <w:p w14:paraId="1DCCC0AA">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AFAFA"/>
            <w:vAlign w:val="center"/>
          </w:tcPr>
          <w:p w14:paraId="4B505B73">
            <w:pPr>
              <w:jc w:val="center"/>
              <w:outlineLvl w:val="9"/>
              <w:rPr>
                <w:rFonts w:hint="eastAsia" w:ascii="仿宋" w:hAnsi="仿宋" w:eastAsia="仿宋" w:cs="仿宋"/>
              </w:rPr>
            </w:pPr>
            <w:r>
              <w:rPr>
                <w:rFonts w:hint="eastAsia" w:ascii="仿宋" w:hAnsi="仿宋" w:eastAsia="仿宋" w:cs="仿宋"/>
              </w:rPr>
              <w:t>3(2.63%)</w:t>
            </w:r>
          </w:p>
        </w:tc>
        <w:tc>
          <w:tcPr>
            <w:tcW w:w="918" w:type="pct"/>
            <w:shd w:val="clear" w:color="auto" w:fill="FAFAFA"/>
            <w:vAlign w:val="center"/>
          </w:tcPr>
          <w:p w14:paraId="53A158F7">
            <w:pPr>
              <w:jc w:val="center"/>
              <w:outlineLvl w:val="9"/>
              <w:rPr>
                <w:rFonts w:hint="eastAsia" w:ascii="仿宋" w:hAnsi="仿宋" w:eastAsia="仿宋" w:cs="仿宋"/>
              </w:rPr>
            </w:pPr>
            <w:r>
              <w:rPr>
                <w:rFonts w:hint="eastAsia" w:ascii="仿宋" w:hAnsi="仿宋" w:eastAsia="仿宋" w:cs="仿宋"/>
              </w:rPr>
              <w:t>24(21.05%)</w:t>
            </w:r>
          </w:p>
        </w:tc>
        <w:tc>
          <w:tcPr>
            <w:tcW w:w="918" w:type="pct"/>
            <w:shd w:val="clear" w:color="auto" w:fill="FAFAFA"/>
            <w:vAlign w:val="center"/>
          </w:tcPr>
          <w:p w14:paraId="5732E543">
            <w:pPr>
              <w:jc w:val="center"/>
              <w:outlineLvl w:val="9"/>
              <w:rPr>
                <w:rFonts w:hint="eastAsia" w:ascii="仿宋" w:hAnsi="仿宋" w:eastAsia="仿宋" w:cs="仿宋"/>
              </w:rPr>
            </w:pPr>
            <w:r>
              <w:rPr>
                <w:rFonts w:hint="eastAsia" w:ascii="仿宋" w:hAnsi="仿宋" w:eastAsia="仿宋" w:cs="仿宋"/>
              </w:rPr>
              <w:t>87(76.32%)</w:t>
            </w:r>
          </w:p>
        </w:tc>
      </w:tr>
      <w:tr w14:paraId="5E3E505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FFFFF"/>
            <w:vAlign w:val="center"/>
          </w:tcPr>
          <w:p w14:paraId="1A83E2DC">
            <w:pPr>
              <w:jc w:val="center"/>
              <w:outlineLvl w:val="9"/>
              <w:rPr>
                <w:rFonts w:hint="eastAsia" w:ascii="仿宋" w:hAnsi="仿宋" w:eastAsia="仿宋" w:cs="仿宋"/>
              </w:rPr>
            </w:pPr>
            <w:r>
              <w:rPr>
                <w:rFonts w:hint="eastAsia" w:ascii="仿宋" w:hAnsi="仿宋" w:eastAsia="仿宋" w:cs="仿宋"/>
              </w:rPr>
              <w:t>单位制度执行情况</w:t>
            </w:r>
          </w:p>
        </w:tc>
        <w:tc>
          <w:tcPr>
            <w:tcW w:w="532" w:type="pct"/>
            <w:shd w:val="clear" w:color="auto" w:fill="FFFFFF"/>
            <w:vAlign w:val="center"/>
          </w:tcPr>
          <w:p w14:paraId="45D3B6A5">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FFFFF"/>
            <w:vAlign w:val="center"/>
          </w:tcPr>
          <w:p w14:paraId="36DC1962">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FFFFF"/>
            <w:vAlign w:val="center"/>
          </w:tcPr>
          <w:p w14:paraId="495D2805">
            <w:pPr>
              <w:jc w:val="center"/>
              <w:outlineLvl w:val="9"/>
              <w:rPr>
                <w:rFonts w:hint="eastAsia" w:ascii="仿宋" w:hAnsi="仿宋" w:eastAsia="仿宋" w:cs="仿宋"/>
              </w:rPr>
            </w:pPr>
            <w:r>
              <w:rPr>
                <w:rFonts w:hint="eastAsia" w:ascii="仿宋" w:hAnsi="仿宋" w:eastAsia="仿宋" w:cs="仿宋"/>
              </w:rPr>
              <w:t>3(2.63%)</w:t>
            </w:r>
          </w:p>
        </w:tc>
        <w:tc>
          <w:tcPr>
            <w:tcW w:w="918" w:type="pct"/>
            <w:shd w:val="clear" w:color="auto" w:fill="FFFFFF"/>
            <w:vAlign w:val="center"/>
          </w:tcPr>
          <w:p w14:paraId="6F41359B">
            <w:pPr>
              <w:jc w:val="center"/>
              <w:outlineLvl w:val="9"/>
              <w:rPr>
                <w:rFonts w:hint="eastAsia" w:ascii="仿宋" w:hAnsi="仿宋" w:eastAsia="仿宋" w:cs="仿宋"/>
              </w:rPr>
            </w:pPr>
            <w:r>
              <w:rPr>
                <w:rFonts w:hint="eastAsia" w:ascii="仿宋" w:hAnsi="仿宋" w:eastAsia="仿宋" w:cs="仿宋"/>
              </w:rPr>
              <w:t>24(21.05%)</w:t>
            </w:r>
          </w:p>
        </w:tc>
        <w:tc>
          <w:tcPr>
            <w:tcW w:w="918" w:type="pct"/>
            <w:shd w:val="clear" w:color="auto" w:fill="FFFFFF"/>
            <w:vAlign w:val="center"/>
          </w:tcPr>
          <w:p w14:paraId="2CB4CCFC">
            <w:pPr>
              <w:jc w:val="center"/>
              <w:outlineLvl w:val="9"/>
              <w:rPr>
                <w:rFonts w:hint="eastAsia" w:ascii="仿宋" w:hAnsi="仿宋" w:eastAsia="仿宋" w:cs="仿宋"/>
              </w:rPr>
            </w:pPr>
            <w:r>
              <w:rPr>
                <w:rFonts w:hint="eastAsia" w:ascii="仿宋" w:hAnsi="仿宋" w:eastAsia="仿宋" w:cs="仿宋"/>
              </w:rPr>
              <w:t>87(76.32%)</w:t>
            </w:r>
          </w:p>
        </w:tc>
      </w:tr>
      <w:tr w14:paraId="6EDC067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AFAFA"/>
            <w:vAlign w:val="center"/>
          </w:tcPr>
          <w:p w14:paraId="598D7078">
            <w:pPr>
              <w:jc w:val="center"/>
              <w:outlineLvl w:val="9"/>
              <w:rPr>
                <w:rFonts w:hint="eastAsia" w:ascii="仿宋" w:hAnsi="仿宋" w:eastAsia="仿宋" w:cs="仿宋"/>
              </w:rPr>
            </w:pPr>
            <w:r>
              <w:rPr>
                <w:rFonts w:hint="eastAsia" w:ascii="仿宋" w:hAnsi="仿宋" w:eastAsia="仿宋" w:cs="仿宋"/>
              </w:rPr>
              <w:t>单位领导管理水平</w:t>
            </w:r>
          </w:p>
        </w:tc>
        <w:tc>
          <w:tcPr>
            <w:tcW w:w="532" w:type="pct"/>
            <w:shd w:val="clear" w:color="auto" w:fill="FAFAFA"/>
            <w:vAlign w:val="center"/>
          </w:tcPr>
          <w:p w14:paraId="5641B081">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AFAFA"/>
            <w:vAlign w:val="center"/>
          </w:tcPr>
          <w:p w14:paraId="0AC43DDD">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AFAFA"/>
            <w:vAlign w:val="center"/>
          </w:tcPr>
          <w:p w14:paraId="758625C6">
            <w:pPr>
              <w:jc w:val="center"/>
              <w:outlineLvl w:val="9"/>
              <w:rPr>
                <w:rFonts w:hint="eastAsia" w:ascii="仿宋" w:hAnsi="仿宋" w:eastAsia="仿宋" w:cs="仿宋"/>
              </w:rPr>
            </w:pPr>
            <w:r>
              <w:rPr>
                <w:rFonts w:hint="eastAsia" w:ascii="仿宋" w:hAnsi="仿宋" w:eastAsia="仿宋" w:cs="仿宋"/>
              </w:rPr>
              <w:t>1(0.88%)</w:t>
            </w:r>
          </w:p>
        </w:tc>
        <w:tc>
          <w:tcPr>
            <w:tcW w:w="918" w:type="pct"/>
            <w:shd w:val="clear" w:color="auto" w:fill="FAFAFA"/>
            <w:vAlign w:val="center"/>
          </w:tcPr>
          <w:p w14:paraId="2FC053AC">
            <w:pPr>
              <w:jc w:val="center"/>
              <w:outlineLvl w:val="9"/>
              <w:rPr>
                <w:rFonts w:hint="eastAsia" w:ascii="仿宋" w:hAnsi="仿宋" w:eastAsia="仿宋" w:cs="仿宋"/>
              </w:rPr>
            </w:pPr>
            <w:r>
              <w:rPr>
                <w:rFonts w:hint="eastAsia" w:ascii="仿宋" w:hAnsi="仿宋" w:eastAsia="仿宋" w:cs="仿宋"/>
              </w:rPr>
              <w:t>19(16.67%)</w:t>
            </w:r>
          </w:p>
        </w:tc>
        <w:tc>
          <w:tcPr>
            <w:tcW w:w="918" w:type="pct"/>
            <w:shd w:val="clear" w:color="auto" w:fill="FAFAFA"/>
            <w:vAlign w:val="center"/>
          </w:tcPr>
          <w:p w14:paraId="03C28D15">
            <w:pPr>
              <w:jc w:val="center"/>
              <w:outlineLvl w:val="9"/>
              <w:rPr>
                <w:rFonts w:hint="eastAsia" w:ascii="仿宋" w:hAnsi="仿宋" w:eastAsia="仿宋" w:cs="仿宋"/>
              </w:rPr>
            </w:pPr>
            <w:r>
              <w:rPr>
                <w:rFonts w:hint="eastAsia" w:ascii="仿宋" w:hAnsi="仿宋" w:eastAsia="仿宋" w:cs="仿宋"/>
              </w:rPr>
              <w:t>94(82.46%)</w:t>
            </w:r>
          </w:p>
        </w:tc>
      </w:tr>
      <w:tr w14:paraId="654A15E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FFFFF"/>
            <w:vAlign w:val="center"/>
          </w:tcPr>
          <w:p w14:paraId="0FAFFD7D">
            <w:pPr>
              <w:jc w:val="center"/>
              <w:outlineLvl w:val="9"/>
              <w:rPr>
                <w:rFonts w:hint="eastAsia" w:ascii="仿宋" w:hAnsi="仿宋" w:eastAsia="仿宋" w:cs="仿宋"/>
              </w:rPr>
            </w:pPr>
            <w:r>
              <w:rPr>
                <w:rFonts w:hint="eastAsia" w:ascii="仿宋" w:hAnsi="仿宋" w:eastAsia="仿宋" w:cs="仿宋"/>
              </w:rPr>
              <w:t>所在部门职责履行情况</w:t>
            </w:r>
          </w:p>
        </w:tc>
        <w:tc>
          <w:tcPr>
            <w:tcW w:w="532" w:type="pct"/>
            <w:shd w:val="clear" w:color="auto" w:fill="FFFFFF"/>
            <w:vAlign w:val="center"/>
          </w:tcPr>
          <w:p w14:paraId="04BFB64A">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FFFFF"/>
            <w:vAlign w:val="center"/>
          </w:tcPr>
          <w:p w14:paraId="3730815E">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FFFFF"/>
            <w:vAlign w:val="center"/>
          </w:tcPr>
          <w:p w14:paraId="4EA63339">
            <w:pPr>
              <w:jc w:val="center"/>
              <w:outlineLvl w:val="9"/>
              <w:rPr>
                <w:rFonts w:hint="eastAsia" w:ascii="仿宋" w:hAnsi="仿宋" w:eastAsia="仿宋" w:cs="仿宋"/>
              </w:rPr>
            </w:pPr>
            <w:r>
              <w:rPr>
                <w:rFonts w:hint="eastAsia" w:ascii="仿宋" w:hAnsi="仿宋" w:eastAsia="仿宋" w:cs="仿宋"/>
              </w:rPr>
              <w:t>1(0.88%)</w:t>
            </w:r>
          </w:p>
        </w:tc>
        <w:tc>
          <w:tcPr>
            <w:tcW w:w="918" w:type="pct"/>
            <w:shd w:val="clear" w:color="auto" w:fill="FFFFFF"/>
            <w:vAlign w:val="center"/>
          </w:tcPr>
          <w:p w14:paraId="535A7EC5">
            <w:pPr>
              <w:jc w:val="center"/>
              <w:outlineLvl w:val="9"/>
              <w:rPr>
                <w:rFonts w:hint="eastAsia" w:ascii="仿宋" w:hAnsi="仿宋" w:eastAsia="仿宋" w:cs="仿宋"/>
              </w:rPr>
            </w:pPr>
            <w:r>
              <w:rPr>
                <w:rFonts w:hint="eastAsia" w:ascii="仿宋" w:hAnsi="仿宋" w:eastAsia="仿宋" w:cs="仿宋"/>
              </w:rPr>
              <w:t>17(14.91%)</w:t>
            </w:r>
          </w:p>
        </w:tc>
        <w:tc>
          <w:tcPr>
            <w:tcW w:w="918" w:type="pct"/>
            <w:shd w:val="clear" w:color="auto" w:fill="FFFFFF"/>
            <w:vAlign w:val="center"/>
          </w:tcPr>
          <w:p w14:paraId="0340AB1A">
            <w:pPr>
              <w:jc w:val="center"/>
              <w:outlineLvl w:val="9"/>
              <w:rPr>
                <w:rFonts w:hint="eastAsia" w:ascii="仿宋" w:hAnsi="仿宋" w:eastAsia="仿宋" w:cs="仿宋"/>
              </w:rPr>
            </w:pPr>
            <w:r>
              <w:rPr>
                <w:rFonts w:hint="eastAsia" w:ascii="仿宋" w:hAnsi="仿宋" w:eastAsia="仿宋" w:cs="仿宋"/>
              </w:rPr>
              <w:t>96(84.21%)</w:t>
            </w:r>
          </w:p>
        </w:tc>
      </w:tr>
      <w:tr w14:paraId="717B0E4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AFAFA"/>
            <w:vAlign w:val="center"/>
          </w:tcPr>
          <w:p w14:paraId="1DCA0A9C">
            <w:pPr>
              <w:jc w:val="center"/>
              <w:outlineLvl w:val="9"/>
              <w:rPr>
                <w:rFonts w:hint="eastAsia" w:ascii="仿宋" w:hAnsi="仿宋" w:eastAsia="仿宋" w:cs="仿宋"/>
              </w:rPr>
            </w:pPr>
            <w:r>
              <w:rPr>
                <w:rFonts w:hint="eastAsia" w:ascii="仿宋" w:hAnsi="仿宋" w:eastAsia="仿宋" w:cs="仿宋"/>
              </w:rPr>
              <w:t>所在部门2023年工作成效</w:t>
            </w:r>
          </w:p>
        </w:tc>
        <w:tc>
          <w:tcPr>
            <w:tcW w:w="532" w:type="pct"/>
            <w:shd w:val="clear" w:color="auto" w:fill="FAFAFA"/>
            <w:vAlign w:val="center"/>
          </w:tcPr>
          <w:p w14:paraId="624331CC">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AFAFA"/>
            <w:vAlign w:val="center"/>
          </w:tcPr>
          <w:p w14:paraId="1D863FBF">
            <w:pPr>
              <w:jc w:val="center"/>
              <w:outlineLvl w:val="9"/>
              <w:rPr>
                <w:rFonts w:hint="eastAsia" w:ascii="仿宋" w:hAnsi="仿宋" w:eastAsia="仿宋" w:cs="仿宋"/>
              </w:rPr>
            </w:pPr>
            <w:r>
              <w:rPr>
                <w:rFonts w:hint="eastAsia" w:ascii="仿宋" w:hAnsi="仿宋" w:eastAsia="仿宋" w:cs="仿宋"/>
              </w:rPr>
              <w:t>0(0%)</w:t>
            </w:r>
          </w:p>
        </w:tc>
        <w:tc>
          <w:tcPr>
            <w:tcW w:w="768" w:type="pct"/>
            <w:shd w:val="clear" w:color="auto" w:fill="FAFAFA"/>
            <w:vAlign w:val="center"/>
          </w:tcPr>
          <w:p w14:paraId="48DBF23C">
            <w:pPr>
              <w:jc w:val="center"/>
              <w:outlineLvl w:val="9"/>
              <w:rPr>
                <w:rFonts w:hint="eastAsia" w:ascii="仿宋" w:hAnsi="仿宋" w:eastAsia="仿宋" w:cs="仿宋"/>
              </w:rPr>
            </w:pPr>
            <w:r>
              <w:rPr>
                <w:rFonts w:hint="eastAsia" w:ascii="仿宋" w:hAnsi="仿宋" w:eastAsia="仿宋" w:cs="仿宋"/>
              </w:rPr>
              <w:t>1(0.88%)</w:t>
            </w:r>
          </w:p>
        </w:tc>
        <w:tc>
          <w:tcPr>
            <w:tcW w:w="918" w:type="pct"/>
            <w:shd w:val="clear" w:color="auto" w:fill="FAFAFA"/>
            <w:vAlign w:val="center"/>
          </w:tcPr>
          <w:p w14:paraId="7FBBCDDB">
            <w:pPr>
              <w:jc w:val="center"/>
              <w:outlineLvl w:val="9"/>
              <w:rPr>
                <w:rFonts w:hint="eastAsia" w:ascii="仿宋" w:hAnsi="仿宋" w:eastAsia="仿宋" w:cs="仿宋"/>
              </w:rPr>
            </w:pPr>
            <w:r>
              <w:rPr>
                <w:rFonts w:hint="eastAsia" w:ascii="仿宋" w:hAnsi="仿宋" w:eastAsia="仿宋" w:cs="仿宋"/>
              </w:rPr>
              <w:t>16(14.04%)</w:t>
            </w:r>
          </w:p>
        </w:tc>
        <w:tc>
          <w:tcPr>
            <w:tcW w:w="918" w:type="pct"/>
            <w:shd w:val="clear" w:color="auto" w:fill="FAFAFA"/>
            <w:vAlign w:val="center"/>
          </w:tcPr>
          <w:p w14:paraId="70DEC47A">
            <w:pPr>
              <w:jc w:val="center"/>
              <w:outlineLvl w:val="9"/>
              <w:rPr>
                <w:rFonts w:hint="eastAsia" w:ascii="仿宋" w:hAnsi="仿宋" w:eastAsia="仿宋" w:cs="仿宋"/>
              </w:rPr>
            </w:pPr>
            <w:r>
              <w:rPr>
                <w:rFonts w:hint="eastAsia" w:ascii="仿宋" w:hAnsi="仿宋" w:eastAsia="仿宋" w:cs="仿宋"/>
              </w:rPr>
              <w:t>97(85.09%)</w:t>
            </w:r>
          </w:p>
        </w:tc>
      </w:tr>
      <w:tr w14:paraId="500C9C5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1155" w:type="pct"/>
            <w:shd w:val="clear" w:color="auto" w:fill="F5F5F5"/>
            <w:vAlign w:val="center"/>
          </w:tcPr>
          <w:p w14:paraId="6D9D46C8">
            <w:pPr>
              <w:jc w:val="center"/>
              <w:outlineLvl w:val="9"/>
              <w:rPr>
                <w:rFonts w:hint="eastAsia" w:ascii="仿宋" w:hAnsi="仿宋" w:eastAsia="仿宋" w:cs="仿宋"/>
              </w:rPr>
            </w:pPr>
            <w:r>
              <w:rPr>
                <w:rFonts w:hint="eastAsia" w:ascii="仿宋" w:hAnsi="仿宋" w:eastAsia="仿宋" w:cs="仿宋"/>
              </w:rPr>
              <w:t>小计</w:t>
            </w:r>
          </w:p>
        </w:tc>
        <w:tc>
          <w:tcPr>
            <w:tcW w:w="532" w:type="pct"/>
            <w:shd w:val="clear" w:color="auto" w:fill="F5F5F5"/>
            <w:vAlign w:val="center"/>
          </w:tcPr>
          <w:p w14:paraId="5278C2F4">
            <w:pPr>
              <w:jc w:val="center"/>
              <w:outlineLvl w:val="9"/>
              <w:rPr>
                <w:rFonts w:hint="eastAsia" w:ascii="仿宋" w:hAnsi="仿宋" w:eastAsia="仿宋" w:cs="仿宋"/>
              </w:rPr>
            </w:pPr>
            <w:r>
              <w:rPr>
                <w:rFonts w:hint="eastAsia" w:ascii="仿宋" w:hAnsi="仿宋" w:eastAsia="仿宋" w:cs="仿宋"/>
              </w:rPr>
              <w:t>0(0%)</w:t>
            </w:r>
          </w:p>
        </w:tc>
        <w:tc>
          <w:tcPr>
            <w:tcW w:w="706" w:type="pct"/>
            <w:shd w:val="clear" w:color="auto" w:fill="F5F5F5"/>
            <w:vAlign w:val="center"/>
          </w:tcPr>
          <w:p w14:paraId="0359A3AD">
            <w:pPr>
              <w:jc w:val="center"/>
              <w:outlineLvl w:val="9"/>
              <w:rPr>
                <w:rFonts w:hint="eastAsia" w:ascii="仿宋" w:hAnsi="仿宋" w:eastAsia="仿宋" w:cs="仿宋"/>
              </w:rPr>
            </w:pPr>
            <w:r>
              <w:rPr>
                <w:rFonts w:hint="eastAsia" w:ascii="仿宋" w:hAnsi="仿宋" w:eastAsia="仿宋" w:cs="仿宋"/>
              </w:rPr>
              <w:t>1(0.09%)</w:t>
            </w:r>
          </w:p>
        </w:tc>
        <w:tc>
          <w:tcPr>
            <w:tcW w:w="768" w:type="pct"/>
            <w:shd w:val="clear" w:color="auto" w:fill="F5F5F5"/>
            <w:vAlign w:val="center"/>
          </w:tcPr>
          <w:p w14:paraId="49F1D608">
            <w:pPr>
              <w:jc w:val="center"/>
              <w:outlineLvl w:val="9"/>
              <w:rPr>
                <w:rFonts w:hint="eastAsia" w:ascii="仿宋" w:hAnsi="仿宋" w:eastAsia="仿宋" w:cs="仿宋"/>
              </w:rPr>
            </w:pPr>
            <w:r>
              <w:rPr>
                <w:rFonts w:hint="eastAsia" w:ascii="仿宋" w:hAnsi="仿宋" w:eastAsia="仿宋" w:cs="仿宋"/>
              </w:rPr>
              <w:t>31(2.72%)</w:t>
            </w:r>
          </w:p>
        </w:tc>
        <w:tc>
          <w:tcPr>
            <w:tcW w:w="918" w:type="pct"/>
            <w:shd w:val="clear" w:color="auto" w:fill="F5F5F5"/>
            <w:vAlign w:val="center"/>
          </w:tcPr>
          <w:p w14:paraId="39ABEF51">
            <w:pPr>
              <w:jc w:val="center"/>
              <w:outlineLvl w:val="9"/>
              <w:rPr>
                <w:rFonts w:hint="eastAsia" w:ascii="仿宋" w:hAnsi="仿宋" w:eastAsia="仿宋" w:cs="仿宋"/>
              </w:rPr>
            </w:pPr>
            <w:r>
              <w:rPr>
                <w:rFonts w:hint="eastAsia" w:ascii="仿宋" w:hAnsi="仿宋" w:eastAsia="仿宋" w:cs="仿宋"/>
              </w:rPr>
              <w:t>216(18.95%)</w:t>
            </w:r>
          </w:p>
        </w:tc>
        <w:tc>
          <w:tcPr>
            <w:tcW w:w="918" w:type="pct"/>
            <w:shd w:val="clear" w:color="auto" w:fill="F5F5F5"/>
            <w:vAlign w:val="center"/>
          </w:tcPr>
          <w:p w14:paraId="04555A56">
            <w:pPr>
              <w:jc w:val="center"/>
              <w:outlineLvl w:val="9"/>
              <w:rPr>
                <w:rFonts w:hint="eastAsia" w:ascii="仿宋" w:hAnsi="仿宋" w:eastAsia="仿宋" w:cs="仿宋"/>
              </w:rPr>
            </w:pPr>
            <w:r>
              <w:rPr>
                <w:rFonts w:hint="eastAsia" w:ascii="仿宋" w:hAnsi="仿宋" w:eastAsia="仿宋" w:cs="仿宋"/>
              </w:rPr>
              <w:t>892(78.25%)</w:t>
            </w:r>
          </w:p>
        </w:tc>
      </w:tr>
    </w:tbl>
    <w:p w14:paraId="52BF8CEA">
      <w:pPr>
        <w:pStyle w:val="14"/>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0"/>
        <w:rPr>
          <w:rFonts w:hint="eastAsia" w:ascii="仿宋" w:hAnsi="仿宋" w:eastAsia="仿宋" w:cs="仿宋"/>
          <w:b/>
          <w:highlight w:val="none"/>
          <w:lang w:val="en-US" w:eastAsia="zh-CN"/>
        </w:rPr>
      </w:pPr>
      <w:bookmarkStart w:id="162" w:name="_Toc23046_WPSOffice_Level1"/>
      <w:bookmarkStart w:id="163" w:name="_Toc5408_WPSOffice_Level1"/>
      <w:bookmarkStart w:id="164" w:name="_Toc16710_WPSOffice_Level1"/>
      <w:bookmarkStart w:id="165" w:name="_Toc3981"/>
      <w:bookmarkStart w:id="166" w:name="_Toc10497_WPSOffice_Level1"/>
      <w:bookmarkStart w:id="167" w:name="_Toc29367_WPSOffice_Level1"/>
      <w:bookmarkStart w:id="168" w:name="_Toc7336_WPSOffice_Level1"/>
      <w:bookmarkStart w:id="169" w:name="_Toc2096_WPSOffice_Level1"/>
      <w:bookmarkStart w:id="170" w:name="_Toc28094_WPSOffice_Level1"/>
      <w:bookmarkStart w:id="171" w:name="_Toc2890_WPSOffice_Level1"/>
      <w:bookmarkStart w:id="172" w:name="_Toc11386_WPSOffice_Level1"/>
      <w:bookmarkStart w:id="173" w:name="_Toc10233"/>
      <w:bookmarkStart w:id="174" w:name="_Toc27097"/>
      <w:r>
        <w:rPr>
          <w:rFonts w:hint="eastAsia" w:ascii="仿宋" w:hAnsi="仿宋" w:eastAsia="仿宋" w:cs="仿宋"/>
          <w:b/>
          <w:highlight w:val="none"/>
          <w:lang w:val="en-US" w:eastAsia="zh-CN"/>
        </w:rPr>
        <w:t>五</w:t>
      </w:r>
      <w:r>
        <w:rPr>
          <w:rFonts w:hint="eastAsia" w:ascii="仿宋" w:hAnsi="仿宋" w:eastAsia="仿宋" w:cs="仿宋"/>
          <w:b/>
          <w:highlight w:val="none"/>
        </w:rPr>
        <w:t>、存在的问题及</w:t>
      </w:r>
      <w:bookmarkEnd w:id="162"/>
      <w:bookmarkEnd w:id="163"/>
      <w:bookmarkEnd w:id="164"/>
      <w:bookmarkEnd w:id="165"/>
      <w:bookmarkEnd w:id="166"/>
      <w:bookmarkEnd w:id="167"/>
      <w:bookmarkEnd w:id="168"/>
      <w:bookmarkEnd w:id="169"/>
      <w:bookmarkEnd w:id="170"/>
      <w:bookmarkEnd w:id="171"/>
      <w:bookmarkEnd w:id="172"/>
      <w:r>
        <w:rPr>
          <w:rFonts w:hint="eastAsia" w:ascii="仿宋" w:hAnsi="仿宋" w:eastAsia="仿宋" w:cs="仿宋"/>
          <w:b/>
          <w:highlight w:val="none"/>
          <w:lang w:val="en-US" w:eastAsia="zh-CN"/>
        </w:rPr>
        <w:t>原因分析</w:t>
      </w:r>
      <w:bookmarkEnd w:id="173"/>
      <w:bookmarkEnd w:id="174"/>
    </w:p>
    <w:p w14:paraId="17874885">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highlight w:val="none"/>
          <w:lang w:val="en-US" w:eastAsia="zh-CN"/>
        </w:rPr>
      </w:pPr>
      <w:bookmarkStart w:id="175" w:name="_Toc14854"/>
      <w:bookmarkStart w:id="176" w:name="_Toc23090"/>
      <w:r>
        <w:rPr>
          <w:rFonts w:hint="eastAsia" w:ascii="仿宋" w:hAnsi="仿宋" w:eastAsia="仿宋" w:cs="仿宋"/>
          <w:b/>
          <w:bCs/>
          <w:sz w:val="28"/>
          <w:szCs w:val="28"/>
          <w:highlight w:val="none"/>
          <w:lang w:val="en-US" w:eastAsia="zh-CN"/>
        </w:rPr>
        <w:t>1.在职人员超编制</w:t>
      </w:r>
    </w:p>
    <w:p w14:paraId="363CFC2F">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sz w:val="28"/>
          <w:szCs w:val="28"/>
          <w:highlight w:val="none"/>
          <w:lang w:val="en-US" w:eastAsia="zh-CN"/>
        </w:rPr>
        <w:t>截至2023年末，永济市市场监督管理局</w:t>
      </w:r>
      <w:r>
        <w:rPr>
          <w:rFonts w:hint="eastAsia" w:ascii="仿宋" w:hAnsi="仿宋" w:eastAsia="仿宋" w:cs="仿宋"/>
          <w:b w:val="0"/>
          <w:bCs w:val="0"/>
          <w:sz w:val="28"/>
          <w:szCs w:val="28"/>
          <w:highlight w:val="none"/>
          <w:lang w:val="en-US" w:eastAsia="zh-CN"/>
        </w:rPr>
        <w:t>2023年底市场监督管理局共有编制153名，在职人员共185人。其中：行政编76名，在职人员69人；事业编77名，在职人员105人；行政工勤11人。</w:t>
      </w:r>
      <w:r>
        <w:rPr>
          <w:rFonts w:hint="eastAsia" w:ascii="仿宋" w:hAnsi="仿宋" w:eastAsia="仿宋" w:cs="仿宋"/>
          <w:sz w:val="28"/>
          <w:szCs w:val="28"/>
          <w:highlight w:val="none"/>
          <w:lang w:val="en-US" w:eastAsia="zh-CN"/>
        </w:rPr>
        <w:t>在职人员控制率120.91%。</w:t>
      </w:r>
    </w:p>
    <w:p w14:paraId="0341FD2C">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2.资金混用、超范围列支</w:t>
      </w:r>
    </w:p>
    <w:p w14:paraId="1DE53A1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2"/>
          <w:sz w:val="28"/>
          <w:szCs w:val="28"/>
          <w:highlight w:val="yellow"/>
          <w:lang w:val="en-US" w:eastAsia="zh-CN" w:bidi="ar-SA"/>
        </w:rPr>
      </w:pPr>
      <w:r>
        <w:rPr>
          <w:rFonts w:hint="eastAsia" w:ascii="仿宋" w:hAnsi="仿宋" w:eastAsia="仿宋" w:cs="仿宋"/>
          <w:b w:val="0"/>
          <w:bCs w:val="0"/>
          <w:kern w:val="0"/>
          <w:sz w:val="28"/>
          <w:szCs w:val="28"/>
          <w:highlight w:val="none"/>
          <w:lang w:val="en-US" w:eastAsia="zh-CN"/>
        </w:rPr>
        <w:t>永济市市场监督管理局的</w:t>
      </w:r>
      <w:r>
        <w:rPr>
          <w:rFonts w:hint="eastAsia" w:ascii="仿宋" w:hAnsi="仿宋" w:eastAsia="仿宋" w:cs="仿宋"/>
          <w:b w:val="0"/>
          <w:bCs w:val="0"/>
          <w:kern w:val="2"/>
          <w:sz w:val="28"/>
          <w:szCs w:val="28"/>
          <w:highlight w:val="none"/>
          <w:lang w:val="en-US" w:eastAsia="zh-CN" w:bidi="ar-SA"/>
        </w:rPr>
        <w:t>部分资金支出方向未能严格按照部门预算批复的用途。如：公用经费支付自收自支在职人员工资、社保、奖金和自收自支退休人员取暖费、遗属补助等共计</w:t>
      </w:r>
      <w:r>
        <w:rPr>
          <w:rFonts w:hint="eastAsia" w:ascii="仿宋" w:hAnsi="仿宋" w:eastAsia="仿宋" w:cs="仿宋"/>
          <w:b w:val="0"/>
          <w:bCs w:val="0"/>
          <w:color w:val="000000"/>
          <w:kern w:val="0"/>
          <w:sz w:val="28"/>
          <w:szCs w:val="28"/>
          <w:highlight w:val="none"/>
          <w:shd w:val="clear" w:color="auto" w:fill="FFFFFF"/>
          <w:lang w:val="en-US" w:eastAsia="zh-CN"/>
        </w:rPr>
        <w:t>705,696.08</w:t>
      </w:r>
      <w:r>
        <w:rPr>
          <w:rFonts w:hint="eastAsia" w:ascii="仿宋" w:hAnsi="仿宋" w:eastAsia="仿宋" w:cs="仿宋"/>
          <w:b w:val="0"/>
          <w:bCs w:val="0"/>
          <w:kern w:val="2"/>
          <w:sz w:val="28"/>
          <w:szCs w:val="28"/>
          <w:highlight w:val="none"/>
          <w:lang w:val="en-US" w:eastAsia="zh-CN" w:bidi="ar-SA"/>
        </w:rPr>
        <w:t>元。</w:t>
      </w:r>
    </w:p>
    <w:p w14:paraId="44FCC5FC">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3.资产管理不规范</w:t>
      </w:r>
    </w:p>
    <w:p w14:paraId="74A59F6C">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0"/>
          <w:sz w:val="28"/>
          <w:szCs w:val="28"/>
          <w:highlight w:val="none"/>
          <w:lang w:val="en-US" w:eastAsia="zh-CN"/>
        </w:rPr>
      </w:pPr>
      <w:r>
        <w:rPr>
          <w:rFonts w:hint="eastAsia" w:ascii="仿宋" w:hAnsi="仿宋" w:eastAsia="仿宋" w:cs="仿宋"/>
          <w:sz w:val="28"/>
          <w:szCs w:val="28"/>
          <w:lang w:val="en-US" w:eastAsia="zh-CN"/>
        </w:rPr>
        <w:t>①固定资产卡片共计1637项资产，其中1366项资产品牌与规格型号不完善，985项资产管理部门与管理人不明确</w:t>
      </w:r>
      <w:r>
        <w:rPr>
          <w:rFonts w:hint="eastAsia" w:ascii="仿宋" w:hAnsi="仿宋" w:eastAsia="仿宋" w:cs="仿宋"/>
          <w:b w:val="0"/>
          <w:bCs w:val="0"/>
          <w:kern w:val="0"/>
          <w:sz w:val="28"/>
          <w:szCs w:val="28"/>
          <w:highlight w:val="none"/>
          <w:lang w:val="en-US" w:eastAsia="zh-CN"/>
        </w:rPr>
        <w:t>。</w:t>
      </w:r>
    </w:p>
    <w:p w14:paraId="34ED729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②89个资产在固定资产清查表中显示报废，分别为激光打印机2台、柜机空调3台、挂机空调4台、冰箱1台、办公桌3张、折叠条桌2张、保险柜1个、塑料凳1个、台式电脑6台、便携式计算机1台、冷暖扇1个、执法记录仪24个、办公椅24张、饮水机1台、吊扇4个、电视机2个、油烟机1个，目前尚未处置。</w:t>
      </w:r>
    </w:p>
    <w:p w14:paraId="28172BE1">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③清查的数量与账面数量有出入。</w:t>
      </w:r>
    </w:p>
    <w:p w14:paraId="549AEADF">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b/>
          <w:bCs/>
          <w:sz w:val="28"/>
          <w:szCs w:val="28"/>
          <w:highlight w:val="none"/>
          <w:lang w:val="en-US" w:eastAsia="zh-CN"/>
        </w:rPr>
        <w:t>4.工作履职不到位</w:t>
      </w:r>
    </w:p>
    <w:p w14:paraId="767F9977">
      <w:pPr>
        <w:pStyle w:val="6"/>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根据查看2022年和2023年全国12315平台的数据统计，2022年投诉和举报共896起，投诉调解成功率为51.42%，2023年投诉和举报共1140起，投诉调解成功率为47.6%，消费者投诉率提高了27.23%，投诉调解成功率降低了3.82%。</w:t>
      </w:r>
    </w:p>
    <w:p w14:paraId="6882401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六、有关建议</w:t>
      </w:r>
      <w:bookmarkEnd w:id="175"/>
      <w:bookmarkEnd w:id="176"/>
    </w:p>
    <w:p w14:paraId="014F7290">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
          <w:bCs/>
          <w:sz w:val="28"/>
          <w:szCs w:val="28"/>
          <w:lang w:val="en-US" w:eastAsia="zh-CN"/>
        </w:rPr>
        <w:t>1.</w:t>
      </w:r>
      <w:r>
        <w:rPr>
          <w:rFonts w:hint="eastAsia" w:ascii="仿宋" w:hAnsi="仿宋" w:eastAsia="仿宋" w:cs="仿宋"/>
          <w:b/>
          <w:bCs/>
          <w:color w:val="auto"/>
          <w:sz w:val="28"/>
          <w:szCs w:val="28"/>
          <w:highlight w:val="none"/>
        </w:rPr>
        <w:t>规范财政资金支出</w:t>
      </w:r>
      <w:r>
        <w:rPr>
          <w:rFonts w:hint="eastAsia" w:ascii="仿宋" w:hAnsi="仿宋" w:eastAsia="仿宋" w:cs="仿宋"/>
          <w:b/>
          <w:bCs/>
          <w:color w:val="auto"/>
          <w:sz w:val="28"/>
          <w:szCs w:val="28"/>
          <w:highlight w:val="none"/>
          <w:lang w:eastAsia="zh-CN"/>
        </w:rPr>
        <w:t>，保障资金按用途使用。</w:t>
      </w:r>
    </w:p>
    <w:p w14:paraId="7B02DE3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color w:val="auto"/>
          <w:sz w:val="28"/>
          <w:szCs w:val="28"/>
          <w:highlight w:val="none"/>
          <w:lang w:val="en-US" w:eastAsia="zh-CN"/>
        </w:rPr>
        <w:t>加强对预算资金编报、项目资金使用、财务收支的管理，严禁预算执行中随意扩大支出范围，各项目资金应做到专款专用，避免出现相互挤占资金的情况。在部门职权范围内的资金使用，按部门内部控制制度执行，超出部门职权范围的资金使用，报上级部门审批；</w:t>
      </w:r>
      <w:r>
        <w:rPr>
          <w:rFonts w:hint="eastAsia" w:ascii="仿宋" w:hAnsi="仿宋" w:eastAsia="仿宋" w:cs="仿宋"/>
          <w:sz w:val="28"/>
          <w:szCs w:val="28"/>
          <w:lang w:val="en-US" w:eastAsia="zh-CN"/>
        </w:rPr>
        <w:t>对于已经发生的经济业务或者事项，应当及时进行会计核算。</w:t>
      </w:r>
    </w:p>
    <w:p w14:paraId="65940FD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2.加强固定资产管理水平</w:t>
      </w:r>
    </w:p>
    <w:p w14:paraId="0E19D1C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加强对财务人员的培训学习，提高理论素质，在日常财务工作中，严格按照《政府会计制度》相关规定进行会计处理，保证会计处理的合法性、合规性</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财务人员、固定资产管理人员应完善固定资产使用部门、使用人、存放地址等信息，资产</w:t>
      </w:r>
      <w:r>
        <w:rPr>
          <w:rFonts w:hint="eastAsia" w:ascii="仿宋" w:hAnsi="仿宋" w:eastAsia="仿宋" w:cs="仿宋"/>
          <w:b w:val="0"/>
          <w:bCs w:val="0"/>
          <w:color w:val="auto"/>
          <w:sz w:val="28"/>
          <w:szCs w:val="28"/>
          <w:highlight w:val="none"/>
          <w:lang w:val="en-US" w:eastAsia="zh-CN"/>
        </w:rPr>
        <w:t>使用</w:t>
      </w:r>
      <w:r>
        <w:rPr>
          <w:rFonts w:hint="eastAsia" w:ascii="仿宋" w:hAnsi="仿宋" w:eastAsia="仿宋" w:cs="仿宋"/>
          <w:b w:val="0"/>
          <w:bCs w:val="0"/>
          <w:color w:val="auto"/>
          <w:sz w:val="28"/>
          <w:szCs w:val="28"/>
          <w:highlight w:val="none"/>
        </w:rPr>
        <w:t>部门和使用人发生变动时，应及时办理交接手续，变更登记信息</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定期与各资产使用部门对账，随时了解资产使用状况，有问题及时发现，使用部门与财务部门应加强沟通，资产使用出现问题及时告知，需要进行处理的按规定及时处理。</w:t>
      </w:r>
    </w:p>
    <w:p w14:paraId="2EBFD45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3.加强队伍建设、优化工作流程</w:t>
      </w:r>
    </w:p>
    <w:p w14:paraId="27FCE68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定期组织工作人员参加专业培训，内容涵盖消费者权益保护法律法规、沟通技巧、谈判策略、心理学等方面，以提高他们在处理投诉时的专业水平和应对能力。根据投诉量和工作难度，合理分配调解人员，确保每个投诉案件都能得到及时有效地处理。对于紧急投诉案件，应启动应急处理程序，优先处理，以避免问题进一步扩大。</w:t>
      </w:r>
    </w:p>
    <w:p w14:paraId="6C15B01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4.加强对消费者的宣传教育</w:t>
      </w:r>
    </w:p>
    <w:p w14:paraId="7FFF74F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开展多种形式的消费者权益保护宣传教育活动，增强消费者的自我保护意识和维权能力。向消费者普及投诉渠道和方法，引导消费者理性投诉，避免过度维权或不当维权。</w:t>
      </w:r>
    </w:p>
    <w:p w14:paraId="437A37C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0"/>
        <w:rPr>
          <w:rFonts w:hint="eastAsia" w:ascii="仿宋" w:hAnsi="仿宋" w:eastAsia="仿宋" w:cs="仿宋"/>
          <w:b/>
          <w:sz w:val="28"/>
          <w:szCs w:val="28"/>
          <w:highlight w:val="none"/>
        </w:rPr>
      </w:pPr>
      <w:bookmarkStart w:id="177" w:name="_Toc15985"/>
      <w:bookmarkStart w:id="178" w:name="_Toc20892"/>
      <w:r>
        <w:rPr>
          <w:rFonts w:hint="eastAsia" w:ascii="仿宋" w:hAnsi="仿宋" w:eastAsia="仿宋" w:cs="仿宋"/>
          <w:b/>
          <w:sz w:val="28"/>
          <w:szCs w:val="28"/>
          <w:highlight w:val="none"/>
          <w:lang w:val="en-US" w:eastAsia="zh-CN"/>
        </w:rPr>
        <w:t>七</w:t>
      </w:r>
      <w:r>
        <w:rPr>
          <w:rFonts w:hint="eastAsia" w:ascii="仿宋" w:hAnsi="仿宋" w:eastAsia="仿宋" w:cs="仿宋"/>
          <w:b/>
          <w:sz w:val="28"/>
          <w:szCs w:val="28"/>
          <w:highlight w:val="none"/>
        </w:rPr>
        <w:t>、绩效评价结果应用建议</w:t>
      </w:r>
      <w:bookmarkEnd w:id="177"/>
      <w:bookmarkEnd w:id="178"/>
    </w:p>
    <w:p w14:paraId="520F4B14">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color w:val="auto"/>
          <w:sz w:val="28"/>
          <w:highlight w:val="none"/>
        </w:rPr>
      </w:pPr>
      <w:r>
        <w:rPr>
          <w:rFonts w:hint="eastAsia" w:ascii="仿宋" w:hAnsi="仿宋" w:eastAsia="仿宋" w:cs="仿宋"/>
          <w:color w:val="auto"/>
          <w:sz w:val="28"/>
          <w:highlight w:val="none"/>
        </w:rPr>
        <w:t>绩效评价结果应用，既是开展绩效评价工作的重要后续环节，又是加强财政支出管理、增强资金绩效理念、合理配置公共资源、优化财政支出结构、强化资金管理水平、提高资金使用效益的重要手段。为此，特提出以下两点建议。</w:t>
      </w:r>
    </w:p>
    <w:p w14:paraId="1D629469">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color w:val="auto"/>
          <w:sz w:val="28"/>
          <w:highlight w:val="none"/>
        </w:rPr>
      </w:pPr>
      <w:r>
        <w:rPr>
          <w:rFonts w:hint="eastAsia" w:ascii="仿宋" w:hAnsi="仿宋" w:eastAsia="仿宋" w:cs="仿宋"/>
          <w:color w:val="auto"/>
          <w:sz w:val="28"/>
          <w:highlight w:val="none"/>
        </w:rPr>
        <w:t>（一）将绩效评价结果反馈告知被评价部门。将评价项目绩效分值、等级，存在的问题及相关建议及时反馈给被评价单位，督促被评价部门对存在的问题及时整改，并对整改结果进行跟踪调查。</w:t>
      </w:r>
    </w:p>
    <w:p w14:paraId="740124E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sz w:val="28"/>
          <w:szCs w:val="28"/>
          <w:highlight w:val="none"/>
        </w:rPr>
      </w:pPr>
      <w:bookmarkStart w:id="179" w:name="_Toc27705"/>
      <w:r>
        <w:rPr>
          <w:rFonts w:hint="eastAsia" w:ascii="仿宋" w:hAnsi="仿宋" w:eastAsia="仿宋" w:cs="仿宋"/>
          <w:color w:val="auto"/>
          <w:sz w:val="28"/>
          <w:highlight w:val="none"/>
        </w:rPr>
        <w:t>（二）在一定范围内通报或公示绩效评价结果。依据《政府信息公开条例》等相关规定，对绩效评价情况在一定范围内公开，或在相关网站，采取内部通报、公示的形式，公开绩效评价结果。促进和增强项目实施单位及社会各界对绩效评价工作重要性的认识，逐步形成社会监督机制，进一步提高财政资金绩效评价结果的影响和社会的理解认同</w:t>
      </w:r>
      <w:r>
        <w:rPr>
          <w:rFonts w:hint="eastAsia" w:ascii="仿宋" w:hAnsi="仿宋" w:eastAsia="仿宋" w:cs="仿宋"/>
          <w:sz w:val="28"/>
          <w:szCs w:val="28"/>
          <w:highlight w:val="none"/>
        </w:rPr>
        <w:t>。</w:t>
      </w:r>
      <w:bookmarkEnd w:id="179"/>
    </w:p>
    <w:p w14:paraId="177812E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Cs/>
          <w:sz w:val="28"/>
          <w:szCs w:val="28"/>
          <w:highlight w:val="none"/>
        </w:rPr>
      </w:pPr>
      <w:bookmarkStart w:id="180" w:name="_Toc7633"/>
      <w:r>
        <w:rPr>
          <w:rFonts w:hint="eastAsia" w:ascii="仿宋" w:hAnsi="仿宋" w:eastAsia="仿宋" w:cs="仿宋"/>
          <w:bCs/>
          <w:sz w:val="28"/>
          <w:szCs w:val="28"/>
          <w:highlight w:val="none"/>
        </w:rPr>
        <w:t>附件1：绩效评价指标体系</w:t>
      </w:r>
      <w:bookmarkEnd w:id="180"/>
    </w:p>
    <w:p w14:paraId="197576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 w:hAnsi="仿宋" w:eastAsia="仿宋" w:cs="仿宋"/>
          <w:bCs/>
          <w:sz w:val="28"/>
          <w:szCs w:val="28"/>
          <w:highlight w:val="none"/>
        </w:rPr>
      </w:pPr>
      <w:bookmarkStart w:id="181" w:name="_Toc22987"/>
      <w:bookmarkStart w:id="182" w:name="_Toc21609"/>
      <w:r>
        <w:rPr>
          <w:rFonts w:hint="eastAsia" w:ascii="仿宋" w:hAnsi="仿宋" w:eastAsia="仿宋" w:cs="仿宋"/>
          <w:bCs/>
          <w:sz w:val="28"/>
          <w:szCs w:val="28"/>
          <w:highlight w:val="none"/>
        </w:rPr>
        <w:t>附件2：绩效评价指标评分表</w:t>
      </w:r>
      <w:bookmarkEnd w:id="181"/>
      <w:bookmarkEnd w:id="182"/>
    </w:p>
    <w:p w14:paraId="3015308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Cs/>
          <w:sz w:val="28"/>
          <w:szCs w:val="28"/>
          <w:highlight w:val="none"/>
        </w:rPr>
      </w:pPr>
      <w:bookmarkStart w:id="183" w:name="_Toc8052"/>
      <w:r>
        <w:rPr>
          <w:rFonts w:hint="eastAsia" w:ascii="仿宋" w:hAnsi="仿宋" w:eastAsia="仿宋" w:cs="仿宋"/>
          <w:bCs/>
          <w:sz w:val="28"/>
          <w:szCs w:val="28"/>
          <w:highlight w:val="none"/>
        </w:rPr>
        <w:t>附件3：反映绩效的照片</w:t>
      </w:r>
      <w:bookmarkEnd w:id="183"/>
    </w:p>
    <w:p w14:paraId="35662C0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Cs/>
          <w:sz w:val="28"/>
          <w:szCs w:val="28"/>
          <w:highlight w:val="none"/>
        </w:rPr>
      </w:pPr>
      <w:bookmarkStart w:id="184" w:name="_Toc16143"/>
      <w:r>
        <w:rPr>
          <w:rFonts w:hint="eastAsia" w:ascii="仿宋" w:hAnsi="仿宋" w:eastAsia="仿宋" w:cs="仿宋"/>
          <w:bCs/>
          <w:sz w:val="28"/>
          <w:szCs w:val="28"/>
          <w:highlight w:val="none"/>
        </w:rPr>
        <w:t>附件4：调查问卷分析报告</w:t>
      </w:r>
      <w:bookmarkEnd w:id="184"/>
    </w:p>
    <w:p w14:paraId="644148B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Cs/>
          <w:sz w:val="28"/>
          <w:szCs w:val="28"/>
          <w:highlight w:val="none"/>
        </w:rPr>
      </w:pPr>
      <w:bookmarkStart w:id="185" w:name="_Toc13948"/>
      <w:r>
        <w:rPr>
          <w:rFonts w:hint="eastAsia" w:ascii="仿宋" w:hAnsi="仿宋" w:eastAsia="仿宋" w:cs="仿宋"/>
          <w:bCs/>
          <w:sz w:val="28"/>
          <w:szCs w:val="28"/>
          <w:highlight w:val="none"/>
        </w:rPr>
        <w:t>附件5：基础数据采集表</w:t>
      </w:r>
      <w:bookmarkEnd w:id="185"/>
    </w:p>
    <w:p w14:paraId="0660789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Cs/>
          <w:sz w:val="28"/>
          <w:szCs w:val="28"/>
          <w:highlight w:val="none"/>
          <w:lang w:val="en-US" w:eastAsia="zh-CN"/>
        </w:rPr>
      </w:pPr>
      <w:bookmarkStart w:id="186" w:name="_Toc1065"/>
      <w:r>
        <w:rPr>
          <w:rFonts w:hint="eastAsia" w:ascii="仿宋" w:hAnsi="仿宋" w:eastAsia="仿宋" w:cs="仿宋"/>
          <w:bCs/>
          <w:sz w:val="28"/>
          <w:szCs w:val="28"/>
          <w:highlight w:val="none"/>
        </w:rPr>
        <w:t>附件6：部门整体支出合规性检查</w:t>
      </w:r>
      <w:bookmarkEnd w:id="186"/>
    </w:p>
    <w:p w14:paraId="3BCA37B3">
      <w:pPr>
        <w:keepNext w:val="0"/>
        <w:keepLines w:val="0"/>
        <w:pageBreakBefore w:val="0"/>
        <w:widowControl w:val="0"/>
        <w:kinsoku/>
        <w:wordWrap/>
        <w:overflowPunct/>
        <w:topLinePunct w:val="0"/>
        <w:autoSpaceDE/>
        <w:autoSpaceDN/>
        <w:bidi w:val="0"/>
        <w:adjustRightInd/>
        <w:snapToGrid/>
        <w:spacing w:line="120" w:lineRule="auto"/>
        <w:ind w:firstLine="560" w:firstLineChars="200"/>
        <w:jc w:val="left"/>
        <w:textAlignment w:val="auto"/>
        <w:outlineLvl w:val="9"/>
        <w:rPr>
          <w:rFonts w:hint="eastAsia" w:ascii="仿宋" w:hAnsi="仿宋" w:eastAsia="仿宋" w:cs="仿宋"/>
          <w:bCs/>
          <w:sz w:val="28"/>
          <w:szCs w:val="28"/>
          <w:highlight w:val="none"/>
          <w:lang w:val="en-US" w:eastAsia="zh-CN"/>
        </w:rPr>
      </w:pPr>
    </w:p>
    <w:p w14:paraId="0E4CBEAF">
      <w:pPr>
        <w:pStyle w:val="2"/>
        <w:ind w:firstLine="600"/>
        <w:outlineLvl w:val="9"/>
        <w:rPr>
          <w:rFonts w:hint="eastAsia" w:ascii="仿宋" w:hAnsi="仿宋" w:eastAsia="仿宋" w:cs="仿宋"/>
          <w:highlight w:val="none"/>
          <w:lang w:val="en-US" w:eastAsia="zh-CN"/>
        </w:rPr>
      </w:pPr>
    </w:p>
    <w:p w14:paraId="5D7F68D4">
      <w:pPr>
        <w:keepNext w:val="0"/>
        <w:keepLines w:val="0"/>
        <w:pageBreakBefore w:val="0"/>
        <w:widowControl w:val="0"/>
        <w:kinsoku/>
        <w:wordWrap/>
        <w:overflowPunct/>
        <w:topLinePunct w:val="0"/>
        <w:autoSpaceDE/>
        <w:autoSpaceDN/>
        <w:bidi w:val="0"/>
        <w:spacing w:line="560" w:lineRule="exact"/>
        <w:ind w:firstLine="556"/>
        <w:jc w:val="right"/>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山西广和会计师事务所有限公司</w:t>
      </w:r>
    </w:p>
    <w:p w14:paraId="5E4C5F81">
      <w:pPr>
        <w:keepNext w:val="0"/>
        <w:keepLines w:val="0"/>
        <w:pageBreakBefore w:val="0"/>
        <w:widowControl w:val="0"/>
        <w:kinsoku/>
        <w:wordWrap w:val="0"/>
        <w:overflowPunct/>
        <w:topLinePunct w:val="0"/>
        <w:autoSpaceDE/>
        <w:autoSpaceDN/>
        <w:bidi w:val="0"/>
        <w:adjustRightInd w:val="0"/>
        <w:snapToGrid w:val="0"/>
        <w:spacing w:line="560" w:lineRule="exact"/>
        <w:ind w:firstLine="560" w:firstLineChars="200"/>
        <w:jc w:val="right"/>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 xml:space="preserve">        主评人：李亚飞                                   </w:t>
      </w:r>
      <w:r>
        <w:rPr>
          <w:rFonts w:hint="eastAsia" w:ascii="仿宋" w:hAnsi="仿宋" w:eastAsia="仿宋" w:cs="仿宋"/>
          <w:sz w:val="28"/>
          <w:szCs w:val="28"/>
          <w:highlight w:val="none"/>
          <w:lang w:eastAsia="zh-CN"/>
        </w:rPr>
        <w:t>二〇二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lang w:eastAsia="zh-CN"/>
        </w:rPr>
        <w:t>年</w:t>
      </w:r>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十</w:t>
      </w:r>
      <w:r>
        <w:rPr>
          <w:rFonts w:hint="eastAsia" w:ascii="仿宋" w:hAnsi="仿宋" w:eastAsia="仿宋" w:cs="仿宋"/>
          <w:sz w:val="28"/>
          <w:szCs w:val="28"/>
          <w:highlight w:val="none"/>
        </w:rPr>
        <w:t>日</w:t>
      </w:r>
    </w:p>
    <w:p w14:paraId="09E90419">
      <w:pPr>
        <w:pStyle w:val="2"/>
        <w:outlineLvl w:val="9"/>
        <w:rPr>
          <w:rFonts w:hint="eastAsia" w:ascii="仿宋" w:hAnsi="仿宋" w:eastAsia="仿宋" w:cs="仿宋"/>
          <w:b w:val="0"/>
          <w:bCs w:val="0"/>
          <w:kern w:val="2"/>
          <w:sz w:val="28"/>
          <w:szCs w:val="28"/>
          <w:highlight w:val="yellow"/>
          <w:lang w:val="en-US" w:eastAsia="zh-CN" w:bidi="ar-SA"/>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6"/>
          <w:cols w:space="425" w:num="1"/>
          <w:docGrid w:type="lines" w:linePitch="312" w:charSpace="0"/>
        </w:sectPr>
      </w:pPr>
    </w:p>
    <w:p w14:paraId="24941DED">
      <w:pPr>
        <w:pStyle w:val="2"/>
        <w:outlineLvl w:val="1"/>
        <w:rPr>
          <w:rFonts w:hint="eastAsia" w:ascii="仿宋" w:hAnsi="仿宋" w:eastAsia="仿宋" w:cs="仿宋"/>
          <w:b/>
          <w:bCs/>
          <w:sz w:val="21"/>
          <w:szCs w:val="21"/>
          <w:highlight w:val="none"/>
          <w:lang w:val="en-US" w:eastAsia="zh-CN"/>
        </w:rPr>
      </w:pPr>
      <w:bookmarkStart w:id="187" w:name="_Toc6959"/>
      <w:bookmarkStart w:id="188" w:name="_Toc28970"/>
      <w:bookmarkStart w:id="189" w:name="_Toc20500"/>
      <w:r>
        <w:rPr>
          <w:rFonts w:hint="eastAsia" w:ascii="仿宋" w:hAnsi="仿宋" w:eastAsia="仿宋" w:cs="仿宋"/>
          <w:b/>
          <w:bCs/>
          <w:sz w:val="21"/>
          <w:szCs w:val="21"/>
          <w:highlight w:val="none"/>
          <w:lang w:val="en-US" w:eastAsia="zh-CN"/>
        </w:rPr>
        <w:t>附件1：绩效评价指标表</w:t>
      </w:r>
      <w:bookmarkEnd w:id="187"/>
      <w:bookmarkEnd w:id="188"/>
      <w:bookmarkEnd w:id="189"/>
    </w:p>
    <w:p w14:paraId="767B0B5E">
      <w:pPr>
        <w:jc w:val="center"/>
        <w:outlineLvl w:val="9"/>
        <w:rPr>
          <w:rFonts w:hint="default"/>
          <w:sz w:val="32"/>
          <w:szCs w:val="32"/>
          <w:lang w:val="en-US" w:eastAsia="zh-CN"/>
        </w:rPr>
      </w:pPr>
      <w:r>
        <w:rPr>
          <w:rFonts w:hint="eastAsia" w:ascii="仿宋" w:hAnsi="仿宋" w:eastAsia="仿宋" w:cs="仿宋"/>
          <w:b/>
          <w:bCs/>
          <w:i w:val="0"/>
          <w:iCs w:val="0"/>
          <w:color w:val="000000"/>
          <w:kern w:val="0"/>
          <w:sz w:val="32"/>
          <w:szCs w:val="32"/>
          <w:u w:val="none"/>
          <w:lang w:val="en-US" w:eastAsia="zh-CN" w:bidi="ar"/>
        </w:rPr>
        <w:t>永济市市场监督管理局2023年部门整体支出绩效评价指标表（部门决策）</w:t>
      </w:r>
    </w:p>
    <w:p w14:paraId="4AC4E990">
      <w:pPr>
        <w:pStyle w:val="2"/>
        <w:keepNext w:val="0"/>
        <w:keepLines w:val="0"/>
        <w:pageBreakBefore w:val="0"/>
        <w:widowControl w:val="0"/>
        <w:kinsoku/>
        <w:wordWrap/>
        <w:overflowPunct/>
        <w:topLinePunct w:val="0"/>
        <w:autoSpaceDE/>
        <w:autoSpaceDN/>
        <w:bidi w:val="0"/>
        <w:adjustRightInd/>
        <w:snapToGrid/>
        <w:spacing w:line="20" w:lineRule="exact"/>
        <w:textAlignment w:val="auto"/>
        <w:outlineLvl w:val="9"/>
        <w:rPr>
          <w:rFonts w:hint="default" w:eastAsia="仿宋_GB2312"/>
          <w:sz w:val="10"/>
          <w:szCs w:val="10"/>
          <w:highlight w:val="yellow"/>
          <w:lang w:val="en-US" w:eastAsia="zh-CN"/>
        </w:rPr>
      </w:pPr>
    </w:p>
    <w:tbl>
      <w:tblPr>
        <w:tblStyle w:val="11"/>
        <w:tblW w:w="480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9"/>
        <w:gridCol w:w="1020"/>
        <w:gridCol w:w="1090"/>
        <w:gridCol w:w="590"/>
        <w:gridCol w:w="2860"/>
        <w:gridCol w:w="658"/>
        <w:gridCol w:w="6282"/>
      </w:tblGrid>
      <w:tr w14:paraId="60EED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blHeader/>
          <w:jc w:val="center"/>
        </w:trPr>
        <w:tc>
          <w:tcPr>
            <w:tcW w:w="4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FF23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一级指标</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74AE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二级指标</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2219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Style w:val="16"/>
                <w:sz w:val="18"/>
                <w:szCs w:val="18"/>
                <w:lang w:val="en-US" w:eastAsia="zh-CN" w:bidi="ar"/>
              </w:rPr>
              <w:t>三级指标</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74C8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权重</w:t>
            </w: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DD1C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Style w:val="16"/>
                <w:sz w:val="18"/>
                <w:szCs w:val="18"/>
                <w:lang w:val="en-US" w:eastAsia="zh-CN" w:bidi="ar"/>
              </w:rPr>
              <w:t>指标解释</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204B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Style w:val="16"/>
                <w:sz w:val="18"/>
                <w:szCs w:val="18"/>
                <w:lang w:val="en-US" w:eastAsia="zh-CN" w:bidi="ar"/>
              </w:rPr>
              <w:t>评分依据</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0AA4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Style w:val="16"/>
                <w:sz w:val="18"/>
                <w:szCs w:val="18"/>
                <w:lang w:val="en-US" w:eastAsia="zh-CN" w:bidi="ar"/>
              </w:rPr>
              <w:t>评分标准</w:t>
            </w:r>
          </w:p>
        </w:tc>
      </w:tr>
      <w:tr w14:paraId="0EC45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10" w:type="pct"/>
            <w:vMerge w:val="restart"/>
            <w:tcBorders>
              <w:top w:val="single" w:color="000000" w:sz="4" w:space="0"/>
              <w:left w:val="single" w:color="000000" w:sz="4" w:space="0"/>
              <w:right w:val="single" w:color="000000" w:sz="4" w:space="0"/>
            </w:tcBorders>
            <w:shd w:val="clear" w:color="auto" w:fill="auto"/>
            <w:vAlign w:val="center"/>
          </w:tcPr>
          <w:p w14:paraId="36B708A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部门决策</w:t>
            </w:r>
          </w:p>
          <w:p w14:paraId="301F0EF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（15分）</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02E4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kern w:val="0"/>
                <w:sz w:val="18"/>
                <w:szCs w:val="18"/>
                <w:highlight w:val="none"/>
                <w:u w:val="none"/>
                <w:lang w:val="en-US" w:eastAsia="zh-CN" w:bidi="ar"/>
              </w:rPr>
            </w:pPr>
            <w:r>
              <w:rPr>
                <w:rFonts w:hint="eastAsia" w:ascii="仿宋" w:hAnsi="仿宋" w:eastAsia="仿宋" w:cs="仿宋"/>
                <w:b w:val="0"/>
                <w:bCs w:val="0"/>
                <w:i w:val="0"/>
                <w:iCs w:val="0"/>
                <w:color w:val="000000"/>
                <w:kern w:val="0"/>
                <w:sz w:val="18"/>
                <w:szCs w:val="18"/>
                <w:highlight w:val="none"/>
                <w:u w:val="none"/>
                <w:lang w:val="en-US" w:eastAsia="zh-CN" w:bidi="ar"/>
              </w:rPr>
              <w:t>目标设定</w:t>
            </w:r>
          </w:p>
          <w:p w14:paraId="591368A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highlight w:val="none"/>
                <w:u w:val="none"/>
              </w:rPr>
            </w:pPr>
            <w:r>
              <w:rPr>
                <w:rFonts w:hint="eastAsia" w:ascii="仿宋" w:hAnsi="仿宋" w:eastAsia="仿宋" w:cs="仿宋"/>
                <w:b w:val="0"/>
                <w:bCs w:val="0"/>
                <w:i w:val="0"/>
                <w:iCs w:val="0"/>
                <w:color w:val="000000"/>
                <w:kern w:val="0"/>
                <w:sz w:val="18"/>
                <w:szCs w:val="18"/>
                <w:highlight w:val="none"/>
                <w:u w:val="none"/>
                <w:lang w:val="en-US" w:eastAsia="zh-CN" w:bidi="ar"/>
              </w:rPr>
              <w:t>（5分）</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D08A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b w:val="0"/>
                <w:bCs w:val="0"/>
                <w:i w:val="0"/>
                <w:iCs w:val="0"/>
                <w:color w:val="000000"/>
                <w:sz w:val="18"/>
                <w:szCs w:val="18"/>
                <w:highlight w:val="none"/>
                <w:u w:val="none"/>
                <w:lang w:val="en-US" w:eastAsia="zh-CN"/>
              </w:rPr>
            </w:pPr>
            <w:r>
              <w:rPr>
                <w:rFonts w:hint="eastAsia" w:ascii="仿宋" w:hAnsi="仿宋" w:eastAsia="仿宋" w:cs="仿宋"/>
                <w:b w:val="0"/>
                <w:bCs w:val="0"/>
                <w:i w:val="0"/>
                <w:iCs w:val="0"/>
                <w:color w:val="000000"/>
                <w:sz w:val="18"/>
                <w:szCs w:val="18"/>
                <w:highlight w:val="none"/>
                <w:u w:val="none"/>
                <w:lang w:val="en-US" w:eastAsia="zh-CN"/>
              </w:rPr>
              <w:t>绩效目标合理性</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78DC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highlight w:val="none"/>
                <w:u w:val="none"/>
                <w:lang w:val="en-US" w:eastAsia="zh-CN"/>
              </w:rPr>
            </w:pPr>
            <w:r>
              <w:rPr>
                <w:rFonts w:hint="eastAsia" w:ascii="仿宋" w:hAnsi="仿宋" w:eastAsia="仿宋" w:cs="仿宋"/>
                <w:b w:val="0"/>
                <w:bCs w:val="0"/>
                <w:i w:val="0"/>
                <w:iCs w:val="0"/>
                <w:color w:val="000000"/>
                <w:sz w:val="18"/>
                <w:szCs w:val="18"/>
                <w:highlight w:val="none"/>
                <w:u w:val="none"/>
                <w:lang w:val="en-US" w:eastAsia="zh-CN"/>
              </w:rPr>
              <w:t>3</w:t>
            </w: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172B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评价部门设定的绩效目标的依据是否充分，是否与客观实际、部门履职、年度工作任务相符，用以反映部门2023年度绩效目标合理性。</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81B9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highlight w:val="none"/>
                <w:u w:val="none"/>
              </w:rPr>
            </w:pPr>
            <w:r>
              <w:rPr>
                <w:rStyle w:val="17"/>
                <w:b w:val="0"/>
                <w:bCs w:val="0"/>
                <w:sz w:val="18"/>
                <w:szCs w:val="18"/>
                <w:highlight w:val="none"/>
                <w:lang w:val="en-US" w:eastAsia="zh-CN" w:bidi="ar"/>
              </w:rPr>
              <w:t>通用标准</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A3DE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1.部门所设立的整体绩效目标依据充分，得1分，否则不得分；</w:t>
            </w:r>
          </w:p>
          <w:p w14:paraId="42263D2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2.设定的绩效目标与客观实际相符，得1分，否则不得分；</w:t>
            </w:r>
          </w:p>
          <w:p w14:paraId="7618C47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3.设定的绩效目标与部门履职、年度工作任务相符，得1分，否则不得分。</w:t>
            </w:r>
          </w:p>
        </w:tc>
      </w:tr>
      <w:tr w14:paraId="05F6A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3" w:hRule="atLeast"/>
          <w:jc w:val="center"/>
        </w:trPr>
        <w:tc>
          <w:tcPr>
            <w:tcW w:w="410" w:type="pct"/>
            <w:vMerge w:val="continue"/>
            <w:tcBorders>
              <w:left w:val="single" w:color="000000" w:sz="4" w:space="0"/>
              <w:right w:val="single" w:color="000000" w:sz="4" w:space="0"/>
            </w:tcBorders>
            <w:shd w:val="clear" w:color="auto" w:fill="auto"/>
            <w:vAlign w:val="center"/>
          </w:tcPr>
          <w:p w14:paraId="3CA488F9">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b w:val="0"/>
                <w:bCs w:val="0"/>
                <w:i w:val="0"/>
                <w:iCs w:val="0"/>
                <w:color w:val="000000"/>
                <w:sz w:val="18"/>
                <w:szCs w:val="18"/>
                <w:u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E4917">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b w:val="0"/>
                <w:bCs w:val="0"/>
                <w:i w:val="0"/>
                <w:iCs w:val="0"/>
                <w:color w:val="000000"/>
                <w:sz w:val="18"/>
                <w:szCs w:val="18"/>
                <w:highlight w:val="none"/>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47BA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b w:val="0"/>
                <w:bCs w:val="0"/>
                <w:i w:val="0"/>
                <w:iCs w:val="0"/>
                <w:color w:val="000000"/>
                <w:sz w:val="18"/>
                <w:szCs w:val="18"/>
                <w:highlight w:val="none"/>
                <w:u w:val="none"/>
                <w:lang w:val="en-US" w:eastAsia="zh-CN"/>
              </w:rPr>
            </w:pPr>
            <w:r>
              <w:rPr>
                <w:rFonts w:hint="eastAsia" w:ascii="仿宋" w:hAnsi="仿宋" w:eastAsia="仿宋" w:cs="仿宋"/>
                <w:b w:val="0"/>
                <w:bCs w:val="0"/>
                <w:i w:val="0"/>
                <w:iCs w:val="0"/>
                <w:color w:val="000000"/>
                <w:sz w:val="18"/>
                <w:szCs w:val="18"/>
                <w:highlight w:val="none"/>
                <w:u w:val="none"/>
                <w:lang w:val="en-US" w:eastAsia="zh-CN"/>
              </w:rPr>
              <w:t>绩效指标明确性</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FE0A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highlight w:val="none"/>
                <w:u w:val="none"/>
                <w:lang w:val="en-US" w:eastAsia="zh-CN"/>
              </w:rPr>
            </w:pPr>
            <w:r>
              <w:rPr>
                <w:rFonts w:hint="eastAsia" w:ascii="仿宋" w:hAnsi="仿宋" w:eastAsia="仿宋" w:cs="仿宋"/>
                <w:b w:val="0"/>
                <w:bCs w:val="0"/>
                <w:i w:val="0"/>
                <w:iCs w:val="0"/>
                <w:color w:val="000000"/>
                <w:sz w:val="18"/>
                <w:szCs w:val="18"/>
                <w:highlight w:val="none"/>
                <w:u w:val="none"/>
                <w:lang w:val="en-US" w:eastAsia="zh-CN"/>
              </w:rPr>
              <w:t>2</w:t>
            </w: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F520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评价部门依据整体绩效目标所设定的绩效指标是否清晰、细化、可衡量，用以反映和考核部门整体绩效目标的细化情况。</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19E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highlight w:val="none"/>
                <w:u w:val="none"/>
              </w:rPr>
            </w:pPr>
            <w:r>
              <w:rPr>
                <w:rStyle w:val="17"/>
                <w:b w:val="0"/>
                <w:bCs w:val="0"/>
                <w:sz w:val="18"/>
                <w:szCs w:val="18"/>
                <w:highlight w:val="none"/>
                <w:lang w:val="en-US" w:eastAsia="zh-CN" w:bidi="ar"/>
              </w:rPr>
              <w:t>通用标准</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75AC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1.绩效目标细化分解为具体绩效指标，得1分，否则不得分；</w:t>
            </w:r>
          </w:p>
          <w:p w14:paraId="431268F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2.通过清晰、可衡量的指标值予以体现，得1分，否则不得分；</w:t>
            </w:r>
          </w:p>
        </w:tc>
      </w:tr>
      <w:tr w14:paraId="7F794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8" w:hRule="atLeast"/>
          <w:jc w:val="center"/>
        </w:trPr>
        <w:tc>
          <w:tcPr>
            <w:tcW w:w="410" w:type="pct"/>
            <w:vMerge w:val="continue"/>
            <w:tcBorders>
              <w:left w:val="single" w:color="000000" w:sz="4" w:space="0"/>
              <w:right w:val="single" w:color="000000" w:sz="4" w:space="0"/>
            </w:tcBorders>
            <w:shd w:val="clear" w:color="auto" w:fill="auto"/>
            <w:vAlign w:val="center"/>
          </w:tcPr>
          <w:p w14:paraId="1AB87A27">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b w:val="0"/>
                <w:bCs w:val="0"/>
                <w:i w:val="0"/>
                <w:iCs w:val="0"/>
                <w:color w:val="000000"/>
                <w:sz w:val="18"/>
                <w:szCs w:val="18"/>
                <w:u w:val="none"/>
              </w:rPr>
            </w:pPr>
          </w:p>
        </w:tc>
        <w:tc>
          <w:tcPr>
            <w:tcW w:w="374" w:type="pct"/>
            <w:vMerge w:val="restart"/>
            <w:tcBorders>
              <w:top w:val="single" w:color="000000" w:sz="4" w:space="0"/>
              <w:left w:val="single" w:color="000000" w:sz="4" w:space="0"/>
              <w:right w:val="single" w:color="000000" w:sz="4" w:space="0"/>
            </w:tcBorders>
            <w:shd w:val="clear" w:color="auto" w:fill="auto"/>
            <w:vAlign w:val="center"/>
          </w:tcPr>
          <w:p w14:paraId="1987AA8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预算配置</w:t>
            </w:r>
          </w:p>
          <w:p w14:paraId="3581578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u w:val="none"/>
              </w:rPr>
            </w:pPr>
            <w:r>
              <w:rPr>
                <w:rFonts w:hint="eastAsia" w:ascii="仿宋" w:hAnsi="仿宋" w:eastAsia="仿宋" w:cs="仿宋"/>
                <w:b w:val="0"/>
                <w:bCs w:val="0"/>
                <w:i w:val="0"/>
                <w:iCs w:val="0"/>
                <w:color w:val="000000"/>
                <w:kern w:val="0"/>
                <w:sz w:val="18"/>
                <w:szCs w:val="18"/>
                <w:u w:val="none"/>
                <w:lang w:val="en-US" w:eastAsia="zh-CN" w:bidi="ar"/>
              </w:rPr>
              <w:t>（10分）</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7B1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b w:val="0"/>
                <w:bCs w:val="0"/>
                <w:i w:val="0"/>
                <w:iCs w:val="0"/>
                <w:color w:val="000000"/>
                <w:sz w:val="18"/>
                <w:szCs w:val="18"/>
                <w:u w:val="none"/>
                <w:lang w:val="en-US" w:eastAsia="zh-CN"/>
              </w:rPr>
            </w:pPr>
            <w:r>
              <w:rPr>
                <w:rFonts w:hint="eastAsia" w:ascii="仿宋" w:hAnsi="仿宋" w:eastAsia="仿宋" w:cs="仿宋"/>
                <w:b w:val="0"/>
                <w:bCs w:val="0"/>
                <w:i w:val="0"/>
                <w:iCs w:val="0"/>
                <w:color w:val="000000"/>
                <w:sz w:val="18"/>
                <w:szCs w:val="18"/>
                <w:u w:val="none"/>
                <w:lang w:val="en-US" w:eastAsia="zh-CN"/>
              </w:rPr>
              <w:t>预算编制科学性</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0853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u w:val="none"/>
                <w:lang w:val="en-US" w:eastAsia="zh-CN"/>
              </w:rPr>
            </w:pPr>
            <w:r>
              <w:rPr>
                <w:rFonts w:hint="eastAsia" w:ascii="仿宋" w:hAnsi="仿宋" w:eastAsia="仿宋" w:cs="仿宋"/>
                <w:b w:val="0"/>
                <w:bCs w:val="0"/>
                <w:i w:val="0"/>
                <w:iCs w:val="0"/>
                <w:color w:val="000000"/>
                <w:sz w:val="18"/>
                <w:szCs w:val="18"/>
                <w:u w:val="none"/>
                <w:lang w:val="en-US" w:eastAsia="zh-CN"/>
              </w:rPr>
              <w:t>4</w:t>
            </w: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25B7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评价部门预算编制情况，用以反映和考核部门预算编制报送的时效性、准确性，年初预算基本支出编报的真实性和准确性、项目支出预算的细化程度，预算执行中资金分配计划等相关资料报送及时性、准确性。</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A7B6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sz w:val="18"/>
                <w:szCs w:val="18"/>
                <w:u w:val="none"/>
              </w:rPr>
            </w:pPr>
            <w:r>
              <w:rPr>
                <w:rStyle w:val="17"/>
                <w:b w:val="0"/>
                <w:bCs w:val="0"/>
                <w:sz w:val="18"/>
                <w:szCs w:val="18"/>
                <w:lang w:val="en-US" w:eastAsia="zh-CN" w:bidi="ar"/>
              </w:rPr>
              <w:t>通用标准</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A75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1.预算编制报送及时、准确，得1分，否则不得分；</w:t>
            </w:r>
          </w:p>
          <w:p w14:paraId="12037B9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2.年初预算基本支出编报真实、准确，得1分，否则不得分；</w:t>
            </w:r>
          </w:p>
          <w:p w14:paraId="4739811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3.项目支出预算编制细化具体，得1分，否则不得分；</w:t>
            </w:r>
          </w:p>
          <w:p w14:paraId="64FAD28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4.预算执行中资金分配计划等相关资料报送及时、准确，得1分，否则不得分。</w:t>
            </w:r>
          </w:p>
        </w:tc>
      </w:tr>
      <w:tr w14:paraId="20699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8" w:hRule="atLeast"/>
          <w:jc w:val="center"/>
        </w:trPr>
        <w:tc>
          <w:tcPr>
            <w:tcW w:w="410" w:type="pct"/>
            <w:vMerge w:val="continue"/>
            <w:tcBorders>
              <w:left w:val="single" w:color="000000" w:sz="4" w:space="0"/>
              <w:bottom w:val="single" w:color="auto" w:sz="4" w:space="0"/>
              <w:right w:val="single" w:color="000000" w:sz="4" w:space="0"/>
            </w:tcBorders>
            <w:shd w:val="clear" w:color="auto" w:fill="auto"/>
            <w:vAlign w:val="center"/>
          </w:tcPr>
          <w:p w14:paraId="3CDB069A">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b w:val="0"/>
                <w:bCs w:val="0"/>
                <w:i w:val="0"/>
                <w:iCs w:val="0"/>
                <w:color w:val="000000"/>
                <w:sz w:val="18"/>
                <w:szCs w:val="18"/>
                <w:u w:val="none"/>
              </w:rPr>
            </w:pPr>
          </w:p>
        </w:tc>
        <w:tc>
          <w:tcPr>
            <w:tcW w:w="374" w:type="pct"/>
            <w:vMerge w:val="continue"/>
            <w:tcBorders>
              <w:left w:val="single" w:color="000000" w:sz="4" w:space="0"/>
              <w:bottom w:val="single" w:color="auto" w:sz="4" w:space="0"/>
              <w:right w:val="single" w:color="000000" w:sz="4" w:space="0"/>
            </w:tcBorders>
            <w:shd w:val="clear" w:color="auto" w:fill="auto"/>
            <w:vAlign w:val="center"/>
          </w:tcPr>
          <w:p w14:paraId="2633CD1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val="0"/>
                <w:bCs w:val="0"/>
                <w:i w:val="0"/>
                <w:iCs w:val="0"/>
                <w:color w:val="000000"/>
                <w:kern w:val="0"/>
                <w:sz w:val="18"/>
                <w:szCs w:val="18"/>
                <w:u w:val="none"/>
                <w:lang w:val="en-US" w:eastAsia="zh-CN" w:bidi="ar"/>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4E8B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b w:val="0"/>
                <w:bCs w:val="0"/>
                <w:i w:val="0"/>
                <w:iCs w:val="0"/>
                <w:color w:val="000000"/>
                <w:sz w:val="18"/>
                <w:szCs w:val="18"/>
                <w:u w:val="none"/>
                <w:lang w:val="en-US" w:eastAsia="zh-CN"/>
              </w:rPr>
            </w:pPr>
            <w:r>
              <w:rPr>
                <w:rFonts w:hint="eastAsia" w:ascii="仿宋" w:hAnsi="仿宋" w:eastAsia="仿宋" w:cs="仿宋"/>
                <w:b w:val="0"/>
                <w:bCs w:val="0"/>
                <w:i w:val="0"/>
                <w:iCs w:val="0"/>
                <w:color w:val="000000"/>
                <w:sz w:val="18"/>
                <w:szCs w:val="18"/>
                <w:u w:val="none"/>
                <w:lang w:val="en-US" w:eastAsia="zh-CN"/>
              </w:rPr>
              <w:t>预算配置合理性</w:t>
            </w:r>
          </w:p>
        </w:tc>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524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b w:val="0"/>
                <w:bCs w:val="0"/>
                <w:i w:val="0"/>
                <w:iCs w:val="0"/>
                <w:color w:val="000000"/>
                <w:kern w:val="0"/>
                <w:sz w:val="18"/>
                <w:szCs w:val="18"/>
                <w:u w:val="none"/>
                <w:lang w:val="en-US" w:eastAsia="zh-CN" w:bidi="ar"/>
              </w:rPr>
            </w:pPr>
            <w:r>
              <w:rPr>
                <w:rFonts w:hint="eastAsia" w:ascii="仿宋" w:hAnsi="仿宋" w:eastAsia="仿宋" w:cs="仿宋"/>
                <w:b w:val="0"/>
                <w:bCs w:val="0"/>
                <w:i w:val="0"/>
                <w:iCs w:val="0"/>
                <w:color w:val="000000"/>
                <w:kern w:val="0"/>
                <w:sz w:val="18"/>
                <w:szCs w:val="18"/>
                <w:u w:val="none"/>
                <w:lang w:val="en-US" w:eastAsia="zh-CN" w:bidi="ar"/>
              </w:rPr>
              <w:t>6</w:t>
            </w:r>
          </w:p>
        </w:tc>
        <w:tc>
          <w:tcPr>
            <w:tcW w:w="10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5E48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评价部门预算配置情况，用以反映和考核部门资金分配的科学性、三公经费变动情况、部门对履行主要职责或完成重点任务的保障程度。</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AD26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Style w:val="17"/>
                <w:b w:val="0"/>
                <w:bCs w:val="0"/>
                <w:sz w:val="18"/>
                <w:szCs w:val="18"/>
                <w:lang w:val="en-US" w:eastAsia="zh-CN" w:bidi="ar"/>
              </w:rPr>
            </w:pPr>
            <w:r>
              <w:rPr>
                <w:rStyle w:val="17"/>
                <w:b w:val="0"/>
                <w:bCs w:val="0"/>
                <w:sz w:val="18"/>
                <w:szCs w:val="18"/>
                <w:lang w:val="en-US" w:eastAsia="zh-CN" w:bidi="ar"/>
              </w:rPr>
              <w:t>通用标准</w:t>
            </w:r>
          </w:p>
        </w:tc>
        <w:tc>
          <w:tcPr>
            <w:tcW w:w="2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DD45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1.资金分配科学性：预算符合《预算法》及预算编制要求，得1分；收支范围及支出方向均有相应的法规依据的，得1分；预算较上年增减变动，符合部门履职需要，得1分，否则不得分。</w:t>
            </w:r>
          </w:p>
          <w:p w14:paraId="09367EA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2.“三公经费”变动率：三公经费变动率小于或等于0，得1分，三公经费变动率大于0的不得分。</w:t>
            </w:r>
          </w:p>
          <w:p w14:paraId="258773C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3.重点支出安排率：重点支出安排率大于85%的，得2分；重点支出安排率小于50%的，得0分；重点支出安排率在50%-120%之间的，在0分和2分之间计算确定。</w:t>
            </w:r>
          </w:p>
        </w:tc>
      </w:tr>
    </w:tbl>
    <w:p w14:paraId="3378E4A9">
      <w:pPr>
        <w:pStyle w:val="2"/>
        <w:outlineLvl w:val="9"/>
        <w:rPr>
          <w:rFonts w:hint="default" w:eastAsia="仿宋_GB2312"/>
          <w:highlight w:val="yellow"/>
          <w:lang w:val="en-US" w:eastAsia="zh-CN"/>
        </w:rPr>
        <w:sectPr>
          <w:footerReference r:id="rId6" w:type="default"/>
          <w:pgSz w:w="16838" w:h="11906" w:orient="landscape"/>
          <w:pgMar w:top="1800" w:right="1440" w:bottom="158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857BED8">
      <w:pPr>
        <w:jc w:val="center"/>
        <w:outlineLvl w:val="9"/>
        <w:rPr>
          <w:rFonts w:hint="default"/>
          <w:sz w:val="32"/>
          <w:szCs w:val="32"/>
          <w:lang w:val="en-US" w:eastAsia="zh-CN"/>
        </w:rPr>
      </w:pPr>
      <w:r>
        <w:rPr>
          <w:rFonts w:hint="eastAsia" w:ascii="仿宋" w:hAnsi="仿宋" w:eastAsia="仿宋" w:cs="仿宋"/>
          <w:b/>
          <w:bCs/>
          <w:i w:val="0"/>
          <w:iCs w:val="0"/>
          <w:color w:val="000000"/>
          <w:kern w:val="0"/>
          <w:sz w:val="32"/>
          <w:szCs w:val="32"/>
          <w:u w:val="none"/>
          <w:lang w:val="en-US" w:eastAsia="zh-CN" w:bidi="ar"/>
        </w:rPr>
        <w:t>永济市市场监督管理局2023年部门整体支出绩效评价指标表（部门管理）</w:t>
      </w:r>
    </w:p>
    <w:tbl>
      <w:tblPr>
        <w:tblStyle w:val="11"/>
        <w:tblW w:w="505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9"/>
        <w:gridCol w:w="1019"/>
        <w:gridCol w:w="1108"/>
        <w:gridCol w:w="618"/>
        <w:gridCol w:w="3003"/>
        <w:gridCol w:w="700"/>
        <w:gridCol w:w="6818"/>
      </w:tblGrid>
      <w:tr w14:paraId="04074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blHeader/>
          <w:jc w:val="center"/>
        </w:trPr>
        <w:tc>
          <w:tcPr>
            <w:tcW w:w="369" w:type="pct"/>
            <w:tcBorders>
              <w:top w:val="single" w:color="000000" w:sz="4" w:space="0"/>
              <w:left w:val="single" w:color="000000" w:sz="4" w:space="0"/>
              <w:bottom w:val="single" w:color="auto" w:sz="4" w:space="0"/>
              <w:right w:val="single" w:color="000000" w:sz="4" w:space="0"/>
            </w:tcBorders>
            <w:shd w:val="clear" w:color="auto" w:fill="auto"/>
            <w:vAlign w:val="center"/>
          </w:tcPr>
          <w:p w14:paraId="416D783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一级指标</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21C6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二级指标</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735A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三级指标</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9C5A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权重</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6801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指标解释</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0E05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评分依据</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DCE3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评分标准</w:t>
            </w:r>
          </w:p>
        </w:tc>
      </w:tr>
      <w:tr w14:paraId="1DD8D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jc w:val="center"/>
        </w:trPr>
        <w:tc>
          <w:tcPr>
            <w:tcW w:w="3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EB884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部门管理（40分）</w:t>
            </w:r>
          </w:p>
        </w:tc>
        <w:tc>
          <w:tcPr>
            <w:tcW w:w="355" w:type="pct"/>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7BA0730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预算管理</w:t>
            </w:r>
          </w:p>
          <w:p w14:paraId="23FAE60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（15分）</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40A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预算执行管理</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181D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8</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8936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评价部门预算资金执行方面的情况，包括：支出进度、支出完成、预算调整等方面，用以反映和考核部门预算执行情况。</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9D1E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FBF1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按每一季度的执行情况分别打分，每季度分值0.5分，支付进度率总分值2分。以山西省财政厅的计算口径“序时进度的98%”作为标准支付进度率，依据部门每个季度末的支付进度率与标准支付进度率进行比较。（实际支付进度完成率大于或等于100%，得0.5分；实际支付进度完成率小于90%，得0分；实际支付进度完成率在90%-100%之间的，在0分和0.5分之间按完成率计算得分）</w:t>
            </w:r>
          </w:p>
          <w:p w14:paraId="6EB0382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2.预算完成率≥95%，得2分；预算完成率≤90%，得0分；预算完成率在90%-95%之间，按比例计算得分。</w:t>
            </w:r>
          </w:p>
          <w:p w14:paraId="2CBF92E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3.预算调整率≤5%，得1分；预算调整率≥20%，得0分；预算调整率在5%-20%之间，按比例计算得分。</w:t>
            </w:r>
          </w:p>
          <w:p w14:paraId="111F90D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4.转移支付下达率=100%，得1分，≤90%不得分，90%-100%之间，按比例计算确定得分。</w:t>
            </w:r>
          </w:p>
          <w:p w14:paraId="794EFAD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5.结转结余率：结转结余率等于0的，得1分；结转结余率≥50%的，得0分；结转结余率在0-50%之间的，按比例计算得分。</w:t>
            </w:r>
          </w:p>
          <w:p w14:paraId="73DBAEF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6.结转结余变动率：结转结余变动率≤0，得1分；结转结余变动率≥50%，得0分；结转结余变动率在0-50%之间，按比例计算确定。</w:t>
            </w:r>
          </w:p>
        </w:tc>
      </w:tr>
      <w:tr w14:paraId="1A431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9" w:hRule="atLeast"/>
          <w:jc w:val="center"/>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E00E61">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55" w:type="pct"/>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20D69AC0">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C8DD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预算绩效管理</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6533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7</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CF22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部门是否按照规定进行绩效报告的撰写和上报，撰写的绩效目标是否符合预期目标，是否与预算的资金量相匹配，是否对绩效管理进行监督，以及是否对绩效评价结果进行应用，用以反映和考核预算绩效的管理情况。</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767C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C81D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1.编报了部门整体支出绩效目标申报表，得1分，否则不得分；针对项目支出编报了绩效目标申报表，得1分，缺1项扣0.2分，扣完为止。</w:t>
            </w:r>
          </w:p>
          <w:p w14:paraId="67122AC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2.按要求报送项目支出和部门整体支出绩效监控分析报告和绩效运行监控表，得2分，缺1项扣0.5分，扣完为止。</w:t>
            </w:r>
          </w:p>
          <w:p w14:paraId="034151D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3.编报了部门预算整体支出绩效自评表和自评报告，得1分，否则不得分；对完工项目实施项目绩效自评并编制绩效自评表和自评报告，得1分，缺1项扣0.2分，扣完为止。</w:t>
            </w:r>
          </w:p>
          <w:p w14:paraId="44841C5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4.根据部门和项目绩效评价结果进行应用，如：部门绩效结果与预算挂钩，员工考核与绩效工资挂钩等，得1分，否则不得分。</w:t>
            </w:r>
          </w:p>
        </w:tc>
      </w:tr>
      <w:tr w14:paraId="07542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3" w:hRule="atLeast"/>
          <w:jc w:val="center"/>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85857C">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EEFB9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收支管理</w:t>
            </w:r>
          </w:p>
          <w:p w14:paraId="4FCFF63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（10分）</w:t>
            </w: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14:paraId="02EBFA4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收支管理规范性</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5FCD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6</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74A0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部门整体在收入和支出过程中是否合理，是否具有相应的文件支撑，支出是否具有完整的审批程序和手续，经济科目是否选择规范、正确，用以评价收支管理的规范性。</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92D5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69A8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1.收入来源符合财政部规定的范围，同时具有指标文件支持，得1分，否则不得分；</w:t>
            </w:r>
          </w:p>
          <w:p w14:paraId="5689798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2.对收取的罚没收入进行评价，包括：票据管理及存档、处罚标准文件保管存档工作，非税收入上缴追缴工作，制定非税收入资金管理措施等方面的工作。此小项总分1分，每出现1处问题扣0.1分，扣完为止。</w:t>
            </w:r>
          </w:p>
          <w:p w14:paraId="4DB9C8A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3.资金拨付和使用的合规性：</w:t>
            </w:r>
          </w:p>
          <w:p w14:paraId="6A49565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①资金使用符合国家财经法规和财务管理制度规定以及有关专项资金管理办法的规定，得0.5分，否则每发现一项，扣0.1分，扣完为止；</w:t>
            </w:r>
          </w:p>
          <w:p w14:paraId="1606FC8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②资金的拨付有完整的审批程序和手续，项目的重大开支经过评估论证，得1分，否则不得分；</w:t>
            </w:r>
          </w:p>
          <w:p w14:paraId="04DA24C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③资金使用符合部门预算批复的用途，得0.5分，否则每发现一项超范围列支，扣0.1分，扣完为止；</w:t>
            </w:r>
          </w:p>
          <w:p w14:paraId="4675D58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④财务核算规范，得0.5分，否则每发现一项财务核算错误，扣0.1分，扣完为止；</w:t>
            </w:r>
          </w:p>
          <w:p w14:paraId="148962E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⑤凭证管理规范，得0.5分，否则每发现一项凭证管理不规范，扣0.1分，扣完为止；</w:t>
            </w:r>
          </w:p>
          <w:p w14:paraId="1477E0F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如存在截留、挤占、挪用、虚列支出等情况，本指标得0分。</w:t>
            </w:r>
          </w:p>
          <w:p w14:paraId="0AAA9FC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4.国库集中支付规范性：按照国库单一账户体系进行集中支付，支付规范，得1分，否则不得分。</w:t>
            </w:r>
          </w:p>
        </w:tc>
      </w:tr>
      <w:tr w14:paraId="2A142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jc w:val="center"/>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2BFCD4">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0257FE">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86" w:type="pct"/>
            <w:tcBorders>
              <w:top w:val="single" w:color="000000" w:sz="4" w:space="0"/>
              <w:left w:val="single" w:color="auto" w:sz="4" w:space="0"/>
              <w:bottom w:val="single" w:color="000000" w:sz="4" w:space="0"/>
              <w:right w:val="single" w:color="000000" w:sz="4" w:space="0"/>
            </w:tcBorders>
            <w:shd w:val="clear" w:color="auto" w:fill="auto"/>
            <w:vAlign w:val="center"/>
          </w:tcPr>
          <w:p w14:paraId="72FD6C3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支出结构合理性</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86D9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DBC7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部</w:t>
            </w:r>
            <w:r>
              <w:rPr>
                <w:rFonts w:hint="eastAsia" w:ascii="仿宋" w:hAnsi="仿宋" w:eastAsia="仿宋" w:cs="仿宋"/>
                <w:i w:val="0"/>
                <w:iCs w:val="0"/>
                <w:color w:val="000000"/>
                <w:sz w:val="18"/>
                <w:szCs w:val="18"/>
                <w:highlight w:val="none"/>
                <w:u w:val="none"/>
                <w:lang w:val="en-US" w:eastAsia="zh-CN"/>
              </w:rPr>
              <w:t>门整体的行政运行、社会保障、乡村发展、经济发展的支出占比是否合理，项目支出所需使用资金是否充足，用以评价支出结构的合理性。</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6D44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250C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1.部门支出分配与部门年度工作任务相匹配，得2分，除因政策因素调整导致外，否则不得分。</w:t>
            </w:r>
          </w:p>
          <w:p w14:paraId="03892A4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2.重点支出所安排的资金能够满足重点工作任务所需，且未出现资金短缺现象，得2分，否则按照追加资金比例得分。</w:t>
            </w:r>
          </w:p>
        </w:tc>
      </w:tr>
      <w:tr w14:paraId="5E714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0" w:hRule="atLeast"/>
          <w:jc w:val="center"/>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CE811D">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55"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14:paraId="6BD9E23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资产管理</w:t>
            </w:r>
          </w:p>
          <w:p w14:paraId="0BB8D1D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（8分）</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53A3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资产管理规范性</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2C5B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5478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评价部门资产管理制度建设、资产的配备、保存、使用、处置是否合规，用以反映和考核部门资产管理规范性。</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E956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7BBB9">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1.制定或具有资产管理制度得0.5分，资产管理制度合法、合规、完整得0.5分，否则不得分。</w:t>
            </w:r>
          </w:p>
          <w:p w14:paraId="1D41785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2.资产账务管理合规，账实相符，得1分，否则不得分。</w:t>
            </w:r>
          </w:p>
          <w:p w14:paraId="76D27498">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3.2023年新购置资产的价格及配置数量未超过《永济市行政单位资产配置标准》，得1分，否则不得分。</w:t>
            </w:r>
          </w:p>
          <w:p w14:paraId="7270ED3A">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4.资产使用人、管理人是否明确，得1分，否则不得分。</w:t>
            </w:r>
          </w:p>
          <w:p w14:paraId="046C7EF3">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5.资产处置规范，得0.5分，否则不得分。</w:t>
            </w:r>
          </w:p>
          <w:p w14:paraId="5DE0268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6.资产有偿使用及处置收入及时上缴，得0.5分，否则不得分。</w:t>
            </w:r>
          </w:p>
        </w:tc>
      </w:tr>
      <w:tr w14:paraId="08149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jc w:val="center"/>
        </w:trPr>
        <w:tc>
          <w:tcPr>
            <w:tcW w:w="3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D4EC3A">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55"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3C8470ED">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8AE3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固定资产利用率</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48C0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677E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部门实际在用固定资产总额与所有固定资产总额的比率，用以反映和考核部门固定资产使用效率程度。</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FDA6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09A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固定资产利用率≥90%，得3分；固定资产利用率≤80%，得0分；固定资产利用率在80%-90%之间，按比例计算得分=（固定资产利用率-80%）/（90%-80%）×该指标分值3分。</w:t>
            </w:r>
          </w:p>
        </w:tc>
      </w:tr>
      <w:tr w14:paraId="21FF2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369" w:type="pct"/>
            <w:vMerge w:val="restart"/>
            <w:tcBorders>
              <w:top w:val="single" w:color="auto" w:sz="4" w:space="0"/>
              <w:left w:val="single" w:color="auto" w:sz="4" w:space="0"/>
              <w:right w:val="single" w:color="auto" w:sz="4" w:space="0"/>
            </w:tcBorders>
            <w:shd w:val="clear" w:color="auto" w:fill="auto"/>
            <w:vAlign w:val="center"/>
          </w:tcPr>
          <w:p w14:paraId="134CEC1F">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部门管理（40分）</w:t>
            </w:r>
          </w:p>
        </w:tc>
        <w:tc>
          <w:tcPr>
            <w:tcW w:w="355" w:type="pct"/>
            <w:tcBorders>
              <w:top w:val="single" w:color="auto" w:sz="4" w:space="0"/>
              <w:left w:val="single" w:color="auto" w:sz="4" w:space="0"/>
              <w:bottom w:val="single" w:color="auto" w:sz="4" w:space="0"/>
              <w:right w:val="single" w:color="000000" w:sz="4" w:space="0"/>
            </w:tcBorders>
            <w:shd w:val="clear" w:color="auto" w:fill="auto"/>
            <w:vAlign w:val="center"/>
          </w:tcPr>
          <w:p w14:paraId="6961787A">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人员管理（2分）</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43E9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在职人员控制率</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8A54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F860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部门本年度实际在职人员数与编制数的比率，用以反映和考核部门对人员成本的控制程度。</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5762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24D2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1.在职人员控制率≤100%的，得2分；</w:t>
            </w:r>
          </w:p>
          <w:p w14:paraId="531EE4D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2.在职人员控制率≥120%的，得0分</w:t>
            </w:r>
          </w:p>
          <w:p w14:paraId="5202DCF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3.在职人员控制率在100%-120%之间，按比例计算得分=（120%－在职人员控制率）/（120%-100%）×该指标分值2分。</w:t>
            </w:r>
          </w:p>
        </w:tc>
      </w:tr>
      <w:tr w14:paraId="5C95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jc w:val="center"/>
        </w:trPr>
        <w:tc>
          <w:tcPr>
            <w:tcW w:w="369" w:type="pct"/>
            <w:vMerge w:val="continue"/>
            <w:tcBorders>
              <w:left w:val="single" w:color="auto" w:sz="4" w:space="0"/>
              <w:right w:val="single" w:color="auto" w:sz="4" w:space="0"/>
            </w:tcBorders>
            <w:shd w:val="clear" w:color="auto" w:fill="auto"/>
            <w:vAlign w:val="center"/>
          </w:tcPr>
          <w:p w14:paraId="13F70866">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55" w:type="pct"/>
            <w:vMerge w:val="restart"/>
            <w:tcBorders>
              <w:top w:val="single" w:color="auto" w:sz="4" w:space="0"/>
              <w:left w:val="single" w:color="000000" w:sz="4" w:space="0"/>
              <w:right w:val="single" w:color="000000" w:sz="4" w:space="0"/>
            </w:tcBorders>
            <w:shd w:val="clear" w:color="auto" w:fill="auto"/>
            <w:vAlign w:val="center"/>
          </w:tcPr>
          <w:p w14:paraId="0301846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其他管理</w:t>
            </w:r>
          </w:p>
          <w:p w14:paraId="6E7966C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（5分）</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7C6D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政府采购管理</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06A1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735E2">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部门实际政府采购金额与预算安排的政府采购金额的比率，用以反映和考核部门年度政府采购预算执行情况。</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D418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3145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1.政府采购执行率=100%，得2分；</w:t>
            </w:r>
          </w:p>
          <w:p w14:paraId="485162DD">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2.政府采购执行率≤90%，得0分；</w:t>
            </w:r>
          </w:p>
          <w:p w14:paraId="00F4B4B5">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3.政府采购执行率在90%-100%之间，按比例计算得分=（政府采购执行率-90%）/（100%-90%）×该指标分值2分。</w:t>
            </w:r>
          </w:p>
        </w:tc>
      </w:tr>
      <w:tr w14:paraId="1A09B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jc w:val="center"/>
        </w:trPr>
        <w:tc>
          <w:tcPr>
            <w:tcW w:w="369" w:type="pct"/>
            <w:vMerge w:val="continue"/>
            <w:tcBorders>
              <w:left w:val="single" w:color="auto" w:sz="4" w:space="0"/>
              <w:right w:val="single" w:color="auto" w:sz="4" w:space="0"/>
            </w:tcBorders>
            <w:shd w:val="clear" w:color="auto" w:fill="auto"/>
            <w:vAlign w:val="center"/>
          </w:tcPr>
          <w:p w14:paraId="67D82C16">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55" w:type="pct"/>
            <w:vMerge w:val="continue"/>
            <w:tcBorders>
              <w:left w:val="single" w:color="000000" w:sz="4" w:space="0"/>
              <w:right w:val="single" w:color="000000" w:sz="4" w:space="0"/>
            </w:tcBorders>
            <w:shd w:val="clear" w:color="auto" w:fill="auto"/>
            <w:vAlign w:val="center"/>
          </w:tcPr>
          <w:p w14:paraId="6D1BC459">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726F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信息公开</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1B6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E0A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部门是否按照政府信息公开有关规定公开相关预决算及政务信息，用以反映和考核部门2023年信息公开透明情况。</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38B1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B570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①按规定内容、时限公开预决算信息，得1分，否则不得分；</w:t>
            </w:r>
          </w:p>
          <w:p w14:paraId="7C838E8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②按规定内容、时限公开政务信息，得1分，否则不得分。</w:t>
            </w:r>
          </w:p>
        </w:tc>
      </w:tr>
      <w:tr w14:paraId="621EB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369" w:type="pct"/>
            <w:vMerge w:val="continue"/>
            <w:tcBorders>
              <w:left w:val="single" w:color="auto" w:sz="4" w:space="0"/>
              <w:bottom w:val="single" w:color="auto" w:sz="4" w:space="0"/>
              <w:right w:val="single" w:color="auto" w:sz="4" w:space="0"/>
            </w:tcBorders>
            <w:shd w:val="clear" w:color="auto" w:fill="auto"/>
            <w:vAlign w:val="center"/>
          </w:tcPr>
          <w:p w14:paraId="6712DB3F">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55" w:type="pct"/>
            <w:vMerge w:val="continue"/>
            <w:tcBorders>
              <w:left w:val="single" w:color="000000" w:sz="4" w:space="0"/>
              <w:bottom w:val="single" w:color="auto" w:sz="4" w:space="0"/>
              <w:right w:val="single" w:color="000000" w:sz="4" w:space="0"/>
            </w:tcBorders>
            <w:shd w:val="clear" w:color="auto" w:fill="auto"/>
            <w:vAlign w:val="center"/>
          </w:tcPr>
          <w:p w14:paraId="5B6CC7C7">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95B3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资金监管</w:t>
            </w:r>
          </w:p>
        </w:tc>
        <w:tc>
          <w:tcPr>
            <w:tcW w:w="2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B60C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75DC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部门是否在人大审查、巡视、审计等资金监督后，对审查结果进行整改的情况，用以评价资金的监管情况。</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06D7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通用标准</w:t>
            </w:r>
          </w:p>
        </w:tc>
        <w:tc>
          <w:tcPr>
            <w:tcW w:w="2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27CDE">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部门接受人大审查、巡视、审计、财会监督、预决算公开监督检查等专项检查中发现的问题能及时整改落实的，得1分，否则按照整改完成率计算得分。</w:t>
            </w:r>
          </w:p>
        </w:tc>
      </w:tr>
    </w:tbl>
    <w:p w14:paraId="07109B87">
      <w:pPr>
        <w:jc w:val="center"/>
        <w:outlineLvl w:val="9"/>
        <w:rPr>
          <w:rFonts w:hint="eastAsia" w:ascii="仿宋" w:hAnsi="仿宋" w:eastAsia="仿宋" w:cs="仿宋"/>
          <w:b/>
          <w:bCs/>
          <w:i w:val="0"/>
          <w:iCs w:val="0"/>
          <w:color w:val="000000"/>
          <w:kern w:val="0"/>
          <w:sz w:val="32"/>
          <w:szCs w:val="32"/>
          <w:u w:val="none"/>
          <w:lang w:val="en-US" w:eastAsia="zh-CN" w:bidi="ar"/>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E19DD4">
      <w:pPr>
        <w:jc w:val="center"/>
        <w:outlineLvl w:val="9"/>
        <w:rPr>
          <w:rFonts w:hint="default"/>
          <w:sz w:val="32"/>
          <w:szCs w:val="32"/>
          <w:lang w:val="en-US" w:eastAsia="zh-CN"/>
        </w:rPr>
      </w:pPr>
      <w:r>
        <w:rPr>
          <w:rFonts w:hint="eastAsia" w:ascii="仿宋" w:hAnsi="仿宋" w:eastAsia="仿宋" w:cs="仿宋"/>
          <w:b/>
          <w:bCs/>
          <w:i w:val="0"/>
          <w:iCs w:val="0"/>
          <w:color w:val="000000"/>
          <w:kern w:val="0"/>
          <w:sz w:val="32"/>
          <w:szCs w:val="32"/>
          <w:u w:val="none"/>
          <w:lang w:val="en-US" w:eastAsia="zh-CN" w:bidi="ar"/>
        </w:rPr>
        <w:t>永济市市场监督管理局2023年部门整体支出绩效评价指标表（部门产出）</w:t>
      </w:r>
    </w:p>
    <w:tbl>
      <w:tblPr>
        <w:tblStyle w:val="11"/>
        <w:tblW w:w="485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9"/>
        <w:gridCol w:w="1002"/>
        <w:gridCol w:w="1118"/>
        <w:gridCol w:w="685"/>
        <w:gridCol w:w="2778"/>
        <w:gridCol w:w="603"/>
        <w:gridCol w:w="6602"/>
      </w:tblGrid>
      <w:tr w14:paraId="44616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blHeader/>
          <w:jc w:val="center"/>
        </w:trPr>
        <w:tc>
          <w:tcPr>
            <w:tcW w:w="352" w:type="pct"/>
            <w:tcBorders>
              <w:top w:val="single" w:color="000000" w:sz="4" w:space="0"/>
              <w:left w:val="single" w:color="000000" w:sz="4" w:space="0"/>
              <w:bottom w:val="single" w:color="auto" w:sz="4" w:space="0"/>
              <w:right w:val="single" w:color="000000" w:sz="4" w:space="0"/>
            </w:tcBorders>
            <w:shd w:val="clear" w:color="auto" w:fill="auto"/>
            <w:vAlign w:val="center"/>
          </w:tcPr>
          <w:p w14:paraId="5F23557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一级指标</w:t>
            </w:r>
          </w:p>
        </w:tc>
        <w:tc>
          <w:tcPr>
            <w:tcW w:w="364" w:type="pct"/>
            <w:tcBorders>
              <w:top w:val="single" w:color="000000" w:sz="4" w:space="0"/>
              <w:left w:val="single" w:color="000000" w:sz="4" w:space="0"/>
              <w:bottom w:val="single" w:color="auto" w:sz="4" w:space="0"/>
              <w:right w:val="single" w:color="000000" w:sz="4" w:space="0"/>
            </w:tcBorders>
            <w:shd w:val="clear" w:color="auto" w:fill="auto"/>
            <w:vAlign w:val="center"/>
          </w:tcPr>
          <w:p w14:paraId="7DCE338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二级指标</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E146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三级指标</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71DA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权重</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DED2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指标解释</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05BD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评分依据</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09978">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评分标准</w:t>
            </w:r>
          </w:p>
        </w:tc>
      </w:tr>
      <w:tr w14:paraId="1DC6B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352" w:type="pct"/>
            <w:vMerge w:val="restart"/>
            <w:tcBorders>
              <w:top w:val="single" w:color="auto" w:sz="4" w:space="0"/>
              <w:left w:val="single" w:color="auto" w:sz="4" w:space="0"/>
              <w:right w:val="single" w:color="auto" w:sz="4" w:space="0"/>
            </w:tcBorders>
            <w:shd w:val="clear" w:color="auto" w:fill="auto"/>
            <w:vAlign w:val="center"/>
          </w:tcPr>
          <w:p w14:paraId="5C2A19C1">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部门产出（30分）</w:t>
            </w:r>
          </w:p>
        </w:tc>
        <w:tc>
          <w:tcPr>
            <w:tcW w:w="364" w:type="pct"/>
            <w:vMerge w:val="restart"/>
            <w:tcBorders>
              <w:top w:val="single" w:color="auto" w:sz="4" w:space="0"/>
              <w:left w:val="single" w:color="auto" w:sz="4" w:space="0"/>
              <w:right w:val="single" w:color="auto" w:sz="4" w:space="0"/>
            </w:tcBorders>
            <w:shd w:val="clear" w:color="auto" w:fill="auto"/>
            <w:vAlign w:val="center"/>
          </w:tcPr>
          <w:p w14:paraId="19F3671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目标任务实现程度</w:t>
            </w:r>
          </w:p>
          <w:p w14:paraId="474BBD6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（20分）</w:t>
            </w:r>
          </w:p>
        </w:tc>
        <w:tc>
          <w:tcPr>
            <w:tcW w:w="406" w:type="pct"/>
            <w:tcBorders>
              <w:top w:val="single" w:color="000000" w:sz="4" w:space="0"/>
              <w:left w:val="single" w:color="auto" w:sz="4" w:space="0"/>
              <w:bottom w:val="single" w:color="000000" w:sz="4" w:space="0"/>
              <w:right w:val="single" w:color="000000" w:sz="4" w:space="0"/>
            </w:tcBorders>
            <w:shd w:val="clear" w:color="auto" w:fill="auto"/>
            <w:vAlign w:val="center"/>
          </w:tcPr>
          <w:p w14:paraId="772C9901">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质量安全监管完成情况</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6E656">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4</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D86E3">
            <w:pPr>
              <w:keepNext w:val="0"/>
              <w:keepLines w:val="0"/>
              <w:widowControl/>
              <w:suppressLineNumbers w:val="0"/>
              <w:jc w:val="left"/>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评价部门履行职责的目标任务实现程度，用以反映和考核部门2023年度市场监督管理局业务数量达标情况。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6E70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w:t>
            </w:r>
          </w:p>
          <w:p w14:paraId="4249601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7AB8C">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1.完成8大类工业产品抽检批次≥320批次，得2分，否则按比例得分；</w:t>
            </w:r>
          </w:p>
          <w:p w14:paraId="10B435B6">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2.完成安全隐患排查共139批次，得2分，否则按比例得分。</w:t>
            </w:r>
          </w:p>
        </w:tc>
      </w:tr>
      <w:tr w14:paraId="18953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5" w:hRule="atLeast"/>
          <w:jc w:val="center"/>
        </w:trPr>
        <w:tc>
          <w:tcPr>
            <w:tcW w:w="352" w:type="pct"/>
            <w:vMerge w:val="continue"/>
            <w:tcBorders>
              <w:left w:val="single" w:color="auto" w:sz="4" w:space="0"/>
              <w:right w:val="single" w:color="auto" w:sz="4" w:space="0"/>
            </w:tcBorders>
            <w:shd w:val="clear" w:color="auto" w:fill="auto"/>
            <w:vAlign w:val="center"/>
          </w:tcPr>
          <w:p w14:paraId="46389D12">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outlineLvl w:val="9"/>
              <w:rPr>
                <w:rFonts w:hint="eastAsia" w:ascii="仿宋" w:hAnsi="仿宋" w:eastAsia="仿宋" w:cs="仿宋"/>
                <w:i w:val="0"/>
                <w:iCs w:val="0"/>
                <w:color w:val="000000"/>
                <w:kern w:val="0"/>
                <w:sz w:val="18"/>
                <w:szCs w:val="18"/>
                <w:u w:val="none"/>
                <w:lang w:val="en-US" w:eastAsia="zh-CN" w:bidi="ar"/>
              </w:rPr>
            </w:pPr>
          </w:p>
        </w:tc>
        <w:tc>
          <w:tcPr>
            <w:tcW w:w="364" w:type="pct"/>
            <w:vMerge w:val="continue"/>
            <w:tcBorders>
              <w:left w:val="single" w:color="auto" w:sz="4" w:space="0"/>
              <w:right w:val="single" w:color="auto" w:sz="4" w:space="0"/>
            </w:tcBorders>
            <w:shd w:val="clear" w:color="auto" w:fill="auto"/>
            <w:vAlign w:val="center"/>
          </w:tcPr>
          <w:p w14:paraId="1F2361C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p>
        </w:tc>
        <w:tc>
          <w:tcPr>
            <w:tcW w:w="406" w:type="pct"/>
            <w:tcBorders>
              <w:top w:val="single" w:color="000000" w:sz="4" w:space="0"/>
              <w:left w:val="single" w:color="auto" w:sz="4" w:space="0"/>
              <w:bottom w:val="single" w:color="000000" w:sz="4" w:space="0"/>
              <w:right w:val="single" w:color="000000" w:sz="4" w:space="0"/>
            </w:tcBorders>
            <w:shd w:val="clear" w:color="auto" w:fill="auto"/>
            <w:vAlign w:val="center"/>
          </w:tcPr>
          <w:p w14:paraId="0DD680E7">
            <w:pPr>
              <w:keepNext w:val="0"/>
              <w:keepLines w:val="0"/>
              <w:widowControl/>
              <w:suppressLineNumbers w:val="0"/>
              <w:jc w:val="center"/>
              <w:textAlignment w:val="center"/>
              <w:outlineLvl w:val="9"/>
              <w:rPr>
                <w:rFonts w:hint="default"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sz w:val="18"/>
                <w:szCs w:val="18"/>
                <w:u w:val="none"/>
                <w:lang w:val="en-US" w:eastAsia="zh-CN"/>
              </w:rPr>
              <w:t>食品安全监管完成情况</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F7C6">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5</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61B60">
            <w:pPr>
              <w:keepNext w:val="0"/>
              <w:keepLines w:val="0"/>
              <w:widowControl/>
              <w:suppressLineNumbers w:val="0"/>
              <w:jc w:val="left"/>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评价部门履行职责的目标任务实现程度，用以反映和考核部门2023年度市场监督管理局业务数量达标情况。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7123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814EE">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w:t>
            </w:r>
            <w:r>
              <w:rPr>
                <w:rFonts w:hint="default" w:ascii="仿宋" w:hAnsi="仿宋" w:eastAsia="仿宋" w:cs="仿宋"/>
                <w:i w:val="0"/>
                <w:iCs w:val="0"/>
                <w:color w:val="000000"/>
                <w:kern w:val="0"/>
                <w:sz w:val="18"/>
                <w:szCs w:val="18"/>
                <w:u w:val="none"/>
                <w:lang w:val="en-US" w:eastAsia="zh-CN" w:bidi="ar"/>
              </w:rPr>
              <w:t>完成3家食品生产企业质量管理体系认证三年提升</w:t>
            </w:r>
            <w:r>
              <w:rPr>
                <w:rFonts w:hint="eastAsia" w:ascii="仿宋" w:hAnsi="仿宋" w:eastAsia="仿宋" w:cs="仿宋"/>
                <w:i w:val="0"/>
                <w:iCs w:val="0"/>
                <w:color w:val="000000"/>
                <w:kern w:val="0"/>
                <w:sz w:val="18"/>
                <w:szCs w:val="18"/>
                <w:u w:val="none"/>
                <w:lang w:val="en-US" w:eastAsia="zh-CN" w:bidi="ar"/>
              </w:rPr>
              <w:t>，得2分，否则按比例得分；</w:t>
            </w:r>
          </w:p>
          <w:p w14:paraId="3D20C109">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2.开展食品安全线上线下培训，得1分，否则不得分。</w:t>
            </w:r>
          </w:p>
          <w:p w14:paraId="4928E1FD">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3.落实食品安全责任1240家，得1分，否则按比例得分。</w:t>
            </w:r>
          </w:p>
          <w:p w14:paraId="4EC0FEE5">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sz w:val="18"/>
                <w:szCs w:val="18"/>
                <w:lang w:val="en-US" w:eastAsia="zh-CN"/>
              </w:rPr>
            </w:pPr>
            <w:r>
              <w:rPr>
                <w:rFonts w:hint="eastAsia" w:ascii="仿宋" w:hAnsi="仿宋" w:eastAsia="仿宋" w:cs="仿宋"/>
                <w:i w:val="0"/>
                <w:iCs w:val="0"/>
                <w:color w:val="000000"/>
                <w:kern w:val="0"/>
                <w:sz w:val="18"/>
                <w:szCs w:val="18"/>
                <w:u w:val="none"/>
                <w:lang w:val="en-US" w:eastAsia="zh-CN" w:bidi="ar"/>
              </w:rPr>
              <w:t>4.2023年无重大食品安全发生，得1分，否则不得分。</w:t>
            </w:r>
          </w:p>
        </w:tc>
      </w:tr>
      <w:tr w14:paraId="73589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9" w:hRule="atLeast"/>
          <w:jc w:val="center"/>
        </w:trPr>
        <w:tc>
          <w:tcPr>
            <w:tcW w:w="352" w:type="pct"/>
            <w:vMerge w:val="continue"/>
            <w:tcBorders>
              <w:left w:val="single" w:color="auto" w:sz="4" w:space="0"/>
              <w:right w:val="single" w:color="auto" w:sz="4" w:space="0"/>
            </w:tcBorders>
            <w:shd w:val="clear" w:color="auto" w:fill="auto"/>
            <w:vAlign w:val="center"/>
          </w:tcPr>
          <w:p w14:paraId="27A0C965">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outlineLvl w:val="9"/>
              <w:rPr>
                <w:rFonts w:hint="eastAsia" w:ascii="仿宋" w:hAnsi="仿宋" w:eastAsia="仿宋" w:cs="仿宋"/>
                <w:i w:val="0"/>
                <w:iCs w:val="0"/>
                <w:color w:val="000000"/>
                <w:kern w:val="0"/>
                <w:sz w:val="18"/>
                <w:szCs w:val="18"/>
                <w:u w:val="none"/>
                <w:lang w:val="en-US" w:eastAsia="zh-CN" w:bidi="ar"/>
              </w:rPr>
            </w:pPr>
          </w:p>
        </w:tc>
        <w:tc>
          <w:tcPr>
            <w:tcW w:w="364" w:type="pct"/>
            <w:vMerge w:val="continue"/>
            <w:tcBorders>
              <w:left w:val="single" w:color="auto" w:sz="4" w:space="0"/>
              <w:right w:val="single" w:color="auto" w:sz="4" w:space="0"/>
            </w:tcBorders>
            <w:shd w:val="clear" w:color="auto" w:fill="auto"/>
            <w:vAlign w:val="center"/>
          </w:tcPr>
          <w:p w14:paraId="2D8E589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p>
        </w:tc>
        <w:tc>
          <w:tcPr>
            <w:tcW w:w="406" w:type="pct"/>
            <w:tcBorders>
              <w:top w:val="single" w:color="000000" w:sz="4" w:space="0"/>
              <w:left w:val="single" w:color="auto" w:sz="4" w:space="0"/>
              <w:bottom w:val="single" w:color="000000" w:sz="4" w:space="0"/>
              <w:right w:val="single" w:color="000000" w:sz="4" w:space="0"/>
            </w:tcBorders>
            <w:shd w:val="clear" w:color="auto" w:fill="auto"/>
            <w:vAlign w:val="center"/>
          </w:tcPr>
          <w:p w14:paraId="4D20312C">
            <w:pPr>
              <w:keepNext w:val="0"/>
              <w:keepLines w:val="0"/>
              <w:widowControl/>
              <w:suppressLineNumbers w:val="0"/>
              <w:jc w:val="center"/>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重点项目</w:t>
            </w:r>
          </w:p>
          <w:p w14:paraId="25EFBAC3">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完成情况</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C2E5">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6</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E5B8B">
            <w:pPr>
              <w:keepNext w:val="0"/>
              <w:keepLines w:val="0"/>
              <w:widowControl/>
              <w:suppressLineNumbers w:val="0"/>
              <w:jc w:val="left"/>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评价部门履行职责的目标任务实现程度，用以反映和考核部门2023年度市场监督管理局业务数量达标情况。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3F13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1C00C">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1.工商行政管理专项经费用于10个基层市场监管所，得1分，否则按比例得分；</w:t>
            </w:r>
          </w:p>
          <w:p w14:paraId="329CD875">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2.2023年完成"个转企"30家以上；得1分，否则按比例得分；</w:t>
            </w:r>
          </w:p>
          <w:p w14:paraId="5FFFC531">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3.购置执法制式服装和标识≤72套；得1分，否则按比例得分</w:t>
            </w:r>
          </w:p>
          <w:p w14:paraId="3BFFA98B">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w:t>
            </w:r>
            <w:r>
              <w:rPr>
                <w:rFonts w:hint="default" w:ascii="仿宋" w:hAnsi="仿宋" w:eastAsia="仿宋" w:cs="仿宋"/>
                <w:i w:val="0"/>
                <w:iCs w:val="0"/>
                <w:color w:val="000000"/>
                <w:kern w:val="0"/>
                <w:sz w:val="18"/>
                <w:szCs w:val="18"/>
                <w:u w:val="none"/>
                <w:lang w:val="en-US" w:eastAsia="zh-CN" w:bidi="ar"/>
              </w:rPr>
              <w:t>下乡检查业务工作次数≥300次</w:t>
            </w:r>
            <w:r>
              <w:rPr>
                <w:rFonts w:hint="eastAsia" w:ascii="仿宋" w:hAnsi="仿宋" w:eastAsia="仿宋" w:cs="仿宋"/>
                <w:i w:val="0"/>
                <w:iCs w:val="0"/>
                <w:color w:val="000000"/>
                <w:kern w:val="0"/>
                <w:sz w:val="18"/>
                <w:szCs w:val="18"/>
                <w:u w:val="none"/>
                <w:lang w:val="en-US" w:eastAsia="zh-CN" w:bidi="ar"/>
              </w:rPr>
              <w:t>，得1分，否则按比例得分。</w:t>
            </w:r>
          </w:p>
          <w:p w14:paraId="72EE1C48">
            <w:pPr>
              <w:outlineLvl w:val="9"/>
              <w:rPr>
                <w:rFonts w:hint="default"/>
                <w:sz w:val="18"/>
                <w:szCs w:val="18"/>
                <w:lang w:val="en-US" w:eastAsia="zh-CN"/>
              </w:rPr>
            </w:pPr>
            <w:r>
              <w:rPr>
                <w:rFonts w:hint="eastAsia" w:ascii="仿宋" w:hAnsi="仿宋" w:eastAsia="仿宋" w:cs="仿宋"/>
                <w:i w:val="0"/>
                <w:iCs w:val="0"/>
                <w:color w:val="000000"/>
                <w:kern w:val="0"/>
                <w:sz w:val="18"/>
                <w:szCs w:val="18"/>
                <w:u w:val="none"/>
                <w:lang w:val="en-US" w:eastAsia="zh-CN" w:bidi="ar"/>
              </w:rPr>
              <w:t>5.完成2家非公企业"五面红旗"示范创建工作，得2分，否则不得分。</w:t>
            </w:r>
          </w:p>
        </w:tc>
      </w:tr>
      <w:tr w14:paraId="19CF9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2" w:hRule="atLeast"/>
          <w:jc w:val="center"/>
        </w:trPr>
        <w:tc>
          <w:tcPr>
            <w:tcW w:w="352" w:type="pct"/>
            <w:vMerge w:val="continue"/>
            <w:tcBorders>
              <w:left w:val="single" w:color="auto" w:sz="4" w:space="0"/>
              <w:right w:val="single" w:color="auto" w:sz="4" w:space="0"/>
            </w:tcBorders>
            <w:shd w:val="clear" w:color="auto" w:fill="auto"/>
            <w:vAlign w:val="center"/>
          </w:tcPr>
          <w:p w14:paraId="5DEA7BC4">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outlineLvl w:val="9"/>
              <w:rPr>
                <w:rFonts w:hint="eastAsia" w:ascii="仿宋" w:hAnsi="仿宋" w:eastAsia="仿宋" w:cs="仿宋"/>
                <w:i w:val="0"/>
                <w:iCs w:val="0"/>
                <w:color w:val="000000"/>
                <w:kern w:val="0"/>
                <w:sz w:val="18"/>
                <w:szCs w:val="18"/>
                <w:u w:val="none"/>
                <w:lang w:val="en-US" w:eastAsia="zh-CN" w:bidi="ar"/>
              </w:rPr>
            </w:pPr>
          </w:p>
        </w:tc>
        <w:tc>
          <w:tcPr>
            <w:tcW w:w="364" w:type="pct"/>
            <w:vMerge w:val="continue"/>
            <w:tcBorders>
              <w:left w:val="single" w:color="auto" w:sz="4" w:space="0"/>
              <w:right w:val="single" w:color="auto" w:sz="4" w:space="0"/>
            </w:tcBorders>
            <w:shd w:val="clear" w:color="auto" w:fill="auto"/>
            <w:vAlign w:val="center"/>
          </w:tcPr>
          <w:p w14:paraId="6B91514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p>
        </w:tc>
        <w:tc>
          <w:tcPr>
            <w:tcW w:w="406" w:type="pct"/>
            <w:tcBorders>
              <w:top w:val="single" w:color="000000" w:sz="4" w:space="0"/>
              <w:left w:val="single" w:color="auto" w:sz="4" w:space="0"/>
              <w:bottom w:val="single" w:color="000000" w:sz="4" w:space="0"/>
              <w:right w:val="single" w:color="000000" w:sz="4" w:space="0"/>
            </w:tcBorders>
            <w:shd w:val="clear" w:color="auto" w:fill="auto"/>
            <w:vAlign w:val="center"/>
          </w:tcPr>
          <w:p w14:paraId="6C6AC878">
            <w:pPr>
              <w:keepNext w:val="0"/>
              <w:keepLines w:val="0"/>
              <w:widowControl/>
              <w:suppressLineNumbers w:val="0"/>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市场秩序监管</w:t>
            </w:r>
            <w:r>
              <w:rPr>
                <w:rFonts w:hint="eastAsia" w:ascii="仿宋" w:hAnsi="仿宋" w:eastAsia="仿宋" w:cs="仿宋"/>
                <w:i w:val="0"/>
                <w:iCs w:val="0"/>
                <w:color w:val="000000"/>
                <w:sz w:val="18"/>
                <w:szCs w:val="18"/>
                <w:u w:val="none"/>
                <w:lang w:val="en-US" w:eastAsia="zh-CN"/>
              </w:rPr>
              <w:t>完成情况</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59151">
            <w:pPr>
              <w:keepNext w:val="0"/>
              <w:keepLines w:val="0"/>
              <w:widowControl/>
              <w:suppressLineNumbers w:val="0"/>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D4AEF">
            <w:pPr>
              <w:keepNext w:val="0"/>
              <w:keepLines w:val="0"/>
              <w:widowControl/>
              <w:suppressLineNumbers w:val="0"/>
              <w:jc w:val="left"/>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评价部门履行职责的目标任务实现程度，用以反映和考核部门2023年度市场监督管理局业务数量达标情况。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A853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43311">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1.建设17家"12315消费维权服务站，得1分，否则按比例得分；</w:t>
            </w:r>
          </w:p>
          <w:p w14:paraId="11FC2811">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2.制定部门联合"双随机、一公开"监管抽查事项清单，全年信用风险分类结果运用率≥70%，得2分，一项未完成扣1分，扣完为止；</w:t>
            </w:r>
          </w:p>
          <w:p w14:paraId="34F60F7A">
            <w:pPr>
              <w:outlineLvl w:val="9"/>
              <w:rPr>
                <w:rFonts w:hint="default"/>
                <w:sz w:val="18"/>
                <w:szCs w:val="18"/>
                <w:lang w:val="en-US" w:eastAsia="zh-CN"/>
              </w:rPr>
            </w:pPr>
            <w:r>
              <w:rPr>
                <w:rFonts w:hint="eastAsia" w:ascii="仿宋" w:hAnsi="仿宋" w:eastAsia="仿宋" w:cs="仿宋"/>
                <w:i w:val="0"/>
                <w:iCs w:val="0"/>
                <w:color w:val="000000"/>
                <w:kern w:val="0"/>
                <w:sz w:val="18"/>
                <w:szCs w:val="18"/>
                <w:highlight w:val="none"/>
                <w:u w:val="none"/>
                <w:lang w:val="en-US" w:eastAsia="zh-CN" w:bidi="ar"/>
              </w:rPr>
              <w:t>3.对消费者的投诉举报处理及时率达到100%得2分，否则按比例得分；</w:t>
            </w:r>
          </w:p>
        </w:tc>
      </w:tr>
      <w:tr w14:paraId="09E20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3" w:hRule="atLeast"/>
          <w:jc w:val="center"/>
        </w:trPr>
        <w:tc>
          <w:tcPr>
            <w:tcW w:w="352" w:type="pct"/>
            <w:vMerge w:val="continue"/>
            <w:tcBorders>
              <w:left w:val="single" w:color="auto" w:sz="4" w:space="0"/>
              <w:right w:val="single" w:color="auto" w:sz="4" w:space="0"/>
            </w:tcBorders>
            <w:shd w:val="clear" w:color="auto" w:fill="auto"/>
            <w:vAlign w:val="center"/>
          </w:tcPr>
          <w:p w14:paraId="0492EE3F">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tcBorders>
              <w:top w:val="single" w:color="auto" w:sz="4" w:space="0"/>
              <w:left w:val="single" w:color="auto" w:sz="4" w:space="0"/>
              <w:right w:val="single" w:color="auto" w:sz="4" w:space="0"/>
            </w:tcBorders>
            <w:shd w:val="clear" w:color="auto" w:fill="auto"/>
            <w:vAlign w:val="center"/>
          </w:tcPr>
          <w:p w14:paraId="5101C111">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目标任务完成质量（5分）</w:t>
            </w:r>
          </w:p>
        </w:tc>
        <w:tc>
          <w:tcPr>
            <w:tcW w:w="406" w:type="pct"/>
            <w:tcBorders>
              <w:top w:val="single" w:color="000000" w:sz="4" w:space="0"/>
              <w:left w:val="single" w:color="auto" w:sz="4" w:space="0"/>
              <w:bottom w:val="single" w:color="000000" w:sz="4" w:space="0"/>
              <w:right w:val="single" w:color="000000" w:sz="4" w:space="0"/>
            </w:tcBorders>
            <w:shd w:val="clear" w:color="auto" w:fill="auto"/>
            <w:vAlign w:val="center"/>
          </w:tcPr>
          <w:p w14:paraId="655A76BF">
            <w:pPr>
              <w:keepNext w:val="0"/>
              <w:keepLines w:val="0"/>
              <w:widowControl/>
              <w:suppressLineNumbers w:val="0"/>
              <w:jc w:val="center"/>
              <w:textAlignment w:val="center"/>
              <w:outlineLvl w:val="9"/>
              <w:rPr>
                <w:rFonts w:hint="default"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2"/>
                <w:sz w:val="18"/>
                <w:szCs w:val="18"/>
                <w:u w:val="none"/>
                <w:lang w:val="en-US" w:eastAsia="zh-CN" w:bidi="ar-SA"/>
              </w:rPr>
              <w:t>目标质量达标情况</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B63DC">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5</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F1B23">
            <w:pPr>
              <w:keepNext w:val="0"/>
              <w:keepLines w:val="0"/>
              <w:widowControl/>
              <w:suppressLineNumbers w:val="0"/>
              <w:jc w:val="left"/>
              <w:textAlignment w:val="center"/>
              <w:outlineLvl w:val="9"/>
              <w:rPr>
                <w:rFonts w:hint="default" w:ascii="仿宋" w:hAnsi="仿宋" w:eastAsia="仿宋" w:cs="仿宋"/>
                <w:i w:val="0"/>
                <w:iCs w:val="0"/>
                <w:color w:val="000000"/>
                <w:kern w:val="2"/>
                <w:sz w:val="18"/>
                <w:szCs w:val="18"/>
                <w:u w:val="none"/>
                <w:lang w:val="en-US" w:eastAsia="zh-CN" w:bidi="ar-SA"/>
              </w:rPr>
            </w:pPr>
            <w:r>
              <w:rPr>
                <w:rFonts w:hint="eastAsia" w:ascii="仿宋" w:hAnsi="仿宋" w:eastAsia="仿宋" w:cs="仿宋"/>
                <w:i w:val="0"/>
                <w:iCs w:val="0"/>
                <w:color w:val="000000"/>
                <w:kern w:val="0"/>
                <w:sz w:val="18"/>
                <w:szCs w:val="18"/>
                <w:highlight w:val="none"/>
                <w:u w:val="none"/>
                <w:lang w:val="en-US" w:eastAsia="zh-CN" w:bidi="ar"/>
              </w:rPr>
              <w:t>评价部门履行职责的目标任务完成质量，用以反映和考核部门当年度工作业务质量达标情况。</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D2C7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756C8">
            <w:pPr>
              <w:numPr>
                <w:ilvl w:val="0"/>
                <w:numId w:val="0"/>
              </w:numP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1.1240家食品安全主体责任“三类人”“四件事”“四本账”落实到位，得2分，未落实到位不得分；</w:t>
            </w:r>
          </w:p>
          <w:p w14:paraId="40DAB76F">
            <w:pPr>
              <w:pStyle w:val="2"/>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2.8大类工业产品抽检批次合格率100%，得2分，否则按比例得分；</w:t>
            </w:r>
          </w:p>
          <w:p w14:paraId="0961525B">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default"/>
                <w:sz w:val="18"/>
                <w:szCs w:val="18"/>
                <w:lang w:val="en-US" w:eastAsia="zh-CN"/>
              </w:rPr>
            </w:pPr>
            <w:r>
              <w:rPr>
                <w:rFonts w:hint="eastAsia" w:ascii="仿宋" w:hAnsi="仿宋" w:eastAsia="仿宋" w:cs="仿宋"/>
                <w:i w:val="0"/>
                <w:iCs w:val="0"/>
                <w:color w:val="000000"/>
                <w:kern w:val="0"/>
                <w:sz w:val="18"/>
                <w:szCs w:val="18"/>
                <w:u w:val="none"/>
                <w:lang w:val="en-US" w:eastAsia="zh-CN" w:bidi="ar"/>
              </w:rPr>
              <w:t>3.处置投诉食品安全方面满意率100%，得1分，否则按比例得分；</w:t>
            </w:r>
          </w:p>
        </w:tc>
      </w:tr>
      <w:tr w14:paraId="7DF0F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0" w:hRule="atLeast"/>
          <w:jc w:val="center"/>
        </w:trPr>
        <w:tc>
          <w:tcPr>
            <w:tcW w:w="352" w:type="pct"/>
            <w:vMerge w:val="continue"/>
            <w:tcBorders>
              <w:left w:val="single" w:color="000000" w:sz="4" w:space="0"/>
              <w:right w:val="single" w:color="000000" w:sz="4" w:space="0"/>
            </w:tcBorders>
            <w:shd w:val="clear" w:color="auto" w:fill="auto"/>
            <w:vAlign w:val="center"/>
          </w:tcPr>
          <w:p w14:paraId="66C4C80C">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tcBorders>
              <w:top w:val="single" w:color="000000" w:sz="4" w:space="0"/>
              <w:left w:val="single" w:color="000000" w:sz="4" w:space="0"/>
              <w:bottom w:val="single" w:color="auto" w:sz="4" w:space="0"/>
              <w:right w:val="single" w:color="000000" w:sz="4" w:space="0"/>
            </w:tcBorders>
            <w:shd w:val="clear" w:color="auto" w:fill="auto"/>
            <w:vAlign w:val="center"/>
          </w:tcPr>
          <w:p w14:paraId="0168BA0A">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目标任务完成及时性（2分）</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14:paraId="6E9D6677">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highlight w:val="yellow"/>
                <w:u w:val="none"/>
                <w:lang w:val="en-US"/>
              </w:rPr>
            </w:pPr>
            <w:r>
              <w:rPr>
                <w:rFonts w:hint="eastAsia" w:ascii="仿宋" w:hAnsi="仿宋" w:eastAsia="仿宋" w:cs="仿宋"/>
                <w:i w:val="0"/>
                <w:iCs w:val="0"/>
                <w:color w:val="000000"/>
                <w:kern w:val="0"/>
                <w:sz w:val="18"/>
                <w:szCs w:val="18"/>
                <w:highlight w:val="none"/>
                <w:u w:val="none"/>
                <w:lang w:val="en-US" w:eastAsia="zh-CN" w:bidi="ar"/>
              </w:rPr>
              <w:t>目标任务产出时效</w:t>
            </w:r>
          </w:p>
        </w:tc>
        <w:tc>
          <w:tcPr>
            <w:tcW w:w="249" w:type="pct"/>
            <w:tcBorders>
              <w:top w:val="single" w:color="000000" w:sz="4" w:space="0"/>
              <w:left w:val="single" w:color="000000" w:sz="4" w:space="0"/>
              <w:bottom w:val="single" w:color="auto" w:sz="4" w:space="0"/>
              <w:right w:val="single" w:color="000000" w:sz="4" w:space="0"/>
            </w:tcBorders>
            <w:shd w:val="clear" w:color="auto" w:fill="auto"/>
            <w:vAlign w:val="center"/>
          </w:tcPr>
          <w:p w14:paraId="54074B4A">
            <w:pPr>
              <w:keepNext w:val="0"/>
              <w:keepLines w:val="0"/>
              <w:widowControl/>
              <w:suppressLineNumbers w:val="0"/>
              <w:jc w:val="center"/>
              <w:textAlignment w:val="center"/>
              <w:outlineLvl w:val="9"/>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2</w:t>
            </w:r>
          </w:p>
        </w:tc>
        <w:tc>
          <w:tcPr>
            <w:tcW w:w="1009" w:type="pct"/>
            <w:tcBorders>
              <w:top w:val="single" w:color="000000" w:sz="4" w:space="0"/>
              <w:left w:val="single" w:color="000000" w:sz="4" w:space="0"/>
              <w:bottom w:val="single" w:color="auto" w:sz="4" w:space="0"/>
              <w:right w:val="single" w:color="000000" w:sz="4" w:space="0"/>
            </w:tcBorders>
            <w:shd w:val="clear" w:color="auto" w:fill="auto"/>
            <w:vAlign w:val="center"/>
          </w:tcPr>
          <w:p w14:paraId="1D627FE5">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仿宋" w:hAnsi="仿宋" w:eastAsia="仿宋" w:cs="仿宋"/>
                <w:i w:val="0"/>
                <w:iCs w:val="0"/>
                <w:color w:val="000000"/>
                <w:kern w:val="2"/>
                <w:sz w:val="18"/>
                <w:szCs w:val="18"/>
                <w:highlight w:val="none"/>
                <w:u w:val="none"/>
                <w:lang w:val="en-US" w:eastAsia="zh-CN" w:bidi="ar-SA"/>
              </w:rPr>
            </w:pPr>
            <w:r>
              <w:rPr>
                <w:rFonts w:hint="eastAsia" w:ascii="仿宋" w:hAnsi="仿宋" w:eastAsia="仿宋" w:cs="仿宋"/>
                <w:i w:val="0"/>
                <w:iCs w:val="0"/>
                <w:color w:val="000000"/>
                <w:kern w:val="0"/>
                <w:sz w:val="18"/>
                <w:szCs w:val="18"/>
                <w:highlight w:val="none"/>
                <w:u w:val="none"/>
                <w:lang w:val="en-US" w:eastAsia="zh-CN" w:bidi="ar"/>
              </w:rPr>
              <w:t>部门完成目标任务的时间是否超出计划标准或时间要求，用以反映和考核部门当年度目标工作业务完成及时情况。</w:t>
            </w:r>
          </w:p>
        </w:tc>
        <w:tc>
          <w:tcPr>
            <w:tcW w:w="219" w:type="pct"/>
            <w:tcBorders>
              <w:top w:val="single" w:color="000000" w:sz="4" w:space="0"/>
              <w:left w:val="single" w:color="000000" w:sz="4" w:space="0"/>
              <w:bottom w:val="single" w:color="auto" w:sz="4" w:space="0"/>
              <w:right w:val="single" w:color="000000" w:sz="4" w:space="0"/>
            </w:tcBorders>
            <w:shd w:val="clear" w:color="auto" w:fill="auto"/>
            <w:vAlign w:val="center"/>
          </w:tcPr>
          <w:p w14:paraId="7CF9124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auto" w:sz="4" w:space="0"/>
              <w:right w:val="single" w:color="000000" w:sz="4" w:space="0"/>
            </w:tcBorders>
            <w:shd w:val="clear" w:color="auto" w:fill="auto"/>
            <w:vAlign w:val="center"/>
          </w:tcPr>
          <w:p w14:paraId="55B7C08F">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default" w:ascii="仿宋" w:hAnsi="仿宋" w:eastAsia="仿宋" w:cs="仿宋"/>
                <w:i w:val="0"/>
                <w:iCs w:val="0"/>
                <w:color w:val="000000"/>
                <w:sz w:val="18"/>
                <w:szCs w:val="18"/>
                <w:highlight w:val="yellow"/>
                <w:u w:val="none"/>
                <w:lang w:val="en-US" w:eastAsia="zh-CN"/>
              </w:rPr>
            </w:pPr>
            <w:r>
              <w:rPr>
                <w:rFonts w:hint="eastAsia" w:ascii="仿宋" w:hAnsi="仿宋" w:eastAsia="仿宋" w:cs="仿宋"/>
                <w:i w:val="0"/>
                <w:iCs w:val="0"/>
                <w:color w:val="000000"/>
                <w:sz w:val="18"/>
                <w:szCs w:val="18"/>
                <w:highlight w:val="none"/>
                <w:u w:val="none"/>
                <w:lang w:val="en-US" w:eastAsia="zh-CN"/>
              </w:rPr>
              <w:t>目标完成时间符合既定的计划标准或时间要求，得2分，否则每延迟30天，扣0.5分，扣完为止。</w:t>
            </w:r>
          </w:p>
        </w:tc>
      </w:tr>
      <w:tr w14:paraId="17880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352" w:type="pct"/>
            <w:vMerge w:val="continue"/>
            <w:tcBorders>
              <w:left w:val="single" w:color="000000" w:sz="4" w:space="0"/>
              <w:bottom w:val="single" w:color="000000" w:sz="4" w:space="0"/>
              <w:right w:val="single" w:color="000000" w:sz="4" w:space="0"/>
            </w:tcBorders>
            <w:shd w:val="clear" w:color="auto" w:fill="auto"/>
            <w:vAlign w:val="center"/>
          </w:tcPr>
          <w:p w14:paraId="0F842D0B">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tcBorders>
              <w:top w:val="single" w:color="auto" w:sz="4" w:space="0"/>
              <w:left w:val="single" w:color="auto" w:sz="4" w:space="0"/>
              <w:bottom w:val="single" w:color="auto" w:sz="4" w:space="0"/>
              <w:right w:val="single" w:color="000000" w:sz="4" w:space="0"/>
            </w:tcBorders>
            <w:shd w:val="clear" w:color="auto" w:fill="auto"/>
            <w:vAlign w:val="center"/>
          </w:tcPr>
          <w:p w14:paraId="35BE2D8B">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运行成本控制有效性（3分）</w:t>
            </w:r>
          </w:p>
        </w:tc>
        <w:tc>
          <w:tcPr>
            <w:tcW w:w="406" w:type="pct"/>
            <w:tcBorders>
              <w:top w:val="single" w:color="auto" w:sz="4" w:space="0"/>
              <w:left w:val="single" w:color="000000" w:sz="4" w:space="0"/>
              <w:bottom w:val="single" w:color="auto" w:sz="4" w:space="0"/>
              <w:right w:val="single" w:color="000000" w:sz="4" w:space="0"/>
            </w:tcBorders>
            <w:shd w:val="clear" w:color="auto" w:fill="auto"/>
            <w:vAlign w:val="center"/>
          </w:tcPr>
          <w:p w14:paraId="7F6FD8B4">
            <w:pPr>
              <w:keepNext w:val="0"/>
              <w:keepLines w:val="0"/>
              <w:widowControl/>
              <w:suppressLineNumbers w:val="0"/>
              <w:jc w:val="center"/>
              <w:textAlignment w:val="center"/>
              <w:outlineLvl w:val="9"/>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成本控制情况</w:t>
            </w:r>
          </w:p>
        </w:tc>
        <w:tc>
          <w:tcPr>
            <w:tcW w:w="249" w:type="pct"/>
            <w:tcBorders>
              <w:top w:val="single" w:color="auto" w:sz="4" w:space="0"/>
              <w:left w:val="single" w:color="000000" w:sz="4" w:space="0"/>
              <w:bottom w:val="single" w:color="auto" w:sz="4" w:space="0"/>
              <w:right w:val="single" w:color="000000" w:sz="4" w:space="0"/>
            </w:tcBorders>
            <w:shd w:val="clear" w:color="auto" w:fill="auto"/>
            <w:vAlign w:val="center"/>
          </w:tcPr>
          <w:p w14:paraId="71A1BDD0">
            <w:pPr>
              <w:keepNext w:val="0"/>
              <w:keepLines w:val="0"/>
              <w:widowControl/>
              <w:suppressLineNumbers w:val="0"/>
              <w:jc w:val="center"/>
              <w:textAlignment w:val="center"/>
              <w:outlineLvl w:val="9"/>
              <w:rPr>
                <w:rFonts w:hint="eastAsia" w:ascii="仿宋" w:hAnsi="仿宋" w:eastAsia="仿宋" w:cs="仿宋"/>
                <w:i w:val="0"/>
                <w:iCs w:val="0"/>
                <w:color w:val="000000"/>
                <w:sz w:val="18"/>
                <w:szCs w:val="18"/>
                <w:highlight w:val="yellow"/>
                <w:u w:val="none"/>
                <w:lang w:val="en-US" w:eastAsia="zh-CN"/>
              </w:rPr>
            </w:pPr>
            <w:r>
              <w:rPr>
                <w:rFonts w:hint="eastAsia" w:ascii="仿宋" w:hAnsi="仿宋" w:eastAsia="仿宋" w:cs="仿宋"/>
                <w:i w:val="0"/>
                <w:iCs w:val="0"/>
                <w:color w:val="000000"/>
                <w:sz w:val="18"/>
                <w:szCs w:val="18"/>
                <w:highlight w:val="none"/>
                <w:u w:val="none"/>
                <w:lang w:val="en-US" w:eastAsia="zh-CN"/>
              </w:rPr>
              <w:t>3</w:t>
            </w:r>
          </w:p>
        </w:tc>
        <w:tc>
          <w:tcPr>
            <w:tcW w:w="1009" w:type="pct"/>
            <w:tcBorders>
              <w:top w:val="single" w:color="auto" w:sz="4" w:space="0"/>
              <w:left w:val="single" w:color="000000" w:sz="4" w:space="0"/>
              <w:bottom w:val="single" w:color="auto" w:sz="4" w:space="0"/>
              <w:right w:val="single" w:color="000000" w:sz="4" w:space="0"/>
            </w:tcBorders>
            <w:shd w:val="clear" w:color="auto" w:fill="auto"/>
            <w:vAlign w:val="center"/>
          </w:tcPr>
          <w:p w14:paraId="15277405">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仿宋" w:hAnsi="仿宋" w:eastAsia="仿宋" w:cs="仿宋"/>
                <w:i w:val="0"/>
                <w:iCs w:val="0"/>
                <w:color w:val="000000"/>
                <w:kern w:val="0"/>
                <w:sz w:val="18"/>
                <w:szCs w:val="18"/>
                <w:highlight w:val="yellow"/>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评价部门运行和重点项目实施过程中人员、三公、公用经费的控制率，用以评价部门整体支出成本的控制情况。</w:t>
            </w:r>
          </w:p>
        </w:tc>
        <w:tc>
          <w:tcPr>
            <w:tcW w:w="219" w:type="pct"/>
            <w:tcBorders>
              <w:top w:val="single" w:color="auto" w:sz="4" w:space="0"/>
              <w:left w:val="single" w:color="000000" w:sz="4" w:space="0"/>
              <w:bottom w:val="single" w:color="auto" w:sz="4" w:space="0"/>
              <w:right w:val="single" w:color="000000" w:sz="4" w:space="0"/>
            </w:tcBorders>
            <w:shd w:val="clear" w:color="auto" w:fill="auto"/>
            <w:vAlign w:val="center"/>
          </w:tcPr>
          <w:p w14:paraId="73FB221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auto" w:sz="4" w:space="0"/>
              <w:left w:val="single" w:color="000000" w:sz="4" w:space="0"/>
              <w:bottom w:val="single" w:color="auto" w:sz="4" w:space="0"/>
              <w:right w:val="single" w:color="000000" w:sz="4" w:space="0"/>
            </w:tcBorders>
            <w:shd w:val="clear" w:color="auto" w:fill="auto"/>
            <w:vAlign w:val="center"/>
          </w:tcPr>
          <w:p w14:paraId="73320D26">
            <w:pPr>
              <w:pStyle w:val="2"/>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①公用经费控制率≤100%，得1分，≥105%，得0分，100%-105%之间，按比例计算确定；</w:t>
            </w:r>
          </w:p>
          <w:p w14:paraId="383FB544">
            <w:pPr>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②三公经费控制率≤100%，得1分，&gt;100%，得0分；</w:t>
            </w:r>
          </w:p>
          <w:p w14:paraId="33D9CC93">
            <w:pPr>
              <w:pStyle w:val="3"/>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textAlignment w:val="auto"/>
              <w:outlineLvl w:val="9"/>
              <w:rPr>
                <w:rFonts w:hint="eastAsia" w:ascii="仿宋" w:hAnsi="仿宋" w:eastAsia="仿宋" w:cs="仿宋"/>
                <w:i w:val="0"/>
                <w:iCs w:val="0"/>
                <w:color w:val="000000"/>
                <w:kern w:val="0"/>
                <w:sz w:val="18"/>
                <w:szCs w:val="18"/>
                <w:highlight w:val="yellow"/>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③人员经费控制率≤100%，得1分，≥105%，得0分，100%-105%之间，按比例计算确定。</w:t>
            </w:r>
          </w:p>
        </w:tc>
      </w:tr>
    </w:tbl>
    <w:p w14:paraId="17679849">
      <w:pPr>
        <w:jc w:val="center"/>
        <w:outlineLvl w:val="9"/>
        <w:rPr>
          <w:rFonts w:hint="eastAsia" w:ascii="仿宋" w:hAnsi="仿宋" w:eastAsia="仿宋" w:cs="仿宋"/>
          <w:b/>
          <w:bCs/>
          <w:i w:val="0"/>
          <w:iCs w:val="0"/>
          <w:color w:val="000000"/>
          <w:kern w:val="0"/>
          <w:sz w:val="32"/>
          <w:szCs w:val="32"/>
          <w:u w:val="none"/>
          <w:lang w:val="en-US" w:eastAsia="zh-CN" w:bidi="ar"/>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362C28">
      <w:pPr>
        <w:jc w:val="center"/>
        <w:outlineLvl w:val="9"/>
        <w:rPr>
          <w:rFonts w:hint="default"/>
          <w:sz w:val="32"/>
          <w:szCs w:val="32"/>
          <w:lang w:val="en-US" w:eastAsia="zh-CN"/>
        </w:rPr>
      </w:pPr>
      <w:r>
        <w:rPr>
          <w:rFonts w:hint="eastAsia" w:ascii="仿宋" w:hAnsi="仿宋" w:eastAsia="仿宋" w:cs="仿宋"/>
          <w:b/>
          <w:bCs/>
          <w:i w:val="0"/>
          <w:iCs w:val="0"/>
          <w:color w:val="000000"/>
          <w:kern w:val="0"/>
          <w:sz w:val="32"/>
          <w:szCs w:val="32"/>
          <w:u w:val="none"/>
          <w:lang w:val="en-US" w:eastAsia="zh-CN" w:bidi="ar"/>
        </w:rPr>
        <w:t>永济市市场监督管理局2023年部门整体支出绩效评价指标表（部门效果）</w:t>
      </w:r>
    </w:p>
    <w:tbl>
      <w:tblPr>
        <w:tblStyle w:val="11"/>
        <w:tblW w:w="485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9"/>
        <w:gridCol w:w="1002"/>
        <w:gridCol w:w="1118"/>
        <w:gridCol w:w="685"/>
        <w:gridCol w:w="2778"/>
        <w:gridCol w:w="603"/>
        <w:gridCol w:w="6602"/>
      </w:tblGrid>
      <w:tr w14:paraId="3E70D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jc w:val="center"/>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0629B">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一级指标</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4A071">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二级指标</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78AB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三级指标</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576C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权重</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F77BE">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指标解释</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DEF1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评分依据</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819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评分标准</w:t>
            </w:r>
          </w:p>
        </w:tc>
      </w:tr>
      <w:tr w14:paraId="6323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jc w:val="center"/>
        </w:trPr>
        <w:tc>
          <w:tcPr>
            <w:tcW w:w="352" w:type="pct"/>
            <w:vMerge w:val="restart"/>
            <w:tcBorders>
              <w:left w:val="single" w:color="000000" w:sz="4" w:space="0"/>
              <w:right w:val="single" w:color="000000" w:sz="4" w:space="0"/>
            </w:tcBorders>
            <w:shd w:val="clear" w:color="auto" w:fill="auto"/>
            <w:vAlign w:val="center"/>
          </w:tcPr>
          <w:p w14:paraId="66364F18">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部门效果（15分）</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74E37FE5">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社会效益（8分）</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65D4A">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保障食品安全</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050A7">
            <w:pPr>
              <w:keepNext w:val="0"/>
              <w:keepLines w:val="0"/>
              <w:widowControl/>
              <w:suppressLineNumbers w:val="0"/>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64B7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评价市场监督管理局各项工作和重点项目所带来的直接或间接影响，用以反映和考核部门履职对社会发展的影响程度。</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C1A63">
            <w:pPr>
              <w:keepNext w:val="0"/>
              <w:keepLines w:val="0"/>
              <w:widowControl/>
              <w:suppressLineNumbers w:val="0"/>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172C6">
            <w:pPr>
              <w:pStyle w:val="2"/>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default"/>
                <w:sz w:val="18"/>
                <w:szCs w:val="18"/>
                <w:lang w:val="en-US" w:eastAsia="zh-CN"/>
              </w:rPr>
            </w:pPr>
            <w:r>
              <w:rPr>
                <w:rFonts w:hint="default" w:ascii="仿宋" w:hAnsi="仿宋" w:eastAsia="仿宋" w:cs="仿宋"/>
                <w:i w:val="0"/>
                <w:iCs w:val="0"/>
                <w:color w:val="000000"/>
                <w:kern w:val="0"/>
                <w:sz w:val="18"/>
                <w:szCs w:val="18"/>
                <w:highlight w:val="none"/>
                <w:u w:val="none"/>
                <w:lang w:val="en-US" w:eastAsia="zh-CN" w:bidi="ar"/>
              </w:rPr>
              <w:t>市场监督管理局通过</w:t>
            </w:r>
            <w:r>
              <w:rPr>
                <w:rFonts w:hint="eastAsia" w:ascii="仿宋" w:hAnsi="仿宋" w:eastAsia="仿宋" w:cs="仿宋"/>
                <w:i w:val="0"/>
                <w:iCs w:val="0"/>
                <w:color w:val="000000"/>
                <w:kern w:val="0"/>
                <w:sz w:val="18"/>
                <w:szCs w:val="18"/>
                <w:highlight w:val="none"/>
                <w:u w:val="none"/>
                <w:lang w:val="en-US" w:eastAsia="zh-CN" w:bidi="ar"/>
              </w:rPr>
              <w:t>对全市食品生产、流通、餐饮环节食品安全有效的监督管理工作</w:t>
            </w:r>
            <w:r>
              <w:rPr>
                <w:rFonts w:hint="default" w:ascii="仿宋" w:hAnsi="仿宋" w:eastAsia="仿宋" w:cs="仿宋"/>
                <w:i w:val="0"/>
                <w:iCs w:val="0"/>
                <w:color w:val="000000"/>
                <w:kern w:val="0"/>
                <w:sz w:val="18"/>
                <w:szCs w:val="18"/>
                <w:highlight w:val="none"/>
                <w:u w:val="none"/>
                <w:lang w:val="en-US" w:eastAsia="zh-CN" w:bidi="ar"/>
              </w:rPr>
              <w:t>，减少食品安全事故的发生，提高公众对食品安全的满意度</w:t>
            </w:r>
            <w:r>
              <w:rPr>
                <w:rFonts w:hint="eastAsia" w:ascii="仿宋" w:hAnsi="仿宋" w:eastAsia="仿宋" w:cs="仿宋"/>
                <w:i w:val="0"/>
                <w:iCs w:val="0"/>
                <w:color w:val="000000"/>
                <w:kern w:val="0"/>
                <w:sz w:val="18"/>
                <w:szCs w:val="18"/>
                <w:highlight w:val="none"/>
                <w:u w:val="none"/>
                <w:lang w:val="en-US" w:eastAsia="zh-CN" w:bidi="ar"/>
              </w:rPr>
              <w:t>，</w:t>
            </w:r>
            <w:r>
              <w:rPr>
                <w:rFonts w:hint="default" w:ascii="仿宋" w:hAnsi="仿宋" w:eastAsia="仿宋" w:cs="仿宋"/>
                <w:i w:val="0"/>
                <w:iCs w:val="0"/>
                <w:color w:val="000000"/>
                <w:kern w:val="0"/>
                <w:sz w:val="18"/>
                <w:szCs w:val="18"/>
                <w:highlight w:val="none"/>
                <w:u w:val="none"/>
                <w:lang w:val="en-US" w:eastAsia="zh-CN" w:bidi="ar"/>
              </w:rPr>
              <w:t>让市民</w:t>
            </w:r>
            <w:r>
              <w:rPr>
                <w:rFonts w:hint="eastAsia" w:ascii="仿宋" w:hAnsi="仿宋" w:eastAsia="仿宋" w:cs="仿宋"/>
                <w:i w:val="0"/>
                <w:iCs w:val="0"/>
                <w:color w:val="000000"/>
                <w:kern w:val="0"/>
                <w:sz w:val="18"/>
                <w:szCs w:val="18"/>
                <w:highlight w:val="none"/>
                <w:u w:val="none"/>
                <w:lang w:val="en-US" w:eastAsia="zh-CN" w:bidi="ar"/>
              </w:rPr>
              <w:t>的食品安全得到</w:t>
            </w:r>
            <w:r>
              <w:rPr>
                <w:rFonts w:hint="default" w:ascii="仿宋" w:hAnsi="仿宋" w:eastAsia="仿宋" w:cs="仿宋"/>
                <w:i w:val="0"/>
                <w:iCs w:val="0"/>
                <w:color w:val="000000"/>
                <w:kern w:val="0"/>
                <w:sz w:val="18"/>
                <w:szCs w:val="18"/>
                <w:highlight w:val="none"/>
                <w:u w:val="none"/>
                <w:lang w:val="en-US" w:eastAsia="zh-CN" w:bidi="ar"/>
              </w:rPr>
              <w:t>保障，增强市民对政府的信任和支持</w:t>
            </w:r>
            <w:r>
              <w:rPr>
                <w:rFonts w:hint="eastAsia" w:ascii="仿宋" w:hAnsi="仿宋" w:eastAsia="仿宋" w:cs="仿宋"/>
                <w:i w:val="0"/>
                <w:iCs w:val="0"/>
                <w:color w:val="000000"/>
                <w:kern w:val="0"/>
                <w:sz w:val="18"/>
                <w:szCs w:val="18"/>
                <w:highlight w:val="none"/>
                <w:u w:val="none"/>
                <w:lang w:val="en-US" w:eastAsia="zh-CN" w:bidi="ar"/>
              </w:rPr>
              <w:t>，得2分，否则不得分。</w:t>
            </w:r>
          </w:p>
        </w:tc>
      </w:tr>
      <w:tr w14:paraId="51C2D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jc w:val="center"/>
        </w:trPr>
        <w:tc>
          <w:tcPr>
            <w:tcW w:w="352" w:type="pct"/>
            <w:vMerge w:val="continue"/>
            <w:tcBorders>
              <w:left w:val="single" w:color="000000" w:sz="4" w:space="0"/>
              <w:right w:val="single" w:color="000000" w:sz="4" w:space="0"/>
            </w:tcBorders>
            <w:shd w:val="clear" w:color="auto" w:fill="auto"/>
            <w:vAlign w:val="center"/>
          </w:tcPr>
          <w:p w14:paraId="604873ED">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7A247842">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lang w:val="en-US" w:eastAsia="zh-CN"/>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2DCE2">
            <w:pPr>
              <w:keepNext w:val="0"/>
              <w:keepLines w:val="0"/>
              <w:widowControl/>
              <w:suppressLineNumbers w:val="0"/>
              <w:jc w:val="center"/>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营造安全放心消费环境</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541C6">
            <w:pPr>
              <w:keepNext w:val="0"/>
              <w:keepLines w:val="0"/>
              <w:widowControl/>
              <w:suppressLineNumbers w:val="0"/>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EB9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评价市场监督管理局各项工作和重点项目所带来的直接或间接影响，用以反映和考核部门履职对社会发展的影响程度。</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C342A">
            <w:pPr>
              <w:keepNext w:val="0"/>
              <w:keepLines w:val="0"/>
              <w:widowControl/>
              <w:suppressLineNumbers w:val="0"/>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p w14:paraId="73D0F81A">
            <w:pPr>
              <w:outlineLvl w:val="9"/>
              <w:rPr>
                <w:sz w:val="18"/>
                <w:szCs w:val="18"/>
              </w:rPr>
            </w:pP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1AE34">
            <w:pPr>
              <w:pStyle w:val="2"/>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default"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通过处理解决消费者投诉，</w:t>
            </w:r>
            <w:r>
              <w:rPr>
                <w:rFonts w:hint="default" w:ascii="仿宋" w:hAnsi="仿宋" w:eastAsia="仿宋" w:cs="仿宋"/>
                <w:i w:val="0"/>
                <w:iCs w:val="0"/>
                <w:color w:val="000000"/>
                <w:kern w:val="0"/>
                <w:sz w:val="18"/>
                <w:szCs w:val="18"/>
                <w:highlight w:val="none"/>
                <w:u w:val="none"/>
                <w:lang w:val="en-US" w:eastAsia="zh-CN" w:bidi="ar"/>
              </w:rPr>
              <w:t>降低消费者在消费过程中的风险和损失，增强消费者信心，促进消费市场的繁荣。</w:t>
            </w:r>
            <w:r>
              <w:rPr>
                <w:rFonts w:hint="eastAsia" w:ascii="仿宋" w:hAnsi="仿宋" w:eastAsia="仿宋" w:cs="仿宋"/>
                <w:i w:val="0"/>
                <w:iCs w:val="0"/>
                <w:color w:val="000000"/>
                <w:kern w:val="0"/>
                <w:sz w:val="18"/>
                <w:szCs w:val="18"/>
                <w:highlight w:val="none"/>
                <w:u w:val="none"/>
                <w:lang w:val="en-US" w:eastAsia="zh-CN" w:bidi="ar"/>
              </w:rPr>
              <w:t>得2分，否则不得分。</w:t>
            </w:r>
          </w:p>
        </w:tc>
      </w:tr>
      <w:tr w14:paraId="584B5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jc w:val="center"/>
        </w:trPr>
        <w:tc>
          <w:tcPr>
            <w:tcW w:w="352" w:type="pct"/>
            <w:vMerge w:val="continue"/>
            <w:tcBorders>
              <w:left w:val="single" w:color="000000" w:sz="4" w:space="0"/>
              <w:right w:val="single" w:color="000000" w:sz="4" w:space="0"/>
            </w:tcBorders>
            <w:shd w:val="clear" w:color="auto" w:fill="auto"/>
            <w:vAlign w:val="center"/>
          </w:tcPr>
          <w:p w14:paraId="23F8A012">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28F9398C">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default" w:ascii="仿宋" w:hAnsi="仿宋" w:eastAsia="仿宋" w:cs="仿宋"/>
                <w:i w:val="0"/>
                <w:iCs w:val="0"/>
                <w:color w:val="000000"/>
                <w:sz w:val="18"/>
                <w:szCs w:val="18"/>
                <w:u w:val="none"/>
                <w:lang w:val="en-US" w:eastAsia="zh-CN"/>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75BDD">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提高产品合格率</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2E86F">
            <w:pPr>
              <w:keepNext w:val="0"/>
              <w:keepLines w:val="0"/>
              <w:widowControl/>
              <w:suppressLineNumbers w:val="0"/>
              <w:jc w:val="center"/>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3FF3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评价市场监督管理局各项工作和重点项目所带来的直接或间接影响，用以反映和考核部门履职对社会发展的影响程度。</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AE5FD">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8B99F">
            <w:pPr>
              <w:pStyle w:val="2"/>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default"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市场监督管理局通过对生产和流通领域重点工业产品质量开展监督检查，产品合格率≥95%，得2分，否则按比例得分。</w:t>
            </w:r>
          </w:p>
        </w:tc>
      </w:tr>
      <w:tr w14:paraId="1D0EC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jc w:val="center"/>
        </w:trPr>
        <w:tc>
          <w:tcPr>
            <w:tcW w:w="352" w:type="pct"/>
            <w:vMerge w:val="continue"/>
            <w:tcBorders>
              <w:left w:val="single" w:color="000000" w:sz="4" w:space="0"/>
              <w:right w:val="single" w:color="000000" w:sz="4" w:space="0"/>
            </w:tcBorders>
            <w:shd w:val="clear" w:color="auto" w:fill="auto"/>
            <w:vAlign w:val="center"/>
          </w:tcPr>
          <w:p w14:paraId="54535071">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6C1DC643">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default" w:ascii="仿宋" w:hAnsi="仿宋" w:eastAsia="仿宋" w:cs="仿宋"/>
                <w:i w:val="0"/>
                <w:iCs w:val="0"/>
                <w:color w:val="000000"/>
                <w:sz w:val="18"/>
                <w:szCs w:val="18"/>
                <w:u w:val="none"/>
                <w:lang w:val="en-US" w:eastAsia="zh-CN"/>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AA9D2">
            <w:pPr>
              <w:keepNext w:val="0"/>
              <w:keepLines w:val="0"/>
              <w:widowControl/>
              <w:suppressLineNumbers w:val="0"/>
              <w:jc w:val="center"/>
              <w:textAlignment w:val="center"/>
              <w:outlineLvl w:val="9"/>
              <w:rPr>
                <w:rFonts w:hint="eastAsia"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促进市场公平竞争</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680E5">
            <w:pPr>
              <w:keepNext w:val="0"/>
              <w:keepLines w:val="0"/>
              <w:widowControl/>
              <w:suppressLineNumbers w:val="0"/>
              <w:jc w:val="center"/>
              <w:textAlignment w:val="center"/>
              <w:outlineLvl w:val="9"/>
              <w:rPr>
                <w:rFonts w:hint="default" w:ascii="仿宋" w:hAnsi="仿宋" w:eastAsia="仿宋" w:cs="仿宋"/>
                <w:i w:val="0"/>
                <w:iCs w:val="0"/>
                <w:color w:val="000000"/>
                <w:sz w:val="18"/>
                <w:szCs w:val="18"/>
                <w:u w:val="none"/>
                <w:lang w:val="en-US" w:eastAsia="zh-CN"/>
              </w:rPr>
            </w:pPr>
            <w:r>
              <w:rPr>
                <w:rFonts w:hint="eastAsia" w:ascii="仿宋" w:hAnsi="仿宋" w:eastAsia="仿宋" w:cs="仿宋"/>
                <w:i w:val="0"/>
                <w:iCs w:val="0"/>
                <w:color w:val="000000"/>
                <w:sz w:val="18"/>
                <w:szCs w:val="18"/>
                <w:u w:val="none"/>
                <w:lang w:val="en-US" w:eastAsia="zh-CN"/>
              </w:rPr>
              <w:t>2</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345C4">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评价市场监督管理局各项工作和重点项目所带来的直接或间接影响，用以反映和考核部门履职对社会发展的影响程度。</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B15BA">
            <w:pPr>
              <w:keepNext w:val="0"/>
              <w:keepLines w:val="0"/>
              <w:widowControl/>
              <w:suppressLineNumbers w:val="0"/>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C88C8">
            <w:pPr>
              <w:pStyle w:val="2"/>
              <w:keepNext w:val="0"/>
              <w:keepLines w:val="0"/>
              <w:pageBreakBefore w:val="0"/>
              <w:widowControl w:val="0"/>
              <w:kinsoku/>
              <w:wordWrap/>
              <w:overflowPunct/>
              <w:topLinePunct w:val="0"/>
              <w:autoSpaceDE/>
              <w:autoSpaceDN/>
              <w:bidi w:val="0"/>
              <w:adjustRightInd/>
              <w:snapToGrid/>
              <w:spacing w:line="260" w:lineRule="exact"/>
              <w:textAlignment w:val="auto"/>
              <w:outlineLvl w:val="9"/>
              <w:rPr>
                <w:rFonts w:hint="default"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通过问卷调查，市场监督管理局通过打击垄断、不正当竞争等行为，营造公平有序的市场环境，提高市场资源配置效率促进了市场公平竞争得2分，否则不得分。</w:t>
            </w:r>
          </w:p>
        </w:tc>
      </w:tr>
      <w:tr w14:paraId="1A1E3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7" w:hRule="atLeast"/>
          <w:jc w:val="center"/>
        </w:trPr>
        <w:tc>
          <w:tcPr>
            <w:tcW w:w="352" w:type="pct"/>
            <w:vMerge w:val="continue"/>
            <w:tcBorders>
              <w:left w:val="single" w:color="000000" w:sz="4" w:space="0"/>
              <w:bottom w:val="single" w:color="auto" w:sz="4" w:space="0"/>
              <w:right w:val="single" w:color="000000" w:sz="4" w:space="0"/>
            </w:tcBorders>
            <w:shd w:val="clear" w:color="auto" w:fill="auto"/>
            <w:vAlign w:val="center"/>
          </w:tcPr>
          <w:p w14:paraId="3A492E1F">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tcBorders>
              <w:top w:val="single" w:color="auto" w:sz="4" w:space="0"/>
              <w:left w:val="single" w:color="000000" w:sz="4" w:space="0"/>
              <w:bottom w:val="single" w:color="auto" w:sz="4" w:space="0"/>
              <w:right w:val="single" w:color="000000" w:sz="4" w:space="0"/>
            </w:tcBorders>
            <w:shd w:val="clear" w:color="auto" w:fill="auto"/>
            <w:vAlign w:val="center"/>
          </w:tcPr>
          <w:p w14:paraId="00196F8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可持续性（2分）</w:t>
            </w:r>
          </w:p>
        </w:tc>
        <w:tc>
          <w:tcPr>
            <w:tcW w:w="406" w:type="pct"/>
            <w:tcBorders>
              <w:top w:val="single" w:color="000000" w:sz="4" w:space="0"/>
              <w:left w:val="single" w:color="000000" w:sz="4" w:space="0"/>
              <w:bottom w:val="single" w:color="auto" w:sz="4" w:space="0"/>
              <w:right w:val="single" w:color="000000" w:sz="4" w:space="0"/>
            </w:tcBorders>
            <w:shd w:val="clear" w:color="auto" w:fill="auto"/>
            <w:vAlign w:val="center"/>
          </w:tcPr>
          <w:p w14:paraId="3F5CEDA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干部队伍建设</w:t>
            </w:r>
          </w:p>
        </w:tc>
        <w:tc>
          <w:tcPr>
            <w:tcW w:w="249" w:type="pct"/>
            <w:tcBorders>
              <w:top w:val="single" w:color="000000" w:sz="4" w:space="0"/>
              <w:left w:val="single" w:color="000000" w:sz="4" w:space="0"/>
              <w:bottom w:val="single" w:color="auto" w:sz="4" w:space="0"/>
              <w:right w:val="single" w:color="000000" w:sz="4" w:space="0"/>
            </w:tcBorders>
            <w:shd w:val="clear" w:color="auto" w:fill="auto"/>
            <w:vAlign w:val="center"/>
          </w:tcPr>
          <w:p w14:paraId="1610764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w:t>
            </w:r>
          </w:p>
        </w:tc>
        <w:tc>
          <w:tcPr>
            <w:tcW w:w="1009" w:type="pct"/>
            <w:tcBorders>
              <w:top w:val="single" w:color="000000" w:sz="4" w:space="0"/>
              <w:left w:val="single" w:color="000000" w:sz="4" w:space="0"/>
              <w:bottom w:val="single" w:color="auto" w:sz="4" w:space="0"/>
              <w:right w:val="single" w:color="000000" w:sz="4" w:space="0"/>
            </w:tcBorders>
            <w:shd w:val="clear" w:color="auto" w:fill="auto"/>
            <w:vAlign w:val="center"/>
          </w:tcPr>
          <w:p w14:paraId="6273EF9F">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评价部门队伍建设和人才培养等方面的情况以及干部和人员培训方面的情况</w:t>
            </w:r>
          </w:p>
        </w:tc>
        <w:tc>
          <w:tcPr>
            <w:tcW w:w="219" w:type="pct"/>
            <w:tcBorders>
              <w:top w:val="single" w:color="000000" w:sz="4" w:space="0"/>
              <w:left w:val="single" w:color="000000" w:sz="4" w:space="0"/>
              <w:bottom w:val="single" w:color="auto" w:sz="4" w:space="0"/>
              <w:right w:val="single" w:color="000000" w:sz="4" w:space="0"/>
            </w:tcBorders>
            <w:shd w:val="clear" w:color="auto" w:fill="auto"/>
            <w:vAlign w:val="center"/>
          </w:tcPr>
          <w:p w14:paraId="6866D683">
            <w:pPr>
              <w:jc w:val="center"/>
              <w:outlineLvl w:val="9"/>
              <w:rPr>
                <w:sz w:val="18"/>
                <w:szCs w:val="18"/>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auto" w:sz="4" w:space="0"/>
              <w:right w:val="single" w:color="000000" w:sz="4" w:space="0"/>
            </w:tcBorders>
            <w:shd w:val="clear" w:color="auto" w:fill="auto"/>
            <w:vAlign w:val="center"/>
          </w:tcPr>
          <w:p w14:paraId="68034913">
            <w:pPr>
              <w:pStyle w:val="3"/>
              <w:ind w:left="0" w:leftChars="0" w:firstLine="0" w:firstLineChars="0"/>
              <w:outlineLvl w:val="9"/>
              <w:rPr>
                <w:rFonts w:hint="default"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1.</w:t>
            </w:r>
            <w:r>
              <w:rPr>
                <w:rFonts w:hint="eastAsia" w:ascii="仿宋" w:hAnsi="仿宋" w:eastAsia="仿宋" w:cs="仿宋"/>
                <w:i w:val="0"/>
                <w:iCs w:val="0"/>
                <w:color w:val="000000"/>
                <w:kern w:val="0"/>
                <w:sz w:val="18"/>
                <w:szCs w:val="18"/>
                <w:u w:val="none"/>
                <w:lang w:val="en-US" w:eastAsia="zh-CN" w:bidi="ar"/>
              </w:rPr>
              <w:t>建立了内部人才激励机制和考核办法得1分，否则不得分；</w:t>
            </w:r>
          </w:p>
          <w:p w14:paraId="6CC86BB9">
            <w:pP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2.建立</w:t>
            </w:r>
            <w:r>
              <w:rPr>
                <w:rFonts w:hint="eastAsia" w:ascii="仿宋" w:hAnsi="仿宋" w:eastAsia="仿宋" w:cs="仿宋"/>
                <w:i w:val="0"/>
                <w:iCs w:val="0"/>
                <w:color w:val="000000"/>
                <w:kern w:val="0"/>
                <w:sz w:val="18"/>
                <w:szCs w:val="18"/>
                <w:u w:val="none"/>
                <w:lang w:val="en-US" w:eastAsia="zh-CN" w:bidi="ar"/>
              </w:rPr>
              <w:t>完善的干部培训制度或干部培训计划，得0.5分，否则不得分；</w:t>
            </w:r>
          </w:p>
          <w:p w14:paraId="1466FB52">
            <w:pPr>
              <w:outlineLvl w:val="9"/>
              <w:rPr>
                <w:rFonts w:hint="default"/>
                <w:sz w:val="18"/>
                <w:szCs w:val="18"/>
                <w:lang w:val="en-US" w:eastAsia="zh-CN"/>
              </w:rPr>
            </w:pPr>
            <w:r>
              <w:rPr>
                <w:rFonts w:hint="eastAsia" w:ascii="仿宋" w:hAnsi="仿宋" w:eastAsia="仿宋" w:cs="仿宋"/>
                <w:i w:val="0"/>
                <w:iCs w:val="0"/>
                <w:color w:val="000000"/>
                <w:kern w:val="0"/>
                <w:sz w:val="18"/>
                <w:szCs w:val="18"/>
                <w:u w:val="none"/>
                <w:lang w:val="en-US" w:eastAsia="zh-CN" w:bidi="ar"/>
              </w:rPr>
              <w:t>3.按照计划开展有效培训得0.5分，否则不得分，否则不得分。</w:t>
            </w:r>
          </w:p>
        </w:tc>
      </w:tr>
      <w:tr w14:paraId="7E35F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0" w:hRule="atLeast"/>
          <w:jc w:val="center"/>
        </w:trPr>
        <w:tc>
          <w:tcPr>
            <w:tcW w:w="352" w:type="pct"/>
            <w:vMerge w:val="continue"/>
            <w:tcBorders>
              <w:top w:val="single" w:color="auto" w:sz="4" w:space="0"/>
              <w:left w:val="single" w:color="000000" w:sz="4" w:space="0"/>
              <w:right w:val="single" w:color="000000" w:sz="4" w:space="0"/>
            </w:tcBorders>
            <w:shd w:val="clear" w:color="auto" w:fill="auto"/>
            <w:vAlign w:val="center"/>
          </w:tcPr>
          <w:p w14:paraId="17EC9147">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1619284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社会满意</w:t>
            </w:r>
          </w:p>
          <w:p w14:paraId="13DF8B4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（5分）</w:t>
            </w:r>
          </w:p>
        </w:tc>
        <w:tc>
          <w:tcPr>
            <w:tcW w:w="406" w:type="pct"/>
            <w:tcBorders>
              <w:top w:val="single" w:color="auto" w:sz="4" w:space="0"/>
              <w:left w:val="single" w:color="000000" w:sz="4" w:space="0"/>
              <w:bottom w:val="single" w:color="000000" w:sz="4" w:space="0"/>
              <w:right w:val="single" w:color="000000" w:sz="4" w:space="0"/>
            </w:tcBorders>
            <w:shd w:val="clear" w:color="auto" w:fill="auto"/>
            <w:vAlign w:val="center"/>
          </w:tcPr>
          <w:p w14:paraId="576C7F6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服务对象满意度</w:t>
            </w:r>
          </w:p>
        </w:tc>
        <w:tc>
          <w:tcPr>
            <w:tcW w:w="249" w:type="pct"/>
            <w:tcBorders>
              <w:top w:val="single" w:color="auto" w:sz="4" w:space="0"/>
              <w:left w:val="single" w:color="000000" w:sz="4" w:space="0"/>
              <w:bottom w:val="single" w:color="000000" w:sz="4" w:space="0"/>
              <w:right w:val="single" w:color="000000" w:sz="4" w:space="0"/>
            </w:tcBorders>
            <w:shd w:val="clear" w:color="auto" w:fill="auto"/>
            <w:vAlign w:val="center"/>
          </w:tcPr>
          <w:p w14:paraId="27E0F49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1009" w:type="pct"/>
            <w:tcBorders>
              <w:top w:val="single" w:color="auto" w:sz="4" w:space="0"/>
              <w:left w:val="single" w:color="000000" w:sz="4" w:space="0"/>
              <w:bottom w:val="single" w:color="000000" w:sz="4" w:space="0"/>
              <w:right w:val="single" w:color="000000" w:sz="4" w:space="0"/>
            </w:tcBorders>
            <w:shd w:val="clear" w:color="auto" w:fill="auto"/>
            <w:vAlign w:val="center"/>
          </w:tcPr>
          <w:p w14:paraId="26910330">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通过问卷调查了解企业及商户对市场监督管理局工作的满意程度。</w:t>
            </w:r>
          </w:p>
        </w:tc>
        <w:tc>
          <w:tcPr>
            <w:tcW w:w="219" w:type="pct"/>
            <w:tcBorders>
              <w:top w:val="single" w:color="auto" w:sz="4" w:space="0"/>
              <w:left w:val="single" w:color="000000" w:sz="4" w:space="0"/>
              <w:bottom w:val="single" w:color="000000" w:sz="4" w:space="0"/>
              <w:right w:val="single" w:color="000000" w:sz="4" w:space="0"/>
            </w:tcBorders>
            <w:shd w:val="clear" w:color="auto" w:fill="auto"/>
            <w:vAlign w:val="center"/>
          </w:tcPr>
          <w:p w14:paraId="1F33A21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auto" w:sz="4" w:space="0"/>
              <w:left w:val="single" w:color="000000" w:sz="4" w:space="0"/>
              <w:bottom w:val="single" w:color="000000" w:sz="4" w:space="0"/>
              <w:right w:val="single" w:color="000000" w:sz="4" w:space="0"/>
            </w:tcBorders>
            <w:shd w:val="clear" w:color="auto" w:fill="auto"/>
            <w:vAlign w:val="center"/>
          </w:tcPr>
          <w:p w14:paraId="62FF29FC">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根据企业和商户对市场监督管理局各项工作的满意度分数计算得分。</w:t>
            </w:r>
          </w:p>
          <w:p w14:paraId="66878CE6">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满意度得分=∑（各选项占比×对应权重）×3分。</w:t>
            </w:r>
          </w:p>
        </w:tc>
      </w:tr>
      <w:tr w14:paraId="6AE6B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jc w:val="center"/>
        </w:trPr>
        <w:tc>
          <w:tcPr>
            <w:tcW w:w="352" w:type="pct"/>
            <w:vMerge w:val="continue"/>
            <w:tcBorders>
              <w:left w:val="single" w:color="000000" w:sz="4" w:space="0"/>
              <w:bottom w:val="single" w:color="000000" w:sz="4" w:space="0"/>
              <w:right w:val="single" w:color="000000" w:sz="4" w:space="0"/>
            </w:tcBorders>
            <w:shd w:val="clear" w:color="auto" w:fill="auto"/>
            <w:vAlign w:val="center"/>
          </w:tcPr>
          <w:p w14:paraId="0F664845">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4739D">
            <w:pPr>
              <w:keepNext w:val="0"/>
              <w:keepLines w:val="0"/>
              <w:pageBreakBefore w:val="0"/>
              <w:widowControl/>
              <w:kinsoku/>
              <w:wordWrap/>
              <w:overflowPunct/>
              <w:topLinePunct w:val="0"/>
              <w:autoSpaceDE/>
              <w:autoSpaceDN/>
              <w:bidi w:val="0"/>
              <w:adjustRightInd/>
              <w:snapToGrid/>
              <w:spacing w:line="260" w:lineRule="exact"/>
              <w:jc w:val="center"/>
              <w:outlineLvl w:val="9"/>
              <w:rPr>
                <w:rFonts w:hint="eastAsia" w:ascii="仿宋" w:hAnsi="仿宋" w:eastAsia="仿宋" w:cs="仿宋"/>
                <w:i w:val="0"/>
                <w:iCs w:val="0"/>
                <w:color w:val="000000"/>
                <w:sz w:val="18"/>
                <w:szCs w:val="18"/>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B89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管理对象满意度</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989F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10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73497">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通过问卷调查部门在职人员对目前所从事工作的满意程度。</w:t>
            </w:r>
          </w:p>
        </w:tc>
        <w:tc>
          <w:tcPr>
            <w:tcW w:w="2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87BA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计划标准</w:t>
            </w:r>
          </w:p>
        </w:tc>
        <w:tc>
          <w:tcPr>
            <w:tcW w:w="2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551CB">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根据在职员工对工作的满意度分数计算得分。</w:t>
            </w:r>
          </w:p>
          <w:p w14:paraId="2B1A0261">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outlineLvl w:val="9"/>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满意度得分=∑（各选项占比×对应权重）×2分。</w:t>
            </w:r>
          </w:p>
        </w:tc>
      </w:tr>
    </w:tbl>
    <w:p w14:paraId="7130F41A">
      <w:pPr>
        <w:pStyle w:val="6"/>
        <w:outlineLvl w:val="9"/>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FBE499B">
      <w:pPr>
        <w:outlineLvl w:val="1"/>
        <w:rPr>
          <w:rFonts w:hint="eastAsia" w:ascii="仿宋" w:hAnsi="仿宋" w:eastAsia="仿宋" w:cs="仿宋"/>
          <w:sz w:val="24"/>
          <w:szCs w:val="24"/>
          <w:lang w:val="en-US" w:eastAsia="zh-CN"/>
        </w:rPr>
      </w:pPr>
      <w:bookmarkStart w:id="190" w:name="_Toc23930"/>
      <w:r>
        <w:rPr>
          <w:rFonts w:hint="eastAsia" w:ascii="仿宋" w:hAnsi="仿宋" w:eastAsia="仿宋" w:cs="仿宋"/>
          <w:sz w:val="24"/>
          <w:szCs w:val="24"/>
          <w:lang w:val="en-US" w:eastAsia="zh-CN"/>
        </w:rPr>
        <w:t>附件2：绩效评价指标评分表</w:t>
      </w:r>
      <w:bookmarkEnd w:id="190"/>
    </w:p>
    <w:p w14:paraId="6172BD11">
      <w:pPr>
        <w:jc w:val="center"/>
        <w:outlineLvl w:val="9"/>
        <w:rPr>
          <w:rFonts w:hint="eastAsia" w:ascii="仿宋" w:hAnsi="仿宋" w:eastAsia="仿宋" w:cs="仿宋"/>
          <w:b/>
          <w:bCs/>
          <w:sz w:val="28"/>
          <w:szCs w:val="28"/>
          <w:highlight w:val="none"/>
          <w:lang w:val="en-US" w:eastAsia="zh-CN"/>
        </w:rPr>
      </w:pPr>
      <w:bookmarkStart w:id="191" w:name="_Toc16934"/>
      <w:r>
        <w:rPr>
          <w:rFonts w:hint="eastAsia" w:ascii="仿宋" w:hAnsi="仿宋" w:eastAsia="仿宋" w:cs="仿宋"/>
          <w:b/>
          <w:bCs/>
          <w:sz w:val="28"/>
          <w:szCs w:val="28"/>
          <w:highlight w:val="none"/>
          <w:lang w:val="en-US" w:eastAsia="zh-CN"/>
        </w:rPr>
        <w:t>永济市市场监督管理局部门整体支出绩效评价指标评分表</w:t>
      </w:r>
      <w:bookmarkEnd w:id="191"/>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9"/>
        <w:gridCol w:w="2106"/>
        <w:gridCol w:w="2316"/>
        <w:gridCol w:w="994"/>
        <w:gridCol w:w="997"/>
        <w:gridCol w:w="997"/>
      </w:tblGrid>
      <w:tr w14:paraId="49C12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blHeader/>
        </w:trPr>
        <w:tc>
          <w:tcPr>
            <w:tcW w:w="645"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2A71D131">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一级指标</w:t>
            </w:r>
          </w:p>
        </w:tc>
        <w:tc>
          <w:tcPr>
            <w:tcW w:w="1072"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28A1EBF6">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二级指标</w:t>
            </w:r>
          </w:p>
        </w:tc>
        <w:tc>
          <w:tcPr>
            <w:tcW w:w="1292"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7A7521D2">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三级指标</w:t>
            </w:r>
          </w:p>
        </w:tc>
        <w:tc>
          <w:tcPr>
            <w:tcW w:w="662"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6122E148">
            <w:pPr>
              <w:keepNext w:val="0"/>
              <w:keepLines w:val="0"/>
              <w:widowControl/>
              <w:suppressLineNumbers w:val="0"/>
              <w:jc w:val="center"/>
              <w:textAlignment w:val="center"/>
              <w:outlineLvl w:val="9"/>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权重</w:t>
            </w:r>
          </w:p>
        </w:tc>
        <w:tc>
          <w:tcPr>
            <w:tcW w:w="663"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7796B3AF">
            <w:pPr>
              <w:keepNext w:val="0"/>
              <w:keepLines w:val="0"/>
              <w:widowControl/>
              <w:suppressLineNumbers w:val="0"/>
              <w:jc w:val="center"/>
              <w:textAlignment w:val="center"/>
              <w:outlineLvl w:val="9"/>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得分</w:t>
            </w:r>
          </w:p>
        </w:tc>
        <w:tc>
          <w:tcPr>
            <w:tcW w:w="663" w:type="pct"/>
            <w:tcBorders>
              <w:top w:val="single" w:color="000000" w:sz="4" w:space="0"/>
              <w:left w:val="single" w:color="000000" w:sz="4" w:space="0"/>
              <w:bottom w:val="single" w:color="000000" w:sz="4" w:space="0"/>
              <w:right w:val="single" w:color="000000" w:sz="4" w:space="0"/>
            </w:tcBorders>
            <w:shd w:val="clear" w:color="auto" w:fill="AEAAAA" w:themeFill="background2" w:themeFillShade="BF"/>
            <w:noWrap/>
            <w:vAlign w:val="center"/>
          </w:tcPr>
          <w:p w14:paraId="442074C3">
            <w:pPr>
              <w:keepNext w:val="0"/>
              <w:keepLines w:val="0"/>
              <w:widowControl/>
              <w:suppressLineNumbers w:val="0"/>
              <w:jc w:val="center"/>
              <w:textAlignment w:val="center"/>
              <w:outlineLvl w:val="9"/>
              <w:rPr>
                <w:rFonts w:hint="default" w:ascii="仿宋" w:hAnsi="仿宋" w:eastAsia="仿宋" w:cs="仿宋"/>
                <w:b/>
                <w:bCs/>
                <w:i w:val="0"/>
                <w:iCs w:val="0"/>
                <w:color w:val="000000"/>
                <w:kern w:val="0"/>
                <w:sz w:val="21"/>
                <w:szCs w:val="21"/>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得分率</w:t>
            </w:r>
          </w:p>
        </w:tc>
      </w:tr>
      <w:tr w14:paraId="0729D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9CD70">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部门决策</w:t>
            </w:r>
          </w:p>
          <w:p w14:paraId="0520E911">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（15分）</w:t>
            </w:r>
          </w:p>
        </w:tc>
        <w:tc>
          <w:tcPr>
            <w:tcW w:w="1072" w:type="pct"/>
            <w:vMerge w:val="restart"/>
            <w:tcBorders>
              <w:top w:val="single" w:color="000000" w:sz="4" w:space="0"/>
              <w:left w:val="single" w:color="000000" w:sz="4" w:space="0"/>
              <w:bottom w:val="nil"/>
              <w:right w:val="single" w:color="000000" w:sz="4" w:space="0"/>
            </w:tcBorders>
            <w:shd w:val="clear" w:color="auto" w:fill="auto"/>
            <w:noWrap/>
            <w:vAlign w:val="center"/>
          </w:tcPr>
          <w:p w14:paraId="6382C95E">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目标设定</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3EE92">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绩效目标合理性</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326F">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3.00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5BD6">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3.00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5FC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06CF3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1EBC">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64D82355">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1A23">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绩效指标明确性</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97F9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B550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F14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09D2B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F5BD">
            <w:pPr>
              <w:jc w:val="center"/>
              <w:outlineLvl w:val="9"/>
              <w:rPr>
                <w:rFonts w:hint="eastAsia" w:ascii="仿宋" w:hAnsi="仿宋" w:eastAsia="仿宋" w:cs="仿宋"/>
                <w:i w:val="0"/>
                <w:iCs w:val="0"/>
                <w:color w:val="000000"/>
                <w:sz w:val="21"/>
                <w:szCs w:val="21"/>
                <w:highlight w:val="none"/>
                <w:u w:val="none"/>
              </w:rPr>
            </w:pPr>
          </w:p>
        </w:tc>
        <w:tc>
          <w:tcPr>
            <w:tcW w:w="1072" w:type="pct"/>
            <w:vMerge w:val="restart"/>
            <w:tcBorders>
              <w:top w:val="single" w:color="000000" w:sz="4" w:space="0"/>
              <w:left w:val="single" w:color="000000" w:sz="4" w:space="0"/>
              <w:bottom w:val="nil"/>
              <w:right w:val="single" w:color="000000" w:sz="4" w:space="0"/>
            </w:tcBorders>
            <w:shd w:val="clear" w:color="auto" w:fill="auto"/>
            <w:noWrap/>
            <w:vAlign w:val="center"/>
          </w:tcPr>
          <w:p w14:paraId="50E594F6">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绩效指标明确性</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FD73">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预算编制科学性</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A2D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4.00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A04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4.00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C978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4E0A6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68928">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000000" w:sz="4" w:space="0"/>
              <w:left w:val="single" w:color="000000" w:sz="4" w:space="0"/>
              <w:bottom w:val="nil"/>
              <w:right w:val="single" w:color="000000" w:sz="4" w:space="0"/>
            </w:tcBorders>
            <w:shd w:val="clear" w:color="auto" w:fill="auto"/>
            <w:noWrap/>
            <w:vAlign w:val="center"/>
          </w:tcPr>
          <w:p w14:paraId="3A92DB94">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6F840">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预算配置合理性</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BA78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6.00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3D8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6.00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674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0EBF6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5E67">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部门管理</w:t>
            </w:r>
          </w:p>
          <w:p w14:paraId="0065CE0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（40分）</w:t>
            </w: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6CA42">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预算管理</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3C94">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预算执行管理</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DE9D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8.00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6C8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7.45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24EF">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93.13%</w:t>
            </w:r>
          </w:p>
        </w:tc>
      </w:tr>
      <w:tr w14:paraId="09BBF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8727">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3605">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40BF">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预算绩效管理</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4CF0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7.00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3294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7.00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698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540F2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4E94B">
            <w:pPr>
              <w:jc w:val="center"/>
              <w:outlineLvl w:val="9"/>
              <w:rPr>
                <w:rFonts w:hint="eastAsia" w:ascii="仿宋" w:hAnsi="仿宋" w:eastAsia="仿宋" w:cs="仿宋"/>
                <w:i w:val="0"/>
                <w:iCs w:val="0"/>
                <w:color w:val="000000"/>
                <w:sz w:val="21"/>
                <w:szCs w:val="21"/>
                <w:highlight w:val="none"/>
                <w:u w:val="none"/>
              </w:rPr>
            </w:pPr>
          </w:p>
        </w:tc>
        <w:tc>
          <w:tcPr>
            <w:tcW w:w="1072" w:type="pct"/>
            <w:vMerge w:val="restart"/>
            <w:tcBorders>
              <w:top w:val="single" w:color="000000" w:sz="4" w:space="0"/>
              <w:left w:val="single" w:color="000000" w:sz="4" w:space="0"/>
              <w:bottom w:val="nil"/>
              <w:right w:val="single" w:color="000000" w:sz="4" w:space="0"/>
            </w:tcBorders>
            <w:shd w:val="clear" w:color="auto" w:fill="auto"/>
            <w:noWrap/>
            <w:vAlign w:val="center"/>
          </w:tcPr>
          <w:p w14:paraId="35E63458">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收支管理</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E0DD">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收支管理规范性</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4C66">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6.00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9C2B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3.00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3A5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50.00%</w:t>
            </w:r>
          </w:p>
        </w:tc>
      </w:tr>
      <w:tr w14:paraId="7668B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68FA7">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14:paraId="0332E2A6">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8580F">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支出结构合理性</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22F6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4.00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826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4.00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A97F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7DD36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95C8">
            <w:pPr>
              <w:jc w:val="center"/>
              <w:outlineLvl w:val="9"/>
              <w:rPr>
                <w:rFonts w:hint="eastAsia" w:ascii="仿宋" w:hAnsi="仿宋" w:eastAsia="仿宋" w:cs="仿宋"/>
                <w:i w:val="0"/>
                <w:iCs w:val="0"/>
                <w:color w:val="000000"/>
                <w:sz w:val="21"/>
                <w:szCs w:val="21"/>
                <w:highlight w:val="none"/>
                <w:u w:val="none"/>
              </w:rPr>
            </w:pPr>
          </w:p>
        </w:tc>
        <w:tc>
          <w:tcPr>
            <w:tcW w:w="1072"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0FEE2C99">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资产管理</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E521">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资产管理规范性</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605B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5.00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C67D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3.00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6A9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60.00%</w:t>
            </w:r>
          </w:p>
        </w:tc>
      </w:tr>
      <w:tr w14:paraId="7C21A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9C0A">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348814A7">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B359A">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固定资产利用率</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800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3.00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C14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3.00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80F6">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7570C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3742">
            <w:pPr>
              <w:jc w:val="center"/>
              <w:outlineLvl w:val="9"/>
              <w:rPr>
                <w:rFonts w:hint="eastAsia" w:ascii="仿宋" w:hAnsi="仿宋" w:eastAsia="仿宋" w:cs="仿宋"/>
                <w:i w:val="0"/>
                <w:iCs w:val="0"/>
                <w:color w:val="000000"/>
                <w:sz w:val="21"/>
                <w:szCs w:val="21"/>
                <w:highlight w:val="none"/>
                <w:u w:val="none"/>
              </w:rPr>
            </w:pPr>
          </w:p>
        </w:tc>
        <w:tc>
          <w:tcPr>
            <w:tcW w:w="1072"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ECCBD55">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人员管理</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4954">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在职人员控制率</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467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54D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0.00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C40D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0.00%</w:t>
            </w:r>
          </w:p>
        </w:tc>
      </w:tr>
      <w:tr w14:paraId="1F087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912F">
            <w:pPr>
              <w:jc w:val="center"/>
              <w:outlineLvl w:val="9"/>
              <w:rPr>
                <w:rFonts w:hint="eastAsia" w:ascii="仿宋" w:hAnsi="仿宋" w:eastAsia="仿宋" w:cs="仿宋"/>
                <w:i w:val="0"/>
                <w:iCs w:val="0"/>
                <w:color w:val="000000"/>
                <w:sz w:val="21"/>
                <w:szCs w:val="21"/>
                <w:highlight w:val="none"/>
                <w:u w:val="none"/>
              </w:rPr>
            </w:pPr>
          </w:p>
        </w:tc>
        <w:tc>
          <w:tcPr>
            <w:tcW w:w="1072" w:type="pct"/>
            <w:vMerge w:val="restart"/>
            <w:tcBorders>
              <w:top w:val="single" w:color="auto" w:sz="4" w:space="0"/>
              <w:left w:val="single" w:color="000000" w:sz="4" w:space="0"/>
              <w:right w:val="single" w:color="000000" w:sz="4" w:space="0"/>
            </w:tcBorders>
            <w:shd w:val="clear" w:color="auto" w:fill="auto"/>
            <w:noWrap/>
            <w:vAlign w:val="center"/>
          </w:tcPr>
          <w:p w14:paraId="70A606BA">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其他管理</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7736">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政府采购管理</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45B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6A8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74B9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1CC9B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81BA">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left w:val="single" w:color="000000" w:sz="4" w:space="0"/>
              <w:right w:val="single" w:color="000000" w:sz="4" w:space="0"/>
            </w:tcBorders>
            <w:shd w:val="clear" w:color="auto" w:fill="auto"/>
            <w:noWrap/>
            <w:vAlign w:val="center"/>
          </w:tcPr>
          <w:p w14:paraId="06DB873D">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FAE5">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信息公开</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B3F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7F8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641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7CB1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BF40">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left w:val="single" w:color="000000" w:sz="4" w:space="0"/>
              <w:bottom w:val="single" w:color="auto" w:sz="4" w:space="0"/>
              <w:right w:val="single" w:color="000000" w:sz="4" w:space="0"/>
            </w:tcBorders>
            <w:shd w:val="clear" w:color="auto" w:fill="auto"/>
            <w:noWrap/>
            <w:vAlign w:val="center"/>
          </w:tcPr>
          <w:p w14:paraId="4DF3160A">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3240">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资金监管</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458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1.00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AF2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1E1D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60090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D8D36">
            <w:pPr>
              <w:keepNext w:val="0"/>
              <w:keepLines w:val="0"/>
              <w:widowControl/>
              <w:suppressLineNumbers w:val="0"/>
              <w:jc w:val="center"/>
              <w:textAlignment w:val="center"/>
              <w:outlineLvl w:val="9"/>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部门产出</w:t>
            </w:r>
          </w:p>
          <w:p w14:paraId="2A4E9CB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（30分）</w:t>
            </w:r>
          </w:p>
        </w:tc>
        <w:tc>
          <w:tcPr>
            <w:tcW w:w="1072"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0AE15276">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目标任务实现程度</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7029A">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质量安全监管完成情况</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8AF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4.00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545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4.00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3CA41">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2B588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E671">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C6A4415">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BDB75">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食品安全监管完成情况</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A902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91C6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8F2F">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1F053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37100">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59D32908">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C61FD">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重点项目完成情况</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91A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6.00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A301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8BC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83.33%</w:t>
            </w:r>
          </w:p>
        </w:tc>
      </w:tr>
      <w:tr w14:paraId="34E39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AB30F">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42F7F253">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2939">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市场秩序监管完成情况</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64AB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BB00F">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4.95</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9BD1">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99.00%</w:t>
            </w:r>
          </w:p>
        </w:tc>
      </w:tr>
      <w:tr w14:paraId="11130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205F7">
            <w:pPr>
              <w:jc w:val="center"/>
              <w:outlineLvl w:val="9"/>
              <w:rPr>
                <w:rFonts w:hint="eastAsia" w:ascii="仿宋" w:hAnsi="仿宋" w:eastAsia="仿宋" w:cs="仿宋"/>
                <w:i w:val="0"/>
                <w:iCs w:val="0"/>
                <w:color w:val="000000"/>
                <w:sz w:val="21"/>
                <w:szCs w:val="21"/>
                <w:highlight w:val="none"/>
                <w:u w:val="none"/>
              </w:rPr>
            </w:pPr>
          </w:p>
        </w:tc>
        <w:tc>
          <w:tcPr>
            <w:tcW w:w="1072" w:type="pct"/>
            <w:tcBorders>
              <w:top w:val="single" w:color="auto" w:sz="4" w:space="0"/>
              <w:left w:val="single" w:color="000000" w:sz="4" w:space="0"/>
              <w:right w:val="single" w:color="000000" w:sz="4" w:space="0"/>
            </w:tcBorders>
            <w:shd w:val="clear" w:color="auto" w:fill="auto"/>
            <w:noWrap/>
            <w:vAlign w:val="center"/>
          </w:tcPr>
          <w:p w14:paraId="7C102D63">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目标任务完成质量</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800A">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目标质量达标情况</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CD3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5.00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6D72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4.94</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68D0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98.80%</w:t>
            </w:r>
          </w:p>
        </w:tc>
      </w:tr>
      <w:tr w14:paraId="15683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3819">
            <w:pPr>
              <w:jc w:val="center"/>
              <w:outlineLvl w:val="9"/>
              <w:rPr>
                <w:rFonts w:hint="eastAsia" w:ascii="仿宋" w:hAnsi="仿宋" w:eastAsia="仿宋" w:cs="仿宋"/>
                <w:i w:val="0"/>
                <w:iCs w:val="0"/>
                <w:color w:val="000000"/>
                <w:sz w:val="21"/>
                <w:szCs w:val="21"/>
                <w:highlight w:val="none"/>
                <w:u w:val="none"/>
              </w:rPr>
            </w:pPr>
          </w:p>
        </w:tc>
        <w:tc>
          <w:tcPr>
            <w:tcW w:w="1072"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1C41F2F">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目标任务完成及时性</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4F171">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目标任务产出时效</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B6EB">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2.00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68E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2.00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928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233DA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6969">
            <w:pPr>
              <w:jc w:val="center"/>
              <w:outlineLvl w:val="9"/>
              <w:rPr>
                <w:rFonts w:hint="eastAsia" w:ascii="仿宋" w:hAnsi="仿宋" w:eastAsia="仿宋" w:cs="仿宋"/>
                <w:i w:val="0"/>
                <w:iCs w:val="0"/>
                <w:color w:val="000000"/>
                <w:sz w:val="21"/>
                <w:szCs w:val="21"/>
                <w:highlight w:val="none"/>
                <w:u w:val="none"/>
              </w:rPr>
            </w:pPr>
          </w:p>
        </w:tc>
        <w:tc>
          <w:tcPr>
            <w:tcW w:w="1072"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53A5FD02">
            <w:pPr>
              <w:jc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运行成本控制有效性</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09FD">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成本控制情况</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FABD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3.00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0E1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3.00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AB2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100.00%</w:t>
            </w:r>
          </w:p>
        </w:tc>
      </w:tr>
      <w:tr w14:paraId="20B78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5" w:type="pct"/>
            <w:vMerge w:val="restart"/>
            <w:tcBorders>
              <w:top w:val="single" w:color="000000" w:sz="4" w:space="0"/>
              <w:left w:val="single" w:color="000000" w:sz="4" w:space="0"/>
              <w:right w:val="single" w:color="000000" w:sz="4" w:space="0"/>
            </w:tcBorders>
            <w:shd w:val="clear" w:color="auto" w:fill="auto"/>
            <w:noWrap/>
            <w:vAlign w:val="center"/>
          </w:tcPr>
          <w:p w14:paraId="4658E3C0">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部门效果</w:t>
            </w:r>
          </w:p>
          <w:p w14:paraId="5B3331E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（15分）</w:t>
            </w:r>
          </w:p>
        </w:tc>
        <w:tc>
          <w:tcPr>
            <w:tcW w:w="1072" w:type="pct"/>
            <w:vMerge w:val="restart"/>
            <w:tcBorders>
              <w:top w:val="single" w:color="auto" w:sz="4" w:space="0"/>
              <w:left w:val="single" w:color="000000" w:sz="4" w:space="0"/>
              <w:right w:val="single" w:color="000000" w:sz="4" w:space="0"/>
            </w:tcBorders>
            <w:shd w:val="clear" w:color="auto" w:fill="auto"/>
            <w:noWrap/>
            <w:vAlign w:val="center"/>
          </w:tcPr>
          <w:p w14:paraId="1B1A1F75">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经济效益</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5ED34">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保障食品安全</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72ED">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1EE5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B98D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100.00%</w:t>
            </w:r>
          </w:p>
        </w:tc>
      </w:tr>
      <w:tr w14:paraId="3C7C1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left w:val="single" w:color="000000" w:sz="4" w:space="0"/>
              <w:right w:val="single" w:color="000000" w:sz="4" w:space="0"/>
            </w:tcBorders>
            <w:shd w:val="clear" w:color="auto" w:fill="auto"/>
            <w:noWrap/>
            <w:vAlign w:val="center"/>
          </w:tcPr>
          <w:p w14:paraId="65292CAB">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p>
        </w:tc>
        <w:tc>
          <w:tcPr>
            <w:tcW w:w="1072" w:type="pct"/>
            <w:vMerge w:val="continue"/>
            <w:tcBorders>
              <w:left w:val="single" w:color="000000" w:sz="4" w:space="0"/>
              <w:right w:val="single" w:color="000000" w:sz="4" w:space="0"/>
            </w:tcBorders>
            <w:shd w:val="clear" w:color="auto" w:fill="auto"/>
            <w:noWrap/>
            <w:vAlign w:val="center"/>
          </w:tcPr>
          <w:p w14:paraId="3D01B3D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4AFD6">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营造安全放心消费环境</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D79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B1F8C">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0.00</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E52E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0.00%</w:t>
            </w:r>
          </w:p>
        </w:tc>
      </w:tr>
      <w:tr w14:paraId="2AF72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left w:val="single" w:color="000000" w:sz="4" w:space="0"/>
              <w:right w:val="single" w:color="000000" w:sz="4" w:space="0"/>
            </w:tcBorders>
            <w:shd w:val="clear" w:color="auto" w:fill="auto"/>
            <w:noWrap/>
            <w:vAlign w:val="center"/>
          </w:tcPr>
          <w:p w14:paraId="54810FE5">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p>
        </w:tc>
        <w:tc>
          <w:tcPr>
            <w:tcW w:w="1072" w:type="pct"/>
            <w:vMerge w:val="continue"/>
            <w:tcBorders>
              <w:left w:val="single" w:color="000000" w:sz="4" w:space="0"/>
              <w:right w:val="single" w:color="000000" w:sz="4" w:space="0"/>
            </w:tcBorders>
            <w:shd w:val="clear" w:color="auto" w:fill="auto"/>
            <w:noWrap/>
            <w:vAlign w:val="center"/>
          </w:tcPr>
          <w:p w14:paraId="259171FA">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B290">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提高产品合格率</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627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C5DE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6F83">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100.00%</w:t>
            </w:r>
          </w:p>
        </w:tc>
      </w:tr>
      <w:tr w14:paraId="42C5F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left w:val="single" w:color="000000" w:sz="4" w:space="0"/>
              <w:right w:val="single" w:color="000000" w:sz="4" w:space="0"/>
            </w:tcBorders>
            <w:shd w:val="clear" w:color="auto" w:fill="auto"/>
            <w:noWrap/>
            <w:vAlign w:val="center"/>
          </w:tcPr>
          <w:p w14:paraId="57FCD5BE">
            <w:pPr>
              <w:keepNext w:val="0"/>
              <w:keepLines w:val="0"/>
              <w:widowControl/>
              <w:suppressLineNumbers w:val="0"/>
              <w:jc w:val="center"/>
              <w:textAlignment w:val="center"/>
              <w:outlineLvl w:val="9"/>
              <w:rPr>
                <w:rFonts w:hint="eastAsia" w:ascii="仿宋" w:hAnsi="仿宋" w:eastAsia="仿宋" w:cs="仿宋"/>
                <w:i w:val="0"/>
                <w:iCs w:val="0"/>
                <w:color w:val="000000"/>
                <w:kern w:val="0"/>
                <w:sz w:val="21"/>
                <w:szCs w:val="21"/>
                <w:highlight w:val="none"/>
                <w:u w:val="none"/>
                <w:lang w:val="en-US" w:eastAsia="zh-CN" w:bidi="ar"/>
              </w:rPr>
            </w:pPr>
          </w:p>
        </w:tc>
        <w:tc>
          <w:tcPr>
            <w:tcW w:w="1072" w:type="pct"/>
            <w:vMerge w:val="continue"/>
            <w:tcBorders>
              <w:left w:val="single" w:color="000000" w:sz="4" w:space="0"/>
              <w:right w:val="single" w:color="000000" w:sz="4" w:space="0"/>
            </w:tcBorders>
            <w:shd w:val="clear" w:color="auto" w:fill="auto"/>
            <w:noWrap/>
            <w:vAlign w:val="center"/>
          </w:tcPr>
          <w:p w14:paraId="1F38B89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765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促进市场公平竞争</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3B39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CD3B">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F2925">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100.00%</w:t>
            </w:r>
          </w:p>
        </w:tc>
      </w:tr>
      <w:tr w14:paraId="5386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left w:val="single" w:color="000000" w:sz="4" w:space="0"/>
              <w:right w:val="single" w:color="000000" w:sz="4" w:space="0"/>
            </w:tcBorders>
            <w:shd w:val="clear" w:color="auto" w:fill="auto"/>
            <w:noWrap/>
            <w:vAlign w:val="center"/>
          </w:tcPr>
          <w:p w14:paraId="149D46A2">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p>
        </w:tc>
        <w:tc>
          <w:tcPr>
            <w:tcW w:w="1072"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4A9E46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可持续性</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1648">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干部队伍建设</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6BAFF">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BD0A0">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39AB">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100.00%</w:t>
            </w:r>
          </w:p>
        </w:tc>
      </w:tr>
      <w:tr w14:paraId="52861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645" w:type="pct"/>
            <w:vMerge w:val="continue"/>
            <w:tcBorders>
              <w:left w:val="single" w:color="000000" w:sz="4" w:space="0"/>
              <w:right w:val="single" w:color="000000" w:sz="4" w:space="0"/>
            </w:tcBorders>
            <w:shd w:val="clear" w:color="auto" w:fill="auto"/>
            <w:noWrap/>
            <w:vAlign w:val="center"/>
          </w:tcPr>
          <w:p w14:paraId="39784EF4">
            <w:pPr>
              <w:jc w:val="center"/>
              <w:outlineLvl w:val="9"/>
              <w:rPr>
                <w:rFonts w:hint="eastAsia" w:ascii="仿宋" w:hAnsi="仿宋" w:eastAsia="仿宋" w:cs="仿宋"/>
                <w:i w:val="0"/>
                <w:iCs w:val="0"/>
                <w:color w:val="000000"/>
                <w:sz w:val="21"/>
                <w:szCs w:val="21"/>
                <w:highlight w:val="none"/>
                <w:u w:val="none"/>
              </w:rPr>
            </w:pPr>
          </w:p>
        </w:tc>
        <w:tc>
          <w:tcPr>
            <w:tcW w:w="10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BD81">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社会满意</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69607">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服务对象满意度</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BD5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3.00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E09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2.90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C247">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96.67%</w:t>
            </w:r>
          </w:p>
        </w:tc>
      </w:tr>
      <w:tr w14:paraId="7CD85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45" w:type="pct"/>
            <w:vMerge w:val="continue"/>
            <w:tcBorders>
              <w:left w:val="single" w:color="000000" w:sz="4" w:space="0"/>
              <w:bottom w:val="single" w:color="000000" w:sz="4" w:space="0"/>
              <w:right w:val="single" w:color="000000" w:sz="4" w:space="0"/>
            </w:tcBorders>
            <w:shd w:val="clear" w:color="auto" w:fill="auto"/>
            <w:noWrap/>
            <w:vAlign w:val="center"/>
          </w:tcPr>
          <w:p w14:paraId="4B2D47D9">
            <w:pPr>
              <w:jc w:val="center"/>
              <w:outlineLvl w:val="9"/>
              <w:rPr>
                <w:rFonts w:hint="eastAsia" w:ascii="仿宋" w:hAnsi="仿宋" w:eastAsia="仿宋" w:cs="仿宋"/>
                <w:i w:val="0"/>
                <w:iCs w:val="0"/>
                <w:color w:val="000000"/>
                <w:sz w:val="21"/>
                <w:szCs w:val="21"/>
                <w:highlight w:val="none"/>
                <w:u w:val="none"/>
              </w:rPr>
            </w:pPr>
          </w:p>
        </w:tc>
        <w:tc>
          <w:tcPr>
            <w:tcW w:w="10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79FD">
            <w:pPr>
              <w:jc w:val="center"/>
              <w:outlineLvl w:val="9"/>
              <w:rPr>
                <w:rFonts w:hint="eastAsia" w:ascii="仿宋" w:hAnsi="仿宋" w:eastAsia="仿宋" w:cs="仿宋"/>
                <w:i w:val="0"/>
                <w:iCs w:val="0"/>
                <w:color w:val="000000"/>
                <w:sz w:val="21"/>
                <w:szCs w:val="21"/>
                <w:highlight w:val="none"/>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7D9B4">
            <w:pPr>
              <w:keepNext w:val="0"/>
              <w:keepLines w:val="0"/>
              <w:widowControl/>
              <w:suppressLineNumbers w:val="0"/>
              <w:jc w:val="center"/>
              <w:textAlignment w:val="center"/>
              <w:outlineLvl w:val="9"/>
              <w:rPr>
                <w:rFonts w:hint="default"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管理对象满意度</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B91D8">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2.00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DFC4">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1"/>
                <w:szCs w:val="21"/>
                <w:u w:val="none"/>
                <w:lang w:val="en-US" w:eastAsia="zh-CN" w:bidi="ar"/>
              </w:rPr>
              <w:t xml:space="preserve"> 1.88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2AC9">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kern w:val="0"/>
                <w:sz w:val="22"/>
                <w:szCs w:val="22"/>
                <w:u w:val="none"/>
                <w:lang w:val="en-US" w:eastAsia="zh-CN" w:bidi="ar"/>
              </w:rPr>
              <w:t>94.00%</w:t>
            </w:r>
          </w:p>
        </w:tc>
      </w:tr>
      <w:tr w14:paraId="037AD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301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7EBE">
            <w:pPr>
              <w:keepNext w:val="0"/>
              <w:keepLines w:val="0"/>
              <w:widowControl/>
              <w:suppressLineNumbers w:val="0"/>
              <w:jc w:val="center"/>
              <w:textAlignment w:val="center"/>
              <w:outlineLvl w:val="9"/>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合计</w:t>
            </w:r>
          </w:p>
        </w:tc>
        <w:tc>
          <w:tcPr>
            <w:tcW w:w="9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12F7">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100.00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1F74F">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89.12 </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2E1F">
            <w:pPr>
              <w:keepNext w:val="0"/>
              <w:keepLines w:val="0"/>
              <w:widowControl/>
              <w:suppressLineNumbers w:val="0"/>
              <w:jc w:val="right"/>
              <w:textAlignment w:val="center"/>
              <w:outlineLvl w:val="9"/>
              <w:rPr>
                <w:rFonts w:hint="eastAsia" w:ascii="仿宋" w:hAnsi="仿宋" w:eastAsia="仿宋" w:cs="仿宋"/>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89.12%</w:t>
            </w:r>
          </w:p>
        </w:tc>
      </w:tr>
    </w:tbl>
    <w:p w14:paraId="44C620CD">
      <w:pPr>
        <w:pStyle w:val="2"/>
        <w:jc w:val="left"/>
        <w:outlineLvl w:val="1"/>
        <w:rPr>
          <w:rFonts w:hint="eastAsia" w:ascii="仿宋" w:hAnsi="仿宋" w:eastAsia="仿宋" w:cs="仿宋"/>
          <w:b w:val="0"/>
          <w:bCs w:val="0"/>
          <w:kern w:val="2"/>
          <w:sz w:val="24"/>
          <w:szCs w:val="24"/>
          <w:highlight w:val="none"/>
          <w:lang w:val="en-US" w:eastAsia="zh-CN" w:bidi="ar-SA"/>
        </w:rPr>
      </w:pPr>
      <w:bookmarkStart w:id="192" w:name="_Toc30006"/>
      <w:r>
        <w:rPr>
          <w:rFonts w:hint="eastAsia" w:ascii="仿宋" w:hAnsi="仿宋" w:eastAsia="仿宋" w:cs="仿宋"/>
          <w:b w:val="0"/>
          <w:bCs w:val="0"/>
          <w:kern w:val="2"/>
          <w:sz w:val="24"/>
          <w:szCs w:val="24"/>
          <w:highlight w:val="none"/>
          <w:lang w:val="en-US" w:eastAsia="zh-CN" w:bidi="ar-SA"/>
        </w:rPr>
        <w:t>附件3：反映绩效的照片</w:t>
      </w:r>
      <w:bookmarkEnd w:id="192"/>
    </w:p>
    <w:p w14:paraId="456F04C8">
      <w:pPr>
        <w:pStyle w:val="2"/>
        <w:jc w:val="center"/>
        <w:outlineLvl w:val="9"/>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DBB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42932A12">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4" name="图片 4" descr="微信图片_20230711164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7111646297"/>
                          <pic:cNvPicPr>
                            <a:picLocks noChangeAspect="1"/>
                          </pic:cNvPicPr>
                        </pic:nvPicPr>
                        <pic:blipFill>
                          <a:blip r:embed="rId15"/>
                          <a:stretch>
                            <a:fillRect/>
                          </a:stretch>
                        </pic:blipFill>
                        <pic:spPr>
                          <a:xfrm>
                            <a:off x="0" y="0"/>
                            <a:ext cx="2558415" cy="1438910"/>
                          </a:xfrm>
                          <a:prstGeom prst="rect">
                            <a:avLst/>
                          </a:prstGeom>
                        </pic:spPr>
                      </pic:pic>
                    </a:graphicData>
                  </a:graphic>
                </wp:inline>
              </w:drawing>
            </w:r>
          </w:p>
        </w:tc>
        <w:tc>
          <w:tcPr>
            <w:tcW w:w="4261" w:type="dxa"/>
          </w:tcPr>
          <w:p w14:paraId="50099ABA">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9" name="图片 9" descr="微信图片_20230711164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7111646298"/>
                          <pic:cNvPicPr>
                            <a:picLocks noChangeAspect="1"/>
                          </pic:cNvPicPr>
                        </pic:nvPicPr>
                        <pic:blipFill>
                          <a:blip r:embed="rId16"/>
                          <a:stretch>
                            <a:fillRect/>
                          </a:stretch>
                        </pic:blipFill>
                        <pic:spPr>
                          <a:xfrm>
                            <a:off x="0" y="0"/>
                            <a:ext cx="2558415" cy="1438910"/>
                          </a:xfrm>
                          <a:prstGeom prst="rect">
                            <a:avLst/>
                          </a:prstGeom>
                        </pic:spPr>
                      </pic:pic>
                    </a:graphicData>
                  </a:graphic>
                </wp:inline>
              </w:drawing>
            </w:r>
          </w:p>
        </w:tc>
      </w:tr>
      <w:tr w14:paraId="586D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107DFFE">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百大客乐消费维权服务站</w:t>
            </w:r>
          </w:p>
        </w:tc>
        <w:tc>
          <w:tcPr>
            <w:tcW w:w="4261" w:type="dxa"/>
          </w:tcPr>
          <w:p w14:paraId="46B76082">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百大客乐消费维权服务站</w:t>
            </w:r>
          </w:p>
        </w:tc>
      </w:tr>
      <w:tr w14:paraId="4B13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59F432B">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10" name="图片 10" descr="微信图片_20230711164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7111646299"/>
                          <pic:cNvPicPr>
                            <a:picLocks noChangeAspect="1"/>
                          </pic:cNvPicPr>
                        </pic:nvPicPr>
                        <pic:blipFill>
                          <a:blip r:embed="rId17"/>
                          <a:stretch>
                            <a:fillRect/>
                          </a:stretch>
                        </pic:blipFill>
                        <pic:spPr>
                          <a:xfrm>
                            <a:off x="0" y="0"/>
                            <a:ext cx="2558415" cy="1438910"/>
                          </a:xfrm>
                          <a:prstGeom prst="rect">
                            <a:avLst/>
                          </a:prstGeom>
                        </pic:spPr>
                      </pic:pic>
                    </a:graphicData>
                  </a:graphic>
                </wp:inline>
              </w:drawing>
            </w:r>
          </w:p>
        </w:tc>
        <w:tc>
          <w:tcPr>
            <w:tcW w:w="4261" w:type="dxa"/>
          </w:tcPr>
          <w:p w14:paraId="161C5064">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40000" cy="1428750"/>
                  <wp:effectExtent l="0" t="0" r="0" b="6350"/>
                  <wp:docPr id="32" name="图片 32" descr="微信图片_202307111646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3071116462920"/>
                          <pic:cNvPicPr>
                            <a:picLocks noChangeAspect="1"/>
                          </pic:cNvPicPr>
                        </pic:nvPicPr>
                        <pic:blipFill>
                          <a:blip r:embed="rId18"/>
                          <a:stretch>
                            <a:fillRect/>
                          </a:stretch>
                        </pic:blipFill>
                        <pic:spPr>
                          <a:xfrm>
                            <a:off x="0" y="0"/>
                            <a:ext cx="2540000" cy="1428750"/>
                          </a:xfrm>
                          <a:prstGeom prst="rect">
                            <a:avLst/>
                          </a:prstGeom>
                        </pic:spPr>
                      </pic:pic>
                    </a:graphicData>
                  </a:graphic>
                </wp:inline>
              </w:drawing>
            </w:r>
          </w:p>
        </w:tc>
      </w:tr>
      <w:tr w14:paraId="66D5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8541FC4">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百货大楼消费维权服务站</w:t>
            </w:r>
          </w:p>
        </w:tc>
        <w:tc>
          <w:tcPr>
            <w:tcW w:w="4261" w:type="dxa"/>
          </w:tcPr>
          <w:p w14:paraId="285B3BD4">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好又多消费维权服务站</w:t>
            </w:r>
          </w:p>
        </w:tc>
      </w:tr>
      <w:tr w14:paraId="4988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EA7F66E">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11" name="图片 11" descr="微信图片_20230711164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7111646292"/>
                          <pic:cNvPicPr>
                            <a:picLocks noChangeAspect="1"/>
                          </pic:cNvPicPr>
                        </pic:nvPicPr>
                        <pic:blipFill>
                          <a:blip r:embed="rId19"/>
                          <a:stretch>
                            <a:fillRect/>
                          </a:stretch>
                        </pic:blipFill>
                        <pic:spPr>
                          <a:xfrm>
                            <a:off x="0" y="0"/>
                            <a:ext cx="2558415" cy="1438910"/>
                          </a:xfrm>
                          <a:prstGeom prst="rect">
                            <a:avLst/>
                          </a:prstGeom>
                        </pic:spPr>
                      </pic:pic>
                    </a:graphicData>
                  </a:graphic>
                </wp:inline>
              </w:drawing>
            </w:r>
          </w:p>
        </w:tc>
        <w:tc>
          <w:tcPr>
            <w:tcW w:w="4261" w:type="dxa"/>
          </w:tcPr>
          <w:p w14:paraId="40124CAB">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13" name="图片 13" descr="微信图片_20230711164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7111646293"/>
                          <pic:cNvPicPr>
                            <a:picLocks noChangeAspect="1"/>
                          </pic:cNvPicPr>
                        </pic:nvPicPr>
                        <pic:blipFill>
                          <a:blip r:embed="rId20"/>
                          <a:stretch>
                            <a:fillRect/>
                          </a:stretch>
                        </pic:blipFill>
                        <pic:spPr>
                          <a:xfrm>
                            <a:off x="0" y="0"/>
                            <a:ext cx="2558415" cy="1438910"/>
                          </a:xfrm>
                          <a:prstGeom prst="rect">
                            <a:avLst/>
                          </a:prstGeom>
                        </pic:spPr>
                      </pic:pic>
                    </a:graphicData>
                  </a:graphic>
                </wp:inline>
              </w:drawing>
            </w:r>
          </w:p>
        </w:tc>
      </w:tr>
      <w:tr w14:paraId="4D24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3721BD5">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副食品市场店消费维权服务站</w:t>
            </w:r>
          </w:p>
        </w:tc>
        <w:tc>
          <w:tcPr>
            <w:tcW w:w="4261" w:type="dxa"/>
          </w:tcPr>
          <w:p w14:paraId="7122DE1F">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副食品市场店消费维权服务站</w:t>
            </w:r>
          </w:p>
        </w:tc>
      </w:tr>
      <w:tr w14:paraId="2CBA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15CB0AC">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drawing>
                <wp:inline distT="0" distB="0" distL="114300" distR="114300">
                  <wp:extent cx="2558415" cy="1438910"/>
                  <wp:effectExtent l="0" t="0" r="6985" b="8890"/>
                  <wp:docPr id="19" name="图片 19" descr="微信图片_2023071415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0714155358"/>
                          <pic:cNvPicPr>
                            <a:picLocks noChangeAspect="1"/>
                          </pic:cNvPicPr>
                        </pic:nvPicPr>
                        <pic:blipFill>
                          <a:blip r:embed="rId21"/>
                          <a:stretch>
                            <a:fillRect/>
                          </a:stretch>
                        </pic:blipFill>
                        <pic:spPr>
                          <a:xfrm>
                            <a:off x="0" y="0"/>
                            <a:ext cx="2558415" cy="1438910"/>
                          </a:xfrm>
                          <a:prstGeom prst="rect">
                            <a:avLst/>
                          </a:prstGeom>
                        </pic:spPr>
                      </pic:pic>
                    </a:graphicData>
                  </a:graphic>
                </wp:inline>
              </w:drawing>
            </w:r>
          </w:p>
        </w:tc>
        <w:tc>
          <w:tcPr>
            <w:tcW w:w="4261" w:type="dxa"/>
          </w:tcPr>
          <w:p w14:paraId="500A1EBA">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drawing>
                <wp:inline distT="0" distB="0" distL="114300" distR="114300">
                  <wp:extent cx="2540000" cy="1428750"/>
                  <wp:effectExtent l="0" t="0" r="0" b="6350"/>
                  <wp:docPr id="21" name="图片 21" descr="微信图片_2023071415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714155711"/>
                          <pic:cNvPicPr>
                            <a:picLocks noChangeAspect="1"/>
                          </pic:cNvPicPr>
                        </pic:nvPicPr>
                        <pic:blipFill>
                          <a:blip r:embed="rId22"/>
                          <a:stretch>
                            <a:fillRect/>
                          </a:stretch>
                        </pic:blipFill>
                        <pic:spPr>
                          <a:xfrm>
                            <a:off x="0" y="0"/>
                            <a:ext cx="2540000" cy="1428750"/>
                          </a:xfrm>
                          <a:prstGeom prst="rect">
                            <a:avLst/>
                          </a:prstGeom>
                        </pic:spPr>
                      </pic:pic>
                    </a:graphicData>
                  </a:graphic>
                </wp:inline>
              </w:drawing>
            </w:r>
          </w:p>
        </w:tc>
      </w:tr>
      <w:tr w14:paraId="42CD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4C00167">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供销大楼消费维权服务站</w:t>
            </w:r>
          </w:p>
        </w:tc>
        <w:tc>
          <w:tcPr>
            <w:tcW w:w="4261" w:type="dxa"/>
          </w:tcPr>
          <w:p w14:paraId="214E7A92">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供销大楼消费维权服务站</w:t>
            </w:r>
          </w:p>
        </w:tc>
      </w:tr>
    </w:tbl>
    <w:p w14:paraId="1D16A786">
      <w:pPr>
        <w:outlineLvl w:val="9"/>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688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67185842">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29" name="图片 29" descr="微信图片_202307111646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071116462915"/>
                          <pic:cNvPicPr>
                            <a:picLocks noChangeAspect="1"/>
                          </pic:cNvPicPr>
                        </pic:nvPicPr>
                        <pic:blipFill>
                          <a:blip r:embed="rId23"/>
                          <a:stretch>
                            <a:fillRect/>
                          </a:stretch>
                        </pic:blipFill>
                        <pic:spPr>
                          <a:xfrm>
                            <a:off x="0" y="0"/>
                            <a:ext cx="2558415" cy="1438910"/>
                          </a:xfrm>
                          <a:prstGeom prst="rect">
                            <a:avLst/>
                          </a:prstGeom>
                        </pic:spPr>
                      </pic:pic>
                    </a:graphicData>
                  </a:graphic>
                </wp:inline>
              </w:drawing>
            </w:r>
          </w:p>
        </w:tc>
        <w:tc>
          <w:tcPr>
            <w:tcW w:w="4261" w:type="dxa"/>
          </w:tcPr>
          <w:p w14:paraId="5149EF1E">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30" name="图片 30" descr="微信图片_202307111646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3071116462917"/>
                          <pic:cNvPicPr>
                            <a:picLocks noChangeAspect="1"/>
                          </pic:cNvPicPr>
                        </pic:nvPicPr>
                        <pic:blipFill>
                          <a:blip r:embed="rId24"/>
                          <a:stretch>
                            <a:fillRect/>
                          </a:stretch>
                        </pic:blipFill>
                        <pic:spPr>
                          <a:xfrm>
                            <a:off x="0" y="0"/>
                            <a:ext cx="2558415" cy="1438910"/>
                          </a:xfrm>
                          <a:prstGeom prst="rect">
                            <a:avLst/>
                          </a:prstGeom>
                        </pic:spPr>
                      </pic:pic>
                    </a:graphicData>
                  </a:graphic>
                </wp:inline>
              </w:drawing>
            </w:r>
          </w:p>
        </w:tc>
      </w:tr>
      <w:tr w14:paraId="06B3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E5EBC49">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鹳雀楼消费维权服务站</w:t>
            </w:r>
          </w:p>
        </w:tc>
        <w:tc>
          <w:tcPr>
            <w:tcW w:w="4261" w:type="dxa"/>
          </w:tcPr>
          <w:p w14:paraId="6F41D460">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鹳雀楼消费维权服务站</w:t>
            </w:r>
          </w:p>
        </w:tc>
      </w:tr>
      <w:tr w14:paraId="0537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F542179">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31" name="图片 31" descr="微信图片_202307111646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071116462917"/>
                          <pic:cNvPicPr>
                            <a:picLocks noChangeAspect="1"/>
                          </pic:cNvPicPr>
                        </pic:nvPicPr>
                        <pic:blipFill>
                          <a:blip r:embed="rId24"/>
                          <a:stretch>
                            <a:fillRect/>
                          </a:stretch>
                        </pic:blipFill>
                        <pic:spPr>
                          <a:xfrm>
                            <a:off x="0" y="0"/>
                            <a:ext cx="2558415" cy="1438910"/>
                          </a:xfrm>
                          <a:prstGeom prst="rect">
                            <a:avLst/>
                          </a:prstGeom>
                        </pic:spPr>
                      </pic:pic>
                    </a:graphicData>
                  </a:graphic>
                </wp:inline>
              </w:drawing>
            </w:r>
          </w:p>
        </w:tc>
        <w:tc>
          <w:tcPr>
            <w:tcW w:w="4261" w:type="dxa"/>
          </w:tcPr>
          <w:p w14:paraId="03ABA635">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40000" cy="1428750"/>
                  <wp:effectExtent l="0" t="0" r="0" b="6350"/>
                  <wp:docPr id="37" name="图片 37" descr="微信图片_20230711164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3071116462921"/>
                          <pic:cNvPicPr>
                            <a:picLocks noChangeAspect="1"/>
                          </pic:cNvPicPr>
                        </pic:nvPicPr>
                        <pic:blipFill>
                          <a:blip r:embed="rId25"/>
                          <a:stretch>
                            <a:fillRect/>
                          </a:stretch>
                        </pic:blipFill>
                        <pic:spPr>
                          <a:xfrm>
                            <a:off x="0" y="0"/>
                            <a:ext cx="2540000" cy="1428750"/>
                          </a:xfrm>
                          <a:prstGeom prst="rect">
                            <a:avLst/>
                          </a:prstGeom>
                        </pic:spPr>
                      </pic:pic>
                    </a:graphicData>
                  </a:graphic>
                </wp:inline>
              </w:drawing>
            </w:r>
          </w:p>
        </w:tc>
      </w:tr>
      <w:tr w14:paraId="067C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A46EAF4">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鹳雀楼消费维权服务站</w:t>
            </w:r>
          </w:p>
        </w:tc>
        <w:tc>
          <w:tcPr>
            <w:tcW w:w="4261" w:type="dxa"/>
          </w:tcPr>
          <w:p w14:paraId="1F6DCD3B">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美道家消费维权服务站</w:t>
            </w:r>
          </w:p>
        </w:tc>
      </w:tr>
      <w:tr w14:paraId="3E91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79D96EF">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33" name="图片 33" descr="微信图片_20230711164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307111646294"/>
                          <pic:cNvPicPr>
                            <a:picLocks noChangeAspect="1"/>
                          </pic:cNvPicPr>
                        </pic:nvPicPr>
                        <pic:blipFill>
                          <a:blip r:embed="rId26"/>
                          <a:stretch>
                            <a:fillRect/>
                          </a:stretch>
                        </pic:blipFill>
                        <pic:spPr>
                          <a:xfrm>
                            <a:off x="0" y="0"/>
                            <a:ext cx="2558415" cy="1438910"/>
                          </a:xfrm>
                          <a:prstGeom prst="rect">
                            <a:avLst/>
                          </a:prstGeom>
                        </pic:spPr>
                      </pic:pic>
                    </a:graphicData>
                  </a:graphic>
                </wp:inline>
              </w:drawing>
            </w:r>
          </w:p>
        </w:tc>
        <w:tc>
          <w:tcPr>
            <w:tcW w:w="4261" w:type="dxa"/>
          </w:tcPr>
          <w:p w14:paraId="251B08CC">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35" name="图片 35" descr="微信图片_20230711164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307111646295"/>
                          <pic:cNvPicPr>
                            <a:picLocks noChangeAspect="1"/>
                          </pic:cNvPicPr>
                        </pic:nvPicPr>
                        <pic:blipFill>
                          <a:blip r:embed="rId27"/>
                          <a:stretch>
                            <a:fillRect/>
                          </a:stretch>
                        </pic:blipFill>
                        <pic:spPr>
                          <a:xfrm>
                            <a:off x="0" y="0"/>
                            <a:ext cx="2558415" cy="1438910"/>
                          </a:xfrm>
                          <a:prstGeom prst="rect">
                            <a:avLst/>
                          </a:prstGeom>
                        </pic:spPr>
                      </pic:pic>
                    </a:graphicData>
                  </a:graphic>
                </wp:inline>
              </w:drawing>
            </w:r>
          </w:p>
        </w:tc>
      </w:tr>
      <w:tr w14:paraId="1388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49B0B55">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建材协会消费维权服务站</w:t>
            </w:r>
          </w:p>
        </w:tc>
        <w:tc>
          <w:tcPr>
            <w:tcW w:w="4261" w:type="dxa"/>
          </w:tcPr>
          <w:p w14:paraId="6698DD15">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建材协会消费维权服务站</w:t>
            </w:r>
          </w:p>
        </w:tc>
      </w:tr>
      <w:tr w14:paraId="07B2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908FF79">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drawing>
                <wp:inline distT="0" distB="0" distL="114300" distR="114300">
                  <wp:extent cx="2540000" cy="1428750"/>
                  <wp:effectExtent l="0" t="0" r="0" b="6350"/>
                  <wp:docPr id="39" name="图片 39" descr="微信图片_202307111646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3071116462922"/>
                          <pic:cNvPicPr>
                            <a:picLocks noChangeAspect="1"/>
                          </pic:cNvPicPr>
                        </pic:nvPicPr>
                        <pic:blipFill>
                          <a:blip r:embed="rId28"/>
                          <a:stretch>
                            <a:fillRect/>
                          </a:stretch>
                        </pic:blipFill>
                        <pic:spPr>
                          <a:xfrm>
                            <a:off x="0" y="0"/>
                            <a:ext cx="2540000" cy="1428750"/>
                          </a:xfrm>
                          <a:prstGeom prst="rect">
                            <a:avLst/>
                          </a:prstGeom>
                        </pic:spPr>
                      </pic:pic>
                    </a:graphicData>
                  </a:graphic>
                </wp:inline>
              </w:drawing>
            </w:r>
          </w:p>
        </w:tc>
        <w:tc>
          <w:tcPr>
            <w:tcW w:w="4261" w:type="dxa"/>
          </w:tcPr>
          <w:p w14:paraId="20D325EF">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drawing>
                <wp:inline distT="0" distB="0" distL="114300" distR="114300">
                  <wp:extent cx="2540000" cy="1428750"/>
                  <wp:effectExtent l="0" t="0" r="0" b="6350"/>
                  <wp:docPr id="40" name="图片 40" descr="微信图片_202307111646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3071116462923"/>
                          <pic:cNvPicPr>
                            <a:picLocks noChangeAspect="1"/>
                          </pic:cNvPicPr>
                        </pic:nvPicPr>
                        <pic:blipFill>
                          <a:blip r:embed="rId29"/>
                          <a:stretch>
                            <a:fillRect/>
                          </a:stretch>
                        </pic:blipFill>
                        <pic:spPr>
                          <a:xfrm>
                            <a:off x="0" y="0"/>
                            <a:ext cx="2540000" cy="1428750"/>
                          </a:xfrm>
                          <a:prstGeom prst="rect">
                            <a:avLst/>
                          </a:prstGeom>
                        </pic:spPr>
                      </pic:pic>
                    </a:graphicData>
                  </a:graphic>
                </wp:inline>
              </w:drawing>
            </w:r>
          </w:p>
        </w:tc>
      </w:tr>
      <w:tr w14:paraId="52E6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0511656">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南风百货消费维权服务站</w:t>
            </w:r>
          </w:p>
        </w:tc>
        <w:tc>
          <w:tcPr>
            <w:tcW w:w="4261" w:type="dxa"/>
          </w:tcPr>
          <w:p w14:paraId="2A345C3E">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南风百货消费维权服务站</w:t>
            </w:r>
          </w:p>
        </w:tc>
      </w:tr>
    </w:tbl>
    <w:p w14:paraId="2F231D0D">
      <w:pPr>
        <w:pStyle w:val="2"/>
        <w:outlineLvl w:val="9"/>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72F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775FFA6C">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67" name="图片 67" descr="舜都市场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舜都市场站"/>
                          <pic:cNvPicPr>
                            <a:picLocks noChangeAspect="1"/>
                          </pic:cNvPicPr>
                        </pic:nvPicPr>
                        <pic:blipFill>
                          <a:blip r:embed="rId30"/>
                          <a:stretch>
                            <a:fillRect/>
                          </a:stretch>
                        </pic:blipFill>
                        <pic:spPr>
                          <a:xfrm>
                            <a:off x="0" y="0"/>
                            <a:ext cx="2558415" cy="1438910"/>
                          </a:xfrm>
                          <a:prstGeom prst="rect">
                            <a:avLst/>
                          </a:prstGeom>
                        </pic:spPr>
                      </pic:pic>
                    </a:graphicData>
                  </a:graphic>
                </wp:inline>
              </w:drawing>
            </w:r>
          </w:p>
        </w:tc>
        <w:tc>
          <w:tcPr>
            <w:tcW w:w="4261" w:type="dxa"/>
          </w:tcPr>
          <w:p w14:paraId="308CFD68">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65" name="图片 65" descr="舜都市场站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舜都市场站 (2)"/>
                          <pic:cNvPicPr>
                            <a:picLocks noChangeAspect="1"/>
                          </pic:cNvPicPr>
                        </pic:nvPicPr>
                        <pic:blipFill>
                          <a:blip r:embed="rId31"/>
                          <a:stretch>
                            <a:fillRect/>
                          </a:stretch>
                        </pic:blipFill>
                        <pic:spPr>
                          <a:xfrm>
                            <a:off x="0" y="0"/>
                            <a:ext cx="2558415" cy="1438910"/>
                          </a:xfrm>
                          <a:prstGeom prst="rect">
                            <a:avLst/>
                          </a:prstGeom>
                        </pic:spPr>
                      </pic:pic>
                    </a:graphicData>
                  </a:graphic>
                </wp:inline>
              </w:drawing>
            </w:r>
          </w:p>
        </w:tc>
      </w:tr>
      <w:tr w14:paraId="5E74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FB16EDC">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舜都市场消费维权服务站</w:t>
            </w:r>
          </w:p>
        </w:tc>
        <w:tc>
          <w:tcPr>
            <w:tcW w:w="4261" w:type="dxa"/>
          </w:tcPr>
          <w:p w14:paraId="1B40246C">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舜都市场消费维权服务站</w:t>
            </w:r>
          </w:p>
        </w:tc>
      </w:tr>
      <w:tr w14:paraId="4647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5E8EC5D">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default" w:ascii="仿宋" w:hAnsi="仿宋" w:eastAsia="仿宋" w:cs="仿宋"/>
                <w:b w:val="0"/>
                <w:bCs w:val="0"/>
                <w:kern w:val="2"/>
                <w:sz w:val="28"/>
                <w:szCs w:val="28"/>
                <w:highlight w:val="none"/>
                <w:vertAlign w:val="baseline"/>
                <w:lang w:val="en-US" w:eastAsia="zh-CN" w:bidi="ar-SA"/>
              </w:rPr>
              <w:drawing>
                <wp:inline distT="0" distB="0" distL="114300" distR="114300">
                  <wp:extent cx="2558415" cy="1438910"/>
                  <wp:effectExtent l="0" t="0" r="6985" b="8890"/>
                  <wp:docPr id="51" name="图片 51" descr="微信图片_202307111646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3071116462913"/>
                          <pic:cNvPicPr>
                            <a:picLocks noChangeAspect="1"/>
                          </pic:cNvPicPr>
                        </pic:nvPicPr>
                        <pic:blipFill>
                          <a:blip r:embed="rId32"/>
                          <a:stretch>
                            <a:fillRect/>
                          </a:stretch>
                        </pic:blipFill>
                        <pic:spPr>
                          <a:xfrm>
                            <a:off x="0" y="0"/>
                            <a:ext cx="2558415" cy="1438910"/>
                          </a:xfrm>
                          <a:prstGeom prst="rect">
                            <a:avLst/>
                          </a:prstGeom>
                        </pic:spPr>
                      </pic:pic>
                    </a:graphicData>
                  </a:graphic>
                </wp:inline>
              </w:drawing>
            </w:r>
          </w:p>
        </w:tc>
        <w:tc>
          <w:tcPr>
            <w:tcW w:w="4261" w:type="dxa"/>
          </w:tcPr>
          <w:p w14:paraId="1543100C">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default" w:ascii="仿宋" w:hAnsi="仿宋" w:eastAsia="仿宋" w:cs="仿宋"/>
                <w:b w:val="0"/>
                <w:bCs w:val="0"/>
                <w:kern w:val="2"/>
                <w:sz w:val="28"/>
                <w:szCs w:val="28"/>
                <w:highlight w:val="none"/>
                <w:vertAlign w:val="baseline"/>
                <w:lang w:val="en-US" w:eastAsia="zh-CN" w:bidi="ar-SA"/>
              </w:rPr>
              <w:drawing>
                <wp:inline distT="0" distB="0" distL="114300" distR="114300">
                  <wp:extent cx="2558415" cy="1438910"/>
                  <wp:effectExtent l="0" t="0" r="6985" b="8890"/>
                  <wp:docPr id="53" name="图片 53" descr="微信图片_202307111646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3071116462914"/>
                          <pic:cNvPicPr>
                            <a:picLocks noChangeAspect="1"/>
                          </pic:cNvPicPr>
                        </pic:nvPicPr>
                        <pic:blipFill>
                          <a:blip r:embed="rId33"/>
                          <a:stretch>
                            <a:fillRect/>
                          </a:stretch>
                        </pic:blipFill>
                        <pic:spPr>
                          <a:xfrm>
                            <a:off x="0" y="0"/>
                            <a:ext cx="2558415" cy="1438910"/>
                          </a:xfrm>
                          <a:prstGeom prst="rect">
                            <a:avLst/>
                          </a:prstGeom>
                        </pic:spPr>
                      </pic:pic>
                    </a:graphicData>
                  </a:graphic>
                </wp:inline>
              </w:drawing>
            </w:r>
          </w:p>
        </w:tc>
      </w:tr>
      <w:tr w14:paraId="4B84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F1E36A1">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普救寺消费维权服务站</w:t>
            </w:r>
          </w:p>
        </w:tc>
        <w:tc>
          <w:tcPr>
            <w:tcW w:w="4261" w:type="dxa"/>
          </w:tcPr>
          <w:p w14:paraId="32F0E541">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普救寺消费维权服务站</w:t>
            </w:r>
          </w:p>
        </w:tc>
      </w:tr>
      <w:tr w14:paraId="306B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263FDEA">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40000" cy="1428750"/>
                  <wp:effectExtent l="0" t="0" r="0" b="6350"/>
                  <wp:docPr id="54" name="图片 54" descr="微信图片_202307111646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3071116462918"/>
                          <pic:cNvPicPr>
                            <a:picLocks noChangeAspect="1"/>
                          </pic:cNvPicPr>
                        </pic:nvPicPr>
                        <pic:blipFill>
                          <a:blip r:embed="rId34"/>
                          <a:stretch>
                            <a:fillRect/>
                          </a:stretch>
                        </pic:blipFill>
                        <pic:spPr>
                          <a:xfrm>
                            <a:off x="0" y="0"/>
                            <a:ext cx="2540000" cy="1428750"/>
                          </a:xfrm>
                          <a:prstGeom prst="rect">
                            <a:avLst/>
                          </a:prstGeom>
                        </pic:spPr>
                      </pic:pic>
                    </a:graphicData>
                  </a:graphic>
                </wp:inline>
              </w:drawing>
            </w:r>
          </w:p>
        </w:tc>
        <w:tc>
          <w:tcPr>
            <w:tcW w:w="4261" w:type="dxa"/>
          </w:tcPr>
          <w:p w14:paraId="5BB932D6">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40000" cy="1428750"/>
                  <wp:effectExtent l="0" t="0" r="0" b="6350"/>
                  <wp:docPr id="55" name="图片 55" descr="微信图片_202307111646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3071116462919"/>
                          <pic:cNvPicPr>
                            <a:picLocks noChangeAspect="1"/>
                          </pic:cNvPicPr>
                        </pic:nvPicPr>
                        <pic:blipFill>
                          <a:blip r:embed="rId35"/>
                          <a:stretch>
                            <a:fillRect/>
                          </a:stretch>
                        </pic:blipFill>
                        <pic:spPr>
                          <a:xfrm>
                            <a:off x="0" y="0"/>
                            <a:ext cx="2540000" cy="1428750"/>
                          </a:xfrm>
                          <a:prstGeom prst="rect">
                            <a:avLst/>
                          </a:prstGeom>
                        </pic:spPr>
                      </pic:pic>
                    </a:graphicData>
                  </a:graphic>
                </wp:inline>
              </w:drawing>
            </w:r>
          </w:p>
        </w:tc>
      </w:tr>
      <w:tr w14:paraId="7DCB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91DDA5B">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润田农贸市场消费维权服务站</w:t>
            </w:r>
          </w:p>
        </w:tc>
        <w:tc>
          <w:tcPr>
            <w:tcW w:w="4261" w:type="dxa"/>
          </w:tcPr>
          <w:p w14:paraId="3F2B4D2C">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润田农贸市场消费维权服务站</w:t>
            </w:r>
          </w:p>
        </w:tc>
      </w:tr>
      <w:tr w14:paraId="5FB2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6E31188">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drawing>
                <wp:inline distT="0" distB="0" distL="114300" distR="114300">
                  <wp:extent cx="2540000" cy="1428750"/>
                  <wp:effectExtent l="0" t="0" r="0" b="6350"/>
                  <wp:docPr id="56" name="图片 56" descr="神潭景区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神潭景区站"/>
                          <pic:cNvPicPr>
                            <a:picLocks noChangeAspect="1"/>
                          </pic:cNvPicPr>
                        </pic:nvPicPr>
                        <pic:blipFill>
                          <a:blip r:embed="rId36"/>
                          <a:stretch>
                            <a:fillRect/>
                          </a:stretch>
                        </pic:blipFill>
                        <pic:spPr>
                          <a:xfrm>
                            <a:off x="0" y="0"/>
                            <a:ext cx="2540000" cy="1428750"/>
                          </a:xfrm>
                          <a:prstGeom prst="rect">
                            <a:avLst/>
                          </a:prstGeom>
                        </pic:spPr>
                      </pic:pic>
                    </a:graphicData>
                  </a:graphic>
                </wp:inline>
              </w:drawing>
            </w:r>
          </w:p>
        </w:tc>
        <w:tc>
          <w:tcPr>
            <w:tcW w:w="4261" w:type="dxa"/>
          </w:tcPr>
          <w:p w14:paraId="020674BB">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drawing>
                <wp:inline distT="0" distB="0" distL="114300" distR="114300">
                  <wp:extent cx="2540000" cy="1428750"/>
                  <wp:effectExtent l="0" t="0" r="0" b="6350"/>
                  <wp:docPr id="57" name="图片 57" descr="微信图片_20230711164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307111646301"/>
                          <pic:cNvPicPr>
                            <a:picLocks noChangeAspect="1"/>
                          </pic:cNvPicPr>
                        </pic:nvPicPr>
                        <pic:blipFill>
                          <a:blip r:embed="rId37"/>
                          <a:stretch>
                            <a:fillRect/>
                          </a:stretch>
                        </pic:blipFill>
                        <pic:spPr>
                          <a:xfrm>
                            <a:off x="0" y="0"/>
                            <a:ext cx="2540000" cy="1428750"/>
                          </a:xfrm>
                          <a:prstGeom prst="rect">
                            <a:avLst/>
                          </a:prstGeom>
                        </pic:spPr>
                      </pic:pic>
                    </a:graphicData>
                  </a:graphic>
                </wp:inline>
              </w:drawing>
            </w:r>
          </w:p>
        </w:tc>
      </w:tr>
      <w:tr w14:paraId="12A3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80EB840">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神潭大峡谷消费维权服务站</w:t>
            </w:r>
          </w:p>
        </w:tc>
        <w:tc>
          <w:tcPr>
            <w:tcW w:w="4261" w:type="dxa"/>
          </w:tcPr>
          <w:p w14:paraId="35CEA5FE">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神潭大峡谷消费维权服务站</w:t>
            </w:r>
          </w:p>
        </w:tc>
      </w:tr>
    </w:tbl>
    <w:p w14:paraId="561549E6">
      <w:pPr>
        <w:pStyle w:val="2"/>
        <w:outlineLvl w:val="9"/>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48F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054D492">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49" name="图片 49" descr="微信图片_20230711164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307111646296"/>
                          <pic:cNvPicPr>
                            <a:picLocks noChangeAspect="1"/>
                          </pic:cNvPicPr>
                        </pic:nvPicPr>
                        <pic:blipFill>
                          <a:blip r:embed="rId38"/>
                          <a:stretch>
                            <a:fillRect/>
                          </a:stretch>
                        </pic:blipFill>
                        <pic:spPr>
                          <a:xfrm>
                            <a:off x="0" y="0"/>
                            <a:ext cx="2558415" cy="1438910"/>
                          </a:xfrm>
                          <a:prstGeom prst="rect">
                            <a:avLst/>
                          </a:prstGeom>
                        </pic:spPr>
                      </pic:pic>
                    </a:graphicData>
                  </a:graphic>
                </wp:inline>
              </w:drawing>
            </w:r>
          </w:p>
        </w:tc>
        <w:tc>
          <w:tcPr>
            <w:tcW w:w="4261" w:type="dxa"/>
          </w:tcPr>
          <w:p w14:paraId="23B65141">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40000" cy="1428750"/>
                  <wp:effectExtent l="0" t="0" r="0" b="6350"/>
                  <wp:docPr id="68" name="图片 68" descr="微信图片_2023071416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30714160158"/>
                          <pic:cNvPicPr>
                            <a:picLocks noChangeAspect="1"/>
                          </pic:cNvPicPr>
                        </pic:nvPicPr>
                        <pic:blipFill>
                          <a:blip r:embed="rId39"/>
                          <a:stretch>
                            <a:fillRect/>
                          </a:stretch>
                        </pic:blipFill>
                        <pic:spPr>
                          <a:xfrm>
                            <a:off x="0" y="0"/>
                            <a:ext cx="2540000" cy="1428750"/>
                          </a:xfrm>
                          <a:prstGeom prst="rect">
                            <a:avLst/>
                          </a:prstGeom>
                        </pic:spPr>
                      </pic:pic>
                    </a:graphicData>
                  </a:graphic>
                </wp:inline>
              </w:drawing>
            </w:r>
          </w:p>
        </w:tc>
      </w:tr>
      <w:tr w14:paraId="70E5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18DADA9">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蒲津客乐购消费维权服务站</w:t>
            </w:r>
          </w:p>
        </w:tc>
        <w:tc>
          <w:tcPr>
            <w:tcW w:w="4261" w:type="dxa"/>
          </w:tcPr>
          <w:p w14:paraId="61907F06">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五老峰消费维权服务站</w:t>
            </w:r>
          </w:p>
        </w:tc>
      </w:tr>
      <w:tr w14:paraId="0645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DDBDE4D">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73" name="图片 73" descr="微信图片_20230714155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307141551032"/>
                          <pic:cNvPicPr>
                            <a:picLocks noChangeAspect="1"/>
                          </pic:cNvPicPr>
                        </pic:nvPicPr>
                        <pic:blipFill>
                          <a:blip r:embed="rId40"/>
                          <a:stretch>
                            <a:fillRect/>
                          </a:stretch>
                        </pic:blipFill>
                        <pic:spPr>
                          <a:xfrm>
                            <a:off x="0" y="0"/>
                            <a:ext cx="2558415" cy="1438910"/>
                          </a:xfrm>
                          <a:prstGeom prst="rect">
                            <a:avLst/>
                          </a:prstGeom>
                        </pic:spPr>
                      </pic:pic>
                    </a:graphicData>
                  </a:graphic>
                </wp:inline>
              </w:drawing>
            </w:r>
          </w:p>
        </w:tc>
        <w:tc>
          <w:tcPr>
            <w:tcW w:w="4261" w:type="dxa"/>
          </w:tcPr>
          <w:p w14:paraId="2464A716">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70" name="图片 70" descr="微信图片_20230714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30714155103"/>
                          <pic:cNvPicPr>
                            <a:picLocks noChangeAspect="1"/>
                          </pic:cNvPicPr>
                        </pic:nvPicPr>
                        <pic:blipFill>
                          <a:blip r:embed="rId41"/>
                          <a:stretch>
                            <a:fillRect/>
                          </a:stretch>
                        </pic:blipFill>
                        <pic:spPr>
                          <a:xfrm>
                            <a:off x="0" y="0"/>
                            <a:ext cx="2558415" cy="1438910"/>
                          </a:xfrm>
                          <a:prstGeom prst="rect">
                            <a:avLst/>
                          </a:prstGeom>
                        </pic:spPr>
                      </pic:pic>
                    </a:graphicData>
                  </a:graphic>
                </wp:inline>
              </w:drawing>
            </w:r>
          </w:p>
        </w:tc>
      </w:tr>
      <w:tr w14:paraId="0409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EF48994">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雪花山景区消费维权服务站</w:t>
            </w:r>
          </w:p>
        </w:tc>
        <w:tc>
          <w:tcPr>
            <w:tcW w:w="4261" w:type="dxa"/>
          </w:tcPr>
          <w:p w14:paraId="712B5A71">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雪花山景区消费维权服务站</w:t>
            </w:r>
          </w:p>
        </w:tc>
      </w:tr>
      <w:tr w14:paraId="6D86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0D2B575">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72" name="图片 72" descr="微信图片_2023071415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307141551031"/>
                          <pic:cNvPicPr>
                            <a:picLocks noChangeAspect="1"/>
                          </pic:cNvPicPr>
                        </pic:nvPicPr>
                        <pic:blipFill>
                          <a:blip r:embed="rId42"/>
                          <a:stretch>
                            <a:fillRect/>
                          </a:stretch>
                        </pic:blipFill>
                        <pic:spPr>
                          <a:xfrm>
                            <a:off x="0" y="0"/>
                            <a:ext cx="2558415" cy="1438910"/>
                          </a:xfrm>
                          <a:prstGeom prst="rect">
                            <a:avLst/>
                          </a:prstGeom>
                        </pic:spPr>
                      </pic:pic>
                    </a:graphicData>
                  </a:graphic>
                </wp:inline>
              </w:drawing>
            </w:r>
          </w:p>
        </w:tc>
        <w:tc>
          <w:tcPr>
            <w:tcW w:w="4261" w:type="dxa"/>
          </w:tcPr>
          <w:p w14:paraId="5331E642">
            <w:pPr>
              <w:pStyle w:val="2"/>
              <w:outlineLvl w:val="9"/>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drawing>
                <wp:inline distT="0" distB="0" distL="114300" distR="114300">
                  <wp:extent cx="2558415" cy="1438910"/>
                  <wp:effectExtent l="0" t="0" r="6985" b="8890"/>
                  <wp:docPr id="79" name="图片 79" descr="微信图片_202307111646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3071116462912"/>
                          <pic:cNvPicPr>
                            <a:picLocks noChangeAspect="1"/>
                          </pic:cNvPicPr>
                        </pic:nvPicPr>
                        <pic:blipFill>
                          <a:blip r:embed="rId43"/>
                          <a:stretch>
                            <a:fillRect/>
                          </a:stretch>
                        </pic:blipFill>
                        <pic:spPr>
                          <a:xfrm>
                            <a:off x="0" y="0"/>
                            <a:ext cx="2558415" cy="1438910"/>
                          </a:xfrm>
                          <a:prstGeom prst="rect">
                            <a:avLst/>
                          </a:prstGeom>
                        </pic:spPr>
                      </pic:pic>
                    </a:graphicData>
                  </a:graphic>
                </wp:inline>
              </w:drawing>
            </w:r>
          </w:p>
        </w:tc>
      </w:tr>
      <w:tr w14:paraId="4F971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59B256D">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雪花山景区消费维权服务站</w:t>
            </w:r>
          </w:p>
        </w:tc>
        <w:tc>
          <w:tcPr>
            <w:tcW w:w="4261" w:type="dxa"/>
          </w:tcPr>
          <w:p w14:paraId="11BABB2A">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尧王台消费维权服务站</w:t>
            </w:r>
          </w:p>
        </w:tc>
      </w:tr>
      <w:tr w14:paraId="3CF1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BC5A7A7">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drawing>
                <wp:inline distT="0" distB="0" distL="114300" distR="114300">
                  <wp:extent cx="2558415" cy="1438910"/>
                  <wp:effectExtent l="0" t="0" r="6985" b="8890"/>
                  <wp:docPr id="74" name="图片 74" descr="微信图片_202307111646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微信图片_2023071116462911"/>
                          <pic:cNvPicPr>
                            <a:picLocks noChangeAspect="1"/>
                          </pic:cNvPicPr>
                        </pic:nvPicPr>
                        <pic:blipFill>
                          <a:blip r:embed="rId44"/>
                          <a:stretch>
                            <a:fillRect/>
                          </a:stretch>
                        </pic:blipFill>
                        <pic:spPr>
                          <a:xfrm>
                            <a:off x="0" y="0"/>
                            <a:ext cx="2558415" cy="1438910"/>
                          </a:xfrm>
                          <a:prstGeom prst="rect">
                            <a:avLst/>
                          </a:prstGeom>
                        </pic:spPr>
                      </pic:pic>
                    </a:graphicData>
                  </a:graphic>
                </wp:inline>
              </w:drawing>
            </w:r>
          </w:p>
        </w:tc>
        <w:tc>
          <w:tcPr>
            <w:tcW w:w="4261" w:type="dxa"/>
          </w:tcPr>
          <w:p w14:paraId="2F096BF3">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drawing>
                <wp:inline distT="0" distB="0" distL="114300" distR="114300">
                  <wp:extent cx="2558415" cy="1438910"/>
                  <wp:effectExtent l="0" t="0" r="6985" b="8890"/>
                  <wp:docPr id="75" name="图片 75" descr="微信图片_202307111646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3071116462910"/>
                          <pic:cNvPicPr>
                            <a:picLocks noChangeAspect="1"/>
                          </pic:cNvPicPr>
                        </pic:nvPicPr>
                        <pic:blipFill>
                          <a:blip r:embed="rId45"/>
                          <a:stretch>
                            <a:fillRect/>
                          </a:stretch>
                        </pic:blipFill>
                        <pic:spPr>
                          <a:xfrm>
                            <a:off x="0" y="0"/>
                            <a:ext cx="2558415" cy="1438910"/>
                          </a:xfrm>
                          <a:prstGeom prst="rect">
                            <a:avLst/>
                          </a:prstGeom>
                        </pic:spPr>
                      </pic:pic>
                    </a:graphicData>
                  </a:graphic>
                </wp:inline>
              </w:drawing>
            </w:r>
          </w:p>
        </w:tc>
      </w:tr>
      <w:tr w14:paraId="63A0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01BBA0A">
            <w:pPr>
              <w:pStyle w:val="2"/>
              <w:jc w:val="center"/>
              <w:outlineLvl w:val="9"/>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尧王台消费维权服务站</w:t>
            </w:r>
          </w:p>
        </w:tc>
        <w:tc>
          <w:tcPr>
            <w:tcW w:w="4261" w:type="dxa"/>
          </w:tcPr>
          <w:p w14:paraId="42EE6441">
            <w:pPr>
              <w:pStyle w:val="2"/>
              <w:jc w:val="center"/>
              <w:outlineLvl w:val="9"/>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尧王台消费维权服务站</w:t>
            </w:r>
          </w:p>
        </w:tc>
      </w:tr>
    </w:tbl>
    <w:p w14:paraId="2123E6C1">
      <w:pPr>
        <w:pStyle w:val="2"/>
        <w:outlineLvl w:val="9"/>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609DF5E">
      <w:pPr>
        <w:pStyle w:val="2"/>
        <w:outlineLvl w:val="1"/>
        <w:rPr>
          <w:rFonts w:hint="eastAsia" w:ascii="仿宋" w:hAnsi="仿宋" w:eastAsia="仿宋" w:cs="仿宋"/>
          <w:color w:val="auto"/>
          <w:sz w:val="24"/>
          <w:szCs w:val="22"/>
          <w:highlight w:val="none"/>
        </w:rPr>
      </w:pPr>
      <w:bookmarkStart w:id="193" w:name="_Toc1178"/>
      <w:bookmarkStart w:id="194" w:name="_Toc31791"/>
      <w:r>
        <w:rPr>
          <w:rFonts w:hint="eastAsia" w:ascii="仿宋" w:hAnsi="仿宋" w:eastAsia="仿宋" w:cs="仿宋"/>
          <w:color w:val="auto"/>
          <w:sz w:val="24"/>
          <w:szCs w:val="22"/>
          <w:highlight w:val="none"/>
        </w:rPr>
        <w:t>附件</w:t>
      </w:r>
      <w:r>
        <w:rPr>
          <w:rFonts w:hint="eastAsia" w:ascii="仿宋" w:eastAsia="仿宋" w:cs="仿宋"/>
          <w:color w:val="auto"/>
          <w:sz w:val="24"/>
          <w:szCs w:val="22"/>
          <w:highlight w:val="none"/>
          <w:lang w:val="en-US" w:eastAsia="zh-CN"/>
        </w:rPr>
        <w:t>4</w:t>
      </w:r>
      <w:r>
        <w:rPr>
          <w:rFonts w:hint="eastAsia" w:ascii="仿宋" w:hAnsi="仿宋" w:eastAsia="仿宋" w:cs="仿宋"/>
          <w:color w:val="auto"/>
          <w:sz w:val="24"/>
          <w:szCs w:val="22"/>
          <w:highlight w:val="none"/>
        </w:rPr>
        <w:t>：调查问卷分析报告</w:t>
      </w:r>
      <w:bookmarkEnd w:id="193"/>
      <w:bookmarkEnd w:id="194"/>
    </w:p>
    <w:p w14:paraId="7E9CAD8A">
      <w:pPr>
        <w:spacing w:line="560" w:lineRule="exact"/>
        <w:ind w:firstLine="643" w:firstLineChars="200"/>
        <w:jc w:val="center"/>
        <w:outlineLvl w:val="9"/>
        <w:rPr>
          <w:rFonts w:hint="default" w:ascii="仿宋" w:hAnsi="仿宋" w:eastAsia="仿宋" w:cs="仿宋"/>
          <w:b/>
          <w:bCs w:val="0"/>
          <w:sz w:val="32"/>
          <w:szCs w:val="32"/>
          <w:highlight w:val="none"/>
          <w:lang w:val="en-US" w:eastAsia="zh-CN" w:bidi="ar"/>
        </w:rPr>
      </w:pPr>
      <w:r>
        <w:rPr>
          <w:rFonts w:hint="eastAsia" w:ascii="仿宋" w:hAnsi="仿宋" w:eastAsia="仿宋" w:cs="仿宋"/>
          <w:b/>
          <w:bCs w:val="0"/>
          <w:sz w:val="32"/>
          <w:szCs w:val="32"/>
          <w:highlight w:val="none"/>
          <w:lang w:val="en-US" w:eastAsia="zh-CN" w:bidi="ar"/>
        </w:rPr>
        <w:t>永济市市场监督管理局2023年部门整体支出</w:t>
      </w:r>
    </w:p>
    <w:p w14:paraId="427CBFFA">
      <w:pPr>
        <w:spacing w:line="560" w:lineRule="exact"/>
        <w:ind w:firstLine="643" w:firstLineChars="200"/>
        <w:jc w:val="center"/>
        <w:outlineLvl w:val="9"/>
        <w:rPr>
          <w:rFonts w:hint="eastAsia" w:ascii="仿宋" w:hAnsi="仿宋" w:eastAsia="仿宋" w:cs="仿宋"/>
          <w:b/>
          <w:bCs w:val="0"/>
          <w:sz w:val="32"/>
          <w:szCs w:val="32"/>
          <w:highlight w:val="none"/>
          <w:lang w:val="en-US" w:eastAsia="zh-CN" w:bidi="ar"/>
        </w:rPr>
      </w:pPr>
      <w:r>
        <w:rPr>
          <w:rFonts w:hint="eastAsia" w:ascii="仿宋" w:hAnsi="仿宋" w:eastAsia="仿宋" w:cs="仿宋"/>
          <w:b/>
          <w:bCs w:val="0"/>
          <w:sz w:val="32"/>
          <w:szCs w:val="32"/>
          <w:highlight w:val="none"/>
          <w:lang w:val="en-US" w:eastAsia="zh-CN" w:bidi="ar"/>
        </w:rPr>
        <w:t>绩效评价调查问卷分析报告</w:t>
      </w:r>
    </w:p>
    <w:p w14:paraId="60D590F4">
      <w:pPr>
        <w:widowControl w:val="0"/>
        <w:spacing w:line="560" w:lineRule="exact"/>
        <w:ind w:firstLine="560" w:firstLineChars="200"/>
        <w:jc w:val="both"/>
        <w:outlineLvl w:val="0"/>
        <w:rPr>
          <w:rFonts w:hint="eastAsia" w:ascii="仿宋" w:hAnsi="仿宋" w:eastAsia="仿宋" w:cs="仿宋"/>
          <w:b w:val="0"/>
          <w:bCs w:val="0"/>
          <w:kern w:val="2"/>
          <w:sz w:val="28"/>
          <w:szCs w:val="28"/>
          <w:highlight w:val="none"/>
          <w:lang w:val="en-US" w:eastAsia="zh-CN" w:bidi="ar-SA"/>
        </w:rPr>
      </w:pPr>
      <w:bookmarkStart w:id="195" w:name="_Toc25832"/>
      <w:bookmarkStart w:id="196" w:name="_Toc4136"/>
      <w:r>
        <w:rPr>
          <w:rFonts w:hint="eastAsia" w:ascii="仿宋" w:hAnsi="仿宋" w:eastAsia="仿宋" w:cs="仿宋"/>
          <w:b w:val="0"/>
          <w:bCs w:val="0"/>
          <w:kern w:val="2"/>
          <w:sz w:val="28"/>
          <w:szCs w:val="28"/>
          <w:highlight w:val="none"/>
          <w:lang w:val="en-US" w:eastAsia="zh-CN" w:bidi="ar-SA"/>
        </w:rPr>
        <w:t>一、调查目的</w:t>
      </w:r>
      <w:bookmarkEnd w:id="195"/>
      <w:bookmarkEnd w:id="196"/>
    </w:p>
    <w:p w14:paraId="4CCB290C">
      <w:pPr>
        <w:widowControl w:val="0"/>
        <w:spacing w:line="560" w:lineRule="exact"/>
        <w:ind w:firstLine="560" w:firstLineChars="200"/>
        <w:jc w:val="both"/>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本次通过问卷调查获取商户、企业及社会公众对永济市市场监督管理局整体的满意度。</w:t>
      </w:r>
    </w:p>
    <w:p w14:paraId="7E5C92B0">
      <w:pPr>
        <w:widowControl w:val="0"/>
        <w:spacing w:line="560" w:lineRule="exact"/>
        <w:ind w:firstLine="560" w:firstLineChars="200"/>
        <w:jc w:val="both"/>
        <w:outlineLvl w:val="0"/>
        <w:rPr>
          <w:rFonts w:hint="eastAsia" w:ascii="仿宋" w:hAnsi="仿宋" w:eastAsia="仿宋" w:cs="仿宋"/>
          <w:b w:val="0"/>
          <w:bCs w:val="0"/>
          <w:kern w:val="2"/>
          <w:sz w:val="28"/>
          <w:szCs w:val="28"/>
          <w:highlight w:val="none"/>
          <w:lang w:val="en-US" w:eastAsia="zh-CN" w:bidi="ar-SA"/>
        </w:rPr>
      </w:pPr>
      <w:bookmarkStart w:id="197" w:name="_Toc9202"/>
      <w:bookmarkStart w:id="198" w:name="_Toc24382"/>
      <w:r>
        <w:rPr>
          <w:rFonts w:hint="eastAsia" w:ascii="仿宋" w:hAnsi="仿宋" w:eastAsia="仿宋" w:cs="仿宋"/>
          <w:b w:val="0"/>
          <w:bCs w:val="0"/>
          <w:kern w:val="2"/>
          <w:sz w:val="28"/>
          <w:szCs w:val="28"/>
          <w:highlight w:val="none"/>
          <w:lang w:val="en-US" w:eastAsia="zh-CN" w:bidi="ar-SA"/>
        </w:rPr>
        <w:t>二、调查对象</w:t>
      </w:r>
      <w:bookmarkEnd w:id="197"/>
      <w:bookmarkEnd w:id="198"/>
    </w:p>
    <w:p w14:paraId="62518293">
      <w:pPr>
        <w:widowControl w:val="0"/>
        <w:spacing w:line="560" w:lineRule="exact"/>
        <w:ind w:firstLine="560" w:firstLineChars="200"/>
        <w:jc w:val="both"/>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商户和企业、本部门职工。</w:t>
      </w:r>
    </w:p>
    <w:p w14:paraId="08CBEA06">
      <w:pPr>
        <w:widowControl w:val="0"/>
        <w:spacing w:line="560" w:lineRule="exact"/>
        <w:ind w:firstLine="560" w:firstLineChars="200"/>
        <w:jc w:val="both"/>
        <w:outlineLvl w:val="0"/>
        <w:rPr>
          <w:rFonts w:hint="eastAsia" w:ascii="仿宋" w:hAnsi="仿宋" w:eastAsia="仿宋" w:cs="仿宋"/>
          <w:b w:val="0"/>
          <w:bCs w:val="0"/>
          <w:kern w:val="2"/>
          <w:sz w:val="28"/>
          <w:szCs w:val="28"/>
          <w:highlight w:val="none"/>
          <w:lang w:val="en-US" w:eastAsia="zh-CN" w:bidi="ar-SA"/>
        </w:rPr>
      </w:pPr>
      <w:bookmarkStart w:id="199" w:name="_Toc32751"/>
      <w:bookmarkStart w:id="200" w:name="_Toc550"/>
      <w:r>
        <w:rPr>
          <w:rFonts w:hint="eastAsia" w:ascii="仿宋" w:hAnsi="仿宋" w:eastAsia="仿宋" w:cs="仿宋"/>
          <w:b w:val="0"/>
          <w:bCs w:val="0"/>
          <w:kern w:val="2"/>
          <w:sz w:val="28"/>
          <w:szCs w:val="28"/>
          <w:highlight w:val="none"/>
          <w:lang w:val="en-US" w:eastAsia="zh-CN" w:bidi="ar-SA"/>
        </w:rPr>
        <w:t>三、调查方式和样本量</w:t>
      </w:r>
      <w:bookmarkEnd w:id="199"/>
      <w:bookmarkEnd w:id="200"/>
    </w:p>
    <w:p w14:paraId="62A65C01">
      <w:pPr>
        <w:widowControl w:val="0"/>
        <w:spacing w:line="560" w:lineRule="exact"/>
        <w:ind w:firstLine="560" w:firstLineChars="200"/>
        <w:jc w:val="both"/>
        <w:outlineLvl w:val="9"/>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本次采用问卷星调查方式进行问卷调查。共调查受益群体398人，本部门职工114人，实际回收512份问卷。</w:t>
      </w:r>
    </w:p>
    <w:p w14:paraId="7CFB3349">
      <w:pPr>
        <w:widowControl w:val="0"/>
        <w:spacing w:line="560" w:lineRule="exact"/>
        <w:ind w:firstLine="560" w:firstLineChars="200"/>
        <w:jc w:val="both"/>
        <w:outlineLvl w:val="0"/>
        <w:rPr>
          <w:rFonts w:hint="eastAsia" w:ascii="仿宋" w:hAnsi="仿宋" w:eastAsia="仿宋" w:cs="仿宋"/>
          <w:b w:val="0"/>
          <w:bCs w:val="0"/>
          <w:kern w:val="2"/>
          <w:sz w:val="28"/>
          <w:szCs w:val="28"/>
          <w:highlight w:val="none"/>
          <w:lang w:val="en-US" w:eastAsia="zh-CN" w:bidi="ar-SA"/>
        </w:rPr>
      </w:pPr>
      <w:bookmarkStart w:id="201" w:name="_Toc10034"/>
      <w:bookmarkStart w:id="202" w:name="_Toc9222"/>
      <w:r>
        <w:rPr>
          <w:rFonts w:hint="eastAsia" w:ascii="仿宋" w:hAnsi="仿宋" w:eastAsia="仿宋" w:cs="仿宋"/>
          <w:b w:val="0"/>
          <w:bCs w:val="0"/>
          <w:kern w:val="2"/>
          <w:sz w:val="28"/>
          <w:szCs w:val="28"/>
          <w:highlight w:val="none"/>
          <w:lang w:val="en-US" w:eastAsia="zh-CN" w:bidi="ar-SA"/>
        </w:rPr>
        <w:t>四、调查主要内容</w:t>
      </w:r>
      <w:bookmarkEnd w:id="201"/>
      <w:bookmarkEnd w:id="202"/>
    </w:p>
    <w:p w14:paraId="4A56E49A">
      <w:pPr>
        <w:widowControl w:val="0"/>
        <w:spacing w:line="560" w:lineRule="exact"/>
        <w:ind w:firstLine="560" w:firstLineChars="200"/>
        <w:jc w:val="both"/>
        <w:outlineLvl w:val="9"/>
        <w:rPr>
          <w:rFonts w:hint="eastAsia" w:ascii="仿宋" w:hAnsi="仿宋" w:eastAsia="仿宋" w:cs="仿宋"/>
          <w:b w:val="0"/>
          <w:bCs w:val="0"/>
          <w:kern w:val="2"/>
          <w:sz w:val="28"/>
          <w:szCs w:val="28"/>
          <w:highlight w:val="none"/>
          <w:lang w:val="en-US" w:eastAsia="zh-CN" w:bidi="ar-SA"/>
        </w:rPr>
      </w:pPr>
      <w:r>
        <w:rPr>
          <w:rFonts w:hint="default" w:ascii="仿宋" w:hAnsi="仿宋" w:eastAsia="仿宋" w:cs="仿宋"/>
          <w:b w:val="0"/>
          <w:bCs w:val="0"/>
          <w:kern w:val="2"/>
          <w:sz w:val="28"/>
          <w:szCs w:val="28"/>
          <w:highlight w:val="none"/>
          <w:lang w:val="en-US" w:eastAsia="zh-CN" w:bidi="ar-SA"/>
        </w:rPr>
        <w:t>本次问卷内容</w:t>
      </w:r>
      <w:r>
        <w:rPr>
          <w:rFonts w:hint="eastAsia" w:ascii="仿宋" w:hAnsi="仿宋" w:eastAsia="仿宋" w:cs="仿宋"/>
          <w:b w:val="0"/>
          <w:bCs w:val="0"/>
          <w:kern w:val="2"/>
          <w:sz w:val="28"/>
          <w:szCs w:val="28"/>
          <w:highlight w:val="none"/>
          <w:lang w:val="en-US" w:eastAsia="zh-CN" w:bidi="ar-SA"/>
        </w:rPr>
        <w:t>对受益群体调查主要是对永济市市场监督管理局在监管力度、</w:t>
      </w:r>
      <w:r>
        <w:rPr>
          <w:rFonts w:hint="default" w:ascii="仿宋" w:hAnsi="仿宋" w:eastAsia="仿宋" w:cs="仿宋"/>
          <w:b w:val="0"/>
          <w:bCs w:val="0"/>
          <w:kern w:val="2"/>
          <w:sz w:val="28"/>
          <w:szCs w:val="28"/>
          <w:highlight w:val="none"/>
          <w:lang w:val="en-US" w:eastAsia="zh-CN" w:bidi="ar-SA"/>
        </w:rPr>
        <w:t>信息沟通</w:t>
      </w:r>
      <w:r>
        <w:rPr>
          <w:rFonts w:hint="eastAsia" w:ascii="仿宋" w:hAnsi="仿宋" w:eastAsia="仿宋" w:cs="仿宋"/>
          <w:b w:val="0"/>
          <w:bCs w:val="0"/>
          <w:kern w:val="2"/>
          <w:sz w:val="28"/>
          <w:szCs w:val="28"/>
          <w:highlight w:val="none"/>
          <w:lang w:val="en-US" w:eastAsia="zh-CN" w:bidi="ar-SA"/>
        </w:rPr>
        <w:t>、</w:t>
      </w:r>
      <w:r>
        <w:rPr>
          <w:rFonts w:hint="default" w:ascii="仿宋" w:hAnsi="仿宋" w:eastAsia="仿宋" w:cs="仿宋"/>
          <w:b w:val="0"/>
          <w:bCs w:val="0"/>
          <w:kern w:val="2"/>
          <w:sz w:val="28"/>
          <w:szCs w:val="28"/>
          <w:highlight w:val="none"/>
          <w:lang w:val="en-US" w:eastAsia="zh-CN" w:bidi="ar-SA"/>
        </w:rPr>
        <w:t>对市场垄断、不正当行为的打击</w:t>
      </w:r>
      <w:r>
        <w:rPr>
          <w:rFonts w:hint="eastAsia" w:ascii="仿宋" w:hAnsi="仿宋" w:eastAsia="仿宋" w:cs="仿宋"/>
          <w:b w:val="0"/>
          <w:bCs w:val="0"/>
          <w:kern w:val="2"/>
          <w:sz w:val="28"/>
          <w:szCs w:val="28"/>
          <w:highlight w:val="none"/>
          <w:lang w:val="en-US" w:eastAsia="zh-CN" w:bidi="ar-SA"/>
        </w:rPr>
        <w:t>、</w:t>
      </w:r>
      <w:r>
        <w:rPr>
          <w:rFonts w:hint="default" w:ascii="仿宋" w:hAnsi="仿宋" w:eastAsia="仿宋" w:cs="仿宋"/>
          <w:b w:val="0"/>
          <w:bCs w:val="0"/>
          <w:kern w:val="2"/>
          <w:sz w:val="28"/>
          <w:szCs w:val="28"/>
          <w:highlight w:val="none"/>
          <w:lang w:val="en-US" w:eastAsia="zh-CN" w:bidi="ar-SA"/>
        </w:rPr>
        <w:t>宣传培训工作</w:t>
      </w:r>
      <w:r>
        <w:rPr>
          <w:rFonts w:hint="eastAsia" w:ascii="仿宋" w:hAnsi="仿宋" w:eastAsia="仿宋" w:cs="仿宋"/>
          <w:b w:val="0"/>
          <w:bCs w:val="0"/>
          <w:kern w:val="2"/>
          <w:sz w:val="28"/>
          <w:szCs w:val="28"/>
          <w:highlight w:val="none"/>
          <w:lang w:val="en-US" w:eastAsia="zh-CN" w:bidi="ar-SA"/>
        </w:rPr>
        <w:t>以及部门整体服务工作满意度方面的内容。对部门职工主要是本部门在内部管理、职能分配、信息公开、资金使用分配情况、管理制度等满意度方面的内容进行问卷调查。</w:t>
      </w:r>
    </w:p>
    <w:p w14:paraId="2F512BDC">
      <w:pPr>
        <w:widowControl w:val="0"/>
        <w:spacing w:line="560" w:lineRule="exact"/>
        <w:ind w:firstLine="560" w:firstLineChars="200"/>
        <w:jc w:val="both"/>
        <w:outlineLvl w:val="0"/>
        <w:rPr>
          <w:rFonts w:hint="eastAsia" w:ascii="仿宋" w:hAnsi="仿宋" w:eastAsia="仿宋" w:cs="仿宋"/>
          <w:b w:val="0"/>
          <w:bCs w:val="0"/>
          <w:kern w:val="2"/>
          <w:sz w:val="28"/>
          <w:szCs w:val="28"/>
          <w:highlight w:val="none"/>
          <w:lang w:val="en-US" w:eastAsia="zh-CN" w:bidi="ar-SA"/>
        </w:rPr>
      </w:pPr>
      <w:bookmarkStart w:id="203" w:name="_Toc7580"/>
      <w:bookmarkStart w:id="204" w:name="_Toc15317"/>
      <w:r>
        <w:rPr>
          <w:rFonts w:hint="eastAsia" w:ascii="仿宋" w:hAnsi="仿宋" w:eastAsia="仿宋" w:cs="仿宋"/>
          <w:b w:val="0"/>
          <w:bCs w:val="0"/>
          <w:kern w:val="2"/>
          <w:sz w:val="28"/>
          <w:szCs w:val="28"/>
          <w:highlight w:val="none"/>
          <w:lang w:val="en-US" w:eastAsia="zh-CN" w:bidi="ar-SA"/>
        </w:rPr>
        <w:t>五、调查分析结果</w:t>
      </w:r>
      <w:bookmarkEnd w:id="203"/>
      <w:bookmarkEnd w:id="204"/>
    </w:p>
    <w:p w14:paraId="44735E59">
      <w:pPr>
        <w:widowControl w:val="0"/>
        <w:spacing w:line="560" w:lineRule="exact"/>
        <w:ind w:firstLine="560" w:firstLineChars="200"/>
        <w:jc w:val="both"/>
        <w:outlineLvl w:val="1"/>
        <w:rPr>
          <w:rFonts w:hint="eastAsia" w:ascii="仿宋" w:hAnsi="仿宋" w:eastAsia="仿宋" w:cs="仿宋"/>
          <w:b w:val="0"/>
          <w:bCs w:val="0"/>
          <w:kern w:val="2"/>
          <w:sz w:val="28"/>
          <w:szCs w:val="28"/>
          <w:highlight w:val="none"/>
          <w:lang w:val="en-US" w:eastAsia="zh-CN" w:bidi="ar-SA"/>
        </w:rPr>
      </w:pPr>
      <w:bookmarkStart w:id="205" w:name="_Toc5411"/>
      <w:bookmarkStart w:id="206" w:name="_Toc11098"/>
      <w:r>
        <w:rPr>
          <w:rFonts w:hint="eastAsia" w:ascii="仿宋" w:hAnsi="仿宋" w:eastAsia="仿宋" w:cs="仿宋"/>
          <w:b w:val="0"/>
          <w:bCs w:val="0"/>
          <w:kern w:val="2"/>
          <w:sz w:val="28"/>
          <w:szCs w:val="28"/>
          <w:highlight w:val="none"/>
          <w:lang w:val="en-US" w:eastAsia="zh-CN" w:bidi="ar-SA"/>
        </w:rPr>
        <w:t>（一）受益群体调查分析结果</w:t>
      </w:r>
      <w:bookmarkEnd w:id="205"/>
      <w:bookmarkEnd w:id="206"/>
    </w:p>
    <w:p w14:paraId="4D40D959">
      <w:pPr>
        <w:widowControl w:val="0"/>
        <w:spacing w:line="560" w:lineRule="exact"/>
        <w:ind w:firstLine="560" w:firstLineChars="200"/>
        <w:jc w:val="both"/>
        <w:outlineLvl w:val="9"/>
        <w:rPr>
          <w:rFonts w:hint="eastAsia" w:ascii="仿宋" w:hAnsi="仿宋" w:eastAsia="仿宋" w:cs="仿宋"/>
          <w:sz w:val="28"/>
          <w:szCs w:val="28"/>
          <w:lang w:eastAsia="zh-CN"/>
        </w:rPr>
      </w:pPr>
      <w:r>
        <w:rPr>
          <w:rFonts w:hint="eastAsia" w:ascii="仿宋" w:hAnsi="仿宋" w:eastAsia="仿宋" w:cs="仿宋"/>
          <w:b w:val="0"/>
          <w:color w:val="000000"/>
          <w:sz w:val="28"/>
          <w:szCs w:val="28"/>
          <w:lang w:val="en-US" w:eastAsia="zh-CN"/>
        </w:rPr>
        <w:t>1.</w:t>
      </w:r>
      <w:r>
        <w:rPr>
          <w:rFonts w:hint="eastAsia" w:ascii="仿宋" w:hAnsi="仿宋" w:eastAsia="仿宋" w:cs="仿宋"/>
          <w:b w:val="0"/>
          <w:color w:val="000000"/>
          <w:sz w:val="28"/>
          <w:szCs w:val="28"/>
        </w:rPr>
        <w:t>您认为现在食品安全的监管力度如何</w:t>
      </w:r>
      <w:r>
        <w:rPr>
          <w:rFonts w:hint="eastAsia" w:ascii="仿宋" w:hAnsi="仿宋" w:eastAsia="仿宋" w:cs="仿宋"/>
          <w:b w:val="0"/>
          <w:color w:val="000000"/>
          <w:sz w:val="28"/>
          <w:szCs w:val="28"/>
          <w:lang w:eastAsia="zh-CN"/>
        </w:rPr>
        <w:t>？</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14:paraId="2B37ED0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A9CAB61">
            <w:pPr>
              <w:jc w:val="left"/>
              <w:outlineLvl w:val="9"/>
              <w:rPr>
                <w:rFonts w:hint="eastAsia" w:ascii="仿宋" w:hAnsi="仿宋" w:eastAsia="仿宋" w:cs="仿宋"/>
              </w:rPr>
            </w:pPr>
            <w:r>
              <w:rPr>
                <w:rFonts w:hint="eastAsia" w:ascii="仿宋" w:hAnsi="仿宋" w:eastAsia="仿宋" w:cs="仿宋"/>
              </w:rPr>
              <w:t>选项</w:t>
            </w:r>
          </w:p>
        </w:tc>
        <w:tc>
          <w:tcPr>
            <w:tcW w:w="1000" w:type="dxa"/>
            <w:shd w:val="clear" w:color="auto" w:fill="F5F5F5"/>
            <w:vAlign w:val="center"/>
          </w:tcPr>
          <w:p w14:paraId="1AA4A303">
            <w:pPr>
              <w:jc w:val="center"/>
              <w:outlineLvl w:val="9"/>
              <w:rPr>
                <w:rFonts w:hint="eastAsia" w:ascii="仿宋" w:hAnsi="仿宋" w:eastAsia="仿宋" w:cs="仿宋"/>
              </w:rPr>
            </w:pPr>
            <w:r>
              <w:rPr>
                <w:rFonts w:hint="eastAsia" w:ascii="仿宋" w:hAnsi="仿宋" w:eastAsia="仿宋" w:cs="仿宋"/>
              </w:rPr>
              <w:t>小计</w:t>
            </w:r>
          </w:p>
        </w:tc>
        <w:tc>
          <w:tcPr>
            <w:tcW w:w="3106" w:type="dxa"/>
            <w:shd w:val="clear" w:color="auto" w:fill="F5F5F5"/>
            <w:vAlign w:val="center"/>
          </w:tcPr>
          <w:p w14:paraId="5D161346">
            <w:pPr>
              <w:jc w:val="left"/>
              <w:outlineLvl w:val="9"/>
              <w:rPr>
                <w:rFonts w:hint="eastAsia" w:ascii="仿宋" w:hAnsi="仿宋" w:eastAsia="仿宋" w:cs="仿宋"/>
              </w:rPr>
            </w:pPr>
            <w:r>
              <w:rPr>
                <w:rFonts w:hint="eastAsia" w:ascii="仿宋" w:hAnsi="仿宋" w:eastAsia="仿宋" w:cs="仿宋"/>
              </w:rPr>
              <w:t>比例</w:t>
            </w:r>
          </w:p>
        </w:tc>
      </w:tr>
      <w:tr w14:paraId="29B7ABE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FCC9561">
            <w:pPr>
              <w:jc w:val="left"/>
              <w:outlineLvl w:val="9"/>
              <w:rPr>
                <w:rFonts w:hint="eastAsia" w:ascii="仿宋" w:hAnsi="仿宋" w:eastAsia="仿宋" w:cs="仿宋"/>
              </w:rPr>
            </w:pPr>
            <w:r>
              <w:rPr>
                <w:rFonts w:hint="eastAsia" w:ascii="仿宋" w:hAnsi="仿宋" w:eastAsia="仿宋" w:cs="仿宋"/>
              </w:rPr>
              <w:t>力度很大</w:t>
            </w:r>
          </w:p>
        </w:tc>
        <w:tc>
          <w:tcPr>
            <w:tcW w:w="1000" w:type="dxa"/>
            <w:shd w:val="clear" w:color="auto" w:fill="FFFFFF"/>
            <w:vAlign w:val="center"/>
          </w:tcPr>
          <w:p w14:paraId="488B4921">
            <w:pPr>
              <w:jc w:val="center"/>
              <w:outlineLvl w:val="9"/>
              <w:rPr>
                <w:rFonts w:hint="eastAsia" w:ascii="仿宋" w:hAnsi="仿宋" w:eastAsia="仿宋" w:cs="仿宋"/>
              </w:rPr>
            </w:pPr>
            <w:r>
              <w:rPr>
                <w:rFonts w:hint="eastAsia" w:ascii="仿宋" w:hAnsi="仿宋" w:eastAsia="仿宋" w:cs="仿宋"/>
              </w:rPr>
              <w:t>375</w:t>
            </w:r>
          </w:p>
        </w:tc>
        <w:tc>
          <w:tcPr>
            <w:tcW w:w="3106" w:type="dxa"/>
            <w:shd w:val="clear" w:color="auto" w:fill="FFFFFF"/>
            <w:vAlign w:val="center"/>
          </w:tcPr>
          <w:p w14:paraId="5BE45B82">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266825" cy="114300"/>
                  <wp:effectExtent l="0" t="0" r="3175"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46"/>
                          <a:stretch>
                            <a:fillRect/>
                          </a:stretch>
                        </pic:blipFill>
                        <pic:spPr>
                          <a:xfrm>
                            <a:off x="0" y="0"/>
                            <a:ext cx="1267002" cy="114316"/>
                          </a:xfrm>
                          <a:prstGeom prst="rect">
                            <a:avLst/>
                          </a:prstGeom>
                        </pic:spPr>
                      </pic:pic>
                    </a:graphicData>
                  </a:graphic>
                </wp:inline>
              </w:drawing>
            </w:r>
            <w:r>
              <w:rPr>
                <w:rFonts w:hint="eastAsia" w:ascii="仿宋" w:hAnsi="仿宋" w:eastAsia="仿宋" w:cs="仿宋"/>
              </w:rPr>
              <w:drawing>
                <wp:inline distT="0" distB="0" distL="114300" distR="114300">
                  <wp:extent cx="85725" cy="114300"/>
                  <wp:effectExtent l="0" t="0" r="3175"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47"/>
                          <a:stretch>
                            <a:fillRect/>
                          </a:stretch>
                        </pic:blipFill>
                        <pic:spPr>
                          <a:xfrm>
                            <a:off x="0" y="0"/>
                            <a:ext cx="85737" cy="114316"/>
                          </a:xfrm>
                          <a:prstGeom prst="rect">
                            <a:avLst/>
                          </a:prstGeom>
                        </pic:spPr>
                      </pic:pic>
                    </a:graphicData>
                  </a:graphic>
                </wp:inline>
              </w:drawing>
            </w:r>
            <w:r>
              <w:rPr>
                <w:rFonts w:hint="eastAsia" w:ascii="仿宋" w:hAnsi="仿宋" w:eastAsia="仿宋" w:cs="仿宋"/>
              </w:rPr>
              <w:t>94.22%</w:t>
            </w:r>
          </w:p>
        </w:tc>
      </w:tr>
      <w:tr w14:paraId="005066E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F0CF32C">
            <w:pPr>
              <w:jc w:val="left"/>
              <w:outlineLvl w:val="9"/>
              <w:rPr>
                <w:rFonts w:hint="eastAsia" w:ascii="仿宋" w:hAnsi="仿宋" w:eastAsia="仿宋" w:cs="仿宋"/>
              </w:rPr>
            </w:pPr>
            <w:r>
              <w:rPr>
                <w:rFonts w:hint="eastAsia" w:ascii="仿宋" w:hAnsi="仿宋" w:eastAsia="仿宋" w:cs="仿宋"/>
              </w:rPr>
              <w:t>力度一般</w:t>
            </w:r>
          </w:p>
        </w:tc>
        <w:tc>
          <w:tcPr>
            <w:tcW w:w="1000" w:type="dxa"/>
            <w:shd w:val="clear" w:color="auto" w:fill="FAFAFA"/>
            <w:vAlign w:val="center"/>
          </w:tcPr>
          <w:p w14:paraId="36F15B95">
            <w:pPr>
              <w:jc w:val="center"/>
              <w:outlineLvl w:val="9"/>
              <w:rPr>
                <w:rFonts w:hint="eastAsia" w:ascii="仿宋" w:hAnsi="仿宋" w:eastAsia="仿宋" w:cs="仿宋"/>
              </w:rPr>
            </w:pPr>
            <w:r>
              <w:rPr>
                <w:rFonts w:hint="eastAsia" w:ascii="仿宋" w:hAnsi="仿宋" w:eastAsia="仿宋" w:cs="仿宋"/>
              </w:rPr>
              <w:t>21</w:t>
            </w:r>
          </w:p>
        </w:tc>
        <w:tc>
          <w:tcPr>
            <w:tcW w:w="3106" w:type="dxa"/>
            <w:shd w:val="clear" w:color="auto" w:fill="FAFAFA"/>
            <w:vAlign w:val="center"/>
          </w:tcPr>
          <w:p w14:paraId="53F5B7D3">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66675" cy="11430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48"/>
                          <a:stretch>
                            <a:fillRect/>
                          </a:stretch>
                        </pic:blipFill>
                        <pic:spPr>
                          <a:xfrm>
                            <a:off x="0" y="0"/>
                            <a:ext cx="66684" cy="114316"/>
                          </a:xfrm>
                          <a:prstGeom prst="rect">
                            <a:avLst/>
                          </a:prstGeom>
                        </pic:spPr>
                      </pic:pic>
                    </a:graphicData>
                  </a:graphic>
                </wp:inline>
              </w:drawing>
            </w:r>
            <w:r>
              <w:rPr>
                <w:rFonts w:hint="eastAsia" w:ascii="仿宋" w:hAnsi="仿宋" w:eastAsia="仿宋" w:cs="仿宋"/>
              </w:rPr>
              <w:drawing>
                <wp:inline distT="0" distB="0" distL="114300" distR="114300">
                  <wp:extent cx="1285875" cy="11430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49"/>
                          <a:stretch>
                            <a:fillRect/>
                          </a:stretch>
                        </pic:blipFill>
                        <pic:spPr>
                          <a:xfrm>
                            <a:off x="0" y="0"/>
                            <a:ext cx="1286055" cy="114316"/>
                          </a:xfrm>
                          <a:prstGeom prst="rect">
                            <a:avLst/>
                          </a:prstGeom>
                        </pic:spPr>
                      </pic:pic>
                    </a:graphicData>
                  </a:graphic>
                </wp:inline>
              </w:drawing>
            </w:r>
            <w:r>
              <w:rPr>
                <w:rFonts w:hint="eastAsia" w:ascii="仿宋" w:hAnsi="仿宋" w:eastAsia="仿宋" w:cs="仿宋"/>
              </w:rPr>
              <w:t>5.28%</w:t>
            </w:r>
          </w:p>
        </w:tc>
      </w:tr>
      <w:tr w14:paraId="6CA2975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7A088EE">
            <w:pPr>
              <w:jc w:val="left"/>
              <w:outlineLvl w:val="9"/>
              <w:rPr>
                <w:rFonts w:hint="eastAsia" w:ascii="仿宋" w:hAnsi="仿宋" w:eastAsia="仿宋" w:cs="仿宋"/>
              </w:rPr>
            </w:pPr>
            <w:r>
              <w:rPr>
                <w:rFonts w:hint="eastAsia" w:ascii="仿宋" w:hAnsi="仿宋" w:eastAsia="仿宋" w:cs="仿宋"/>
              </w:rPr>
              <w:t>力度较差</w:t>
            </w:r>
          </w:p>
        </w:tc>
        <w:tc>
          <w:tcPr>
            <w:tcW w:w="1000" w:type="dxa"/>
            <w:shd w:val="clear" w:color="auto" w:fill="FFFFFF"/>
            <w:vAlign w:val="center"/>
          </w:tcPr>
          <w:p w14:paraId="34A635D9">
            <w:pPr>
              <w:jc w:val="center"/>
              <w:outlineLvl w:val="9"/>
              <w:rPr>
                <w:rFonts w:hint="eastAsia" w:ascii="仿宋" w:hAnsi="仿宋" w:eastAsia="仿宋" w:cs="仿宋"/>
              </w:rPr>
            </w:pPr>
            <w:r>
              <w:rPr>
                <w:rFonts w:hint="eastAsia" w:ascii="仿宋" w:hAnsi="仿宋" w:eastAsia="仿宋" w:cs="仿宋"/>
              </w:rPr>
              <w:t>2</w:t>
            </w:r>
          </w:p>
        </w:tc>
        <w:tc>
          <w:tcPr>
            <w:tcW w:w="3106" w:type="dxa"/>
            <w:shd w:val="clear" w:color="auto" w:fill="FFFFFF"/>
            <w:vAlign w:val="center"/>
          </w:tcPr>
          <w:p w14:paraId="5F0A760C">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352550" cy="114300"/>
                  <wp:effectExtent l="0" t="0" r="635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4"/>
                          <a:stretch>
                            <a:fillRect/>
                          </a:stretch>
                        </pic:blipFill>
                        <pic:spPr>
                          <a:xfrm>
                            <a:off x="0" y="0"/>
                            <a:ext cx="1352739" cy="114316"/>
                          </a:xfrm>
                          <a:prstGeom prst="rect">
                            <a:avLst/>
                          </a:prstGeom>
                        </pic:spPr>
                      </pic:pic>
                    </a:graphicData>
                  </a:graphic>
                </wp:inline>
              </w:drawing>
            </w:r>
            <w:r>
              <w:rPr>
                <w:rFonts w:hint="eastAsia" w:ascii="仿宋" w:hAnsi="仿宋" w:eastAsia="仿宋" w:cs="仿宋"/>
              </w:rPr>
              <w:t>0.5%</w:t>
            </w:r>
          </w:p>
        </w:tc>
      </w:tr>
      <w:tr w14:paraId="358B487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A29D2E8">
            <w:pPr>
              <w:jc w:val="left"/>
              <w:outlineLvl w:val="9"/>
              <w:rPr>
                <w:rFonts w:hint="eastAsia" w:ascii="仿宋" w:hAnsi="仿宋" w:eastAsia="仿宋" w:cs="仿宋"/>
              </w:rPr>
            </w:pPr>
            <w:r>
              <w:rPr>
                <w:rFonts w:hint="eastAsia" w:ascii="仿宋" w:hAnsi="仿宋" w:eastAsia="仿宋" w:cs="仿宋"/>
              </w:rPr>
              <w:t>无监管</w:t>
            </w:r>
          </w:p>
        </w:tc>
        <w:tc>
          <w:tcPr>
            <w:tcW w:w="1000" w:type="dxa"/>
            <w:shd w:val="clear" w:color="auto" w:fill="FAFAFA"/>
            <w:vAlign w:val="center"/>
          </w:tcPr>
          <w:p w14:paraId="0C38AD80">
            <w:pPr>
              <w:jc w:val="center"/>
              <w:outlineLvl w:val="9"/>
              <w:rPr>
                <w:rFonts w:hint="eastAsia" w:ascii="仿宋" w:hAnsi="仿宋" w:eastAsia="仿宋" w:cs="仿宋"/>
              </w:rPr>
            </w:pPr>
            <w:r>
              <w:rPr>
                <w:rFonts w:hint="eastAsia" w:ascii="仿宋" w:hAnsi="仿宋" w:eastAsia="仿宋" w:cs="仿宋"/>
              </w:rPr>
              <w:t>0</w:t>
            </w:r>
          </w:p>
        </w:tc>
        <w:tc>
          <w:tcPr>
            <w:tcW w:w="3106" w:type="dxa"/>
            <w:shd w:val="clear" w:color="auto" w:fill="FAFAFA"/>
            <w:vAlign w:val="center"/>
          </w:tcPr>
          <w:p w14:paraId="475EB2EA">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352550" cy="114300"/>
                  <wp:effectExtent l="0" t="0" r="635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4"/>
                          <a:stretch>
                            <a:fillRect/>
                          </a:stretch>
                        </pic:blipFill>
                        <pic:spPr>
                          <a:xfrm>
                            <a:off x="0" y="0"/>
                            <a:ext cx="1352739" cy="114316"/>
                          </a:xfrm>
                          <a:prstGeom prst="rect">
                            <a:avLst/>
                          </a:prstGeom>
                        </pic:spPr>
                      </pic:pic>
                    </a:graphicData>
                  </a:graphic>
                </wp:inline>
              </w:drawing>
            </w:r>
            <w:r>
              <w:rPr>
                <w:rFonts w:hint="eastAsia" w:ascii="仿宋" w:hAnsi="仿宋" w:eastAsia="仿宋" w:cs="仿宋"/>
              </w:rPr>
              <w:t>0%</w:t>
            </w:r>
          </w:p>
        </w:tc>
      </w:tr>
      <w:tr w14:paraId="181286F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84F41C5">
            <w:pPr>
              <w:jc w:val="left"/>
              <w:outlineLvl w:val="9"/>
              <w:rPr>
                <w:rFonts w:hint="eastAsia" w:ascii="仿宋" w:hAnsi="仿宋" w:eastAsia="仿宋" w:cs="仿宋"/>
              </w:rPr>
            </w:pPr>
            <w:r>
              <w:rPr>
                <w:rFonts w:hint="eastAsia" w:ascii="仿宋" w:hAnsi="仿宋" w:eastAsia="仿宋" w:cs="仿宋"/>
              </w:rPr>
              <w:t>本题有效填写人次</w:t>
            </w:r>
          </w:p>
        </w:tc>
        <w:tc>
          <w:tcPr>
            <w:tcW w:w="1000" w:type="dxa"/>
            <w:shd w:val="clear" w:color="auto" w:fill="F5F5F5"/>
            <w:vAlign w:val="center"/>
          </w:tcPr>
          <w:p w14:paraId="0EB11C4C">
            <w:pPr>
              <w:jc w:val="center"/>
              <w:outlineLvl w:val="9"/>
              <w:rPr>
                <w:rFonts w:hint="eastAsia" w:ascii="仿宋" w:hAnsi="仿宋" w:eastAsia="仿宋" w:cs="仿宋"/>
              </w:rPr>
            </w:pPr>
            <w:r>
              <w:rPr>
                <w:rFonts w:hint="eastAsia" w:ascii="仿宋" w:hAnsi="仿宋" w:eastAsia="仿宋" w:cs="仿宋"/>
              </w:rPr>
              <w:t>398</w:t>
            </w:r>
          </w:p>
        </w:tc>
        <w:tc>
          <w:tcPr>
            <w:tcW w:w="3106" w:type="dxa"/>
            <w:shd w:val="clear" w:color="auto" w:fill="F5F5F5"/>
            <w:vAlign w:val="center"/>
          </w:tcPr>
          <w:p w14:paraId="04699C1B">
            <w:pPr>
              <w:jc w:val="left"/>
              <w:outlineLvl w:val="9"/>
              <w:rPr>
                <w:rFonts w:hint="eastAsia" w:ascii="仿宋" w:hAnsi="仿宋" w:eastAsia="仿宋" w:cs="仿宋"/>
              </w:rPr>
            </w:pPr>
          </w:p>
        </w:tc>
      </w:tr>
    </w:tbl>
    <w:p w14:paraId="1E471A29">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分析结论：绝大多数受访者（94.22%）认为食品安全监管力度很大，仅有少部分受访者（5.28%）认为监管力度一般，极少数受访者（0.5%）认为监管力度较差。没有受访者认为食品安全无监管。基于调查结果，可以初步判断大多数人对当前食品安全监管力度持肯定态度。为进一步提升食品安全监管效果，建议加强监管部门的执法力度和监督机制，加大对食品安全违法行为的处罚力度，提高监管的全程覆盖和实时监控能力，增加公众参与监督的渠道，确保食品安全监管工作的全面性和有效性。</w:t>
      </w:r>
    </w:p>
    <w:p w14:paraId="59D91967">
      <w:pPr>
        <w:widowControl w:val="0"/>
        <w:spacing w:line="560" w:lineRule="exact"/>
        <w:ind w:firstLine="560" w:firstLineChars="200"/>
        <w:jc w:val="both"/>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val="en-US" w:eastAsia="zh-CN"/>
        </w:rPr>
        <w:t>2.</w:t>
      </w:r>
      <w:r>
        <w:rPr>
          <w:rFonts w:hint="eastAsia" w:ascii="仿宋" w:hAnsi="仿宋" w:eastAsia="仿宋" w:cs="仿宋"/>
          <w:b w:val="0"/>
          <w:color w:val="000000"/>
          <w:sz w:val="28"/>
          <w:szCs w:val="28"/>
        </w:rPr>
        <w:t>您对本部门的工作业务流程，信息沟通的满意度</w:t>
      </w:r>
      <w:r>
        <w:rPr>
          <w:rFonts w:hint="eastAsia" w:ascii="仿宋" w:hAnsi="仿宋" w:eastAsia="仿宋" w:cs="仿宋"/>
          <w:b w:val="0"/>
          <w:color w:val="000000"/>
          <w:sz w:val="28"/>
          <w:szCs w:val="28"/>
          <w:lang w:eastAsia="zh-CN"/>
        </w:rPr>
        <w:t>？</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14:paraId="5AFAC16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75F95E8F">
            <w:pPr>
              <w:jc w:val="left"/>
              <w:outlineLvl w:val="9"/>
              <w:rPr>
                <w:rFonts w:hint="eastAsia" w:ascii="仿宋" w:hAnsi="仿宋" w:eastAsia="仿宋" w:cs="仿宋"/>
              </w:rPr>
            </w:pPr>
            <w:r>
              <w:rPr>
                <w:rFonts w:hint="eastAsia" w:ascii="仿宋" w:hAnsi="仿宋" w:eastAsia="仿宋" w:cs="仿宋"/>
              </w:rPr>
              <w:t>选项</w:t>
            </w:r>
          </w:p>
        </w:tc>
        <w:tc>
          <w:tcPr>
            <w:tcW w:w="1000" w:type="dxa"/>
            <w:shd w:val="clear" w:color="auto" w:fill="F5F5F5"/>
            <w:vAlign w:val="center"/>
          </w:tcPr>
          <w:p w14:paraId="14725D84">
            <w:pPr>
              <w:jc w:val="center"/>
              <w:outlineLvl w:val="9"/>
              <w:rPr>
                <w:rFonts w:hint="eastAsia" w:ascii="仿宋" w:hAnsi="仿宋" w:eastAsia="仿宋" w:cs="仿宋"/>
              </w:rPr>
            </w:pPr>
            <w:r>
              <w:rPr>
                <w:rFonts w:hint="eastAsia" w:ascii="仿宋" w:hAnsi="仿宋" w:eastAsia="仿宋" w:cs="仿宋"/>
              </w:rPr>
              <w:t>小计</w:t>
            </w:r>
          </w:p>
        </w:tc>
        <w:tc>
          <w:tcPr>
            <w:tcW w:w="3106" w:type="dxa"/>
            <w:shd w:val="clear" w:color="auto" w:fill="F5F5F5"/>
            <w:vAlign w:val="center"/>
          </w:tcPr>
          <w:p w14:paraId="31208B80">
            <w:pPr>
              <w:jc w:val="left"/>
              <w:outlineLvl w:val="9"/>
              <w:rPr>
                <w:rFonts w:hint="eastAsia" w:ascii="仿宋" w:hAnsi="仿宋" w:eastAsia="仿宋" w:cs="仿宋"/>
              </w:rPr>
            </w:pPr>
            <w:r>
              <w:rPr>
                <w:rFonts w:hint="eastAsia" w:ascii="仿宋" w:hAnsi="仿宋" w:eastAsia="仿宋" w:cs="仿宋"/>
              </w:rPr>
              <w:t>比例</w:t>
            </w:r>
          </w:p>
        </w:tc>
      </w:tr>
      <w:tr w14:paraId="12DD081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85BEE19">
            <w:pPr>
              <w:jc w:val="left"/>
              <w:outlineLvl w:val="9"/>
              <w:rPr>
                <w:rFonts w:hint="eastAsia" w:ascii="仿宋" w:hAnsi="仿宋" w:eastAsia="仿宋" w:cs="仿宋"/>
              </w:rPr>
            </w:pPr>
            <w:r>
              <w:rPr>
                <w:rFonts w:hint="eastAsia" w:ascii="仿宋" w:hAnsi="仿宋" w:eastAsia="仿宋" w:cs="仿宋"/>
              </w:rPr>
              <w:t>非常满意</w:t>
            </w:r>
          </w:p>
        </w:tc>
        <w:tc>
          <w:tcPr>
            <w:tcW w:w="1000" w:type="dxa"/>
            <w:shd w:val="clear" w:color="auto" w:fill="FFFFFF"/>
            <w:vAlign w:val="center"/>
          </w:tcPr>
          <w:p w14:paraId="183E7F3C">
            <w:pPr>
              <w:jc w:val="center"/>
              <w:outlineLvl w:val="9"/>
              <w:rPr>
                <w:rFonts w:hint="eastAsia" w:ascii="仿宋" w:hAnsi="仿宋" w:eastAsia="仿宋" w:cs="仿宋"/>
              </w:rPr>
            </w:pPr>
            <w:r>
              <w:rPr>
                <w:rFonts w:hint="eastAsia" w:ascii="仿宋" w:hAnsi="仿宋" w:eastAsia="仿宋" w:cs="仿宋"/>
              </w:rPr>
              <w:t>368</w:t>
            </w:r>
          </w:p>
        </w:tc>
        <w:tc>
          <w:tcPr>
            <w:tcW w:w="3106" w:type="dxa"/>
            <w:shd w:val="clear" w:color="auto" w:fill="FFFFFF"/>
            <w:vAlign w:val="center"/>
          </w:tcPr>
          <w:p w14:paraId="3D9F27DD">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247775" cy="114300"/>
                  <wp:effectExtent l="0" t="0" r="9525"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8"/>
                          <a:stretch>
                            <a:fillRect/>
                          </a:stretch>
                        </pic:blipFill>
                        <pic:spPr>
                          <a:xfrm>
                            <a:off x="0" y="0"/>
                            <a:ext cx="1247949" cy="114316"/>
                          </a:xfrm>
                          <a:prstGeom prst="rect">
                            <a:avLst/>
                          </a:prstGeom>
                        </pic:spPr>
                      </pic:pic>
                    </a:graphicData>
                  </a:graphic>
                </wp:inline>
              </w:drawing>
            </w:r>
            <w:r>
              <w:rPr>
                <w:rFonts w:hint="eastAsia" w:ascii="仿宋" w:hAnsi="仿宋" w:eastAsia="仿宋" w:cs="仿宋"/>
              </w:rPr>
              <w:drawing>
                <wp:inline distT="0" distB="0" distL="114300" distR="114300">
                  <wp:extent cx="104775" cy="114300"/>
                  <wp:effectExtent l="0" t="0" r="9525"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9"/>
                          <a:stretch>
                            <a:fillRect/>
                          </a:stretch>
                        </pic:blipFill>
                        <pic:spPr>
                          <a:xfrm>
                            <a:off x="0" y="0"/>
                            <a:ext cx="104790" cy="114316"/>
                          </a:xfrm>
                          <a:prstGeom prst="rect">
                            <a:avLst/>
                          </a:prstGeom>
                        </pic:spPr>
                      </pic:pic>
                    </a:graphicData>
                  </a:graphic>
                </wp:inline>
              </w:drawing>
            </w:r>
            <w:r>
              <w:rPr>
                <w:rFonts w:hint="eastAsia" w:ascii="仿宋" w:hAnsi="仿宋" w:eastAsia="仿宋" w:cs="仿宋"/>
              </w:rPr>
              <w:t>92.46%</w:t>
            </w:r>
          </w:p>
        </w:tc>
      </w:tr>
      <w:tr w14:paraId="29597BF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39CDC45">
            <w:pPr>
              <w:jc w:val="left"/>
              <w:outlineLvl w:val="9"/>
              <w:rPr>
                <w:rFonts w:hint="eastAsia" w:ascii="仿宋" w:hAnsi="仿宋" w:eastAsia="仿宋" w:cs="仿宋"/>
              </w:rPr>
            </w:pPr>
            <w:r>
              <w:rPr>
                <w:rFonts w:hint="eastAsia" w:ascii="仿宋" w:hAnsi="仿宋" w:eastAsia="仿宋" w:cs="仿宋"/>
              </w:rPr>
              <w:t>比较满意</w:t>
            </w:r>
          </w:p>
        </w:tc>
        <w:tc>
          <w:tcPr>
            <w:tcW w:w="1000" w:type="dxa"/>
            <w:shd w:val="clear" w:color="auto" w:fill="FAFAFA"/>
            <w:vAlign w:val="center"/>
          </w:tcPr>
          <w:p w14:paraId="2B220062">
            <w:pPr>
              <w:jc w:val="center"/>
              <w:outlineLvl w:val="9"/>
              <w:rPr>
                <w:rFonts w:hint="eastAsia" w:ascii="仿宋" w:hAnsi="仿宋" w:eastAsia="仿宋" w:cs="仿宋"/>
              </w:rPr>
            </w:pPr>
            <w:r>
              <w:rPr>
                <w:rFonts w:hint="eastAsia" w:ascii="仿宋" w:hAnsi="仿宋" w:eastAsia="仿宋" w:cs="仿宋"/>
              </w:rPr>
              <w:t>16</w:t>
            </w:r>
          </w:p>
        </w:tc>
        <w:tc>
          <w:tcPr>
            <w:tcW w:w="3106" w:type="dxa"/>
            <w:shd w:val="clear" w:color="auto" w:fill="FAFAFA"/>
            <w:vAlign w:val="center"/>
          </w:tcPr>
          <w:p w14:paraId="6BD3B026">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47625" cy="114300"/>
                  <wp:effectExtent l="0" t="0" r="317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50"/>
                          <a:stretch>
                            <a:fillRect/>
                          </a:stretch>
                        </pic:blipFill>
                        <pic:spPr>
                          <a:xfrm>
                            <a:off x="0" y="0"/>
                            <a:ext cx="47632" cy="114316"/>
                          </a:xfrm>
                          <a:prstGeom prst="rect">
                            <a:avLst/>
                          </a:prstGeom>
                        </pic:spPr>
                      </pic:pic>
                    </a:graphicData>
                  </a:graphic>
                </wp:inline>
              </w:drawing>
            </w:r>
            <w:r>
              <w:rPr>
                <w:rFonts w:hint="eastAsia" w:ascii="仿宋" w:hAnsi="仿宋" w:eastAsia="仿宋" w:cs="仿宋"/>
              </w:rPr>
              <w:drawing>
                <wp:inline distT="0" distB="0" distL="114300" distR="114300">
                  <wp:extent cx="1304925" cy="114300"/>
                  <wp:effectExtent l="0" t="0" r="3175"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51"/>
                          <a:stretch>
                            <a:fillRect/>
                          </a:stretch>
                        </pic:blipFill>
                        <pic:spPr>
                          <a:xfrm>
                            <a:off x="0" y="0"/>
                            <a:ext cx="1305107" cy="114316"/>
                          </a:xfrm>
                          <a:prstGeom prst="rect">
                            <a:avLst/>
                          </a:prstGeom>
                        </pic:spPr>
                      </pic:pic>
                    </a:graphicData>
                  </a:graphic>
                </wp:inline>
              </w:drawing>
            </w:r>
            <w:r>
              <w:rPr>
                <w:rFonts w:hint="eastAsia" w:ascii="仿宋" w:hAnsi="仿宋" w:eastAsia="仿宋" w:cs="仿宋"/>
              </w:rPr>
              <w:t>4.02%</w:t>
            </w:r>
          </w:p>
        </w:tc>
      </w:tr>
      <w:tr w14:paraId="051A0DF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1A0CDC6">
            <w:pPr>
              <w:jc w:val="left"/>
              <w:outlineLvl w:val="9"/>
              <w:rPr>
                <w:rFonts w:hint="eastAsia" w:ascii="仿宋" w:hAnsi="仿宋" w:eastAsia="仿宋" w:cs="仿宋"/>
              </w:rPr>
            </w:pPr>
            <w:r>
              <w:rPr>
                <w:rFonts w:hint="eastAsia" w:ascii="仿宋" w:hAnsi="仿宋" w:eastAsia="仿宋" w:cs="仿宋"/>
              </w:rPr>
              <w:t>满意</w:t>
            </w:r>
          </w:p>
        </w:tc>
        <w:tc>
          <w:tcPr>
            <w:tcW w:w="1000" w:type="dxa"/>
            <w:shd w:val="clear" w:color="auto" w:fill="FFFFFF"/>
            <w:vAlign w:val="center"/>
          </w:tcPr>
          <w:p w14:paraId="0D883975">
            <w:pPr>
              <w:jc w:val="center"/>
              <w:outlineLvl w:val="9"/>
              <w:rPr>
                <w:rFonts w:hint="eastAsia" w:ascii="仿宋" w:hAnsi="仿宋" w:eastAsia="仿宋" w:cs="仿宋"/>
              </w:rPr>
            </w:pPr>
            <w:r>
              <w:rPr>
                <w:rFonts w:hint="eastAsia" w:ascii="仿宋" w:hAnsi="仿宋" w:eastAsia="仿宋" w:cs="仿宋"/>
              </w:rPr>
              <w:t>14</w:t>
            </w:r>
          </w:p>
        </w:tc>
        <w:tc>
          <w:tcPr>
            <w:tcW w:w="3106" w:type="dxa"/>
            <w:shd w:val="clear" w:color="auto" w:fill="FFFFFF"/>
            <w:vAlign w:val="center"/>
          </w:tcPr>
          <w:p w14:paraId="2DCF83AB">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38100" cy="1143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2"/>
                          <a:stretch>
                            <a:fillRect/>
                          </a:stretch>
                        </pic:blipFill>
                        <pic:spPr>
                          <a:xfrm>
                            <a:off x="0" y="0"/>
                            <a:ext cx="38105" cy="114316"/>
                          </a:xfrm>
                          <a:prstGeom prst="rect">
                            <a:avLst/>
                          </a:prstGeom>
                        </pic:spPr>
                      </pic:pic>
                    </a:graphicData>
                  </a:graphic>
                </wp:inline>
              </w:drawing>
            </w:r>
            <w:r>
              <w:rPr>
                <w:rFonts w:hint="eastAsia" w:ascii="仿宋" w:hAnsi="仿宋" w:eastAsia="仿宋" w:cs="仿宋"/>
              </w:rPr>
              <w:drawing>
                <wp:inline distT="0" distB="0" distL="114300" distR="114300">
                  <wp:extent cx="1314450" cy="114300"/>
                  <wp:effectExtent l="0" t="0" r="635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3"/>
                          <a:stretch>
                            <a:fillRect/>
                          </a:stretch>
                        </pic:blipFill>
                        <pic:spPr>
                          <a:xfrm>
                            <a:off x="0" y="0"/>
                            <a:ext cx="1314634" cy="114316"/>
                          </a:xfrm>
                          <a:prstGeom prst="rect">
                            <a:avLst/>
                          </a:prstGeom>
                        </pic:spPr>
                      </pic:pic>
                    </a:graphicData>
                  </a:graphic>
                </wp:inline>
              </w:drawing>
            </w:r>
            <w:r>
              <w:rPr>
                <w:rFonts w:hint="eastAsia" w:ascii="仿宋" w:hAnsi="仿宋" w:eastAsia="仿宋" w:cs="仿宋"/>
              </w:rPr>
              <w:t>3.52%</w:t>
            </w:r>
          </w:p>
        </w:tc>
      </w:tr>
      <w:tr w14:paraId="7D017AF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6122810">
            <w:pPr>
              <w:jc w:val="left"/>
              <w:outlineLvl w:val="9"/>
              <w:rPr>
                <w:rFonts w:hint="eastAsia" w:ascii="仿宋" w:hAnsi="仿宋" w:eastAsia="仿宋" w:cs="仿宋"/>
              </w:rPr>
            </w:pPr>
            <w:r>
              <w:rPr>
                <w:rFonts w:hint="eastAsia" w:ascii="仿宋" w:hAnsi="仿宋" w:eastAsia="仿宋" w:cs="仿宋"/>
              </w:rPr>
              <w:t>不满意</w:t>
            </w:r>
          </w:p>
        </w:tc>
        <w:tc>
          <w:tcPr>
            <w:tcW w:w="1000" w:type="dxa"/>
            <w:shd w:val="clear" w:color="auto" w:fill="FAFAFA"/>
            <w:vAlign w:val="center"/>
          </w:tcPr>
          <w:p w14:paraId="7B385E16">
            <w:pPr>
              <w:jc w:val="center"/>
              <w:outlineLvl w:val="9"/>
              <w:rPr>
                <w:rFonts w:hint="eastAsia" w:ascii="仿宋" w:hAnsi="仿宋" w:eastAsia="仿宋" w:cs="仿宋"/>
              </w:rPr>
            </w:pPr>
            <w:r>
              <w:rPr>
                <w:rFonts w:hint="eastAsia" w:ascii="仿宋" w:hAnsi="仿宋" w:eastAsia="仿宋" w:cs="仿宋"/>
              </w:rPr>
              <w:t>0</w:t>
            </w:r>
          </w:p>
        </w:tc>
        <w:tc>
          <w:tcPr>
            <w:tcW w:w="3106" w:type="dxa"/>
            <w:shd w:val="clear" w:color="auto" w:fill="FAFAFA"/>
            <w:vAlign w:val="center"/>
          </w:tcPr>
          <w:p w14:paraId="32235962">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352550" cy="114300"/>
                  <wp:effectExtent l="0" t="0" r="635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4"/>
                          <a:stretch>
                            <a:fillRect/>
                          </a:stretch>
                        </pic:blipFill>
                        <pic:spPr>
                          <a:xfrm>
                            <a:off x="0" y="0"/>
                            <a:ext cx="1352739" cy="114316"/>
                          </a:xfrm>
                          <a:prstGeom prst="rect">
                            <a:avLst/>
                          </a:prstGeom>
                        </pic:spPr>
                      </pic:pic>
                    </a:graphicData>
                  </a:graphic>
                </wp:inline>
              </w:drawing>
            </w:r>
            <w:r>
              <w:rPr>
                <w:rFonts w:hint="eastAsia" w:ascii="仿宋" w:hAnsi="仿宋" w:eastAsia="仿宋" w:cs="仿宋"/>
              </w:rPr>
              <w:t>0%</w:t>
            </w:r>
          </w:p>
        </w:tc>
      </w:tr>
      <w:tr w14:paraId="37ED540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02A5FC90">
            <w:pPr>
              <w:jc w:val="left"/>
              <w:outlineLvl w:val="9"/>
              <w:rPr>
                <w:rFonts w:hint="eastAsia" w:ascii="仿宋" w:hAnsi="仿宋" w:eastAsia="仿宋" w:cs="仿宋"/>
              </w:rPr>
            </w:pPr>
            <w:r>
              <w:rPr>
                <w:rFonts w:hint="eastAsia" w:ascii="仿宋" w:hAnsi="仿宋" w:eastAsia="仿宋" w:cs="仿宋"/>
              </w:rPr>
              <w:t>本题有效填写人次</w:t>
            </w:r>
          </w:p>
        </w:tc>
        <w:tc>
          <w:tcPr>
            <w:tcW w:w="1000" w:type="dxa"/>
            <w:shd w:val="clear" w:color="auto" w:fill="F5F5F5"/>
            <w:vAlign w:val="center"/>
          </w:tcPr>
          <w:p w14:paraId="25BD381E">
            <w:pPr>
              <w:jc w:val="center"/>
              <w:outlineLvl w:val="9"/>
              <w:rPr>
                <w:rFonts w:hint="eastAsia" w:ascii="仿宋" w:hAnsi="仿宋" w:eastAsia="仿宋" w:cs="仿宋"/>
              </w:rPr>
            </w:pPr>
            <w:r>
              <w:rPr>
                <w:rFonts w:hint="eastAsia" w:ascii="仿宋" w:hAnsi="仿宋" w:eastAsia="仿宋" w:cs="仿宋"/>
              </w:rPr>
              <w:t>398</w:t>
            </w:r>
          </w:p>
        </w:tc>
        <w:tc>
          <w:tcPr>
            <w:tcW w:w="3106" w:type="dxa"/>
            <w:shd w:val="clear" w:color="auto" w:fill="F5F5F5"/>
            <w:vAlign w:val="center"/>
          </w:tcPr>
          <w:p w14:paraId="455CED57">
            <w:pPr>
              <w:jc w:val="left"/>
              <w:outlineLvl w:val="9"/>
              <w:rPr>
                <w:rFonts w:hint="eastAsia" w:ascii="仿宋" w:hAnsi="仿宋" w:eastAsia="仿宋" w:cs="仿宋"/>
              </w:rPr>
            </w:pPr>
          </w:p>
        </w:tc>
      </w:tr>
    </w:tbl>
    <w:p w14:paraId="51BC2172">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分析结论：根据数据表格显示，对本部门的工作业务流程和信息沟通的满意度整体较高。其中，非常满意的比例为92.46%，比较满意为4.02%，满意为3.52%，而没有人选择不满意。建议继续保持良好的工作业务流程和信息沟通，同时可以进一步收集员工意见，以持续改进和提升工作效率。</w:t>
      </w:r>
    </w:p>
    <w:p w14:paraId="0D6B3FC3">
      <w:pPr>
        <w:widowControl w:val="0"/>
        <w:spacing w:line="560" w:lineRule="exact"/>
        <w:ind w:firstLine="560" w:firstLineChars="200"/>
        <w:jc w:val="both"/>
        <w:outlineLvl w:val="9"/>
        <w:rPr>
          <w:rFonts w:hint="eastAsia" w:ascii="仿宋" w:hAnsi="仿宋" w:eastAsia="仿宋" w:cs="仿宋"/>
          <w:b w:val="0"/>
          <w:color w:val="000000"/>
          <w:sz w:val="28"/>
          <w:szCs w:val="28"/>
          <w:lang w:eastAsia="zh-CN"/>
        </w:rPr>
      </w:pPr>
      <w:r>
        <w:rPr>
          <w:rFonts w:hint="eastAsia" w:ascii="仿宋" w:hAnsi="仿宋" w:eastAsia="仿宋" w:cs="仿宋"/>
          <w:b w:val="0"/>
          <w:color w:val="000000"/>
          <w:sz w:val="28"/>
          <w:szCs w:val="28"/>
          <w:lang w:val="en-US" w:eastAsia="zh-CN"/>
        </w:rPr>
        <w:t>3.</w:t>
      </w:r>
      <w:r>
        <w:rPr>
          <w:rFonts w:hint="eastAsia" w:ascii="仿宋" w:hAnsi="仿宋" w:eastAsia="仿宋" w:cs="仿宋"/>
          <w:b w:val="0"/>
          <w:color w:val="000000"/>
          <w:sz w:val="28"/>
          <w:szCs w:val="28"/>
        </w:rPr>
        <w:t>您认为该部门改革和完善机关办事制度，缩短办事时间，提高工作效率方面做得如何</w:t>
      </w:r>
      <w:r>
        <w:rPr>
          <w:rFonts w:hint="eastAsia" w:ascii="仿宋" w:hAnsi="仿宋" w:eastAsia="仿宋" w:cs="仿宋"/>
          <w:b w:val="0"/>
          <w:color w:val="000000"/>
          <w:sz w:val="28"/>
          <w:szCs w:val="28"/>
          <w:lang w:eastAsia="zh-CN"/>
        </w:rPr>
        <w:t>？</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14:paraId="325E0EB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5084C7B">
            <w:pPr>
              <w:jc w:val="left"/>
              <w:outlineLvl w:val="9"/>
              <w:rPr>
                <w:rFonts w:hint="eastAsia" w:ascii="仿宋" w:hAnsi="仿宋" w:eastAsia="仿宋" w:cs="仿宋"/>
              </w:rPr>
            </w:pPr>
            <w:r>
              <w:rPr>
                <w:rFonts w:hint="eastAsia" w:ascii="仿宋" w:hAnsi="仿宋" w:eastAsia="仿宋" w:cs="仿宋"/>
              </w:rPr>
              <w:t>选项</w:t>
            </w:r>
          </w:p>
        </w:tc>
        <w:tc>
          <w:tcPr>
            <w:tcW w:w="1000" w:type="dxa"/>
            <w:shd w:val="clear" w:color="auto" w:fill="F5F5F5"/>
            <w:vAlign w:val="center"/>
          </w:tcPr>
          <w:p w14:paraId="092C3374">
            <w:pPr>
              <w:jc w:val="center"/>
              <w:outlineLvl w:val="9"/>
              <w:rPr>
                <w:rFonts w:hint="eastAsia" w:ascii="仿宋" w:hAnsi="仿宋" w:eastAsia="仿宋" w:cs="仿宋"/>
              </w:rPr>
            </w:pPr>
            <w:r>
              <w:rPr>
                <w:rFonts w:hint="eastAsia" w:ascii="仿宋" w:hAnsi="仿宋" w:eastAsia="仿宋" w:cs="仿宋"/>
              </w:rPr>
              <w:t>小计</w:t>
            </w:r>
          </w:p>
        </w:tc>
        <w:tc>
          <w:tcPr>
            <w:tcW w:w="3106" w:type="dxa"/>
            <w:shd w:val="clear" w:color="auto" w:fill="F5F5F5"/>
            <w:vAlign w:val="center"/>
          </w:tcPr>
          <w:p w14:paraId="636A30DE">
            <w:pPr>
              <w:jc w:val="left"/>
              <w:outlineLvl w:val="9"/>
              <w:rPr>
                <w:rFonts w:hint="eastAsia" w:ascii="仿宋" w:hAnsi="仿宋" w:eastAsia="仿宋" w:cs="仿宋"/>
              </w:rPr>
            </w:pPr>
            <w:r>
              <w:rPr>
                <w:rFonts w:hint="eastAsia" w:ascii="仿宋" w:hAnsi="仿宋" w:eastAsia="仿宋" w:cs="仿宋"/>
              </w:rPr>
              <w:t>比例</w:t>
            </w:r>
          </w:p>
        </w:tc>
      </w:tr>
      <w:tr w14:paraId="73DEFAA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EA8DD61">
            <w:pPr>
              <w:jc w:val="left"/>
              <w:outlineLvl w:val="9"/>
              <w:rPr>
                <w:rFonts w:hint="eastAsia" w:ascii="仿宋" w:hAnsi="仿宋" w:eastAsia="仿宋" w:cs="仿宋"/>
              </w:rPr>
            </w:pPr>
            <w:r>
              <w:rPr>
                <w:rFonts w:hint="eastAsia" w:ascii="仿宋" w:hAnsi="仿宋" w:eastAsia="仿宋" w:cs="仿宋"/>
              </w:rPr>
              <w:t>非常满意</w:t>
            </w:r>
          </w:p>
        </w:tc>
        <w:tc>
          <w:tcPr>
            <w:tcW w:w="1000" w:type="dxa"/>
            <w:shd w:val="clear" w:color="auto" w:fill="FFFFFF"/>
            <w:vAlign w:val="center"/>
          </w:tcPr>
          <w:p w14:paraId="3FF8DE23">
            <w:pPr>
              <w:jc w:val="center"/>
              <w:outlineLvl w:val="9"/>
              <w:rPr>
                <w:rFonts w:hint="eastAsia" w:ascii="仿宋" w:hAnsi="仿宋" w:eastAsia="仿宋" w:cs="仿宋"/>
              </w:rPr>
            </w:pPr>
            <w:r>
              <w:rPr>
                <w:rFonts w:hint="eastAsia" w:ascii="仿宋" w:hAnsi="仿宋" w:eastAsia="仿宋" w:cs="仿宋"/>
              </w:rPr>
              <w:t>362</w:t>
            </w:r>
          </w:p>
        </w:tc>
        <w:tc>
          <w:tcPr>
            <w:tcW w:w="3106" w:type="dxa"/>
            <w:shd w:val="clear" w:color="auto" w:fill="FFFFFF"/>
            <w:vAlign w:val="center"/>
          </w:tcPr>
          <w:p w14:paraId="54B61C12">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228725" cy="114300"/>
                  <wp:effectExtent l="0" t="0" r="3175"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52"/>
                          <a:stretch>
                            <a:fillRect/>
                          </a:stretch>
                        </pic:blipFill>
                        <pic:spPr>
                          <a:xfrm>
                            <a:off x="0" y="0"/>
                            <a:ext cx="1228897" cy="114316"/>
                          </a:xfrm>
                          <a:prstGeom prst="rect">
                            <a:avLst/>
                          </a:prstGeom>
                        </pic:spPr>
                      </pic:pic>
                    </a:graphicData>
                  </a:graphic>
                </wp:inline>
              </w:drawing>
            </w:r>
            <w:r>
              <w:rPr>
                <w:rFonts w:hint="eastAsia" w:ascii="仿宋" w:hAnsi="仿宋" w:eastAsia="仿宋" w:cs="仿宋"/>
              </w:rPr>
              <w:drawing>
                <wp:inline distT="0" distB="0" distL="114300" distR="114300">
                  <wp:extent cx="123825" cy="114300"/>
                  <wp:effectExtent l="0" t="0" r="3175"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53"/>
                          <a:stretch>
                            <a:fillRect/>
                          </a:stretch>
                        </pic:blipFill>
                        <pic:spPr>
                          <a:xfrm>
                            <a:off x="0" y="0"/>
                            <a:ext cx="123842" cy="114316"/>
                          </a:xfrm>
                          <a:prstGeom prst="rect">
                            <a:avLst/>
                          </a:prstGeom>
                        </pic:spPr>
                      </pic:pic>
                    </a:graphicData>
                  </a:graphic>
                </wp:inline>
              </w:drawing>
            </w:r>
            <w:r>
              <w:rPr>
                <w:rFonts w:hint="eastAsia" w:ascii="仿宋" w:hAnsi="仿宋" w:eastAsia="仿宋" w:cs="仿宋"/>
              </w:rPr>
              <w:t>90.95%</w:t>
            </w:r>
          </w:p>
        </w:tc>
      </w:tr>
      <w:tr w14:paraId="1C1506D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4880826">
            <w:pPr>
              <w:jc w:val="left"/>
              <w:outlineLvl w:val="9"/>
              <w:rPr>
                <w:rFonts w:hint="eastAsia" w:ascii="仿宋" w:hAnsi="仿宋" w:eastAsia="仿宋" w:cs="仿宋"/>
              </w:rPr>
            </w:pPr>
            <w:r>
              <w:rPr>
                <w:rFonts w:hint="eastAsia" w:ascii="仿宋" w:hAnsi="仿宋" w:eastAsia="仿宋" w:cs="仿宋"/>
              </w:rPr>
              <w:t>比较满意</w:t>
            </w:r>
          </w:p>
        </w:tc>
        <w:tc>
          <w:tcPr>
            <w:tcW w:w="1000" w:type="dxa"/>
            <w:shd w:val="clear" w:color="auto" w:fill="FAFAFA"/>
            <w:vAlign w:val="center"/>
          </w:tcPr>
          <w:p w14:paraId="4340F144">
            <w:pPr>
              <w:jc w:val="center"/>
              <w:outlineLvl w:val="9"/>
              <w:rPr>
                <w:rFonts w:hint="eastAsia" w:ascii="仿宋" w:hAnsi="仿宋" w:eastAsia="仿宋" w:cs="仿宋"/>
              </w:rPr>
            </w:pPr>
            <w:r>
              <w:rPr>
                <w:rFonts w:hint="eastAsia" w:ascii="仿宋" w:hAnsi="仿宋" w:eastAsia="仿宋" w:cs="仿宋"/>
              </w:rPr>
              <w:t>20</w:t>
            </w:r>
          </w:p>
        </w:tc>
        <w:tc>
          <w:tcPr>
            <w:tcW w:w="3106" w:type="dxa"/>
            <w:shd w:val="clear" w:color="auto" w:fill="FAFAFA"/>
            <w:vAlign w:val="center"/>
          </w:tcPr>
          <w:p w14:paraId="1672FB63">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66675" cy="114300"/>
                  <wp:effectExtent l="0" t="0" r="9525"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48"/>
                          <a:stretch>
                            <a:fillRect/>
                          </a:stretch>
                        </pic:blipFill>
                        <pic:spPr>
                          <a:xfrm>
                            <a:off x="0" y="0"/>
                            <a:ext cx="66684" cy="114316"/>
                          </a:xfrm>
                          <a:prstGeom prst="rect">
                            <a:avLst/>
                          </a:prstGeom>
                        </pic:spPr>
                      </pic:pic>
                    </a:graphicData>
                  </a:graphic>
                </wp:inline>
              </w:drawing>
            </w:r>
            <w:r>
              <w:rPr>
                <w:rFonts w:hint="eastAsia" w:ascii="仿宋" w:hAnsi="仿宋" w:eastAsia="仿宋" w:cs="仿宋"/>
              </w:rPr>
              <w:drawing>
                <wp:inline distT="0" distB="0" distL="114300" distR="114300">
                  <wp:extent cx="1285875" cy="114300"/>
                  <wp:effectExtent l="0" t="0" r="9525"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49"/>
                          <a:stretch>
                            <a:fillRect/>
                          </a:stretch>
                        </pic:blipFill>
                        <pic:spPr>
                          <a:xfrm>
                            <a:off x="0" y="0"/>
                            <a:ext cx="1286055" cy="114316"/>
                          </a:xfrm>
                          <a:prstGeom prst="rect">
                            <a:avLst/>
                          </a:prstGeom>
                        </pic:spPr>
                      </pic:pic>
                    </a:graphicData>
                  </a:graphic>
                </wp:inline>
              </w:drawing>
            </w:r>
            <w:r>
              <w:rPr>
                <w:rFonts w:hint="eastAsia" w:ascii="仿宋" w:hAnsi="仿宋" w:eastAsia="仿宋" w:cs="仿宋"/>
              </w:rPr>
              <w:t>5.03%</w:t>
            </w:r>
          </w:p>
        </w:tc>
      </w:tr>
      <w:tr w14:paraId="237E637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31AA0A9">
            <w:pPr>
              <w:jc w:val="left"/>
              <w:outlineLvl w:val="9"/>
              <w:rPr>
                <w:rFonts w:hint="eastAsia" w:ascii="仿宋" w:hAnsi="仿宋" w:eastAsia="仿宋" w:cs="仿宋"/>
              </w:rPr>
            </w:pPr>
            <w:r>
              <w:rPr>
                <w:rFonts w:hint="eastAsia" w:ascii="仿宋" w:hAnsi="仿宋" w:eastAsia="仿宋" w:cs="仿宋"/>
              </w:rPr>
              <w:t>满意</w:t>
            </w:r>
          </w:p>
        </w:tc>
        <w:tc>
          <w:tcPr>
            <w:tcW w:w="1000" w:type="dxa"/>
            <w:shd w:val="clear" w:color="auto" w:fill="FFFFFF"/>
            <w:vAlign w:val="center"/>
          </w:tcPr>
          <w:p w14:paraId="593AD642">
            <w:pPr>
              <w:jc w:val="center"/>
              <w:outlineLvl w:val="9"/>
              <w:rPr>
                <w:rFonts w:hint="eastAsia" w:ascii="仿宋" w:hAnsi="仿宋" w:eastAsia="仿宋" w:cs="仿宋"/>
              </w:rPr>
            </w:pPr>
            <w:r>
              <w:rPr>
                <w:rFonts w:hint="eastAsia" w:ascii="仿宋" w:hAnsi="仿宋" w:eastAsia="仿宋" w:cs="仿宋"/>
              </w:rPr>
              <w:t>15</w:t>
            </w:r>
          </w:p>
        </w:tc>
        <w:tc>
          <w:tcPr>
            <w:tcW w:w="3106" w:type="dxa"/>
            <w:shd w:val="clear" w:color="auto" w:fill="FFFFFF"/>
            <w:vAlign w:val="center"/>
          </w:tcPr>
          <w:p w14:paraId="34B537BE">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47625" cy="114300"/>
                  <wp:effectExtent l="0" t="0" r="3175"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50"/>
                          <a:stretch>
                            <a:fillRect/>
                          </a:stretch>
                        </pic:blipFill>
                        <pic:spPr>
                          <a:xfrm>
                            <a:off x="0" y="0"/>
                            <a:ext cx="47632" cy="114316"/>
                          </a:xfrm>
                          <a:prstGeom prst="rect">
                            <a:avLst/>
                          </a:prstGeom>
                        </pic:spPr>
                      </pic:pic>
                    </a:graphicData>
                  </a:graphic>
                </wp:inline>
              </w:drawing>
            </w:r>
            <w:r>
              <w:rPr>
                <w:rFonts w:hint="eastAsia" w:ascii="仿宋" w:hAnsi="仿宋" w:eastAsia="仿宋" w:cs="仿宋"/>
              </w:rPr>
              <w:drawing>
                <wp:inline distT="0" distB="0" distL="114300" distR="114300">
                  <wp:extent cx="1304925" cy="114300"/>
                  <wp:effectExtent l="0" t="0" r="3175"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51"/>
                          <a:stretch>
                            <a:fillRect/>
                          </a:stretch>
                        </pic:blipFill>
                        <pic:spPr>
                          <a:xfrm>
                            <a:off x="0" y="0"/>
                            <a:ext cx="1305107" cy="114316"/>
                          </a:xfrm>
                          <a:prstGeom prst="rect">
                            <a:avLst/>
                          </a:prstGeom>
                        </pic:spPr>
                      </pic:pic>
                    </a:graphicData>
                  </a:graphic>
                </wp:inline>
              </w:drawing>
            </w:r>
            <w:r>
              <w:rPr>
                <w:rFonts w:hint="eastAsia" w:ascii="仿宋" w:hAnsi="仿宋" w:eastAsia="仿宋" w:cs="仿宋"/>
              </w:rPr>
              <w:t>3.77%</w:t>
            </w:r>
          </w:p>
        </w:tc>
      </w:tr>
      <w:tr w14:paraId="589AF0D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6D70E98">
            <w:pPr>
              <w:jc w:val="left"/>
              <w:outlineLvl w:val="9"/>
              <w:rPr>
                <w:rFonts w:hint="eastAsia" w:ascii="仿宋" w:hAnsi="仿宋" w:eastAsia="仿宋" w:cs="仿宋"/>
              </w:rPr>
            </w:pPr>
            <w:r>
              <w:rPr>
                <w:rFonts w:hint="eastAsia" w:ascii="仿宋" w:hAnsi="仿宋" w:eastAsia="仿宋" w:cs="仿宋"/>
              </w:rPr>
              <w:t>不满意</w:t>
            </w:r>
          </w:p>
        </w:tc>
        <w:tc>
          <w:tcPr>
            <w:tcW w:w="1000" w:type="dxa"/>
            <w:shd w:val="clear" w:color="auto" w:fill="FAFAFA"/>
            <w:vAlign w:val="center"/>
          </w:tcPr>
          <w:p w14:paraId="736E6B96">
            <w:pPr>
              <w:jc w:val="center"/>
              <w:outlineLvl w:val="9"/>
              <w:rPr>
                <w:rFonts w:hint="eastAsia" w:ascii="仿宋" w:hAnsi="仿宋" w:eastAsia="仿宋" w:cs="仿宋"/>
              </w:rPr>
            </w:pPr>
            <w:r>
              <w:rPr>
                <w:rFonts w:hint="eastAsia" w:ascii="仿宋" w:hAnsi="仿宋" w:eastAsia="仿宋" w:cs="仿宋"/>
              </w:rPr>
              <w:t>1</w:t>
            </w:r>
          </w:p>
        </w:tc>
        <w:tc>
          <w:tcPr>
            <w:tcW w:w="3106" w:type="dxa"/>
            <w:shd w:val="clear" w:color="auto" w:fill="FAFAFA"/>
            <w:vAlign w:val="center"/>
          </w:tcPr>
          <w:p w14:paraId="3F9776A6">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352550" cy="114300"/>
                  <wp:effectExtent l="0" t="0" r="6350" b="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14"/>
                          <a:stretch>
                            <a:fillRect/>
                          </a:stretch>
                        </pic:blipFill>
                        <pic:spPr>
                          <a:xfrm>
                            <a:off x="0" y="0"/>
                            <a:ext cx="1352739" cy="114316"/>
                          </a:xfrm>
                          <a:prstGeom prst="rect">
                            <a:avLst/>
                          </a:prstGeom>
                        </pic:spPr>
                      </pic:pic>
                    </a:graphicData>
                  </a:graphic>
                </wp:inline>
              </w:drawing>
            </w:r>
            <w:r>
              <w:rPr>
                <w:rFonts w:hint="eastAsia" w:ascii="仿宋" w:hAnsi="仿宋" w:eastAsia="仿宋" w:cs="仿宋"/>
              </w:rPr>
              <w:t>0.25%</w:t>
            </w:r>
          </w:p>
        </w:tc>
      </w:tr>
      <w:tr w14:paraId="76B70AB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72D13C4E">
            <w:pPr>
              <w:jc w:val="left"/>
              <w:outlineLvl w:val="9"/>
              <w:rPr>
                <w:rFonts w:hint="eastAsia" w:ascii="仿宋" w:hAnsi="仿宋" w:eastAsia="仿宋" w:cs="仿宋"/>
              </w:rPr>
            </w:pPr>
            <w:r>
              <w:rPr>
                <w:rFonts w:hint="eastAsia" w:ascii="仿宋" w:hAnsi="仿宋" w:eastAsia="仿宋" w:cs="仿宋"/>
              </w:rPr>
              <w:t>本题有效填写人次</w:t>
            </w:r>
          </w:p>
        </w:tc>
        <w:tc>
          <w:tcPr>
            <w:tcW w:w="1000" w:type="dxa"/>
            <w:shd w:val="clear" w:color="auto" w:fill="F5F5F5"/>
            <w:vAlign w:val="center"/>
          </w:tcPr>
          <w:p w14:paraId="617C31C9">
            <w:pPr>
              <w:jc w:val="center"/>
              <w:outlineLvl w:val="9"/>
              <w:rPr>
                <w:rFonts w:hint="eastAsia" w:ascii="仿宋" w:hAnsi="仿宋" w:eastAsia="仿宋" w:cs="仿宋"/>
              </w:rPr>
            </w:pPr>
            <w:r>
              <w:rPr>
                <w:rFonts w:hint="eastAsia" w:ascii="仿宋" w:hAnsi="仿宋" w:eastAsia="仿宋" w:cs="仿宋"/>
              </w:rPr>
              <w:t>398</w:t>
            </w:r>
          </w:p>
        </w:tc>
        <w:tc>
          <w:tcPr>
            <w:tcW w:w="3106" w:type="dxa"/>
            <w:shd w:val="clear" w:color="auto" w:fill="F5F5F5"/>
            <w:vAlign w:val="center"/>
          </w:tcPr>
          <w:p w14:paraId="56761E70">
            <w:pPr>
              <w:jc w:val="left"/>
              <w:outlineLvl w:val="9"/>
              <w:rPr>
                <w:rFonts w:hint="eastAsia" w:ascii="仿宋" w:hAnsi="仿宋" w:eastAsia="仿宋" w:cs="仿宋"/>
              </w:rPr>
            </w:pPr>
          </w:p>
        </w:tc>
      </w:tr>
    </w:tbl>
    <w:p w14:paraId="076CBCC8">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lang w:val="en-US" w:eastAsia="zh-CN"/>
        </w:rPr>
        <w:t>分析结论：</w:t>
      </w:r>
      <w:r>
        <w:rPr>
          <w:rFonts w:hint="eastAsia" w:ascii="仿宋" w:hAnsi="仿宋" w:eastAsia="仿宋" w:cs="仿宋"/>
          <w:sz w:val="28"/>
          <w:szCs w:val="28"/>
        </w:rPr>
        <w:t>大多数受访者（90.95%）对该部门改革和完善机关办事制度的做法表示非常满意，这表明受访者对该部门提高工作效率的努力持肯定态度。</w:t>
      </w:r>
    </w:p>
    <w:p w14:paraId="3E8E75E4">
      <w:pPr>
        <w:ind w:firstLine="560" w:firstLineChars="200"/>
        <w:outlineLvl w:val="9"/>
        <w:rPr>
          <w:rFonts w:hint="eastAsia" w:ascii="仿宋" w:hAnsi="仿宋" w:eastAsia="仿宋" w:cs="仿宋"/>
          <w:b w:val="0"/>
          <w:color w:val="000000"/>
          <w:sz w:val="28"/>
          <w:szCs w:val="28"/>
          <w:lang w:eastAsia="zh-CN"/>
        </w:rPr>
      </w:pPr>
      <w:r>
        <w:rPr>
          <w:rFonts w:hint="eastAsia" w:ascii="仿宋" w:hAnsi="仿宋" w:eastAsia="仿宋" w:cs="仿宋"/>
          <w:sz w:val="28"/>
          <w:szCs w:val="28"/>
          <w:lang w:val="en-US" w:eastAsia="zh-CN"/>
        </w:rPr>
        <w:t>4.</w:t>
      </w:r>
      <w:r>
        <w:rPr>
          <w:rFonts w:hint="eastAsia" w:ascii="仿宋" w:hAnsi="仿宋" w:eastAsia="仿宋" w:cs="仿宋"/>
          <w:sz w:val="28"/>
          <w:szCs w:val="28"/>
        </w:rPr>
        <w:t>您认为通过市场监督管理局对市场垄断、不正当</w:t>
      </w:r>
      <w:r>
        <w:rPr>
          <w:rFonts w:hint="eastAsia" w:ascii="仿宋" w:hAnsi="仿宋" w:eastAsia="仿宋" w:cs="仿宋"/>
          <w:b w:val="0"/>
          <w:color w:val="000000"/>
          <w:sz w:val="28"/>
          <w:szCs w:val="28"/>
        </w:rPr>
        <w:t>行为的打击是否促进了市场公平竞争</w:t>
      </w:r>
      <w:r>
        <w:rPr>
          <w:rFonts w:hint="eastAsia" w:ascii="仿宋" w:hAnsi="仿宋" w:eastAsia="仿宋" w:cs="仿宋"/>
          <w:b w:val="0"/>
          <w:color w:val="000000"/>
          <w:sz w:val="28"/>
          <w:szCs w:val="28"/>
          <w:lang w:eastAsia="zh-CN"/>
        </w:rPr>
        <w:t>？</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14:paraId="0887299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9030F47">
            <w:pPr>
              <w:jc w:val="left"/>
              <w:outlineLvl w:val="9"/>
              <w:rPr>
                <w:rFonts w:hint="eastAsia" w:ascii="仿宋" w:hAnsi="仿宋" w:eastAsia="仿宋" w:cs="仿宋"/>
              </w:rPr>
            </w:pPr>
            <w:r>
              <w:rPr>
                <w:rFonts w:hint="eastAsia" w:ascii="仿宋" w:hAnsi="仿宋" w:eastAsia="仿宋" w:cs="仿宋"/>
              </w:rPr>
              <w:t>选项</w:t>
            </w:r>
          </w:p>
        </w:tc>
        <w:tc>
          <w:tcPr>
            <w:tcW w:w="1000" w:type="dxa"/>
            <w:shd w:val="clear" w:color="auto" w:fill="F5F5F5"/>
            <w:vAlign w:val="center"/>
          </w:tcPr>
          <w:p w14:paraId="7E206D04">
            <w:pPr>
              <w:jc w:val="center"/>
              <w:outlineLvl w:val="9"/>
              <w:rPr>
                <w:rFonts w:hint="eastAsia" w:ascii="仿宋" w:hAnsi="仿宋" w:eastAsia="仿宋" w:cs="仿宋"/>
              </w:rPr>
            </w:pPr>
            <w:r>
              <w:rPr>
                <w:rFonts w:hint="eastAsia" w:ascii="仿宋" w:hAnsi="仿宋" w:eastAsia="仿宋" w:cs="仿宋"/>
              </w:rPr>
              <w:t>小计</w:t>
            </w:r>
          </w:p>
        </w:tc>
        <w:tc>
          <w:tcPr>
            <w:tcW w:w="3106" w:type="dxa"/>
            <w:shd w:val="clear" w:color="auto" w:fill="F5F5F5"/>
            <w:vAlign w:val="center"/>
          </w:tcPr>
          <w:p w14:paraId="003C1295">
            <w:pPr>
              <w:jc w:val="left"/>
              <w:outlineLvl w:val="9"/>
              <w:rPr>
                <w:rFonts w:hint="eastAsia" w:ascii="仿宋" w:hAnsi="仿宋" w:eastAsia="仿宋" w:cs="仿宋"/>
              </w:rPr>
            </w:pPr>
            <w:r>
              <w:rPr>
                <w:rFonts w:hint="eastAsia" w:ascii="仿宋" w:hAnsi="仿宋" w:eastAsia="仿宋" w:cs="仿宋"/>
              </w:rPr>
              <w:t>比例</w:t>
            </w:r>
          </w:p>
        </w:tc>
      </w:tr>
      <w:tr w14:paraId="268A122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B0CE525">
            <w:pPr>
              <w:jc w:val="left"/>
              <w:outlineLvl w:val="9"/>
              <w:rPr>
                <w:rFonts w:hint="eastAsia" w:ascii="仿宋" w:hAnsi="仿宋" w:eastAsia="仿宋" w:cs="仿宋"/>
              </w:rPr>
            </w:pPr>
            <w:r>
              <w:rPr>
                <w:rFonts w:hint="eastAsia" w:ascii="仿宋" w:hAnsi="仿宋" w:eastAsia="仿宋" w:cs="仿宋"/>
              </w:rPr>
              <w:t>促进了</w:t>
            </w:r>
          </w:p>
        </w:tc>
        <w:tc>
          <w:tcPr>
            <w:tcW w:w="1000" w:type="dxa"/>
            <w:shd w:val="clear" w:color="auto" w:fill="FFFFFF"/>
            <w:vAlign w:val="center"/>
          </w:tcPr>
          <w:p w14:paraId="5145C27D">
            <w:pPr>
              <w:jc w:val="center"/>
              <w:outlineLvl w:val="9"/>
              <w:rPr>
                <w:rFonts w:hint="eastAsia" w:ascii="仿宋" w:hAnsi="仿宋" w:eastAsia="仿宋" w:cs="仿宋"/>
              </w:rPr>
            </w:pPr>
            <w:r>
              <w:rPr>
                <w:rFonts w:hint="eastAsia" w:ascii="仿宋" w:hAnsi="仿宋" w:eastAsia="仿宋" w:cs="仿宋"/>
              </w:rPr>
              <w:t>393</w:t>
            </w:r>
          </w:p>
        </w:tc>
        <w:tc>
          <w:tcPr>
            <w:tcW w:w="3106" w:type="dxa"/>
            <w:shd w:val="clear" w:color="auto" w:fill="FFFFFF"/>
            <w:vAlign w:val="center"/>
          </w:tcPr>
          <w:p w14:paraId="728874FD">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333500" cy="1143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54"/>
                          <a:stretch>
                            <a:fillRect/>
                          </a:stretch>
                        </pic:blipFill>
                        <pic:spPr>
                          <a:xfrm>
                            <a:off x="0" y="0"/>
                            <a:ext cx="1333686" cy="114316"/>
                          </a:xfrm>
                          <a:prstGeom prst="rect">
                            <a:avLst/>
                          </a:prstGeom>
                        </pic:spPr>
                      </pic:pic>
                    </a:graphicData>
                  </a:graphic>
                </wp:inline>
              </w:drawing>
            </w:r>
            <w:r>
              <w:rPr>
                <w:rFonts w:hint="eastAsia" w:ascii="仿宋" w:hAnsi="仿宋" w:eastAsia="仿宋" w:cs="仿宋"/>
              </w:rPr>
              <w:drawing>
                <wp:inline distT="0" distB="0" distL="114300" distR="114300">
                  <wp:extent cx="19050" cy="114300"/>
                  <wp:effectExtent l="0" t="0" r="6350"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55"/>
                          <a:stretch>
                            <a:fillRect/>
                          </a:stretch>
                        </pic:blipFill>
                        <pic:spPr>
                          <a:xfrm>
                            <a:off x="0" y="0"/>
                            <a:ext cx="19053" cy="114316"/>
                          </a:xfrm>
                          <a:prstGeom prst="rect">
                            <a:avLst/>
                          </a:prstGeom>
                        </pic:spPr>
                      </pic:pic>
                    </a:graphicData>
                  </a:graphic>
                </wp:inline>
              </w:drawing>
            </w:r>
            <w:r>
              <w:rPr>
                <w:rFonts w:hint="eastAsia" w:ascii="仿宋" w:hAnsi="仿宋" w:eastAsia="仿宋" w:cs="仿宋"/>
              </w:rPr>
              <w:t>98.74%</w:t>
            </w:r>
          </w:p>
        </w:tc>
      </w:tr>
      <w:tr w14:paraId="3320900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CF8219D">
            <w:pPr>
              <w:jc w:val="left"/>
              <w:outlineLvl w:val="9"/>
              <w:rPr>
                <w:rFonts w:hint="eastAsia" w:ascii="仿宋" w:hAnsi="仿宋" w:eastAsia="仿宋" w:cs="仿宋"/>
              </w:rPr>
            </w:pPr>
            <w:r>
              <w:rPr>
                <w:rFonts w:hint="eastAsia" w:ascii="仿宋" w:hAnsi="仿宋" w:eastAsia="仿宋" w:cs="仿宋"/>
              </w:rPr>
              <w:t>没有促进</w:t>
            </w:r>
          </w:p>
        </w:tc>
        <w:tc>
          <w:tcPr>
            <w:tcW w:w="1000" w:type="dxa"/>
            <w:shd w:val="clear" w:color="auto" w:fill="FAFAFA"/>
            <w:vAlign w:val="center"/>
          </w:tcPr>
          <w:p w14:paraId="0CE24EF2">
            <w:pPr>
              <w:jc w:val="center"/>
              <w:outlineLvl w:val="9"/>
              <w:rPr>
                <w:rFonts w:hint="eastAsia" w:ascii="仿宋" w:hAnsi="仿宋" w:eastAsia="仿宋" w:cs="仿宋"/>
              </w:rPr>
            </w:pPr>
            <w:r>
              <w:rPr>
                <w:rFonts w:hint="eastAsia" w:ascii="仿宋" w:hAnsi="仿宋" w:eastAsia="仿宋" w:cs="仿宋"/>
              </w:rPr>
              <w:t>5</w:t>
            </w:r>
          </w:p>
        </w:tc>
        <w:tc>
          <w:tcPr>
            <w:tcW w:w="3106" w:type="dxa"/>
            <w:shd w:val="clear" w:color="auto" w:fill="FAFAFA"/>
            <w:vAlign w:val="center"/>
          </w:tcPr>
          <w:p w14:paraId="13ECA320">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9525" cy="114300"/>
                  <wp:effectExtent l="0" t="0" r="3175"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56"/>
                          <a:stretch>
                            <a:fillRect/>
                          </a:stretch>
                        </pic:blipFill>
                        <pic:spPr>
                          <a:xfrm>
                            <a:off x="0" y="0"/>
                            <a:ext cx="9526" cy="114316"/>
                          </a:xfrm>
                          <a:prstGeom prst="rect">
                            <a:avLst/>
                          </a:prstGeom>
                        </pic:spPr>
                      </pic:pic>
                    </a:graphicData>
                  </a:graphic>
                </wp:inline>
              </w:drawing>
            </w:r>
            <w:r>
              <w:rPr>
                <w:rFonts w:hint="eastAsia" w:ascii="仿宋" w:hAnsi="仿宋" w:eastAsia="仿宋" w:cs="仿宋"/>
              </w:rPr>
              <w:drawing>
                <wp:inline distT="0" distB="0" distL="114300" distR="114300">
                  <wp:extent cx="1343025" cy="114300"/>
                  <wp:effectExtent l="0" t="0" r="3175"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57"/>
                          <a:stretch>
                            <a:fillRect/>
                          </a:stretch>
                        </pic:blipFill>
                        <pic:spPr>
                          <a:xfrm>
                            <a:off x="0" y="0"/>
                            <a:ext cx="1343212" cy="114316"/>
                          </a:xfrm>
                          <a:prstGeom prst="rect">
                            <a:avLst/>
                          </a:prstGeom>
                        </pic:spPr>
                      </pic:pic>
                    </a:graphicData>
                  </a:graphic>
                </wp:inline>
              </w:drawing>
            </w:r>
            <w:r>
              <w:rPr>
                <w:rFonts w:hint="eastAsia" w:ascii="仿宋" w:hAnsi="仿宋" w:eastAsia="仿宋" w:cs="仿宋"/>
              </w:rPr>
              <w:t>1.26%</w:t>
            </w:r>
          </w:p>
        </w:tc>
      </w:tr>
      <w:tr w14:paraId="3A96A54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7ECC459">
            <w:pPr>
              <w:jc w:val="left"/>
              <w:outlineLvl w:val="9"/>
              <w:rPr>
                <w:rFonts w:hint="eastAsia" w:ascii="仿宋" w:hAnsi="仿宋" w:eastAsia="仿宋" w:cs="仿宋"/>
              </w:rPr>
            </w:pPr>
            <w:r>
              <w:rPr>
                <w:rFonts w:hint="eastAsia" w:ascii="仿宋" w:hAnsi="仿宋" w:eastAsia="仿宋" w:cs="仿宋"/>
              </w:rPr>
              <w:t>本题有效填写人次</w:t>
            </w:r>
          </w:p>
        </w:tc>
        <w:tc>
          <w:tcPr>
            <w:tcW w:w="1000" w:type="dxa"/>
            <w:shd w:val="clear" w:color="auto" w:fill="F5F5F5"/>
            <w:vAlign w:val="center"/>
          </w:tcPr>
          <w:p w14:paraId="773EE588">
            <w:pPr>
              <w:jc w:val="center"/>
              <w:outlineLvl w:val="9"/>
              <w:rPr>
                <w:rFonts w:hint="eastAsia" w:ascii="仿宋" w:hAnsi="仿宋" w:eastAsia="仿宋" w:cs="仿宋"/>
              </w:rPr>
            </w:pPr>
            <w:r>
              <w:rPr>
                <w:rFonts w:hint="eastAsia" w:ascii="仿宋" w:hAnsi="仿宋" w:eastAsia="仿宋" w:cs="仿宋"/>
              </w:rPr>
              <w:t>398</w:t>
            </w:r>
          </w:p>
        </w:tc>
        <w:tc>
          <w:tcPr>
            <w:tcW w:w="3106" w:type="dxa"/>
            <w:shd w:val="clear" w:color="auto" w:fill="F5F5F5"/>
            <w:vAlign w:val="center"/>
          </w:tcPr>
          <w:p w14:paraId="01A257CD">
            <w:pPr>
              <w:jc w:val="left"/>
              <w:outlineLvl w:val="9"/>
              <w:rPr>
                <w:rFonts w:hint="eastAsia" w:ascii="仿宋" w:hAnsi="仿宋" w:eastAsia="仿宋" w:cs="仿宋"/>
              </w:rPr>
            </w:pPr>
          </w:p>
        </w:tc>
      </w:tr>
    </w:tbl>
    <w:p w14:paraId="640AA05A">
      <w:pPr>
        <w:ind w:firstLine="560" w:firstLineChars="200"/>
        <w:outlineLvl w:val="9"/>
        <w:rPr>
          <w:rFonts w:hint="eastAsia" w:ascii="仿宋" w:hAnsi="仿宋" w:eastAsia="仿宋" w:cs="仿宋"/>
          <w:b w:val="0"/>
          <w:color w:val="000000"/>
          <w:sz w:val="28"/>
          <w:szCs w:val="28"/>
          <w:lang w:eastAsia="zh-CN"/>
        </w:rPr>
      </w:pPr>
      <w:r>
        <w:rPr>
          <w:rFonts w:hint="eastAsia" w:ascii="仿宋" w:hAnsi="仿宋" w:eastAsia="仿宋" w:cs="仿宋"/>
          <w:sz w:val="28"/>
          <w:szCs w:val="28"/>
          <w:lang w:val="en-US" w:eastAsia="zh-CN"/>
        </w:rPr>
        <w:t>分析结论：绝大多数受访者（98.74%）认为市场监督管理局对市场垄断、不正当行为的打击促进了市场公平竞争，显示受访者对市场监管的有效性持肯定态度。</w:t>
      </w:r>
      <w:r>
        <w:rPr>
          <w:rFonts w:hint="eastAsia" w:ascii="仿宋" w:hAnsi="仿宋" w:eastAsia="仿宋" w:cs="仿宋"/>
          <w:sz w:val="28"/>
          <w:szCs w:val="28"/>
          <w:lang w:val="en-US" w:eastAsia="zh-CN"/>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b w:val="0"/>
          <w:color w:val="000000"/>
          <w:sz w:val="28"/>
          <w:szCs w:val="28"/>
          <w:lang w:val="en-US" w:eastAsia="zh-CN"/>
        </w:rPr>
        <w:t>5.</w:t>
      </w:r>
      <w:r>
        <w:rPr>
          <w:rFonts w:hint="eastAsia" w:ascii="仿宋" w:hAnsi="仿宋" w:eastAsia="仿宋" w:cs="仿宋"/>
          <w:b w:val="0"/>
          <w:color w:val="000000"/>
          <w:sz w:val="28"/>
          <w:szCs w:val="28"/>
        </w:rPr>
        <w:t>您对市场监督管理局宣传培训工作开展情况</w:t>
      </w:r>
      <w:r>
        <w:rPr>
          <w:rFonts w:hint="eastAsia" w:ascii="仿宋" w:hAnsi="仿宋" w:eastAsia="仿宋" w:cs="仿宋"/>
          <w:b w:val="0"/>
          <w:color w:val="000000"/>
          <w:sz w:val="28"/>
          <w:szCs w:val="28"/>
          <w:lang w:eastAsia="zh-CN"/>
        </w:rPr>
        <w:t>？</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14:paraId="0BD6330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EB19DCC">
            <w:pPr>
              <w:jc w:val="left"/>
              <w:outlineLvl w:val="9"/>
              <w:rPr>
                <w:rFonts w:hint="eastAsia" w:ascii="仿宋" w:hAnsi="仿宋" w:eastAsia="仿宋" w:cs="仿宋"/>
              </w:rPr>
            </w:pPr>
            <w:r>
              <w:rPr>
                <w:rFonts w:hint="eastAsia" w:ascii="仿宋" w:hAnsi="仿宋" w:eastAsia="仿宋" w:cs="仿宋"/>
              </w:rPr>
              <w:t>选项</w:t>
            </w:r>
          </w:p>
        </w:tc>
        <w:tc>
          <w:tcPr>
            <w:tcW w:w="1000" w:type="dxa"/>
            <w:shd w:val="clear" w:color="auto" w:fill="F5F5F5"/>
            <w:vAlign w:val="center"/>
          </w:tcPr>
          <w:p w14:paraId="1934E6BF">
            <w:pPr>
              <w:jc w:val="center"/>
              <w:outlineLvl w:val="9"/>
              <w:rPr>
                <w:rFonts w:hint="eastAsia" w:ascii="仿宋" w:hAnsi="仿宋" w:eastAsia="仿宋" w:cs="仿宋"/>
              </w:rPr>
            </w:pPr>
            <w:r>
              <w:rPr>
                <w:rFonts w:hint="eastAsia" w:ascii="仿宋" w:hAnsi="仿宋" w:eastAsia="仿宋" w:cs="仿宋"/>
              </w:rPr>
              <w:t>小计</w:t>
            </w:r>
          </w:p>
        </w:tc>
        <w:tc>
          <w:tcPr>
            <w:tcW w:w="3106" w:type="dxa"/>
            <w:shd w:val="clear" w:color="auto" w:fill="F5F5F5"/>
            <w:vAlign w:val="center"/>
          </w:tcPr>
          <w:p w14:paraId="5E0A24B1">
            <w:pPr>
              <w:jc w:val="left"/>
              <w:outlineLvl w:val="9"/>
              <w:rPr>
                <w:rFonts w:hint="eastAsia" w:ascii="仿宋" w:hAnsi="仿宋" w:eastAsia="仿宋" w:cs="仿宋"/>
              </w:rPr>
            </w:pPr>
            <w:r>
              <w:rPr>
                <w:rFonts w:hint="eastAsia" w:ascii="仿宋" w:hAnsi="仿宋" w:eastAsia="仿宋" w:cs="仿宋"/>
              </w:rPr>
              <w:t>比例</w:t>
            </w:r>
          </w:p>
        </w:tc>
      </w:tr>
      <w:tr w14:paraId="05EA02E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FB2E3CE">
            <w:pPr>
              <w:jc w:val="left"/>
              <w:outlineLvl w:val="9"/>
              <w:rPr>
                <w:rFonts w:hint="eastAsia" w:ascii="仿宋" w:hAnsi="仿宋" w:eastAsia="仿宋" w:cs="仿宋"/>
              </w:rPr>
            </w:pPr>
            <w:r>
              <w:rPr>
                <w:rFonts w:hint="eastAsia" w:ascii="仿宋" w:hAnsi="仿宋" w:eastAsia="仿宋" w:cs="仿宋"/>
              </w:rPr>
              <w:t>经常开展</w:t>
            </w:r>
          </w:p>
        </w:tc>
        <w:tc>
          <w:tcPr>
            <w:tcW w:w="1000" w:type="dxa"/>
            <w:shd w:val="clear" w:color="auto" w:fill="FFFFFF"/>
            <w:vAlign w:val="center"/>
          </w:tcPr>
          <w:p w14:paraId="23899EA6">
            <w:pPr>
              <w:jc w:val="center"/>
              <w:outlineLvl w:val="9"/>
              <w:rPr>
                <w:rFonts w:hint="eastAsia" w:ascii="仿宋" w:hAnsi="仿宋" w:eastAsia="仿宋" w:cs="仿宋"/>
              </w:rPr>
            </w:pPr>
            <w:r>
              <w:rPr>
                <w:rFonts w:hint="eastAsia" w:ascii="仿宋" w:hAnsi="仿宋" w:eastAsia="仿宋" w:cs="仿宋"/>
              </w:rPr>
              <w:t>376</w:t>
            </w:r>
          </w:p>
        </w:tc>
        <w:tc>
          <w:tcPr>
            <w:tcW w:w="3106" w:type="dxa"/>
            <w:shd w:val="clear" w:color="auto" w:fill="FFFFFF"/>
            <w:vAlign w:val="center"/>
          </w:tcPr>
          <w:p w14:paraId="33339066">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276350" cy="114300"/>
                  <wp:effectExtent l="0" t="0" r="635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58"/>
                          <a:stretch>
                            <a:fillRect/>
                          </a:stretch>
                        </pic:blipFill>
                        <pic:spPr>
                          <a:xfrm>
                            <a:off x="0" y="0"/>
                            <a:ext cx="1276528" cy="114316"/>
                          </a:xfrm>
                          <a:prstGeom prst="rect">
                            <a:avLst/>
                          </a:prstGeom>
                        </pic:spPr>
                      </pic:pic>
                    </a:graphicData>
                  </a:graphic>
                </wp:inline>
              </w:drawing>
            </w:r>
            <w:r>
              <w:rPr>
                <w:rFonts w:hint="eastAsia" w:ascii="仿宋" w:hAnsi="仿宋" w:eastAsia="仿宋" w:cs="仿宋"/>
              </w:rPr>
              <w:drawing>
                <wp:inline distT="0" distB="0" distL="114300" distR="114300">
                  <wp:extent cx="76200" cy="114300"/>
                  <wp:effectExtent l="0" t="0" r="0" b="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59"/>
                          <a:stretch>
                            <a:fillRect/>
                          </a:stretch>
                        </pic:blipFill>
                        <pic:spPr>
                          <a:xfrm>
                            <a:off x="0" y="0"/>
                            <a:ext cx="76211" cy="114316"/>
                          </a:xfrm>
                          <a:prstGeom prst="rect">
                            <a:avLst/>
                          </a:prstGeom>
                        </pic:spPr>
                      </pic:pic>
                    </a:graphicData>
                  </a:graphic>
                </wp:inline>
              </w:drawing>
            </w:r>
            <w:r>
              <w:rPr>
                <w:rFonts w:hint="eastAsia" w:ascii="仿宋" w:hAnsi="仿宋" w:eastAsia="仿宋" w:cs="仿宋"/>
              </w:rPr>
              <w:t>94.47%</w:t>
            </w:r>
          </w:p>
        </w:tc>
      </w:tr>
      <w:tr w14:paraId="44D1BB4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19281B3">
            <w:pPr>
              <w:jc w:val="left"/>
              <w:outlineLvl w:val="9"/>
              <w:rPr>
                <w:rFonts w:hint="eastAsia" w:ascii="仿宋" w:hAnsi="仿宋" w:eastAsia="仿宋" w:cs="仿宋"/>
              </w:rPr>
            </w:pPr>
            <w:r>
              <w:rPr>
                <w:rFonts w:hint="eastAsia" w:ascii="仿宋" w:hAnsi="仿宋" w:eastAsia="仿宋" w:cs="仿宋"/>
              </w:rPr>
              <w:t>偶尔开展</w:t>
            </w:r>
          </w:p>
        </w:tc>
        <w:tc>
          <w:tcPr>
            <w:tcW w:w="1000" w:type="dxa"/>
            <w:shd w:val="clear" w:color="auto" w:fill="FAFAFA"/>
            <w:vAlign w:val="center"/>
          </w:tcPr>
          <w:p w14:paraId="3119A54D">
            <w:pPr>
              <w:jc w:val="center"/>
              <w:outlineLvl w:val="9"/>
              <w:rPr>
                <w:rFonts w:hint="eastAsia" w:ascii="仿宋" w:hAnsi="仿宋" w:eastAsia="仿宋" w:cs="仿宋"/>
              </w:rPr>
            </w:pPr>
            <w:r>
              <w:rPr>
                <w:rFonts w:hint="eastAsia" w:ascii="仿宋" w:hAnsi="仿宋" w:eastAsia="仿宋" w:cs="仿宋"/>
              </w:rPr>
              <w:t>21</w:t>
            </w:r>
          </w:p>
        </w:tc>
        <w:tc>
          <w:tcPr>
            <w:tcW w:w="3106" w:type="dxa"/>
            <w:shd w:val="clear" w:color="auto" w:fill="FAFAFA"/>
            <w:vAlign w:val="center"/>
          </w:tcPr>
          <w:p w14:paraId="25CBFBD5">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66675" cy="114300"/>
                  <wp:effectExtent l="0" t="0" r="9525"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48"/>
                          <a:stretch>
                            <a:fillRect/>
                          </a:stretch>
                        </pic:blipFill>
                        <pic:spPr>
                          <a:xfrm>
                            <a:off x="0" y="0"/>
                            <a:ext cx="66684" cy="114316"/>
                          </a:xfrm>
                          <a:prstGeom prst="rect">
                            <a:avLst/>
                          </a:prstGeom>
                        </pic:spPr>
                      </pic:pic>
                    </a:graphicData>
                  </a:graphic>
                </wp:inline>
              </w:drawing>
            </w:r>
            <w:r>
              <w:rPr>
                <w:rFonts w:hint="eastAsia" w:ascii="仿宋" w:hAnsi="仿宋" w:eastAsia="仿宋" w:cs="仿宋"/>
              </w:rPr>
              <w:drawing>
                <wp:inline distT="0" distB="0" distL="114300" distR="114300">
                  <wp:extent cx="1285875" cy="114300"/>
                  <wp:effectExtent l="0" t="0" r="9525" b="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49"/>
                          <a:stretch>
                            <a:fillRect/>
                          </a:stretch>
                        </pic:blipFill>
                        <pic:spPr>
                          <a:xfrm>
                            <a:off x="0" y="0"/>
                            <a:ext cx="1286055" cy="114316"/>
                          </a:xfrm>
                          <a:prstGeom prst="rect">
                            <a:avLst/>
                          </a:prstGeom>
                        </pic:spPr>
                      </pic:pic>
                    </a:graphicData>
                  </a:graphic>
                </wp:inline>
              </w:drawing>
            </w:r>
            <w:r>
              <w:rPr>
                <w:rFonts w:hint="eastAsia" w:ascii="仿宋" w:hAnsi="仿宋" w:eastAsia="仿宋" w:cs="仿宋"/>
              </w:rPr>
              <w:t>5.28%</w:t>
            </w:r>
          </w:p>
        </w:tc>
      </w:tr>
      <w:tr w14:paraId="0B09FFD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54ED117">
            <w:pPr>
              <w:jc w:val="left"/>
              <w:outlineLvl w:val="9"/>
              <w:rPr>
                <w:rFonts w:hint="eastAsia" w:ascii="仿宋" w:hAnsi="仿宋" w:eastAsia="仿宋" w:cs="仿宋"/>
              </w:rPr>
            </w:pPr>
            <w:r>
              <w:rPr>
                <w:rFonts w:hint="eastAsia" w:ascii="仿宋" w:hAnsi="仿宋" w:eastAsia="仿宋" w:cs="仿宋"/>
              </w:rPr>
              <w:t>从不开展</w:t>
            </w:r>
          </w:p>
        </w:tc>
        <w:tc>
          <w:tcPr>
            <w:tcW w:w="1000" w:type="dxa"/>
            <w:shd w:val="clear" w:color="auto" w:fill="FFFFFF"/>
            <w:vAlign w:val="center"/>
          </w:tcPr>
          <w:p w14:paraId="4D368F4E">
            <w:pPr>
              <w:jc w:val="center"/>
              <w:outlineLvl w:val="9"/>
              <w:rPr>
                <w:rFonts w:hint="eastAsia" w:ascii="仿宋" w:hAnsi="仿宋" w:eastAsia="仿宋" w:cs="仿宋"/>
              </w:rPr>
            </w:pPr>
            <w:r>
              <w:rPr>
                <w:rFonts w:hint="eastAsia" w:ascii="仿宋" w:hAnsi="仿宋" w:eastAsia="仿宋" w:cs="仿宋"/>
              </w:rPr>
              <w:t>1</w:t>
            </w:r>
          </w:p>
        </w:tc>
        <w:tc>
          <w:tcPr>
            <w:tcW w:w="3106" w:type="dxa"/>
            <w:shd w:val="clear" w:color="auto" w:fill="FFFFFF"/>
            <w:vAlign w:val="center"/>
          </w:tcPr>
          <w:p w14:paraId="553CA71B">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352550" cy="114300"/>
                  <wp:effectExtent l="0" t="0" r="635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4"/>
                          <a:stretch>
                            <a:fillRect/>
                          </a:stretch>
                        </pic:blipFill>
                        <pic:spPr>
                          <a:xfrm>
                            <a:off x="0" y="0"/>
                            <a:ext cx="1352739" cy="114316"/>
                          </a:xfrm>
                          <a:prstGeom prst="rect">
                            <a:avLst/>
                          </a:prstGeom>
                        </pic:spPr>
                      </pic:pic>
                    </a:graphicData>
                  </a:graphic>
                </wp:inline>
              </w:drawing>
            </w:r>
            <w:r>
              <w:rPr>
                <w:rFonts w:hint="eastAsia" w:ascii="仿宋" w:hAnsi="仿宋" w:eastAsia="仿宋" w:cs="仿宋"/>
              </w:rPr>
              <w:t>0.25%</w:t>
            </w:r>
          </w:p>
        </w:tc>
      </w:tr>
      <w:tr w14:paraId="4B2AA5C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3CABB6B">
            <w:pPr>
              <w:jc w:val="left"/>
              <w:outlineLvl w:val="9"/>
              <w:rPr>
                <w:rFonts w:hint="eastAsia" w:ascii="仿宋" w:hAnsi="仿宋" w:eastAsia="仿宋" w:cs="仿宋"/>
              </w:rPr>
            </w:pPr>
            <w:r>
              <w:rPr>
                <w:rFonts w:hint="eastAsia" w:ascii="仿宋" w:hAnsi="仿宋" w:eastAsia="仿宋" w:cs="仿宋"/>
              </w:rPr>
              <w:t>本题有效填写人次</w:t>
            </w:r>
          </w:p>
        </w:tc>
        <w:tc>
          <w:tcPr>
            <w:tcW w:w="1000" w:type="dxa"/>
            <w:shd w:val="clear" w:color="auto" w:fill="F5F5F5"/>
            <w:vAlign w:val="center"/>
          </w:tcPr>
          <w:p w14:paraId="32375FFA">
            <w:pPr>
              <w:jc w:val="center"/>
              <w:outlineLvl w:val="9"/>
              <w:rPr>
                <w:rFonts w:hint="eastAsia" w:ascii="仿宋" w:hAnsi="仿宋" w:eastAsia="仿宋" w:cs="仿宋"/>
              </w:rPr>
            </w:pPr>
            <w:r>
              <w:rPr>
                <w:rFonts w:hint="eastAsia" w:ascii="仿宋" w:hAnsi="仿宋" w:eastAsia="仿宋" w:cs="仿宋"/>
              </w:rPr>
              <w:t>398</w:t>
            </w:r>
          </w:p>
        </w:tc>
        <w:tc>
          <w:tcPr>
            <w:tcW w:w="3106" w:type="dxa"/>
            <w:shd w:val="clear" w:color="auto" w:fill="F5F5F5"/>
            <w:vAlign w:val="center"/>
          </w:tcPr>
          <w:p w14:paraId="1873005F">
            <w:pPr>
              <w:jc w:val="left"/>
              <w:outlineLvl w:val="9"/>
              <w:rPr>
                <w:rFonts w:hint="eastAsia" w:ascii="仿宋" w:hAnsi="仿宋" w:eastAsia="仿宋" w:cs="仿宋"/>
              </w:rPr>
            </w:pPr>
          </w:p>
        </w:tc>
      </w:tr>
    </w:tbl>
    <w:p w14:paraId="7A85967B">
      <w:pPr>
        <w:ind w:firstLine="560" w:firstLineChars="200"/>
        <w:outlineLvl w:val="9"/>
        <w:rPr>
          <w:rFonts w:hint="eastAsia" w:ascii="仿宋" w:hAnsi="仿宋" w:eastAsia="仿宋" w:cs="仿宋"/>
          <w:b w:val="0"/>
          <w:color w:val="000000"/>
          <w:sz w:val="28"/>
          <w:szCs w:val="28"/>
        </w:rPr>
      </w:pPr>
      <w:r>
        <w:rPr>
          <w:rFonts w:hint="eastAsia" w:ascii="仿宋" w:hAnsi="仿宋" w:eastAsia="仿宋" w:cs="仿宋"/>
          <w:sz w:val="28"/>
          <w:szCs w:val="28"/>
          <w:lang w:val="en-US" w:eastAsia="zh-CN"/>
        </w:rPr>
        <w:t>分析结论：受访者对市场监督管理局的宣传培训工作开展情况也较为满意，超过90%的受访者表示经常开展，说明受访者对市场监管局的宣传工作认可度较高。</w:t>
      </w:r>
      <w:r>
        <w:rPr>
          <w:rFonts w:hint="eastAsia" w:ascii="仿宋" w:hAnsi="仿宋" w:eastAsia="仿宋" w:cs="仿宋"/>
          <w:sz w:val="28"/>
          <w:szCs w:val="28"/>
          <w:lang w:val="en-US" w:eastAsia="zh-CN"/>
        </w:rPr>
        <w:br w:type="textWrapping"/>
      </w:r>
      <w:r>
        <w:rPr>
          <w:rFonts w:hint="eastAsia" w:ascii="仿宋" w:hAnsi="仿宋" w:eastAsia="仿宋" w:cs="仿宋"/>
          <w:sz w:val="28"/>
          <w:szCs w:val="28"/>
          <w:lang w:val="en-US" w:eastAsia="zh-CN"/>
        </w:rPr>
        <w:t xml:space="preserve">  </w:t>
      </w:r>
      <w:r>
        <w:rPr>
          <w:rFonts w:hint="eastAsia" w:ascii="仿宋" w:hAnsi="仿宋" w:eastAsia="仿宋" w:cs="仿宋"/>
          <w:b w:val="0"/>
          <w:color w:val="000000"/>
          <w:sz w:val="28"/>
          <w:szCs w:val="28"/>
          <w:lang w:val="en-US" w:eastAsia="zh-CN"/>
        </w:rPr>
        <w:t>6.</w:t>
      </w:r>
      <w:r>
        <w:rPr>
          <w:rFonts w:hint="eastAsia" w:ascii="仿宋" w:hAnsi="仿宋" w:eastAsia="仿宋" w:cs="仿宋"/>
          <w:b w:val="0"/>
          <w:color w:val="000000"/>
          <w:sz w:val="28"/>
          <w:szCs w:val="28"/>
        </w:rPr>
        <w:t>您对</w:t>
      </w:r>
      <w:r>
        <w:rPr>
          <w:rFonts w:hint="eastAsia" w:ascii="仿宋" w:hAnsi="仿宋" w:eastAsia="仿宋" w:cs="仿宋"/>
          <w:b w:val="0"/>
          <w:color w:val="000000"/>
          <w:sz w:val="28"/>
          <w:szCs w:val="28"/>
          <w:lang w:val="en-US" w:eastAsia="zh-CN"/>
        </w:rPr>
        <w:t>永济市</w:t>
      </w:r>
      <w:r>
        <w:rPr>
          <w:rFonts w:hint="eastAsia" w:ascii="仿宋" w:hAnsi="仿宋" w:eastAsia="仿宋" w:cs="仿宋"/>
          <w:b w:val="0"/>
          <w:color w:val="000000"/>
          <w:sz w:val="28"/>
          <w:szCs w:val="28"/>
        </w:rPr>
        <w:t>市场监督管理局2023年度的服务工作总体满意程度</w:t>
      </w:r>
      <w:r>
        <w:rPr>
          <w:rFonts w:hint="eastAsia" w:ascii="仿宋" w:hAnsi="仿宋" w:eastAsia="仿宋" w:cs="仿宋"/>
          <w:b w:val="0"/>
          <w:color w:val="000000"/>
          <w:sz w:val="28"/>
          <w:szCs w:val="28"/>
          <w:lang w:eastAsia="zh-CN"/>
        </w:rPr>
        <w:t>？</w:t>
      </w:r>
      <w:r>
        <w:rPr>
          <w:rFonts w:hint="eastAsia" w:ascii="仿宋" w:hAnsi="仿宋" w:eastAsia="仿宋" w:cs="仿宋"/>
          <w:b w:val="0"/>
          <w:color w:val="000000"/>
          <w:sz w:val="28"/>
          <w:szCs w:val="28"/>
        </w:rPr>
        <w:t xml:space="preserve"> </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309"/>
        <w:gridCol w:w="1026"/>
        <w:gridCol w:w="3187"/>
      </w:tblGrid>
      <w:tr w14:paraId="36A1745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5ED2870">
            <w:pPr>
              <w:jc w:val="left"/>
              <w:outlineLvl w:val="9"/>
              <w:rPr>
                <w:rFonts w:hint="eastAsia" w:ascii="仿宋" w:hAnsi="仿宋" w:eastAsia="仿宋" w:cs="仿宋"/>
              </w:rPr>
            </w:pPr>
            <w:r>
              <w:rPr>
                <w:rFonts w:hint="eastAsia" w:ascii="仿宋" w:hAnsi="仿宋" w:eastAsia="仿宋" w:cs="仿宋"/>
              </w:rPr>
              <w:t>选项</w:t>
            </w:r>
          </w:p>
        </w:tc>
        <w:tc>
          <w:tcPr>
            <w:tcW w:w="1000" w:type="dxa"/>
            <w:shd w:val="clear" w:color="auto" w:fill="F5F5F5"/>
            <w:vAlign w:val="center"/>
          </w:tcPr>
          <w:p w14:paraId="23720BAD">
            <w:pPr>
              <w:jc w:val="center"/>
              <w:outlineLvl w:val="9"/>
              <w:rPr>
                <w:rFonts w:hint="eastAsia" w:ascii="仿宋" w:hAnsi="仿宋" w:eastAsia="仿宋" w:cs="仿宋"/>
              </w:rPr>
            </w:pPr>
            <w:r>
              <w:rPr>
                <w:rFonts w:hint="eastAsia" w:ascii="仿宋" w:hAnsi="仿宋" w:eastAsia="仿宋" w:cs="仿宋"/>
              </w:rPr>
              <w:t>小计</w:t>
            </w:r>
          </w:p>
        </w:tc>
        <w:tc>
          <w:tcPr>
            <w:tcW w:w="3106" w:type="dxa"/>
            <w:shd w:val="clear" w:color="auto" w:fill="F5F5F5"/>
            <w:vAlign w:val="center"/>
          </w:tcPr>
          <w:p w14:paraId="0CBCDC0F">
            <w:pPr>
              <w:jc w:val="left"/>
              <w:outlineLvl w:val="9"/>
              <w:rPr>
                <w:rFonts w:hint="eastAsia" w:ascii="仿宋" w:hAnsi="仿宋" w:eastAsia="仿宋" w:cs="仿宋"/>
              </w:rPr>
            </w:pPr>
            <w:r>
              <w:rPr>
                <w:rFonts w:hint="eastAsia" w:ascii="仿宋" w:hAnsi="仿宋" w:eastAsia="仿宋" w:cs="仿宋"/>
              </w:rPr>
              <w:t>比例</w:t>
            </w:r>
          </w:p>
        </w:tc>
      </w:tr>
      <w:tr w14:paraId="602BB48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B37533D">
            <w:pPr>
              <w:jc w:val="left"/>
              <w:outlineLvl w:val="9"/>
              <w:rPr>
                <w:rFonts w:hint="eastAsia" w:ascii="仿宋" w:hAnsi="仿宋" w:eastAsia="仿宋" w:cs="仿宋"/>
              </w:rPr>
            </w:pPr>
            <w:r>
              <w:rPr>
                <w:rFonts w:hint="eastAsia" w:ascii="仿宋" w:hAnsi="仿宋" w:eastAsia="仿宋" w:cs="仿宋"/>
              </w:rPr>
              <w:t>非常满意</w:t>
            </w:r>
          </w:p>
        </w:tc>
        <w:tc>
          <w:tcPr>
            <w:tcW w:w="1000" w:type="dxa"/>
            <w:shd w:val="clear" w:color="auto" w:fill="FFFFFF"/>
            <w:vAlign w:val="center"/>
          </w:tcPr>
          <w:p w14:paraId="0F28EFF4">
            <w:pPr>
              <w:jc w:val="center"/>
              <w:outlineLvl w:val="9"/>
              <w:rPr>
                <w:rFonts w:hint="eastAsia" w:ascii="仿宋" w:hAnsi="仿宋" w:eastAsia="仿宋" w:cs="仿宋"/>
              </w:rPr>
            </w:pPr>
            <w:r>
              <w:rPr>
                <w:rFonts w:hint="eastAsia" w:ascii="仿宋" w:hAnsi="仿宋" w:eastAsia="仿宋" w:cs="仿宋"/>
              </w:rPr>
              <w:t>369</w:t>
            </w:r>
          </w:p>
        </w:tc>
        <w:tc>
          <w:tcPr>
            <w:tcW w:w="3106" w:type="dxa"/>
            <w:shd w:val="clear" w:color="auto" w:fill="FFFFFF"/>
            <w:vAlign w:val="center"/>
          </w:tcPr>
          <w:p w14:paraId="1CCD563E">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247775" cy="1143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247949" cy="114316"/>
                          </a:xfrm>
                          <a:prstGeom prst="rect">
                            <a:avLst/>
                          </a:prstGeom>
                        </pic:spPr>
                      </pic:pic>
                    </a:graphicData>
                  </a:graphic>
                </wp:inline>
              </w:drawing>
            </w:r>
            <w:r>
              <w:rPr>
                <w:rFonts w:hint="eastAsia" w:ascii="仿宋" w:hAnsi="仿宋" w:eastAsia="仿宋" w:cs="仿宋"/>
              </w:rPr>
              <w:drawing>
                <wp:inline distT="0" distB="0" distL="114300" distR="114300">
                  <wp:extent cx="104775" cy="1143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04790" cy="114316"/>
                          </a:xfrm>
                          <a:prstGeom prst="rect">
                            <a:avLst/>
                          </a:prstGeom>
                        </pic:spPr>
                      </pic:pic>
                    </a:graphicData>
                  </a:graphic>
                </wp:inline>
              </w:drawing>
            </w:r>
            <w:r>
              <w:rPr>
                <w:rFonts w:hint="eastAsia" w:ascii="仿宋" w:hAnsi="仿宋" w:eastAsia="仿宋" w:cs="仿宋"/>
              </w:rPr>
              <w:t>92.71%</w:t>
            </w:r>
          </w:p>
        </w:tc>
      </w:tr>
      <w:tr w14:paraId="3D5D770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B65DD96">
            <w:pPr>
              <w:jc w:val="left"/>
              <w:outlineLvl w:val="9"/>
              <w:rPr>
                <w:rFonts w:hint="eastAsia" w:ascii="仿宋" w:hAnsi="仿宋" w:eastAsia="仿宋" w:cs="仿宋"/>
              </w:rPr>
            </w:pPr>
            <w:r>
              <w:rPr>
                <w:rFonts w:hint="eastAsia" w:ascii="仿宋" w:hAnsi="仿宋" w:eastAsia="仿宋" w:cs="仿宋"/>
              </w:rPr>
              <w:t>比较满意</w:t>
            </w:r>
          </w:p>
        </w:tc>
        <w:tc>
          <w:tcPr>
            <w:tcW w:w="1000" w:type="dxa"/>
            <w:shd w:val="clear" w:color="auto" w:fill="FAFAFA"/>
            <w:vAlign w:val="center"/>
          </w:tcPr>
          <w:p w14:paraId="40D8CCD8">
            <w:pPr>
              <w:jc w:val="center"/>
              <w:outlineLvl w:val="9"/>
              <w:rPr>
                <w:rFonts w:hint="eastAsia" w:ascii="仿宋" w:hAnsi="仿宋" w:eastAsia="仿宋" w:cs="仿宋"/>
              </w:rPr>
            </w:pPr>
            <w:r>
              <w:rPr>
                <w:rFonts w:hint="eastAsia" w:ascii="仿宋" w:hAnsi="仿宋" w:eastAsia="仿宋" w:cs="仿宋"/>
              </w:rPr>
              <w:t>17</w:t>
            </w:r>
          </w:p>
        </w:tc>
        <w:tc>
          <w:tcPr>
            <w:tcW w:w="3106" w:type="dxa"/>
            <w:shd w:val="clear" w:color="auto" w:fill="FAFAFA"/>
            <w:vAlign w:val="center"/>
          </w:tcPr>
          <w:p w14:paraId="131800E5">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57150" cy="1143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7158" cy="114316"/>
                          </a:xfrm>
                          <a:prstGeom prst="rect">
                            <a:avLst/>
                          </a:prstGeom>
                        </pic:spPr>
                      </pic:pic>
                    </a:graphicData>
                  </a:graphic>
                </wp:inline>
              </w:drawing>
            </w:r>
            <w:r>
              <w:rPr>
                <w:rFonts w:hint="eastAsia" w:ascii="仿宋" w:hAnsi="仿宋" w:eastAsia="仿宋" w:cs="仿宋"/>
              </w:rPr>
              <w:drawing>
                <wp:inline distT="0" distB="0" distL="114300" distR="114300">
                  <wp:extent cx="1295400" cy="114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295581" cy="114316"/>
                          </a:xfrm>
                          <a:prstGeom prst="rect">
                            <a:avLst/>
                          </a:prstGeom>
                        </pic:spPr>
                      </pic:pic>
                    </a:graphicData>
                  </a:graphic>
                </wp:inline>
              </w:drawing>
            </w:r>
            <w:r>
              <w:rPr>
                <w:rFonts w:hint="eastAsia" w:ascii="仿宋" w:hAnsi="仿宋" w:eastAsia="仿宋" w:cs="仿宋"/>
              </w:rPr>
              <w:t>4.27%</w:t>
            </w:r>
          </w:p>
        </w:tc>
      </w:tr>
      <w:tr w14:paraId="13A323C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7B1B407">
            <w:pPr>
              <w:jc w:val="left"/>
              <w:outlineLvl w:val="9"/>
              <w:rPr>
                <w:rFonts w:hint="eastAsia" w:ascii="仿宋" w:hAnsi="仿宋" w:eastAsia="仿宋" w:cs="仿宋"/>
              </w:rPr>
            </w:pPr>
            <w:r>
              <w:rPr>
                <w:rFonts w:hint="eastAsia" w:ascii="仿宋" w:hAnsi="仿宋" w:eastAsia="仿宋" w:cs="仿宋"/>
              </w:rPr>
              <w:t>满意</w:t>
            </w:r>
          </w:p>
        </w:tc>
        <w:tc>
          <w:tcPr>
            <w:tcW w:w="1000" w:type="dxa"/>
            <w:shd w:val="clear" w:color="auto" w:fill="FFFFFF"/>
            <w:vAlign w:val="center"/>
          </w:tcPr>
          <w:p w14:paraId="3BB602AB">
            <w:pPr>
              <w:jc w:val="center"/>
              <w:outlineLvl w:val="9"/>
              <w:rPr>
                <w:rFonts w:hint="eastAsia" w:ascii="仿宋" w:hAnsi="仿宋" w:eastAsia="仿宋" w:cs="仿宋"/>
              </w:rPr>
            </w:pPr>
            <w:r>
              <w:rPr>
                <w:rFonts w:hint="eastAsia" w:ascii="仿宋" w:hAnsi="仿宋" w:eastAsia="仿宋" w:cs="仿宋"/>
              </w:rPr>
              <w:t>12</w:t>
            </w:r>
          </w:p>
        </w:tc>
        <w:tc>
          <w:tcPr>
            <w:tcW w:w="3106" w:type="dxa"/>
            <w:shd w:val="clear" w:color="auto" w:fill="FFFFFF"/>
            <w:vAlign w:val="center"/>
          </w:tcPr>
          <w:p w14:paraId="1C95031E">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38100" cy="114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8105" cy="114316"/>
                          </a:xfrm>
                          <a:prstGeom prst="rect">
                            <a:avLst/>
                          </a:prstGeom>
                        </pic:spPr>
                      </pic:pic>
                    </a:graphicData>
                  </a:graphic>
                </wp:inline>
              </w:drawing>
            </w:r>
            <w:r>
              <w:rPr>
                <w:rFonts w:hint="eastAsia" w:ascii="仿宋" w:hAnsi="仿宋" w:eastAsia="仿宋" w:cs="仿宋"/>
              </w:rPr>
              <w:drawing>
                <wp:inline distT="0" distB="0" distL="114300" distR="114300">
                  <wp:extent cx="1314450" cy="1143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314634" cy="114316"/>
                          </a:xfrm>
                          <a:prstGeom prst="rect">
                            <a:avLst/>
                          </a:prstGeom>
                        </pic:spPr>
                      </pic:pic>
                    </a:graphicData>
                  </a:graphic>
                </wp:inline>
              </w:drawing>
            </w:r>
            <w:r>
              <w:rPr>
                <w:rFonts w:hint="eastAsia" w:ascii="仿宋" w:hAnsi="仿宋" w:eastAsia="仿宋" w:cs="仿宋"/>
              </w:rPr>
              <w:t>3.02%</w:t>
            </w:r>
          </w:p>
        </w:tc>
      </w:tr>
      <w:tr w14:paraId="1A5E824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CE9C2E6">
            <w:pPr>
              <w:jc w:val="left"/>
              <w:outlineLvl w:val="9"/>
              <w:rPr>
                <w:rFonts w:hint="eastAsia" w:ascii="仿宋" w:hAnsi="仿宋" w:eastAsia="仿宋" w:cs="仿宋"/>
              </w:rPr>
            </w:pPr>
            <w:r>
              <w:rPr>
                <w:rFonts w:hint="eastAsia" w:ascii="仿宋" w:hAnsi="仿宋" w:eastAsia="仿宋" w:cs="仿宋"/>
              </w:rPr>
              <w:t>不满意</w:t>
            </w:r>
          </w:p>
        </w:tc>
        <w:tc>
          <w:tcPr>
            <w:tcW w:w="1000" w:type="dxa"/>
            <w:shd w:val="clear" w:color="auto" w:fill="FAFAFA"/>
            <w:vAlign w:val="center"/>
          </w:tcPr>
          <w:p w14:paraId="70EED878">
            <w:pPr>
              <w:jc w:val="center"/>
              <w:outlineLvl w:val="9"/>
              <w:rPr>
                <w:rFonts w:hint="eastAsia" w:ascii="仿宋" w:hAnsi="仿宋" w:eastAsia="仿宋" w:cs="仿宋"/>
              </w:rPr>
            </w:pPr>
            <w:r>
              <w:rPr>
                <w:rFonts w:hint="eastAsia" w:ascii="仿宋" w:hAnsi="仿宋" w:eastAsia="仿宋" w:cs="仿宋"/>
              </w:rPr>
              <w:t>0</w:t>
            </w:r>
          </w:p>
        </w:tc>
        <w:tc>
          <w:tcPr>
            <w:tcW w:w="3106" w:type="dxa"/>
            <w:shd w:val="clear" w:color="auto" w:fill="FAFAFA"/>
            <w:vAlign w:val="center"/>
          </w:tcPr>
          <w:p w14:paraId="71D1F971">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352550" cy="1143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1352739" cy="114316"/>
                          </a:xfrm>
                          <a:prstGeom prst="rect">
                            <a:avLst/>
                          </a:prstGeom>
                        </pic:spPr>
                      </pic:pic>
                    </a:graphicData>
                  </a:graphic>
                </wp:inline>
              </w:drawing>
            </w:r>
            <w:r>
              <w:rPr>
                <w:rFonts w:hint="eastAsia" w:ascii="仿宋" w:hAnsi="仿宋" w:eastAsia="仿宋" w:cs="仿宋"/>
              </w:rPr>
              <w:t>0%</w:t>
            </w:r>
          </w:p>
        </w:tc>
      </w:tr>
      <w:tr w14:paraId="43DA292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2DE5D1A">
            <w:pPr>
              <w:jc w:val="left"/>
              <w:outlineLvl w:val="9"/>
              <w:rPr>
                <w:rFonts w:hint="eastAsia" w:ascii="仿宋" w:hAnsi="仿宋" w:eastAsia="仿宋" w:cs="仿宋"/>
              </w:rPr>
            </w:pPr>
            <w:r>
              <w:rPr>
                <w:rFonts w:hint="eastAsia" w:ascii="仿宋" w:hAnsi="仿宋" w:eastAsia="仿宋" w:cs="仿宋"/>
              </w:rPr>
              <w:t>本题有效填写人次</w:t>
            </w:r>
          </w:p>
        </w:tc>
        <w:tc>
          <w:tcPr>
            <w:tcW w:w="1000" w:type="dxa"/>
            <w:shd w:val="clear" w:color="auto" w:fill="F5F5F5"/>
            <w:vAlign w:val="center"/>
          </w:tcPr>
          <w:p w14:paraId="5922D0D4">
            <w:pPr>
              <w:jc w:val="center"/>
              <w:outlineLvl w:val="9"/>
              <w:rPr>
                <w:rFonts w:hint="eastAsia" w:ascii="仿宋" w:hAnsi="仿宋" w:eastAsia="仿宋" w:cs="仿宋"/>
              </w:rPr>
            </w:pPr>
            <w:r>
              <w:rPr>
                <w:rFonts w:hint="eastAsia" w:ascii="仿宋" w:hAnsi="仿宋" w:eastAsia="仿宋" w:cs="仿宋"/>
              </w:rPr>
              <w:t>398</w:t>
            </w:r>
          </w:p>
        </w:tc>
        <w:tc>
          <w:tcPr>
            <w:tcW w:w="3106" w:type="dxa"/>
            <w:shd w:val="clear" w:color="auto" w:fill="F5F5F5"/>
            <w:vAlign w:val="center"/>
          </w:tcPr>
          <w:p w14:paraId="660C956D">
            <w:pPr>
              <w:jc w:val="left"/>
              <w:outlineLvl w:val="9"/>
              <w:rPr>
                <w:rFonts w:hint="eastAsia" w:ascii="仿宋" w:hAnsi="仿宋" w:eastAsia="仿宋" w:cs="仿宋"/>
              </w:rPr>
            </w:pPr>
          </w:p>
        </w:tc>
      </w:tr>
    </w:tbl>
    <w:p w14:paraId="52C617E8">
      <w:pPr>
        <w:pStyle w:val="2"/>
        <w:ind w:firstLine="560" w:firstLineChars="200"/>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分析结论：对永济市市场监督管理局2023年度的服务工作总体满意程度较高，超过90%的受访者表示满意或非常满意，反映出受访者对该局的服务态度较为正面。</w:t>
      </w:r>
    </w:p>
    <w:p w14:paraId="175789F3">
      <w:pPr>
        <w:outlineLvl w:val="1"/>
        <w:rPr>
          <w:rFonts w:hint="eastAsia" w:ascii="仿宋" w:hAnsi="仿宋" w:eastAsia="仿宋" w:cs="仿宋"/>
          <w:b w:val="0"/>
          <w:bCs w:val="0"/>
          <w:kern w:val="2"/>
          <w:sz w:val="28"/>
          <w:szCs w:val="28"/>
          <w:highlight w:val="none"/>
          <w:lang w:val="en-US" w:eastAsia="zh-CN" w:bidi="ar-SA"/>
        </w:rPr>
      </w:pPr>
      <w:bookmarkStart w:id="207" w:name="_Toc15333"/>
      <w:bookmarkStart w:id="208" w:name="_Toc11888"/>
      <w:r>
        <w:rPr>
          <w:rFonts w:hint="eastAsia" w:ascii="仿宋" w:hAnsi="仿宋" w:eastAsia="仿宋" w:cs="仿宋"/>
          <w:kern w:val="2"/>
          <w:sz w:val="28"/>
          <w:szCs w:val="28"/>
          <w:lang w:val="en-US" w:eastAsia="zh-CN" w:bidi="ar-SA"/>
        </w:rPr>
        <w:t>（二）部门职工</w:t>
      </w:r>
      <w:r>
        <w:rPr>
          <w:rFonts w:hint="eastAsia" w:ascii="仿宋" w:hAnsi="仿宋" w:eastAsia="仿宋" w:cs="仿宋"/>
          <w:b w:val="0"/>
          <w:bCs w:val="0"/>
          <w:kern w:val="2"/>
          <w:sz w:val="28"/>
          <w:szCs w:val="28"/>
          <w:highlight w:val="none"/>
          <w:lang w:val="en-US" w:eastAsia="zh-CN" w:bidi="ar-SA"/>
        </w:rPr>
        <w:t>调查分析结果</w:t>
      </w:r>
      <w:bookmarkEnd w:id="207"/>
      <w:bookmarkEnd w:id="208"/>
    </w:p>
    <w:p w14:paraId="7A14DD5E">
      <w:pPr>
        <w:ind w:firstLine="560" w:firstLineChars="200"/>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1.您在单位工作年限？</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3384"/>
        <w:gridCol w:w="776"/>
        <w:gridCol w:w="4362"/>
      </w:tblGrid>
      <w:tr w14:paraId="3B05242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14:paraId="5D1D7553">
            <w:pPr>
              <w:jc w:val="left"/>
              <w:outlineLvl w:val="9"/>
              <w:rPr>
                <w:rFonts w:hint="eastAsia" w:ascii="仿宋" w:hAnsi="仿宋" w:eastAsia="仿宋" w:cs="仿宋"/>
              </w:rPr>
            </w:pPr>
            <w:r>
              <w:rPr>
                <w:rFonts w:hint="eastAsia" w:ascii="仿宋" w:hAnsi="仿宋" w:eastAsia="仿宋" w:cs="仿宋"/>
              </w:rPr>
              <w:t>选项</w:t>
            </w:r>
          </w:p>
        </w:tc>
        <w:tc>
          <w:tcPr>
            <w:tcW w:w="1000" w:type="dxa"/>
            <w:shd w:val="clear" w:color="auto" w:fill="F5F5F5"/>
            <w:vAlign w:val="center"/>
          </w:tcPr>
          <w:p w14:paraId="7BC84F5F">
            <w:pPr>
              <w:jc w:val="center"/>
              <w:outlineLvl w:val="9"/>
              <w:rPr>
                <w:rFonts w:hint="eastAsia" w:ascii="仿宋" w:hAnsi="仿宋" w:eastAsia="仿宋" w:cs="仿宋"/>
              </w:rPr>
            </w:pPr>
            <w:r>
              <w:rPr>
                <w:rFonts w:hint="eastAsia" w:ascii="仿宋" w:hAnsi="仿宋" w:eastAsia="仿宋" w:cs="仿宋"/>
              </w:rPr>
              <w:t>小计</w:t>
            </w:r>
          </w:p>
        </w:tc>
        <w:tc>
          <w:tcPr>
            <w:tcW w:w="6238" w:type="dxa"/>
            <w:shd w:val="clear" w:color="auto" w:fill="F5F5F5"/>
            <w:vAlign w:val="center"/>
          </w:tcPr>
          <w:p w14:paraId="334FA558">
            <w:pPr>
              <w:jc w:val="left"/>
              <w:outlineLvl w:val="9"/>
              <w:rPr>
                <w:rFonts w:hint="eastAsia" w:ascii="仿宋" w:hAnsi="仿宋" w:eastAsia="仿宋" w:cs="仿宋"/>
              </w:rPr>
            </w:pPr>
            <w:r>
              <w:rPr>
                <w:rFonts w:hint="eastAsia" w:ascii="仿宋" w:hAnsi="仿宋" w:eastAsia="仿宋" w:cs="仿宋"/>
              </w:rPr>
              <w:t>比例</w:t>
            </w:r>
          </w:p>
        </w:tc>
      </w:tr>
      <w:tr w14:paraId="0D79FD3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14:paraId="63464105">
            <w:pPr>
              <w:jc w:val="left"/>
              <w:outlineLvl w:val="9"/>
              <w:rPr>
                <w:rFonts w:hint="eastAsia" w:ascii="仿宋" w:hAnsi="仿宋" w:eastAsia="仿宋" w:cs="仿宋"/>
              </w:rPr>
            </w:pPr>
            <w:r>
              <w:rPr>
                <w:rFonts w:hint="eastAsia" w:ascii="仿宋" w:hAnsi="仿宋" w:eastAsia="仿宋" w:cs="仿宋"/>
              </w:rPr>
              <w:t>1年以内</w:t>
            </w:r>
          </w:p>
        </w:tc>
        <w:tc>
          <w:tcPr>
            <w:tcW w:w="1000" w:type="dxa"/>
            <w:shd w:val="clear" w:color="auto" w:fill="FFFFFF"/>
            <w:vAlign w:val="center"/>
          </w:tcPr>
          <w:p w14:paraId="7849D70F">
            <w:pPr>
              <w:jc w:val="center"/>
              <w:outlineLvl w:val="9"/>
              <w:rPr>
                <w:rFonts w:hint="eastAsia" w:ascii="仿宋" w:hAnsi="仿宋" w:eastAsia="仿宋" w:cs="仿宋"/>
              </w:rPr>
            </w:pPr>
            <w:r>
              <w:rPr>
                <w:rFonts w:hint="eastAsia" w:ascii="仿宋" w:hAnsi="仿宋" w:eastAsia="仿宋" w:cs="仿宋"/>
              </w:rPr>
              <w:t>2</w:t>
            </w:r>
          </w:p>
        </w:tc>
        <w:tc>
          <w:tcPr>
            <w:tcW w:w="6238" w:type="dxa"/>
            <w:shd w:val="clear" w:color="auto" w:fill="FFFFFF"/>
            <w:vAlign w:val="center"/>
          </w:tcPr>
          <w:p w14:paraId="5B29BB29">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9050" cy="11430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0"/>
                          <a:stretch>
                            <a:fillRect/>
                          </a:stretch>
                        </pic:blipFill>
                        <pic:spPr>
                          <a:xfrm>
                            <a:off x="0" y="0"/>
                            <a:ext cx="19053" cy="114316"/>
                          </a:xfrm>
                          <a:prstGeom prst="rect">
                            <a:avLst/>
                          </a:prstGeom>
                        </pic:spPr>
                      </pic:pic>
                    </a:graphicData>
                  </a:graphic>
                </wp:inline>
              </w:drawing>
            </w:r>
            <w:r>
              <w:rPr>
                <w:rFonts w:hint="eastAsia" w:ascii="仿宋" w:hAnsi="仿宋" w:eastAsia="仿宋" w:cs="仿宋"/>
              </w:rPr>
              <w:drawing>
                <wp:inline distT="0" distB="0" distL="114300" distR="114300">
                  <wp:extent cx="1333500" cy="114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1"/>
                          <a:stretch>
                            <a:fillRect/>
                          </a:stretch>
                        </pic:blipFill>
                        <pic:spPr>
                          <a:xfrm>
                            <a:off x="0" y="0"/>
                            <a:ext cx="1333686" cy="114316"/>
                          </a:xfrm>
                          <a:prstGeom prst="rect">
                            <a:avLst/>
                          </a:prstGeom>
                        </pic:spPr>
                      </pic:pic>
                    </a:graphicData>
                  </a:graphic>
                </wp:inline>
              </w:drawing>
            </w:r>
            <w:r>
              <w:rPr>
                <w:rFonts w:hint="eastAsia" w:ascii="仿宋" w:hAnsi="仿宋" w:eastAsia="仿宋" w:cs="仿宋"/>
              </w:rPr>
              <w:t>1.75%</w:t>
            </w:r>
          </w:p>
        </w:tc>
      </w:tr>
      <w:tr w14:paraId="5597B13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14:paraId="2DCA48AF">
            <w:pPr>
              <w:jc w:val="left"/>
              <w:outlineLvl w:val="9"/>
              <w:rPr>
                <w:rFonts w:hint="eastAsia" w:ascii="仿宋" w:hAnsi="仿宋" w:eastAsia="仿宋" w:cs="仿宋"/>
              </w:rPr>
            </w:pPr>
            <w:r>
              <w:rPr>
                <w:rFonts w:hint="eastAsia" w:ascii="仿宋" w:hAnsi="仿宋" w:eastAsia="仿宋" w:cs="仿宋"/>
              </w:rPr>
              <w:t>1-3年</w:t>
            </w:r>
          </w:p>
        </w:tc>
        <w:tc>
          <w:tcPr>
            <w:tcW w:w="1000" w:type="dxa"/>
            <w:shd w:val="clear" w:color="auto" w:fill="FAFAFA"/>
            <w:vAlign w:val="center"/>
          </w:tcPr>
          <w:p w14:paraId="7C6FE614">
            <w:pPr>
              <w:jc w:val="center"/>
              <w:outlineLvl w:val="9"/>
              <w:rPr>
                <w:rFonts w:hint="eastAsia" w:ascii="仿宋" w:hAnsi="仿宋" w:eastAsia="仿宋" w:cs="仿宋"/>
              </w:rPr>
            </w:pPr>
            <w:r>
              <w:rPr>
                <w:rFonts w:hint="eastAsia" w:ascii="仿宋" w:hAnsi="仿宋" w:eastAsia="仿宋" w:cs="仿宋"/>
              </w:rPr>
              <w:t>14</w:t>
            </w:r>
          </w:p>
        </w:tc>
        <w:tc>
          <w:tcPr>
            <w:tcW w:w="6238" w:type="dxa"/>
            <w:shd w:val="clear" w:color="auto" w:fill="FAFAFA"/>
            <w:vAlign w:val="center"/>
          </w:tcPr>
          <w:p w14:paraId="2FE78E10">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61925" cy="1143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2"/>
                          <a:stretch>
                            <a:fillRect/>
                          </a:stretch>
                        </pic:blipFill>
                        <pic:spPr>
                          <a:xfrm>
                            <a:off x="0" y="0"/>
                            <a:ext cx="161948" cy="114316"/>
                          </a:xfrm>
                          <a:prstGeom prst="rect">
                            <a:avLst/>
                          </a:prstGeom>
                        </pic:spPr>
                      </pic:pic>
                    </a:graphicData>
                  </a:graphic>
                </wp:inline>
              </w:drawing>
            </w:r>
            <w:r>
              <w:rPr>
                <w:rFonts w:hint="eastAsia" w:ascii="仿宋" w:hAnsi="仿宋" w:eastAsia="仿宋" w:cs="仿宋"/>
              </w:rPr>
              <w:drawing>
                <wp:inline distT="0" distB="0" distL="114300" distR="114300">
                  <wp:extent cx="1190625" cy="114300"/>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3"/>
                          <a:stretch>
                            <a:fillRect/>
                          </a:stretch>
                        </pic:blipFill>
                        <pic:spPr>
                          <a:xfrm>
                            <a:off x="0" y="0"/>
                            <a:ext cx="1190791" cy="114316"/>
                          </a:xfrm>
                          <a:prstGeom prst="rect">
                            <a:avLst/>
                          </a:prstGeom>
                        </pic:spPr>
                      </pic:pic>
                    </a:graphicData>
                  </a:graphic>
                </wp:inline>
              </w:drawing>
            </w:r>
            <w:r>
              <w:rPr>
                <w:rFonts w:hint="eastAsia" w:ascii="仿宋" w:hAnsi="仿宋" w:eastAsia="仿宋" w:cs="仿宋"/>
              </w:rPr>
              <w:t>12.28%</w:t>
            </w:r>
          </w:p>
        </w:tc>
      </w:tr>
      <w:tr w14:paraId="46C2FA6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FFFFF"/>
            <w:vAlign w:val="center"/>
          </w:tcPr>
          <w:p w14:paraId="4495C3BE">
            <w:pPr>
              <w:jc w:val="left"/>
              <w:outlineLvl w:val="9"/>
              <w:rPr>
                <w:rFonts w:hint="eastAsia" w:ascii="仿宋" w:hAnsi="仿宋" w:eastAsia="仿宋" w:cs="仿宋"/>
              </w:rPr>
            </w:pPr>
            <w:r>
              <w:rPr>
                <w:rFonts w:hint="eastAsia" w:ascii="仿宋" w:hAnsi="仿宋" w:eastAsia="仿宋" w:cs="仿宋"/>
              </w:rPr>
              <w:t>3-5年</w:t>
            </w:r>
          </w:p>
        </w:tc>
        <w:tc>
          <w:tcPr>
            <w:tcW w:w="1000" w:type="dxa"/>
            <w:shd w:val="clear" w:color="auto" w:fill="FFFFFF"/>
            <w:vAlign w:val="center"/>
          </w:tcPr>
          <w:p w14:paraId="6DB8B6AA">
            <w:pPr>
              <w:jc w:val="center"/>
              <w:outlineLvl w:val="9"/>
              <w:rPr>
                <w:rFonts w:hint="eastAsia" w:ascii="仿宋" w:hAnsi="仿宋" w:eastAsia="仿宋" w:cs="仿宋"/>
              </w:rPr>
            </w:pPr>
            <w:r>
              <w:rPr>
                <w:rFonts w:hint="eastAsia" w:ascii="仿宋" w:hAnsi="仿宋" w:eastAsia="仿宋" w:cs="仿宋"/>
              </w:rPr>
              <w:t>6</w:t>
            </w:r>
          </w:p>
        </w:tc>
        <w:tc>
          <w:tcPr>
            <w:tcW w:w="6238" w:type="dxa"/>
            <w:shd w:val="clear" w:color="auto" w:fill="FFFFFF"/>
            <w:vAlign w:val="center"/>
          </w:tcPr>
          <w:p w14:paraId="0B81A5CD">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66675" cy="1143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a:stretch>
                            <a:fillRect/>
                          </a:stretch>
                        </pic:blipFill>
                        <pic:spPr>
                          <a:xfrm>
                            <a:off x="0" y="0"/>
                            <a:ext cx="66684" cy="114316"/>
                          </a:xfrm>
                          <a:prstGeom prst="rect">
                            <a:avLst/>
                          </a:prstGeom>
                        </pic:spPr>
                      </pic:pic>
                    </a:graphicData>
                  </a:graphic>
                </wp:inline>
              </w:drawing>
            </w:r>
            <w:r>
              <w:rPr>
                <w:rFonts w:hint="eastAsia" w:ascii="仿宋" w:hAnsi="仿宋" w:eastAsia="仿宋" w:cs="仿宋"/>
              </w:rPr>
              <w:drawing>
                <wp:inline distT="0" distB="0" distL="114300" distR="114300">
                  <wp:extent cx="1285875" cy="1143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9"/>
                          <a:stretch>
                            <a:fillRect/>
                          </a:stretch>
                        </pic:blipFill>
                        <pic:spPr>
                          <a:xfrm>
                            <a:off x="0" y="0"/>
                            <a:ext cx="1286055" cy="114316"/>
                          </a:xfrm>
                          <a:prstGeom prst="rect">
                            <a:avLst/>
                          </a:prstGeom>
                        </pic:spPr>
                      </pic:pic>
                    </a:graphicData>
                  </a:graphic>
                </wp:inline>
              </w:drawing>
            </w:r>
            <w:r>
              <w:rPr>
                <w:rFonts w:hint="eastAsia" w:ascii="仿宋" w:hAnsi="仿宋" w:eastAsia="仿宋" w:cs="仿宋"/>
              </w:rPr>
              <w:t>5.26%</w:t>
            </w:r>
          </w:p>
        </w:tc>
      </w:tr>
      <w:tr w14:paraId="252D64D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AFAFA"/>
            <w:vAlign w:val="center"/>
          </w:tcPr>
          <w:p w14:paraId="14814B14">
            <w:pPr>
              <w:jc w:val="left"/>
              <w:outlineLvl w:val="9"/>
              <w:rPr>
                <w:rFonts w:hint="eastAsia" w:ascii="仿宋" w:hAnsi="仿宋" w:eastAsia="仿宋" w:cs="仿宋"/>
              </w:rPr>
            </w:pPr>
            <w:r>
              <w:rPr>
                <w:rFonts w:hint="eastAsia" w:ascii="仿宋" w:hAnsi="仿宋" w:eastAsia="仿宋" w:cs="仿宋"/>
              </w:rPr>
              <w:t>5年以上</w:t>
            </w:r>
          </w:p>
        </w:tc>
        <w:tc>
          <w:tcPr>
            <w:tcW w:w="1000" w:type="dxa"/>
            <w:shd w:val="clear" w:color="auto" w:fill="FAFAFA"/>
            <w:vAlign w:val="center"/>
          </w:tcPr>
          <w:p w14:paraId="6A5057BC">
            <w:pPr>
              <w:jc w:val="center"/>
              <w:outlineLvl w:val="9"/>
              <w:rPr>
                <w:rFonts w:hint="eastAsia" w:ascii="仿宋" w:hAnsi="仿宋" w:eastAsia="仿宋" w:cs="仿宋"/>
              </w:rPr>
            </w:pPr>
            <w:r>
              <w:rPr>
                <w:rFonts w:hint="eastAsia" w:ascii="仿宋" w:hAnsi="仿宋" w:eastAsia="仿宋" w:cs="仿宋"/>
              </w:rPr>
              <w:t>92</w:t>
            </w:r>
          </w:p>
        </w:tc>
        <w:tc>
          <w:tcPr>
            <w:tcW w:w="6238" w:type="dxa"/>
            <w:shd w:val="clear" w:color="auto" w:fill="FAFAFA"/>
            <w:vAlign w:val="center"/>
          </w:tcPr>
          <w:p w14:paraId="35BD17F7">
            <w:pPr>
              <w:jc w:val="left"/>
              <w:outlineLvl w:val="9"/>
              <w:rPr>
                <w:rFonts w:hint="eastAsia" w:ascii="仿宋" w:hAnsi="仿宋" w:eastAsia="仿宋" w:cs="仿宋"/>
              </w:rPr>
            </w:pPr>
            <w:r>
              <w:rPr>
                <w:rFonts w:hint="eastAsia" w:ascii="仿宋" w:hAnsi="仿宋" w:eastAsia="仿宋" w:cs="仿宋"/>
              </w:rPr>
              <w:drawing>
                <wp:inline distT="0" distB="0" distL="114300" distR="114300">
                  <wp:extent cx="1085850" cy="11430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4"/>
                          <a:stretch>
                            <a:fillRect/>
                          </a:stretch>
                        </pic:blipFill>
                        <pic:spPr>
                          <a:xfrm>
                            <a:off x="0" y="0"/>
                            <a:ext cx="1086002" cy="114316"/>
                          </a:xfrm>
                          <a:prstGeom prst="rect">
                            <a:avLst/>
                          </a:prstGeom>
                        </pic:spPr>
                      </pic:pic>
                    </a:graphicData>
                  </a:graphic>
                </wp:inline>
              </w:drawing>
            </w:r>
            <w:r>
              <w:rPr>
                <w:rFonts w:hint="eastAsia" w:ascii="仿宋" w:hAnsi="仿宋" w:eastAsia="仿宋" w:cs="仿宋"/>
              </w:rPr>
              <w:drawing>
                <wp:inline distT="0" distB="0" distL="114300" distR="114300">
                  <wp:extent cx="266700" cy="1143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5"/>
                          <a:stretch>
                            <a:fillRect/>
                          </a:stretch>
                        </pic:blipFill>
                        <pic:spPr>
                          <a:xfrm>
                            <a:off x="0" y="0"/>
                            <a:ext cx="266737" cy="114316"/>
                          </a:xfrm>
                          <a:prstGeom prst="rect">
                            <a:avLst/>
                          </a:prstGeom>
                        </pic:spPr>
                      </pic:pic>
                    </a:graphicData>
                  </a:graphic>
                </wp:inline>
              </w:drawing>
            </w:r>
            <w:r>
              <w:rPr>
                <w:rFonts w:hint="eastAsia" w:ascii="仿宋" w:hAnsi="仿宋" w:eastAsia="仿宋" w:cs="仿宋"/>
              </w:rPr>
              <w:t>80.7%</w:t>
            </w:r>
          </w:p>
        </w:tc>
      </w:tr>
      <w:tr w14:paraId="246C844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6000" w:type="dxa"/>
            <w:shd w:val="clear" w:color="auto" w:fill="F5F5F5"/>
            <w:vAlign w:val="center"/>
          </w:tcPr>
          <w:p w14:paraId="3331E87D">
            <w:pPr>
              <w:jc w:val="left"/>
              <w:outlineLvl w:val="9"/>
              <w:rPr>
                <w:rFonts w:hint="eastAsia" w:ascii="仿宋" w:hAnsi="仿宋" w:eastAsia="仿宋" w:cs="仿宋"/>
              </w:rPr>
            </w:pPr>
            <w:r>
              <w:rPr>
                <w:rFonts w:hint="eastAsia" w:ascii="仿宋" w:hAnsi="仿宋" w:eastAsia="仿宋" w:cs="仿宋"/>
              </w:rPr>
              <w:t>本题有效填写人次</w:t>
            </w:r>
          </w:p>
        </w:tc>
        <w:tc>
          <w:tcPr>
            <w:tcW w:w="1000" w:type="dxa"/>
            <w:shd w:val="clear" w:color="auto" w:fill="F5F5F5"/>
            <w:vAlign w:val="center"/>
          </w:tcPr>
          <w:p w14:paraId="26157FEC">
            <w:pPr>
              <w:jc w:val="center"/>
              <w:outlineLvl w:val="9"/>
              <w:rPr>
                <w:rFonts w:hint="eastAsia" w:ascii="仿宋" w:hAnsi="仿宋" w:eastAsia="仿宋" w:cs="仿宋"/>
              </w:rPr>
            </w:pPr>
            <w:r>
              <w:rPr>
                <w:rFonts w:hint="eastAsia" w:ascii="仿宋" w:hAnsi="仿宋" w:eastAsia="仿宋" w:cs="仿宋"/>
              </w:rPr>
              <w:t>114</w:t>
            </w:r>
          </w:p>
        </w:tc>
        <w:tc>
          <w:tcPr>
            <w:tcW w:w="6238" w:type="dxa"/>
            <w:shd w:val="clear" w:color="auto" w:fill="F5F5F5"/>
            <w:vAlign w:val="center"/>
          </w:tcPr>
          <w:p w14:paraId="1D6DE5C9">
            <w:pPr>
              <w:jc w:val="left"/>
              <w:outlineLvl w:val="9"/>
              <w:rPr>
                <w:rFonts w:hint="eastAsia" w:ascii="仿宋" w:hAnsi="仿宋" w:eastAsia="仿宋" w:cs="仿宋"/>
              </w:rPr>
            </w:pPr>
          </w:p>
        </w:tc>
      </w:tr>
    </w:tbl>
    <w:p w14:paraId="30CBF5A5">
      <w:pPr>
        <w:spacing w:before="150"/>
        <w:ind w:firstLine="560" w:firstLineChars="200"/>
        <w:outlineLvl w:val="9"/>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分析结论：在本单位工作年限超过5年的员工占比高达80.7%，说明本单位有相当多的员工具有丰富的工作经验。相比之下，在本单位工作年限在1年以内和1-3年的员工比例较低，分别为1.75%和12.28%，可能存在员工流失率较高的情况。</w:t>
      </w:r>
    </w:p>
    <w:p w14:paraId="6FE11459">
      <w:pPr>
        <w:ind w:firstLine="560" w:firstLineChars="200"/>
        <w:outlineLvl w:val="9"/>
        <w:rPr>
          <w:rFonts w:hint="eastAsia" w:ascii="仿宋" w:hAnsi="仿宋" w:eastAsia="仿宋" w:cs="仿宋"/>
          <w:b w:val="0"/>
          <w:color w:val="000000"/>
          <w:sz w:val="28"/>
          <w:szCs w:val="28"/>
          <w:lang w:val="en-US" w:eastAsia="zh-CN"/>
        </w:rPr>
      </w:pPr>
      <w:r>
        <w:rPr>
          <w:rFonts w:hint="eastAsia" w:ascii="仿宋" w:hAnsi="仿宋" w:eastAsia="仿宋" w:cs="仿宋"/>
          <w:b w:val="0"/>
          <w:color w:val="000000"/>
          <w:sz w:val="28"/>
          <w:szCs w:val="28"/>
          <w:lang w:val="en-US" w:eastAsia="zh-CN"/>
        </w:rPr>
        <w:t>2.你对所在单位以下方面的满意度程度如何？</w:t>
      </w:r>
    </w:p>
    <w:tbl>
      <w:tblPr>
        <w:tblStyle w:val="11"/>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1616"/>
        <w:gridCol w:w="835"/>
        <w:gridCol w:w="1141"/>
        <w:gridCol w:w="1240"/>
        <w:gridCol w:w="1467"/>
        <w:gridCol w:w="1467"/>
        <w:gridCol w:w="756"/>
      </w:tblGrid>
      <w:tr w14:paraId="1777830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5F5F5"/>
            <w:vAlign w:val="center"/>
          </w:tcPr>
          <w:p w14:paraId="59C3D898">
            <w:pPr>
              <w:jc w:val="center"/>
              <w:outlineLvl w:val="9"/>
              <w:rPr>
                <w:rFonts w:hint="eastAsia" w:ascii="仿宋" w:hAnsi="仿宋" w:eastAsia="仿宋" w:cs="仿宋"/>
              </w:rPr>
            </w:pPr>
            <w:r>
              <w:rPr>
                <w:rFonts w:hint="eastAsia" w:ascii="仿宋" w:hAnsi="仿宋" w:eastAsia="仿宋" w:cs="仿宋"/>
              </w:rPr>
              <w:t>题目\选项</w:t>
            </w:r>
          </w:p>
        </w:tc>
        <w:tc>
          <w:tcPr>
            <w:tcW w:w="1120" w:type="dxa"/>
            <w:shd w:val="clear" w:color="auto" w:fill="F5F5F5"/>
            <w:vAlign w:val="center"/>
          </w:tcPr>
          <w:p w14:paraId="36277902">
            <w:pPr>
              <w:jc w:val="center"/>
              <w:outlineLvl w:val="9"/>
              <w:rPr>
                <w:rFonts w:hint="eastAsia" w:ascii="仿宋" w:hAnsi="仿宋" w:eastAsia="仿宋" w:cs="仿宋"/>
              </w:rPr>
            </w:pPr>
            <w:r>
              <w:rPr>
                <w:rFonts w:hint="eastAsia" w:ascii="仿宋" w:hAnsi="仿宋" w:eastAsia="仿宋" w:cs="仿宋"/>
              </w:rPr>
              <w:t>不满意</w:t>
            </w:r>
          </w:p>
        </w:tc>
        <w:tc>
          <w:tcPr>
            <w:tcW w:w="1400" w:type="dxa"/>
            <w:shd w:val="clear" w:color="auto" w:fill="F5F5F5"/>
            <w:vAlign w:val="center"/>
          </w:tcPr>
          <w:p w14:paraId="30F83A9B">
            <w:pPr>
              <w:jc w:val="center"/>
              <w:outlineLvl w:val="9"/>
              <w:rPr>
                <w:rFonts w:hint="eastAsia" w:ascii="仿宋" w:hAnsi="仿宋" w:eastAsia="仿宋" w:cs="仿宋"/>
              </w:rPr>
            </w:pPr>
            <w:r>
              <w:rPr>
                <w:rFonts w:hint="eastAsia" w:ascii="仿宋" w:hAnsi="仿宋" w:eastAsia="仿宋" w:cs="仿宋"/>
              </w:rPr>
              <w:t>不太满意</w:t>
            </w:r>
          </w:p>
        </w:tc>
        <w:tc>
          <w:tcPr>
            <w:tcW w:w="1480" w:type="dxa"/>
            <w:shd w:val="clear" w:color="auto" w:fill="F5F5F5"/>
            <w:vAlign w:val="center"/>
          </w:tcPr>
          <w:p w14:paraId="501E1BA0">
            <w:pPr>
              <w:jc w:val="center"/>
              <w:outlineLvl w:val="9"/>
              <w:rPr>
                <w:rFonts w:hint="eastAsia" w:ascii="仿宋" w:hAnsi="仿宋" w:eastAsia="仿宋" w:cs="仿宋"/>
              </w:rPr>
            </w:pPr>
            <w:r>
              <w:rPr>
                <w:rFonts w:hint="eastAsia" w:ascii="仿宋" w:hAnsi="仿宋" w:eastAsia="仿宋" w:cs="仿宋"/>
              </w:rPr>
              <w:t>一般</w:t>
            </w:r>
          </w:p>
        </w:tc>
        <w:tc>
          <w:tcPr>
            <w:tcW w:w="1760" w:type="dxa"/>
            <w:shd w:val="clear" w:color="auto" w:fill="F5F5F5"/>
            <w:vAlign w:val="center"/>
          </w:tcPr>
          <w:p w14:paraId="75AFAE06">
            <w:pPr>
              <w:jc w:val="center"/>
              <w:outlineLvl w:val="9"/>
              <w:rPr>
                <w:rFonts w:hint="eastAsia" w:ascii="仿宋" w:hAnsi="仿宋" w:eastAsia="仿宋" w:cs="仿宋"/>
              </w:rPr>
            </w:pPr>
            <w:r>
              <w:rPr>
                <w:rFonts w:hint="eastAsia" w:ascii="仿宋" w:hAnsi="仿宋" w:eastAsia="仿宋" w:cs="仿宋"/>
              </w:rPr>
              <w:t>比较满意</w:t>
            </w:r>
          </w:p>
        </w:tc>
        <w:tc>
          <w:tcPr>
            <w:tcW w:w="1760" w:type="dxa"/>
            <w:shd w:val="clear" w:color="auto" w:fill="F5F5F5"/>
            <w:vAlign w:val="center"/>
          </w:tcPr>
          <w:p w14:paraId="2BEF5016">
            <w:pPr>
              <w:jc w:val="center"/>
              <w:outlineLvl w:val="9"/>
              <w:rPr>
                <w:rFonts w:hint="eastAsia" w:ascii="仿宋" w:hAnsi="仿宋" w:eastAsia="仿宋" w:cs="仿宋"/>
              </w:rPr>
            </w:pPr>
            <w:r>
              <w:rPr>
                <w:rFonts w:hint="eastAsia" w:ascii="仿宋" w:hAnsi="仿宋" w:eastAsia="仿宋" w:cs="仿宋"/>
              </w:rPr>
              <w:t>非常满意</w:t>
            </w:r>
          </w:p>
        </w:tc>
        <w:tc>
          <w:tcPr>
            <w:tcW w:w="1120" w:type="dxa"/>
            <w:shd w:val="clear" w:color="auto" w:fill="F5F5F5"/>
            <w:vAlign w:val="center"/>
          </w:tcPr>
          <w:p w14:paraId="562EA252">
            <w:pPr>
              <w:jc w:val="center"/>
              <w:outlineLvl w:val="9"/>
              <w:rPr>
                <w:rFonts w:hint="eastAsia" w:ascii="仿宋" w:hAnsi="仿宋" w:eastAsia="仿宋" w:cs="仿宋"/>
              </w:rPr>
            </w:pPr>
            <w:r>
              <w:rPr>
                <w:rFonts w:hint="eastAsia" w:ascii="仿宋" w:hAnsi="仿宋" w:eastAsia="仿宋" w:cs="仿宋"/>
              </w:rPr>
              <w:t>平均分</w:t>
            </w:r>
          </w:p>
        </w:tc>
      </w:tr>
      <w:tr w14:paraId="484C60C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FFFFF"/>
            <w:vAlign w:val="center"/>
          </w:tcPr>
          <w:p w14:paraId="0E6D4701">
            <w:pPr>
              <w:jc w:val="center"/>
              <w:outlineLvl w:val="9"/>
              <w:rPr>
                <w:rFonts w:hint="eastAsia" w:ascii="仿宋" w:hAnsi="仿宋" w:eastAsia="仿宋" w:cs="仿宋"/>
              </w:rPr>
            </w:pPr>
            <w:r>
              <w:rPr>
                <w:rFonts w:hint="eastAsia" w:ascii="仿宋" w:hAnsi="仿宋" w:eastAsia="仿宋" w:cs="仿宋"/>
              </w:rPr>
              <w:t>内部管理情况</w:t>
            </w:r>
          </w:p>
        </w:tc>
        <w:tc>
          <w:tcPr>
            <w:tcW w:w="1120" w:type="dxa"/>
            <w:shd w:val="clear" w:color="auto" w:fill="FFFFFF"/>
            <w:vAlign w:val="center"/>
          </w:tcPr>
          <w:p w14:paraId="4F3448B2">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FFFFF"/>
            <w:vAlign w:val="center"/>
          </w:tcPr>
          <w:p w14:paraId="101FFDC8">
            <w:pPr>
              <w:jc w:val="center"/>
              <w:outlineLvl w:val="9"/>
              <w:rPr>
                <w:rFonts w:hint="eastAsia" w:ascii="仿宋" w:hAnsi="仿宋" w:eastAsia="仿宋" w:cs="仿宋"/>
              </w:rPr>
            </w:pPr>
            <w:r>
              <w:rPr>
                <w:rFonts w:hint="eastAsia" w:ascii="仿宋" w:hAnsi="仿宋" w:eastAsia="仿宋" w:cs="仿宋"/>
              </w:rPr>
              <w:t>1(0.88%)</w:t>
            </w:r>
          </w:p>
        </w:tc>
        <w:tc>
          <w:tcPr>
            <w:tcW w:w="1480" w:type="dxa"/>
            <w:shd w:val="clear" w:color="auto" w:fill="FFFFFF"/>
            <w:vAlign w:val="center"/>
          </w:tcPr>
          <w:p w14:paraId="58BDB42E">
            <w:pPr>
              <w:jc w:val="center"/>
              <w:outlineLvl w:val="9"/>
              <w:rPr>
                <w:rFonts w:hint="eastAsia" w:ascii="仿宋" w:hAnsi="仿宋" w:eastAsia="仿宋" w:cs="仿宋"/>
              </w:rPr>
            </w:pPr>
            <w:r>
              <w:rPr>
                <w:rFonts w:hint="eastAsia" w:ascii="仿宋" w:hAnsi="仿宋" w:eastAsia="仿宋" w:cs="仿宋"/>
              </w:rPr>
              <w:t>5(4.39%)</w:t>
            </w:r>
          </w:p>
        </w:tc>
        <w:tc>
          <w:tcPr>
            <w:tcW w:w="1760" w:type="dxa"/>
            <w:shd w:val="clear" w:color="auto" w:fill="FFFFFF"/>
            <w:vAlign w:val="center"/>
          </w:tcPr>
          <w:p w14:paraId="49ECA181">
            <w:pPr>
              <w:jc w:val="center"/>
              <w:outlineLvl w:val="9"/>
              <w:rPr>
                <w:rFonts w:hint="eastAsia" w:ascii="仿宋" w:hAnsi="仿宋" w:eastAsia="仿宋" w:cs="仿宋"/>
              </w:rPr>
            </w:pPr>
            <w:r>
              <w:rPr>
                <w:rFonts w:hint="eastAsia" w:ascii="仿宋" w:hAnsi="仿宋" w:eastAsia="仿宋" w:cs="仿宋"/>
              </w:rPr>
              <w:t>21(18.42%)</w:t>
            </w:r>
          </w:p>
        </w:tc>
        <w:tc>
          <w:tcPr>
            <w:tcW w:w="1760" w:type="dxa"/>
            <w:shd w:val="clear" w:color="auto" w:fill="FFFFFF"/>
            <w:vAlign w:val="center"/>
          </w:tcPr>
          <w:p w14:paraId="454763A4">
            <w:pPr>
              <w:jc w:val="center"/>
              <w:outlineLvl w:val="9"/>
              <w:rPr>
                <w:rFonts w:hint="eastAsia" w:ascii="仿宋" w:hAnsi="仿宋" w:eastAsia="仿宋" w:cs="仿宋"/>
              </w:rPr>
            </w:pPr>
            <w:r>
              <w:rPr>
                <w:rFonts w:hint="eastAsia" w:ascii="仿宋" w:hAnsi="仿宋" w:eastAsia="仿宋" w:cs="仿宋"/>
              </w:rPr>
              <w:t>87(76.32%)</w:t>
            </w:r>
          </w:p>
        </w:tc>
        <w:tc>
          <w:tcPr>
            <w:tcW w:w="1120" w:type="dxa"/>
            <w:shd w:val="clear" w:color="auto" w:fill="FFFFFF"/>
            <w:vAlign w:val="center"/>
          </w:tcPr>
          <w:p w14:paraId="4E5D9BAC">
            <w:pPr>
              <w:jc w:val="center"/>
              <w:outlineLvl w:val="9"/>
              <w:rPr>
                <w:rFonts w:hint="eastAsia" w:ascii="仿宋" w:hAnsi="仿宋" w:eastAsia="仿宋" w:cs="仿宋"/>
              </w:rPr>
            </w:pPr>
            <w:r>
              <w:rPr>
                <w:rFonts w:hint="eastAsia" w:ascii="仿宋" w:hAnsi="仿宋" w:eastAsia="仿宋" w:cs="仿宋"/>
              </w:rPr>
              <w:t>4.7</w:t>
            </w:r>
          </w:p>
        </w:tc>
      </w:tr>
      <w:tr w14:paraId="70EECEE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AFAFA"/>
            <w:vAlign w:val="center"/>
          </w:tcPr>
          <w:p w14:paraId="0F25D863">
            <w:pPr>
              <w:jc w:val="center"/>
              <w:outlineLvl w:val="9"/>
              <w:rPr>
                <w:rFonts w:hint="eastAsia" w:ascii="仿宋" w:hAnsi="仿宋" w:eastAsia="仿宋" w:cs="仿宋"/>
              </w:rPr>
            </w:pPr>
            <w:r>
              <w:rPr>
                <w:rFonts w:hint="eastAsia" w:ascii="仿宋" w:hAnsi="仿宋" w:eastAsia="仿宋" w:cs="仿宋"/>
              </w:rPr>
              <w:t>职能分配情况</w:t>
            </w:r>
          </w:p>
        </w:tc>
        <w:tc>
          <w:tcPr>
            <w:tcW w:w="1120" w:type="dxa"/>
            <w:shd w:val="clear" w:color="auto" w:fill="FAFAFA"/>
            <w:vAlign w:val="center"/>
          </w:tcPr>
          <w:p w14:paraId="5C79324D">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AFAFA"/>
            <w:vAlign w:val="center"/>
          </w:tcPr>
          <w:p w14:paraId="176D8544">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AFAFA"/>
            <w:vAlign w:val="center"/>
          </w:tcPr>
          <w:p w14:paraId="6AE7B9B3">
            <w:pPr>
              <w:jc w:val="center"/>
              <w:outlineLvl w:val="9"/>
              <w:rPr>
                <w:rFonts w:hint="eastAsia" w:ascii="仿宋" w:hAnsi="仿宋" w:eastAsia="仿宋" w:cs="仿宋"/>
              </w:rPr>
            </w:pPr>
            <w:r>
              <w:rPr>
                <w:rFonts w:hint="eastAsia" w:ascii="仿宋" w:hAnsi="仿宋" w:eastAsia="仿宋" w:cs="仿宋"/>
              </w:rPr>
              <w:t>8(7.02%)</w:t>
            </w:r>
          </w:p>
        </w:tc>
        <w:tc>
          <w:tcPr>
            <w:tcW w:w="1760" w:type="dxa"/>
            <w:shd w:val="clear" w:color="auto" w:fill="FAFAFA"/>
            <w:vAlign w:val="center"/>
          </w:tcPr>
          <w:p w14:paraId="157F7301">
            <w:pPr>
              <w:jc w:val="center"/>
              <w:outlineLvl w:val="9"/>
              <w:rPr>
                <w:rFonts w:hint="eastAsia" w:ascii="仿宋" w:hAnsi="仿宋" w:eastAsia="仿宋" w:cs="仿宋"/>
              </w:rPr>
            </w:pPr>
            <w:r>
              <w:rPr>
                <w:rFonts w:hint="eastAsia" w:ascii="仿宋" w:hAnsi="仿宋" w:eastAsia="仿宋" w:cs="仿宋"/>
              </w:rPr>
              <w:t>22(19.3%)</w:t>
            </w:r>
          </w:p>
        </w:tc>
        <w:tc>
          <w:tcPr>
            <w:tcW w:w="1760" w:type="dxa"/>
            <w:shd w:val="clear" w:color="auto" w:fill="FAFAFA"/>
            <w:vAlign w:val="center"/>
          </w:tcPr>
          <w:p w14:paraId="0FF387AF">
            <w:pPr>
              <w:jc w:val="center"/>
              <w:outlineLvl w:val="9"/>
              <w:rPr>
                <w:rFonts w:hint="eastAsia" w:ascii="仿宋" w:hAnsi="仿宋" w:eastAsia="仿宋" w:cs="仿宋"/>
              </w:rPr>
            </w:pPr>
            <w:r>
              <w:rPr>
                <w:rFonts w:hint="eastAsia" w:ascii="仿宋" w:hAnsi="仿宋" w:eastAsia="仿宋" w:cs="仿宋"/>
              </w:rPr>
              <w:t>84(73.68%)</w:t>
            </w:r>
          </w:p>
        </w:tc>
        <w:tc>
          <w:tcPr>
            <w:tcW w:w="1120" w:type="dxa"/>
            <w:shd w:val="clear" w:color="auto" w:fill="FAFAFA"/>
            <w:vAlign w:val="center"/>
          </w:tcPr>
          <w:p w14:paraId="46F4A302">
            <w:pPr>
              <w:jc w:val="center"/>
              <w:outlineLvl w:val="9"/>
              <w:rPr>
                <w:rFonts w:hint="eastAsia" w:ascii="仿宋" w:hAnsi="仿宋" w:eastAsia="仿宋" w:cs="仿宋"/>
              </w:rPr>
            </w:pPr>
            <w:r>
              <w:rPr>
                <w:rFonts w:hint="eastAsia" w:ascii="仿宋" w:hAnsi="仿宋" w:eastAsia="仿宋" w:cs="仿宋"/>
              </w:rPr>
              <w:t>4.67</w:t>
            </w:r>
          </w:p>
        </w:tc>
      </w:tr>
      <w:tr w14:paraId="66C1372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FFFFF"/>
            <w:vAlign w:val="center"/>
          </w:tcPr>
          <w:p w14:paraId="45246244">
            <w:pPr>
              <w:jc w:val="center"/>
              <w:outlineLvl w:val="9"/>
              <w:rPr>
                <w:rFonts w:hint="eastAsia" w:ascii="仿宋" w:hAnsi="仿宋" w:eastAsia="仿宋" w:cs="仿宋"/>
              </w:rPr>
            </w:pPr>
            <w:r>
              <w:rPr>
                <w:rFonts w:hint="eastAsia" w:ascii="仿宋" w:hAnsi="仿宋" w:eastAsia="仿宋" w:cs="仿宋"/>
              </w:rPr>
              <w:t>信息公开情况</w:t>
            </w:r>
          </w:p>
        </w:tc>
        <w:tc>
          <w:tcPr>
            <w:tcW w:w="1120" w:type="dxa"/>
            <w:shd w:val="clear" w:color="auto" w:fill="FFFFFF"/>
            <w:vAlign w:val="center"/>
          </w:tcPr>
          <w:p w14:paraId="2B9CA687">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FFFFF"/>
            <w:vAlign w:val="center"/>
          </w:tcPr>
          <w:p w14:paraId="2B2D64DF">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FFFFF"/>
            <w:vAlign w:val="center"/>
          </w:tcPr>
          <w:p w14:paraId="6AAD4C2B">
            <w:pPr>
              <w:jc w:val="center"/>
              <w:outlineLvl w:val="9"/>
              <w:rPr>
                <w:rFonts w:hint="eastAsia" w:ascii="仿宋" w:hAnsi="仿宋" w:eastAsia="仿宋" w:cs="仿宋"/>
              </w:rPr>
            </w:pPr>
            <w:r>
              <w:rPr>
                <w:rFonts w:hint="eastAsia" w:ascii="仿宋" w:hAnsi="仿宋" w:eastAsia="仿宋" w:cs="仿宋"/>
              </w:rPr>
              <w:t>3(2.63%)</w:t>
            </w:r>
          </w:p>
        </w:tc>
        <w:tc>
          <w:tcPr>
            <w:tcW w:w="1760" w:type="dxa"/>
            <w:shd w:val="clear" w:color="auto" w:fill="FFFFFF"/>
            <w:vAlign w:val="center"/>
          </w:tcPr>
          <w:p w14:paraId="03B490B8">
            <w:pPr>
              <w:jc w:val="center"/>
              <w:outlineLvl w:val="9"/>
              <w:rPr>
                <w:rFonts w:hint="eastAsia" w:ascii="仿宋" w:hAnsi="仿宋" w:eastAsia="仿宋" w:cs="仿宋"/>
              </w:rPr>
            </w:pPr>
            <w:r>
              <w:rPr>
                <w:rFonts w:hint="eastAsia" w:ascii="仿宋" w:hAnsi="仿宋" w:eastAsia="仿宋" w:cs="仿宋"/>
              </w:rPr>
              <w:t>22(19.3%)</w:t>
            </w:r>
          </w:p>
        </w:tc>
        <w:tc>
          <w:tcPr>
            <w:tcW w:w="1760" w:type="dxa"/>
            <w:shd w:val="clear" w:color="auto" w:fill="FFFFFF"/>
            <w:vAlign w:val="center"/>
          </w:tcPr>
          <w:p w14:paraId="5D753CE1">
            <w:pPr>
              <w:jc w:val="center"/>
              <w:outlineLvl w:val="9"/>
              <w:rPr>
                <w:rFonts w:hint="eastAsia" w:ascii="仿宋" w:hAnsi="仿宋" w:eastAsia="仿宋" w:cs="仿宋"/>
              </w:rPr>
            </w:pPr>
            <w:r>
              <w:rPr>
                <w:rFonts w:hint="eastAsia" w:ascii="仿宋" w:hAnsi="仿宋" w:eastAsia="仿宋" w:cs="仿宋"/>
              </w:rPr>
              <w:t>89(78.07%)</w:t>
            </w:r>
          </w:p>
        </w:tc>
        <w:tc>
          <w:tcPr>
            <w:tcW w:w="1120" w:type="dxa"/>
            <w:shd w:val="clear" w:color="auto" w:fill="FFFFFF"/>
            <w:vAlign w:val="center"/>
          </w:tcPr>
          <w:p w14:paraId="209F3B6C">
            <w:pPr>
              <w:jc w:val="center"/>
              <w:outlineLvl w:val="9"/>
              <w:rPr>
                <w:rFonts w:hint="eastAsia" w:ascii="仿宋" w:hAnsi="仿宋" w:eastAsia="仿宋" w:cs="仿宋"/>
              </w:rPr>
            </w:pPr>
            <w:r>
              <w:rPr>
                <w:rFonts w:hint="eastAsia" w:ascii="仿宋" w:hAnsi="仿宋" w:eastAsia="仿宋" w:cs="仿宋"/>
              </w:rPr>
              <w:t>4.75</w:t>
            </w:r>
          </w:p>
        </w:tc>
      </w:tr>
      <w:tr w14:paraId="7C8135B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AFAFA"/>
            <w:vAlign w:val="center"/>
          </w:tcPr>
          <w:p w14:paraId="4218D1A7">
            <w:pPr>
              <w:jc w:val="center"/>
              <w:outlineLvl w:val="9"/>
              <w:rPr>
                <w:rFonts w:hint="eastAsia" w:ascii="仿宋" w:hAnsi="仿宋" w:eastAsia="仿宋" w:cs="仿宋"/>
              </w:rPr>
            </w:pPr>
            <w:r>
              <w:rPr>
                <w:rFonts w:hint="eastAsia" w:ascii="仿宋" w:hAnsi="仿宋" w:eastAsia="仿宋" w:cs="仿宋"/>
              </w:rPr>
              <w:t>部门资金使用分配情况</w:t>
            </w:r>
          </w:p>
        </w:tc>
        <w:tc>
          <w:tcPr>
            <w:tcW w:w="1120" w:type="dxa"/>
            <w:shd w:val="clear" w:color="auto" w:fill="FAFAFA"/>
            <w:vAlign w:val="center"/>
          </w:tcPr>
          <w:p w14:paraId="4527A9DC">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AFAFA"/>
            <w:vAlign w:val="center"/>
          </w:tcPr>
          <w:p w14:paraId="7F81CC6C">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AFAFA"/>
            <w:vAlign w:val="center"/>
          </w:tcPr>
          <w:p w14:paraId="73C61EB0">
            <w:pPr>
              <w:jc w:val="center"/>
              <w:outlineLvl w:val="9"/>
              <w:rPr>
                <w:rFonts w:hint="eastAsia" w:ascii="仿宋" w:hAnsi="仿宋" w:eastAsia="仿宋" w:cs="仿宋"/>
              </w:rPr>
            </w:pPr>
            <w:r>
              <w:rPr>
                <w:rFonts w:hint="eastAsia" w:ascii="仿宋" w:hAnsi="仿宋" w:eastAsia="仿宋" w:cs="仿宋"/>
              </w:rPr>
              <w:t>2(1.75%)</w:t>
            </w:r>
          </w:p>
        </w:tc>
        <w:tc>
          <w:tcPr>
            <w:tcW w:w="1760" w:type="dxa"/>
            <w:shd w:val="clear" w:color="auto" w:fill="FAFAFA"/>
            <w:vAlign w:val="center"/>
          </w:tcPr>
          <w:p w14:paraId="2EE342CB">
            <w:pPr>
              <w:jc w:val="center"/>
              <w:outlineLvl w:val="9"/>
              <w:rPr>
                <w:rFonts w:hint="eastAsia" w:ascii="仿宋" w:hAnsi="仿宋" w:eastAsia="仿宋" w:cs="仿宋"/>
              </w:rPr>
            </w:pPr>
            <w:r>
              <w:rPr>
                <w:rFonts w:hint="eastAsia" w:ascii="仿宋" w:hAnsi="仿宋" w:eastAsia="仿宋" w:cs="仿宋"/>
              </w:rPr>
              <w:t>25(21.93%)</w:t>
            </w:r>
          </w:p>
        </w:tc>
        <w:tc>
          <w:tcPr>
            <w:tcW w:w="1760" w:type="dxa"/>
            <w:shd w:val="clear" w:color="auto" w:fill="FAFAFA"/>
            <w:vAlign w:val="center"/>
          </w:tcPr>
          <w:p w14:paraId="36481647">
            <w:pPr>
              <w:jc w:val="center"/>
              <w:outlineLvl w:val="9"/>
              <w:rPr>
                <w:rFonts w:hint="eastAsia" w:ascii="仿宋" w:hAnsi="仿宋" w:eastAsia="仿宋" w:cs="仿宋"/>
              </w:rPr>
            </w:pPr>
            <w:r>
              <w:rPr>
                <w:rFonts w:hint="eastAsia" w:ascii="仿宋" w:hAnsi="仿宋" w:eastAsia="仿宋" w:cs="仿宋"/>
              </w:rPr>
              <w:t>87(76.32%)</w:t>
            </w:r>
          </w:p>
        </w:tc>
        <w:tc>
          <w:tcPr>
            <w:tcW w:w="1120" w:type="dxa"/>
            <w:shd w:val="clear" w:color="auto" w:fill="FAFAFA"/>
            <w:vAlign w:val="center"/>
          </w:tcPr>
          <w:p w14:paraId="2D7220B1">
            <w:pPr>
              <w:jc w:val="center"/>
              <w:outlineLvl w:val="9"/>
              <w:rPr>
                <w:rFonts w:hint="eastAsia" w:ascii="仿宋" w:hAnsi="仿宋" w:eastAsia="仿宋" w:cs="仿宋"/>
              </w:rPr>
            </w:pPr>
            <w:r>
              <w:rPr>
                <w:rFonts w:hint="eastAsia" w:ascii="仿宋" w:hAnsi="仿宋" w:eastAsia="仿宋" w:cs="仿宋"/>
              </w:rPr>
              <w:t>4.75</w:t>
            </w:r>
          </w:p>
        </w:tc>
      </w:tr>
      <w:tr w14:paraId="436DEA8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FFFFF"/>
            <w:vAlign w:val="center"/>
          </w:tcPr>
          <w:p w14:paraId="792CFB1A">
            <w:pPr>
              <w:jc w:val="center"/>
              <w:outlineLvl w:val="9"/>
              <w:rPr>
                <w:rFonts w:hint="eastAsia" w:ascii="仿宋" w:hAnsi="仿宋" w:eastAsia="仿宋" w:cs="仿宋"/>
              </w:rPr>
            </w:pPr>
            <w:r>
              <w:rPr>
                <w:rFonts w:hint="eastAsia" w:ascii="仿宋" w:hAnsi="仿宋" w:eastAsia="仿宋" w:cs="仿宋"/>
              </w:rPr>
              <w:t>部门间信息交流便捷性</w:t>
            </w:r>
          </w:p>
        </w:tc>
        <w:tc>
          <w:tcPr>
            <w:tcW w:w="1120" w:type="dxa"/>
            <w:shd w:val="clear" w:color="auto" w:fill="FFFFFF"/>
            <w:vAlign w:val="center"/>
          </w:tcPr>
          <w:p w14:paraId="18B778EA">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FFFFF"/>
            <w:vAlign w:val="center"/>
          </w:tcPr>
          <w:p w14:paraId="353441DA">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FFFFF"/>
            <w:vAlign w:val="center"/>
          </w:tcPr>
          <w:p w14:paraId="32209A14">
            <w:pPr>
              <w:jc w:val="center"/>
              <w:outlineLvl w:val="9"/>
              <w:rPr>
                <w:rFonts w:hint="eastAsia" w:ascii="仿宋" w:hAnsi="仿宋" w:eastAsia="仿宋" w:cs="仿宋"/>
              </w:rPr>
            </w:pPr>
            <w:r>
              <w:rPr>
                <w:rFonts w:hint="eastAsia" w:ascii="仿宋" w:hAnsi="仿宋" w:eastAsia="仿宋" w:cs="仿宋"/>
              </w:rPr>
              <w:t>4(3.51%)</w:t>
            </w:r>
          </w:p>
        </w:tc>
        <w:tc>
          <w:tcPr>
            <w:tcW w:w="1760" w:type="dxa"/>
            <w:shd w:val="clear" w:color="auto" w:fill="FFFFFF"/>
            <w:vAlign w:val="center"/>
          </w:tcPr>
          <w:p w14:paraId="030BE91A">
            <w:pPr>
              <w:jc w:val="center"/>
              <w:outlineLvl w:val="9"/>
              <w:rPr>
                <w:rFonts w:hint="eastAsia" w:ascii="仿宋" w:hAnsi="仿宋" w:eastAsia="仿宋" w:cs="仿宋"/>
              </w:rPr>
            </w:pPr>
            <w:r>
              <w:rPr>
                <w:rFonts w:hint="eastAsia" w:ascii="仿宋" w:hAnsi="仿宋" w:eastAsia="仿宋" w:cs="仿宋"/>
              </w:rPr>
              <w:t>26(22.81%)</w:t>
            </w:r>
          </w:p>
        </w:tc>
        <w:tc>
          <w:tcPr>
            <w:tcW w:w="1760" w:type="dxa"/>
            <w:shd w:val="clear" w:color="auto" w:fill="FFFFFF"/>
            <w:vAlign w:val="center"/>
          </w:tcPr>
          <w:p w14:paraId="0FFF8768">
            <w:pPr>
              <w:jc w:val="center"/>
              <w:outlineLvl w:val="9"/>
              <w:rPr>
                <w:rFonts w:hint="eastAsia" w:ascii="仿宋" w:hAnsi="仿宋" w:eastAsia="仿宋" w:cs="仿宋"/>
              </w:rPr>
            </w:pPr>
            <w:r>
              <w:rPr>
                <w:rFonts w:hint="eastAsia" w:ascii="仿宋" w:hAnsi="仿宋" w:eastAsia="仿宋" w:cs="仿宋"/>
              </w:rPr>
              <w:t>84(73.68%)</w:t>
            </w:r>
          </w:p>
        </w:tc>
        <w:tc>
          <w:tcPr>
            <w:tcW w:w="1120" w:type="dxa"/>
            <w:shd w:val="clear" w:color="auto" w:fill="FFFFFF"/>
            <w:vAlign w:val="center"/>
          </w:tcPr>
          <w:p w14:paraId="02C052F4">
            <w:pPr>
              <w:jc w:val="center"/>
              <w:outlineLvl w:val="9"/>
              <w:rPr>
                <w:rFonts w:hint="eastAsia" w:ascii="仿宋" w:hAnsi="仿宋" w:eastAsia="仿宋" w:cs="仿宋"/>
              </w:rPr>
            </w:pPr>
            <w:r>
              <w:rPr>
                <w:rFonts w:hint="eastAsia" w:ascii="仿宋" w:hAnsi="仿宋" w:eastAsia="仿宋" w:cs="仿宋"/>
              </w:rPr>
              <w:t>4.7</w:t>
            </w:r>
          </w:p>
        </w:tc>
      </w:tr>
      <w:tr w14:paraId="2598C38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AFAFA"/>
            <w:vAlign w:val="center"/>
          </w:tcPr>
          <w:p w14:paraId="0C724045">
            <w:pPr>
              <w:jc w:val="center"/>
              <w:outlineLvl w:val="9"/>
              <w:rPr>
                <w:rFonts w:hint="eastAsia" w:ascii="仿宋" w:hAnsi="仿宋" w:eastAsia="仿宋" w:cs="仿宋"/>
              </w:rPr>
            </w:pPr>
            <w:r>
              <w:rPr>
                <w:rFonts w:hint="eastAsia" w:ascii="仿宋" w:hAnsi="仿宋" w:eastAsia="仿宋" w:cs="仿宋"/>
              </w:rPr>
              <w:t>单位管理制度情况</w:t>
            </w:r>
          </w:p>
        </w:tc>
        <w:tc>
          <w:tcPr>
            <w:tcW w:w="1120" w:type="dxa"/>
            <w:shd w:val="clear" w:color="auto" w:fill="FAFAFA"/>
            <w:vAlign w:val="center"/>
          </w:tcPr>
          <w:p w14:paraId="0B4A7380">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AFAFA"/>
            <w:vAlign w:val="center"/>
          </w:tcPr>
          <w:p w14:paraId="36E5947D">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AFAFA"/>
            <w:vAlign w:val="center"/>
          </w:tcPr>
          <w:p w14:paraId="5A1EBE28">
            <w:pPr>
              <w:jc w:val="center"/>
              <w:outlineLvl w:val="9"/>
              <w:rPr>
                <w:rFonts w:hint="eastAsia" w:ascii="仿宋" w:hAnsi="仿宋" w:eastAsia="仿宋" w:cs="仿宋"/>
              </w:rPr>
            </w:pPr>
            <w:r>
              <w:rPr>
                <w:rFonts w:hint="eastAsia" w:ascii="仿宋" w:hAnsi="仿宋" w:eastAsia="仿宋" w:cs="仿宋"/>
              </w:rPr>
              <w:t>3(2.63%)</w:t>
            </w:r>
          </w:p>
        </w:tc>
        <w:tc>
          <w:tcPr>
            <w:tcW w:w="1760" w:type="dxa"/>
            <w:shd w:val="clear" w:color="auto" w:fill="FAFAFA"/>
            <w:vAlign w:val="center"/>
          </w:tcPr>
          <w:p w14:paraId="12110CC5">
            <w:pPr>
              <w:jc w:val="center"/>
              <w:outlineLvl w:val="9"/>
              <w:rPr>
                <w:rFonts w:hint="eastAsia" w:ascii="仿宋" w:hAnsi="仿宋" w:eastAsia="仿宋" w:cs="仿宋"/>
              </w:rPr>
            </w:pPr>
            <w:r>
              <w:rPr>
                <w:rFonts w:hint="eastAsia" w:ascii="仿宋" w:hAnsi="仿宋" w:eastAsia="仿宋" w:cs="仿宋"/>
              </w:rPr>
              <w:t>24(21.05%)</w:t>
            </w:r>
          </w:p>
        </w:tc>
        <w:tc>
          <w:tcPr>
            <w:tcW w:w="1760" w:type="dxa"/>
            <w:shd w:val="clear" w:color="auto" w:fill="FAFAFA"/>
            <w:vAlign w:val="center"/>
          </w:tcPr>
          <w:p w14:paraId="27F8FED6">
            <w:pPr>
              <w:jc w:val="center"/>
              <w:outlineLvl w:val="9"/>
              <w:rPr>
                <w:rFonts w:hint="eastAsia" w:ascii="仿宋" w:hAnsi="仿宋" w:eastAsia="仿宋" w:cs="仿宋"/>
              </w:rPr>
            </w:pPr>
            <w:r>
              <w:rPr>
                <w:rFonts w:hint="eastAsia" w:ascii="仿宋" w:hAnsi="仿宋" w:eastAsia="仿宋" w:cs="仿宋"/>
              </w:rPr>
              <w:t>87(76.32%)</w:t>
            </w:r>
          </w:p>
        </w:tc>
        <w:tc>
          <w:tcPr>
            <w:tcW w:w="1120" w:type="dxa"/>
            <w:shd w:val="clear" w:color="auto" w:fill="FAFAFA"/>
            <w:vAlign w:val="center"/>
          </w:tcPr>
          <w:p w14:paraId="17D809D1">
            <w:pPr>
              <w:jc w:val="center"/>
              <w:outlineLvl w:val="9"/>
              <w:rPr>
                <w:rFonts w:hint="eastAsia" w:ascii="仿宋" w:hAnsi="仿宋" w:eastAsia="仿宋" w:cs="仿宋"/>
              </w:rPr>
            </w:pPr>
            <w:r>
              <w:rPr>
                <w:rFonts w:hint="eastAsia" w:ascii="仿宋" w:hAnsi="仿宋" w:eastAsia="仿宋" w:cs="仿宋"/>
              </w:rPr>
              <w:t>4.74</w:t>
            </w:r>
          </w:p>
        </w:tc>
      </w:tr>
      <w:tr w14:paraId="05B7E22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FFFFF"/>
            <w:vAlign w:val="center"/>
          </w:tcPr>
          <w:p w14:paraId="4EE7F2A0">
            <w:pPr>
              <w:jc w:val="center"/>
              <w:outlineLvl w:val="9"/>
              <w:rPr>
                <w:rFonts w:hint="eastAsia" w:ascii="仿宋" w:hAnsi="仿宋" w:eastAsia="仿宋" w:cs="仿宋"/>
              </w:rPr>
            </w:pPr>
            <w:r>
              <w:rPr>
                <w:rFonts w:hint="eastAsia" w:ascii="仿宋" w:hAnsi="仿宋" w:eastAsia="仿宋" w:cs="仿宋"/>
              </w:rPr>
              <w:t>单位制度执行情况</w:t>
            </w:r>
          </w:p>
        </w:tc>
        <w:tc>
          <w:tcPr>
            <w:tcW w:w="1120" w:type="dxa"/>
            <w:shd w:val="clear" w:color="auto" w:fill="FFFFFF"/>
            <w:vAlign w:val="center"/>
          </w:tcPr>
          <w:p w14:paraId="1DB630C1">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FFFFF"/>
            <w:vAlign w:val="center"/>
          </w:tcPr>
          <w:p w14:paraId="2331D571">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FFFFF"/>
            <w:vAlign w:val="center"/>
          </w:tcPr>
          <w:p w14:paraId="5C142F00">
            <w:pPr>
              <w:jc w:val="center"/>
              <w:outlineLvl w:val="9"/>
              <w:rPr>
                <w:rFonts w:hint="eastAsia" w:ascii="仿宋" w:hAnsi="仿宋" w:eastAsia="仿宋" w:cs="仿宋"/>
              </w:rPr>
            </w:pPr>
            <w:r>
              <w:rPr>
                <w:rFonts w:hint="eastAsia" w:ascii="仿宋" w:hAnsi="仿宋" w:eastAsia="仿宋" w:cs="仿宋"/>
              </w:rPr>
              <w:t>3(2.63%)</w:t>
            </w:r>
          </w:p>
        </w:tc>
        <w:tc>
          <w:tcPr>
            <w:tcW w:w="1760" w:type="dxa"/>
            <w:shd w:val="clear" w:color="auto" w:fill="FFFFFF"/>
            <w:vAlign w:val="center"/>
          </w:tcPr>
          <w:p w14:paraId="1FA2B24A">
            <w:pPr>
              <w:jc w:val="center"/>
              <w:outlineLvl w:val="9"/>
              <w:rPr>
                <w:rFonts w:hint="eastAsia" w:ascii="仿宋" w:hAnsi="仿宋" w:eastAsia="仿宋" w:cs="仿宋"/>
              </w:rPr>
            </w:pPr>
            <w:r>
              <w:rPr>
                <w:rFonts w:hint="eastAsia" w:ascii="仿宋" w:hAnsi="仿宋" w:eastAsia="仿宋" w:cs="仿宋"/>
              </w:rPr>
              <w:t>24(21.05%)</w:t>
            </w:r>
          </w:p>
        </w:tc>
        <w:tc>
          <w:tcPr>
            <w:tcW w:w="1760" w:type="dxa"/>
            <w:shd w:val="clear" w:color="auto" w:fill="FFFFFF"/>
            <w:vAlign w:val="center"/>
          </w:tcPr>
          <w:p w14:paraId="09F2CF6F">
            <w:pPr>
              <w:jc w:val="center"/>
              <w:outlineLvl w:val="9"/>
              <w:rPr>
                <w:rFonts w:hint="eastAsia" w:ascii="仿宋" w:hAnsi="仿宋" w:eastAsia="仿宋" w:cs="仿宋"/>
              </w:rPr>
            </w:pPr>
            <w:r>
              <w:rPr>
                <w:rFonts w:hint="eastAsia" w:ascii="仿宋" w:hAnsi="仿宋" w:eastAsia="仿宋" w:cs="仿宋"/>
              </w:rPr>
              <w:t>87(76.32%)</w:t>
            </w:r>
          </w:p>
        </w:tc>
        <w:tc>
          <w:tcPr>
            <w:tcW w:w="1120" w:type="dxa"/>
            <w:shd w:val="clear" w:color="auto" w:fill="FFFFFF"/>
            <w:vAlign w:val="center"/>
          </w:tcPr>
          <w:p w14:paraId="078F09A2">
            <w:pPr>
              <w:jc w:val="center"/>
              <w:outlineLvl w:val="9"/>
              <w:rPr>
                <w:rFonts w:hint="eastAsia" w:ascii="仿宋" w:hAnsi="仿宋" w:eastAsia="仿宋" w:cs="仿宋"/>
              </w:rPr>
            </w:pPr>
            <w:r>
              <w:rPr>
                <w:rFonts w:hint="eastAsia" w:ascii="仿宋" w:hAnsi="仿宋" w:eastAsia="仿宋" w:cs="仿宋"/>
              </w:rPr>
              <w:t>4.74</w:t>
            </w:r>
          </w:p>
        </w:tc>
      </w:tr>
      <w:tr w14:paraId="4D8E0B7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AFAFA"/>
            <w:vAlign w:val="center"/>
          </w:tcPr>
          <w:p w14:paraId="79DB7A89">
            <w:pPr>
              <w:jc w:val="center"/>
              <w:outlineLvl w:val="9"/>
              <w:rPr>
                <w:rFonts w:hint="eastAsia" w:ascii="仿宋" w:hAnsi="仿宋" w:eastAsia="仿宋" w:cs="仿宋"/>
              </w:rPr>
            </w:pPr>
            <w:r>
              <w:rPr>
                <w:rFonts w:hint="eastAsia" w:ascii="仿宋" w:hAnsi="仿宋" w:eastAsia="仿宋" w:cs="仿宋"/>
              </w:rPr>
              <w:t>单位领导管理水平</w:t>
            </w:r>
          </w:p>
        </w:tc>
        <w:tc>
          <w:tcPr>
            <w:tcW w:w="1120" w:type="dxa"/>
            <w:shd w:val="clear" w:color="auto" w:fill="FAFAFA"/>
            <w:vAlign w:val="center"/>
          </w:tcPr>
          <w:p w14:paraId="7F5B9FC0">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AFAFA"/>
            <w:vAlign w:val="center"/>
          </w:tcPr>
          <w:p w14:paraId="2BA608C8">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AFAFA"/>
            <w:vAlign w:val="center"/>
          </w:tcPr>
          <w:p w14:paraId="07A9F92F">
            <w:pPr>
              <w:jc w:val="center"/>
              <w:outlineLvl w:val="9"/>
              <w:rPr>
                <w:rFonts w:hint="eastAsia" w:ascii="仿宋" w:hAnsi="仿宋" w:eastAsia="仿宋" w:cs="仿宋"/>
              </w:rPr>
            </w:pPr>
            <w:r>
              <w:rPr>
                <w:rFonts w:hint="eastAsia" w:ascii="仿宋" w:hAnsi="仿宋" w:eastAsia="仿宋" w:cs="仿宋"/>
              </w:rPr>
              <w:t>1(0.88%)</w:t>
            </w:r>
          </w:p>
        </w:tc>
        <w:tc>
          <w:tcPr>
            <w:tcW w:w="1760" w:type="dxa"/>
            <w:shd w:val="clear" w:color="auto" w:fill="FAFAFA"/>
            <w:vAlign w:val="center"/>
          </w:tcPr>
          <w:p w14:paraId="7696AAFF">
            <w:pPr>
              <w:jc w:val="center"/>
              <w:outlineLvl w:val="9"/>
              <w:rPr>
                <w:rFonts w:hint="eastAsia" w:ascii="仿宋" w:hAnsi="仿宋" w:eastAsia="仿宋" w:cs="仿宋"/>
              </w:rPr>
            </w:pPr>
            <w:r>
              <w:rPr>
                <w:rFonts w:hint="eastAsia" w:ascii="仿宋" w:hAnsi="仿宋" w:eastAsia="仿宋" w:cs="仿宋"/>
              </w:rPr>
              <w:t>19(16.67%)</w:t>
            </w:r>
          </w:p>
        </w:tc>
        <w:tc>
          <w:tcPr>
            <w:tcW w:w="1760" w:type="dxa"/>
            <w:shd w:val="clear" w:color="auto" w:fill="FAFAFA"/>
            <w:vAlign w:val="center"/>
          </w:tcPr>
          <w:p w14:paraId="4D89E528">
            <w:pPr>
              <w:jc w:val="center"/>
              <w:outlineLvl w:val="9"/>
              <w:rPr>
                <w:rFonts w:hint="eastAsia" w:ascii="仿宋" w:hAnsi="仿宋" w:eastAsia="仿宋" w:cs="仿宋"/>
              </w:rPr>
            </w:pPr>
            <w:r>
              <w:rPr>
                <w:rFonts w:hint="eastAsia" w:ascii="仿宋" w:hAnsi="仿宋" w:eastAsia="仿宋" w:cs="仿宋"/>
              </w:rPr>
              <w:t>94(82.46%)</w:t>
            </w:r>
          </w:p>
        </w:tc>
        <w:tc>
          <w:tcPr>
            <w:tcW w:w="1120" w:type="dxa"/>
            <w:shd w:val="clear" w:color="auto" w:fill="FAFAFA"/>
            <w:vAlign w:val="center"/>
          </w:tcPr>
          <w:p w14:paraId="21F76C4F">
            <w:pPr>
              <w:jc w:val="center"/>
              <w:outlineLvl w:val="9"/>
              <w:rPr>
                <w:rFonts w:hint="eastAsia" w:ascii="仿宋" w:hAnsi="仿宋" w:eastAsia="仿宋" w:cs="仿宋"/>
              </w:rPr>
            </w:pPr>
            <w:r>
              <w:rPr>
                <w:rFonts w:hint="eastAsia" w:ascii="仿宋" w:hAnsi="仿宋" w:eastAsia="仿宋" w:cs="仿宋"/>
              </w:rPr>
              <w:t>4.82</w:t>
            </w:r>
          </w:p>
        </w:tc>
      </w:tr>
      <w:tr w14:paraId="42D0825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FFFFF"/>
            <w:vAlign w:val="center"/>
          </w:tcPr>
          <w:p w14:paraId="2A47FB8A">
            <w:pPr>
              <w:jc w:val="center"/>
              <w:outlineLvl w:val="9"/>
              <w:rPr>
                <w:rFonts w:hint="eastAsia" w:ascii="仿宋" w:hAnsi="仿宋" w:eastAsia="仿宋" w:cs="仿宋"/>
              </w:rPr>
            </w:pPr>
            <w:r>
              <w:rPr>
                <w:rFonts w:hint="eastAsia" w:ascii="仿宋" w:hAnsi="仿宋" w:eastAsia="仿宋" w:cs="仿宋"/>
              </w:rPr>
              <w:t>所在部门职责履行情况</w:t>
            </w:r>
          </w:p>
        </w:tc>
        <w:tc>
          <w:tcPr>
            <w:tcW w:w="1120" w:type="dxa"/>
            <w:shd w:val="clear" w:color="auto" w:fill="FFFFFF"/>
            <w:vAlign w:val="center"/>
          </w:tcPr>
          <w:p w14:paraId="0095DC28">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FFFFF"/>
            <w:vAlign w:val="center"/>
          </w:tcPr>
          <w:p w14:paraId="41B4A83B">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FFFFF"/>
            <w:vAlign w:val="center"/>
          </w:tcPr>
          <w:p w14:paraId="4E32F6D9">
            <w:pPr>
              <w:jc w:val="center"/>
              <w:outlineLvl w:val="9"/>
              <w:rPr>
                <w:rFonts w:hint="eastAsia" w:ascii="仿宋" w:hAnsi="仿宋" w:eastAsia="仿宋" w:cs="仿宋"/>
              </w:rPr>
            </w:pPr>
            <w:r>
              <w:rPr>
                <w:rFonts w:hint="eastAsia" w:ascii="仿宋" w:hAnsi="仿宋" w:eastAsia="仿宋" w:cs="仿宋"/>
              </w:rPr>
              <w:t>1(0.88%)</w:t>
            </w:r>
          </w:p>
        </w:tc>
        <w:tc>
          <w:tcPr>
            <w:tcW w:w="1760" w:type="dxa"/>
            <w:shd w:val="clear" w:color="auto" w:fill="FFFFFF"/>
            <w:vAlign w:val="center"/>
          </w:tcPr>
          <w:p w14:paraId="4638F588">
            <w:pPr>
              <w:jc w:val="center"/>
              <w:outlineLvl w:val="9"/>
              <w:rPr>
                <w:rFonts w:hint="eastAsia" w:ascii="仿宋" w:hAnsi="仿宋" w:eastAsia="仿宋" w:cs="仿宋"/>
              </w:rPr>
            </w:pPr>
            <w:r>
              <w:rPr>
                <w:rFonts w:hint="eastAsia" w:ascii="仿宋" w:hAnsi="仿宋" w:eastAsia="仿宋" w:cs="仿宋"/>
              </w:rPr>
              <w:t>17(14.91%)</w:t>
            </w:r>
          </w:p>
        </w:tc>
        <w:tc>
          <w:tcPr>
            <w:tcW w:w="1760" w:type="dxa"/>
            <w:shd w:val="clear" w:color="auto" w:fill="FFFFFF"/>
            <w:vAlign w:val="center"/>
          </w:tcPr>
          <w:p w14:paraId="40E21EF5">
            <w:pPr>
              <w:jc w:val="center"/>
              <w:outlineLvl w:val="9"/>
              <w:rPr>
                <w:rFonts w:hint="eastAsia" w:ascii="仿宋" w:hAnsi="仿宋" w:eastAsia="仿宋" w:cs="仿宋"/>
              </w:rPr>
            </w:pPr>
            <w:r>
              <w:rPr>
                <w:rFonts w:hint="eastAsia" w:ascii="仿宋" w:hAnsi="仿宋" w:eastAsia="仿宋" w:cs="仿宋"/>
              </w:rPr>
              <w:t>96(84.21%)</w:t>
            </w:r>
          </w:p>
        </w:tc>
        <w:tc>
          <w:tcPr>
            <w:tcW w:w="1120" w:type="dxa"/>
            <w:shd w:val="clear" w:color="auto" w:fill="FFFFFF"/>
            <w:vAlign w:val="center"/>
          </w:tcPr>
          <w:p w14:paraId="0E1713EC">
            <w:pPr>
              <w:jc w:val="center"/>
              <w:outlineLvl w:val="9"/>
              <w:rPr>
                <w:rFonts w:hint="eastAsia" w:ascii="仿宋" w:hAnsi="仿宋" w:eastAsia="仿宋" w:cs="仿宋"/>
              </w:rPr>
            </w:pPr>
            <w:r>
              <w:rPr>
                <w:rFonts w:hint="eastAsia" w:ascii="仿宋" w:hAnsi="仿宋" w:eastAsia="仿宋" w:cs="仿宋"/>
              </w:rPr>
              <w:t>4.83</w:t>
            </w:r>
          </w:p>
        </w:tc>
      </w:tr>
      <w:tr w14:paraId="58F0DC9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AFAFA"/>
            <w:vAlign w:val="center"/>
          </w:tcPr>
          <w:p w14:paraId="1EA57EFE">
            <w:pPr>
              <w:jc w:val="center"/>
              <w:outlineLvl w:val="9"/>
              <w:rPr>
                <w:rFonts w:hint="eastAsia" w:ascii="仿宋" w:hAnsi="仿宋" w:eastAsia="仿宋" w:cs="仿宋"/>
              </w:rPr>
            </w:pPr>
            <w:r>
              <w:rPr>
                <w:rFonts w:hint="eastAsia" w:ascii="仿宋" w:hAnsi="仿宋" w:eastAsia="仿宋" w:cs="仿宋"/>
              </w:rPr>
              <w:t>所在部门2023年工作成效</w:t>
            </w:r>
          </w:p>
        </w:tc>
        <w:tc>
          <w:tcPr>
            <w:tcW w:w="1120" w:type="dxa"/>
            <w:shd w:val="clear" w:color="auto" w:fill="FAFAFA"/>
            <w:vAlign w:val="center"/>
          </w:tcPr>
          <w:p w14:paraId="03E7D90F">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AFAFA"/>
            <w:vAlign w:val="center"/>
          </w:tcPr>
          <w:p w14:paraId="2469E368">
            <w:pPr>
              <w:jc w:val="center"/>
              <w:outlineLvl w:val="9"/>
              <w:rPr>
                <w:rFonts w:hint="eastAsia" w:ascii="仿宋" w:hAnsi="仿宋" w:eastAsia="仿宋" w:cs="仿宋"/>
              </w:rPr>
            </w:pPr>
            <w:r>
              <w:rPr>
                <w:rFonts w:hint="eastAsia" w:ascii="仿宋" w:hAnsi="仿宋" w:eastAsia="仿宋" w:cs="仿宋"/>
              </w:rPr>
              <w:t>0(0%)</w:t>
            </w:r>
          </w:p>
        </w:tc>
        <w:tc>
          <w:tcPr>
            <w:tcW w:w="1480" w:type="dxa"/>
            <w:shd w:val="clear" w:color="auto" w:fill="FAFAFA"/>
            <w:vAlign w:val="center"/>
          </w:tcPr>
          <w:p w14:paraId="4F640266">
            <w:pPr>
              <w:jc w:val="center"/>
              <w:outlineLvl w:val="9"/>
              <w:rPr>
                <w:rFonts w:hint="eastAsia" w:ascii="仿宋" w:hAnsi="仿宋" w:eastAsia="仿宋" w:cs="仿宋"/>
              </w:rPr>
            </w:pPr>
            <w:r>
              <w:rPr>
                <w:rFonts w:hint="eastAsia" w:ascii="仿宋" w:hAnsi="仿宋" w:eastAsia="仿宋" w:cs="仿宋"/>
              </w:rPr>
              <w:t>1(0.88%)</w:t>
            </w:r>
          </w:p>
        </w:tc>
        <w:tc>
          <w:tcPr>
            <w:tcW w:w="1760" w:type="dxa"/>
            <w:shd w:val="clear" w:color="auto" w:fill="FAFAFA"/>
            <w:vAlign w:val="center"/>
          </w:tcPr>
          <w:p w14:paraId="3DB09B18">
            <w:pPr>
              <w:jc w:val="center"/>
              <w:outlineLvl w:val="9"/>
              <w:rPr>
                <w:rFonts w:hint="eastAsia" w:ascii="仿宋" w:hAnsi="仿宋" w:eastAsia="仿宋" w:cs="仿宋"/>
              </w:rPr>
            </w:pPr>
            <w:r>
              <w:rPr>
                <w:rFonts w:hint="eastAsia" w:ascii="仿宋" w:hAnsi="仿宋" w:eastAsia="仿宋" w:cs="仿宋"/>
              </w:rPr>
              <w:t>16(14.04%)</w:t>
            </w:r>
          </w:p>
        </w:tc>
        <w:tc>
          <w:tcPr>
            <w:tcW w:w="1760" w:type="dxa"/>
            <w:shd w:val="clear" w:color="auto" w:fill="FAFAFA"/>
            <w:vAlign w:val="center"/>
          </w:tcPr>
          <w:p w14:paraId="0F5A97B1">
            <w:pPr>
              <w:jc w:val="center"/>
              <w:outlineLvl w:val="9"/>
              <w:rPr>
                <w:rFonts w:hint="eastAsia" w:ascii="仿宋" w:hAnsi="仿宋" w:eastAsia="仿宋" w:cs="仿宋"/>
              </w:rPr>
            </w:pPr>
            <w:r>
              <w:rPr>
                <w:rFonts w:hint="eastAsia" w:ascii="仿宋" w:hAnsi="仿宋" w:eastAsia="仿宋" w:cs="仿宋"/>
              </w:rPr>
              <w:t>97(85.09%)</w:t>
            </w:r>
          </w:p>
        </w:tc>
        <w:tc>
          <w:tcPr>
            <w:tcW w:w="1120" w:type="dxa"/>
            <w:shd w:val="clear" w:color="auto" w:fill="FAFAFA"/>
            <w:vAlign w:val="center"/>
          </w:tcPr>
          <w:p w14:paraId="0687F063">
            <w:pPr>
              <w:jc w:val="center"/>
              <w:outlineLvl w:val="9"/>
              <w:rPr>
                <w:rFonts w:hint="eastAsia" w:ascii="仿宋" w:hAnsi="仿宋" w:eastAsia="仿宋" w:cs="仿宋"/>
              </w:rPr>
            </w:pPr>
            <w:r>
              <w:rPr>
                <w:rFonts w:hint="eastAsia" w:ascii="仿宋" w:hAnsi="仿宋" w:eastAsia="仿宋" w:cs="仿宋"/>
              </w:rPr>
              <w:t>4.84</w:t>
            </w:r>
          </w:p>
        </w:tc>
      </w:tr>
      <w:tr w14:paraId="6751287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98" w:type="dxa"/>
            <w:shd w:val="clear" w:color="auto" w:fill="F5F5F5"/>
            <w:vAlign w:val="center"/>
          </w:tcPr>
          <w:p w14:paraId="2696F1CD">
            <w:pPr>
              <w:jc w:val="center"/>
              <w:outlineLvl w:val="9"/>
              <w:rPr>
                <w:rFonts w:hint="eastAsia" w:ascii="仿宋" w:hAnsi="仿宋" w:eastAsia="仿宋" w:cs="仿宋"/>
              </w:rPr>
            </w:pPr>
            <w:r>
              <w:rPr>
                <w:rFonts w:hint="eastAsia" w:ascii="仿宋" w:hAnsi="仿宋" w:eastAsia="仿宋" w:cs="仿宋"/>
              </w:rPr>
              <w:t>小计</w:t>
            </w:r>
          </w:p>
        </w:tc>
        <w:tc>
          <w:tcPr>
            <w:tcW w:w="1120" w:type="dxa"/>
            <w:shd w:val="clear" w:color="auto" w:fill="F5F5F5"/>
            <w:vAlign w:val="center"/>
          </w:tcPr>
          <w:p w14:paraId="74246B12">
            <w:pPr>
              <w:jc w:val="center"/>
              <w:outlineLvl w:val="9"/>
              <w:rPr>
                <w:rFonts w:hint="eastAsia" w:ascii="仿宋" w:hAnsi="仿宋" w:eastAsia="仿宋" w:cs="仿宋"/>
              </w:rPr>
            </w:pPr>
            <w:r>
              <w:rPr>
                <w:rFonts w:hint="eastAsia" w:ascii="仿宋" w:hAnsi="仿宋" w:eastAsia="仿宋" w:cs="仿宋"/>
              </w:rPr>
              <w:t>0(0%)</w:t>
            </w:r>
          </w:p>
        </w:tc>
        <w:tc>
          <w:tcPr>
            <w:tcW w:w="1400" w:type="dxa"/>
            <w:shd w:val="clear" w:color="auto" w:fill="F5F5F5"/>
            <w:vAlign w:val="center"/>
          </w:tcPr>
          <w:p w14:paraId="409F118B">
            <w:pPr>
              <w:jc w:val="center"/>
              <w:outlineLvl w:val="9"/>
              <w:rPr>
                <w:rFonts w:hint="eastAsia" w:ascii="仿宋" w:hAnsi="仿宋" w:eastAsia="仿宋" w:cs="仿宋"/>
              </w:rPr>
            </w:pPr>
            <w:r>
              <w:rPr>
                <w:rFonts w:hint="eastAsia" w:ascii="仿宋" w:hAnsi="仿宋" w:eastAsia="仿宋" w:cs="仿宋"/>
              </w:rPr>
              <w:t>1(0.09%)</w:t>
            </w:r>
          </w:p>
        </w:tc>
        <w:tc>
          <w:tcPr>
            <w:tcW w:w="1480" w:type="dxa"/>
            <w:shd w:val="clear" w:color="auto" w:fill="F5F5F5"/>
            <w:vAlign w:val="center"/>
          </w:tcPr>
          <w:p w14:paraId="69AF2482">
            <w:pPr>
              <w:jc w:val="center"/>
              <w:outlineLvl w:val="9"/>
              <w:rPr>
                <w:rFonts w:hint="eastAsia" w:ascii="仿宋" w:hAnsi="仿宋" w:eastAsia="仿宋" w:cs="仿宋"/>
              </w:rPr>
            </w:pPr>
            <w:r>
              <w:rPr>
                <w:rFonts w:hint="eastAsia" w:ascii="仿宋" w:hAnsi="仿宋" w:eastAsia="仿宋" w:cs="仿宋"/>
              </w:rPr>
              <w:t>31(2.72%)</w:t>
            </w:r>
          </w:p>
        </w:tc>
        <w:tc>
          <w:tcPr>
            <w:tcW w:w="1760" w:type="dxa"/>
            <w:shd w:val="clear" w:color="auto" w:fill="F5F5F5"/>
            <w:vAlign w:val="center"/>
          </w:tcPr>
          <w:p w14:paraId="6551A836">
            <w:pPr>
              <w:jc w:val="center"/>
              <w:outlineLvl w:val="9"/>
              <w:rPr>
                <w:rFonts w:hint="eastAsia" w:ascii="仿宋" w:hAnsi="仿宋" w:eastAsia="仿宋" w:cs="仿宋"/>
              </w:rPr>
            </w:pPr>
            <w:r>
              <w:rPr>
                <w:rFonts w:hint="eastAsia" w:ascii="仿宋" w:hAnsi="仿宋" w:eastAsia="仿宋" w:cs="仿宋"/>
              </w:rPr>
              <w:t>216(18.95%)</w:t>
            </w:r>
          </w:p>
        </w:tc>
        <w:tc>
          <w:tcPr>
            <w:tcW w:w="1760" w:type="dxa"/>
            <w:shd w:val="clear" w:color="auto" w:fill="F5F5F5"/>
            <w:vAlign w:val="center"/>
          </w:tcPr>
          <w:p w14:paraId="07FDBF9B">
            <w:pPr>
              <w:jc w:val="center"/>
              <w:outlineLvl w:val="9"/>
              <w:rPr>
                <w:rFonts w:hint="eastAsia" w:ascii="仿宋" w:hAnsi="仿宋" w:eastAsia="仿宋" w:cs="仿宋"/>
              </w:rPr>
            </w:pPr>
            <w:r>
              <w:rPr>
                <w:rFonts w:hint="eastAsia" w:ascii="仿宋" w:hAnsi="仿宋" w:eastAsia="仿宋" w:cs="仿宋"/>
              </w:rPr>
              <w:t>892(78.25%)</w:t>
            </w:r>
          </w:p>
        </w:tc>
        <w:tc>
          <w:tcPr>
            <w:tcW w:w="1120" w:type="dxa"/>
            <w:shd w:val="clear" w:color="auto" w:fill="F5F5F5"/>
            <w:vAlign w:val="center"/>
          </w:tcPr>
          <w:p w14:paraId="39A4989E">
            <w:pPr>
              <w:jc w:val="center"/>
              <w:outlineLvl w:val="9"/>
              <w:rPr>
                <w:rFonts w:hint="eastAsia" w:ascii="仿宋" w:hAnsi="仿宋" w:eastAsia="仿宋" w:cs="仿宋"/>
              </w:rPr>
            </w:pPr>
            <w:r>
              <w:rPr>
                <w:rFonts w:hint="eastAsia" w:ascii="仿宋" w:hAnsi="仿宋" w:eastAsia="仿宋" w:cs="仿宋"/>
              </w:rPr>
              <w:t>4.75</w:t>
            </w:r>
          </w:p>
        </w:tc>
      </w:tr>
    </w:tbl>
    <w:p w14:paraId="6AB6495A">
      <w:pPr>
        <w:pStyle w:val="2"/>
        <w:ind w:firstLine="560" w:firstLineChars="200"/>
        <w:outlineLvl w:val="9"/>
        <w:rPr>
          <w:rFonts w:hint="eastAsia" w:ascii="仿宋" w:hAnsi="仿宋" w:eastAsia="仿宋" w:cs="仿宋"/>
          <w:kern w:val="2"/>
          <w:sz w:val="28"/>
          <w:szCs w:val="28"/>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kern w:val="2"/>
          <w:sz w:val="28"/>
          <w:szCs w:val="28"/>
          <w:lang w:val="en-US" w:eastAsia="zh-CN" w:bidi="ar-SA"/>
        </w:rPr>
        <w:t>分析结论：根据问卷调查结果显示，大部分受访者工作年限在5年以上（80.7%），表明受访者具有较为丰富的工作经验。在对单位各方面满意度的评价中，整体表现较为积极。其中，对单位领导管理水平、所在部门职责履行情况和所在部门2023年工作成效的满意度较高，平均分均在4.8分以上，显示出对领导和部门工作成效的认可。而在具体方面，如内部管理情况、信息公开情况、部门资金使用分配情况等方面，满意度也较高，平均分在4.7分以上，反映出单位在管理和信息公开方面做得较好。</w:t>
      </w:r>
    </w:p>
    <w:p w14:paraId="3F27382A">
      <w:pPr>
        <w:tabs>
          <w:tab w:val="left" w:pos="247"/>
        </w:tabs>
        <w:bidi w:val="0"/>
        <w:jc w:val="left"/>
        <w:outlineLvl w:val="0"/>
        <w:rPr>
          <w:rFonts w:hint="eastAsia" w:ascii="仿宋" w:hAnsi="仿宋" w:eastAsia="仿宋" w:cs="仿宋"/>
          <w:b w:val="0"/>
          <w:bCs w:val="0"/>
          <w:sz w:val="24"/>
          <w:szCs w:val="24"/>
          <w:highlight w:val="none"/>
          <w:lang w:eastAsia="zh-CN"/>
        </w:rPr>
      </w:pPr>
      <w:bookmarkStart w:id="209" w:name="_Toc25195"/>
      <w:bookmarkStart w:id="210" w:name="_Toc12560"/>
      <w:r>
        <w:rPr>
          <w:rFonts w:hint="eastAsia" w:ascii="仿宋" w:hAnsi="仿宋" w:eastAsia="仿宋" w:cs="仿宋"/>
          <w:b w:val="0"/>
          <w:bCs w:val="0"/>
          <w:sz w:val="24"/>
          <w:szCs w:val="24"/>
          <w:highlight w:val="none"/>
          <w:lang w:eastAsia="zh-CN"/>
        </w:rPr>
        <w:t>附件</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lang w:eastAsia="zh-CN"/>
        </w:rPr>
        <w:t>：基础数据表</w:t>
      </w:r>
      <w:bookmarkEnd w:id="209"/>
      <w:bookmarkEnd w:id="210"/>
    </w:p>
    <w:p w14:paraId="6B0D582E">
      <w:pPr>
        <w:pStyle w:val="5"/>
        <w:keepNext w:val="0"/>
        <w:keepLines w:val="0"/>
        <w:pageBreakBefore w:val="0"/>
        <w:widowControl w:val="0"/>
        <w:kinsoku/>
        <w:wordWrap/>
        <w:overflowPunct/>
        <w:topLinePunct w:val="0"/>
        <w:autoSpaceDE/>
        <w:autoSpaceDN/>
        <w:bidi w:val="0"/>
        <w:adjustRightInd/>
        <w:snapToGrid/>
        <w:spacing w:before="0" w:beforeAutospacing="0" w:after="0" w:line="480" w:lineRule="exact"/>
        <w:ind w:left="0" w:leftChars="0" w:right="0" w:rightChars="0"/>
        <w:jc w:val="center"/>
        <w:textAlignment w:val="auto"/>
        <w:outlineLvl w:val="9"/>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永济市市场监督管理局2023年度部门整体支出</w:t>
      </w:r>
    </w:p>
    <w:p w14:paraId="2F820C66">
      <w:pPr>
        <w:pStyle w:val="5"/>
        <w:keepNext w:val="0"/>
        <w:keepLines w:val="0"/>
        <w:pageBreakBefore w:val="0"/>
        <w:widowControl w:val="0"/>
        <w:kinsoku/>
        <w:wordWrap/>
        <w:overflowPunct/>
        <w:topLinePunct w:val="0"/>
        <w:autoSpaceDE/>
        <w:autoSpaceDN/>
        <w:bidi w:val="0"/>
        <w:adjustRightInd/>
        <w:snapToGrid/>
        <w:spacing w:before="0" w:beforeAutospacing="0" w:after="192" w:afterLines="50" w:line="480" w:lineRule="exact"/>
        <w:ind w:left="0" w:leftChars="0" w:right="0" w:rightChars="0"/>
        <w:jc w:val="center"/>
        <w:textAlignment w:val="auto"/>
        <w:outlineLvl w:val="9"/>
        <w:rPr>
          <w:rFonts w:hint="eastAsia" w:ascii="仿宋" w:hAnsi="仿宋" w:eastAsia="仿宋" w:cs="仿宋"/>
          <w:b/>
          <w:bCs w:val="0"/>
          <w:kern w:val="2"/>
          <w:sz w:val="28"/>
          <w:szCs w:val="28"/>
          <w:highlight w:val="none"/>
          <w:lang w:val="en-US" w:eastAsia="zh-CN" w:bidi="ar-SA"/>
        </w:rPr>
      </w:pPr>
      <w:r>
        <w:rPr>
          <w:rFonts w:hint="eastAsia" w:ascii="仿宋" w:hAnsi="仿宋" w:eastAsia="仿宋" w:cs="仿宋"/>
          <w:b/>
          <w:bCs w:val="0"/>
          <w:kern w:val="2"/>
          <w:sz w:val="28"/>
          <w:szCs w:val="28"/>
          <w:highlight w:val="none"/>
          <w:lang w:val="en-US" w:eastAsia="zh-CN" w:bidi="ar-SA"/>
        </w:rPr>
        <w:t>基础信息及自评报告复核情况表</w:t>
      </w:r>
    </w:p>
    <w:tbl>
      <w:tblPr>
        <w:tblStyle w:val="12"/>
        <w:tblW w:w="89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7440"/>
      </w:tblGrid>
      <w:tr w14:paraId="53D1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Align w:val="center"/>
          </w:tcPr>
          <w:p w14:paraId="00C4D60E">
            <w:pPr>
              <w:ind w:firstLine="0" w:firstLineChars="0"/>
              <w:jc w:val="center"/>
              <w:outlineLvl w:val="9"/>
              <w:rPr>
                <w:rFonts w:hint="eastAsia" w:ascii="仿宋" w:hAnsi="仿宋" w:eastAsia="仿宋" w:cs="仿宋"/>
                <w:sz w:val="21"/>
                <w:szCs w:val="21"/>
              </w:rPr>
            </w:pPr>
            <w:r>
              <w:rPr>
                <w:rFonts w:hint="eastAsia" w:ascii="仿宋" w:hAnsi="仿宋" w:eastAsia="仿宋" w:cs="仿宋"/>
                <w:sz w:val="21"/>
                <w:szCs w:val="21"/>
              </w:rPr>
              <w:t>单位名称</w:t>
            </w:r>
          </w:p>
        </w:tc>
        <w:tc>
          <w:tcPr>
            <w:tcW w:w="7440" w:type="dxa"/>
            <w:vAlign w:val="center"/>
          </w:tcPr>
          <w:p w14:paraId="2E512864">
            <w:pPr>
              <w:ind w:firstLine="0" w:firstLineChars="0"/>
              <w:jc w:val="both"/>
              <w:outlineLvl w:val="9"/>
              <w:rPr>
                <w:rFonts w:hint="default" w:ascii="仿宋" w:hAnsi="仿宋" w:eastAsia="仿宋" w:cs="仿宋"/>
                <w:sz w:val="21"/>
                <w:szCs w:val="21"/>
                <w:lang w:val="en-US"/>
              </w:rPr>
            </w:pPr>
            <w:r>
              <w:rPr>
                <w:rFonts w:hint="eastAsia" w:ascii="仿宋" w:hAnsi="仿宋" w:eastAsia="仿宋" w:cs="仿宋"/>
                <w:sz w:val="21"/>
                <w:szCs w:val="21"/>
              </w:rPr>
              <w:t>永济市</w:t>
            </w:r>
            <w:r>
              <w:rPr>
                <w:rFonts w:hint="eastAsia" w:ascii="仿宋" w:hAnsi="仿宋" w:eastAsia="仿宋" w:cs="仿宋"/>
                <w:sz w:val="21"/>
                <w:szCs w:val="21"/>
                <w:lang w:val="en-US" w:eastAsia="zh-CN"/>
              </w:rPr>
              <w:t>市场监督管理局</w:t>
            </w:r>
          </w:p>
        </w:tc>
      </w:tr>
      <w:tr w14:paraId="72A5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Merge w:val="restart"/>
            <w:vAlign w:val="center"/>
          </w:tcPr>
          <w:p w14:paraId="2C7C61E0">
            <w:pPr>
              <w:ind w:firstLine="0" w:firstLineChars="0"/>
              <w:jc w:val="center"/>
              <w:outlineLvl w:val="9"/>
              <w:rPr>
                <w:rFonts w:hint="eastAsia" w:ascii="仿宋" w:hAnsi="仿宋" w:eastAsia="仿宋" w:cs="仿宋"/>
                <w:sz w:val="21"/>
                <w:szCs w:val="21"/>
              </w:rPr>
            </w:pPr>
            <w:r>
              <w:rPr>
                <w:rFonts w:hint="eastAsia" w:ascii="仿宋" w:hAnsi="仿宋" w:eastAsia="仿宋" w:cs="仿宋"/>
                <w:sz w:val="21"/>
                <w:szCs w:val="21"/>
              </w:rPr>
              <w:t>财政资金</w:t>
            </w:r>
          </w:p>
        </w:tc>
        <w:tc>
          <w:tcPr>
            <w:tcW w:w="7440" w:type="dxa"/>
            <w:vAlign w:val="center"/>
          </w:tcPr>
          <w:p w14:paraId="3C729E08">
            <w:pPr>
              <w:ind w:firstLine="0" w:firstLineChars="0"/>
              <w:jc w:val="both"/>
              <w:outlineLvl w:val="9"/>
              <w:rPr>
                <w:rFonts w:hint="eastAsia" w:ascii="仿宋" w:hAnsi="仿宋" w:eastAsia="仿宋" w:cs="仿宋"/>
                <w:sz w:val="21"/>
                <w:szCs w:val="21"/>
                <w:lang w:val="en-US" w:eastAsia="zh-CN"/>
              </w:rPr>
            </w:pPr>
            <w:r>
              <w:rPr>
                <w:rFonts w:hint="eastAsia" w:ascii="仿宋" w:hAnsi="仿宋" w:eastAsia="仿宋" w:cs="仿宋"/>
                <w:sz w:val="21"/>
                <w:szCs w:val="21"/>
              </w:rPr>
              <w:t>年初结转结余：</w:t>
            </w:r>
            <w:r>
              <w:rPr>
                <w:rFonts w:hint="eastAsia" w:ascii="仿宋" w:hAnsi="仿宋" w:eastAsia="仿宋" w:cs="仿宋"/>
                <w:sz w:val="21"/>
                <w:szCs w:val="21"/>
                <w:lang w:val="en-US" w:eastAsia="zh-CN"/>
              </w:rPr>
              <w:t>0.00万元</w:t>
            </w:r>
          </w:p>
        </w:tc>
      </w:tr>
      <w:tr w14:paraId="38F9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Merge w:val="continue"/>
            <w:vAlign w:val="center"/>
          </w:tcPr>
          <w:p w14:paraId="3091FC18">
            <w:pPr>
              <w:ind w:firstLine="0" w:firstLineChars="0"/>
              <w:jc w:val="both"/>
              <w:outlineLvl w:val="9"/>
              <w:rPr>
                <w:rFonts w:hint="eastAsia" w:ascii="仿宋" w:hAnsi="仿宋" w:eastAsia="仿宋" w:cs="仿宋"/>
                <w:sz w:val="21"/>
                <w:szCs w:val="21"/>
              </w:rPr>
            </w:pPr>
          </w:p>
        </w:tc>
        <w:tc>
          <w:tcPr>
            <w:tcW w:w="7440" w:type="dxa"/>
            <w:vAlign w:val="center"/>
          </w:tcPr>
          <w:p w14:paraId="56E1DC34">
            <w:pPr>
              <w:ind w:firstLine="0" w:firstLineChars="0"/>
              <w:jc w:val="both"/>
              <w:outlineLvl w:val="9"/>
              <w:rPr>
                <w:rFonts w:hint="eastAsia" w:ascii="仿宋" w:hAnsi="仿宋" w:eastAsia="仿宋" w:cs="仿宋"/>
                <w:sz w:val="21"/>
                <w:szCs w:val="21"/>
              </w:rPr>
            </w:pPr>
            <w:r>
              <w:rPr>
                <w:rFonts w:hint="eastAsia" w:ascii="仿宋" w:hAnsi="仿宋" w:eastAsia="仿宋" w:cs="仿宋"/>
                <w:sz w:val="21"/>
                <w:szCs w:val="21"/>
              </w:rPr>
              <w:t>本年总收入：</w:t>
            </w:r>
            <w:r>
              <w:rPr>
                <w:rFonts w:hint="eastAsia" w:ascii="仿宋" w:hAnsi="仿宋" w:eastAsia="仿宋" w:cs="仿宋"/>
                <w:sz w:val="21"/>
                <w:szCs w:val="21"/>
                <w:lang w:val="en-US" w:eastAsia="zh-CN"/>
              </w:rPr>
              <w:t>2,375.78</w:t>
            </w:r>
            <w:r>
              <w:rPr>
                <w:rFonts w:hint="eastAsia" w:ascii="仿宋" w:hAnsi="仿宋" w:eastAsia="仿宋" w:cs="仿宋"/>
                <w:sz w:val="21"/>
                <w:szCs w:val="21"/>
              </w:rPr>
              <w:t>万元</w:t>
            </w:r>
          </w:p>
        </w:tc>
      </w:tr>
      <w:tr w14:paraId="5B71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Merge w:val="continue"/>
            <w:vAlign w:val="center"/>
          </w:tcPr>
          <w:p w14:paraId="78BD56F7">
            <w:pPr>
              <w:ind w:firstLine="0" w:firstLineChars="0"/>
              <w:jc w:val="both"/>
              <w:outlineLvl w:val="9"/>
              <w:rPr>
                <w:rFonts w:hint="eastAsia" w:ascii="仿宋" w:hAnsi="仿宋" w:eastAsia="仿宋" w:cs="仿宋"/>
                <w:sz w:val="21"/>
                <w:szCs w:val="21"/>
              </w:rPr>
            </w:pPr>
          </w:p>
        </w:tc>
        <w:tc>
          <w:tcPr>
            <w:tcW w:w="7440" w:type="dxa"/>
            <w:vAlign w:val="center"/>
          </w:tcPr>
          <w:p w14:paraId="4977103E">
            <w:pPr>
              <w:ind w:firstLine="0" w:firstLineChars="0"/>
              <w:jc w:val="both"/>
              <w:outlineLvl w:val="9"/>
              <w:rPr>
                <w:rFonts w:hint="eastAsia" w:ascii="仿宋" w:hAnsi="仿宋" w:eastAsia="仿宋" w:cs="仿宋"/>
                <w:sz w:val="21"/>
                <w:szCs w:val="21"/>
              </w:rPr>
            </w:pPr>
            <w:r>
              <w:rPr>
                <w:rFonts w:hint="eastAsia" w:ascii="仿宋" w:hAnsi="仿宋" w:eastAsia="仿宋" w:cs="仿宋"/>
                <w:sz w:val="21"/>
                <w:szCs w:val="21"/>
              </w:rPr>
              <w:t>本年总支出：</w:t>
            </w:r>
            <w:r>
              <w:rPr>
                <w:rFonts w:hint="eastAsia" w:ascii="仿宋" w:hAnsi="仿宋" w:eastAsia="仿宋" w:cs="仿宋"/>
                <w:sz w:val="21"/>
                <w:szCs w:val="21"/>
                <w:lang w:val="en-US" w:eastAsia="zh-CN"/>
              </w:rPr>
              <w:t>2,358.90</w:t>
            </w:r>
            <w:r>
              <w:rPr>
                <w:rFonts w:hint="eastAsia" w:ascii="仿宋" w:hAnsi="仿宋" w:eastAsia="仿宋" w:cs="仿宋"/>
                <w:sz w:val="21"/>
                <w:szCs w:val="21"/>
              </w:rPr>
              <w:t>万元</w:t>
            </w:r>
          </w:p>
        </w:tc>
      </w:tr>
      <w:tr w14:paraId="671D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0" w:type="dxa"/>
            <w:vAlign w:val="center"/>
          </w:tcPr>
          <w:p w14:paraId="37F529A9">
            <w:pPr>
              <w:ind w:firstLine="0" w:firstLineChars="0"/>
              <w:jc w:val="center"/>
              <w:outlineLvl w:val="9"/>
              <w:rPr>
                <w:rFonts w:hint="eastAsia" w:ascii="仿宋" w:hAnsi="仿宋" w:eastAsia="仿宋" w:cs="仿宋"/>
                <w:sz w:val="21"/>
                <w:szCs w:val="21"/>
              </w:rPr>
            </w:pPr>
            <w:r>
              <w:rPr>
                <w:rFonts w:hint="eastAsia" w:ascii="仿宋" w:hAnsi="仿宋" w:eastAsia="仿宋" w:cs="仿宋"/>
                <w:sz w:val="21"/>
                <w:szCs w:val="21"/>
              </w:rPr>
              <w:t>实施期间</w:t>
            </w:r>
          </w:p>
        </w:tc>
        <w:tc>
          <w:tcPr>
            <w:tcW w:w="7440" w:type="dxa"/>
            <w:vAlign w:val="center"/>
          </w:tcPr>
          <w:p w14:paraId="6D375AF4">
            <w:pPr>
              <w:ind w:firstLine="0" w:firstLineChars="0"/>
              <w:jc w:val="both"/>
              <w:outlineLvl w:val="9"/>
              <w:rPr>
                <w:rFonts w:hint="eastAsia" w:ascii="仿宋" w:hAnsi="仿宋" w:eastAsia="仿宋" w:cs="仿宋"/>
                <w:sz w:val="21"/>
                <w:szCs w:val="21"/>
              </w:rPr>
            </w:pPr>
            <w:r>
              <w:rPr>
                <w:rFonts w:hint="eastAsia" w:ascii="仿宋" w:hAnsi="仿宋" w:eastAsia="仿宋" w:cs="仿宋"/>
                <w:sz w:val="21"/>
                <w:szCs w:val="21"/>
              </w:rPr>
              <w:t>202</w:t>
            </w:r>
            <w:r>
              <w:rPr>
                <w:rFonts w:hint="eastAsia" w:ascii="仿宋" w:hAnsi="仿宋" w:eastAsia="仿宋" w:cs="仿宋"/>
                <w:sz w:val="21"/>
                <w:szCs w:val="21"/>
                <w:lang w:val="en-US" w:eastAsia="zh-CN"/>
              </w:rPr>
              <w:t>3</w:t>
            </w:r>
            <w:r>
              <w:rPr>
                <w:rFonts w:hint="eastAsia" w:ascii="仿宋" w:hAnsi="仿宋" w:eastAsia="仿宋" w:cs="仿宋"/>
                <w:sz w:val="21"/>
                <w:szCs w:val="21"/>
              </w:rPr>
              <w:t>.1-202</w:t>
            </w:r>
            <w:r>
              <w:rPr>
                <w:rFonts w:hint="eastAsia" w:ascii="仿宋" w:hAnsi="仿宋" w:eastAsia="仿宋" w:cs="仿宋"/>
                <w:sz w:val="21"/>
                <w:szCs w:val="21"/>
                <w:lang w:val="en-US" w:eastAsia="zh-CN"/>
              </w:rPr>
              <w:t>3</w:t>
            </w:r>
            <w:r>
              <w:rPr>
                <w:rFonts w:hint="eastAsia" w:ascii="仿宋" w:hAnsi="仿宋" w:eastAsia="仿宋" w:cs="仿宋"/>
                <w:sz w:val="21"/>
                <w:szCs w:val="21"/>
              </w:rPr>
              <w:t>.12</w:t>
            </w:r>
          </w:p>
        </w:tc>
      </w:tr>
      <w:tr w14:paraId="20D6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960" w:type="dxa"/>
            <w:gridSpan w:val="2"/>
            <w:vAlign w:val="center"/>
          </w:tcPr>
          <w:p w14:paraId="14A24DA9">
            <w:pPr>
              <w:ind w:firstLine="0" w:firstLineChars="0"/>
              <w:jc w:val="both"/>
              <w:outlineLvl w:val="9"/>
              <w:rPr>
                <w:rFonts w:hint="eastAsia" w:ascii="仿宋" w:hAnsi="仿宋" w:eastAsia="仿宋" w:cs="仿宋"/>
                <w:sz w:val="21"/>
                <w:szCs w:val="21"/>
              </w:rPr>
            </w:pPr>
            <w:r>
              <w:rPr>
                <w:rFonts w:hint="eastAsia" w:ascii="仿宋" w:hAnsi="仿宋" w:eastAsia="仿宋" w:cs="仿宋"/>
                <w:sz w:val="21"/>
                <w:szCs w:val="21"/>
              </w:rPr>
              <w:t>一、基本情况</w:t>
            </w:r>
          </w:p>
          <w:p w14:paraId="2C5DFBFE">
            <w:pPr>
              <w:ind w:firstLine="357" w:firstLineChars="0"/>
              <w:jc w:val="both"/>
              <w:outlineLvl w:val="9"/>
              <w:rPr>
                <w:rFonts w:hint="eastAsia" w:ascii="仿宋" w:hAnsi="仿宋" w:eastAsia="仿宋" w:cs="仿宋"/>
                <w:sz w:val="21"/>
                <w:szCs w:val="21"/>
              </w:rPr>
            </w:pPr>
            <w:r>
              <w:rPr>
                <w:rFonts w:hint="eastAsia" w:ascii="仿宋" w:hAnsi="仿宋" w:eastAsia="仿宋" w:cs="仿宋"/>
                <w:sz w:val="21"/>
                <w:szCs w:val="21"/>
              </w:rPr>
              <w:t>永济市市场监督管理局属行政单位，机构性质为机关，位于永济市迎新东街61号，单位负责人：孙文伟，统一社会信用代码：11141081356677602U。内设机构</w:t>
            </w:r>
            <w:r>
              <w:rPr>
                <w:rFonts w:hint="eastAsia" w:ascii="仿宋" w:hAnsi="仿宋" w:eastAsia="仿宋" w:cs="仿宋"/>
                <w:sz w:val="21"/>
                <w:szCs w:val="21"/>
                <w:lang w:val="en-US" w:eastAsia="zh-CN"/>
              </w:rPr>
              <w:t>共</w:t>
            </w:r>
            <w:r>
              <w:rPr>
                <w:rFonts w:hint="eastAsia" w:ascii="仿宋" w:hAnsi="仿宋" w:eastAsia="仿宋" w:cs="仿宋"/>
                <w:sz w:val="21"/>
                <w:szCs w:val="21"/>
              </w:rPr>
              <w:t>有22个股室：包括办公室、人事股、法制股、行政审批股、信用监督管理股、消费者权益保护和市场交易监督管理股、反垄断和反不正当竞争股（规范直销与打击传销办公室）、价格监督管理股、网络交易监督管理股、广告监督管理股、质量管理股、食品安全协调股（食品安全委员会办公室）、食品监督管理股、药品器械监督管理股、特殊食品化妆品监督管理股、药械化妆品不良反应监测股特种设备安全监察股、计量和标准化管理股、知识产权保护发展股、财务股、宣传与应急管理股、非公经济组织党建工作股、党建办公室，另设10个派出机构，分别为城东街道监督管理站、城西街道监督管理站、城北街道监督管理站、虞乡镇监督管理站、卿头镇监督管理站、开张镇监督管理站、栲栳镇监督管理站、张营镇监督管理站、蒲州镇监督管理站、韩阳镇监督管理站。</w:t>
            </w:r>
          </w:p>
          <w:p w14:paraId="0E2F9A57">
            <w:pPr>
              <w:ind w:firstLine="357" w:firstLineChars="0"/>
              <w:jc w:val="both"/>
              <w:outlineLvl w:val="9"/>
              <w:rPr>
                <w:rFonts w:hint="eastAsia" w:ascii="仿宋" w:hAnsi="仿宋" w:eastAsia="仿宋" w:cs="仿宋"/>
                <w:sz w:val="21"/>
                <w:szCs w:val="21"/>
              </w:rPr>
            </w:pPr>
            <w:r>
              <w:rPr>
                <w:rFonts w:hint="eastAsia" w:ascii="仿宋" w:hAnsi="仿宋" w:eastAsia="仿宋" w:cs="仿宋"/>
                <w:sz w:val="21"/>
                <w:szCs w:val="21"/>
              </w:rPr>
              <w:t>2023年底</w:t>
            </w:r>
            <w:r>
              <w:rPr>
                <w:rFonts w:hint="eastAsia" w:ascii="仿宋" w:hAnsi="仿宋" w:eastAsia="仿宋" w:cs="仿宋"/>
                <w:sz w:val="21"/>
                <w:szCs w:val="21"/>
                <w:lang w:val="en-US" w:eastAsia="zh-CN"/>
              </w:rPr>
              <w:t>永济市</w:t>
            </w:r>
            <w:r>
              <w:rPr>
                <w:rFonts w:hint="eastAsia" w:ascii="仿宋" w:hAnsi="仿宋" w:eastAsia="仿宋" w:cs="仿宋"/>
                <w:sz w:val="21"/>
                <w:szCs w:val="21"/>
              </w:rPr>
              <w:t>市场监督管理局共有编制153名，在职人员共185人。其中：行政编76名，在职人员69人；事业编77名，在职人员105人；行政工勤11人。</w:t>
            </w:r>
          </w:p>
          <w:p w14:paraId="2BD575D4">
            <w:pPr>
              <w:ind w:firstLine="0" w:firstLineChars="0"/>
              <w:jc w:val="both"/>
              <w:outlineLvl w:val="9"/>
              <w:rPr>
                <w:rFonts w:hint="eastAsia" w:ascii="仿宋" w:hAnsi="仿宋" w:eastAsia="仿宋" w:cs="仿宋"/>
                <w:sz w:val="21"/>
                <w:szCs w:val="21"/>
              </w:rPr>
            </w:pPr>
            <w:r>
              <w:rPr>
                <w:rFonts w:hint="eastAsia" w:ascii="仿宋" w:hAnsi="仿宋" w:eastAsia="仿宋" w:cs="仿宋"/>
                <w:sz w:val="21"/>
                <w:szCs w:val="21"/>
              </w:rPr>
              <w:t>二、绩效目标</w:t>
            </w:r>
          </w:p>
          <w:p w14:paraId="4EC10299">
            <w:pPr>
              <w:ind w:firstLine="0" w:firstLineChars="0"/>
              <w:jc w:val="both"/>
              <w:outlineLvl w:val="9"/>
              <w:rPr>
                <w:rFonts w:hint="eastAsia" w:ascii="仿宋" w:hAnsi="仿宋" w:eastAsia="仿宋" w:cs="仿宋"/>
                <w:sz w:val="21"/>
                <w:szCs w:val="21"/>
              </w:rPr>
            </w:pPr>
            <w:r>
              <w:rPr>
                <w:rFonts w:hint="eastAsia" w:ascii="仿宋" w:hAnsi="仿宋" w:eastAsia="仿宋" w:cs="仿宋"/>
                <w:sz w:val="21"/>
                <w:szCs w:val="21"/>
              </w:rPr>
              <w:t>1.总体目标</w:t>
            </w:r>
          </w:p>
          <w:p w14:paraId="63A476F9">
            <w:pPr>
              <w:ind w:firstLine="420" w:firstLineChars="200"/>
              <w:jc w:val="both"/>
              <w:outlineLvl w:val="9"/>
              <w:rPr>
                <w:rFonts w:hint="eastAsia" w:ascii="仿宋" w:hAnsi="仿宋" w:eastAsia="仿宋" w:cs="仿宋"/>
                <w:sz w:val="21"/>
                <w:szCs w:val="21"/>
              </w:rPr>
            </w:pPr>
            <w:r>
              <w:rPr>
                <w:rFonts w:hint="eastAsia" w:ascii="仿宋" w:hAnsi="仿宋" w:eastAsia="仿宋" w:cs="仿宋"/>
                <w:sz w:val="21"/>
                <w:szCs w:val="21"/>
              </w:rPr>
              <w:t>扎实推进市场监管领域各项重点工作任务，充分发挥综合协调作用，深入推进隐患排查治理，坚决扛起防范化解重大风险政治任务。围绕加快转型、振兴崛起，紧盯构建“543”现代产业矩阵，聚焦质量强市、服务优商、安全兴业、监管守正、作风务实5个工作路径，持续提升监管效能，优化营商环境，激发市场活力。为全市人民群众提供安全可靠的生活环境，为全市经营单位提供安全可靠的营商环境，最大程度为我市经济社会高质量发展贡献市场监管部门的力量。</w:t>
            </w:r>
          </w:p>
          <w:p w14:paraId="23B5F3A1">
            <w:pPr>
              <w:ind w:firstLine="0" w:firstLineChars="0"/>
              <w:jc w:val="both"/>
              <w:outlineLvl w:val="9"/>
              <w:rPr>
                <w:rFonts w:hint="eastAsia" w:ascii="仿宋" w:hAnsi="仿宋" w:eastAsia="仿宋" w:cs="仿宋"/>
                <w:sz w:val="21"/>
                <w:szCs w:val="21"/>
              </w:rPr>
            </w:pPr>
            <w:r>
              <w:rPr>
                <w:rFonts w:hint="eastAsia" w:ascii="仿宋" w:hAnsi="仿宋" w:eastAsia="仿宋" w:cs="仿宋"/>
                <w:sz w:val="21"/>
                <w:szCs w:val="21"/>
              </w:rPr>
              <w:t>2.年度任务</w:t>
            </w:r>
          </w:p>
          <w:p w14:paraId="4532A66F">
            <w:pPr>
              <w:pStyle w:val="2"/>
              <w:outlineLvl w:val="9"/>
              <w:rPr>
                <w:rFonts w:hint="eastAsia"/>
                <w:sz w:val="21"/>
                <w:szCs w:val="21"/>
              </w:rPr>
            </w:pPr>
            <w:r>
              <w:rPr>
                <w:rFonts w:hint="eastAsia"/>
                <w:sz w:val="21"/>
                <w:szCs w:val="21"/>
              </w:rPr>
              <w:t>（1）工业产品等抽检批次≥320批次。</w:t>
            </w:r>
          </w:p>
          <w:p w14:paraId="11B5CCFE">
            <w:pPr>
              <w:pStyle w:val="2"/>
              <w:outlineLvl w:val="9"/>
              <w:rPr>
                <w:rFonts w:hint="eastAsia"/>
                <w:sz w:val="21"/>
                <w:szCs w:val="21"/>
              </w:rPr>
            </w:pPr>
            <w:r>
              <w:rPr>
                <w:rFonts w:hint="eastAsia"/>
                <w:sz w:val="21"/>
                <w:szCs w:val="21"/>
              </w:rPr>
              <w:t>（2）专业领域业务培训次数≥1次。</w:t>
            </w:r>
          </w:p>
          <w:p w14:paraId="293488BB">
            <w:pPr>
              <w:pStyle w:val="2"/>
              <w:outlineLvl w:val="9"/>
              <w:rPr>
                <w:rFonts w:hint="eastAsia"/>
                <w:sz w:val="21"/>
                <w:szCs w:val="21"/>
              </w:rPr>
            </w:pPr>
            <w:r>
              <w:rPr>
                <w:rFonts w:hint="eastAsia"/>
                <w:sz w:val="21"/>
                <w:szCs w:val="21"/>
              </w:rPr>
              <w:t>（3）下乡检查业务工作次数≥300次。</w:t>
            </w:r>
          </w:p>
          <w:p w14:paraId="368CE1EE">
            <w:pPr>
              <w:pStyle w:val="2"/>
              <w:outlineLvl w:val="9"/>
              <w:rPr>
                <w:rFonts w:hint="eastAsia"/>
                <w:sz w:val="21"/>
                <w:szCs w:val="21"/>
              </w:rPr>
            </w:pPr>
            <w:r>
              <w:rPr>
                <w:rFonts w:hint="eastAsia"/>
                <w:sz w:val="21"/>
                <w:szCs w:val="21"/>
              </w:rPr>
              <w:t>（4）购置执法制式服装和标识≤72套。</w:t>
            </w:r>
          </w:p>
          <w:p w14:paraId="20A9DE61">
            <w:pPr>
              <w:pStyle w:val="2"/>
              <w:outlineLvl w:val="9"/>
              <w:rPr>
                <w:rFonts w:hint="eastAsia"/>
                <w:sz w:val="21"/>
                <w:szCs w:val="21"/>
              </w:rPr>
            </w:pPr>
            <w:r>
              <w:rPr>
                <w:rFonts w:hint="eastAsia"/>
                <w:sz w:val="21"/>
                <w:szCs w:val="21"/>
              </w:rPr>
              <w:t>（5）</w:t>
            </w:r>
            <w:r>
              <w:rPr>
                <w:rFonts w:hint="eastAsia"/>
                <w:sz w:val="21"/>
                <w:szCs w:val="21"/>
                <w:lang w:val="en-US" w:eastAsia="zh-CN"/>
              </w:rPr>
              <w:t>资金用于</w:t>
            </w:r>
            <w:r>
              <w:rPr>
                <w:rFonts w:hint="eastAsia"/>
                <w:sz w:val="21"/>
                <w:szCs w:val="21"/>
              </w:rPr>
              <w:t>监管基层所数量</w:t>
            </w:r>
            <w:r>
              <w:rPr>
                <w:rFonts w:hint="eastAsia"/>
                <w:sz w:val="21"/>
                <w:szCs w:val="21"/>
                <w:lang w:val="en-US" w:eastAsia="zh-CN"/>
              </w:rPr>
              <w:t>10个</w:t>
            </w:r>
            <w:r>
              <w:rPr>
                <w:rFonts w:hint="eastAsia"/>
                <w:sz w:val="21"/>
                <w:szCs w:val="21"/>
              </w:rPr>
              <w:t>。</w:t>
            </w:r>
          </w:p>
          <w:p w14:paraId="3754BF92">
            <w:pPr>
              <w:pStyle w:val="2"/>
              <w:outlineLvl w:val="9"/>
              <w:rPr>
                <w:rFonts w:hint="eastAsia" w:eastAsia="仿宋_GB2312"/>
                <w:sz w:val="21"/>
                <w:szCs w:val="21"/>
                <w:lang w:eastAsia="zh-CN"/>
              </w:rPr>
            </w:pPr>
            <w:r>
              <w:rPr>
                <w:rFonts w:hint="eastAsia"/>
                <w:sz w:val="21"/>
                <w:szCs w:val="21"/>
              </w:rPr>
              <w:t>（6）执法检查工作完成率100%</w:t>
            </w:r>
            <w:r>
              <w:rPr>
                <w:rFonts w:hint="eastAsia"/>
                <w:sz w:val="21"/>
                <w:szCs w:val="21"/>
                <w:lang w:eastAsia="zh-CN"/>
              </w:rPr>
              <w:t>。</w:t>
            </w:r>
          </w:p>
          <w:p w14:paraId="4A979609">
            <w:pPr>
              <w:pStyle w:val="2"/>
              <w:outlineLvl w:val="9"/>
              <w:rPr>
                <w:rFonts w:hint="default" w:eastAsia="仿宋_GB2312"/>
                <w:sz w:val="21"/>
                <w:szCs w:val="21"/>
                <w:lang w:val="en-US" w:eastAsia="zh-CN"/>
              </w:rPr>
            </w:pPr>
            <w:r>
              <w:rPr>
                <w:rFonts w:hint="eastAsia"/>
                <w:sz w:val="21"/>
                <w:szCs w:val="21"/>
              </w:rPr>
              <w:t>（</w:t>
            </w:r>
            <w:r>
              <w:rPr>
                <w:rFonts w:hint="eastAsia"/>
                <w:sz w:val="21"/>
                <w:szCs w:val="21"/>
                <w:lang w:val="en-US" w:eastAsia="zh-CN"/>
              </w:rPr>
              <w:t>7</w:t>
            </w:r>
            <w:r>
              <w:rPr>
                <w:rFonts w:hint="eastAsia"/>
                <w:sz w:val="21"/>
                <w:szCs w:val="21"/>
              </w:rPr>
              <w:t>）公务用车数量</w:t>
            </w:r>
            <w:r>
              <w:rPr>
                <w:rFonts w:hint="eastAsia"/>
                <w:sz w:val="21"/>
                <w:szCs w:val="21"/>
                <w:lang w:val="en-US" w:eastAsia="zh-CN"/>
              </w:rPr>
              <w:t>14辆。</w:t>
            </w:r>
          </w:p>
          <w:p w14:paraId="61C5BDB3">
            <w:pPr>
              <w:pStyle w:val="2"/>
              <w:outlineLvl w:val="9"/>
              <w:rPr>
                <w:rFonts w:hint="eastAsia"/>
                <w:sz w:val="21"/>
                <w:szCs w:val="21"/>
                <w:lang w:val="en-US" w:eastAsia="zh-CN"/>
              </w:rPr>
            </w:pPr>
            <w:r>
              <w:rPr>
                <w:rFonts w:hint="eastAsia"/>
                <w:sz w:val="21"/>
                <w:szCs w:val="21"/>
              </w:rPr>
              <w:t>（</w:t>
            </w:r>
            <w:r>
              <w:rPr>
                <w:rFonts w:hint="eastAsia"/>
                <w:sz w:val="21"/>
                <w:szCs w:val="21"/>
                <w:lang w:val="en-US" w:eastAsia="zh-CN"/>
              </w:rPr>
              <w:t>8</w:t>
            </w:r>
            <w:r>
              <w:rPr>
                <w:rFonts w:hint="eastAsia"/>
                <w:sz w:val="21"/>
                <w:szCs w:val="21"/>
              </w:rPr>
              <w:t>）监管值班值守天数</w:t>
            </w:r>
            <w:r>
              <w:rPr>
                <w:rFonts w:hint="eastAsia"/>
                <w:sz w:val="21"/>
                <w:szCs w:val="21"/>
                <w:lang w:val="en-US" w:eastAsia="zh-CN"/>
              </w:rPr>
              <w:t>1年。</w:t>
            </w:r>
          </w:p>
          <w:p w14:paraId="4B7CBC1D">
            <w:pPr>
              <w:pStyle w:val="2"/>
              <w:outlineLvl w:val="9"/>
              <w:rPr>
                <w:rFonts w:hint="default" w:eastAsia="仿宋_GB2312"/>
                <w:lang w:val="en-US" w:eastAsia="zh-CN"/>
              </w:rPr>
            </w:pPr>
            <w:r>
              <w:rPr>
                <w:rFonts w:hint="eastAsia"/>
                <w:sz w:val="21"/>
                <w:szCs w:val="21"/>
              </w:rPr>
              <w:t>（</w:t>
            </w:r>
            <w:r>
              <w:rPr>
                <w:rFonts w:hint="eastAsia"/>
                <w:sz w:val="21"/>
                <w:szCs w:val="21"/>
                <w:lang w:val="en-US" w:eastAsia="zh-CN"/>
              </w:rPr>
              <w:t>9</w:t>
            </w:r>
            <w:r>
              <w:rPr>
                <w:rFonts w:hint="eastAsia"/>
                <w:sz w:val="21"/>
                <w:szCs w:val="21"/>
              </w:rPr>
              <w:t>）人员经费供养人员数量</w:t>
            </w:r>
            <w:r>
              <w:rPr>
                <w:rFonts w:hint="eastAsia"/>
                <w:sz w:val="21"/>
                <w:szCs w:val="21"/>
                <w:lang w:val="en-US" w:eastAsia="zh-CN"/>
              </w:rPr>
              <w:t>184人。</w:t>
            </w:r>
          </w:p>
        </w:tc>
      </w:tr>
    </w:tbl>
    <w:p w14:paraId="4A467EA7">
      <w:pPr>
        <w:pStyle w:val="2"/>
        <w:ind w:firstLine="560" w:firstLineChars="200"/>
        <w:outlineLvl w:val="9"/>
        <w:rPr>
          <w:rFonts w:hint="default" w:ascii="仿宋" w:hAnsi="仿宋" w:eastAsia="仿宋" w:cs="仿宋"/>
          <w:kern w:val="2"/>
          <w:sz w:val="28"/>
          <w:szCs w:val="28"/>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4C2F8C4">
      <w:pPr>
        <w:pStyle w:val="5"/>
        <w:keepNext w:val="0"/>
        <w:keepLines w:val="0"/>
        <w:pageBreakBefore w:val="0"/>
        <w:widowControl w:val="0"/>
        <w:kinsoku/>
        <w:wordWrap/>
        <w:overflowPunct/>
        <w:topLinePunct w:val="0"/>
        <w:autoSpaceDE/>
        <w:autoSpaceDN/>
        <w:bidi w:val="0"/>
        <w:adjustRightInd/>
        <w:snapToGrid/>
        <w:spacing w:before="0" w:beforeAutospacing="0" w:after="0" w:line="240" w:lineRule="auto"/>
        <w:ind w:left="0" w:leftChars="0" w:right="0" w:rightChars="0"/>
        <w:jc w:val="left"/>
        <w:textAlignment w:val="auto"/>
        <w:outlineLvl w:val="1"/>
        <w:rPr>
          <w:rFonts w:hint="default" w:ascii="仿宋" w:hAnsi="仿宋" w:eastAsia="仿宋" w:cs="仿宋"/>
          <w:b w:val="0"/>
          <w:bCs/>
          <w:kern w:val="2"/>
          <w:sz w:val="22"/>
          <w:szCs w:val="22"/>
          <w:highlight w:val="none"/>
          <w:lang w:val="en-US" w:eastAsia="zh-CN" w:bidi="ar-SA"/>
        </w:rPr>
      </w:pPr>
      <w:bookmarkStart w:id="211" w:name="_Toc8433"/>
      <w:bookmarkStart w:id="212" w:name="_Toc14391"/>
      <w:r>
        <w:rPr>
          <w:rFonts w:hint="eastAsia" w:ascii="仿宋" w:hAnsi="仿宋" w:eastAsia="仿宋" w:cs="仿宋"/>
          <w:b w:val="0"/>
          <w:bCs/>
          <w:kern w:val="2"/>
          <w:sz w:val="22"/>
          <w:szCs w:val="22"/>
          <w:highlight w:val="none"/>
          <w:lang w:val="en-US" w:eastAsia="zh-CN" w:bidi="ar-SA"/>
        </w:rPr>
        <w:t>附件6：部门整体支出合规性检查</w:t>
      </w:r>
      <w:bookmarkEnd w:id="211"/>
      <w:bookmarkEnd w:id="212"/>
    </w:p>
    <w:p w14:paraId="26D321A1">
      <w:pPr>
        <w:pStyle w:val="5"/>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right="0" w:rightChars="0"/>
        <w:jc w:val="center"/>
        <w:textAlignment w:val="auto"/>
        <w:outlineLvl w:val="9"/>
        <w:rPr>
          <w:rFonts w:hint="eastAsia" w:ascii="仿宋" w:hAnsi="仿宋" w:eastAsia="仿宋" w:cs="仿宋"/>
          <w:b/>
          <w:kern w:val="2"/>
          <w:sz w:val="32"/>
          <w:szCs w:val="24"/>
          <w:lang w:val="en-US" w:eastAsia="zh-CN" w:bidi="ar-SA"/>
        </w:rPr>
      </w:pPr>
      <w:r>
        <w:rPr>
          <w:rFonts w:hint="eastAsia" w:ascii="仿宋" w:hAnsi="仿宋" w:eastAsia="仿宋" w:cs="仿宋"/>
          <w:b/>
          <w:kern w:val="2"/>
          <w:sz w:val="32"/>
          <w:szCs w:val="24"/>
          <w:lang w:val="en-US" w:eastAsia="zh-CN" w:bidi="ar-SA"/>
        </w:rPr>
        <w:t>整体支出绩效评价合规性检查</w:t>
      </w:r>
    </w:p>
    <w:p w14:paraId="7334BFCD">
      <w:pPr>
        <w:pStyle w:val="5"/>
        <w:keepNext w:val="0"/>
        <w:keepLines w:val="0"/>
        <w:pageBreakBefore w:val="0"/>
        <w:widowControl w:val="0"/>
        <w:kinsoku/>
        <w:wordWrap/>
        <w:overflowPunct/>
        <w:topLinePunct w:val="0"/>
        <w:autoSpaceDE/>
        <w:autoSpaceDN/>
        <w:bidi w:val="0"/>
        <w:adjustRightInd/>
        <w:snapToGrid/>
        <w:spacing w:before="0" w:beforeAutospacing="0" w:line="560" w:lineRule="exact"/>
        <w:ind w:left="0" w:leftChars="0" w:right="1470" w:firstLine="562" w:firstLineChars="200"/>
        <w:textAlignment w:val="auto"/>
        <w:outlineLvl w:val="0"/>
        <w:rPr>
          <w:rFonts w:hint="eastAsia" w:ascii="仿宋" w:hAnsi="仿宋" w:eastAsia="仿宋" w:cs="仿宋"/>
          <w:b/>
          <w:bCs w:val="0"/>
          <w:kern w:val="2"/>
          <w:sz w:val="28"/>
          <w:szCs w:val="28"/>
          <w:lang w:val="en-US" w:eastAsia="zh-CN" w:bidi="ar"/>
        </w:rPr>
      </w:pPr>
      <w:bookmarkStart w:id="213" w:name="_Toc22"/>
      <w:bookmarkStart w:id="214" w:name="_Toc9548"/>
      <w:r>
        <w:rPr>
          <w:rFonts w:hint="eastAsia" w:ascii="仿宋" w:hAnsi="仿宋" w:eastAsia="仿宋" w:cs="仿宋"/>
          <w:b/>
          <w:bCs w:val="0"/>
          <w:kern w:val="2"/>
          <w:sz w:val="28"/>
          <w:szCs w:val="28"/>
          <w:lang w:val="en-US" w:eastAsia="zh-CN" w:bidi="ar"/>
        </w:rPr>
        <w:t>一、合规性检查对象</w:t>
      </w:r>
      <w:bookmarkEnd w:id="213"/>
      <w:bookmarkEnd w:id="214"/>
    </w:p>
    <w:p w14:paraId="60199D61">
      <w:pPr>
        <w:keepNext w:val="0"/>
        <w:keepLines w:val="0"/>
        <w:pageBreakBefore w:val="0"/>
        <w:kinsoku/>
        <w:wordWrap/>
        <w:overflowPunct/>
        <w:topLinePunct w:val="0"/>
        <w:autoSpaceDE/>
        <w:autoSpaceDN/>
        <w:bidi w:val="0"/>
        <w:adjustRightInd/>
        <w:spacing w:line="560" w:lineRule="exact"/>
        <w:ind w:firstLine="560" w:firstLineChars="200"/>
        <w:textAlignment w:val="auto"/>
        <w:outlineLvl w:val="9"/>
        <w:rPr>
          <w:rFonts w:hint="eastAsia" w:ascii="仿宋" w:hAnsi="仿宋" w:eastAsia="仿宋" w:cs="仿宋"/>
          <w:bCs/>
          <w:sz w:val="28"/>
          <w:szCs w:val="28"/>
          <w:highlight w:val="none"/>
          <w:lang w:val="en-US" w:eastAsia="zh-CN" w:bidi="ar"/>
        </w:rPr>
      </w:pPr>
      <w:r>
        <w:rPr>
          <w:rFonts w:hint="eastAsia" w:ascii="仿宋" w:hAnsi="仿宋" w:eastAsia="仿宋" w:cs="仿宋"/>
          <w:bCs/>
          <w:kern w:val="2"/>
          <w:sz w:val="28"/>
          <w:szCs w:val="28"/>
          <w:lang w:val="en-US" w:eastAsia="zh-CN" w:bidi="ar"/>
        </w:rPr>
        <w:t>本次绩效评价整体支出合规性检查对象为</w:t>
      </w:r>
      <w:r>
        <w:rPr>
          <w:rFonts w:hint="eastAsia" w:ascii="仿宋" w:hAnsi="仿宋" w:eastAsia="仿宋" w:cs="仿宋"/>
          <w:bCs/>
          <w:sz w:val="28"/>
          <w:szCs w:val="28"/>
          <w:highlight w:val="none"/>
          <w:lang w:eastAsia="zh-CN" w:bidi="ar"/>
        </w:rPr>
        <w:t>永济市</w:t>
      </w:r>
      <w:r>
        <w:rPr>
          <w:rFonts w:hint="eastAsia" w:ascii="仿宋" w:hAnsi="仿宋" w:eastAsia="仿宋" w:cs="仿宋"/>
          <w:bCs/>
          <w:sz w:val="28"/>
          <w:szCs w:val="28"/>
          <w:highlight w:val="none"/>
          <w:lang w:val="en-US" w:eastAsia="zh-CN" w:bidi="ar"/>
        </w:rPr>
        <w:t>市场监督管理局2023年部门整体支出资金的收支及结余情况。</w:t>
      </w:r>
    </w:p>
    <w:p w14:paraId="0E8470DC">
      <w:pPr>
        <w:keepNext w:val="0"/>
        <w:keepLines w:val="0"/>
        <w:pageBreakBefore w:val="0"/>
        <w:kinsoku/>
        <w:wordWrap/>
        <w:overflowPunct/>
        <w:topLinePunct w:val="0"/>
        <w:autoSpaceDE/>
        <w:autoSpaceDN/>
        <w:bidi w:val="0"/>
        <w:adjustRightInd/>
        <w:spacing w:line="560" w:lineRule="exact"/>
        <w:ind w:firstLine="562" w:firstLineChars="200"/>
        <w:textAlignment w:val="auto"/>
        <w:outlineLvl w:val="0"/>
        <w:rPr>
          <w:rFonts w:hint="eastAsia" w:ascii="仿宋" w:hAnsi="仿宋" w:eastAsia="仿宋" w:cs="仿宋"/>
          <w:b/>
          <w:bCs w:val="0"/>
          <w:kern w:val="2"/>
          <w:sz w:val="28"/>
          <w:szCs w:val="28"/>
          <w:lang w:val="en-US" w:eastAsia="zh-CN" w:bidi="ar"/>
        </w:rPr>
      </w:pPr>
      <w:bookmarkStart w:id="215" w:name="_Toc1940"/>
      <w:bookmarkStart w:id="216" w:name="_Toc16253"/>
      <w:r>
        <w:rPr>
          <w:rFonts w:hint="eastAsia" w:ascii="仿宋" w:hAnsi="仿宋" w:eastAsia="仿宋" w:cs="仿宋"/>
          <w:b/>
          <w:bCs w:val="0"/>
          <w:kern w:val="2"/>
          <w:sz w:val="28"/>
          <w:szCs w:val="28"/>
          <w:lang w:val="en-US" w:eastAsia="zh-CN" w:bidi="ar"/>
        </w:rPr>
        <w:t>二、合规性检查内容及结果</w:t>
      </w:r>
      <w:bookmarkEnd w:id="215"/>
      <w:bookmarkEnd w:id="216"/>
    </w:p>
    <w:p w14:paraId="6EDCB8BD">
      <w:pPr>
        <w:keepNext w:val="0"/>
        <w:keepLines w:val="0"/>
        <w:pageBreakBefore w:val="0"/>
        <w:kinsoku/>
        <w:wordWrap/>
        <w:overflowPunct/>
        <w:topLinePunct w:val="0"/>
        <w:autoSpaceDE/>
        <w:autoSpaceDN/>
        <w:bidi w:val="0"/>
        <w:adjustRightInd/>
        <w:spacing w:line="560" w:lineRule="exact"/>
        <w:ind w:firstLine="560" w:firstLineChars="200"/>
        <w:textAlignment w:val="auto"/>
        <w:outlineLvl w:val="9"/>
        <w:rPr>
          <w:rFonts w:hint="eastAsia" w:ascii="仿宋" w:hAnsi="仿宋" w:eastAsia="仿宋" w:cs="仿宋"/>
          <w:bCs/>
          <w:kern w:val="2"/>
          <w:sz w:val="28"/>
          <w:szCs w:val="28"/>
          <w:lang w:val="en-US" w:eastAsia="zh-CN" w:bidi="ar"/>
        </w:rPr>
      </w:pPr>
      <w:r>
        <w:rPr>
          <w:rFonts w:hint="eastAsia" w:ascii="仿宋" w:hAnsi="仿宋" w:eastAsia="仿宋" w:cs="仿宋"/>
          <w:bCs/>
          <w:kern w:val="2"/>
          <w:sz w:val="28"/>
          <w:szCs w:val="28"/>
          <w:lang w:val="en-US" w:eastAsia="zh-CN" w:bidi="ar"/>
        </w:rPr>
        <w:t>本次绩效评价合规性检查内容包括收支分析、收支占比分析、近年预算变动分析、结余情况分析。内容如下：</w:t>
      </w:r>
    </w:p>
    <w:p w14:paraId="1E813571">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2" w:firstLineChars="200"/>
        <w:textAlignment w:val="auto"/>
        <w:outlineLvl w:val="1"/>
        <w:rPr>
          <w:rFonts w:hint="default" w:ascii="仿宋" w:hAnsi="仿宋" w:eastAsia="仿宋" w:cs="仿宋"/>
          <w:b/>
          <w:bCs/>
          <w:color w:val="000000"/>
          <w:kern w:val="0"/>
          <w:sz w:val="28"/>
          <w:szCs w:val="28"/>
          <w:highlight w:val="none"/>
          <w:shd w:val="clear" w:color="auto" w:fill="FFFFFF"/>
          <w:lang w:val="en-US" w:eastAsia="zh-CN"/>
        </w:rPr>
      </w:pPr>
      <w:bookmarkStart w:id="217" w:name="_Toc17751"/>
      <w:bookmarkStart w:id="218" w:name="_Toc28469"/>
      <w:r>
        <w:rPr>
          <w:rFonts w:hint="eastAsia" w:ascii="仿宋" w:hAnsi="仿宋" w:eastAsia="仿宋" w:cs="仿宋"/>
          <w:b/>
          <w:bCs/>
          <w:sz w:val="28"/>
          <w:szCs w:val="28"/>
          <w:highlight w:val="none"/>
          <w:lang w:val="en-US" w:eastAsia="zh-CN"/>
        </w:rPr>
        <w:t>1.</w:t>
      </w:r>
      <w:r>
        <w:rPr>
          <w:rFonts w:hint="eastAsia" w:ascii="仿宋" w:hAnsi="仿宋" w:eastAsia="仿宋" w:cs="仿宋"/>
          <w:b/>
          <w:bCs/>
          <w:color w:val="000000"/>
          <w:kern w:val="0"/>
          <w:sz w:val="28"/>
          <w:szCs w:val="28"/>
          <w:highlight w:val="none"/>
          <w:shd w:val="clear" w:color="auto" w:fill="FFFFFF"/>
          <w:lang w:val="en-US" w:eastAsia="zh-CN"/>
        </w:rPr>
        <w:t>2023年收支情况</w:t>
      </w:r>
      <w:bookmarkEnd w:id="217"/>
      <w:bookmarkEnd w:id="218"/>
    </w:p>
    <w:p w14:paraId="21B59082">
      <w:pPr>
        <w:pStyle w:val="2"/>
        <w:keepNext w:val="0"/>
        <w:keepLines w:val="0"/>
        <w:pageBreakBefore w:val="0"/>
        <w:kinsoku/>
        <w:wordWrap/>
        <w:overflowPunct/>
        <w:topLinePunct w:val="0"/>
        <w:autoSpaceDE/>
        <w:autoSpaceDN/>
        <w:bidi w:val="0"/>
        <w:adjustRightInd/>
        <w:spacing w:line="560" w:lineRule="exact"/>
        <w:ind w:firstLine="562"/>
        <w:textAlignment w:val="auto"/>
        <w:outlineLvl w:val="9"/>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Cs/>
          <w:sz w:val="28"/>
          <w:szCs w:val="28"/>
          <w:highlight w:val="none"/>
          <w:lang w:eastAsia="zh-CN" w:bidi="ar"/>
        </w:rPr>
        <w:t>永济市</w:t>
      </w:r>
      <w:r>
        <w:rPr>
          <w:rFonts w:hint="eastAsia" w:ascii="仿宋" w:hAnsi="仿宋" w:eastAsia="仿宋" w:cs="仿宋"/>
          <w:bCs/>
          <w:sz w:val="28"/>
          <w:szCs w:val="28"/>
          <w:highlight w:val="none"/>
          <w:lang w:val="en-US" w:eastAsia="zh-CN" w:bidi="ar"/>
        </w:rPr>
        <w:t>市场监督管理局</w:t>
      </w:r>
      <w:r>
        <w:rPr>
          <w:rFonts w:hint="eastAsia" w:ascii="仿宋" w:hAnsi="仿宋" w:eastAsia="仿宋" w:cs="仿宋"/>
          <w:color w:val="000000"/>
          <w:kern w:val="0"/>
          <w:sz w:val="28"/>
          <w:szCs w:val="28"/>
          <w:highlight w:val="none"/>
          <w:shd w:val="clear" w:color="auto" w:fill="FFFFFF"/>
          <w:lang w:val="en-US" w:eastAsia="zh-CN"/>
        </w:rPr>
        <w:t>2023年年初预算2,254.45万元，追加预算119.83万元，结转上级专款（市级）1.5万元，预算收入共计</w:t>
      </w:r>
      <w:r>
        <w:rPr>
          <w:rFonts w:hint="eastAsia" w:ascii="仿宋" w:hAnsi="仿宋" w:eastAsia="仿宋" w:cs="仿宋"/>
          <w:b w:val="0"/>
          <w:bCs w:val="0"/>
          <w:color w:val="000000"/>
          <w:kern w:val="0"/>
          <w:sz w:val="28"/>
          <w:szCs w:val="28"/>
          <w:highlight w:val="none"/>
          <w:shd w:val="clear" w:color="auto" w:fill="FFFFFF"/>
          <w:lang w:val="en-US" w:eastAsia="zh-CN"/>
        </w:rPr>
        <w:t>2,375.78</w:t>
      </w:r>
      <w:r>
        <w:rPr>
          <w:rFonts w:hint="eastAsia" w:ascii="仿宋" w:hAnsi="仿宋" w:eastAsia="仿宋" w:cs="仿宋"/>
          <w:color w:val="000000"/>
          <w:kern w:val="0"/>
          <w:sz w:val="28"/>
          <w:szCs w:val="28"/>
          <w:highlight w:val="none"/>
          <w:shd w:val="clear" w:color="auto" w:fill="FFFFFF"/>
          <w:lang w:val="en-US" w:eastAsia="zh-CN"/>
        </w:rPr>
        <w:t>万元，决算支出</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color w:val="000000"/>
          <w:kern w:val="0"/>
          <w:sz w:val="28"/>
          <w:szCs w:val="28"/>
          <w:highlight w:val="none"/>
          <w:shd w:val="clear" w:color="auto" w:fill="FFFFFF"/>
          <w:lang w:val="en-US" w:eastAsia="zh-CN"/>
        </w:rPr>
        <w:t>万元，</w:t>
      </w:r>
      <w:r>
        <w:rPr>
          <w:rFonts w:hint="eastAsia" w:ascii="仿宋" w:hAnsi="仿宋" w:eastAsia="仿宋" w:cs="仿宋"/>
          <w:b w:val="0"/>
          <w:bCs w:val="0"/>
          <w:color w:val="000000"/>
          <w:kern w:val="0"/>
          <w:sz w:val="28"/>
          <w:szCs w:val="28"/>
          <w:highlight w:val="none"/>
          <w:shd w:val="clear" w:color="auto" w:fill="FFFFFF"/>
          <w:lang w:val="en-US" w:eastAsia="zh-CN"/>
        </w:rPr>
        <w:t>其中：基本支出2,237.39万元，项目支出121.51万元。具体收支明细详见下表。</w:t>
      </w:r>
    </w:p>
    <w:tbl>
      <w:tblPr>
        <w:tblStyle w:val="11"/>
        <w:tblW w:w="93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29"/>
        <w:gridCol w:w="1206"/>
        <w:gridCol w:w="1206"/>
        <w:gridCol w:w="1206"/>
        <w:gridCol w:w="1206"/>
        <w:gridCol w:w="1206"/>
        <w:gridCol w:w="1210"/>
      </w:tblGrid>
      <w:tr w14:paraId="7FC43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E670">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项目/经济分类</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62A1">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年初预算</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D047">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追加预算</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9D6D">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结转上级专款</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85D7">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本年预算</w:t>
            </w:r>
          </w:p>
        </w:tc>
        <w:tc>
          <w:tcPr>
            <w:tcW w:w="12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C0B6">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实际支出</w:t>
            </w:r>
          </w:p>
        </w:tc>
        <w:tc>
          <w:tcPr>
            <w:tcW w:w="12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DD63">
            <w:pPr>
              <w:keepNext w:val="0"/>
              <w:keepLines w:val="0"/>
              <w:widowControl/>
              <w:suppressLineNumbers w:val="0"/>
              <w:jc w:val="center"/>
              <w:textAlignment w:val="center"/>
              <w:outlineLvl w:val="9"/>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预算结余</w:t>
            </w:r>
          </w:p>
        </w:tc>
      </w:tr>
      <w:tr w14:paraId="15A9F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A4AF3">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人员类项目</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E224">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17,985,797.88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B255">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1,167,655.00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2E975">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DDF7">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19,153,452.88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AD1CB">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19,130,073.77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C5C3">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23,379.11 </w:t>
            </w:r>
          </w:p>
        </w:tc>
      </w:tr>
      <w:tr w14:paraId="51DEE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34EA">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公用经费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859D">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3,363,736.04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943C0">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3A720">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B50EE">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3,363,736.04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B0F87">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3,243,802.31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BB4D0">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119,933.73 </w:t>
            </w:r>
          </w:p>
        </w:tc>
      </w:tr>
      <w:tr w14:paraId="2F63E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B0CF">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“个转企”补助奖励</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7B20">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C38E">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21,000.00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EBE7">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5B07">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21,000.00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44F5C">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18,600.00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60656">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2,400.00 </w:t>
            </w:r>
          </w:p>
        </w:tc>
      </w:tr>
      <w:tr w14:paraId="21FC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74EA">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工业产品和环保相关产品、日用消费品质量监督抽查专项经费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6750D">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400,000.00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42D4">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CBAAE">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08815">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400,000.00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63FF">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396,500.00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FB80">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3,500.00 </w:t>
            </w:r>
          </w:p>
        </w:tc>
      </w:tr>
      <w:tr w14:paraId="17966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06BF3">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公平竞争审查第三方评估所需费用</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D818E">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80,000.00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FB19">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BEA4">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C906">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80,000.00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0E4F">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80,000.00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C584A">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   </w:t>
            </w:r>
          </w:p>
        </w:tc>
      </w:tr>
      <w:tr w14:paraId="33142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A2B1">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综合行政执法制式服装和标志配发经费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BE00">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388,900.00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9C688">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D894">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8A633">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388,900.00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0D4A">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383,002.10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64394">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5,897.90 </w:t>
            </w:r>
          </w:p>
        </w:tc>
      </w:tr>
      <w:tr w14:paraId="56559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BE34">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2023年遗属补助和取暖费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5F7B">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213,072.00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0A3C">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01BB2">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D526">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213,072.00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98AF">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199,404.00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A725">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13,668.00 </w:t>
            </w:r>
          </w:p>
        </w:tc>
      </w:tr>
      <w:tr w14:paraId="7D19C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587F">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高素质人才生活补助</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2373E">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9BF6">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9,600.00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23DB">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6CBD4">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9,600.00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9CEB1">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9,600.00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480D">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   </w:t>
            </w:r>
          </w:p>
        </w:tc>
      </w:tr>
      <w:tr w14:paraId="477BA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6204F">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2023年中央财政补助工商行政管理专项经费</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A099">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50,000.00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9B41">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C10CB">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726D">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50,000.00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2C3D">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50,000.00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1B8CA">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   </w:t>
            </w:r>
          </w:p>
        </w:tc>
      </w:tr>
      <w:tr w14:paraId="2E5C6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54132">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基层市场监管补助资金</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F798">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63,000.00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F0B70">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7E9C">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14D1">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63,000.00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651C">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63,000.00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0E27">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   </w:t>
            </w:r>
          </w:p>
        </w:tc>
      </w:tr>
      <w:tr w14:paraId="4A6C5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84FF">
            <w:pPr>
              <w:keepNext w:val="0"/>
              <w:keepLines w:val="0"/>
              <w:widowControl/>
              <w:suppressLineNumbers w:val="0"/>
              <w:jc w:val="left"/>
              <w:textAlignment w:val="center"/>
              <w:outlineLvl w:val="9"/>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目标责任考核奖</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DB34">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412F5">
            <w:pPr>
              <w:outlineLvl w:val="9"/>
              <w:rPr>
                <w:rFonts w:hint="default" w:ascii="Arial Narrow" w:hAnsi="Arial Narrow" w:eastAsia="仿宋" w:cs="Arial Narrow"/>
                <w:i w:val="0"/>
                <w:iCs w:val="0"/>
                <w:color w:val="000000"/>
                <w:sz w:val="18"/>
                <w:szCs w:val="18"/>
                <w:u w:val="none"/>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8CDDF">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15,000.00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3054">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15,000.00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F2D6">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15,000.00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21C0B">
            <w:pPr>
              <w:keepNext w:val="0"/>
              <w:keepLines w:val="0"/>
              <w:widowControl/>
              <w:suppressLineNumbers w:val="0"/>
              <w:jc w:val="right"/>
              <w:textAlignment w:val="center"/>
              <w:outlineLvl w:val="9"/>
              <w:rPr>
                <w:rFonts w:hint="default" w:ascii="Arial Narrow" w:hAnsi="Arial Narrow" w:eastAsia="仿宋" w:cs="Arial Narrow"/>
                <w:i w:val="0"/>
                <w:iCs w:val="0"/>
                <w:color w:val="000000"/>
                <w:sz w:val="18"/>
                <w:szCs w:val="18"/>
                <w:u w:val="none"/>
              </w:rPr>
            </w:pPr>
            <w:r>
              <w:rPr>
                <w:rFonts w:hint="default" w:ascii="Arial Narrow" w:hAnsi="Arial Narrow" w:eastAsia="仿宋" w:cs="Arial Narrow"/>
                <w:i w:val="0"/>
                <w:iCs w:val="0"/>
                <w:color w:val="000000"/>
                <w:kern w:val="0"/>
                <w:sz w:val="18"/>
                <w:szCs w:val="18"/>
                <w:u w:val="none"/>
                <w:lang w:val="en-US" w:eastAsia="zh-CN" w:bidi="ar"/>
              </w:rPr>
              <w:t xml:space="preserve"> -   </w:t>
            </w:r>
          </w:p>
        </w:tc>
      </w:tr>
      <w:tr w14:paraId="2786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346E">
            <w:pPr>
              <w:jc w:val="center"/>
              <w:outlineLvl w:val="9"/>
              <w:rPr>
                <w:rFonts w:hint="eastAsia" w:ascii="仿宋" w:hAnsi="仿宋" w:eastAsia="仿宋" w:cs="仿宋"/>
                <w:b/>
                <w:bCs/>
                <w:i w:val="0"/>
                <w:iCs w:val="0"/>
                <w:color w:val="000000"/>
                <w:sz w:val="21"/>
                <w:szCs w:val="21"/>
                <w:u w:val="none"/>
                <w:lang w:val="en-US" w:eastAsia="zh-CN"/>
              </w:rPr>
            </w:pPr>
            <w:r>
              <w:rPr>
                <w:rFonts w:hint="eastAsia" w:ascii="仿宋" w:hAnsi="仿宋" w:eastAsia="仿宋" w:cs="仿宋"/>
                <w:b/>
                <w:bCs/>
                <w:i w:val="0"/>
                <w:iCs w:val="0"/>
                <w:color w:val="000000"/>
                <w:sz w:val="21"/>
                <w:szCs w:val="21"/>
                <w:u w:val="none"/>
                <w:lang w:val="en-US" w:eastAsia="zh-CN"/>
              </w:rPr>
              <w:t>合计</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FDDB">
            <w:pPr>
              <w:keepNext w:val="0"/>
              <w:keepLines w:val="0"/>
              <w:widowControl/>
              <w:suppressLineNumbers w:val="0"/>
              <w:jc w:val="right"/>
              <w:textAlignment w:val="center"/>
              <w:outlineLvl w:val="9"/>
              <w:rPr>
                <w:rFonts w:hint="default" w:ascii="Arial Narrow" w:hAnsi="Arial Narrow" w:eastAsia="仿宋" w:cs="Arial Narrow"/>
                <w:b/>
                <w:bCs/>
                <w:i w:val="0"/>
                <w:iCs w:val="0"/>
                <w:color w:val="000000"/>
                <w:sz w:val="18"/>
                <w:szCs w:val="18"/>
                <w:u w:val="none"/>
              </w:rPr>
            </w:pPr>
            <w:r>
              <w:rPr>
                <w:rFonts w:hint="default" w:ascii="Arial Narrow" w:hAnsi="Arial Narrow" w:eastAsia="仿宋" w:cs="Arial Narrow"/>
                <w:b/>
                <w:bCs/>
                <w:i w:val="0"/>
                <w:iCs w:val="0"/>
                <w:color w:val="000000"/>
                <w:kern w:val="0"/>
                <w:sz w:val="18"/>
                <w:szCs w:val="18"/>
                <w:u w:val="none"/>
                <w:lang w:val="en-US" w:eastAsia="zh-CN" w:bidi="ar"/>
              </w:rPr>
              <w:t xml:space="preserve">22,544,505.92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F4EE1">
            <w:pPr>
              <w:keepNext w:val="0"/>
              <w:keepLines w:val="0"/>
              <w:widowControl/>
              <w:suppressLineNumbers w:val="0"/>
              <w:jc w:val="right"/>
              <w:textAlignment w:val="center"/>
              <w:outlineLvl w:val="9"/>
              <w:rPr>
                <w:rFonts w:hint="default" w:ascii="Arial Narrow" w:hAnsi="Arial Narrow" w:eastAsia="仿宋" w:cs="Arial Narrow"/>
                <w:b/>
                <w:bCs/>
                <w:i w:val="0"/>
                <w:iCs w:val="0"/>
                <w:color w:val="000000"/>
                <w:sz w:val="18"/>
                <w:szCs w:val="18"/>
                <w:u w:val="none"/>
              </w:rPr>
            </w:pPr>
            <w:r>
              <w:rPr>
                <w:rFonts w:hint="default" w:ascii="Arial Narrow" w:hAnsi="Arial Narrow" w:eastAsia="仿宋" w:cs="Arial Narrow"/>
                <w:b/>
                <w:bCs/>
                <w:i w:val="0"/>
                <w:iCs w:val="0"/>
                <w:color w:val="000000"/>
                <w:kern w:val="0"/>
                <w:sz w:val="18"/>
                <w:szCs w:val="18"/>
                <w:u w:val="none"/>
                <w:lang w:val="en-US" w:eastAsia="zh-CN" w:bidi="ar"/>
              </w:rPr>
              <w:t xml:space="preserve"> 1,198,255.00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5372">
            <w:pPr>
              <w:keepNext w:val="0"/>
              <w:keepLines w:val="0"/>
              <w:widowControl/>
              <w:suppressLineNumbers w:val="0"/>
              <w:jc w:val="right"/>
              <w:textAlignment w:val="center"/>
              <w:outlineLvl w:val="9"/>
              <w:rPr>
                <w:rFonts w:hint="default" w:ascii="Arial Narrow" w:hAnsi="Arial Narrow" w:eastAsia="仿宋" w:cs="Arial Narrow"/>
                <w:b/>
                <w:bCs/>
                <w:i w:val="0"/>
                <w:iCs w:val="0"/>
                <w:color w:val="000000"/>
                <w:sz w:val="18"/>
                <w:szCs w:val="18"/>
                <w:u w:val="none"/>
              </w:rPr>
            </w:pPr>
            <w:r>
              <w:rPr>
                <w:rFonts w:hint="default" w:ascii="Arial Narrow" w:hAnsi="Arial Narrow" w:eastAsia="仿宋" w:cs="Arial Narrow"/>
                <w:b/>
                <w:bCs/>
                <w:i w:val="0"/>
                <w:iCs w:val="0"/>
                <w:color w:val="000000"/>
                <w:kern w:val="0"/>
                <w:sz w:val="18"/>
                <w:szCs w:val="18"/>
                <w:u w:val="none"/>
                <w:lang w:val="en-US" w:eastAsia="zh-CN" w:bidi="ar"/>
              </w:rPr>
              <w:t xml:space="preserve"> 15,000.00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DF6C">
            <w:pPr>
              <w:keepNext w:val="0"/>
              <w:keepLines w:val="0"/>
              <w:widowControl/>
              <w:suppressLineNumbers w:val="0"/>
              <w:jc w:val="right"/>
              <w:textAlignment w:val="center"/>
              <w:outlineLvl w:val="9"/>
              <w:rPr>
                <w:rFonts w:hint="default" w:ascii="Arial Narrow" w:hAnsi="Arial Narrow" w:eastAsia="仿宋" w:cs="Arial Narrow"/>
                <w:b/>
                <w:bCs/>
                <w:i w:val="0"/>
                <w:iCs w:val="0"/>
                <w:color w:val="000000"/>
                <w:sz w:val="18"/>
                <w:szCs w:val="18"/>
                <w:u w:val="none"/>
              </w:rPr>
            </w:pPr>
            <w:r>
              <w:rPr>
                <w:rFonts w:hint="default" w:ascii="Arial Narrow" w:hAnsi="Arial Narrow" w:eastAsia="仿宋" w:cs="Arial Narrow"/>
                <w:b/>
                <w:bCs/>
                <w:i w:val="0"/>
                <w:iCs w:val="0"/>
                <w:color w:val="000000"/>
                <w:kern w:val="0"/>
                <w:sz w:val="18"/>
                <w:szCs w:val="18"/>
                <w:u w:val="none"/>
                <w:lang w:val="en-US" w:eastAsia="zh-CN" w:bidi="ar"/>
              </w:rPr>
              <w:t xml:space="preserve">23,757,760.92 </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FF90D">
            <w:pPr>
              <w:keepNext w:val="0"/>
              <w:keepLines w:val="0"/>
              <w:widowControl/>
              <w:suppressLineNumbers w:val="0"/>
              <w:jc w:val="right"/>
              <w:textAlignment w:val="center"/>
              <w:outlineLvl w:val="9"/>
              <w:rPr>
                <w:rFonts w:hint="default" w:ascii="Arial Narrow" w:hAnsi="Arial Narrow" w:eastAsia="仿宋" w:cs="Arial Narrow"/>
                <w:b/>
                <w:bCs/>
                <w:i w:val="0"/>
                <w:iCs w:val="0"/>
                <w:color w:val="000000"/>
                <w:sz w:val="18"/>
                <w:szCs w:val="18"/>
                <w:u w:val="none"/>
              </w:rPr>
            </w:pPr>
            <w:r>
              <w:rPr>
                <w:rFonts w:hint="default" w:ascii="Arial Narrow" w:hAnsi="Arial Narrow" w:eastAsia="仿宋" w:cs="Arial Narrow"/>
                <w:b/>
                <w:bCs/>
                <w:i w:val="0"/>
                <w:iCs w:val="0"/>
                <w:color w:val="000000"/>
                <w:kern w:val="0"/>
                <w:sz w:val="18"/>
                <w:szCs w:val="18"/>
                <w:u w:val="none"/>
                <w:lang w:val="en-US" w:eastAsia="zh-CN" w:bidi="ar"/>
              </w:rPr>
              <w:t xml:space="preserve">23,588,982.18 </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2768">
            <w:pPr>
              <w:keepNext w:val="0"/>
              <w:keepLines w:val="0"/>
              <w:widowControl/>
              <w:suppressLineNumbers w:val="0"/>
              <w:jc w:val="right"/>
              <w:textAlignment w:val="center"/>
              <w:outlineLvl w:val="9"/>
              <w:rPr>
                <w:rFonts w:hint="default" w:ascii="Arial Narrow" w:hAnsi="Arial Narrow" w:eastAsia="仿宋" w:cs="Arial Narrow"/>
                <w:b/>
                <w:bCs/>
                <w:i w:val="0"/>
                <w:iCs w:val="0"/>
                <w:color w:val="000000"/>
                <w:sz w:val="18"/>
                <w:szCs w:val="18"/>
                <w:u w:val="none"/>
              </w:rPr>
            </w:pPr>
            <w:r>
              <w:rPr>
                <w:rFonts w:hint="default" w:ascii="Arial Narrow" w:hAnsi="Arial Narrow" w:eastAsia="仿宋" w:cs="Arial Narrow"/>
                <w:b/>
                <w:bCs/>
                <w:i w:val="0"/>
                <w:iCs w:val="0"/>
                <w:color w:val="000000"/>
                <w:kern w:val="0"/>
                <w:sz w:val="18"/>
                <w:szCs w:val="18"/>
                <w:u w:val="none"/>
                <w:lang w:val="en-US" w:eastAsia="zh-CN" w:bidi="ar"/>
              </w:rPr>
              <w:t xml:space="preserve"> 168,778.74 </w:t>
            </w:r>
          </w:p>
        </w:tc>
      </w:tr>
    </w:tbl>
    <w:p w14:paraId="1ED0AF7B">
      <w:pPr>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2" w:firstLineChars="200"/>
        <w:textAlignment w:val="auto"/>
        <w:outlineLvl w:val="1"/>
        <w:rPr>
          <w:rFonts w:hint="default" w:ascii="仿宋" w:hAnsi="仿宋" w:eastAsia="仿宋" w:cs="仿宋"/>
          <w:b/>
          <w:bCs/>
          <w:color w:val="000000"/>
          <w:kern w:val="0"/>
          <w:sz w:val="28"/>
          <w:szCs w:val="28"/>
          <w:highlight w:val="none"/>
          <w:shd w:val="clear" w:color="auto" w:fill="FFFFFF"/>
          <w:lang w:val="en-US" w:eastAsia="zh-CN"/>
        </w:rPr>
      </w:pPr>
      <w:bookmarkStart w:id="219" w:name="_Toc31401"/>
      <w:bookmarkStart w:id="220" w:name="_Toc18677"/>
      <w:r>
        <w:rPr>
          <w:rFonts w:hint="eastAsia" w:ascii="仿宋" w:hAnsi="仿宋" w:eastAsia="仿宋" w:cs="仿宋"/>
          <w:b/>
          <w:bCs/>
          <w:color w:val="000000"/>
          <w:kern w:val="0"/>
          <w:sz w:val="28"/>
          <w:szCs w:val="28"/>
          <w:highlight w:val="none"/>
          <w:shd w:val="clear" w:color="auto" w:fill="FFFFFF"/>
          <w:lang w:val="en-US" w:eastAsia="zh-CN"/>
        </w:rPr>
        <w:t>4.收支分析</w:t>
      </w:r>
      <w:bookmarkEnd w:id="219"/>
      <w:bookmarkEnd w:id="220"/>
    </w:p>
    <w:p w14:paraId="103D0CBE">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2023年收入预算为2254.45万元，比上年收入预算2112.5万元增长141.95万元，增长6.71%。支出预算为2254.45万元，比上年增长6.71%，其中工资福利支出为1742.67万元，比上年增长12.9%，原因是本年度单位通过调入和新招录，在职人员增加5名，且工资标准提高，新增了基础绩效奖等工资项目；对个人和家庭的补助为55.91万元，比上年减少3.58%，原因是退休人员自然减员5人，退休费及基础绩效奖减少，独生子女费减少；商品服务支出为336.37万元,较上年增长150.84%，原因是由于调入和新考录，单位人员增加5人，导致公用经费、工会经费、福利费和其他交通费用增加，而且2023年预算根据财政局安排将单位经常性包干项目纳入公用经费项目预算，导致商品和服务支出增加较多。项目支出为119.5万元，比上年377万元减少257.5万元，下降68.3%，原因是往年的其他运转类项目计入商品和服务支出，以及食品安全抽检费用不纳入预算，导致项目支出减少。支出预算为</w:t>
      </w:r>
      <w:r>
        <w:rPr>
          <w:rFonts w:hint="eastAsia" w:ascii="仿宋" w:hAnsi="仿宋" w:eastAsia="仿宋" w:cs="仿宋"/>
          <w:b w:val="0"/>
          <w:bCs w:val="0"/>
          <w:color w:val="000000"/>
          <w:kern w:val="0"/>
          <w:sz w:val="28"/>
          <w:szCs w:val="28"/>
          <w:highlight w:val="none"/>
          <w:shd w:val="clear" w:color="auto" w:fill="FFFFFF"/>
          <w:lang w:val="en-US" w:eastAsia="zh-CN"/>
        </w:rPr>
        <w:t>2,358.90</w:t>
      </w:r>
      <w:r>
        <w:rPr>
          <w:rFonts w:hint="eastAsia" w:ascii="仿宋" w:hAnsi="仿宋" w:eastAsia="仿宋" w:cs="仿宋"/>
          <w:b w:val="0"/>
          <w:bCs w:val="0"/>
          <w:sz w:val="28"/>
          <w:szCs w:val="36"/>
          <w:lang w:val="en-US" w:eastAsia="zh-CN"/>
        </w:rPr>
        <w:t>万元，比上年减少5.46%，原因是食品监督抽检项目不再纳入2023年预算。</w:t>
      </w:r>
    </w:p>
    <w:p w14:paraId="5ABA88BB">
      <w:pPr>
        <w:keepNext w:val="0"/>
        <w:keepLines w:val="0"/>
        <w:pageBreakBefore w:val="0"/>
        <w:kinsoku/>
        <w:wordWrap/>
        <w:overflowPunct/>
        <w:topLinePunct w:val="0"/>
        <w:autoSpaceDE/>
        <w:autoSpaceDN/>
        <w:bidi w:val="0"/>
        <w:adjustRightInd/>
        <w:spacing w:line="560" w:lineRule="exact"/>
        <w:ind w:firstLine="562" w:firstLineChars="200"/>
        <w:textAlignment w:val="auto"/>
        <w:outlineLvl w:val="0"/>
        <w:rPr>
          <w:rFonts w:hint="eastAsia" w:ascii="仿宋" w:hAnsi="仿宋" w:eastAsia="仿宋" w:cs="仿宋"/>
          <w:b/>
          <w:bCs w:val="0"/>
          <w:sz w:val="28"/>
          <w:szCs w:val="28"/>
          <w:highlight w:val="none"/>
          <w:lang w:val="en-US" w:eastAsia="zh-CN" w:bidi="ar"/>
        </w:rPr>
      </w:pPr>
      <w:bookmarkStart w:id="221" w:name="_Toc31124"/>
      <w:bookmarkStart w:id="222" w:name="_Toc10473"/>
      <w:r>
        <w:rPr>
          <w:rFonts w:hint="eastAsia" w:ascii="仿宋" w:hAnsi="仿宋" w:eastAsia="仿宋" w:cs="仿宋"/>
          <w:b/>
          <w:bCs w:val="0"/>
          <w:sz w:val="28"/>
          <w:szCs w:val="28"/>
          <w:highlight w:val="none"/>
          <w:lang w:val="en-US" w:eastAsia="zh-CN" w:bidi="ar"/>
        </w:rPr>
        <w:t>三、资金使用中存在的问题</w:t>
      </w:r>
      <w:bookmarkEnd w:id="221"/>
      <w:bookmarkEnd w:id="222"/>
    </w:p>
    <w:p w14:paraId="0D881FC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仿宋_GB2312" w:eastAsia="仿宋_GB2312" w:cs="Times New Roman"/>
          <w:b w:val="0"/>
          <w:bCs w:val="0"/>
          <w:kern w:val="2"/>
          <w:sz w:val="28"/>
          <w:szCs w:val="28"/>
          <w:highlight w:val="yellow"/>
          <w:lang w:val="en-US" w:eastAsia="zh-CN" w:bidi="ar-SA"/>
        </w:rPr>
      </w:pPr>
      <w:r>
        <w:rPr>
          <w:rFonts w:hint="eastAsia" w:ascii="仿宋" w:hAnsi="仿宋" w:eastAsia="仿宋" w:cs="仿宋"/>
          <w:b w:val="0"/>
          <w:bCs/>
          <w:sz w:val="28"/>
          <w:szCs w:val="28"/>
          <w:highlight w:val="none"/>
          <w:lang w:val="en-US" w:eastAsia="zh-CN"/>
        </w:rPr>
        <w:t>本次现场评价工作中，我们对永济市市场监督管理局2023年度财务报表、总账及明细账账簿、凭证列表进行了审核；经过审核，主要存在以下问题：</w:t>
      </w:r>
      <w:r>
        <w:rPr>
          <w:rFonts w:hint="eastAsia" w:ascii="仿宋" w:hAnsi="仿宋" w:eastAsia="仿宋" w:cs="仿宋"/>
          <w:b w:val="0"/>
          <w:bCs w:val="0"/>
          <w:kern w:val="2"/>
          <w:sz w:val="28"/>
          <w:szCs w:val="28"/>
          <w:highlight w:val="none"/>
          <w:lang w:val="en-US" w:eastAsia="zh-CN" w:bidi="ar-SA"/>
        </w:rPr>
        <w:t>公用经费支付自收自支在职人员工资、社保、奖金和自收自支退休人员取暖费、遗属补助等共计</w:t>
      </w:r>
      <w:r>
        <w:rPr>
          <w:rFonts w:hint="eastAsia" w:ascii="仿宋" w:hAnsi="仿宋" w:eastAsia="仿宋" w:cs="仿宋"/>
          <w:b w:val="0"/>
          <w:bCs w:val="0"/>
          <w:color w:val="000000"/>
          <w:kern w:val="0"/>
          <w:sz w:val="28"/>
          <w:szCs w:val="28"/>
          <w:highlight w:val="none"/>
          <w:shd w:val="clear" w:color="auto" w:fill="FFFFFF"/>
          <w:lang w:val="en-US" w:eastAsia="zh-CN"/>
        </w:rPr>
        <w:t>705,696.08</w:t>
      </w:r>
      <w:r>
        <w:rPr>
          <w:rFonts w:hint="eastAsia" w:ascii="仿宋" w:hAnsi="仿宋" w:eastAsia="仿宋" w:cs="仿宋"/>
          <w:b w:val="0"/>
          <w:bCs w:val="0"/>
          <w:kern w:val="2"/>
          <w:sz w:val="28"/>
          <w:szCs w:val="28"/>
          <w:highlight w:val="none"/>
          <w:lang w:val="en-US" w:eastAsia="zh-CN" w:bidi="ar-SA"/>
        </w:rPr>
        <w:t>元。</w:t>
      </w:r>
    </w:p>
    <w:p w14:paraId="6E5CD243">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 w:hAnsi="仿宋" w:eastAsia="仿宋" w:cs="仿宋"/>
          <w:b/>
          <w:bCs w:val="0"/>
          <w:sz w:val="28"/>
          <w:szCs w:val="28"/>
          <w:highlight w:val="none"/>
          <w:lang w:val="en-US" w:eastAsia="zh-CN" w:bidi="ar"/>
        </w:rPr>
      </w:pPr>
      <w:r>
        <w:rPr>
          <w:rFonts w:hint="eastAsia" w:ascii="仿宋" w:hAnsi="仿宋" w:eastAsia="仿宋" w:cs="仿宋"/>
          <w:b w:val="0"/>
          <w:bCs/>
          <w:sz w:val="28"/>
          <w:szCs w:val="28"/>
          <w:highlight w:val="none"/>
          <w:lang w:val="en-US" w:eastAsia="zh-CN"/>
        </w:rPr>
        <w:t xml:space="preserve"> </w:t>
      </w:r>
      <w:bookmarkStart w:id="223" w:name="_Toc2466"/>
      <w:bookmarkStart w:id="224" w:name="_Toc8228"/>
      <w:r>
        <w:rPr>
          <w:rFonts w:hint="eastAsia" w:ascii="仿宋" w:hAnsi="仿宋" w:eastAsia="仿宋" w:cs="仿宋"/>
          <w:b/>
          <w:bCs w:val="0"/>
          <w:sz w:val="28"/>
          <w:szCs w:val="28"/>
          <w:highlight w:val="none"/>
          <w:lang w:val="en-US" w:eastAsia="zh-CN" w:bidi="ar"/>
        </w:rPr>
        <w:t>四、建议</w:t>
      </w:r>
      <w:bookmarkEnd w:id="223"/>
      <w:bookmarkEnd w:id="224"/>
    </w:p>
    <w:p w14:paraId="10878E88">
      <w:pPr>
        <w:keepNext w:val="0"/>
        <w:keepLines w:val="0"/>
        <w:pageBreakBefore w:val="0"/>
        <w:kinsoku/>
        <w:wordWrap/>
        <w:overflowPunct/>
        <w:topLinePunct w:val="0"/>
        <w:autoSpaceDE/>
        <w:autoSpaceDN/>
        <w:bidi w:val="0"/>
        <w:adjustRightInd/>
        <w:spacing w:line="560" w:lineRule="exact"/>
        <w:textAlignment w:val="auto"/>
        <w:outlineLvl w:val="9"/>
      </w:pPr>
      <w:r>
        <w:rPr>
          <w:rFonts w:hint="eastAsia" w:ascii="仿宋" w:hAnsi="仿宋" w:eastAsia="仿宋" w:cs="仿宋"/>
          <w:b w:val="0"/>
          <w:bCs/>
          <w:sz w:val="28"/>
          <w:szCs w:val="28"/>
          <w:highlight w:val="none"/>
          <w:lang w:val="en-US" w:eastAsia="zh-CN" w:bidi="ar"/>
        </w:rPr>
        <w:t xml:space="preserve">    强化内控管理，对内部经济活动的风险评估至少每年进行一次，在全面、系统、准确分析单位各经济业务活动风险的基础上，确定经济活动的风险点，剖析风险存在的原因，以及导致风险发生的可能性，以确保及时有效控制风险。</w:t>
      </w:r>
    </w:p>
    <w:p w14:paraId="3A7DA04B">
      <w:pPr>
        <w:pStyle w:val="6"/>
        <w:outlineLvl w:val="9"/>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FD167BF-FF89-4FBC-865B-714EB66E63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3D38FA7-A64E-441B-9846-0A929A6E9CB9}"/>
  </w:font>
  <w:font w:name="仿宋_GB2312">
    <w:panose1 w:val="02010609030101010101"/>
    <w:charset w:val="86"/>
    <w:family w:val="modern"/>
    <w:pitch w:val="default"/>
    <w:sig w:usb0="00000001" w:usb1="080E0000" w:usb2="00000000" w:usb3="00000000" w:csb0="00040000" w:csb1="00000000"/>
    <w:embedRegular r:id="rId3" w:fontKey="{8076F9C6-9BFD-411E-BDB5-E23DBA983808}"/>
  </w:font>
  <w:font w:name="方正仿宋简体">
    <w:altName w:val="微软雅黑"/>
    <w:panose1 w:val="02000000000000000000"/>
    <w:charset w:val="00"/>
    <w:family w:val="auto"/>
    <w:pitch w:val="default"/>
    <w:sig w:usb0="00000000" w:usb1="00000000" w:usb2="00000012"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embedRegular r:id="rId4" w:fontKey="{20EC31DF-E437-46E0-BDB6-B4A3D5171FE0}"/>
  </w:font>
  <w:font w:name="方正公文小标宋">
    <w:panose1 w:val="02000500000000000000"/>
    <w:charset w:val="86"/>
    <w:family w:val="auto"/>
    <w:pitch w:val="default"/>
    <w:sig w:usb0="A00002BF" w:usb1="38CF7CFA" w:usb2="00000016" w:usb3="00000000" w:csb0="00040001" w:csb1="00000000"/>
    <w:embedRegular r:id="rId5" w:fontKey="{368C3CBE-9CB2-433F-ACB6-7D9C80947597}"/>
  </w:font>
  <w:font w:name="Arial Narrow">
    <w:panose1 w:val="020B0606020202030204"/>
    <w:charset w:val="00"/>
    <w:family w:val="auto"/>
    <w:pitch w:val="default"/>
    <w:sig w:usb0="00000287" w:usb1="00000800" w:usb2="00000000" w:usb3="00000000" w:csb0="2000009F" w:csb1="DFD70000"/>
    <w:embedRegular r:id="rId6" w:fontKey="{A01EC26E-187D-406C-A400-8DFB4BFA108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EC48">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DA221">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17DA221">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3D4EF">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4457">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E16F5">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32E16F5">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2012A">
    <w:pPr>
      <w:pStyle w:val="7"/>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09398">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D09398">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p w14:paraId="267A25D3">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kMzk4YTE2OGFhMjgzMmFkZmM2MDM4YmM1MzNjNWEifQ=="/>
  </w:docVars>
  <w:rsids>
    <w:rsidRoot w:val="21893111"/>
    <w:rsid w:val="01F23341"/>
    <w:rsid w:val="062655AD"/>
    <w:rsid w:val="0A7E1D45"/>
    <w:rsid w:val="0AE63455"/>
    <w:rsid w:val="0B064214"/>
    <w:rsid w:val="0B225FBF"/>
    <w:rsid w:val="0BC60BA1"/>
    <w:rsid w:val="0C177D5B"/>
    <w:rsid w:val="0C2076B3"/>
    <w:rsid w:val="0C452B1A"/>
    <w:rsid w:val="0FBE4BC5"/>
    <w:rsid w:val="126006AE"/>
    <w:rsid w:val="12934CCE"/>
    <w:rsid w:val="140017E1"/>
    <w:rsid w:val="16730284"/>
    <w:rsid w:val="1B614628"/>
    <w:rsid w:val="1C38055F"/>
    <w:rsid w:val="1C4B6EC1"/>
    <w:rsid w:val="1D992CC6"/>
    <w:rsid w:val="1FC43F91"/>
    <w:rsid w:val="202764B4"/>
    <w:rsid w:val="21893111"/>
    <w:rsid w:val="22394A78"/>
    <w:rsid w:val="22D16A5E"/>
    <w:rsid w:val="22F4274D"/>
    <w:rsid w:val="23E62CB9"/>
    <w:rsid w:val="248A3369"/>
    <w:rsid w:val="255D282B"/>
    <w:rsid w:val="25634134"/>
    <w:rsid w:val="26723D69"/>
    <w:rsid w:val="27A97FAA"/>
    <w:rsid w:val="28BD6070"/>
    <w:rsid w:val="28C1757E"/>
    <w:rsid w:val="29D85AE2"/>
    <w:rsid w:val="2C9D5C03"/>
    <w:rsid w:val="2CAF6062"/>
    <w:rsid w:val="2DE0049D"/>
    <w:rsid w:val="2E0622F6"/>
    <w:rsid w:val="2EB4260D"/>
    <w:rsid w:val="30CF686D"/>
    <w:rsid w:val="31787AA9"/>
    <w:rsid w:val="323E5792"/>
    <w:rsid w:val="337201F5"/>
    <w:rsid w:val="34592D57"/>
    <w:rsid w:val="34A31E2F"/>
    <w:rsid w:val="34D643A8"/>
    <w:rsid w:val="350727B3"/>
    <w:rsid w:val="351D3D85"/>
    <w:rsid w:val="3573690B"/>
    <w:rsid w:val="35963ADD"/>
    <w:rsid w:val="365800D8"/>
    <w:rsid w:val="391A60AE"/>
    <w:rsid w:val="397E2754"/>
    <w:rsid w:val="3A54380D"/>
    <w:rsid w:val="3BBD4B0C"/>
    <w:rsid w:val="3BD038FF"/>
    <w:rsid w:val="3C4C0B25"/>
    <w:rsid w:val="3C606479"/>
    <w:rsid w:val="42BE0955"/>
    <w:rsid w:val="43553283"/>
    <w:rsid w:val="45725A27"/>
    <w:rsid w:val="457A031A"/>
    <w:rsid w:val="47CF53B3"/>
    <w:rsid w:val="47EF335F"/>
    <w:rsid w:val="4809505F"/>
    <w:rsid w:val="48621456"/>
    <w:rsid w:val="48FD385A"/>
    <w:rsid w:val="497A30C8"/>
    <w:rsid w:val="4DC621EC"/>
    <w:rsid w:val="507E6391"/>
    <w:rsid w:val="50EC5412"/>
    <w:rsid w:val="510A2FB8"/>
    <w:rsid w:val="540463E4"/>
    <w:rsid w:val="545A1C61"/>
    <w:rsid w:val="55CA4512"/>
    <w:rsid w:val="56464165"/>
    <w:rsid w:val="5765537C"/>
    <w:rsid w:val="586D09FC"/>
    <w:rsid w:val="5B2D0C4E"/>
    <w:rsid w:val="5B3951AC"/>
    <w:rsid w:val="5B913692"/>
    <w:rsid w:val="5E3666C6"/>
    <w:rsid w:val="5EE0439E"/>
    <w:rsid w:val="5F8E7411"/>
    <w:rsid w:val="601856C2"/>
    <w:rsid w:val="60460D34"/>
    <w:rsid w:val="60640CC7"/>
    <w:rsid w:val="60C969EB"/>
    <w:rsid w:val="63D44704"/>
    <w:rsid w:val="6612673F"/>
    <w:rsid w:val="66B549DF"/>
    <w:rsid w:val="66E52B79"/>
    <w:rsid w:val="67193AFD"/>
    <w:rsid w:val="68D77B87"/>
    <w:rsid w:val="68ED5241"/>
    <w:rsid w:val="6FD60012"/>
    <w:rsid w:val="721C0DF2"/>
    <w:rsid w:val="72233A82"/>
    <w:rsid w:val="72A20E4A"/>
    <w:rsid w:val="762878B8"/>
    <w:rsid w:val="766703E1"/>
    <w:rsid w:val="76706A55"/>
    <w:rsid w:val="76BB1A44"/>
    <w:rsid w:val="78C57641"/>
    <w:rsid w:val="78FF66E6"/>
    <w:rsid w:val="7A2E1ED7"/>
    <w:rsid w:val="7C303A8D"/>
    <w:rsid w:val="7ECA59B1"/>
    <w:rsid w:val="7ECF210E"/>
    <w:rsid w:val="7FD35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99"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0"/>
    </w:rPr>
  </w:style>
  <w:style w:type="paragraph" w:styleId="3">
    <w:name w:val="table of authorities"/>
    <w:basedOn w:val="1"/>
    <w:next w:val="1"/>
    <w:qFormat/>
    <w:uiPriority w:val="0"/>
    <w:pPr>
      <w:ind w:left="420" w:leftChars="200"/>
    </w:pPr>
  </w:style>
  <w:style w:type="paragraph" w:styleId="4">
    <w:name w:val="annotation text"/>
    <w:basedOn w:val="1"/>
    <w:qFormat/>
    <w:uiPriority w:val="0"/>
    <w:pPr>
      <w:jc w:val="left"/>
    </w:pPr>
  </w:style>
  <w:style w:type="paragraph" w:styleId="5">
    <w:name w:val="Block Text"/>
    <w:basedOn w:val="1"/>
    <w:qFormat/>
    <w:uiPriority w:val="0"/>
    <w:pPr>
      <w:spacing w:before="100" w:beforeAutospacing="1"/>
      <w:ind w:left="700" w:leftChars="700" w:right="700" w:rightChars="700"/>
    </w:pPr>
  </w:style>
  <w:style w:type="paragraph" w:styleId="6">
    <w:name w:val="toc 5"/>
    <w:basedOn w:val="1"/>
    <w:next w:val="1"/>
    <w:qFormat/>
    <w:uiPriority w:val="0"/>
    <w:pPr>
      <w:spacing w:line="560" w:lineRule="exact"/>
      <w:ind w:left="0" w:firstLine="808" w:firstLineChars="200"/>
    </w:pPr>
    <w:rPr>
      <w:rFonts w:eastAsia="方正仿宋简体"/>
      <w:sz w:val="32"/>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next w:val="2"/>
    <w:qFormat/>
    <w:uiPriority w:val="0"/>
    <w:pPr>
      <w:pBdr>
        <w:bottom w:val="single" w:color="auto" w:sz="6" w:space="1"/>
      </w:pBdr>
      <w:tabs>
        <w:tab w:val="center" w:pos="4153"/>
        <w:tab w:val="right" w:pos="8306"/>
      </w:tabs>
      <w:snapToGrid w:val="0"/>
      <w:jc w:val="center"/>
    </w:pPr>
    <w:rPr>
      <w:sz w:val="18"/>
      <w:szCs w:val="18"/>
    </w:rPr>
  </w:style>
  <w:style w:type="paragraph" w:styleId="9">
    <w:name w:val="toc 2"/>
    <w:basedOn w:val="1"/>
    <w:next w:val="1"/>
    <w:semiHidden/>
    <w:qFormat/>
    <w:uiPriority w:val="99"/>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4">
    <w:name w:val="闻政-正文段落文字"/>
    <w:basedOn w:val="1"/>
    <w:qFormat/>
    <w:uiPriority w:val="0"/>
    <w:pPr>
      <w:spacing w:line="500" w:lineRule="exact"/>
      <w:ind w:firstLine="200" w:firstLineChars="200"/>
    </w:pPr>
    <w:rPr>
      <w:rFonts w:eastAsia="仿宋_GB2312"/>
      <w:kern w:val="0"/>
      <w:sz w:val="28"/>
      <w:szCs w:val="28"/>
    </w:rPr>
  </w:style>
  <w:style w:type="paragraph" w:customStyle="1" w:styleId="15">
    <w:name w:val="闻政正文"/>
    <w:qFormat/>
    <w:uiPriority w:val="99"/>
    <w:pPr>
      <w:framePr w:wrap="around" w:vAnchor="margin" w:hAnchor="text" w:yAlign="top"/>
      <w:widowControl w:val="0"/>
      <w:spacing w:line="500" w:lineRule="exact"/>
      <w:ind w:firstLine="560"/>
      <w:jc w:val="both"/>
    </w:pPr>
    <w:rPr>
      <w:rFonts w:ascii="Arial Unicode MS" w:hAnsi="Arial Unicode MS" w:eastAsia="宋体" w:cs="Arial Unicode MS"/>
      <w:color w:val="000000"/>
      <w:sz w:val="28"/>
      <w:szCs w:val="28"/>
      <w:lang w:val="en-US" w:eastAsia="zh-CN" w:bidi="ar-SA"/>
    </w:rPr>
  </w:style>
  <w:style w:type="character" w:customStyle="1" w:styleId="16">
    <w:name w:val="font61"/>
    <w:basedOn w:val="13"/>
    <w:qFormat/>
    <w:uiPriority w:val="0"/>
    <w:rPr>
      <w:rFonts w:hint="eastAsia" w:ascii="仿宋" w:hAnsi="仿宋" w:eastAsia="仿宋" w:cs="仿宋"/>
      <w:b/>
      <w:bCs/>
      <w:color w:val="000000"/>
      <w:sz w:val="20"/>
      <w:szCs w:val="20"/>
      <w:u w:val="none"/>
    </w:rPr>
  </w:style>
  <w:style w:type="character" w:customStyle="1" w:styleId="17">
    <w:name w:val="font41"/>
    <w:basedOn w:val="13"/>
    <w:qFormat/>
    <w:uiPriority w:val="0"/>
    <w:rPr>
      <w:rFonts w:hint="eastAsia" w:ascii="仿宋" w:hAnsi="仿宋" w:eastAsia="仿宋" w:cs="仿宋"/>
      <w:color w:val="000000"/>
      <w:sz w:val="20"/>
      <w:szCs w:val="20"/>
      <w:u w:val="non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34066</Words>
  <Characters>40234</Characters>
  <Lines>0</Lines>
  <Paragraphs>0</Paragraphs>
  <TotalTime>47</TotalTime>
  <ScaleCrop>false</ScaleCrop>
  <LinksUpToDate>false</LinksUpToDate>
  <CharactersWithSpaces>40893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2024-08-12T00:17:00Z</dcterms:created>
  <dc:creator>呼呼。</dc:creator>
  <cp:lastModifiedBy>呼呼。</cp:lastModifiedBy>
  <dcterms:modified xsi:type="dcterms:W3CDTF">2024-10-17T09:04:12Z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7681EB866271478DB3C0095539764482_11</vt:lpwstr>
  </property>
</Properties>
</file>