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1ADDA">
      <w:pPr>
        <w:spacing w:line="620" w:lineRule="exact"/>
        <w:ind w:firstLine="880" w:firstLineChars="200"/>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永济市财政局</w:t>
      </w:r>
    </w:p>
    <w:p w14:paraId="1C28E386">
      <w:pPr>
        <w:spacing w:line="620" w:lineRule="exact"/>
        <w:ind w:firstLine="880" w:firstLineChars="200"/>
        <w:jc w:val="center"/>
        <w:rPr>
          <w:rFonts w:ascii="方正小标宋简体" w:hAnsi="方正小标宋简体" w:eastAsia="方正小标宋简体" w:cs="方正小标宋简体"/>
          <w:bCs/>
          <w:sz w:val="44"/>
        </w:rPr>
      </w:pPr>
      <w:r>
        <w:rPr>
          <w:rFonts w:hint="eastAsia" w:ascii="方正小标宋简体" w:hAnsi="方正小标宋简体" w:eastAsia="方正小标宋简体" w:cs="方正小标宋简体"/>
          <w:bCs/>
          <w:sz w:val="44"/>
        </w:rPr>
        <w:t>2022年财政总决算分析报告</w:t>
      </w:r>
    </w:p>
    <w:p w14:paraId="0DC4D703">
      <w:pPr>
        <w:spacing w:line="580" w:lineRule="exact"/>
        <w:ind w:firstLine="640" w:firstLineChars="200"/>
        <w:rPr>
          <w:rFonts w:ascii="Times New Roman" w:hAnsi="Times New Roman"/>
          <w:sz w:val="32"/>
          <w:szCs w:val="32"/>
        </w:rPr>
      </w:pPr>
    </w:p>
    <w:p w14:paraId="50B44A45">
      <w:pPr>
        <w:spacing w:line="58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2022年在市委的正确领导和市人大、市政协的监督支持下，全市上下紧紧围绕经济发展的总体目标，财税部门主动适应经济发展新常态，积极落实退税减税降费政策，努力向上争取转移支付资金，狠抓增收节支保平衡，着力优化支出改善民生，很好的支持了全市各项社会事业发展。</w:t>
      </w:r>
    </w:p>
    <w:p w14:paraId="37ADD174">
      <w:pPr>
        <w:spacing w:line="580" w:lineRule="exact"/>
        <w:ind w:firstLine="640" w:firstLineChars="200"/>
        <w:rPr>
          <w:rFonts w:asciiTheme="minorEastAsia" w:hAnsiTheme="minorEastAsia" w:eastAsiaTheme="minorEastAsia"/>
          <w:sz w:val="32"/>
          <w:szCs w:val="32"/>
        </w:rPr>
      </w:pPr>
      <w:r>
        <w:rPr>
          <w:rFonts w:hint="eastAsia" w:ascii="黑体" w:hAnsi="黑体" w:eastAsia="黑体"/>
          <w:sz w:val="32"/>
          <w:szCs w:val="32"/>
        </w:rPr>
        <w:t>一、政府性收支总体情况</w:t>
      </w:r>
    </w:p>
    <w:p w14:paraId="3749D716">
      <w:pPr>
        <w:spacing w:line="580" w:lineRule="exact"/>
        <w:ind w:firstLine="640" w:firstLineChars="200"/>
        <w:rPr>
          <w:rFonts w:ascii="宋体" w:hAnsi="宋体" w:cs="宋体"/>
          <w:sz w:val="32"/>
          <w:szCs w:val="32"/>
        </w:rPr>
      </w:pPr>
      <w:r>
        <w:rPr>
          <w:rFonts w:hint="eastAsia" w:ascii="宋体" w:hAnsi="宋体" w:cs="宋体"/>
          <w:sz w:val="32"/>
          <w:szCs w:val="32"/>
        </w:rPr>
        <w:t>按照2022年总决算报表体系划分，我市政府性收支主要由四大部分组成：一般公共决算、政府性基金决算、国有资本经营决算和社会保险基金决算。</w:t>
      </w:r>
    </w:p>
    <w:p w14:paraId="62FBBFED">
      <w:pPr>
        <w:spacing w:line="580" w:lineRule="exact"/>
        <w:ind w:firstLine="643" w:firstLineChars="200"/>
        <w:rPr>
          <w:rFonts w:ascii="宋体" w:hAnsi="宋体" w:cs="宋体"/>
          <w:b/>
          <w:bCs/>
          <w:sz w:val="32"/>
          <w:szCs w:val="32"/>
        </w:rPr>
      </w:pPr>
      <w:r>
        <w:rPr>
          <w:rFonts w:hint="eastAsia" w:ascii="宋体" w:hAnsi="宋体" w:cs="宋体"/>
          <w:b/>
          <w:bCs/>
          <w:sz w:val="32"/>
          <w:szCs w:val="32"/>
        </w:rPr>
        <w:t>（一）全市政府性收支总况</w:t>
      </w:r>
    </w:p>
    <w:p w14:paraId="4D7ABAD1">
      <w:pPr>
        <w:spacing w:line="580" w:lineRule="exact"/>
        <w:ind w:firstLine="640" w:firstLineChars="200"/>
        <w:rPr>
          <w:rFonts w:ascii="宋体" w:hAnsi="宋体" w:cs="宋体"/>
          <w:sz w:val="32"/>
          <w:szCs w:val="32"/>
        </w:rPr>
      </w:pPr>
      <w:r>
        <w:rPr>
          <w:rFonts w:hint="eastAsia" w:ascii="宋体" w:hAnsi="宋体" w:cs="宋体"/>
          <w:sz w:val="32"/>
          <w:szCs w:val="32"/>
        </w:rPr>
        <w:t xml:space="preserve">2022年全市政府性收入完成136986万元，其中一般公共预算收入40153万元，政府性基金收入34832万元，国有资本经营收入7万元，社会保险基金预算收入61994万元。 </w:t>
      </w:r>
    </w:p>
    <w:p w14:paraId="15DAED0B">
      <w:pPr>
        <w:spacing w:line="580" w:lineRule="exact"/>
        <w:ind w:firstLine="640" w:firstLineChars="200"/>
        <w:rPr>
          <w:rFonts w:ascii="宋体" w:hAnsi="宋体" w:cs="宋体"/>
          <w:sz w:val="32"/>
          <w:szCs w:val="32"/>
        </w:rPr>
      </w:pPr>
      <w:r>
        <w:rPr>
          <w:rFonts w:hint="eastAsia" w:ascii="宋体" w:hAnsi="宋体" w:cs="宋体"/>
          <w:sz w:val="32"/>
          <w:szCs w:val="32"/>
        </w:rPr>
        <w:t>2022年全市政府性支出完成437439万元，其中一般公共预算支出312252万元，政府性基金支出76657万元，国有资本经营支出734万元，社保</w:t>
      </w:r>
      <w:r>
        <w:rPr>
          <w:rFonts w:ascii="宋体" w:hAnsi="宋体" w:cs="宋体"/>
          <w:sz w:val="32"/>
          <w:szCs w:val="32"/>
        </w:rPr>
        <w:t>基金预算支出</w:t>
      </w:r>
      <w:r>
        <w:rPr>
          <w:rFonts w:hint="eastAsia" w:ascii="宋体" w:hAnsi="宋体" w:cs="宋体"/>
          <w:sz w:val="32"/>
          <w:szCs w:val="32"/>
        </w:rPr>
        <w:t>47796万元。</w:t>
      </w:r>
    </w:p>
    <w:p w14:paraId="3B8E3F3A">
      <w:pPr>
        <w:spacing w:line="580" w:lineRule="exact"/>
        <w:ind w:firstLine="643" w:firstLineChars="200"/>
        <w:rPr>
          <w:rFonts w:ascii="宋体" w:hAnsi="宋体" w:cs="宋体"/>
          <w:b/>
          <w:bCs/>
          <w:sz w:val="32"/>
          <w:szCs w:val="32"/>
        </w:rPr>
      </w:pPr>
      <w:r>
        <w:rPr>
          <w:rFonts w:hint="eastAsia" w:ascii="宋体" w:hAnsi="宋体" w:cs="宋体"/>
          <w:b/>
          <w:bCs/>
          <w:sz w:val="32"/>
          <w:szCs w:val="32"/>
        </w:rPr>
        <w:t>（二）</w:t>
      </w:r>
      <w:bookmarkStart w:id="0" w:name="政府性收支平衡情况"/>
      <w:r>
        <w:rPr>
          <w:rFonts w:hint="eastAsia" w:ascii="宋体" w:hAnsi="宋体" w:cs="宋体"/>
          <w:b/>
          <w:bCs/>
          <w:sz w:val="32"/>
          <w:szCs w:val="32"/>
        </w:rPr>
        <w:t>政府性收支平衡情况</w:t>
      </w:r>
      <w:bookmarkEnd w:id="0"/>
    </w:p>
    <w:p w14:paraId="48CB6DBB">
      <w:pPr>
        <w:spacing w:line="580" w:lineRule="exact"/>
        <w:ind w:firstLine="640"/>
        <w:rPr>
          <w:rFonts w:ascii="宋体" w:hAnsi="宋体" w:cs="宋体"/>
          <w:sz w:val="32"/>
        </w:rPr>
      </w:pPr>
      <w:r>
        <w:rPr>
          <w:rFonts w:hint="eastAsia" w:ascii="宋体" w:hAnsi="宋体" w:cs="宋体"/>
          <w:sz w:val="32"/>
        </w:rPr>
        <w:t>2022年一般公共预算收入40153万元，上级补助收入268725万元（返还性收入1604万元、一般性转移支付247360万元、专项转移支付19761万元），债务转贷收入11200万元，上年结余24623万元，动用预算稳定调节基金807万元，调入资金3429万元，收入总计348937万元。一般公共预算支出312252万元，上解上级支出15692万元，债务还本支出2000万元，安排预算稳定调节基金3666万元，年终结余15327万元，支出总计348937万元。</w:t>
      </w:r>
    </w:p>
    <w:p w14:paraId="5C238C69">
      <w:pPr>
        <w:spacing w:line="580" w:lineRule="exact"/>
        <w:ind w:firstLine="640"/>
        <w:rPr>
          <w:rFonts w:ascii="宋体" w:hAnsi="宋体" w:cs="宋体"/>
          <w:sz w:val="32"/>
        </w:rPr>
      </w:pPr>
      <w:r>
        <w:rPr>
          <w:rFonts w:hint="eastAsia" w:ascii="宋体" w:hAnsi="宋体" w:cs="宋体"/>
          <w:sz w:val="32"/>
        </w:rPr>
        <w:t>2022年政府性基金收入34832万元，上级补助收入10640万元，地方政府专项债务转贷收入48400万元（其中：新增专项债券21800万元、再融资债券16600万元），政府性基金上年结余8088万元，收入总计101960万元。政府性基金支出76657万元，调出资金2214万元，债务还本支出16600万元，年终结余6489万元，支出总计101960万元。</w:t>
      </w:r>
    </w:p>
    <w:p w14:paraId="251862C6">
      <w:pPr>
        <w:spacing w:line="580" w:lineRule="exact"/>
        <w:ind w:firstLine="640" w:firstLineChars="200"/>
        <w:rPr>
          <w:rFonts w:ascii="宋体" w:hAnsi="宋体" w:cs="宋体"/>
          <w:sz w:val="32"/>
        </w:rPr>
      </w:pPr>
      <w:r>
        <w:rPr>
          <w:rFonts w:hint="eastAsia" w:ascii="宋体" w:hAnsi="宋体" w:cs="宋体"/>
          <w:sz w:val="32"/>
        </w:rPr>
        <w:t>2022年国有资本经营预算收入7万元，上级补助收入482万元，，上年结余515万元，收入总计1004万元。国有资本经营支出734万元，调出资金7万元，年终结余263万元，支出总计1004万元。</w:t>
      </w:r>
    </w:p>
    <w:p w14:paraId="30C4E825">
      <w:pPr>
        <w:spacing w:line="580" w:lineRule="exact"/>
        <w:ind w:firstLine="640" w:firstLineChars="200"/>
        <w:rPr>
          <w:rFonts w:ascii="宋体" w:hAnsi="宋体" w:cs="宋体"/>
          <w:sz w:val="32"/>
        </w:rPr>
      </w:pPr>
      <w:r>
        <w:rPr>
          <w:rFonts w:hint="eastAsia" w:ascii="宋体" w:hAnsi="宋体" w:cs="宋体"/>
          <w:sz w:val="32"/>
        </w:rPr>
        <w:t>2022年社会保险基金预算社会保险费收入34264万元，财政补贴收入26212万元，利息收入1160万元，委托投资收益54万元，转移收入264万元，其他收入26万元，收入总计61994万元。社会保险待遇支出47704万元，转移支出86万元，其他支出6万元，支出总计47796万元。本年收支结余14198万元，年末滚存结余58968万元。</w:t>
      </w:r>
    </w:p>
    <w:p w14:paraId="4D18D411">
      <w:pPr>
        <w:spacing w:line="580" w:lineRule="exact"/>
        <w:ind w:firstLine="640" w:firstLineChars="200"/>
        <w:rPr>
          <w:rFonts w:ascii="黑体" w:hAnsi="黑体" w:eastAsia="黑体"/>
          <w:sz w:val="32"/>
          <w:szCs w:val="32"/>
        </w:rPr>
      </w:pPr>
      <w:r>
        <w:rPr>
          <w:rFonts w:hint="eastAsia" w:ascii="黑体" w:hAnsi="黑体" w:eastAsia="黑体"/>
          <w:sz w:val="32"/>
          <w:szCs w:val="32"/>
        </w:rPr>
        <w:t>二、全市财政总收入情况</w:t>
      </w:r>
    </w:p>
    <w:p w14:paraId="7E305855">
      <w:pPr>
        <w:spacing w:line="580" w:lineRule="exact"/>
        <w:rPr>
          <w:rFonts w:ascii="宋体" w:hAnsi="宋体" w:cs="宋体"/>
          <w:b/>
          <w:bCs/>
          <w:sz w:val="32"/>
          <w:szCs w:val="32"/>
        </w:rPr>
      </w:pPr>
      <w:r>
        <w:rPr>
          <w:rFonts w:hint="eastAsia" w:ascii="仿宋_GB2312" w:hAnsi="楷体" w:eastAsia="仿宋_GB2312"/>
          <w:b/>
          <w:bCs/>
          <w:sz w:val="32"/>
          <w:szCs w:val="32"/>
        </w:rPr>
        <w:t xml:space="preserve">   </w:t>
      </w:r>
      <w:r>
        <w:rPr>
          <w:rFonts w:hint="eastAsia" w:ascii="宋体" w:hAnsi="宋体" w:cs="宋体"/>
          <w:b/>
          <w:bCs/>
          <w:sz w:val="32"/>
          <w:szCs w:val="32"/>
        </w:rPr>
        <w:t xml:space="preserve"> （一）财政总收入基本情况</w:t>
      </w:r>
    </w:p>
    <w:p w14:paraId="0EE79336">
      <w:pPr>
        <w:spacing w:line="580" w:lineRule="exact"/>
        <w:ind w:firstLine="640"/>
        <w:rPr>
          <w:rFonts w:ascii="宋体" w:hAnsi="宋体" w:cs="宋体"/>
          <w:sz w:val="32"/>
        </w:rPr>
      </w:pPr>
      <w:r>
        <w:rPr>
          <w:rFonts w:hint="eastAsia" w:ascii="宋体" w:hAnsi="宋体" w:cs="宋体"/>
          <w:sz w:val="32"/>
        </w:rPr>
        <w:t>2022年，全市财政总收入完成50137万元，比上年同期下降39.3%，减收32472万元。财政总收入总量排名全市第十名，增长排名全市第十四名。</w:t>
      </w:r>
    </w:p>
    <w:p w14:paraId="26BD3583">
      <w:pPr>
        <w:spacing w:line="580" w:lineRule="exact"/>
        <w:ind w:firstLine="640"/>
        <w:rPr>
          <w:rFonts w:ascii="宋体" w:hAnsi="宋体" w:cs="宋体"/>
          <w:b/>
          <w:bCs/>
          <w:sz w:val="32"/>
        </w:rPr>
      </w:pPr>
      <w:r>
        <w:rPr>
          <w:rFonts w:hint="eastAsia" w:ascii="宋体" w:hAnsi="宋体" w:cs="宋体"/>
          <w:b/>
          <w:bCs/>
          <w:sz w:val="32"/>
          <w:szCs w:val="32"/>
        </w:rPr>
        <w:t>（二）财政总收入结构情况</w:t>
      </w:r>
    </w:p>
    <w:p w14:paraId="57E4455A">
      <w:pPr>
        <w:spacing w:line="580" w:lineRule="exact"/>
        <w:ind w:firstLine="640"/>
        <w:rPr>
          <w:rFonts w:ascii="宋体" w:hAnsi="宋体" w:cs="宋体"/>
          <w:sz w:val="32"/>
          <w:szCs w:val="32"/>
        </w:rPr>
      </w:pPr>
      <w:r>
        <w:rPr>
          <w:rFonts w:hint="eastAsia" w:ascii="宋体" w:hAnsi="宋体" w:cs="宋体"/>
          <w:sz w:val="32"/>
          <w:szCs w:val="32"/>
        </w:rPr>
        <w:t xml:space="preserve"> 1.分级次情况,</w:t>
      </w:r>
      <w:r>
        <w:rPr>
          <w:rFonts w:hint="eastAsia" w:ascii="宋体" w:hAnsi="宋体" w:cs="宋体"/>
          <w:sz w:val="32"/>
        </w:rPr>
        <w:t xml:space="preserve"> 上划中央13147万元，</w:t>
      </w:r>
      <w:r>
        <w:rPr>
          <w:rFonts w:hint="eastAsia" w:ascii="宋体" w:hAnsi="宋体" w:cs="宋体"/>
          <w:sz w:val="32"/>
          <w:szCs w:val="32"/>
        </w:rPr>
        <w:t>比上年下降42.3%，减收9654万元，占财政总收入比重26.2%。</w:t>
      </w:r>
      <w:r>
        <w:rPr>
          <w:rFonts w:hint="eastAsia" w:ascii="宋体" w:hAnsi="宋体" w:cs="宋体"/>
          <w:sz w:val="32"/>
        </w:rPr>
        <w:t>上划省级-3163万元，</w:t>
      </w:r>
      <w:r>
        <w:rPr>
          <w:rFonts w:hint="eastAsia" w:ascii="宋体" w:hAnsi="宋体" w:cs="宋体"/>
          <w:sz w:val="32"/>
          <w:szCs w:val="32"/>
        </w:rPr>
        <w:t>减收9217万元</w:t>
      </w:r>
      <w:r>
        <w:rPr>
          <w:rFonts w:hint="eastAsia" w:ascii="宋体" w:hAnsi="宋体" w:cs="宋体"/>
          <w:sz w:val="32"/>
        </w:rPr>
        <w:t>。</w:t>
      </w:r>
      <w:r>
        <w:rPr>
          <w:rFonts w:hint="eastAsia" w:ascii="宋体" w:hAnsi="宋体" w:cs="宋体"/>
          <w:sz w:val="32"/>
          <w:szCs w:val="32"/>
        </w:rPr>
        <w:t>一般公共预算收入完成</w:t>
      </w:r>
      <w:r>
        <w:rPr>
          <w:rFonts w:hint="eastAsia" w:ascii="宋体" w:hAnsi="宋体" w:cs="宋体"/>
          <w:sz w:val="32"/>
        </w:rPr>
        <w:t>40153</w:t>
      </w:r>
      <w:r>
        <w:rPr>
          <w:rFonts w:hint="eastAsia" w:ascii="宋体" w:hAnsi="宋体" w:cs="宋体"/>
          <w:sz w:val="32"/>
          <w:szCs w:val="32"/>
        </w:rPr>
        <w:t>，比上年下降25.3%，减收13601万元，占财政收入比重80.1%。</w:t>
      </w:r>
    </w:p>
    <w:p w14:paraId="08B77C29">
      <w:pPr>
        <w:spacing w:line="580" w:lineRule="exact"/>
        <w:ind w:firstLine="640"/>
        <w:rPr>
          <w:rFonts w:ascii="宋体" w:hAnsi="宋体" w:cs="宋体"/>
          <w:sz w:val="32"/>
        </w:rPr>
      </w:pPr>
      <w:r>
        <w:rPr>
          <w:rFonts w:hint="eastAsia" w:ascii="宋体" w:hAnsi="宋体" w:cs="宋体"/>
          <w:sz w:val="32"/>
          <w:szCs w:val="32"/>
        </w:rPr>
        <w:t>2.分部门情况，</w:t>
      </w:r>
      <w:r>
        <w:rPr>
          <w:rFonts w:hint="eastAsia" w:ascii="宋体" w:hAnsi="宋体" w:cs="宋体"/>
          <w:sz w:val="32"/>
        </w:rPr>
        <w:t>税务部门完成40563万元，占调整预算38300万元的105.9%，超收2263万元，比上年58880万元下降31.1%，减收18317万元，</w:t>
      </w:r>
      <w:r>
        <w:rPr>
          <w:rFonts w:hint="eastAsia" w:ascii="宋体" w:hAnsi="宋体" w:cs="宋体"/>
          <w:sz w:val="32"/>
          <w:szCs w:val="32"/>
        </w:rPr>
        <w:t>占财政总收入比重80.9%</w:t>
      </w:r>
      <w:r>
        <w:rPr>
          <w:rFonts w:hint="eastAsia" w:ascii="宋体" w:hAnsi="宋体" w:cs="宋体"/>
          <w:sz w:val="32"/>
        </w:rPr>
        <w:t>。财政部门完成9574万元，占调整预算9300万元的102.9%，超收274万元，比上年23729万元下降59.7%，减收14155万元，</w:t>
      </w:r>
      <w:r>
        <w:rPr>
          <w:rFonts w:hint="eastAsia" w:ascii="宋体" w:hAnsi="宋体" w:cs="宋体"/>
          <w:sz w:val="32"/>
          <w:szCs w:val="32"/>
        </w:rPr>
        <w:t>占财政总收入比重19.1%</w:t>
      </w:r>
      <w:r>
        <w:rPr>
          <w:rFonts w:hint="eastAsia" w:ascii="宋体" w:hAnsi="宋体" w:cs="宋体"/>
          <w:sz w:val="32"/>
        </w:rPr>
        <w:t>。</w:t>
      </w:r>
    </w:p>
    <w:p w14:paraId="366F6BAE">
      <w:pPr>
        <w:ind w:firstLine="640"/>
        <w:jc w:val="center"/>
        <w:rPr>
          <w:rFonts w:ascii="仿宋_GB2312" w:hAnsi="仿宋" w:eastAsia="仿宋_GB2312" w:cs="仿宋"/>
          <w:sz w:val="32"/>
        </w:rPr>
      </w:pPr>
      <w:r>
        <w:rPr>
          <w:rFonts w:ascii="仿宋_GB2312" w:hAnsi="仿宋" w:eastAsia="仿宋_GB2312" w:cs="仿宋"/>
          <w:sz w:val="32"/>
        </w:rPr>
        <w:drawing>
          <wp:inline distT="0" distB="0" distL="0" distR="0">
            <wp:extent cx="4486275" cy="3200400"/>
            <wp:effectExtent l="19050" t="0" r="9525"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t xml:space="preserve"> </w:t>
      </w:r>
      <w:r>
        <w:rPr>
          <w:rFonts w:ascii="仿宋_GB2312" w:hAnsi="仿宋" w:eastAsia="仿宋_GB2312" w:cs="仿宋"/>
          <w:sz w:val="32"/>
        </w:rPr>
        <w:drawing>
          <wp:inline distT="0" distB="0" distL="0" distR="0">
            <wp:extent cx="4295775" cy="3200400"/>
            <wp:effectExtent l="19050" t="0" r="9525"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0B78DC8">
      <w:pPr>
        <w:spacing w:line="600" w:lineRule="exact"/>
        <w:ind w:firstLine="640" w:firstLineChars="200"/>
        <w:rPr>
          <w:rFonts w:ascii="仿宋_GB2312" w:hAnsi="仿宋" w:eastAsia="仿宋_GB2312" w:cs="仿宋"/>
          <w:sz w:val="32"/>
        </w:rPr>
      </w:pPr>
      <w:r>
        <w:rPr>
          <w:rFonts w:hint="eastAsia" w:ascii="黑体" w:hAnsi="黑体" w:eastAsia="黑体"/>
          <w:sz w:val="32"/>
          <w:szCs w:val="32"/>
        </w:rPr>
        <w:t>三、全市一般公共预算收支情况</w:t>
      </w:r>
    </w:p>
    <w:p w14:paraId="55643576">
      <w:pPr>
        <w:spacing w:line="600" w:lineRule="exact"/>
        <w:ind w:firstLine="643" w:firstLineChars="200"/>
        <w:rPr>
          <w:rFonts w:ascii="宋体" w:hAnsi="宋体" w:cs="宋体"/>
          <w:b/>
          <w:bCs/>
          <w:sz w:val="32"/>
        </w:rPr>
      </w:pPr>
      <w:r>
        <w:rPr>
          <w:rFonts w:hint="eastAsia" w:ascii="宋体" w:hAnsi="宋体" w:cs="宋体"/>
          <w:b/>
          <w:bCs/>
          <w:sz w:val="32"/>
          <w:szCs w:val="32"/>
        </w:rPr>
        <w:t>(一）一般公共预算收入完成情况</w:t>
      </w:r>
    </w:p>
    <w:p w14:paraId="5DE7F01B">
      <w:pPr>
        <w:spacing w:line="600" w:lineRule="exact"/>
        <w:ind w:firstLine="640" w:firstLineChars="200"/>
        <w:rPr>
          <w:rFonts w:ascii="宋体" w:hAnsi="宋体" w:cs="宋体"/>
          <w:sz w:val="32"/>
        </w:rPr>
      </w:pPr>
      <w:r>
        <w:rPr>
          <w:rFonts w:hint="eastAsia" w:ascii="宋体" w:hAnsi="宋体" w:cs="宋体"/>
          <w:kern w:val="0"/>
          <w:sz w:val="32"/>
          <w:szCs w:val="32"/>
        </w:rPr>
        <w:t>2022年，</w:t>
      </w:r>
      <w:r>
        <w:rPr>
          <w:rFonts w:hint="eastAsia" w:ascii="宋体" w:hAnsi="宋体" w:cs="宋体"/>
          <w:sz w:val="32"/>
        </w:rPr>
        <w:t>一般公共预算收入40153万元,占调整预算105.7%，比上年下降25.3%。一般公共预算收入总量排名全市第十名，增长排名全市第十四名。</w:t>
      </w:r>
    </w:p>
    <w:p w14:paraId="57E36F7D">
      <w:pPr>
        <w:spacing w:line="600" w:lineRule="exact"/>
        <w:ind w:firstLine="640" w:firstLineChars="200"/>
        <w:rPr>
          <w:rFonts w:ascii="宋体" w:hAnsi="宋体" w:cs="宋体"/>
          <w:sz w:val="32"/>
        </w:rPr>
      </w:pPr>
      <w:r>
        <w:rPr>
          <w:rFonts w:hint="eastAsia" w:ascii="宋体" w:hAnsi="宋体" w:cs="宋体"/>
          <w:sz w:val="32"/>
        </w:rPr>
        <w:t>其中:税务部门完成30579万元，占调整预算28700万元的106.5%，超收1879万元，比上年30025万元增长1.8%，增收554万元,</w:t>
      </w:r>
      <w:r>
        <w:rPr>
          <w:rFonts w:hint="eastAsia" w:ascii="宋体" w:hAnsi="宋体" w:cs="宋体"/>
          <w:kern w:val="0"/>
          <w:sz w:val="32"/>
          <w:szCs w:val="32"/>
        </w:rPr>
        <w:t xml:space="preserve"> 占一般公共预算收入比重76.2%</w:t>
      </w:r>
      <w:r>
        <w:rPr>
          <w:rFonts w:hint="eastAsia" w:ascii="宋体" w:hAnsi="宋体" w:cs="宋体"/>
          <w:sz w:val="32"/>
        </w:rPr>
        <w:t>。财政部门完成9574万元，占调整预算9300万元的102.9%，超收274万元，比上年23729万元下降59.7%，减收14155万元,</w:t>
      </w:r>
      <w:r>
        <w:rPr>
          <w:rFonts w:hint="eastAsia" w:ascii="宋体" w:hAnsi="宋体" w:cs="宋体"/>
          <w:kern w:val="0"/>
          <w:sz w:val="32"/>
          <w:szCs w:val="32"/>
        </w:rPr>
        <w:t xml:space="preserve"> 占一般公共预算收入比重23.8%</w:t>
      </w:r>
      <w:r>
        <w:rPr>
          <w:rFonts w:hint="eastAsia" w:ascii="宋体" w:hAnsi="宋体" w:cs="宋体"/>
          <w:sz w:val="32"/>
        </w:rPr>
        <w:t>。</w:t>
      </w:r>
    </w:p>
    <w:p w14:paraId="7D9CFD5A">
      <w:pPr>
        <w:spacing w:line="600" w:lineRule="exact"/>
        <w:ind w:firstLine="643" w:firstLineChars="200"/>
        <w:rPr>
          <w:rFonts w:ascii="宋体" w:hAnsi="宋体" w:cs="宋体"/>
          <w:b/>
          <w:bCs/>
          <w:sz w:val="32"/>
          <w:szCs w:val="32"/>
        </w:rPr>
      </w:pPr>
      <w:r>
        <w:rPr>
          <w:rFonts w:hint="eastAsia" w:ascii="宋体" w:hAnsi="宋体" w:cs="宋体"/>
          <w:b/>
          <w:bCs/>
          <w:sz w:val="32"/>
          <w:szCs w:val="32"/>
        </w:rPr>
        <w:t>（二）分税种收入分析</w:t>
      </w:r>
    </w:p>
    <w:p w14:paraId="315F3FE1">
      <w:pPr>
        <w:spacing w:line="600" w:lineRule="exact"/>
        <w:ind w:firstLine="640" w:firstLineChars="200"/>
        <w:rPr>
          <w:rFonts w:ascii="宋体" w:hAnsi="宋体" w:cs="宋体"/>
          <w:sz w:val="32"/>
        </w:rPr>
      </w:pPr>
      <w:r>
        <w:rPr>
          <w:rFonts w:hint="eastAsia" w:ascii="宋体" w:hAnsi="宋体" w:cs="宋体"/>
          <w:sz w:val="32"/>
        </w:rPr>
        <w:t>十五项税收中，增值税完成9600万元，比上年同期11335万元减收1735万元，下降15.3%，占一般公共预算收入的比重为23.9%，较上年同期下降2.8个百分点；企业所得税完成2860万元，比上年同期2683万元增收177万元，增长6.6%，占一般公共预算收入的比重为7.1%，较上年同期增长2.1个百分点；个人所得税完成1145万元，比上年同期566万元增收579万元，增长102.3%，占一般公共预算收入的比重为2.9%，较上年同期增长1.8个百分点；其他税收中土地增值税完成2713万元，比上年同期4033万元减收1320万元，下降32.7%，占一般公共预算收入的比重为6.8%，较上年同期下降0.7个百分点；契税完成3336万元，比上年同期2877万元增收459万元，增长16.0%，占一般公共预算收入的比重为8.3%，较上年同期增长2.9个百分点；城市维护建设税完成2025万元，比上年同期2347万元减收322万元，下降13.7%，占一般公共预算收入的比重为5%，较上年同期增长1.6个百分点；非税收入完成9574万元，比上年同期23729万元减收14155万元，下降59.7%，占一般公共预算收入的比重为23.8%，比上年同期下降20.3个百分点。</w:t>
      </w:r>
    </w:p>
    <w:tbl>
      <w:tblPr>
        <w:tblStyle w:val="6"/>
        <w:tblW w:w="8700" w:type="dxa"/>
        <w:tblInd w:w="98" w:type="dxa"/>
        <w:tblLayout w:type="autofit"/>
        <w:tblCellMar>
          <w:top w:w="0" w:type="dxa"/>
          <w:left w:w="108" w:type="dxa"/>
          <w:bottom w:w="0" w:type="dxa"/>
          <w:right w:w="108" w:type="dxa"/>
        </w:tblCellMar>
      </w:tblPr>
      <w:tblGrid>
        <w:gridCol w:w="2220"/>
        <w:gridCol w:w="1080"/>
        <w:gridCol w:w="1080"/>
        <w:gridCol w:w="1080"/>
        <w:gridCol w:w="1080"/>
        <w:gridCol w:w="1080"/>
        <w:gridCol w:w="1080"/>
      </w:tblGrid>
      <w:tr w14:paraId="7F9D0462">
        <w:tblPrEx>
          <w:tblCellMar>
            <w:top w:w="0" w:type="dxa"/>
            <w:left w:w="108" w:type="dxa"/>
            <w:bottom w:w="0" w:type="dxa"/>
            <w:right w:w="108" w:type="dxa"/>
          </w:tblCellMar>
        </w:tblPrEx>
        <w:trPr>
          <w:trHeight w:val="494" w:hRule="atLeast"/>
        </w:trPr>
        <w:tc>
          <w:tcPr>
            <w:tcW w:w="22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14:paraId="73B65DAF">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收入项目</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14:paraId="2467E943">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2022年</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14:paraId="4F6E494B">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2021年</w:t>
            </w:r>
          </w:p>
        </w:tc>
        <w:tc>
          <w:tcPr>
            <w:tcW w:w="2160" w:type="dxa"/>
            <w:gridSpan w:val="2"/>
            <w:tcBorders>
              <w:top w:val="single" w:color="auto" w:sz="8" w:space="0"/>
              <w:left w:val="nil"/>
              <w:bottom w:val="single" w:color="auto" w:sz="8" w:space="0"/>
              <w:right w:val="single" w:color="000000" w:sz="8" w:space="0"/>
            </w:tcBorders>
            <w:shd w:val="clear" w:color="auto" w:fill="auto"/>
            <w:vAlign w:val="center"/>
          </w:tcPr>
          <w:p w14:paraId="09F46269">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比较</w:t>
            </w:r>
          </w:p>
        </w:tc>
      </w:tr>
      <w:tr w14:paraId="377BDEAF">
        <w:tblPrEx>
          <w:tblCellMar>
            <w:top w:w="0" w:type="dxa"/>
            <w:left w:w="108" w:type="dxa"/>
            <w:bottom w:w="0" w:type="dxa"/>
            <w:right w:w="108" w:type="dxa"/>
          </w:tblCellMar>
        </w:tblPrEx>
        <w:trPr>
          <w:trHeight w:val="300" w:hRule="atLeast"/>
        </w:trPr>
        <w:tc>
          <w:tcPr>
            <w:tcW w:w="2220" w:type="dxa"/>
            <w:vMerge w:val="continue"/>
            <w:tcBorders>
              <w:top w:val="single" w:color="auto" w:sz="8" w:space="0"/>
              <w:left w:val="single" w:color="auto" w:sz="8" w:space="0"/>
              <w:bottom w:val="single" w:color="000000" w:sz="8" w:space="0"/>
              <w:right w:val="single" w:color="auto" w:sz="8" w:space="0"/>
            </w:tcBorders>
            <w:vAlign w:val="center"/>
          </w:tcPr>
          <w:p w14:paraId="4604954D">
            <w:pPr>
              <w:widowControl/>
              <w:jc w:val="left"/>
              <w:rPr>
                <w:rFonts w:ascii="楷体_GB2312" w:hAnsi="宋体" w:eastAsia="楷体_GB2312" w:cs="宋体"/>
                <w:b/>
                <w:bCs/>
                <w:color w:val="000000"/>
                <w:kern w:val="0"/>
                <w:sz w:val="24"/>
                <w:szCs w:val="24"/>
              </w:rPr>
            </w:pPr>
          </w:p>
        </w:tc>
        <w:tc>
          <w:tcPr>
            <w:tcW w:w="1080" w:type="dxa"/>
            <w:tcBorders>
              <w:top w:val="nil"/>
              <w:left w:val="nil"/>
              <w:bottom w:val="single" w:color="auto" w:sz="8" w:space="0"/>
              <w:right w:val="single" w:color="auto" w:sz="8" w:space="0"/>
            </w:tcBorders>
            <w:shd w:val="clear" w:color="auto" w:fill="auto"/>
            <w:vAlign w:val="center"/>
          </w:tcPr>
          <w:p w14:paraId="4D80648F">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收入数</w:t>
            </w:r>
          </w:p>
        </w:tc>
        <w:tc>
          <w:tcPr>
            <w:tcW w:w="1080" w:type="dxa"/>
            <w:tcBorders>
              <w:top w:val="nil"/>
              <w:left w:val="nil"/>
              <w:bottom w:val="single" w:color="auto" w:sz="8" w:space="0"/>
              <w:right w:val="single" w:color="auto" w:sz="8" w:space="0"/>
            </w:tcBorders>
            <w:shd w:val="clear" w:color="auto" w:fill="auto"/>
            <w:vAlign w:val="center"/>
          </w:tcPr>
          <w:p w14:paraId="298DFD26">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比重</w:t>
            </w:r>
          </w:p>
        </w:tc>
        <w:tc>
          <w:tcPr>
            <w:tcW w:w="1080" w:type="dxa"/>
            <w:tcBorders>
              <w:top w:val="nil"/>
              <w:left w:val="nil"/>
              <w:bottom w:val="single" w:color="auto" w:sz="8" w:space="0"/>
              <w:right w:val="single" w:color="auto" w:sz="8" w:space="0"/>
            </w:tcBorders>
            <w:shd w:val="clear" w:color="auto" w:fill="auto"/>
            <w:vAlign w:val="center"/>
          </w:tcPr>
          <w:p w14:paraId="2689CC03">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收入数</w:t>
            </w:r>
          </w:p>
        </w:tc>
        <w:tc>
          <w:tcPr>
            <w:tcW w:w="1080" w:type="dxa"/>
            <w:tcBorders>
              <w:top w:val="nil"/>
              <w:left w:val="nil"/>
              <w:bottom w:val="single" w:color="auto" w:sz="8" w:space="0"/>
              <w:right w:val="single" w:color="auto" w:sz="8" w:space="0"/>
            </w:tcBorders>
            <w:shd w:val="clear" w:color="auto" w:fill="auto"/>
            <w:vAlign w:val="center"/>
          </w:tcPr>
          <w:p w14:paraId="57886E46">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比重</w:t>
            </w:r>
          </w:p>
        </w:tc>
        <w:tc>
          <w:tcPr>
            <w:tcW w:w="1080" w:type="dxa"/>
            <w:tcBorders>
              <w:top w:val="nil"/>
              <w:left w:val="nil"/>
              <w:bottom w:val="single" w:color="auto" w:sz="8" w:space="0"/>
              <w:right w:val="single" w:color="auto" w:sz="8" w:space="0"/>
            </w:tcBorders>
            <w:shd w:val="clear" w:color="auto" w:fill="auto"/>
            <w:vAlign w:val="center"/>
          </w:tcPr>
          <w:p w14:paraId="2FA901B8">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增收</w:t>
            </w:r>
          </w:p>
        </w:tc>
        <w:tc>
          <w:tcPr>
            <w:tcW w:w="1080" w:type="dxa"/>
            <w:tcBorders>
              <w:top w:val="nil"/>
              <w:left w:val="nil"/>
              <w:bottom w:val="single" w:color="auto" w:sz="8" w:space="0"/>
              <w:right w:val="single" w:color="auto" w:sz="8" w:space="0"/>
            </w:tcBorders>
            <w:shd w:val="clear" w:color="auto" w:fill="auto"/>
            <w:vAlign w:val="center"/>
          </w:tcPr>
          <w:p w14:paraId="1E6F4B7A">
            <w:pPr>
              <w:widowControl/>
              <w:jc w:val="center"/>
              <w:rPr>
                <w:rFonts w:ascii="楷体_GB2312" w:hAnsi="宋体" w:eastAsia="楷体_GB2312" w:cs="宋体"/>
                <w:b/>
                <w:bCs/>
                <w:color w:val="000000"/>
                <w:kern w:val="0"/>
                <w:sz w:val="24"/>
                <w:szCs w:val="24"/>
              </w:rPr>
            </w:pPr>
            <w:r>
              <w:rPr>
                <w:rFonts w:hint="eastAsia" w:ascii="楷体_GB2312" w:hAnsi="宋体" w:eastAsia="楷体_GB2312" w:cs="宋体"/>
                <w:b/>
                <w:bCs/>
                <w:color w:val="000000"/>
                <w:kern w:val="0"/>
                <w:sz w:val="24"/>
                <w:szCs w:val="24"/>
              </w:rPr>
              <w:t>增幅</w:t>
            </w:r>
          </w:p>
        </w:tc>
      </w:tr>
      <w:tr w14:paraId="769B05AD">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6DE0B51C">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增值税</w:t>
            </w:r>
          </w:p>
        </w:tc>
        <w:tc>
          <w:tcPr>
            <w:tcW w:w="1080" w:type="dxa"/>
            <w:tcBorders>
              <w:top w:val="nil"/>
              <w:left w:val="nil"/>
              <w:bottom w:val="single" w:color="auto" w:sz="8" w:space="0"/>
              <w:right w:val="single" w:color="auto" w:sz="8" w:space="0"/>
            </w:tcBorders>
            <w:shd w:val="clear" w:color="auto" w:fill="auto"/>
            <w:vAlign w:val="center"/>
          </w:tcPr>
          <w:p w14:paraId="0CDC2D1A">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9600</w:t>
            </w:r>
          </w:p>
        </w:tc>
        <w:tc>
          <w:tcPr>
            <w:tcW w:w="1080" w:type="dxa"/>
            <w:tcBorders>
              <w:top w:val="nil"/>
              <w:left w:val="nil"/>
              <w:bottom w:val="single" w:color="auto" w:sz="8" w:space="0"/>
              <w:right w:val="single" w:color="auto" w:sz="8" w:space="0"/>
            </w:tcBorders>
            <w:shd w:val="clear" w:color="auto" w:fill="auto"/>
            <w:vAlign w:val="center"/>
          </w:tcPr>
          <w:p w14:paraId="1AFFE52A">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23.9%</w:t>
            </w:r>
          </w:p>
        </w:tc>
        <w:tc>
          <w:tcPr>
            <w:tcW w:w="1080" w:type="dxa"/>
            <w:tcBorders>
              <w:top w:val="nil"/>
              <w:left w:val="nil"/>
              <w:bottom w:val="single" w:color="auto" w:sz="8" w:space="0"/>
              <w:right w:val="single" w:color="auto" w:sz="8" w:space="0"/>
            </w:tcBorders>
            <w:shd w:val="clear" w:color="auto" w:fill="auto"/>
            <w:vAlign w:val="center"/>
          </w:tcPr>
          <w:p w14:paraId="1BB5DC2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11335</w:t>
            </w:r>
          </w:p>
        </w:tc>
        <w:tc>
          <w:tcPr>
            <w:tcW w:w="1080" w:type="dxa"/>
            <w:tcBorders>
              <w:top w:val="nil"/>
              <w:left w:val="nil"/>
              <w:bottom w:val="single" w:color="auto" w:sz="8" w:space="0"/>
              <w:right w:val="single" w:color="auto" w:sz="8" w:space="0"/>
            </w:tcBorders>
            <w:shd w:val="clear" w:color="auto" w:fill="auto"/>
            <w:vAlign w:val="center"/>
          </w:tcPr>
          <w:p w14:paraId="0F3A9B79">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21.1%</w:t>
            </w:r>
          </w:p>
        </w:tc>
        <w:tc>
          <w:tcPr>
            <w:tcW w:w="1080" w:type="dxa"/>
            <w:tcBorders>
              <w:top w:val="nil"/>
              <w:left w:val="nil"/>
              <w:bottom w:val="single" w:color="auto" w:sz="8" w:space="0"/>
              <w:right w:val="single" w:color="auto" w:sz="8" w:space="0"/>
            </w:tcBorders>
            <w:shd w:val="clear" w:color="auto" w:fill="auto"/>
            <w:vAlign w:val="center"/>
          </w:tcPr>
          <w:p w14:paraId="13E9C31D">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-1735</w:t>
            </w:r>
          </w:p>
        </w:tc>
        <w:tc>
          <w:tcPr>
            <w:tcW w:w="1080" w:type="dxa"/>
            <w:tcBorders>
              <w:top w:val="nil"/>
              <w:left w:val="nil"/>
              <w:bottom w:val="single" w:color="auto" w:sz="8" w:space="0"/>
              <w:right w:val="single" w:color="auto" w:sz="8" w:space="0"/>
            </w:tcBorders>
            <w:shd w:val="clear" w:color="auto" w:fill="auto"/>
            <w:vAlign w:val="center"/>
          </w:tcPr>
          <w:p w14:paraId="29453A00">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-15.3%</w:t>
            </w:r>
          </w:p>
        </w:tc>
      </w:tr>
      <w:tr w14:paraId="027B1183">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13881FF7">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企业所得税</w:t>
            </w:r>
          </w:p>
        </w:tc>
        <w:tc>
          <w:tcPr>
            <w:tcW w:w="1080" w:type="dxa"/>
            <w:tcBorders>
              <w:top w:val="nil"/>
              <w:left w:val="nil"/>
              <w:bottom w:val="single" w:color="auto" w:sz="8" w:space="0"/>
              <w:right w:val="single" w:color="auto" w:sz="8" w:space="0"/>
            </w:tcBorders>
            <w:shd w:val="clear" w:color="auto" w:fill="auto"/>
            <w:vAlign w:val="center"/>
          </w:tcPr>
          <w:p w14:paraId="52A5D3FB">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2860</w:t>
            </w:r>
          </w:p>
        </w:tc>
        <w:tc>
          <w:tcPr>
            <w:tcW w:w="1080" w:type="dxa"/>
            <w:tcBorders>
              <w:top w:val="nil"/>
              <w:left w:val="nil"/>
              <w:bottom w:val="single" w:color="auto" w:sz="8" w:space="0"/>
              <w:right w:val="single" w:color="auto" w:sz="8" w:space="0"/>
            </w:tcBorders>
            <w:shd w:val="clear" w:color="auto" w:fill="auto"/>
            <w:vAlign w:val="center"/>
          </w:tcPr>
          <w:p w14:paraId="5E0FD75A">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7.1%</w:t>
            </w:r>
          </w:p>
        </w:tc>
        <w:tc>
          <w:tcPr>
            <w:tcW w:w="1080" w:type="dxa"/>
            <w:tcBorders>
              <w:top w:val="nil"/>
              <w:left w:val="nil"/>
              <w:bottom w:val="single" w:color="auto" w:sz="8" w:space="0"/>
              <w:right w:val="single" w:color="auto" w:sz="8" w:space="0"/>
            </w:tcBorders>
            <w:shd w:val="clear" w:color="auto" w:fill="auto"/>
            <w:vAlign w:val="center"/>
          </w:tcPr>
          <w:p w14:paraId="691740B0">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2683</w:t>
            </w:r>
          </w:p>
        </w:tc>
        <w:tc>
          <w:tcPr>
            <w:tcW w:w="1080" w:type="dxa"/>
            <w:tcBorders>
              <w:top w:val="nil"/>
              <w:left w:val="nil"/>
              <w:bottom w:val="single" w:color="auto" w:sz="8" w:space="0"/>
              <w:right w:val="single" w:color="auto" w:sz="8" w:space="0"/>
            </w:tcBorders>
            <w:shd w:val="clear" w:color="auto" w:fill="auto"/>
            <w:vAlign w:val="center"/>
          </w:tcPr>
          <w:p w14:paraId="54550A09">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5.0%</w:t>
            </w:r>
          </w:p>
        </w:tc>
        <w:tc>
          <w:tcPr>
            <w:tcW w:w="1080" w:type="dxa"/>
            <w:tcBorders>
              <w:top w:val="nil"/>
              <w:left w:val="nil"/>
              <w:bottom w:val="single" w:color="auto" w:sz="8" w:space="0"/>
              <w:right w:val="single" w:color="auto" w:sz="8" w:space="0"/>
            </w:tcBorders>
            <w:shd w:val="clear" w:color="auto" w:fill="auto"/>
            <w:vAlign w:val="center"/>
          </w:tcPr>
          <w:p w14:paraId="1C6653F1">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177</w:t>
            </w:r>
          </w:p>
        </w:tc>
        <w:tc>
          <w:tcPr>
            <w:tcW w:w="1080" w:type="dxa"/>
            <w:tcBorders>
              <w:top w:val="nil"/>
              <w:left w:val="nil"/>
              <w:bottom w:val="single" w:color="auto" w:sz="8" w:space="0"/>
              <w:right w:val="single" w:color="auto" w:sz="8" w:space="0"/>
            </w:tcBorders>
            <w:shd w:val="clear" w:color="auto" w:fill="auto"/>
            <w:vAlign w:val="center"/>
          </w:tcPr>
          <w:p w14:paraId="0D5CF9F9">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6.6%</w:t>
            </w:r>
          </w:p>
        </w:tc>
      </w:tr>
      <w:tr w14:paraId="232B6CEB">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6C681C28">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个人所得税</w:t>
            </w:r>
          </w:p>
        </w:tc>
        <w:tc>
          <w:tcPr>
            <w:tcW w:w="1080" w:type="dxa"/>
            <w:tcBorders>
              <w:top w:val="nil"/>
              <w:left w:val="nil"/>
              <w:bottom w:val="single" w:color="auto" w:sz="8" w:space="0"/>
              <w:right w:val="single" w:color="auto" w:sz="8" w:space="0"/>
            </w:tcBorders>
            <w:shd w:val="clear" w:color="auto" w:fill="auto"/>
            <w:vAlign w:val="center"/>
          </w:tcPr>
          <w:p w14:paraId="00C788BC">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1145</w:t>
            </w:r>
          </w:p>
        </w:tc>
        <w:tc>
          <w:tcPr>
            <w:tcW w:w="1080" w:type="dxa"/>
            <w:tcBorders>
              <w:top w:val="nil"/>
              <w:left w:val="nil"/>
              <w:bottom w:val="single" w:color="auto" w:sz="8" w:space="0"/>
              <w:right w:val="single" w:color="auto" w:sz="8" w:space="0"/>
            </w:tcBorders>
            <w:shd w:val="clear" w:color="auto" w:fill="auto"/>
            <w:vAlign w:val="center"/>
          </w:tcPr>
          <w:p w14:paraId="15A74733">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2.9%</w:t>
            </w:r>
          </w:p>
        </w:tc>
        <w:tc>
          <w:tcPr>
            <w:tcW w:w="1080" w:type="dxa"/>
            <w:tcBorders>
              <w:top w:val="nil"/>
              <w:left w:val="nil"/>
              <w:bottom w:val="single" w:color="auto" w:sz="8" w:space="0"/>
              <w:right w:val="single" w:color="auto" w:sz="8" w:space="0"/>
            </w:tcBorders>
            <w:shd w:val="clear" w:color="auto" w:fill="auto"/>
            <w:vAlign w:val="center"/>
          </w:tcPr>
          <w:p w14:paraId="3482824C">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566</w:t>
            </w:r>
          </w:p>
        </w:tc>
        <w:tc>
          <w:tcPr>
            <w:tcW w:w="1080" w:type="dxa"/>
            <w:tcBorders>
              <w:top w:val="nil"/>
              <w:left w:val="nil"/>
              <w:bottom w:val="single" w:color="auto" w:sz="8" w:space="0"/>
              <w:right w:val="single" w:color="auto" w:sz="8" w:space="0"/>
            </w:tcBorders>
            <w:shd w:val="clear" w:color="auto" w:fill="auto"/>
            <w:vAlign w:val="center"/>
          </w:tcPr>
          <w:p w14:paraId="3F452937">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1.1%</w:t>
            </w:r>
          </w:p>
        </w:tc>
        <w:tc>
          <w:tcPr>
            <w:tcW w:w="1080" w:type="dxa"/>
            <w:tcBorders>
              <w:top w:val="nil"/>
              <w:left w:val="nil"/>
              <w:bottom w:val="single" w:color="auto" w:sz="8" w:space="0"/>
              <w:right w:val="single" w:color="auto" w:sz="8" w:space="0"/>
            </w:tcBorders>
            <w:shd w:val="clear" w:color="auto" w:fill="auto"/>
            <w:vAlign w:val="center"/>
          </w:tcPr>
          <w:p w14:paraId="1EADA981">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579</w:t>
            </w:r>
          </w:p>
        </w:tc>
        <w:tc>
          <w:tcPr>
            <w:tcW w:w="1080" w:type="dxa"/>
            <w:tcBorders>
              <w:top w:val="nil"/>
              <w:left w:val="nil"/>
              <w:bottom w:val="single" w:color="auto" w:sz="8" w:space="0"/>
              <w:right w:val="single" w:color="auto" w:sz="8" w:space="0"/>
            </w:tcBorders>
            <w:shd w:val="clear" w:color="auto" w:fill="auto"/>
            <w:vAlign w:val="center"/>
          </w:tcPr>
          <w:p w14:paraId="7F213009">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102.3%</w:t>
            </w:r>
          </w:p>
        </w:tc>
      </w:tr>
      <w:tr w14:paraId="3461193C">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26A71BFD">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资源税</w:t>
            </w:r>
          </w:p>
        </w:tc>
        <w:tc>
          <w:tcPr>
            <w:tcW w:w="1080" w:type="dxa"/>
            <w:tcBorders>
              <w:top w:val="nil"/>
              <w:left w:val="nil"/>
              <w:bottom w:val="single" w:color="auto" w:sz="8" w:space="0"/>
              <w:right w:val="single" w:color="auto" w:sz="8" w:space="0"/>
            </w:tcBorders>
            <w:shd w:val="clear" w:color="auto" w:fill="auto"/>
            <w:vAlign w:val="center"/>
          </w:tcPr>
          <w:p w14:paraId="39F350C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328</w:t>
            </w:r>
          </w:p>
        </w:tc>
        <w:tc>
          <w:tcPr>
            <w:tcW w:w="1080" w:type="dxa"/>
            <w:tcBorders>
              <w:top w:val="nil"/>
              <w:left w:val="nil"/>
              <w:bottom w:val="single" w:color="auto" w:sz="8" w:space="0"/>
              <w:right w:val="single" w:color="auto" w:sz="8" w:space="0"/>
            </w:tcBorders>
            <w:shd w:val="clear" w:color="auto" w:fill="auto"/>
            <w:vAlign w:val="center"/>
          </w:tcPr>
          <w:p w14:paraId="4DEA9B3D">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0.8%</w:t>
            </w:r>
          </w:p>
        </w:tc>
        <w:tc>
          <w:tcPr>
            <w:tcW w:w="1080" w:type="dxa"/>
            <w:tcBorders>
              <w:top w:val="nil"/>
              <w:left w:val="nil"/>
              <w:bottom w:val="single" w:color="auto" w:sz="8" w:space="0"/>
              <w:right w:val="single" w:color="auto" w:sz="8" w:space="0"/>
            </w:tcBorders>
            <w:shd w:val="clear" w:color="auto" w:fill="auto"/>
            <w:vAlign w:val="center"/>
          </w:tcPr>
          <w:p w14:paraId="4EAB0095">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339</w:t>
            </w:r>
          </w:p>
        </w:tc>
        <w:tc>
          <w:tcPr>
            <w:tcW w:w="1080" w:type="dxa"/>
            <w:tcBorders>
              <w:top w:val="nil"/>
              <w:left w:val="nil"/>
              <w:bottom w:val="single" w:color="auto" w:sz="8" w:space="0"/>
              <w:right w:val="single" w:color="auto" w:sz="8" w:space="0"/>
            </w:tcBorders>
            <w:shd w:val="clear" w:color="auto" w:fill="auto"/>
            <w:vAlign w:val="center"/>
          </w:tcPr>
          <w:p w14:paraId="24D67581">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0.6%</w:t>
            </w:r>
          </w:p>
        </w:tc>
        <w:tc>
          <w:tcPr>
            <w:tcW w:w="1080" w:type="dxa"/>
            <w:tcBorders>
              <w:top w:val="nil"/>
              <w:left w:val="nil"/>
              <w:bottom w:val="single" w:color="auto" w:sz="8" w:space="0"/>
              <w:right w:val="single" w:color="auto" w:sz="8" w:space="0"/>
            </w:tcBorders>
            <w:shd w:val="clear" w:color="auto" w:fill="auto"/>
            <w:vAlign w:val="center"/>
          </w:tcPr>
          <w:p w14:paraId="2EE0E1BD">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-11</w:t>
            </w:r>
          </w:p>
        </w:tc>
        <w:tc>
          <w:tcPr>
            <w:tcW w:w="1080" w:type="dxa"/>
            <w:tcBorders>
              <w:top w:val="nil"/>
              <w:left w:val="nil"/>
              <w:bottom w:val="single" w:color="auto" w:sz="8" w:space="0"/>
              <w:right w:val="single" w:color="auto" w:sz="8" w:space="0"/>
            </w:tcBorders>
            <w:shd w:val="clear" w:color="auto" w:fill="auto"/>
            <w:vAlign w:val="center"/>
          </w:tcPr>
          <w:p w14:paraId="6A196D4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-3.2%</w:t>
            </w:r>
          </w:p>
        </w:tc>
      </w:tr>
      <w:tr w14:paraId="2BF00739">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46DFF08E">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城市维护建设税</w:t>
            </w:r>
          </w:p>
        </w:tc>
        <w:tc>
          <w:tcPr>
            <w:tcW w:w="1080" w:type="dxa"/>
            <w:tcBorders>
              <w:top w:val="nil"/>
              <w:left w:val="nil"/>
              <w:bottom w:val="single" w:color="auto" w:sz="8" w:space="0"/>
              <w:right w:val="single" w:color="auto" w:sz="8" w:space="0"/>
            </w:tcBorders>
            <w:shd w:val="clear" w:color="auto" w:fill="auto"/>
            <w:vAlign w:val="center"/>
          </w:tcPr>
          <w:p w14:paraId="530DE22B">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2025</w:t>
            </w:r>
          </w:p>
        </w:tc>
        <w:tc>
          <w:tcPr>
            <w:tcW w:w="1080" w:type="dxa"/>
            <w:tcBorders>
              <w:top w:val="nil"/>
              <w:left w:val="nil"/>
              <w:bottom w:val="single" w:color="auto" w:sz="8" w:space="0"/>
              <w:right w:val="single" w:color="auto" w:sz="8" w:space="0"/>
            </w:tcBorders>
            <w:shd w:val="clear" w:color="auto" w:fill="auto"/>
            <w:vAlign w:val="center"/>
          </w:tcPr>
          <w:p w14:paraId="2EC7C2F4">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5.0%</w:t>
            </w:r>
          </w:p>
        </w:tc>
        <w:tc>
          <w:tcPr>
            <w:tcW w:w="1080" w:type="dxa"/>
            <w:tcBorders>
              <w:top w:val="nil"/>
              <w:left w:val="nil"/>
              <w:bottom w:val="single" w:color="auto" w:sz="8" w:space="0"/>
              <w:right w:val="single" w:color="auto" w:sz="8" w:space="0"/>
            </w:tcBorders>
            <w:shd w:val="clear" w:color="auto" w:fill="auto"/>
            <w:vAlign w:val="center"/>
          </w:tcPr>
          <w:p w14:paraId="555B204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2347</w:t>
            </w:r>
          </w:p>
        </w:tc>
        <w:tc>
          <w:tcPr>
            <w:tcW w:w="1080" w:type="dxa"/>
            <w:tcBorders>
              <w:top w:val="nil"/>
              <w:left w:val="nil"/>
              <w:bottom w:val="single" w:color="auto" w:sz="8" w:space="0"/>
              <w:right w:val="single" w:color="auto" w:sz="8" w:space="0"/>
            </w:tcBorders>
            <w:shd w:val="clear" w:color="auto" w:fill="auto"/>
            <w:vAlign w:val="center"/>
          </w:tcPr>
          <w:p w14:paraId="6A67D0D8">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4.4%</w:t>
            </w:r>
          </w:p>
        </w:tc>
        <w:tc>
          <w:tcPr>
            <w:tcW w:w="1080" w:type="dxa"/>
            <w:tcBorders>
              <w:top w:val="nil"/>
              <w:left w:val="nil"/>
              <w:bottom w:val="single" w:color="auto" w:sz="8" w:space="0"/>
              <w:right w:val="single" w:color="auto" w:sz="8" w:space="0"/>
            </w:tcBorders>
            <w:shd w:val="clear" w:color="auto" w:fill="auto"/>
            <w:vAlign w:val="center"/>
          </w:tcPr>
          <w:p w14:paraId="3B28DF6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-322</w:t>
            </w:r>
          </w:p>
        </w:tc>
        <w:tc>
          <w:tcPr>
            <w:tcW w:w="1080" w:type="dxa"/>
            <w:tcBorders>
              <w:top w:val="nil"/>
              <w:left w:val="nil"/>
              <w:bottom w:val="single" w:color="auto" w:sz="8" w:space="0"/>
              <w:right w:val="single" w:color="auto" w:sz="8" w:space="0"/>
            </w:tcBorders>
            <w:shd w:val="clear" w:color="auto" w:fill="auto"/>
            <w:vAlign w:val="center"/>
          </w:tcPr>
          <w:p w14:paraId="67A4F79E">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-13.7%</w:t>
            </w:r>
          </w:p>
        </w:tc>
      </w:tr>
      <w:tr w14:paraId="0F24ED07">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4A4A2CD7">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房产税</w:t>
            </w:r>
          </w:p>
        </w:tc>
        <w:tc>
          <w:tcPr>
            <w:tcW w:w="1080" w:type="dxa"/>
            <w:tcBorders>
              <w:top w:val="nil"/>
              <w:left w:val="nil"/>
              <w:bottom w:val="single" w:color="auto" w:sz="8" w:space="0"/>
              <w:right w:val="single" w:color="auto" w:sz="8" w:space="0"/>
            </w:tcBorders>
            <w:shd w:val="clear" w:color="auto" w:fill="auto"/>
            <w:vAlign w:val="center"/>
          </w:tcPr>
          <w:p w14:paraId="2360A2E5">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1763</w:t>
            </w:r>
          </w:p>
        </w:tc>
        <w:tc>
          <w:tcPr>
            <w:tcW w:w="1080" w:type="dxa"/>
            <w:tcBorders>
              <w:top w:val="nil"/>
              <w:left w:val="nil"/>
              <w:bottom w:val="single" w:color="auto" w:sz="8" w:space="0"/>
              <w:right w:val="single" w:color="auto" w:sz="8" w:space="0"/>
            </w:tcBorders>
            <w:shd w:val="clear" w:color="auto" w:fill="auto"/>
            <w:vAlign w:val="center"/>
          </w:tcPr>
          <w:p w14:paraId="22FCEFE8">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4.4%</w:t>
            </w:r>
          </w:p>
        </w:tc>
        <w:tc>
          <w:tcPr>
            <w:tcW w:w="1080" w:type="dxa"/>
            <w:tcBorders>
              <w:top w:val="nil"/>
              <w:left w:val="nil"/>
              <w:bottom w:val="single" w:color="auto" w:sz="8" w:space="0"/>
              <w:right w:val="single" w:color="auto" w:sz="8" w:space="0"/>
            </w:tcBorders>
            <w:shd w:val="clear" w:color="auto" w:fill="auto"/>
            <w:vAlign w:val="center"/>
          </w:tcPr>
          <w:p w14:paraId="31068B91">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1704</w:t>
            </w:r>
          </w:p>
        </w:tc>
        <w:tc>
          <w:tcPr>
            <w:tcW w:w="1080" w:type="dxa"/>
            <w:tcBorders>
              <w:top w:val="nil"/>
              <w:left w:val="nil"/>
              <w:bottom w:val="single" w:color="auto" w:sz="8" w:space="0"/>
              <w:right w:val="single" w:color="auto" w:sz="8" w:space="0"/>
            </w:tcBorders>
            <w:shd w:val="clear" w:color="auto" w:fill="auto"/>
            <w:vAlign w:val="center"/>
          </w:tcPr>
          <w:p w14:paraId="74A3444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3.2%</w:t>
            </w:r>
          </w:p>
        </w:tc>
        <w:tc>
          <w:tcPr>
            <w:tcW w:w="1080" w:type="dxa"/>
            <w:tcBorders>
              <w:top w:val="nil"/>
              <w:left w:val="nil"/>
              <w:bottom w:val="single" w:color="auto" w:sz="8" w:space="0"/>
              <w:right w:val="single" w:color="auto" w:sz="8" w:space="0"/>
            </w:tcBorders>
            <w:shd w:val="clear" w:color="auto" w:fill="auto"/>
            <w:vAlign w:val="center"/>
          </w:tcPr>
          <w:p w14:paraId="1EFCDD1F">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59</w:t>
            </w:r>
          </w:p>
        </w:tc>
        <w:tc>
          <w:tcPr>
            <w:tcW w:w="1080" w:type="dxa"/>
            <w:tcBorders>
              <w:top w:val="nil"/>
              <w:left w:val="nil"/>
              <w:bottom w:val="single" w:color="auto" w:sz="8" w:space="0"/>
              <w:right w:val="single" w:color="auto" w:sz="8" w:space="0"/>
            </w:tcBorders>
            <w:shd w:val="clear" w:color="auto" w:fill="auto"/>
            <w:vAlign w:val="center"/>
          </w:tcPr>
          <w:p w14:paraId="60C062B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3.5%</w:t>
            </w:r>
          </w:p>
        </w:tc>
      </w:tr>
      <w:tr w14:paraId="7915F2C4">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7176615B">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印花税</w:t>
            </w:r>
          </w:p>
        </w:tc>
        <w:tc>
          <w:tcPr>
            <w:tcW w:w="1080" w:type="dxa"/>
            <w:tcBorders>
              <w:top w:val="nil"/>
              <w:left w:val="nil"/>
              <w:bottom w:val="single" w:color="auto" w:sz="8" w:space="0"/>
              <w:right w:val="single" w:color="auto" w:sz="8" w:space="0"/>
            </w:tcBorders>
            <w:shd w:val="clear" w:color="auto" w:fill="auto"/>
            <w:vAlign w:val="center"/>
          </w:tcPr>
          <w:p w14:paraId="1433D6FE">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1126</w:t>
            </w:r>
          </w:p>
        </w:tc>
        <w:tc>
          <w:tcPr>
            <w:tcW w:w="1080" w:type="dxa"/>
            <w:tcBorders>
              <w:top w:val="nil"/>
              <w:left w:val="nil"/>
              <w:bottom w:val="single" w:color="auto" w:sz="8" w:space="0"/>
              <w:right w:val="single" w:color="auto" w:sz="8" w:space="0"/>
            </w:tcBorders>
            <w:shd w:val="clear" w:color="auto" w:fill="auto"/>
            <w:vAlign w:val="center"/>
          </w:tcPr>
          <w:p w14:paraId="68BC4DD4">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2.8%</w:t>
            </w:r>
          </w:p>
        </w:tc>
        <w:tc>
          <w:tcPr>
            <w:tcW w:w="1080" w:type="dxa"/>
            <w:tcBorders>
              <w:top w:val="nil"/>
              <w:left w:val="nil"/>
              <w:bottom w:val="single" w:color="auto" w:sz="8" w:space="0"/>
              <w:right w:val="single" w:color="auto" w:sz="8" w:space="0"/>
            </w:tcBorders>
            <w:shd w:val="clear" w:color="auto" w:fill="auto"/>
            <w:vAlign w:val="center"/>
          </w:tcPr>
          <w:p w14:paraId="690EEFAD">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1149</w:t>
            </w:r>
          </w:p>
        </w:tc>
        <w:tc>
          <w:tcPr>
            <w:tcW w:w="1080" w:type="dxa"/>
            <w:tcBorders>
              <w:top w:val="nil"/>
              <w:left w:val="nil"/>
              <w:bottom w:val="single" w:color="auto" w:sz="8" w:space="0"/>
              <w:right w:val="single" w:color="auto" w:sz="8" w:space="0"/>
            </w:tcBorders>
            <w:shd w:val="clear" w:color="auto" w:fill="auto"/>
            <w:vAlign w:val="center"/>
          </w:tcPr>
          <w:p w14:paraId="518EBC9B">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2.1%</w:t>
            </w:r>
          </w:p>
        </w:tc>
        <w:tc>
          <w:tcPr>
            <w:tcW w:w="1080" w:type="dxa"/>
            <w:tcBorders>
              <w:top w:val="nil"/>
              <w:left w:val="nil"/>
              <w:bottom w:val="single" w:color="auto" w:sz="8" w:space="0"/>
              <w:right w:val="single" w:color="auto" w:sz="8" w:space="0"/>
            </w:tcBorders>
            <w:shd w:val="clear" w:color="auto" w:fill="auto"/>
            <w:vAlign w:val="center"/>
          </w:tcPr>
          <w:p w14:paraId="1366E2ED">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-23</w:t>
            </w:r>
          </w:p>
        </w:tc>
        <w:tc>
          <w:tcPr>
            <w:tcW w:w="1080" w:type="dxa"/>
            <w:tcBorders>
              <w:top w:val="nil"/>
              <w:left w:val="nil"/>
              <w:bottom w:val="single" w:color="auto" w:sz="8" w:space="0"/>
              <w:right w:val="single" w:color="auto" w:sz="8" w:space="0"/>
            </w:tcBorders>
            <w:shd w:val="clear" w:color="auto" w:fill="auto"/>
            <w:vAlign w:val="center"/>
          </w:tcPr>
          <w:p w14:paraId="3CCD75BF">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-2.0%</w:t>
            </w:r>
          </w:p>
        </w:tc>
      </w:tr>
      <w:tr w14:paraId="71E87A31">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00EE517D">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城镇土地使用税</w:t>
            </w:r>
          </w:p>
        </w:tc>
        <w:tc>
          <w:tcPr>
            <w:tcW w:w="1080" w:type="dxa"/>
            <w:tcBorders>
              <w:top w:val="nil"/>
              <w:left w:val="nil"/>
              <w:bottom w:val="single" w:color="auto" w:sz="8" w:space="0"/>
              <w:right w:val="single" w:color="auto" w:sz="8" w:space="0"/>
            </w:tcBorders>
            <w:shd w:val="clear" w:color="auto" w:fill="auto"/>
            <w:vAlign w:val="center"/>
          </w:tcPr>
          <w:p w14:paraId="74037D29">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1301</w:t>
            </w:r>
          </w:p>
        </w:tc>
        <w:tc>
          <w:tcPr>
            <w:tcW w:w="1080" w:type="dxa"/>
            <w:tcBorders>
              <w:top w:val="nil"/>
              <w:left w:val="nil"/>
              <w:bottom w:val="single" w:color="auto" w:sz="8" w:space="0"/>
              <w:right w:val="single" w:color="auto" w:sz="8" w:space="0"/>
            </w:tcBorders>
            <w:shd w:val="clear" w:color="auto" w:fill="auto"/>
            <w:vAlign w:val="center"/>
          </w:tcPr>
          <w:p w14:paraId="77A86054">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3.2%</w:t>
            </w:r>
          </w:p>
        </w:tc>
        <w:tc>
          <w:tcPr>
            <w:tcW w:w="1080" w:type="dxa"/>
            <w:tcBorders>
              <w:top w:val="nil"/>
              <w:left w:val="nil"/>
              <w:bottom w:val="single" w:color="auto" w:sz="8" w:space="0"/>
              <w:right w:val="single" w:color="auto" w:sz="8" w:space="0"/>
            </w:tcBorders>
            <w:shd w:val="clear" w:color="auto" w:fill="auto"/>
            <w:vAlign w:val="center"/>
          </w:tcPr>
          <w:p w14:paraId="65B14ED9">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1113</w:t>
            </w:r>
          </w:p>
        </w:tc>
        <w:tc>
          <w:tcPr>
            <w:tcW w:w="1080" w:type="dxa"/>
            <w:tcBorders>
              <w:top w:val="nil"/>
              <w:left w:val="nil"/>
              <w:bottom w:val="single" w:color="auto" w:sz="8" w:space="0"/>
              <w:right w:val="single" w:color="auto" w:sz="8" w:space="0"/>
            </w:tcBorders>
            <w:shd w:val="clear" w:color="auto" w:fill="auto"/>
            <w:vAlign w:val="center"/>
          </w:tcPr>
          <w:p w14:paraId="340093A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2.1%</w:t>
            </w:r>
          </w:p>
        </w:tc>
        <w:tc>
          <w:tcPr>
            <w:tcW w:w="1080" w:type="dxa"/>
            <w:tcBorders>
              <w:top w:val="nil"/>
              <w:left w:val="nil"/>
              <w:bottom w:val="single" w:color="auto" w:sz="8" w:space="0"/>
              <w:right w:val="single" w:color="auto" w:sz="8" w:space="0"/>
            </w:tcBorders>
            <w:shd w:val="clear" w:color="auto" w:fill="auto"/>
            <w:vAlign w:val="center"/>
          </w:tcPr>
          <w:p w14:paraId="5FDDC75F">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188</w:t>
            </w:r>
          </w:p>
        </w:tc>
        <w:tc>
          <w:tcPr>
            <w:tcW w:w="1080" w:type="dxa"/>
            <w:tcBorders>
              <w:top w:val="nil"/>
              <w:left w:val="nil"/>
              <w:bottom w:val="single" w:color="auto" w:sz="8" w:space="0"/>
              <w:right w:val="single" w:color="auto" w:sz="8" w:space="0"/>
            </w:tcBorders>
            <w:shd w:val="clear" w:color="auto" w:fill="auto"/>
            <w:vAlign w:val="center"/>
          </w:tcPr>
          <w:p w14:paraId="24462A21">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16.9%</w:t>
            </w:r>
          </w:p>
        </w:tc>
      </w:tr>
      <w:tr w14:paraId="5F34BEAF">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1BF636DF">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土地增值税</w:t>
            </w:r>
          </w:p>
        </w:tc>
        <w:tc>
          <w:tcPr>
            <w:tcW w:w="1080" w:type="dxa"/>
            <w:tcBorders>
              <w:top w:val="nil"/>
              <w:left w:val="nil"/>
              <w:bottom w:val="single" w:color="auto" w:sz="8" w:space="0"/>
              <w:right w:val="single" w:color="auto" w:sz="8" w:space="0"/>
            </w:tcBorders>
            <w:shd w:val="clear" w:color="auto" w:fill="auto"/>
            <w:vAlign w:val="center"/>
          </w:tcPr>
          <w:p w14:paraId="37FF46E6">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2713</w:t>
            </w:r>
          </w:p>
        </w:tc>
        <w:tc>
          <w:tcPr>
            <w:tcW w:w="1080" w:type="dxa"/>
            <w:tcBorders>
              <w:top w:val="nil"/>
              <w:left w:val="nil"/>
              <w:bottom w:val="single" w:color="auto" w:sz="8" w:space="0"/>
              <w:right w:val="single" w:color="auto" w:sz="8" w:space="0"/>
            </w:tcBorders>
            <w:shd w:val="clear" w:color="auto" w:fill="auto"/>
            <w:vAlign w:val="center"/>
          </w:tcPr>
          <w:p w14:paraId="2C0C7F5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6.8%</w:t>
            </w:r>
          </w:p>
        </w:tc>
        <w:tc>
          <w:tcPr>
            <w:tcW w:w="1080" w:type="dxa"/>
            <w:tcBorders>
              <w:top w:val="nil"/>
              <w:left w:val="nil"/>
              <w:bottom w:val="single" w:color="auto" w:sz="8" w:space="0"/>
              <w:right w:val="single" w:color="auto" w:sz="8" w:space="0"/>
            </w:tcBorders>
            <w:shd w:val="clear" w:color="auto" w:fill="auto"/>
            <w:vAlign w:val="center"/>
          </w:tcPr>
          <w:p w14:paraId="41BEDB39">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4033</w:t>
            </w:r>
          </w:p>
        </w:tc>
        <w:tc>
          <w:tcPr>
            <w:tcW w:w="1080" w:type="dxa"/>
            <w:tcBorders>
              <w:top w:val="nil"/>
              <w:left w:val="nil"/>
              <w:bottom w:val="single" w:color="auto" w:sz="8" w:space="0"/>
              <w:right w:val="single" w:color="auto" w:sz="8" w:space="0"/>
            </w:tcBorders>
            <w:shd w:val="clear" w:color="auto" w:fill="auto"/>
            <w:vAlign w:val="center"/>
          </w:tcPr>
          <w:p w14:paraId="0BD32939">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7.5%</w:t>
            </w:r>
          </w:p>
        </w:tc>
        <w:tc>
          <w:tcPr>
            <w:tcW w:w="1080" w:type="dxa"/>
            <w:tcBorders>
              <w:top w:val="nil"/>
              <w:left w:val="nil"/>
              <w:bottom w:val="single" w:color="auto" w:sz="8" w:space="0"/>
              <w:right w:val="single" w:color="auto" w:sz="8" w:space="0"/>
            </w:tcBorders>
            <w:shd w:val="clear" w:color="auto" w:fill="auto"/>
            <w:vAlign w:val="center"/>
          </w:tcPr>
          <w:p w14:paraId="18FFD47E">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-1320</w:t>
            </w:r>
          </w:p>
        </w:tc>
        <w:tc>
          <w:tcPr>
            <w:tcW w:w="1080" w:type="dxa"/>
            <w:tcBorders>
              <w:top w:val="nil"/>
              <w:left w:val="nil"/>
              <w:bottom w:val="single" w:color="auto" w:sz="8" w:space="0"/>
              <w:right w:val="single" w:color="auto" w:sz="8" w:space="0"/>
            </w:tcBorders>
            <w:shd w:val="clear" w:color="auto" w:fill="auto"/>
            <w:vAlign w:val="center"/>
          </w:tcPr>
          <w:p w14:paraId="4F6189DA">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-32.7%</w:t>
            </w:r>
          </w:p>
        </w:tc>
      </w:tr>
      <w:tr w14:paraId="6D9F3506">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7B58C3BB">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车船税</w:t>
            </w:r>
          </w:p>
        </w:tc>
        <w:tc>
          <w:tcPr>
            <w:tcW w:w="1080" w:type="dxa"/>
            <w:tcBorders>
              <w:top w:val="nil"/>
              <w:left w:val="nil"/>
              <w:bottom w:val="single" w:color="auto" w:sz="8" w:space="0"/>
              <w:right w:val="single" w:color="auto" w:sz="8" w:space="0"/>
            </w:tcBorders>
            <w:shd w:val="clear" w:color="auto" w:fill="auto"/>
            <w:vAlign w:val="center"/>
          </w:tcPr>
          <w:p w14:paraId="04E6575C">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3938</w:t>
            </w:r>
          </w:p>
        </w:tc>
        <w:tc>
          <w:tcPr>
            <w:tcW w:w="1080" w:type="dxa"/>
            <w:tcBorders>
              <w:top w:val="nil"/>
              <w:left w:val="nil"/>
              <w:bottom w:val="single" w:color="auto" w:sz="8" w:space="0"/>
              <w:right w:val="single" w:color="auto" w:sz="8" w:space="0"/>
            </w:tcBorders>
            <w:shd w:val="clear" w:color="auto" w:fill="auto"/>
            <w:vAlign w:val="center"/>
          </w:tcPr>
          <w:p w14:paraId="56847BFC">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9.8%</w:t>
            </w:r>
          </w:p>
        </w:tc>
        <w:tc>
          <w:tcPr>
            <w:tcW w:w="1080" w:type="dxa"/>
            <w:tcBorders>
              <w:top w:val="nil"/>
              <w:left w:val="nil"/>
              <w:bottom w:val="single" w:color="auto" w:sz="8" w:space="0"/>
              <w:right w:val="single" w:color="auto" w:sz="8" w:space="0"/>
            </w:tcBorders>
            <w:shd w:val="clear" w:color="auto" w:fill="auto"/>
            <w:vAlign w:val="center"/>
          </w:tcPr>
          <w:p w14:paraId="1E643A3E">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2106</w:t>
            </w:r>
          </w:p>
        </w:tc>
        <w:tc>
          <w:tcPr>
            <w:tcW w:w="1080" w:type="dxa"/>
            <w:tcBorders>
              <w:top w:val="nil"/>
              <w:left w:val="nil"/>
              <w:bottom w:val="single" w:color="auto" w:sz="8" w:space="0"/>
              <w:right w:val="single" w:color="auto" w:sz="8" w:space="0"/>
            </w:tcBorders>
            <w:shd w:val="clear" w:color="auto" w:fill="auto"/>
            <w:vAlign w:val="center"/>
          </w:tcPr>
          <w:p w14:paraId="39C1D5D0">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3.9%</w:t>
            </w:r>
          </w:p>
        </w:tc>
        <w:tc>
          <w:tcPr>
            <w:tcW w:w="1080" w:type="dxa"/>
            <w:tcBorders>
              <w:top w:val="nil"/>
              <w:left w:val="nil"/>
              <w:bottom w:val="single" w:color="auto" w:sz="8" w:space="0"/>
              <w:right w:val="single" w:color="auto" w:sz="8" w:space="0"/>
            </w:tcBorders>
            <w:shd w:val="clear" w:color="auto" w:fill="auto"/>
            <w:vAlign w:val="center"/>
          </w:tcPr>
          <w:p w14:paraId="55ADD871">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1832</w:t>
            </w:r>
          </w:p>
        </w:tc>
        <w:tc>
          <w:tcPr>
            <w:tcW w:w="1080" w:type="dxa"/>
            <w:tcBorders>
              <w:top w:val="nil"/>
              <w:left w:val="nil"/>
              <w:bottom w:val="single" w:color="auto" w:sz="8" w:space="0"/>
              <w:right w:val="single" w:color="auto" w:sz="8" w:space="0"/>
            </w:tcBorders>
            <w:shd w:val="clear" w:color="auto" w:fill="auto"/>
            <w:vAlign w:val="center"/>
          </w:tcPr>
          <w:p w14:paraId="2A65882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87.0%</w:t>
            </w:r>
          </w:p>
        </w:tc>
      </w:tr>
      <w:tr w14:paraId="6BB920D9">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110F32E9">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耕地占用税</w:t>
            </w:r>
          </w:p>
        </w:tc>
        <w:tc>
          <w:tcPr>
            <w:tcW w:w="1080" w:type="dxa"/>
            <w:tcBorders>
              <w:top w:val="nil"/>
              <w:left w:val="nil"/>
              <w:bottom w:val="single" w:color="auto" w:sz="8" w:space="0"/>
              <w:right w:val="single" w:color="auto" w:sz="8" w:space="0"/>
            </w:tcBorders>
            <w:shd w:val="clear" w:color="auto" w:fill="auto"/>
            <w:vAlign w:val="center"/>
          </w:tcPr>
          <w:p w14:paraId="2426518A">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294</w:t>
            </w:r>
          </w:p>
        </w:tc>
        <w:tc>
          <w:tcPr>
            <w:tcW w:w="1080" w:type="dxa"/>
            <w:tcBorders>
              <w:top w:val="nil"/>
              <w:left w:val="nil"/>
              <w:bottom w:val="single" w:color="auto" w:sz="8" w:space="0"/>
              <w:right w:val="single" w:color="auto" w:sz="8" w:space="0"/>
            </w:tcBorders>
            <w:shd w:val="clear" w:color="auto" w:fill="auto"/>
            <w:vAlign w:val="center"/>
          </w:tcPr>
          <w:p w14:paraId="41B68E2E">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0.7%</w:t>
            </w:r>
          </w:p>
        </w:tc>
        <w:tc>
          <w:tcPr>
            <w:tcW w:w="1080" w:type="dxa"/>
            <w:tcBorders>
              <w:top w:val="nil"/>
              <w:left w:val="nil"/>
              <w:bottom w:val="single" w:color="auto" w:sz="8" w:space="0"/>
              <w:right w:val="single" w:color="auto" w:sz="8" w:space="0"/>
            </w:tcBorders>
            <w:shd w:val="clear" w:color="auto" w:fill="auto"/>
            <w:vAlign w:val="center"/>
          </w:tcPr>
          <w:p w14:paraId="511386AB">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-318</w:t>
            </w:r>
          </w:p>
        </w:tc>
        <w:tc>
          <w:tcPr>
            <w:tcW w:w="1080" w:type="dxa"/>
            <w:tcBorders>
              <w:top w:val="nil"/>
              <w:left w:val="nil"/>
              <w:bottom w:val="single" w:color="auto" w:sz="8" w:space="0"/>
              <w:right w:val="single" w:color="auto" w:sz="8" w:space="0"/>
            </w:tcBorders>
            <w:shd w:val="clear" w:color="auto" w:fill="auto"/>
            <w:vAlign w:val="center"/>
          </w:tcPr>
          <w:p w14:paraId="726FE796">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-0.6%</w:t>
            </w:r>
          </w:p>
        </w:tc>
        <w:tc>
          <w:tcPr>
            <w:tcW w:w="1080" w:type="dxa"/>
            <w:tcBorders>
              <w:top w:val="nil"/>
              <w:left w:val="nil"/>
              <w:bottom w:val="single" w:color="auto" w:sz="8" w:space="0"/>
              <w:right w:val="single" w:color="auto" w:sz="8" w:space="0"/>
            </w:tcBorders>
            <w:shd w:val="clear" w:color="auto" w:fill="auto"/>
            <w:vAlign w:val="center"/>
          </w:tcPr>
          <w:p w14:paraId="511A28DA">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612</w:t>
            </w:r>
          </w:p>
        </w:tc>
        <w:tc>
          <w:tcPr>
            <w:tcW w:w="1080" w:type="dxa"/>
            <w:tcBorders>
              <w:top w:val="nil"/>
              <w:left w:val="nil"/>
              <w:bottom w:val="single" w:color="auto" w:sz="8" w:space="0"/>
              <w:right w:val="single" w:color="auto" w:sz="8" w:space="0"/>
            </w:tcBorders>
            <w:shd w:val="clear" w:color="auto" w:fill="auto"/>
            <w:vAlign w:val="center"/>
          </w:tcPr>
          <w:p w14:paraId="2039BF7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-192.5%</w:t>
            </w:r>
          </w:p>
        </w:tc>
      </w:tr>
      <w:tr w14:paraId="63A5A337">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000000" w:fill="FFFFFF"/>
            <w:vAlign w:val="center"/>
          </w:tcPr>
          <w:p w14:paraId="71CE89D8">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契税</w:t>
            </w:r>
          </w:p>
        </w:tc>
        <w:tc>
          <w:tcPr>
            <w:tcW w:w="1080" w:type="dxa"/>
            <w:tcBorders>
              <w:top w:val="nil"/>
              <w:left w:val="nil"/>
              <w:bottom w:val="single" w:color="auto" w:sz="8" w:space="0"/>
              <w:right w:val="single" w:color="auto" w:sz="8" w:space="0"/>
            </w:tcBorders>
            <w:shd w:val="clear" w:color="auto" w:fill="auto"/>
            <w:vAlign w:val="center"/>
          </w:tcPr>
          <w:p w14:paraId="3DF1D14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3336</w:t>
            </w:r>
          </w:p>
        </w:tc>
        <w:tc>
          <w:tcPr>
            <w:tcW w:w="1080" w:type="dxa"/>
            <w:tcBorders>
              <w:top w:val="nil"/>
              <w:left w:val="nil"/>
              <w:bottom w:val="single" w:color="auto" w:sz="8" w:space="0"/>
              <w:right w:val="single" w:color="auto" w:sz="8" w:space="0"/>
            </w:tcBorders>
            <w:shd w:val="clear" w:color="auto" w:fill="auto"/>
            <w:vAlign w:val="center"/>
          </w:tcPr>
          <w:p w14:paraId="355D9951">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8.3%</w:t>
            </w:r>
          </w:p>
        </w:tc>
        <w:tc>
          <w:tcPr>
            <w:tcW w:w="1080" w:type="dxa"/>
            <w:tcBorders>
              <w:top w:val="nil"/>
              <w:left w:val="nil"/>
              <w:bottom w:val="single" w:color="auto" w:sz="8" w:space="0"/>
              <w:right w:val="single" w:color="auto" w:sz="8" w:space="0"/>
            </w:tcBorders>
            <w:shd w:val="clear" w:color="auto" w:fill="auto"/>
            <w:vAlign w:val="center"/>
          </w:tcPr>
          <w:p w14:paraId="2DC09FD3">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2877</w:t>
            </w:r>
          </w:p>
        </w:tc>
        <w:tc>
          <w:tcPr>
            <w:tcW w:w="1080" w:type="dxa"/>
            <w:tcBorders>
              <w:top w:val="nil"/>
              <w:left w:val="nil"/>
              <w:bottom w:val="single" w:color="auto" w:sz="8" w:space="0"/>
              <w:right w:val="single" w:color="auto" w:sz="8" w:space="0"/>
            </w:tcBorders>
            <w:shd w:val="clear" w:color="auto" w:fill="auto"/>
            <w:vAlign w:val="center"/>
          </w:tcPr>
          <w:p w14:paraId="72332AD2">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5.4%</w:t>
            </w:r>
          </w:p>
        </w:tc>
        <w:tc>
          <w:tcPr>
            <w:tcW w:w="1080" w:type="dxa"/>
            <w:tcBorders>
              <w:top w:val="nil"/>
              <w:left w:val="nil"/>
              <w:bottom w:val="single" w:color="auto" w:sz="8" w:space="0"/>
              <w:right w:val="single" w:color="auto" w:sz="8" w:space="0"/>
            </w:tcBorders>
            <w:shd w:val="clear" w:color="auto" w:fill="auto"/>
            <w:vAlign w:val="center"/>
          </w:tcPr>
          <w:p w14:paraId="3C322313">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459</w:t>
            </w:r>
          </w:p>
        </w:tc>
        <w:tc>
          <w:tcPr>
            <w:tcW w:w="1080" w:type="dxa"/>
            <w:tcBorders>
              <w:top w:val="nil"/>
              <w:left w:val="nil"/>
              <w:bottom w:val="single" w:color="auto" w:sz="8" w:space="0"/>
              <w:right w:val="single" w:color="auto" w:sz="8" w:space="0"/>
            </w:tcBorders>
            <w:shd w:val="clear" w:color="auto" w:fill="auto"/>
            <w:vAlign w:val="center"/>
          </w:tcPr>
          <w:p w14:paraId="188D4A50">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16.0%</w:t>
            </w:r>
          </w:p>
        </w:tc>
      </w:tr>
      <w:tr w14:paraId="31027762">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auto" w:fill="auto"/>
            <w:vAlign w:val="center"/>
          </w:tcPr>
          <w:p w14:paraId="72B5D1CA">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环境保护税</w:t>
            </w:r>
          </w:p>
        </w:tc>
        <w:tc>
          <w:tcPr>
            <w:tcW w:w="1080" w:type="dxa"/>
            <w:tcBorders>
              <w:top w:val="nil"/>
              <w:left w:val="nil"/>
              <w:bottom w:val="single" w:color="auto" w:sz="8" w:space="0"/>
              <w:right w:val="single" w:color="auto" w:sz="8" w:space="0"/>
            </w:tcBorders>
            <w:shd w:val="clear" w:color="auto" w:fill="auto"/>
            <w:vAlign w:val="center"/>
          </w:tcPr>
          <w:p w14:paraId="1261BC2F">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136</w:t>
            </w:r>
          </w:p>
        </w:tc>
        <w:tc>
          <w:tcPr>
            <w:tcW w:w="1080" w:type="dxa"/>
            <w:tcBorders>
              <w:top w:val="nil"/>
              <w:left w:val="nil"/>
              <w:bottom w:val="single" w:color="auto" w:sz="8" w:space="0"/>
              <w:right w:val="single" w:color="auto" w:sz="8" w:space="0"/>
            </w:tcBorders>
            <w:shd w:val="clear" w:color="auto" w:fill="auto"/>
            <w:vAlign w:val="center"/>
          </w:tcPr>
          <w:p w14:paraId="6D4640C7">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0.3%</w:t>
            </w:r>
          </w:p>
        </w:tc>
        <w:tc>
          <w:tcPr>
            <w:tcW w:w="1080" w:type="dxa"/>
            <w:tcBorders>
              <w:top w:val="nil"/>
              <w:left w:val="nil"/>
              <w:bottom w:val="single" w:color="auto" w:sz="8" w:space="0"/>
              <w:right w:val="single" w:color="auto" w:sz="8" w:space="0"/>
            </w:tcBorders>
            <w:shd w:val="clear" w:color="auto" w:fill="auto"/>
            <w:vAlign w:val="center"/>
          </w:tcPr>
          <w:p w14:paraId="73684AAF">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83</w:t>
            </w:r>
          </w:p>
        </w:tc>
        <w:tc>
          <w:tcPr>
            <w:tcW w:w="1080" w:type="dxa"/>
            <w:tcBorders>
              <w:top w:val="nil"/>
              <w:left w:val="nil"/>
              <w:bottom w:val="single" w:color="auto" w:sz="8" w:space="0"/>
              <w:right w:val="single" w:color="auto" w:sz="8" w:space="0"/>
            </w:tcBorders>
            <w:shd w:val="clear" w:color="auto" w:fill="auto"/>
            <w:vAlign w:val="center"/>
          </w:tcPr>
          <w:p w14:paraId="767AEEE8">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0.2%</w:t>
            </w:r>
          </w:p>
        </w:tc>
        <w:tc>
          <w:tcPr>
            <w:tcW w:w="1080" w:type="dxa"/>
            <w:tcBorders>
              <w:top w:val="nil"/>
              <w:left w:val="nil"/>
              <w:bottom w:val="single" w:color="auto" w:sz="8" w:space="0"/>
              <w:right w:val="single" w:color="auto" w:sz="8" w:space="0"/>
            </w:tcBorders>
            <w:shd w:val="clear" w:color="auto" w:fill="auto"/>
            <w:vAlign w:val="center"/>
          </w:tcPr>
          <w:p w14:paraId="67420E0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53</w:t>
            </w:r>
          </w:p>
        </w:tc>
        <w:tc>
          <w:tcPr>
            <w:tcW w:w="1080" w:type="dxa"/>
            <w:tcBorders>
              <w:top w:val="nil"/>
              <w:left w:val="nil"/>
              <w:bottom w:val="single" w:color="auto" w:sz="8" w:space="0"/>
              <w:right w:val="single" w:color="auto" w:sz="8" w:space="0"/>
            </w:tcBorders>
            <w:shd w:val="clear" w:color="auto" w:fill="auto"/>
            <w:vAlign w:val="center"/>
          </w:tcPr>
          <w:p w14:paraId="7D4D7D66">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63.9%</w:t>
            </w:r>
          </w:p>
        </w:tc>
      </w:tr>
      <w:tr w14:paraId="4F8BFC02">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auto" w:fill="auto"/>
            <w:vAlign w:val="center"/>
          </w:tcPr>
          <w:p w14:paraId="29804ABF">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其他税收收入</w:t>
            </w:r>
          </w:p>
        </w:tc>
        <w:tc>
          <w:tcPr>
            <w:tcW w:w="1080" w:type="dxa"/>
            <w:tcBorders>
              <w:top w:val="nil"/>
              <w:left w:val="nil"/>
              <w:bottom w:val="single" w:color="auto" w:sz="8" w:space="0"/>
              <w:right w:val="single" w:color="auto" w:sz="8" w:space="0"/>
            </w:tcBorders>
            <w:shd w:val="clear" w:color="auto" w:fill="auto"/>
            <w:vAlign w:val="center"/>
          </w:tcPr>
          <w:p w14:paraId="3EDBAD55">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14</w:t>
            </w:r>
          </w:p>
        </w:tc>
        <w:tc>
          <w:tcPr>
            <w:tcW w:w="1080" w:type="dxa"/>
            <w:tcBorders>
              <w:top w:val="nil"/>
              <w:left w:val="nil"/>
              <w:bottom w:val="single" w:color="auto" w:sz="8" w:space="0"/>
              <w:right w:val="single" w:color="auto" w:sz="8" w:space="0"/>
            </w:tcBorders>
            <w:shd w:val="clear" w:color="auto" w:fill="auto"/>
            <w:vAlign w:val="center"/>
          </w:tcPr>
          <w:p w14:paraId="6CE891E6">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0.0%</w:t>
            </w:r>
          </w:p>
        </w:tc>
        <w:tc>
          <w:tcPr>
            <w:tcW w:w="1080" w:type="dxa"/>
            <w:tcBorders>
              <w:top w:val="nil"/>
              <w:left w:val="nil"/>
              <w:bottom w:val="single" w:color="auto" w:sz="8" w:space="0"/>
              <w:right w:val="single" w:color="auto" w:sz="8" w:space="0"/>
            </w:tcBorders>
            <w:shd w:val="clear" w:color="auto" w:fill="auto"/>
            <w:vAlign w:val="center"/>
          </w:tcPr>
          <w:p w14:paraId="50CF74E1">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8</w:t>
            </w:r>
          </w:p>
        </w:tc>
        <w:tc>
          <w:tcPr>
            <w:tcW w:w="1080" w:type="dxa"/>
            <w:tcBorders>
              <w:top w:val="nil"/>
              <w:left w:val="nil"/>
              <w:bottom w:val="single" w:color="auto" w:sz="8" w:space="0"/>
              <w:right w:val="single" w:color="auto" w:sz="8" w:space="0"/>
            </w:tcBorders>
            <w:shd w:val="clear" w:color="auto" w:fill="auto"/>
            <w:vAlign w:val="center"/>
          </w:tcPr>
          <w:p w14:paraId="45118DFA">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0.0%</w:t>
            </w:r>
          </w:p>
        </w:tc>
        <w:tc>
          <w:tcPr>
            <w:tcW w:w="1080" w:type="dxa"/>
            <w:tcBorders>
              <w:top w:val="nil"/>
              <w:left w:val="nil"/>
              <w:bottom w:val="single" w:color="auto" w:sz="8" w:space="0"/>
              <w:right w:val="single" w:color="auto" w:sz="8" w:space="0"/>
            </w:tcBorders>
            <w:shd w:val="clear" w:color="auto" w:fill="auto"/>
            <w:vAlign w:val="center"/>
          </w:tcPr>
          <w:p w14:paraId="7EBC052F">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6</w:t>
            </w:r>
          </w:p>
        </w:tc>
        <w:tc>
          <w:tcPr>
            <w:tcW w:w="1080" w:type="dxa"/>
            <w:tcBorders>
              <w:top w:val="nil"/>
              <w:left w:val="nil"/>
              <w:bottom w:val="single" w:color="auto" w:sz="8" w:space="0"/>
              <w:right w:val="single" w:color="auto" w:sz="8" w:space="0"/>
            </w:tcBorders>
            <w:shd w:val="clear" w:color="auto" w:fill="auto"/>
            <w:vAlign w:val="center"/>
          </w:tcPr>
          <w:p w14:paraId="68CACC9F">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75.0%</w:t>
            </w:r>
          </w:p>
        </w:tc>
      </w:tr>
      <w:tr w14:paraId="6CC6D6DD">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auto" w:fill="auto"/>
            <w:vAlign w:val="center"/>
          </w:tcPr>
          <w:p w14:paraId="556C9EA5">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非税收入</w:t>
            </w:r>
          </w:p>
        </w:tc>
        <w:tc>
          <w:tcPr>
            <w:tcW w:w="1080" w:type="dxa"/>
            <w:tcBorders>
              <w:top w:val="nil"/>
              <w:left w:val="nil"/>
              <w:bottom w:val="single" w:color="auto" w:sz="8" w:space="0"/>
              <w:right w:val="single" w:color="auto" w:sz="8" w:space="0"/>
            </w:tcBorders>
            <w:shd w:val="clear" w:color="auto" w:fill="auto"/>
            <w:vAlign w:val="center"/>
          </w:tcPr>
          <w:p w14:paraId="74FFB4BF">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9574</w:t>
            </w:r>
          </w:p>
        </w:tc>
        <w:tc>
          <w:tcPr>
            <w:tcW w:w="1080" w:type="dxa"/>
            <w:tcBorders>
              <w:top w:val="nil"/>
              <w:left w:val="nil"/>
              <w:bottom w:val="single" w:color="auto" w:sz="8" w:space="0"/>
              <w:right w:val="single" w:color="auto" w:sz="8" w:space="0"/>
            </w:tcBorders>
            <w:shd w:val="clear" w:color="auto" w:fill="auto"/>
            <w:vAlign w:val="center"/>
          </w:tcPr>
          <w:p w14:paraId="5D314683">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23.8%</w:t>
            </w:r>
          </w:p>
        </w:tc>
        <w:tc>
          <w:tcPr>
            <w:tcW w:w="1080" w:type="dxa"/>
            <w:tcBorders>
              <w:top w:val="nil"/>
              <w:left w:val="nil"/>
              <w:bottom w:val="single" w:color="auto" w:sz="8" w:space="0"/>
              <w:right w:val="single" w:color="auto" w:sz="8" w:space="0"/>
            </w:tcBorders>
            <w:shd w:val="clear" w:color="auto" w:fill="auto"/>
            <w:vAlign w:val="center"/>
          </w:tcPr>
          <w:p w14:paraId="283BD055">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23729</w:t>
            </w:r>
          </w:p>
        </w:tc>
        <w:tc>
          <w:tcPr>
            <w:tcW w:w="1080" w:type="dxa"/>
            <w:tcBorders>
              <w:top w:val="nil"/>
              <w:left w:val="nil"/>
              <w:bottom w:val="single" w:color="auto" w:sz="8" w:space="0"/>
              <w:right w:val="single" w:color="auto" w:sz="8" w:space="0"/>
            </w:tcBorders>
            <w:shd w:val="clear" w:color="auto" w:fill="auto"/>
            <w:vAlign w:val="center"/>
          </w:tcPr>
          <w:p w14:paraId="05CA1A49">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44.1%</w:t>
            </w:r>
          </w:p>
        </w:tc>
        <w:tc>
          <w:tcPr>
            <w:tcW w:w="1080" w:type="dxa"/>
            <w:tcBorders>
              <w:top w:val="nil"/>
              <w:left w:val="nil"/>
              <w:bottom w:val="single" w:color="auto" w:sz="8" w:space="0"/>
              <w:right w:val="single" w:color="auto" w:sz="8" w:space="0"/>
            </w:tcBorders>
            <w:shd w:val="clear" w:color="auto" w:fill="auto"/>
            <w:vAlign w:val="center"/>
          </w:tcPr>
          <w:p w14:paraId="7383039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-14155</w:t>
            </w:r>
          </w:p>
        </w:tc>
        <w:tc>
          <w:tcPr>
            <w:tcW w:w="1080" w:type="dxa"/>
            <w:tcBorders>
              <w:top w:val="nil"/>
              <w:left w:val="nil"/>
              <w:bottom w:val="single" w:color="auto" w:sz="8" w:space="0"/>
              <w:right w:val="single" w:color="auto" w:sz="8" w:space="0"/>
            </w:tcBorders>
            <w:shd w:val="clear" w:color="auto" w:fill="auto"/>
            <w:vAlign w:val="center"/>
          </w:tcPr>
          <w:p w14:paraId="03F7483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-59.7%</w:t>
            </w:r>
          </w:p>
        </w:tc>
      </w:tr>
      <w:tr w14:paraId="66C4F499">
        <w:tblPrEx>
          <w:tblCellMar>
            <w:top w:w="0" w:type="dxa"/>
            <w:left w:w="108" w:type="dxa"/>
            <w:bottom w:w="0" w:type="dxa"/>
            <w:right w:w="108" w:type="dxa"/>
          </w:tblCellMar>
        </w:tblPrEx>
        <w:trPr>
          <w:trHeight w:val="405" w:hRule="atLeast"/>
        </w:trPr>
        <w:tc>
          <w:tcPr>
            <w:tcW w:w="2220" w:type="dxa"/>
            <w:tcBorders>
              <w:top w:val="nil"/>
              <w:left w:val="single" w:color="auto" w:sz="8" w:space="0"/>
              <w:bottom w:val="single" w:color="auto" w:sz="8" w:space="0"/>
              <w:right w:val="single" w:color="auto" w:sz="8" w:space="0"/>
            </w:tcBorders>
            <w:shd w:val="clear" w:color="auto" w:fill="auto"/>
            <w:vAlign w:val="center"/>
          </w:tcPr>
          <w:p w14:paraId="3D17A3B7">
            <w:pPr>
              <w:widowControl/>
              <w:jc w:val="left"/>
              <w:rPr>
                <w:rFonts w:ascii="楷体_GB2312" w:hAnsi="宋体" w:eastAsia="楷体_GB2312" w:cs="宋体"/>
                <w:b/>
                <w:bCs/>
                <w:color w:val="000000"/>
                <w:kern w:val="0"/>
                <w:sz w:val="20"/>
                <w:szCs w:val="20"/>
              </w:rPr>
            </w:pPr>
            <w:r>
              <w:rPr>
                <w:rFonts w:hint="eastAsia" w:ascii="楷体_GB2312" w:hAnsi="宋体" w:eastAsia="楷体_GB2312" w:cs="宋体"/>
                <w:b/>
                <w:bCs/>
                <w:color w:val="000000"/>
                <w:kern w:val="0"/>
                <w:sz w:val="20"/>
                <w:szCs w:val="20"/>
              </w:rPr>
              <w:t>合计</w:t>
            </w:r>
          </w:p>
        </w:tc>
        <w:tc>
          <w:tcPr>
            <w:tcW w:w="1080" w:type="dxa"/>
            <w:tcBorders>
              <w:top w:val="nil"/>
              <w:left w:val="nil"/>
              <w:bottom w:val="single" w:color="auto" w:sz="8" w:space="0"/>
              <w:right w:val="single" w:color="auto" w:sz="8" w:space="0"/>
            </w:tcBorders>
            <w:shd w:val="clear" w:color="auto" w:fill="auto"/>
            <w:vAlign w:val="center"/>
          </w:tcPr>
          <w:p w14:paraId="6EAD4210">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40153</w:t>
            </w:r>
          </w:p>
        </w:tc>
        <w:tc>
          <w:tcPr>
            <w:tcW w:w="1080" w:type="dxa"/>
            <w:tcBorders>
              <w:top w:val="nil"/>
              <w:left w:val="nil"/>
              <w:bottom w:val="single" w:color="auto" w:sz="8" w:space="0"/>
              <w:right w:val="single" w:color="auto" w:sz="8" w:space="0"/>
            </w:tcBorders>
            <w:shd w:val="clear" w:color="auto" w:fill="auto"/>
            <w:vAlign w:val="center"/>
          </w:tcPr>
          <w:p w14:paraId="317B1B4B">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100.0%</w:t>
            </w:r>
          </w:p>
        </w:tc>
        <w:tc>
          <w:tcPr>
            <w:tcW w:w="1080" w:type="dxa"/>
            <w:tcBorders>
              <w:top w:val="nil"/>
              <w:left w:val="nil"/>
              <w:bottom w:val="single" w:color="auto" w:sz="8" w:space="0"/>
              <w:right w:val="single" w:color="auto" w:sz="8" w:space="0"/>
            </w:tcBorders>
            <w:shd w:val="clear" w:color="auto" w:fill="auto"/>
            <w:vAlign w:val="center"/>
          </w:tcPr>
          <w:p w14:paraId="661CDFB7">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53754</w:t>
            </w:r>
          </w:p>
        </w:tc>
        <w:tc>
          <w:tcPr>
            <w:tcW w:w="1080" w:type="dxa"/>
            <w:tcBorders>
              <w:top w:val="nil"/>
              <w:left w:val="nil"/>
              <w:bottom w:val="single" w:color="auto" w:sz="8" w:space="0"/>
              <w:right w:val="single" w:color="auto" w:sz="8" w:space="0"/>
            </w:tcBorders>
            <w:shd w:val="clear" w:color="auto" w:fill="auto"/>
            <w:vAlign w:val="center"/>
          </w:tcPr>
          <w:p w14:paraId="11944CC5">
            <w:pPr>
              <w:widowControl/>
              <w:jc w:val="center"/>
              <w:rPr>
                <w:rFonts w:ascii="楷体_GB2312" w:hAnsi="宋体" w:eastAsia="楷体_GB2312" w:cs="宋体"/>
                <w:color w:val="000000"/>
                <w:kern w:val="0"/>
                <w:sz w:val="20"/>
                <w:szCs w:val="20"/>
              </w:rPr>
            </w:pPr>
            <w:r>
              <w:rPr>
                <w:rFonts w:hint="eastAsia" w:ascii="楷体_GB2312" w:hAnsi="宋体" w:eastAsia="楷体_GB2312" w:cs="宋体"/>
                <w:color w:val="000000"/>
                <w:kern w:val="0"/>
                <w:sz w:val="20"/>
                <w:szCs w:val="20"/>
              </w:rPr>
              <w:t>107.2%</w:t>
            </w:r>
          </w:p>
        </w:tc>
        <w:tc>
          <w:tcPr>
            <w:tcW w:w="1080" w:type="dxa"/>
            <w:tcBorders>
              <w:top w:val="nil"/>
              <w:left w:val="nil"/>
              <w:bottom w:val="single" w:color="auto" w:sz="8" w:space="0"/>
              <w:right w:val="single" w:color="auto" w:sz="8" w:space="0"/>
            </w:tcBorders>
            <w:shd w:val="clear" w:color="auto" w:fill="auto"/>
            <w:vAlign w:val="center"/>
          </w:tcPr>
          <w:p w14:paraId="6D84AF2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-13601</w:t>
            </w:r>
          </w:p>
        </w:tc>
        <w:tc>
          <w:tcPr>
            <w:tcW w:w="1080" w:type="dxa"/>
            <w:tcBorders>
              <w:top w:val="nil"/>
              <w:left w:val="nil"/>
              <w:bottom w:val="single" w:color="auto" w:sz="8" w:space="0"/>
              <w:right w:val="single" w:color="auto" w:sz="8" w:space="0"/>
            </w:tcBorders>
            <w:shd w:val="clear" w:color="auto" w:fill="auto"/>
            <w:vAlign w:val="center"/>
          </w:tcPr>
          <w:p w14:paraId="510E52B7">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-25.3%</w:t>
            </w:r>
          </w:p>
        </w:tc>
      </w:tr>
    </w:tbl>
    <w:p w14:paraId="78847CC4">
      <w:pPr>
        <w:rPr>
          <w:rFonts w:ascii="仿宋_GB2312" w:hAnsi="仿宋" w:eastAsia="仿宋_GB2312" w:cs="仿宋"/>
          <w:sz w:val="32"/>
        </w:rPr>
      </w:pPr>
    </w:p>
    <w:p w14:paraId="0BA02F5B">
      <w:pPr>
        <w:ind w:firstLine="640"/>
        <w:rPr>
          <w:rFonts w:ascii="宋体" w:hAnsi="宋体" w:cs="宋体"/>
          <w:b/>
          <w:bCs/>
          <w:sz w:val="32"/>
          <w:szCs w:val="32"/>
        </w:rPr>
      </w:pPr>
      <w:r>
        <w:rPr>
          <w:rFonts w:hint="eastAsia" w:ascii="宋体" w:hAnsi="宋体" w:cs="宋体"/>
          <w:b/>
          <w:bCs/>
          <w:sz w:val="32"/>
          <w:szCs w:val="32"/>
        </w:rPr>
        <w:t>（三）一般公共预算支出完成情况</w:t>
      </w:r>
    </w:p>
    <w:p w14:paraId="070BA1B8">
      <w:pPr>
        <w:ind w:firstLine="640"/>
        <w:rPr>
          <w:rFonts w:ascii="宋体" w:hAnsi="宋体" w:cs="宋体"/>
          <w:sz w:val="32"/>
        </w:rPr>
      </w:pPr>
      <w:r>
        <w:rPr>
          <w:rFonts w:hint="eastAsia" w:ascii="宋体" w:hAnsi="宋体" w:cs="宋体"/>
          <w:sz w:val="32"/>
        </w:rPr>
        <w:t>今年以来，财政部门在市委、市政府的正确领导下，认真落实积极的财政政策，加强支出预算执行管理，积极盘活财政存量，保障民生等重点支出需要。2022年一般公共预算支出312252万元，占调整预算95.3%,比上年增长13.3%。</w:t>
      </w:r>
    </w:p>
    <w:p w14:paraId="5584A5FE">
      <w:pPr>
        <w:ind w:firstLine="643"/>
        <w:jc w:val="center"/>
      </w:pPr>
      <w:r>
        <w:drawing>
          <wp:inline distT="0" distB="0" distL="0" distR="0">
            <wp:extent cx="7496175" cy="3714750"/>
            <wp:effectExtent l="19050" t="0" r="9525" b="0"/>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E92929">
      <w:pPr>
        <w:spacing w:line="600" w:lineRule="exact"/>
        <w:rPr>
          <w:rFonts w:ascii="宋体" w:hAnsi="宋体" w:cs="宋体"/>
          <w:sz w:val="32"/>
        </w:rPr>
      </w:pPr>
    </w:p>
    <w:p w14:paraId="4357E851">
      <w:pPr>
        <w:spacing w:line="600" w:lineRule="exact"/>
        <w:rPr>
          <w:rFonts w:ascii="宋体" w:hAnsi="宋体" w:cs="宋体"/>
          <w:sz w:val="32"/>
        </w:rPr>
      </w:pPr>
      <w:r>
        <w:rPr>
          <w:rFonts w:hint="eastAsia" w:ascii="宋体" w:hAnsi="宋体" w:cs="宋体"/>
          <w:sz w:val="32"/>
        </w:rPr>
        <w:t xml:space="preserve">    主要项目执行情况是：一般公共服务35855万元,占调整预算99.8%，比上年增长16.8%；公共安全支出9152万元，占调整预算92.1%,比上年增长8.2%；教育支出69934万元,占调整预算99.1%,比上年增长2.5%；科学技术支出704万元,占调整预算99.9%,比上年下降62.6%,主要是上年包括新动能专项资金；文化旅游体育与传媒13009万元,占调整预算99.1%，比上年增长15.2%；社会保障和就业44788万元,占调整预算98.9%,比上年增长5.5%；卫生健康支出26198万元,占调整预算98.6%,比上年增长6.9%;节能环保支出10485万元，占调整预算98.2%，比上年增长24.2%；城乡社区事务11689万元，占调整预算100%，比上年下降24.9%；农林水支出51785万元，占调整预算86.4%，比上年增长46.6%；交通运输支出11777万元，占调整预算73.4%，比上年下降6.3%；资源勘探信息等支出13444万元，占调整预算100%，比上年增长235.2%；住房保障支出1652万元，占调整预算99.2%，比上年下降36.4%；债务付息支出2561万元，占调整预算100%，比上年增长22.4%。</w:t>
      </w:r>
    </w:p>
    <w:p w14:paraId="4D81A746">
      <w:pPr>
        <w:spacing w:line="600" w:lineRule="exact"/>
        <w:ind w:firstLine="640"/>
        <w:rPr>
          <w:rFonts w:ascii="黑体" w:hAnsi="黑体" w:eastAsia="黑体" w:cs="黑体"/>
          <w:sz w:val="32"/>
        </w:rPr>
      </w:pPr>
      <w:r>
        <w:rPr>
          <w:rFonts w:hint="eastAsia" w:ascii="黑体" w:hAnsi="黑体" w:eastAsia="黑体" w:cs="黑体"/>
          <w:sz w:val="32"/>
        </w:rPr>
        <w:t>四、政府性基金预算收支情况</w:t>
      </w:r>
    </w:p>
    <w:p w14:paraId="28A3FB63">
      <w:pPr>
        <w:spacing w:line="600" w:lineRule="exact"/>
        <w:ind w:firstLine="640" w:firstLineChars="200"/>
        <w:rPr>
          <w:rFonts w:ascii="宋体" w:hAnsi="宋体" w:cs="宋体"/>
          <w:sz w:val="32"/>
        </w:rPr>
      </w:pPr>
      <w:r>
        <w:rPr>
          <w:rFonts w:hint="eastAsia" w:ascii="宋体" w:hAnsi="宋体" w:cs="宋体"/>
          <w:sz w:val="32"/>
        </w:rPr>
        <w:t>2022年政府性基金收入完成34832万元，占预算99.6%，比上年增长51.1%。其中：国有土地使用权出让收入27153万元,占预算90.5%，比上年增长43%；国有土地收益基金收入3966万元，占预算198.3%，比上年增长286.9%；农业土地开发资金收入877万元，占预算548.1%，比上年增长404%；城市基础设施配套费收入1612万元，占预算80.6%，比上年下降12.2%；污水处理费收入850万元，占预算106.3%，比上年增长12.4%;其他政府性基金收入374万元，比上年增长38.5%，主要是蒲坂城市建设投资集团有限公司、中医院、职业中专学校偿还专项债券利息。</w:t>
      </w:r>
    </w:p>
    <w:p w14:paraId="00F444EC">
      <w:pPr>
        <w:spacing w:line="600" w:lineRule="exact"/>
        <w:ind w:firstLine="640" w:firstLineChars="200"/>
        <w:rPr>
          <w:rFonts w:ascii="宋体" w:hAnsi="宋体" w:cs="宋体"/>
          <w:sz w:val="32"/>
        </w:rPr>
      </w:pPr>
      <w:r>
        <w:rPr>
          <w:rFonts w:hint="eastAsia" w:ascii="宋体" w:hAnsi="宋体" w:cs="宋体"/>
          <w:sz w:val="32"/>
        </w:rPr>
        <w:t>2022年政府性基金预算支出76657万元，占调整预算92.2%，比上年增长44.8%。主要支出项目是：社会保障和就业支出2410万元，比上年增长3.6%。城乡社区支出32872万元，比上年增长20.3%，其中：国有土地使用权出让收入安排的支出28218万元，比上年增长29.6%；农业土地开发资金支出188万元，比上年下降40.9%；国有土地收益基金支出2183万元，比上年增长5%；城市基础设施配套费支出1318万元，比上年下降48.8%；污水处理费支出965万元，比上年增长67.5%。农林水支出2611万元，比上年增长180.2%，主要是上级专项资金增加。其他支出35859万元，比上年增长74.9%。债务付息支出2863万元，比上年增长52.2%。</w:t>
      </w:r>
    </w:p>
    <w:p w14:paraId="1D247E54">
      <w:pPr>
        <w:spacing w:line="600" w:lineRule="exact"/>
        <w:ind w:firstLine="640" w:firstLineChars="200"/>
        <w:rPr>
          <w:rFonts w:ascii="黑体" w:hAnsi="黑体" w:eastAsia="黑体" w:cs="黑体"/>
          <w:sz w:val="32"/>
        </w:rPr>
      </w:pPr>
      <w:r>
        <w:rPr>
          <w:rFonts w:hint="eastAsia" w:ascii="黑体" w:hAnsi="黑体" w:eastAsia="黑体" w:cs="黑体"/>
          <w:sz w:val="32"/>
        </w:rPr>
        <w:t>五、国有资本经营情况</w:t>
      </w:r>
    </w:p>
    <w:p w14:paraId="6C050170">
      <w:pPr>
        <w:spacing w:line="600" w:lineRule="exact"/>
        <w:ind w:firstLine="800" w:firstLineChars="250"/>
        <w:rPr>
          <w:rFonts w:ascii="宋体" w:hAnsi="宋体" w:cs="宋体"/>
          <w:sz w:val="32"/>
        </w:rPr>
      </w:pPr>
      <w:r>
        <w:rPr>
          <w:rFonts w:hint="eastAsia" w:ascii="宋体" w:hAnsi="宋体" w:cs="宋体"/>
          <w:sz w:val="32"/>
        </w:rPr>
        <w:t>2022年国有资本经营预算收入7万元，上级补助收入482万元，上年结转515万元，支出734万元，调入一般公共预算7万元，结转下年263万元。2022年末，我市政府职能部门出资且正常运营的国有及国有控股企业11户，其中：</w:t>
      </w:r>
      <w:r>
        <w:rPr>
          <w:rFonts w:hint="eastAsia" w:ascii="宋体" w:hAnsi="宋体" w:cs="宋体"/>
          <w:b/>
          <w:sz w:val="32"/>
        </w:rPr>
        <w:t>盈利企业</w:t>
      </w:r>
      <w:r>
        <w:rPr>
          <w:rFonts w:hint="eastAsia" w:ascii="宋体" w:hAnsi="宋体" w:cs="宋体"/>
          <w:sz w:val="32"/>
        </w:rPr>
        <w:t>1户为蒲坂城市建设投资集团有限公司103.2万元；</w:t>
      </w:r>
      <w:r>
        <w:rPr>
          <w:rFonts w:hint="eastAsia" w:ascii="宋体" w:hAnsi="宋体" w:cs="宋体"/>
          <w:b/>
          <w:sz w:val="32"/>
        </w:rPr>
        <w:t>亏损企业</w:t>
      </w:r>
      <w:r>
        <w:rPr>
          <w:rFonts w:hint="eastAsia" w:ascii="宋体" w:hAnsi="宋体" w:cs="宋体"/>
          <w:sz w:val="32"/>
        </w:rPr>
        <w:t>10户，亏损额3477.6万元，主要是普救寺旅游有限公司930.5万元，山西鹳雀楼旅游集团有限公司539.6万元，山西鹳雀楼集团永济五老峰旅游有限公司496.2万元，城乡供水有限公司459.5万元，新纪元商业集团有限公司296.1万元，视佳广播电视网络传输有限公司288万元，经济技术开发区实业发展有限责任公司254.8万元，市政工程公司210.3万元，军粮供应有限公司2.5万元，粟济储备粮有限公司0.1万元。</w:t>
      </w:r>
    </w:p>
    <w:p w14:paraId="03AEFF95">
      <w:pPr>
        <w:spacing w:line="600" w:lineRule="exact"/>
        <w:ind w:firstLine="643"/>
        <w:rPr>
          <w:rFonts w:ascii="黑体" w:hAnsi="黑体" w:eastAsia="黑体" w:cs="黑体"/>
          <w:sz w:val="32"/>
        </w:rPr>
      </w:pPr>
      <w:r>
        <w:rPr>
          <w:rFonts w:hint="eastAsia" w:ascii="黑体" w:hAnsi="黑体" w:eastAsia="黑体" w:cs="黑体"/>
          <w:sz w:val="32"/>
        </w:rPr>
        <w:t>六、社保基金预算执行情况</w:t>
      </w:r>
    </w:p>
    <w:p w14:paraId="091968FD">
      <w:pPr>
        <w:spacing w:line="600" w:lineRule="exact"/>
        <w:ind w:firstLine="640" w:firstLineChars="200"/>
        <w:rPr>
          <w:rFonts w:ascii="宋体" w:hAnsi="宋体" w:cs="宋体"/>
          <w:sz w:val="32"/>
        </w:rPr>
      </w:pPr>
      <w:r>
        <w:rPr>
          <w:rFonts w:hint="eastAsia" w:ascii="宋体" w:hAnsi="宋体" w:cs="宋体"/>
          <w:sz w:val="32"/>
        </w:rPr>
        <w:t>2022年社保基金上年结余49438万元，收入67108万元，支出49135万元，结余67411万元。其中:机关事业单位基本养老保险基金上年结余2781万元，收入34517万元，支出 36447万元，结余851万元；城乡居民基本养老保险基金上年结余41989万元，收入27477万元，支出11349万元，结余58117万元；城乡居民补充养老保险上年结余4668万元，收入5114万元，支出1339万元，结余8443万元。</w:t>
      </w:r>
    </w:p>
    <w:p w14:paraId="34DAB946">
      <w:pPr>
        <w:spacing w:line="600" w:lineRule="exact"/>
        <w:ind w:firstLine="800" w:firstLineChars="250"/>
        <w:rPr>
          <w:rFonts w:ascii="黑体" w:hAnsi="黑体" w:eastAsia="黑体"/>
          <w:sz w:val="32"/>
          <w:szCs w:val="32"/>
        </w:rPr>
      </w:pPr>
      <w:r>
        <w:rPr>
          <w:rFonts w:hint="eastAsia" w:ascii="黑体" w:hAnsi="黑体" w:eastAsia="黑体"/>
          <w:sz w:val="32"/>
          <w:szCs w:val="32"/>
        </w:rPr>
        <w:t>七、2022年主要工作情况</w:t>
      </w:r>
    </w:p>
    <w:p w14:paraId="362B5F0A">
      <w:pPr>
        <w:spacing w:line="600" w:lineRule="exact"/>
        <w:ind w:firstLine="803" w:firstLineChars="250"/>
        <w:rPr>
          <w:rFonts w:ascii="宋体" w:hAnsi="宋体" w:cs="宋体"/>
          <w:sz w:val="32"/>
        </w:rPr>
      </w:pPr>
      <w:r>
        <w:rPr>
          <w:rFonts w:hint="eastAsia" w:ascii="宋体" w:hAnsi="宋体" w:cs="宋体"/>
          <w:b/>
          <w:bCs/>
          <w:sz w:val="32"/>
          <w:szCs w:val="32"/>
        </w:rPr>
        <w:t>1、</w:t>
      </w:r>
      <w:r>
        <w:rPr>
          <w:rFonts w:hint="eastAsia" w:ascii="宋体" w:hAnsi="宋体" w:cs="宋体"/>
          <w:sz w:val="32"/>
        </w:rPr>
        <w:t xml:space="preserve"> </w:t>
      </w:r>
      <w:r>
        <w:rPr>
          <w:rFonts w:hint="eastAsia" w:ascii="宋体" w:hAnsi="宋体" w:cs="宋体"/>
          <w:b/>
          <w:sz w:val="32"/>
        </w:rPr>
        <w:t>积极争取资金，不断壮大我市财力。</w:t>
      </w:r>
      <w:r>
        <w:rPr>
          <w:rFonts w:hint="eastAsia" w:ascii="宋体" w:hAnsi="宋体" w:cs="宋体"/>
          <w:sz w:val="32"/>
        </w:rPr>
        <w:t>一是主动加强与省、市财政部门的沟通，多次汇报财政运行情况，上级下达财力性转移支付、留抵退税专项及落实减税降费和重点民生转移支付15.1亿元，比上年增加了3.15亿元，增强了我市财政保障能力。新增政府债券资金4.1亿元，为我市项目发展提供了有力保障。二是根据向上争取资金考核方案，对相关单位全年项目申报及上级资金到位情况进行统计，31个被考核单位共向上争取资金142157.03万元，完成年度任务124.98%。三是比学赶超促提升，奋勇争先亮实绩。省财政厅对基层财政部门7项财政管理指标进行考核，我市在全省排名第六，运城市排名第一，获得省奖励500万元；</w:t>
      </w:r>
      <w:r>
        <w:rPr>
          <w:rFonts w:hint="eastAsia" w:ascii="宋体" w:hAnsi="宋体" w:cs="宋体"/>
          <w:bCs/>
          <w:sz w:val="32"/>
        </w:rPr>
        <w:t>文化服务绩效评价</w:t>
      </w:r>
      <w:r>
        <w:rPr>
          <w:rFonts w:hint="eastAsia" w:ascii="宋体" w:hAnsi="宋体" w:cs="宋体"/>
          <w:sz w:val="32"/>
        </w:rPr>
        <w:t>结果为“优”，获得省绩效奖励178.35万元；</w:t>
      </w:r>
      <w:r>
        <w:rPr>
          <w:rFonts w:hint="eastAsia" w:ascii="宋体" w:hAnsi="宋体" w:cs="宋体"/>
          <w:bCs/>
          <w:sz w:val="32"/>
        </w:rPr>
        <w:t>政府性债务化债</w:t>
      </w:r>
      <w:r>
        <w:rPr>
          <w:rFonts w:hint="eastAsia" w:ascii="宋体" w:hAnsi="宋体" w:cs="宋体"/>
          <w:sz w:val="32"/>
        </w:rPr>
        <w:t>获得省化债奖励325万元。</w:t>
      </w:r>
    </w:p>
    <w:p w14:paraId="094728B1">
      <w:pPr>
        <w:spacing w:line="600" w:lineRule="exact"/>
        <w:ind w:firstLine="640"/>
        <w:rPr>
          <w:rFonts w:ascii="宋体" w:hAnsi="宋体" w:cs="宋体"/>
          <w:sz w:val="32"/>
          <w:szCs w:val="32"/>
        </w:rPr>
      </w:pPr>
      <w:r>
        <w:rPr>
          <w:rFonts w:hint="eastAsia" w:ascii="宋体" w:hAnsi="宋体" w:cs="宋体"/>
          <w:b/>
          <w:bCs/>
          <w:sz w:val="32"/>
          <w:szCs w:val="32"/>
        </w:rPr>
        <w:t>2、</w:t>
      </w:r>
      <w:r>
        <w:rPr>
          <w:rFonts w:hint="eastAsia" w:ascii="宋体" w:hAnsi="宋体" w:cs="宋体"/>
          <w:b/>
          <w:sz w:val="32"/>
          <w:szCs w:val="32"/>
        </w:rPr>
        <w:t>加大“三农”投入，深入推进乡村振兴。</w:t>
      </w:r>
      <w:r>
        <w:rPr>
          <w:rFonts w:hint="eastAsia" w:ascii="宋体" w:hAnsi="宋体" w:cs="宋体"/>
          <w:bCs/>
          <w:sz w:val="32"/>
          <w:szCs w:val="32"/>
        </w:rPr>
        <w:t>全年</w:t>
      </w:r>
      <w:r>
        <w:rPr>
          <w:rFonts w:hint="eastAsia" w:ascii="宋体" w:hAnsi="宋体" w:cs="宋体"/>
          <w:sz w:val="32"/>
          <w:szCs w:val="32"/>
        </w:rPr>
        <w:t>投入乡村振兴资金7.9亿元，比上年增长11.3%。巩固拓展脱贫攻坚成果，大力发展产业扶贫，增强脱贫群众内生发展动力。加大河湖治理和生态保护修复力度，复苏河湖生态环境。支持农业新型经营主体和社会化服务体系建设，强化龙头带动，加快发展现代农业。支持做大做强农业“四大板块”，保障粮食、百姓菜篮子安全。扎实开展乡村建设，深入实施农村人居环境整治，推进农村厕所革命、生活垃圾和污水处理，建设宜居宜业和美乡村。</w:t>
      </w:r>
    </w:p>
    <w:p w14:paraId="29D2DA24">
      <w:pPr>
        <w:spacing w:line="600" w:lineRule="exact"/>
        <w:ind w:firstLine="640"/>
        <w:rPr>
          <w:rFonts w:ascii="宋体" w:hAnsi="宋体" w:cs="宋体"/>
          <w:sz w:val="32"/>
        </w:rPr>
      </w:pPr>
      <w:r>
        <w:rPr>
          <w:rFonts w:hint="eastAsia" w:ascii="宋体" w:hAnsi="宋体" w:cs="宋体"/>
          <w:b/>
          <w:bCs/>
          <w:sz w:val="32"/>
        </w:rPr>
        <w:t>3、</w:t>
      </w:r>
      <w:r>
        <w:rPr>
          <w:rFonts w:hint="eastAsia" w:ascii="宋体" w:hAnsi="宋体" w:cs="宋体"/>
          <w:b/>
          <w:sz w:val="32"/>
        </w:rPr>
        <w:t>加大民生投入，全力保障民生福祉。</w:t>
      </w:r>
      <w:r>
        <w:rPr>
          <w:rFonts w:hint="eastAsia" w:ascii="宋体" w:hAnsi="宋体" w:cs="宋体"/>
          <w:sz w:val="32"/>
        </w:rPr>
        <w:t>坚持政府过“紧日子”，人民过“好日子”思想，不断加大对社会各项事业投入力度。一是调整增加人员支出，全年个人部分达12亿元，比上年增长8.1%。二是</w:t>
      </w:r>
      <w:r>
        <w:rPr>
          <w:rFonts w:hint="eastAsia" w:ascii="宋体" w:hAnsi="宋体" w:cs="宋体"/>
          <w:bCs/>
          <w:sz w:val="32"/>
        </w:rPr>
        <w:t>全面促进教育公平，实现“学有所教”，</w:t>
      </w:r>
      <w:r>
        <w:rPr>
          <w:rFonts w:hint="eastAsia" w:ascii="宋体" w:hAnsi="宋体" w:cs="宋体"/>
          <w:sz w:val="32"/>
        </w:rPr>
        <w:t>全年教育投入69934万元。坚持教育资源均衡，保障进城务工人员随迁子女、残疾儿童等人群能够平等接受良好义务教育。新建的柳宗元幼儿园和柳宗元小学，有效缓解了学前教育和义务教育入学难问题。三是</w:t>
      </w:r>
      <w:r>
        <w:rPr>
          <w:rFonts w:hint="eastAsia" w:ascii="宋体" w:hAnsi="宋体" w:cs="宋体"/>
          <w:bCs/>
          <w:sz w:val="32"/>
        </w:rPr>
        <w:t>全力支持疫情防控，</w:t>
      </w:r>
      <w:r>
        <w:rPr>
          <w:rFonts w:hint="eastAsia" w:ascii="宋体" w:hAnsi="宋体" w:cs="宋体"/>
          <w:sz w:val="32"/>
        </w:rPr>
        <w:t>全年拨付7433万元，为疫情防控提供有力的资金保障。四是不断提升社会保障能力和公共卫生服务水平，持续加大困难群众救助、就业工作保障力度，确保各项民生政策落细落实。</w:t>
      </w:r>
    </w:p>
    <w:p w14:paraId="22A3EFB6">
      <w:pPr>
        <w:spacing w:line="600" w:lineRule="exact"/>
        <w:ind w:firstLine="640"/>
        <w:rPr>
          <w:rFonts w:ascii="宋体" w:hAnsi="宋体" w:cs="宋体"/>
          <w:b/>
          <w:bCs/>
          <w:sz w:val="32"/>
        </w:rPr>
      </w:pPr>
      <w:r>
        <w:rPr>
          <w:rFonts w:hint="eastAsia" w:ascii="宋体" w:hAnsi="宋体" w:cs="宋体"/>
          <w:b/>
          <w:bCs/>
          <w:sz w:val="32"/>
        </w:rPr>
        <w:t>4、</w:t>
      </w:r>
      <w:r>
        <w:rPr>
          <w:rFonts w:hint="eastAsia" w:ascii="宋体" w:hAnsi="宋体" w:cs="宋体"/>
          <w:b/>
          <w:sz w:val="32"/>
        </w:rPr>
        <w:t>强化职能管理，持续深化财政改革。</w:t>
      </w:r>
      <w:r>
        <w:rPr>
          <w:rFonts w:hint="eastAsia" w:ascii="宋体" w:hAnsi="宋体" w:cs="宋体"/>
          <w:bCs/>
          <w:sz w:val="32"/>
        </w:rPr>
        <w:t>一是稳步推进政府采购工作</w:t>
      </w:r>
      <w:r>
        <w:rPr>
          <w:rFonts w:hint="eastAsia" w:ascii="宋体" w:hAnsi="宋体" w:cs="宋体"/>
          <w:sz w:val="32"/>
        </w:rPr>
        <w:t>，完成政府采购备案2814笔，实际采购资金11.5亿元，节约资金916.2万元。二是</w:t>
      </w:r>
      <w:r>
        <w:rPr>
          <w:rFonts w:hint="eastAsia" w:ascii="宋体" w:hAnsi="宋体" w:cs="宋体"/>
          <w:bCs/>
          <w:sz w:val="32"/>
        </w:rPr>
        <w:t>发挥财政评审职能，</w:t>
      </w:r>
      <w:r>
        <w:rPr>
          <w:rFonts w:hint="eastAsia" w:ascii="宋体" w:hAnsi="宋体" w:cs="宋体"/>
          <w:sz w:val="32"/>
        </w:rPr>
        <w:t>完成评审项目211个，审定金额9.6亿元，综合审减率15.5%。三是</w:t>
      </w:r>
      <w:r>
        <w:rPr>
          <w:rFonts w:hint="eastAsia" w:ascii="宋体" w:hAnsi="宋体" w:cs="宋体"/>
          <w:bCs/>
          <w:sz w:val="32"/>
        </w:rPr>
        <w:t>优化绩效目标管理，</w:t>
      </w:r>
      <w:r>
        <w:rPr>
          <w:rFonts w:hint="eastAsia" w:ascii="宋体" w:hAnsi="宋体" w:cs="宋体"/>
          <w:sz w:val="32"/>
        </w:rPr>
        <w:t>审核绩效目标3190项金额28.5亿元，其中财政重点绩效项目15个金额5.6亿元。四是</w:t>
      </w:r>
      <w:r>
        <w:rPr>
          <w:rFonts w:hint="eastAsia" w:ascii="宋体" w:hAnsi="宋体" w:cs="宋体"/>
          <w:bCs/>
          <w:sz w:val="32"/>
        </w:rPr>
        <w:t>严控“三公经费”，</w:t>
      </w:r>
      <w:r>
        <w:rPr>
          <w:rFonts w:hint="eastAsia" w:ascii="宋体" w:hAnsi="宋体" w:cs="宋体"/>
          <w:sz w:val="32"/>
        </w:rPr>
        <w:t>全年执行591.7万元，实现了“双控”目标。五是落实退税减税降费政策成效明显，全年退税减税降费缓税（费）4.65亿元，切实减轻企业负担，增强了企业发展信心及经营活力。六是稳步推进乡镇财政体制改革，通过中央省市媒体加强宣传报道，打造特色重点镇先行，大力支持招商引资，及时足额兑现奖励资金，充分激发了各镇街发展经济积极性。</w:t>
      </w:r>
    </w:p>
    <w:p w14:paraId="7310470D">
      <w:pPr>
        <w:spacing w:line="600" w:lineRule="exact"/>
        <w:ind w:firstLine="640"/>
        <w:rPr>
          <w:rFonts w:ascii="宋体" w:hAnsi="宋体" w:cs="宋体"/>
          <w:sz w:val="32"/>
        </w:rPr>
      </w:pPr>
      <w:r>
        <w:rPr>
          <w:rFonts w:hint="eastAsia" w:ascii="宋体" w:hAnsi="宋体" w:cs="宋体"/>
          <w:b/>
          <w:sz w:val="32"/>
        </w:rPr>
        <w:t>5、坚持底线思维，有效防范重大风险。</w:t>
      </w:r>
      <w:r>
        <w:rPr>
          <w:rFonts w:hint="eastAsia" w:ascii="宋体" w:hAnsi="宋体" w:cs="宋体"/>
          <w:bCs/>
          <w:sz w:val="32"/>
        </w:rPr>
        <w:t>一是全力保障“三保”，确保“三保”及各类</w:t>
      </w:r>
      <w:r>
        <w:rPr>
          <w:rFonts w:hint="eastAsia" w:ascii="宋体" w:hAnsi="宋体" w:cs="宋体"/>
          <w:sz w:val="32"/>
        </w:rPr>
        <w:t>刚性支出需求。</w:t>
      </w:r>
      <w:r>
        <w:rPr>
          <w:rFonts w:hint="eastAsia" w:ascii="宋体" w:hAnsi="宋体" w:cs="宋体"/>
          <w:bCs/>
          <w:sz w:val="32"/>
        </w:rPr>
        <w:t>二是防范化解政府债务风险。</w:t>
      </w:r>
      <w:r>
        <w:rPr>
          <w:rFonts w:hint="eastAsia" w:ascii="宋体" w:hAnsi="宋体" w:cs="宋体"/>
          <w:sz w:val="32"/>
        </w:rPr>
        <w:t>我市政府债务余额182900万元，未超过法定政府性债务限额。高度重视债券资金使用效益的发挥，新增债券资金41000万元，支付进度100%。</w:t>
      </w:r>
      <w:r>
        <w:rPr>
          <w:rFonts w:hint="eastAsia" w:ascii="宋体" w:hAnsi="宋体" w:cs="宋体"/>
          <w:bCs/>
          <w:sz w:val="32"/>
        </w:rPr>
        <w:t>三是加强暂付款管理，</w:t>
      </w:r>
      <w:r>
        <w:rPr>
          <w:rFonts w:hint="eastAsia" w:ascii="宋体" w:hAnsi="宋体" w:cs="宋体"/>
          <w:sz w:val="32"/>
        </w:rPr>
        <w:t>严控新增暂付款规模，消化存量暂付款1606万元，完成年度存量暂付款消化计划。</w:t>
      </w:r>
    </w:p>
    <w:p w14:paraId="3C80155F">
      <w:pPr>
        <w:spacing w:line="600" w:lineRule="exact"/>
        <w:ind w:firstLine="640"/>
        <w:rPr>
          <w:rFonts w:ascii="黑体" w:hAnsi="黑体" w:eastAsia="黑体" w:cs="黑体"/>
          <w:sz w:val="32"/>
        </w:rPr>
      </w:pPr>
      <w:r>
        <w:rPr>
          <w:rFonts w:hint="eastAsia" w:ascii="黑体" w:hAnsi="黑体" w:eastAsia="黑体" w:cs="黑体"/>
          <w:sz w:val="32"/>
        </w:rPr>
        <w:t>八、“三公”经费支出情况</w:t>
      </w:r>
      <w:bookmarkStart w:id="1" w:name="_GoBack"/>
      <w:bookmarkEnd w:id="1"/>
    </w:p>
    <w:p w14:paraId="2F65259C">
      <w:pPr>
        <w:spacing w:line="600" w:lineRule="exact"/>
        <w:ind w:firstLine="640"/>
        <w:rPr>
          <w:rFonts w:ascii="宋体" w:hAnsi="宋体" w:cs="宋体"/>
          <w:bCs/>
          <w:sz w:val="32"/>
        </w:rPr>
      </w:pPr>
      <w:r>
        <w:rPr>
          <w:rFonts w:hint="eastAsia" w:ascii="宋体" w:hAnsi="宋体" w:cs="宋体"/>
          <w:bCs/>
          <w:sz w:val="32"/>
        </w:rPr>
        <w:t>我市加强预算管理，落实“过紧日子”要求，厉行勤俭节约，进一步严控“三公”经费支出。2022年本级汇总一般公共预算中，预算单位“三公”经费预算总额690.3万元，支出总额591.7万元，完成预算的85.7%，比上年减少49.5万元。其中：公务用车购置费年度预算131万元，支出125.7万元，比上年减少71.9万元；公务用车运行维护费年度预算335.5万元，支出315.6万元，比上年增加7万元；公务接待费年度预算203.8万元，支出150.4万元，比上年增加15.4万元。公务用车购置费较上年下降较多，原因是我市严控“三公”经费支出，公务用车运行维护费和公务接待费较上年略有增加，主要是上年受疫情影响，公务活动较少。</w:t>
      </w:r>
    </w:p>
    <w:p w14:paraId="3A9BDB4E">
      <w:pPr>
        <w:spacing w:line="600" w:lineRule="exact"/>
        <w:ind w:firstLine="640"/>
        <w:rPr>
          <w:rFonts w:ascii="黑体" w:hAnsi="黑体" w:eastAsia="黑体" w:cs="宋体"/>
          <w:bCs/>
          <w:sz w:val="32"/>
        </w:rPr>
      </w:pPr>
      <w:r>
        <w:rPr>
          <w:rFonts w:hint="eastAsia" w:ascii="黑体" w:hAnsi="黑体" w:eastAsia="黑体" w:cs="宋体"/>
          <w:bCs/>
          <w:sz w:val="32"/>
        </w:rPr>
        <w:t>九、预算绩效工作开展情况</w:t>
      </w:r>
    </w:p>
    <w:p w14:paraId="7164DDAB">
      <w:pPr>
        <w:spacing w:line="600" w:lineRule="exact"/>
        <w:ind w:firstLine="640"/>
        <w:rPr>
          <w:rFonts w:ascii="宋体" w:hAnsi="宋体" w:cs="宋体"/>
          <w:bCs/>
          <w:sz w:val="32"/>
        </w:rPr>
      </w:pPr>
      <w:r>
        <w:rPr>
          <w:rFonts w:hint="eastAsia" w:ascii="宋体" w:hAnsi="宋体" w:cs="宋体"/>
          <w:b/>
          <w:bCs/>
          <w:sz w:val="32"/>
        </w:rPr>
        <w:t>1、做好重大项目的事前绩效评估工作。</w:t>
      </w:r>
      <w:r>
        <w:rPr>
          <w:rFonts w:hint="eastAsia" w:ascii="宋体" w:hAnsi="宋体" w:cs="宋体"/>
          <w:bCs/>
          <w:sz w:val="32"/>
        </w:rPr>
        <w:t>为全面实施预算绩效管理，做好重大政策、规范项目事前绩效评估工作，优化财政资源配置，提高预算资金分配决策的科学性和财政资金使用效益。5月委托第三方机构对投资22310.99万元的涑水河永济段河道治理工程项目进行了事前绩效评估，主要从项目资金的总投入和构成、资金来源情况、资金到位情况、项目的绩效目标等方面对项目进行实地走访，现场查验与涑水河永济段河道治理工程项目有关的资料，进行分析和研判，专家论证。住建局、交通局、城西街道办、中医院、工信局等单位涉及资金在1000万元（含）以上的项目，以单位项目自评的方式进行了事前绩效评价，在年度终了并对项目进行了跟踪总结，促使单位加强项目管理，保证重点工作和重点项目的有序完成。</w:t>
      </w:r>
    </w:p>
    <w:p w14:paraId="0CB62DF7">
      <w:pPr>
        <w:spacing w:line="600" w:lineRule="exact"/>
        <w:ind w:firstLine="640"/>
        <w:rPr>
          <w:rFonts w:ascii="宋体" w:hAnsi="宋体" w:cs="宋体"/>
          <w:bCs/>
          <w:sz w:val="32"/>
        </w:rPr>
      </w:pPr>
      <w:r>
        <w:rPr>
          <w:rFonts w:hint="eastAsia" w:ascii="宋体" w:hAnsi="宋体" w:cs="宋体"/>
          <w:b/>
          <w:bCs/>
          <w:sz w:val="32"/>
        </w:rPr>
        <w:t>2、开展部门预算绩效运行监控工作。</w:t>
      </w:r>
      <w:r>
        <w:rPr>
          <w:rFonts w:hint="eastAsia" w:ascii="宋体" w:hAnsi="宋体" w:cs="宋体"/>
          <w:bCs/>
          <w:sz w:val="32"/>
        </w:rPr>
        <w:t>7月按照市局要求，印发《永济市财政局关于开展2022年部门绩效运行监控工作》的通知，将2022年纳入预算绩效目标管理的1-6月份所有项目支出以及部门整体支出作为监控对象，向各预算单位下发文件，业务股室积极配合，在8月完成此项工作并按部门分类进行了装订归档。</w:t>
      </w:r>
    </w:p>
    <w:p w14:paraId="3F03BBB5">
      <w:pPr>
        <w:spacing w:line="600" w:lineRule="exact"/>
        <w:ind w:firstLine="640"/>
        <w:rPr>
          <w:rFonts w:ascii="宋体" w:hAnsi="宋体" w:cs="宋体"/>
          <w:bCs/>
          <w:sz w:val="32"/>
        </w:rPr>
      </w:pPr>
      <w:r>
        <w:rPr>
          <w:rFonts w:hint="eastAsia" w:ascii="宋体" w:hAnsi="宋体" w:cs="宋体"/>
          <w:b/>
          <w:bCs/>
          <w:sz w:val="32"/>
        </w:rPr>
        <w:t>3、开展重点绩效评价工作。</w:t>
      </w:r>
      <w:r>
        <w:rPr>
          <w:rFonts w:hint="eastAsia" w:ascii="宋体" w:hAnsi="宋体" w:cs="宋体"/>
          <w:bCs/>
          <w:sz w:val="32"/>
        </w:rPr>
        <w:t>严格按照省市相关文件要求，今年选取柳宗元幼儿园建设项目、黄河大道地下停车场项目、疫情防控资金使用等12个已完工项目开展重点绩效评价，对公安局、虞乡镇政府2个单位开展部门整体支出绩效评价，对经济开发区的标准厂房及配套设施项目进行资金绩效监控，共涉及金额5.58亿元，占2022年项目支出的20%，并要求以上单位对报告中提出的问题进行整改。通过绩效评价，客观清晰反映出单位绩效目标实际完成情况、取得的成效以及存在的问题，在一定程度上强化了项目单位的自我约束意识和责任意识。</w:t>
      </w:r>
    </w:p>
    <w:p w14:paraId="43945D28">
      <w:pPr>
        <w:spacing w:line="600" w:lineRule="exact"/>
        <w:ind w:firstLine="640"/>
        <w:rPr>
          <w:rFonts w:ascii="宋体" w:hAnsi="宋体" w:cs="宋体"/>
          <w:bCs/>
          <w:sz w:val="32"/>
        </w:rPr>
      </w:pPr>
      <w:r>
        <w:rPr>
          <w:rFonts w:hint="eastAsia" w:ascii="宋体" w:hAnsi="宋体" w:cs="宋体"/>
          <w:b/>
          <w:bCs/>
          <w:sz w:val="32"/>
        </w:rPr>
        <w:t>4、加大绩效信息公开力度。</w:t>
      </w:r>
      <w:r>
        <w:rPr>
          <w:rFonts w:hint="eastAsia" w:ascii="宋体" w:hAnsi="宋体" w:cs="宋体"/>
          <w:bCs/>
          <w:sz w:val="32"/>
        </w:rPr>
        <w:t>各预算部门将年初预算中纳入绩效目标管理的项目绩效目标随同部门预算的公开同步公开，将绩效管理情况和绩效评价结果随同部门决算的公开同步公开。财政部门将财政重点评价结果向社会公开，主动接受外部监督。</w:t>
      </w:r>
    </w:p>
    <w:p w14:paraId="7F502067">
      <w:pPr>
        <w:spacing w:line="600" w:lineRule="exact"/>
        <w:ind w:firstLine="640"/>
        <w:rPr>
          <w:rFonts w:ascii="宋体" w:hAnsi="宋体" w:cs="宋体"/>
          <w:bCs/>
          <w:sz w:val="32"/>
        </w:rPr>
      </w:pPr>
      <w:r>
        <w:rPr>
          <w:rFonts w:hint="eastAsia" w:ascii="宋体" w:hAnsi="宋体" w:cs="宋体"/>
          <w:b/>
          <w:bCs/>
          <w:sz w:val="32"/>
        </w:rPr>
        <w:t>5、完成日常项目储备绩效目标审核工作。</w:t>
      </w:r>
      <w:r>
        <w:rPr>
          <w:rFonts w:hint="eastAsia" w:ascii="宋体" w:hAnsi="宋体" w:cs="宋体"/>
          <w:bCs/>
          <w:sz w:val="32"/>
        </w:rPr>
        <w:t>进一步优化绩效目标管理，依托预算管理一体化系统，将绩效目标管理和预算编制紧密结合，将绩效目标申报作为项目储备和预算编制的必备环节，按照“谁使用资金，谁申报绩效目标”的原则，预算单位在申请预算的同时填报绩效目标申报表，全年共审核绩效目标申报3910项，涉及金额28.5亿元。</w:t>
      </w:r>
    </w:p>
    <w:p w14:paraId="23D8CFE4">
      <w:pPr>
        <w:spacing w:line="600" w:lineRule="exact"/>
        <w:ind w:firstLine="640"/>
        <w:rPr>
          <w:rFonts w:ascii="黑体" w:hAnsi="黑体" w:eastAsia="黑体" w:cs="黑体"/>
          <w:sz w:val="32"/>
        </w:rPr>
      </w:pPr>
      <w:r>
        <w:rPr>
          <w:rFonts w:hint="eastAsia" w:ascii="黑体" w:hAnsi="黑体" w:eastAsia="黑体" w:cs="黑体"/>
          <w:sz w:val="32"/>
        </w:rPr>
        <w:t>十、地方政府债务情况</w:t>
      </w:r>
    </w:p>
    <w:p w14:paraId="19988AEF">
      <w:pPr>
        <w:spacing w:line="600" w:lineRule="exact"/>
        <w:ind w:firstLine="643"/>
        <w:rPr>
          <w:rFonts w:ascii="宋体" w:hAnsi="宋体" w:cs="宋体"/>
          <w:b/>
          <w:bCs/>
          <w:sz w:val="32"/>
        </w:rPr>
      </w:pPr>
      <w:r>
        <w:rPr>
          <w:rFonts w:hint="eastAsia" w:ascii="宋体" w:hAnsi="宋体" w:cs="宋体"/>
          <w:b/>
          <w:bCs/>
          <w:sz w:val="32"/>
        </w:rPr>
        <w:t>（一）2022年政府性债务总体情况</w:t>
      </w:r>
    </w:p>
    <w:p w14:paraId="4828377C">
      <w:pPr>
        <w:spacing w:line="600" w:lineRule="exact"/>
        <w:ind w:firstLine="643"/>
        <w:rPr>
          <w:rFonts w:ascii="宋体" w:hAnsi="宋体" w:cs="宋体"/>
          <w:bCs/>
          <w:sz w:val="32"/>
        </w:rPr>
      </w:pPr>
      <w:r>
        <w:rPr>
          <w:rFonts w:hint="eastAsia" w:ascii="宋体" w:hAnsi="宋体" w:cs="宋体"/>
          <w:bCs/>
          <w:sz w:val="32"/>
        </w:rPr>
        <w:t>2022年政府债务总限额182900万元，其中，一般债务限额82200万元，专项债务限额100700万元。我市政府债务余额182900万元，其中，一般债务82200万元，专项债务100700万元，控制在上级下达的限额之内。政府债务率48.98%，未超过政府债务率风险警戒线。政府负有担保责任的债务2351.16万元。</w:t>
      </w:r>
    </w:p>
    <w:p w14:paraId="2FA6117E">
      <w:pPr>
        <w:spacing w:line="600" w:lineRule="exact"/>
        <w:ind w:firstLine="469" w:firstLineChars="146"/>
        <w:rPr>
          <w:rFonts w:ascii="宋体" w:hAnsi="宋体" w:cs="宋体"/>
          <w:b/>
          <w:bCs/>
          <w:sz w:val="32"/>
        </w:rPr>
      </w:pPr>
      <w:r>
        <w:rPr>
          <w:rFonts w:hint="eastAsia" w:ascii="宋体" w:hAnsi="宋体" w:cs="宋体"/>
          <w:b/>
          <w:bCs/>
          <w:sz w:val="32"/>
        </w:rPr>
        <w:t>（二）政府债券资金分配使用情况</w:t>
      </w:r>
    </w:p>
    <w:p w14:paraId="7C3843ED">
      <w:pPr>
        <w:spacing w:line="600" w:lineRule="exact"/>
        <w:ind w:firstLine="643"/>
        <w:rPr>
          <w:rFonts w:ascii="宋体" w:hAnsi="宋体" w:cs="宋体"/>
          <w:bCs/>
          <w:sz w:val="32"/>
        </w:rPr>
      </w:pPr>
      <w:r>
        <w:rPr>
          <w:rFonts w:hint="eastAsia" w:ascii="宋体" w:hAnsi="宋体" w:cs="宋体"/>
          <w:bCs/>
          <w:sz w:val="32"/>
        </w:rPr>
        <w:t>2022年我市收到上级转贷的政府债券资金59600万元，其中：新增债券41000万元（新增一般债券9200万元，新增专项债券31800万元），再融资债券18600万元（再融资一般债券16600万元，再融资专项债券2000万元）。再融资债券用于偿还本年度到期政府债券。新增债券分配使用情况是：</w:t>
      </w:r>
    </w:p>
    <w:p w14:paraId="28C68413">
      <w:pPr>
        <w:spacing w:line="600" w:lineRule="exact"/>
        <w:ind w:firstLine="643"/>
        <w:rPr>
          <w:rFonts w:ascii="宋体" w:hAnsi="宋体" w:cs="宋体"/>
          <w:bCs/>
          <w:sz w:val="32"/>
        </w:rPr>
      </w:pPr>
      <w:r>
        <w:rPr>
          <w:rFonts w:hint="eastAsia" w:ascii="宋体" w:hAnsi="宋体" w:cs="宋体"/>
          <w:bCs/>
          <w:sz w:val="32"/>
        </w:rPr>
        <w:t>新增一般债券9200万元，安排项目为：黄河流域伍姓湖岸坡与湿地生态修复工程800万元，鹳雀楼景区农田大地绿化工程1100万元，高铁引道及黄河一号公路绿化工程2700万元，核酸检测方舱实验室及发热门诊设备购置项目1000万元，“雪亮工程”二期建设项目1300万元，体育中心周边城市道路建设项目800万元，黄河一号旅游公路永济至卿头支线改建工程500万元，黄河一号旅游公路黄营至于乡支线改建工程500万元，伍姓湖入湖口水生态治理人工湿地二期工程500万元。</w:t>
      </w:r>
    </w:p>
    <w:p w14:paraId="58F22C20">
      <w:pPr>
        <w:spacing w:line="600" w:lineRule="exact"/>
        <w:ind w:firstLine="643"/>
        <w:rPr>
          <w:rFonts w:ascii="宋体" w:hAnsi="宋体" w:cs="宋体"/>
          <w:bCs/>
          <w:sz w:val="32"/>
        </w:rPr>
      </w:pPr>
      <w:r>
        <w:rPr>
          <w:rFonts w:hint="eastAsia" w:ascii="宋体" w:hAnsi="宋体" w:cs="宋体"/>
          <w:bCs/>
          <w:sz w:val="32"/>
        </w:rPr>
        <w:t>新增专项债券31800万元，安排项目为：建制镇生活污水处理设施建设项目一期工程2300万元，黄河大道地下停车场及体育中心人民防空地下室项目2000万元，市人民医院整体搬迁项目15000万元，中医院信息化建设及设备购置项目2000万元，经济技术开发区标准厂房及配套设施建设项目7000万元，经济技术开发区轨道交通装备双创平台建设项目3500万元。</w:t>
      </w:r>
    </w:p>
    <w:p w14:paraId="18DD3540">
      <w:pPr>
        <w:spacing w:line="600" w:lineRule="exact"/>
        <w:ind w:firstLine="643"/>
        <w:rPr>
          <w:rFonts w:ascii="宋体" w:hAnsi="宋体" w:cs="宋体"/>
          <w:b/>
          <w:bCs/>
          <w:sz w:val="32"/>
        </w:rPr>
      </w:pPr>
      <w:r>
        <w:rPr>
          <w:rFonts w:hint="eastAsia" w:ascii="宋体" w:hAnsi="宋体" w:cs="宋体"/>
          <w:b/>
          <w:bCs/>
          <w:sz w:val="32"/>
        </w:rPr>
        <w:t>（三）债券还本付息</w:t>
      </w:r>
    </w:p>
    <w:p w14:paraId="55241ACF">
      <w:pPr>
        <w:spacing w:line="600" w:lineRule="exact"/>
        <w:ind w:firstLine="640"/>
        <w:rPr>
          <w:rFonts w:ascii="宋体" w:hAnsi="宋体" w:cs="宋体"/>
          <w:bCs/>
          <w:sz w:val="32"/>
        </w:rPr>
      </w:pPr>
      <w:r>
        <w:rPr>
          <w:rFonts w:hint="eastAsia" w:ascii="宋体" w:hAnsi="宋体" w:cs="宋体"/>
          <w:bCs/>
          <w:sz w:val="32"/>
        </w:rPr>
        <w:t>2022年政府债券到期本息24023.66万元，其中，一般债券到期本金2000万元，到期利息2560.56万元；专项债券到期本金16600万元，到期利息2863.1万元。本年度到期本息已全部偿还，其中：再融资债券偿还到期本金18600万元，预算安排偿还到期利息5423.66万元。</w:t>
      </w:r>
    </w:p>
    <w:p w14:paraId="024E91A2">
      <w:pPr>
        <w:spacing w:line="600" w:lineRule="exact"/>
        <w:ind w:firstLine="640"/>
        <w:rPr>
          <w:rFonts w:ascii="黑体" w:hAnsi="黑体" w:eastAsia="黑体" w:cs="黑体"/>
          <w:sz w:val="32"/>
        </w:rPr>
      </w:pPr>
      <w:r>
        <w:rPr>
          <w:rFonts w:hint="eastAsia" w:ascii="黑体" w:hAnsi="黑体" w:eastAsia="黑体" w:cs="黑体"/>
          <w:sz w:val="32"/>
        </w:rPr>
        <w:t>十一、财政供养人员情况</w:t>
      </w:r>
    </w:p>
    <w:p w14:paraId="01539E1F">
      <w:pPr>
        <w:spacing w:line="600" w:lineRule="exact"/>
        <w:ind w:firstLine="640" w:firstLineChars="200"/>
        <w:rPr>
          <w:rFonts w:ascii="宋体" w:hAnsi="宋体" w:cs="宋体"/>
          <w:sz w:val="32"/>
        </w:rPr>
      </w:pPr>
      <w:r>
        <w:rPr>
          <w:rFonts w:ascii="宋体" w:hAnsi="宋体" w:cs="宋体"/>
          <w:sz w:val="32"/>
        </w:rPr>
        <w:t>202</w:t>
      </w:r>
      <w:r>
        <w:rPr>
          <w:rFonts w:hint="eastAsia" w:ascii="宋体" w:hAnsi="宋体" w:cs="宋体"/>
          <w:sz w:val="32"/>
        </w:rPr>
        <w:t>2年财政供养人员为10007人，比上年10037人减少30人。</w:t>
      </w:r>
    </w:p>
    <w:p w14:paraId="545C72E6">
      <w:pPr>
        <w:spacing w:line="600" w:lineRule="exact"/>
        <w:ind w:firstLine="640" w:firstLineChars="200"/>
        <w:rPr>
          <w:rFonts w:ascii="宋体" w:hAnsi="宋体" w:cs="宋体"/>
          <w:sz w:val="32"/>
        </w:rPr>
      </w:pPr>
      <w:r>
        <w:rPr>
          <w:rFonts w:hint="eastAsia" w:ascii="宋体" w:hAnsi="宋体" w:cs="宋体"/>
          <w:sz w:val="32"/>
        </w:rPr>
        <w:t>在职9942人，比上年9959人减少17人。其中：行政1236人，比上年</w:t>
      </w:r>
      <w:r>
        <w:rPr>
          <w:rFonts w:ascii="宋体" w:hAnsi="宋体" w:cs="宋体"/>
          <w:sz w:val="32"/>
        </w:rPr>
        <w:t>1267</w:t>
      </w:r>
      <w:r>
        <w:rPr>
          <w:rFonts w:hint="eastAsia" w:ascii="宋体" w:hAnsi="宋体" w:cs="宋体"/>
          <w:sz w:val="32"/>
        </w:rPr>
        <w:t>人减少31人；事业8706人，比上年8692人增加14人。</w:t>
      </w:r>
    </w:p>
    <w:p w14:paraId="5735C161">
      <w:pPr>
        <w:spacing w:line="600" w:lineRule="exact"/>
        <w:ind w:firstLine="640" w:firstLineChars="200"/>
        <w:rPr>
          <w:rFonts w:ascii="宋体" w:hAnsi="宋体" w:cs="宋体"/>
          <w:sz w:val="32"/>
        </w:rPr>
      </w:pPr>
      <w:r>
        <w:rPr>
          <w:rFonts w:hint="eastAsia" w:ascii="宋体" w:hAnsi="宋体" w:cs="宋体"/>
          <w:sz w:val="32"/>
        </w:rPr>
        <w:t>离休42人，比上年56人减少14人。</w:t>
      </w:r>
    </w:p>
    <w:p w14:paraId="2F8B6BE6">
      <w:pPr>
        <w:spacing w:line="600" w:lineRule="exact"/>
        <w:ind w:firstLine="640" w:firstLineChars="200"/>
        <w:rPr>
          <w:rFonts w:ascii="宋体" w:hAnsi="宋体" w:cs="宋体"/>
          <w:sz w:val="32"/>
        </w:rPr>
      </w:pPr>
      <w:r>
        <w:rPr>
          <w:rFonts w:hint="eastAsia" w:ascii="宋体" w:hAnsi="宋体" w:cs="宋体"/>
          <w:sz w:val="32"/>
        </w:rPr>
        <w:t>退休23人，比上年22人增加1人。</w:t>
      </w:r>
    </w:p>
    <w:p w14:paraId="6236F1C1">
      <w:pPr>
        <w:spacing w:line="600" w:lineRule="exact"/>
        <w:ind w:firstLine="640" w:firstLineChars="200"/>
        <w:rPr>
          <w:rFonts w:ascii="宋体" w:hAnsi="宋体" w:cs="宋体"/>
          <w:sz w:val="32"/>
        </w:rPr>
      </w:pPr>
      <w:r>
        <w:rPr>
          <w:rFonts w:hint="eastAsia" w:ascii="宋体" w:hAnsi="宋体" w:cs="宋体"/>
          <w:sz w:val="32"/>
        </w:rPr>
        <w:t>主要增减因素是：</w:t>
      </w:r>
    </w:p>
    <w:p w14:paraId="4A26A2C3">
      <w:pPr>
        <w:spacing w:line="600" w:lineRule="exact"/>
        <w:ind w:firstLine="640" w:firstLineChars="200"/>
        <w:rPr>
          <w:rFonts w:ascii="宋体" w:hAnsi="宋体" w:cs="宋体"/>
          <w:sz w:val="32"/>
        </w:rPr>
      </w:pPr>
      <w:r>
        <w:rPr>
          <w:rFonts w:ascii="宋体" w:hAnsi="宋体" w:cs="宋体"/>
          <w:sz w:val="32"/>
        </w:rPr>
        <w:t>1</w:t>
      </w:r>
      <w:r>
        <w:rPr>
          <w:rFonts w:hint="eastAsia" w:ascii="宋体" w:hAnsi="宋体" w:cs="宋体"/>
          <w:sz w:val="32"/>
        </w:rPr>
        <w:t>、</w:t>
      </w:r>
      <w:r>
        <w:rPr>
          <w:rFonts w:ascii="宋体" w:hAnsi="宋体" w:cs="宋体"/>
          <w:sz w:val="32"/>
        </w:rPr>
        <w:t>202</w:t>
      </w:r>
      <w:r>
        <w:rPr>
          <w:rFonts w:hint="eastAsia" w:ascii="宋体" w:hAnsi="宋体" w:cs="宋体"/>
          <w:sz w:val="32"/>
        </w:rPr>
        <w:t>2年新增555人{公开招聘391人（行政44人，事业347人），调入43人（外县调入21人，法院、环保局、设计室等调入系统22人），退伍军人安置9人,财政差额补助人员 112人 (财政综合保障中心40人，棉花保纯厂、原种厂34人，蒲津渡遗址博物馆17人，苗圃9人，民协、质协、消协7人，姚温站5人)}。</w:t>
      </w:r>
    </w:p>
    <w:p w14:paraId="53A2AD2D">
      <w:pPr>
        <w:spacing w:line="600" w:lineRule="exact"/>
        <w:ind w:firstLine="640" w:firstLineChars="200"/>
        <w:rPr>
          <w:rFonts w:ascii="宋体" w:hAnsi="宋体" w:cs="宋体"/>
          <w:sz w:val="32"/>
        </w:rPr>
      </w:pPr>
      <w:r>
        <w:rPr>
          <w:rFonts w:ascii="宋体" w:hAnsi="宋体" w:cs="宋体"/>
          <w:sz w:val="32"/>
        </w:rPr>
        <w:t>2</w:t>
      </w:r>
      <w:r>
        <w:rPr>
          <w:rFonts w:hint="eastAsia" w:ascii="宋体" w:hAnsi="宋体" w:cs="宋体"/>
          <w:sz w:val="32"/>
        </w:rPr>
        <w:t>、在职减少572人。其中：退休359人，调出144人（调出永济27人，环保局调出系统117人），辞职17人，死亡12人，自收自支交由第三方40人（污水公司）。</w:t>
      </w:r>
    </w:p>
    <w:p w14:paraId="2F160D74">
      <w:pPr>
        <w:spacing w:line="600" w:lineRule="exact"/>
        <w:ind w:firstLine="640" w:firstLineChars="200"/>
        <w:rPr>
          <w:rFonts w:ascii="宋体" w:hAnsi="宋体" w:cs="宋体"/>
          <w:sz w:val="32"/>
        </w:rPr>
      </w:pPr>
      <w:r>
        <w:rPr>
          <w:rFonts w:ascii="宋体" w:hAnsi="宋体" w:cs="宋体"/>
          <w:sz w:val="32"/>
        </w:rPr>
        <w:t>3</w:t>
      </w:r>
      <w:r>
        <w:rPr>
          <w:rFonts w:hint="eastAsia" w:ascii="宋体" w:hAnsi="宋体" w:cs="宋体"/>
          <w:sz w:val="32"/>
        </w:rPr>
        <w:t>、离休减少14人。其中：死亡14人。</w:t>
      </w:r>
    </w:p>
    <w:p w14:paraId="421D5B12">
      <w:pPr>
        <w:spacing w:line="600" w:lineRule="exact"/>
        <w:ind w:firstLine="640"/>
        <w:rPr>
          <w:rFonts w:ascii="黑体" w:hAnsi="黑体" w:eastAsia="黑体" w:cs="黑体"/>
          <w:sz w:val="32"/>
        </w:rPr>
      </w:pPr>
      <w:r>
        <w:rPr>
          <w:rFonts w:hint="eastAsia" w:ascii="黑体" w:hAnsi="黑体" w:eastAsia="黑体" w:cs="黑体"/>
          <w:sz w:val="32"/>
        </w:rPr>
        <w:t>十二、财政工作存在的困难及2023年工作重点</w:t>
      </w:r>
    </w:p>
    <w:p w14:paraId="0D022E17">
      <w:pPr>
        <w:spacing w:line="600" w:lineRule="exact"/>
        <w:ind w:firstLine="640"/>
        <w:rPr>
          <w:rFonts w:ascii="宋体" w:hAnsi="宋体" w:cs="宋体"/>
          <w:sz w:val="32"/>
        </w:rPr>
      </w:pPr>
      <w:r>
        <w:rPr>
          <w:rFonts w:hint="eastAsia" w:ascii="宋体" w:hAnsi="宋体" w:cs="宋体"/>
          <w:sz w:val="32"/>
        </w:rPr>
        <w:t>2022年，我们在争资金、稳经济、惠民生、促发展等方面取得一定成效，但还存在一些困难和问题：一是财政收入增长点不突出，增收乏力。二是因新冠疫情、政策性减税降费等影响及各类民生领域刚性支出需求加大，财政预算平衡难度增加。三是部分部门过“紧日子”意识不强，绩效管理理念不够深入。对此，我们要高度重视，积极应对，切实采取有效措施加以解决。</w:t>
      </w:r>
    </w:p>
    <w:p w14:paraId="71E6419B">
      <w:pPr>
        <w:spacing w:line="600" w:lineRule="exact"/>
        <w:ind w:firstLine="640"/>
        <w:rPr>
          <w:rFonts w:ascii="宋体" w:hAnsi="宋体" w:cs="宋体"/>
          <w:sz w:val="32"/>
        </w:rPr>
      </w:pPr>
      <w:r>
        <w:rPr>
          <w:rFonts w:hint="eastAsia" w:ascii="宋体" w:hAnsi="宋体" w:cs="宋体"/>
          <w:sz w:val="32"/>
        </w:rPr>
        <w:t>做好2023年财政工作，我们要精心研究、精细算账，认真落实好各项决策部署，高标准、严要求，奋力推进财政高质量发展。</w:t>
      </w:r>
    </w:p>
    <w:p w14:paraId="551D375F">
      <w:pPr>
        <w:spacing w:line="600" w:lineRule="exact"/>
        <w:ind w:firstLine="640"/>
        <w:rPr>
          <w:rFonts w:ascii="宋体" w:hAnsi="宋体" w:cs="宋体"/>
          <w:sz w:val="32"/>
        </w:rPr>
      </w:pPr>
      <w:r>
        <w:rPr>
          <w:rFonts w:hint="eastAsia" w:ascii="宋体" w:hAnsi="宋体" w:cs="宋体"/>
          <w:sz w:val="32"/>
        </w:rPr>
        <w:t>1、狠抓组织收入，确保全年收入计划完成。一是积极主动，加强财税部门联系，定期研判收入形势，及时解决组织收入中的难题，确保收入及时足额入库。二是落实各类助企纾困政策，不断支持企业发展，厚植经济高质量发展新动能。三是强化收入征管，加强对重点行业、重点税源及非税收入管理，加大征缴监管力度，挖掘增收潜力，确保全年收入计划完成。</w:t>
      </w:r>
    </w:p>
    <w:p w14:paraId="58CFC04C">
      <w:pPr>
        <w:spacing w:line="600" w:lineRule="exact"/>
        <w:ind w:firstLine="640"/>
        <w:rPr>
          <w:rFonts w:ascii="宋体" w:hAnsi="宋体" w:cs="宋体"/>
          <w:sz w:val="32"/>
        </w:rPr>
      </w:pPr>
      <w:r>
        <w:rPr>
          <w:rFonts w:hint="eastAsia" w:ascii="宋体" w:hAnsi="宋体" w:cs="宋体"/>
          <w:sz w:val="32"/>
        </w:rPr>
        <w:t>2、积极争取资金，全力以赴保经济促发展。认真研究中央、省、市政策资金支持方向，找准我市发展契合点，聚焦“543”现代矩阵和基础设施建设、生态保护与修复、农林水发展、教育医疗卫生事业等重点民生领域，提早谋划，做好对接，做细做实项目申报、项目跟进、资金落实，争取更多财力性及专项资金，全力支持全市经济发展。</w:t>
      </w:r>
    </w:p>
    <w:p w14:paraId="70524404">
      <w:pPr>
        <w:spacing w:line="600" w:lineRule="exact"/>
        <w:ind w:firstLine="640"/>
        <w:rPr>
          <w:rFonts w:ascii="宋体" w:hAnsi="宋体" w:cs="宋体"/>
          <w:sz w:val="32"/>
        </w:rPr>
      </w:pPr>
      <w:r>
        <w:rPr>
          <w:rFonts w:hint="eastAsia" w:ascii="宋体" w:hAnsi="宋体" w:cs="宋体"/>
          <w:sz w:val="32"/>
        </w:rPr>
        <w:t>3、严格预算管理，不断优化支出结构。一是做好预算编制工作，预算安排与执行进度、项目细化程度、存量资金规模、审计发现问题等相结合，提升预算执行效率。二是强化预算约束，大力压缩支出。优先保障人员、基本运转及基本民生方面支出，牢固树立“紧日子”思想，严控行政支出，降低行政成本，将有限的资金用在“刀刃”上，切实为民办实事。</w:t>
      </w:r>
    </w:p>
    <w:p w14:paraId="1C6AED3D">
      <w:pPr>
        <w:spacing w:line="600" w:lineRule="exact"/>
        <w:ind w:firstLine="640"/>
        <w:rPr>
          <w:rFonts w:ascii="宋体" w:hAnsi="宋体" w:cs="宋体"/>
          <w:sz w:val="32"/>
        </w:rPr>
      </w:pPr>
      <w:r>
        <w:rPr>
          <w:rFonts w:hint="eastAsia" w:ascii="宋体" w:hAnsi="宋体" w:cs="宋体"/>
          <w:sz w:val="32"/>
        </w:rPr>
        <w:t>4、倾力改善民生，提升增进百姓福祉。倾力保障和改善民生，努力提升人民生活品质，增进百姓福祉，全面推进乡村振兴、加快补齐生态短板、支持做好新阶段保健康防重症工作、做好医疗卫生及社会保障工作、实施文化惠民丰富群众文化生活等，着力促进民生事业健康有序发展。</w:t>
      </w:r>
    </w:p>
    <w:p w14:paraId="64D1B436">
      <w:pPr>
        <w:spacing w:line="600" w:lineRule="exact"/>
        <w:ind w:firstLine="640"/>
        <w:rPr>
          <w:rFonts w:ascii="宋体" w:hAnsi="宋体" w:cs="宋体"/>
          <w:sz w:val="32"/>
        </w:rPr>
      </w:pPr>
      <w:r>
        <w:rPr>
          <w:rFonts w:hint="eastAsia" w:ascii="宋体" w:hAnsi="宋体" w:cs="宋体"/>
          <w:sz w:val="32"/>
        </w:rPr>
        <w:t>5、树牢底线思维，继续防范财政风险。一是兜实兜牢“三保”底线，优先安排“三保”方面支出，确保“三保”支出执行到位。二是强化债务管控风险，统筹做好政府债券促发展和防风险两方面工作，积极用好政府债券资金，加强隐性债务风险管理，做好隐性债务监控监测。</w:t>
      </w:r>
    </w:p>
    <w:p w14:paraId="737E4F0C">
      <w:pPr>
        <w:spacing w:line="600" w:lineRule="exact"/>
        <w:ind w:firstLine="640"/>
        <w:rPr>
          <w:rFonts w:ascii="宋体" w:hAnsi="宋体" w:cs="宋体"/>
          <w:sz w:val="32"/>
        </w:rPr>
      </w:pPr>
      <w:r>
        <w:rPr>
          <w:rFonts w:hint="eastAsia" w:ascii="宋体" w:hAnsi="宋体" w:cs="宋体"/>
          <w:sz w:val="32"/>
        </w:rPr>
        <w:t>2023年财政部门倍感任务艰巨，责任重大。我们决心在市委的正确领导下，在市人大、政协的监督支持下，踔厉奋发，勇毅前行，以时时放心不下的责任感，积极做好各项财政工作，为我市转型跨越发展做出积极的贡献！</w:t>
      </w:r>
    </w:p>
    <w:p w14:paraId="020FEE62">
      <w:pPr>
        <w:spacing w:line="600" w:lineRule="exact"/>
        <w:ind w:firstLine="640"/>
        <w:rPr>
          <w:rFonts w:ascii="宋体" w:hAnsi="宋体" w:cs="宋体"/>
          <w:sz w:val="32"/>
        </w:rPr>
      </w:pPr>
    </w:p>
    <w:p w14:paraId="002FDCE8">
      <w:pPr>
        <w:wordWrap w:val="0"/>
        <w:spacing w:line="600" w:lineRule="exact"/>
        <w:ind w:firstLine="640"/>
        <w:jc w:val="right"/>
        <w:rPr>
          <w:rFonts w:ascii="宋体" w:hAnsi="宋体" w:cs="宋体"/>
          <w:sz w:val="32"/>
        </w:rPr>
      </w:pPr>
    </w:p>
    <w:p w14:paraId="5EC60AAE">
      <w:pPr>
        <w:spacing w:line="600" w:lineRule="exact"/>
        <w:ind w:firstLine="640"/>
        <w:jc w:val="right"/>
        <w:rPr>
          <w:rFonts w:ascii="宋体" w:hAnsi="宋体" w:cs="宋体"/>
          <w:sz w:val="32"/>
        </w:rPr>
      </w:pPr>
    </w:p>
    <w:p w14:paraId="6B241A15">
      <w:pPr>
        <w:spacing w:line="600" w:lineRule="exact"/>
        <w:ind w:firstLine="640"/>
        <w:jc w:val="right"/>
        <w:rPr>
          <w:rFonts w:ascii="仿宋_GB2312" w:hAnsi="仿宋" w:eastAsia="仿宋_GB2312" w:cs="仿宋"/>
          <w:sz w:val="32"/>
        </w:rPr>
      </w:pPr>
      <w:r>
        <w:rPr>
          <w:rFonts w:hint="eastAsia" w:ascii="宋体" w:hAnsi="宋体" w:cs="宋体"/>
          <w:sz w:val="32"/>
        </w:rPr>
        <w:t xml:space="preserve">2023年1月22日      </w:t>
      </w:r>
      <w:r>
        <w:rPr>
          <w:rFonts w:hint="eastAsia" w:ascii="仿宋_GB2312" w:hAnsi="仿宋" w:eastAsia="仿宋_GB2312" w:cs="仿宋"/>
          <w:sz w:val="32"/>
        </w:rPr>
        <w:t xml:space="preserve">    </w:t>
      </w:r>
    </w:p>
    <w:sectPr>
      <w:footerReference r:id="rId3" w:type="default"/>
      <w:footerReference r:id="rId4" w:type="even"/>
      <w:pgSz w:w="20580" w:h="14513" w:orient="landscape"/>
      <w:pgMar w:top="1814" w:right="1587" w:bottom="1701" w:left="2098" w:header="851" w:footer="1304"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86920">
    <w:pPr>
      <w:pStyle w:val="3"/>
      <w:ind w:right="360"/>
    </w:pPr>
    <w:r>
      <w:pict>
        <v:shape id="文本框 5" o:spid="_x0000_s2049"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5B0221B3">
                <w:pPr>
                  <w:pStyle w:val="3"/>
                  <w:rPr>
                    <w:rStyle w:val="8"/>
                    <w:sz w:val="21"/>
                    <w:szCs w:val="21"/>
                  </w:rPr>
                </w:pPr>
                <w:r>
                  <w:rPr>
                    <w:rStyle w:val="8"/>
                    <w:sz w:val="21"/>
                    <w:szCs w:val="21"/>
                  </w:rPr>
                  <w:fldChar w:fldCharType="begin"/>
                </w:r>
                <w:r>
                  <w:rPr>
                    <w:rStyle w:val="8"/>
                    <w:sz w:val="21"/>
                    <w:szCs w:val="21"/>
                  </w:rPr>
                  <w:instrText xml:space="preserve">PAGE  </w:instrText>
                </w:r>
                <w:r>
                  <w:rPr>
                    <w:rStyle w:val="8"/>
                    <w:sz w:val="21"/>
                    <w:szCs w:val="21"/>
                  </w:rPr>
                  <w:fldChar w:fldCharType="separate"/>
                </w:r>
                <w:r>
                  <w:rPr>
                    <w:rStyle w:val="8"/>
                    <w:sz w:val="21"/>
                    <w:szCs w:val="21"/>
                  </w:rPr>
                  <w:t>- 1 -</w:t>
                </w:r>
                <w:r>
                  <w:rPr>
                    <w:rStyle w:val="8"/>
                    <w:sz w:val="21"/>
                    <w:szCs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C1953">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26500FCC">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60"/>
  <w:displayVerticalDrawingGridEvery w:val="2"/>
  <w:noPunctuationKerning w:val="1"/>
  <w:characterSpacingControl w:val="doNotCompress"/>
  <w:noLineBreaksAfter w:lang="zh-CN" w:val="$([{£¥·‘“〈《「『【〔〖〝﹙﹛﹝＄（．［｛￡￥"/>
  <w:noLineBreaksBefore w:lang="zh-CN" w:val="!%),.:;&gt;?]}¢¨°·ˇˉ―‖’”…‰′″›℃∶、。〃〉》」』】〕〗〞︶︺︾﹀﹄﹚﹜﹞！＂％＇），．：；？］｀｜｝～￠"/>
  <w:hdrShapeDefaults>
    <o:shapelayout v:ext="edit">
      <o:idmap v:ext="edit" data="2"/>
    </o:shapelayout>
  </w:hdrShapeDefaults>
  <w:compat>
    <w:spaceForUL/>
    <w:doNotLeaveBackslashAlone/>
    <w:ulTrailSpace/>
    <w:doNotExpandShiftReturn/>
    <w:useFELayout/>
    <w:compatSetting w:name="compatibilityMode" w:uri="http://schemas.microsoft.com/office/word" w:val="12"/>
  </w:compat>
  <w:docVars>
    <w:docVar w:name="commondata" w:val="eyJoZGlkIjoiYjQ2OGM1NTk3MGI3YmU4OWZmZDg2MjMzNmZiOGJlNWYifQ=="/>
  </w:docVars>
  <w:rsids>
    <w:rsidRoot w:val="001500C1"/>
    <w:rsid w:val="00006975"/>
    <w:rsid w:val="00014ECC"/>
    <w:rsid w:val="00026748"/>
    <w:rsid w:val="000408BB"/>
    <w:rsid w:val="00053200"/>
    <w:rsid w:val="00054A6E"/>
    <w:rsid w:val="0006209A"/>
    <w:rsid w:val="00085864"/>
    <w:rsid w:val="00094F7C"/>
    <w:rsid w:val="00097966"/>
    <w:rsid w:val="000A07BF"/>
    <w:rsid w:val="000A4232"/>
    <w:rsid w:val="000A5060"/>
    <w:rsid w:val="000B1B62"/>
    <w:rsid w:val="000B3057"/>
    <w:rsid w:val="000B6899"/>
    <w:rsid w:val="000D2D34"/>
    <w:rsid w:val="000F0F6B"/>
    <w:rsid w:val="00101C63"/>
    <w:rsid w:val="00110C1E"/>
    <w:rsid w:val="0012111E"/>
    <w:rsid w:val="00130D81"/>
    <w:rsid w:val="00131CF4"/>
    <w:rsid w:val="00132181"/>
    <w:rsid w:val="00137267"/>
    <w:rsid w:val="0014019B"/>
    <w:rsid w:val="001412D7"/>
    <w:rsid w:val="00147004"/>
    <w:rsid w:val="001500C1"/>
    <w:rsid w:val="00155919"/>
    <w:rsid w:val="00162B29"/>
    <w:rsid w:val="001647C1"/>
    <w:rsid w:val="0016554F"/>
    <w:rsid w:val="00191980"/>
    <w:rsid w:val="00192CFF"/>
    <w:rsid w:val="00194C69"/>
    <w:rsid w:val="001B1109"/>
    <w:rsid w:val="001B2641"/>
    <w:rsid w:val="001B620D"/>
    <w:rsid w:val="001B7A80"/>
    <w:rsid w:val="001C3669"/>
    <w:rsid w:val="001C4BFA"/>
    <w:rsid w:val="001D1BF6"/>
    <w:rsid w:val="001D5E35"/>
    <w:rsid w:val="001F6C93"/>
    <w:rsid w:val="00231904"/>
    <w:rsid w:val="00233B49"/>
    <w:rsid w:val="00241246"/>
    <w:rsid w:val="00243A35"/>
    <w:rsid w:val="00244252"/>
    <w:rsid w:val="002719FC"/>
    <w:rsid w:val="002763CC"/>
    <w:rsid w:val="002820FF"/>
    <w:rsid w:val="002840B8"/>
    <w:rsid w:val="0028474C"/>
    <w:rsid w:val="002914BE"/>
    <w:rsid w:val="00291615"/>
    <w:rsid w:val="002921A3"/>
    <w:rsid w:val="002925CD"/>
    <w:rsid w:val="00293294"/>
    <w:rsid w:val="002936D2"/>
    <w:rsid w:val="002941AA"/>
    <w:rsid w:val="002B09A7"/>
    <w:rsid w:val="002B0DC8"/>
    <w:rsid w:val="002C269D"/>
    <w:rsid w:val="002C3833"/>
    <w:rsid w:val="002C4F1D"/>
    <w:rsid w:val="002D3E42"/>
    <w:rsid w:val="002D6B94"/>
    <w:rsid w:val="002D71F9"/>
    <w:rsid w:val="002E040B"/>
    <w:rsid w:val="002E0967"/>
    <w:rsid w:val="00302301"/>
    <w:rsid w:val="0030591E"/>
    <w:rsid w:val="0031322D"/>
    <w:rsid w:val="00315667"/>
    <w:rsid w:val="00332FA7"/>
    <w:rsid w:val="00335890"/>
    <w:rsid w:val="00336EF5"/>
    <w:rsid w:val="003531E1"/>
    <w:rsid w:val="00360C23"/>
    <w:rsid w:val="003614EE"/>
    <w:rsid w:val="0036485C"/>
    <w:rsid w:val="00372AAD"/>
    <w:rsid w:val="00373C12"/>
    <w:rsid w:val="003803E4"/>
    <w:rsid w:val="0039007D"/>
    <w:rsid w:val="00390584"/>
    <w:rsid w:val="00390FE3"/>
    <w:rsid w:val="00393D47"/>
    <w:rsid w:val="00394058"/>
    <w:rsid w:val="00395150"/>
    <w:rsid w:val="003957A6"/>
    <w:rsid w:val="003B41B0"/>
    <w:rsid w:val="003B7100"/>
    <w:rsid w:val="003D3633"/>
    <w:rsid w:val="003D4B91"/>
    <w:rsid w:val="003E6037"/>
    <w:rsid w:val="003F09D8"/>
    <w:rsid w:val="003F6FB4"/>
    <w:rsid w:val="004005E9"/>
    <w:rsid w:val="00404C8E"/>
    <w:rsid w:val="00410EF3"/>
    <w:rsid w:val="00413184"/>
    <w:rsid w:val="00416C4C"/>
    <w:rsid w:val="0041778F"/>
    <w:rsid w:val="004236D6"/>
    <w:rsid w:val="00424C68"/>
    <w:rsid w:val="00427FD9"/>
    <w:rsid w:val="00433C68"/>
    <w:rsid w:val="00435AFD"/>
    <w:rsid w:val="0043695C"/>
    <w:rsid w:val="00441457"/>
    <w:rsid w:val="004533B7"/>
    <w:rsid w:val="00453EB9"/>
    <w:rsid w:val="00454AC2"/>
    <w:rsid w:val="0046045E"/>
    <w:rsid w:val="00463388"/>
    <w:rsid w:val="0046707D"/>
    <w:rsid w:val="004674C7"/>
    <w:rsid w:val="00476CDC"/>
    <w:rsid w:val="00480A85"/>
    <w:rsid w:val="004836FC"/>
    <w:rsid w:val="00484813"/>
    <w:rsid w:val="00492A8C"/>
    <w:rsid w:val="004A45F0"/>
    <w:rsid w:val="004B39ED"/>
    <w:rsid w:val="004C037D"/>
    <w:rsid w:val="004D11E2"/>
    <w:rsid w:val="004D35BC"/>
    <w:rsid w:val="004D5EFB"/>
    <w:rsid w:val="004D7FC0"/>
    <w:rsid w:val="004E7C87"/>
    <w:rsid w:val="004F25E6"/>
    <w:rsid w:val="00500F3A"/>
    <w:rsid w:val="00515100"/>
    <w:rsid w:val="005155CB"/>
    <w:rsid w:val="00532310"/>
    <w:rsid w:val="00541074"/>
    <w:rsid w:val="00541227"/>
    <w:rsid w:val="00545D85"/>
    <w:rsid w:val="00547888"/>
    <w:rsid w:val="00547DF2"/>
    <w:rsid w:val="00567E87"/>
    <w:rsid w:val="00573952"/>
    <w:rsid w:val="00575828"/>
    <w:rsid w:val="00590D97"/>
    <w:rsid w:val="005A6DC6"/>
    <w:rsid w:val="005B08D1"/>
    <w:rsid w:val="005B5F0B"/>
    <w:rsid w:val="005C5AF0"/>
    <w:rsid w:val="005C6046"/>
    <w:rsid w:val="005C6C11"/>
    <w:rsid w:val="005C710C"/>
    <w:rsid w:val="005D121A"/>
    <w:rsid w:val="005D2D40"/>
    <w:rsid w:val="005D5C49"/>
    <w:rsid w:val="005D619D"/>
    <w:rsid w:val="005E074B"/>
    <w:rsid w:val="005E4B62"/>
    <w:rsid w:val="005E7BCF"/>
    <w:rsid w:val="005F2B4C"/>
    <w:rsid w:val="005F3C16"/>
    <w:rsid w:val="006109AF"/>
    <w:rsid w:val="00613F20"/>
    <w:rsid w:val="00616A4F"/>
    <w:rsid w:val="00622ABC"/>
    <w:rsid w:val="00623A63"/>
    <w:rsid w:val="0063053E"/>
    <w:rsid w:val="00633287"/>
    <w:rsid w:val="0065089B"/>
    <w:rsid w:val="006541BB"/>
    <w:rsid w:val="006623EA"/>
    <w:rsid w:val="00666A52"/>
    <w:rsid w:val="00667121"/>
    <w:rsid w:val="00671E50"/>
    <w:rsid w:val="0067507B"/>
    <w:rsid w:val="0068064E"/>
    <w:rsid w:val="006868A9"/>
    <w:rsid w:val="00686DDB"/>
    <w:rsid w:val="006871CD"/>
    <w:rsid w:val="00693F5C"/>
    <w:rsid w:val="006A1504"/>
    <w:rsid w:val="006A55DB"/>
    <w:rsid w:val="006A6A4E"/>
    <w:rsid w:val="006A79F4"/>
    <w:rsid w:val="006E2D8A"/>
    <w:rsid w:val="006E46D6"/>
    <w:rsid w:val="006E4B86"/>
    <w:rsid w:val="006F35F0"/>
    <w:rsid w:val="00701A5F"/>
    <w:rsid w:val="007032AE"/>
    <w:rsid w:val="00705080"/>
    <w:rsid w:val="00710E92"/>
    <w:rsid w:val="007127CE"/>
    <w:rsid w:val="00714BAA"/>
    <w:rsid w:val="00714E42"/>
    <w:rsid w:val="00717D87"/>
    <w:rsid w:val="00721307"/>
    <w:rsid w:val="0072548A"/>
    <w:rsid w:val="0073297D"/>
    <w:rsid w:val="007365FA"/>
    <w:rsid w:val="00742DD4"/>
    <w:rsid w:val="007467E2"/>
    <w:rsid w:val="007524EF"/>
    <w:rsid w:val="007645D2"/>
    <w:rsid w:val="00771CFA"/>
    <w:rsid w:val="00777590"/>
    <w:rsid w:val="00782314"/>
    <w:rsid w:val="007918F5"/>
    <w:rsid w:val="00794914"/>
    <w:rsid w:val="007A4A47"/>
    <w:rsid w:val="007C4EA6"/>
    <w:rsid w:val="007C5EC7"/>
    <w:rsid w:val="007D02B2"/>
    <w:rsid w:val="007D6824"/>
    <w:rsid w:val="007D6CA1"/>
    <w:rsid w:val="007E3C47"/>
    <w:rsid w:val="007E50DA"/>
    <w:rsid w:val="007F3E0D"/>
    <w:rsid w:val="007F5044"/>
    <w:rsid w:val="00800E43"/>
    <w:rsid w:val="00801AD2"/>
    <w:rsid w:val="00801C40"/>
    <w:rsid w:val="0080746C"/>
    <w:rsid w:val="008104ED"/>
    <w:rsid w:val="008148C1"/>
    <w:rsid w:val="00827A5F"/>
    <w:rsid w:val="00833E14"/>
    <w:rsid w:val="00851718"/>
    <w:rsid w:val="00851B58"/>
    <w:rsid w:val="008541A6"/>
    <w:rsid w:val="00856CD3"/>
    <w:rsid w:val="0086564A"/>
    <w:rsid w:val="0086659D"/>
    <w:rsid w:val="00876694"/>
    <w:rsid w:val="00877B00"/>
    <w:rsid w:val="00893BAB"/>
    <w:rsid w:val="00895005"/>
    <w:rsid w:val="008965C7"/>
    <w:rsid w:val="008A0A3A"/>
    <w:rsid w:val="008A2A28"/>
    <w:rsid w:val="008A4960"/>
    <w:rsid w:val="008A5201"/>
    <w:rsid w:val="008B229D"/>
    <w:rsid w:val="008B4D09"/>
    <w:rsid w:val="008B63FE"/>
    <w:rsid w:val="008C0F10"/>
    <w:rsid w:val="008C7477"/>
    <w:rsid w:val="008D16B4"/>
    <w:rsid w:val="008D2042"/>
    <w:rsid w:val="008D24F3"/>
    <w:rsid w:val="008E3545"/>
    <w:rsid w:val="008F0B69"/>
    <w:rsid w:val="008F0F36"/>
    <w:rsid w:val="009014CE"/>
    <w:rsid w:val="00903B78"/>
    <w:rsid w:val="00910C8D"/>
    <w:rsid w:val="009142DB"/>
    <w:rsid w:val="00922D82"/>
    <w:rsid w:val="009253A0"/>
    <w:rsid w:val="00932123"/>
    <w:rsid w:val="00932437"/>
    <w:rsid w:val="00935B32"/>
    <w:rsid w:val="00937DA6"/>
    <w:rsid w:val="009434CF"/>
    <w:rsid w:val="00944025"/>
    <w:rsid w:val="00944DE6"/>
    <w:rsid w:val="00945F59"/>
    <w:rsid w:val="00947996"/>
    <w:rsid w:val="0095538B"/>
    <w:rsid w:val="00960720"/>
    <w:rsid w:val="00962DC9"/>
    <w:rsid w:val="009814D2"/>
    <w:rsid w:val="00992A58"/>
    <w:rsid w:val="00997752"/>
    <w:rsid w:val="009A36BD"/>
    <w:rsid w:val="009A6B1E"/>
    <w:rsid w:val="009C493F"/>
    <w:rsid w:val="009C5BC1"/>
    <w:rsid w:val="009D2AC4"/>
    <w:rsid w:val="009F078F"/>
    <w:rsid w:val="009F0B8E"/>
    <w:rsid w:val="00A0201F"/>
    <w:rsid w:val="00A1431B"/>
    <w:rsid w:val="00A14DC2"/>
    <w:rsid w:val="00A15275"/>
    <w:rsid w:val="00A178A8"/>
    <w:rsid w:val="00A23718"/>
    <w:rsid w:val="00A32BC5"/>
    <w:rsid w:val="00A32DB9"/>
    <w:rsid w:val="00A34D53"/>
    <w:rsid w:val="00A412DA"/>
    <w:rsid w:val="00A4190C"/>
    <w:rsid w:val="00A42F04"/>
    <w:rsid w:val="00A44C83"/>
    <w:rsid w:val="00A5136C"/>
    <w:rsid w:val="00A5262A"/>
    <w:rsid w:val="00A64E4F"/>
    <w:rsid w:val="00A77BF7"/>
    <w:rsid w:val="00A81859"/>
    <w:rsid w:val="00A83CDE"/>
    <w:rsid w:val="00A96580"/>
    <w:rsid w:val="00A96F3D"/>
    <w:rsid w:val="00AA3730"/>
    <w:rsid w:val="00AB1ED6"/>
    <w:rsid w:val="00AB50C6"/>
    <w:rsid w:val="00AB6B6C"/>
    <w:rsid w:val="00AD6630"/>
    <w:rsid w:val="00AE2820"/>
    <w:rsid w:val="00B03217"/>
    <w:rsid w:val="00B11871"/>
    <w:rsid w:val="00B16786"/>
    <w:rsid w:val="00B207ED"/>
    <w:rsid w:val="00B223B2"/>
    <w:rsid w:val="00B32624"/>
    <w:rsid w:val="00B35540"/>
    <w:rsid w:val="00B57BA7"/>
    <w:rsid w:val="00B63988"/>
    <w:rsid w:val="00B64A52"/>
    <w:rsid w:val="00B74017"/>
    <w:rsid w:val="00B76E42"/>
    <w:rsid w:val="00B85B4C"/>
    <w:rsid w:val="00B917ED"/>
    <w:rsid w:val="00BA2AD0"/>
    <w:rsid w:val="00BA6EB1"/>
    <w:rsid w:val="00BA72CE"/>
    <w:rsid w:val="00BD06C4"/>
    <w:rsid w:val="00BE457B"/>
    <w:rsid w:val="00BF2355"/>
    <w:rsid w:val="00BF2747"/>
    <w:rsid w:val="00C04A02"/>
    <w:rsid w:val="00C05D0F"/>
    <w:rsid w:val="00C14F07"/>
    <w:rsid w:val="00C2101C"/>
    <w:rsid w:val="00C26481"/>
    <w:rsid w:val="00C33E49"/>
    <w:rsid w:val="00C476BA"/>
    <w:rsid w:val="00C520F5"/>
    <w:rsid w:val="00C575BA"/>
    <w:rsid w:val="00C65D80"/>
    <w:rsid w:val="00C66952"/>
    <w:rsid w:val="00C710E0"/>
    <w:rsid w:val="00C859A2"/>
    <w:rsid w:val="00CB4220"/>
    <w:rsid w:val="00CC758A"/>
    <w:rsid w:val="00CD3887"/>
    <w:rsid w:val="00CE5A2A"/>
    <w:rsid w:val="00CE65CF"/>
    <w:rsid w:val="00CF2695"/>
    <w:rsid w:val="00D06786"/>
    <w:rsid w:val="00D119D3"/>
    <w:rsid w:val="00D131EE"/>
    <w:rsid w:val="00D1515F"/>
    <w:rsid w:val="00D214C8"/>
    <w:rsid w:val="00D22232"/>
    <w:rsid w:val="00D2321F"/>
    <w:rsid w:val="00D272C6"/>
    <w:rsid w:val="00D37C48"/>
    <w:rsid w:val="00D659F8"/>
    <w:rsid w:val="00D66BE8"/>
    <w:rsid w:val="00D91F64"/>
    <w:rsid w:val="00D963FB"/>
    <w:rsid w:val="00D96786"/>
    <w:rsid w:val="00D977C8"/>
    <w:rsid w:val="00DA0232"/>
    <w:rsid w:val="00DA47B2"/>
    <w:rsid w:val="00DB0E69"/>
    <w:rsid w:val="00DB5744"/>
    <w:rsid w:val="00DB793F"/>
    <w:rsid w:val="00DC31A7"/>
    <w:rsid w:val="00DD1892"/>
    <w:rsid w:val="00DD18C9"/>
    <w:rsid w:val="00DE61AF"/>
    <w:rsid w:val="00DE7C8D"/>
    <w:rsid w:val="00DF256B"/>
    <w:rsid w:val="00DF4E6F"/>
    <w:rsid w:val="00DF672E"/>
    <w:rsid w:val="00DF69D1"/>
    <w:rsid w:val="00E01B50"/>
    <w:rsid w:val="00E027C0"/>
    <w:rsid w:val="00E1404E"/>
    <w:rsid w:val="00E15D22"/>
    <w:rsid w:val="00E17371"/>
    <w:rsid w:val="00E2664A"/>
    <w:rsid w:val="00E34BE3"/>
    <w:rsid w:val="00E378C4"/>
    <w:rsid w:val="00E45A50"/>
    <w:rsid w:val="00E46FA2"/>
    <w:rsid w:val="00E5102C"/>
    <w:rsid w:val="00E52B8D"/>
    <w:rsid w:val="00E57B6A"/>
    <w:rsid w:val="00E60717"/>
    <w:rsid w:val="00E63903"/>
    <w:rsid w:val="00E72097"/>
    <w:rsid w:val="00E849E3"/>
    <w:rsid w:val="00E976E6"/>
    <w:rsid w:val="00EA2114"/>
    <w:rsid w:val="00EA4075"/>
    <w:rsid w:val="00EA40C5"/>
    <w:rsid w:val="00EB1531"/>
    <w:rsid w:val="00EB3284"/>
    <w:rsid w:val="00EB6759"/>
    <w:rsid w:val="00EC0782"/>
    <w:rsid w:val="00EC4CFC"/>
    <w:rsid w:val="00ED6F37"/>
    <w:rsid w:val="00ED76EC"/>
    <w:rsid w:val="00EE2D1C"/>
    <w:rsid w:val="00EE5C96"/>
    <w:rsid w:val="00EE7349"/>
    <w:rsid w:val="00F0212E"/>
    <w:rsid w:val="00F0494D"/>
    <w:rsid w:val="00F12187"/>
    <w:rsid w:val="00F165EE"/>
    <w:rsid w:val="00F16E07"/>
    <w:rsid w:val="00F17307"/>
    <w:rsid w:val="00F214D6"/>
    <w:rsid w:val="00F21503"/>
    <w:rsid w:val="00F403EE"/>
    <w:rsid w:val="00F47D5D"/>
    <w:rsid w:val="00F64792"/>
    <w:rsid w:val="00F76995"/>
    <w:rsid w:val="00F81CF7"/>
    <w:rsid w:val="00F90180"/>
    <w:rsid w:val="00F90F16"/>
    <w:rsid w:val="00FA0DCF"/>
    <w:rsid w:val="00FA1AF3"/>
    <w:rsid w:val="00FA1F56"/>
    <w:rsid w:val="00FB4F6A"/>
    <w:rsid w:val="00FC3B71"/>
    <w:rsid w:val="00FD252B"/>
    <w:rsid w:val="00FE2A2A"/>
    <w:rsid w:val="00FE4FA5"/>
    <w:rsid w:val="00FE53E7"/>
    <w:rsid w:val="035D709A"/>
    <w:rsid w:val="0DFA48F9"/>
    <w:rsid w:val="0FD304D6"/>
    <w:rsid w:val="116D4993"/>
    <w:rsid w:val="20415484"/>
    <w:rsid w:val="21406688"/>
    <w:rsid w:val="3A602BFA"/>
    <w:rsid w:val="53AD1773"/>
    <w:rsid w:val="661F281A"/>
    <w:rsid w:val="770F2D6E"/>
    <w:rsid w:val="7D323451"/>
    <w:rsid w:val="7FDA01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character" w:styleId="8">
    <w:name w:val="page number"/>
    <w:basedOn w:val="7"/>
    <w:qFormat/>
    <w:uiPriority w:val="99"/>
    <w:rPr>
      <w:rFonts w:cs="Times New Roman"/>
    </w:rPr>
  </w:style>
  <w:style w:type="paragraph" w:customStyle="1" w:styleId="9">
    <w:name w:val="纯文本1"/>
    <w:basedOn w:val="1"/>
    <w:uiPriority w:val="0"/>
    <w:pPr>
      <w:adjustRightInd w:val="0"/>
      <w:textAlignment w:val="baseline"/>
    </w:pPr>
    <w:rPr>
      <w:rFonts w:ascii="宋体" w:hAnsi="Courier New"/>
      <w:szCs w:val="20"/>
    </w:rPr>
  </w:style>
  <w:style w:type="character" w:customStyle="1" w:styleId="10">
    <w:name w:val="页眉 Char"/>
    <w:basedOn w:val="7"/>
    <w:link w:val="4"/>
    <w:semiHidden/>
    <w:qFormat/>
    <w:locked/>
    <w:uiPriority w:val="99"/>
    <w:rPr>
      <w:rFonts w:cs="Times New Roman"/>
      <w:sz w:val="18"/>
      <w:szCs w:val="18"/>
    </w:rPr>
  </w:style>
  <w:style w:type="character" w:customStyle="1" w:styleId="11">
    <w:name w:val="页脚 Char"/>
    <w:basedOn w:val="7"/>
    <w:link w:val="3"/>
    <w:semiHidden/>
    <w:qFormat/>
    <w:locked/>
    <w:uiPriority w:val="99"/>
    <w:rPr>
      <w:rFonts w:cs="Times New Roman"/>
      <w:sz w:val="18"/>
      <w:szCs w:val="18"/>
    </w:rPr>
  </w:style>
  <w:style w:type="character" w:customStyle="1" w:styleId="12">
    <w:name w:val="批注框文本 Char"/>
    <w:basedOn w:val="7"/>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D:\2022&#24180;&#22269;&#24211;&#36164;&#26009;\2022&#24635;&#20915;&#31639;&#20998;&#26512;\2022&#38468;&#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022&#24180;&#22269;&#24211;&#36164;&#26009;\2022&#24635;&#20915;&#31639;&#20998;&#26512;\2022&#38468;&#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22&#24180;&#22269;&#24211;&#36164;&#26009;\2022&#24635;&#20915;&#31639;&#20998;&#26512;\2022&#38468;&#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1200" b="0" i="0" strike="noStrike">
                <a:solidFill>
                  <a:srgbClr val="000000"/>
                </a:solidFill>
                <a:latin typeface="宋体" panose="02010600030101010101" charset="-122"/>
                <a:ea typeface="宋体" panose="02010600030101010101" charset="-122"/>
              </a:rPr>
              <a:t>永济市</a:t>
            </a:r>
            <a:r>
              <a:rPr lang="en-US" altLang="zh-CN" sz="1200" b="0" i="0" strike="noStrike">
                <a:solidFill>
                  <a:srgbClr val="000000"/>
                </a:solidFill>
                <a:latin typeface="Arial" panose="020B0604020202020204" pitchFamily="2"/>
                <a:cs typeface="Arial" panose="020B0604020202020204" pitchFamily="2"/>
              </a:rPr>
              <a:t>2021-2022</a:t>
            </a:r>
            <a:r>
              <a:rPr lang="zh-CN" altLang="en-US" sz="1200" b="0" i="0" strike="noStrike">
                <a:solidFill>
                  <a:srgbClr val="000000"/>
                </a:solidFill>
                <a:latin typeface="宋体" panose="02010600030101010101" charset="-122"/>
                <a:ea typeface="宋体" panose="02010600030101010101" charset="-122"/>
              </a:rPr>
              <a:t>年财政总收入分级比重图</a:t>
            </a:r>
            <a:endParaRPr lang="zh-CN" altLang="en-US" sz="1200" b="0" i="0" strike="noStrike">
              <a:solidFill>
                <a:srgbClr val="000000"/>
              </a:solidFill>
              <a:latin typeface="宋体" panose="02010600030101010101" charset="-122"/>
              <a:ea typeface="宋体" panose="02010600030101010101" charset="-122"/>
            </a:endParaRPr>
          </a:p>
        </c:rich>
      </c:tx>
      <c:layout>
        <c:manualLayout>
          <c:xMode val="edge"/>
          <c:yMode val="edge"/>
          <c:x val="0.178344394848734"/>
          <c:y val="0.0347003499562555"/>
        </c:manualLayout>
      </c:layout>
      <c:overlay val="0"/>
      <c:spPr>
        <a:noFill/>
        <a:ln w="25400">
          <a:noFill/>
        </a:ln>
      </c:spPr>
    </c:title>
    <c:autoTitleDeleted val="0"/>
    <c:plotArea>
      <c:layout>
        <c:manualLayout>
          <c:layoutTarget val="inner"/>
          <c:xMode val="edge"/>
          <c:yMode val="edge"/>
          <c:x val="0.133758239115245"/>
          <c:y val="0.195583596214511"/>
          <c:w val="0.800426288038847"/>
          <c:h val="0.580441640378549"/>
        </c:manualLayout>
      </c:layout>
      <c:barChart>
        <c:barDir val="col"/>
        <c:grouping val="clustered"/>
        <c:varyColors val="0"/>
        <c:ser>
          <c:idx val="1"/>
          <c:order val="0"/>
          <c:tx>
            <c:strRef>
              <c:f>Sheet1!$B$15</c:f>
              <c:strCache>
                <c:ptCount val="1"/>
                <c:pt idx="0">
                  <c:v>2021</c:v>
                </c:pt>
              </c:strCache>
            </c:strRef>
          </c:tx>
          <c:spPr>
            <a:solidFill>
              <a:srgbClr val="993366"/>
            </a:solidFill>
            <a:ln w="12700">
              <a:solidFill>
                <a:srgbClr val="000000"/>
              </a:solidFill>
              <a:prstDash val="solid"/>
            </a:ln>
          </c:spPr>
          <c:invertIfNegative val="0"/>
          <c:dLbls>
            <c:delete val="1"/>
          </c:dLbls>
          <c:cat>
            <c:strRef>
              <c:f>Sheet1!$C$14:$F$14</c:f>
              <c:strCache>
                <c:ptCount val="4"/>
                <c:pt idx="0">
                  <c:v>中央</c:v>
                </c:pt>
                <c:pt idx="1">
                  <c:v>省</c:v>
                </c:pt>
                <c:pt idx="2">
                  <c:v>市 </c:v>
                </c:pt>
                <c:pt idx="3">
                  <c:v>县</c:v>
                </c:pt>
              </c:strCache>
            </c:strRef>
          </c:cat>
          <c:val>
            <c:numRef>
              <c:f>Sheet1!$C$15:$F$15</c:f>
              <c:numCache>
                <c:formatCode>0.0%</c:formatCode>
                <c:ptCount val="4"/>
                <c:pt idx="0">
                  <c:v>0.276</c:v>
                </c:pt>
                <c:pt idx="1">
                  <c:v>0.073</c:v>
                </c:pt>
                <c:pt idx="2">
                  <c:v>0</c:v>
                </c:pt>
                <c:pt idx="3">
                  <c:v>0.651000000000001</c:v>
                </c:pt>
              </c:numCache>
            </c:numRef>
          </c:val>
        </c:ser>
        <c:ser>
          <c:idx val="0"/>
          <c:order val="1"/>
          <c:tx>
            <c:strRef>
              <c:f>Sheet1!$B$16</c:f>
              <c:strCache>
                <c:ptCount val="1"/>
                <c:pt idx="0">
                  <c:v>2022</c:v>
                </c:pt>
              </c:strCache>
            </c:strRef>
          </c:tx>
          <c:spPr>
            <a:solidFill>
              <a:srgbClr val="9999FF"/>
            </a:solidFill>
            <a:ln w="12700">
              <a:solidFill>
                <a:srgbClr val="000000"/>
              </a:solidFill>
              <a:prstDash val="solid"/>
            </a:ln>
          </c:spPr>
          <c:invertIfNegative val="0"/>
          <c:dLbls>
            <c:delete val="1"/>
          </c:dLbls>
          <c:cat>
            <c:strRef>
              <c:f>Sheet1!$C$14:$F$14</c:f>
              <c:strCache>
                <c:ptCount val="4"/>
                <c:pt idx="0">
                  <c:v>中央</c:v>
                </c:pt>
                <c:pt idx="1">
                  <c:v>省</c:v>
                </c:pt>
                <c:pt idx="2">
                  <c:v>市 </c:v>
                </c:pt>
                <c:pt idx="3">
                  <c:v>县</c:v>
                </c:pt>
              </c:strCache>
            </c:strRef>
          </c:cat>
          <c:val>
            <c:numRef>
              <c:f>Sheet1!$C$16:$F$16</c:f>
              <c:numCache>
                <c:formatCode>0.0%</c:formatCode>
                <c:ptCount val="4"/>
                <c:pt idx="0">
                  <c:v>0.262</c:v>
                </c:pt>
                <c:pt idx="1">
                  <c:v>-0.063</c:v>
                </c:pt>
                <c:pt idx="2">
                  <c:v>0</c:v>
                </c:pt>
                <c:pt idx="3">
                  <c:v>0.801</c:v>
                </c:pt>
              </c:numCache>
            </c:numRef>
          </c:val>
        </c:ser>
        <c:dLbls>
          <c:showLegendKey val="0"/>
          <c:showVal val="0"/>
          <c:showCatName val="0"/>
          <c:showSerName val="0"/>
          <c:showPercent val="0"/>
          <c:showBubbleSize val="0"/>
        </c:dLbls>
        <c:gapWidth val="150"/>
        <c:axId val="68285184"/>
        <c:axId val="68287872"/>
      </c:barChart>
      <c:catAx>
        <c:axId val="68285184"/>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68287872"/>
        <c:crosses val="autoZero"/>
        <c:auto val="0"/>
        <c:lblAlgn val="ctr"/>
        <c:lblOffset val="100"/>
        <c:noMultiLvlLbl val="0"/>
      </c:catAx>
      <c:valAx>
        <c:axId val="68287872"/>
        <c:scaling>
          <c:orientation val="minMax"/>
        </c:scaling>
        <c:delete val="0"/>
        <c:axPos val="l"/>
        <c:majorGridlines>
          <c:spPr>
            <a:ln w="3175" cap="flat" cmpd="sng" algn="ctr">
              <a:solidFill>
                <a:srgbClr val="000000"/>
              </a:solidFill>
              <a:prstDash val="solid"/>
              <a:round/>
            </a:ln>
          </c:spPr>
        </c:majorGridlines>
        <c:numFmt formatCode="0.0%"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crossAx val="68285184"/>
        <c:crosses val="autoZero"/>
        <c:crossBetween val="between"/>
      </c:valAx>
      <c:dTable>
        <c:showHorzBorder val="1"/>
        <c:showVertBorder val="1"/>
        <c:showOutline val="1"/>
        <c:showKeys val="1"/>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Table>
      <c:spPr>
        <a:solidFill>
          <a:srgbClr val="C0C0C0"/>
        </a:solidFill>
        <a:ln w="12700">
          <a:solidFill>
            <a:srgbClr val="808080"/>
          </a:solidFill>
          <a:prstDash val="solid"/>
        </a:ln>
      </c:spPr>
    </c:plotArea>
    <c:plotVisOnly val="1"/>
    <c:dispBlanksAs val="gap"/>
    <c:showDLblsOverMax val="0"/>
  </c:chart>
  <c:spPr>
    <a:solidFill>
      <a:srgbClr val="FFFFFF"/>
    </a:solidFill>
    <a:ln w="3175" cap="flat" cmpd="sng" algn="ctr">
      <a:solidFill>
        <a:srgbClr val="000000"/>
      </a:solidFill>
      <a:prstDash val="solid"/>
      <a:round/>
    </a:ln>
  </c:spPr>
  <c:txPr>
    <a:bodyPr/>
    <a:lstStyle/>
    <a:p>
      <a:pPr>
        <a:defRPr lang="zh-CN" sz="100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2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200" b="0" i="0" strike="noStrike">
                <a:solidFill>
                  <a:srgbClr val="000000"/>
                </a:solidFill>
                <a:latin typeface="宋体" panose="02010600030101010101" charset="-122"/>
                <a:ea typeface="宋体" panose="02010600030101010101" charset="-122"/>
              </a:rPr>
              <a:t>永济市</a:t>
            </a:r>
            <a:r>
              <a:rPr lang="en-US" altLang="zh-CN" sz="1200" b="0" i="0" strike="noStrike">
                <a:solidFill>
                  <a:srgbClr val="000000"/>
                </a:solidFill>
                <a:latin typeface="宋体" panose="02010600030101010101" charset="-122"/>
                <a:ea typeface="宋体" panose="02010600030101010101" charset="-122"/>
              </a:rPr>
              <a:t>2021-2022</a:t>
            </a:r>
            <a:r>
              <a:rPr lang="zh-CN" altLang="en-US" sz="1200" b="0" i="0" strike="noStrike">
                <a:solidFill>
                  <a:srgbClr val="000000"/>
                </a:solidFill>
                <a:latin typeface="宋体" panose="02010600030101010101" charset="-122"/>
                <a:ea typeface="宋体" panose="02010600030101010101" charset="-122"/>
              </a:rPr>
              <a:t>年财政收入分部门比重图</a:t>
            </a:r>
            <a:endParaRPr lang="zh-CN" altLang="en-US" sz="1200" b="0" i="0" strike="noStrike">
              <a:solidFill>
                <a:srgbClr val="000000"/>
              </a:solidFill>
              <a:latin typeface="宋体" panose="02010600030101010101" charset="-122"/>
              <a:ea typeface="宋体" panose="02010600030101010101" charset="-122"/>
            </a:endParaRPr>
          </a:p>
        </c:rich>
      </c:tx>
      <c:layout>
        <c:manualLayout>
          <c:xMode val="edge"/>
          <c:yMode val="edge"/>
          <c:x val="0.172557414698163"/>
          <c:y val="0.0353982623829776"/>
        </c:manualLayout>
      </c:layout>
      <c:overlay val="0"/>
      <c:spPr>
        <a:noFill/>
        <a:ln w="25400">
          <a:noFill/>
        </a:ln>
      </c:spPr>
    </c:title>
    <c:autoTitleDeleted val="0"/>
    <c:plotArea>
      <c:layout>
        <c:manualLayout>
          <c:layoutTarget val="inner"/>
          <c:xMode val="edge"/>
          <c:yMode val="edge"/>
          <c:x val="0.153846310021349"/>
          <c:y val="0.165192216284731"/>
          <c:w val="0.762994537538312"/>
          <c:h val="0.557523729960964"/>
        </c:manualLayout>
      </c:layout>
      <c:barChart>
        <c:barDir val="col"/>
        <c:grouping val="clustered"/>
        <c:varyColors val="0"/>
        <c:ser>
          <c:idx val="0"/>
          <c:order val="0"/>
          <c:tx>
            <c:strRef>
              <c:f>Sheet1!$B$40</c:f>
              <c:strCache>
                <c:ptCount val="1"/>
                <c:pt idx="0">
                  <c:v>2021</c:v>
                </c:pt>
              </c:strCache>
            </c:strRef>
          </c:tx>
          <c:spPr>
            <a:solidFill>
              <a:srgbClr val="9999FF"/>
            </a:solidFill>
            <a:ln w="12700">
              <a:solidFill>
                <a:srgbClr val="000000"/>
              </a:solidFill>
              <a:prstDash val="solid"/>
            </a:ln>
          </c:spPr>
          <c:invertIfNegative val="0"/>
          <c:dLbls>
            <c:delete val="1"/>
          </c:dLbls>
          <c:cat>
            <c:strRef>
              <c:f>Sheet1!$C$39:$F$39</c:f>
              <c:strCache>
                <c:ptCount val="4"/>
                <c:pt idx="0">
                  <c:v>总收入：税务</c:v>
                </c:pt>
                <c:pt idx="1">
                  <c:v>财政</c:v>
                </c:pt>
                <c:pt idx="2">
                  <c:v>一般：税务</c:v>
                </c:pt>
                <c:pt idx="3">
                  <c:v>财政</c:v>
                </c:pt>
              </c:strCache>
            </c:strRef>
          </c:cat>
          <c:val>
            <c:numRef>
              <c:f>Sheet1!$C$40:$F$40</c:f>
              <c:numCache>
                <c:formatCode>0.0%</c:formatCode>
                <c:ptCount val="4"/>
                <c:pt idx="0">
                  <c:v>0.713000000000001</c:v>
                </c:pt>
                <c:pt idx="1">
                  <c:v>0.287</c:v>
                </c:pt>
                <c:pt idx="2">
                  <c:v>0.559</c:v>
                </c:pt>
                <c:pt idx="3">
                  <c:v>0.441</c:v>
                </c:pt>
              </c:numCache>
            </c:numRef>
          </c:val>
        </c:ser>
        <c:ser>
          <c:idx val="1"/>
          <c:order val="1"/>
          <c:tx>
            <c:strRef>
              <c:f>Sheet1!$B$41</c:f>
              <c:strCache>
                <c:ptCount val="1"/>
                <c:pt idx="0">
                  <c:v>2022</c:v>
                </c:pt>
              </c:strCache>
            </c:strRef>
          </c:tx>
          <c:spPr>
            <a:solidFill>
              <a:srgbClr val="993366"/>
            </a:solidFill>
            <a:ln w="12700">
              <a:solidFill>
                <a:srgbClr val="000000"/>
              </a:solidFill>
              <a:prstDash val="solid"/>
            </a:ln>
          </c:spPr>
          <c:invertIfNegative val="0"/>
          <c:dLbls>
            <c:delete val="1"/>
          </c:dLbls>
          <c:cat>
            <c:strRef>
              <c:f>Sheet1!$C$39:$F$39</c:f>
              <c:strCache>
                <c:ptCount val="4"/>
                <c:pt idx="0">
                  <c:v>总收入：税务</c:v>
                </c:pt>
                <c:pt idx="1">
                  <c:v>财政</c:v>
                </c:pt>
                <c:pt idx="2">
                  <c:v>一般：税务</c:v>
                </c:pt>
                <c:pt idx="3">
                  <c:v>财政</c:v>
                </c:pt>
              </c:strCache>
            </c:strRef>
          </c:cat>
          <c:val>
            <c:numRef>
              <c:f>Sheet1!$C$41:$F$41</c:f>
              <c:numCache>
                <c:formatCode>0.0%</c:formatCode>
                <c:ptCount val="4"/>
                <c:pt idx="0">
                  <c:v>0.809</c:v>
                </c:pt>
                <c:pt idx="1">
                  <c:v>0.191</c:v>
                </c:pt>
                <c:pt idx="2">
                  <c:v>0.762000000000001</c:v>
                </c:pt>
                <c:pt idx="3">
                  <c:v>0.238</c:v>
                </c:pt>
              </c:numCache>
            </c:numRef>
          </c:val>
        </c:ser>
        <c:dLbls>
          <c:showLegendKey val="0"/>
          <c:showVal val="0"/>
          <c:showCatName val="0"/>
          <c:showSerName val="0"/>
          <c:showPercent val="0"/>
          <c:showBubbleSize val="0"/>
        </c:dLbls>
        <c:gapWidth val="150"/>
        <c:axId val="46347776"/>
        <c:axId val="46349312"/>
      </c:barChart>
      <c:catAx>
        <c:axId val="46347776"/>
        <c:scaling>
          <c:orientation val="minMax"/>
        </c:scaling>
        <c:delete val="0"/>
        <c:axPos val="b"/>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6349312"/>
        <c:crosses val="autoZero"/>
        <c:auto val="1"/>
        <c:lblAlgn val="ctr"/>
        <c:lblOffset val="100"/>
        <c:noMultiLvlLbl val="0"/>
      </c:catAx>
      <c:valAx>
        <c:axId val="46349312"/>
        <c:scaling>
          <c:orientation val="minMax"/>
        </c:scaling>
        <c:delete val="0"/>
        <c:axPos val="l"/>
        <c:majorGridlines>
          <c:spPr>
            <a:ln w="3175" cap="flat" cmpd="sng" algn="ctr">
              <a:solidFill>
                <a:srgbClr val="000000"/>
              </a:solidFill>
              <a:prstDash val="solid"/>
              <a:round/>
            </a:ln>
          </c:spPr>
        </c:majorGridlines>
        <c:numFmt formatCode="0.0%"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6347776"/>
        <c:crosses val="autoZero"/>
        <c:crossBetween val="between"/>
      </c:valAx>
      <c:dTable>
        <c:showHorzBorder val="1"/>
        <c:showVertBorder val="1"/>
        <c:showOutline val="1"/>
        <c:showKeys val="1"/>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Table>
      <c:spPr>
        <a:solidFill>
          <a:srgbClr val="C0C0C0"/>
        </a:solidFill>
        <a:ln w="12700">
          <a:solidFill>
            <a:srgbClr val="808080"/>
          </a:solidFill>
          <a:prstDash val="solid"/>
        </a:ln>
      </c:spPr>
    </c:plotArea>
    <c:plotVisOnly val="1"/>
    <c:dispBlanksAs val="gap"/>
    <c:showDLblsOverMax val="0"/>
  </c:chart>
  <c:spPr>
    <a:solidFill>
      <a:srgbClr val="FFFFFF"/>
    </a:solidFill>
    <a:ln w="3175" cap="flat" cmpd="sng" algn="ctr">
      <a:solidFill>
        <a:srgbClr val="000000"/>
      </a:solidFill>
      <a:prstDash val="solid"/>
      <a:round/>
    </a:ln>
  </c:spPr>
  <c:txPr>
    <a:bodyPr/>
    <a:lstStyle/>
    <a:p>
      <a:pPr>
        <a:defRPr lang="zh-CN" sz="825"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85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r>
              <a:rPr lang="zh-CN" altLang="en-US" sz="1600" b="0" i="0" strike="noStrike">
                <a:solidFill>
                  <a:srgbClr val="000000"/>
                </a:solidFill>
                <a:latin typeface="宋体" panose="02010600030101010101" charset="-122"/>
                <a:ea typeface="宋体" panose="02010600030101010101" charset="-122"/>
              </a:rPr>
              <a:t>永济市</a:t>
            </a:r>
            <a:r>
              <a:rPr lang="en-US" altLang="zh-CN" sz="1600" b="0" i="0" strike="noStrike">
                <a:solidFill>
                  <a:srgbClr val="000000"/>
                </a:solidFill>
                <a:latin typeface="Arial" panose="020B0604020202020204" pitchFamily="2"/>
                <a:cs typeface="Arial" panose="020B0604020202020204" pitchFamily="2"/>
              </a:rPr>
              <a:t>2022</a:t>
            </a:r>
            <a:r>
              <a:rPr lang="zh-CN" altLang="en-US" sz="1600" b="0" i="0" strike="noStrike">
                <a:solidFill>
                  <a:srgbClr val="000000"/>
                </a:solidFill>
                <a:latin typeface="宋体" panose="02010600030101010101" charset="-122"/>
                <a:ea typeface="宋体" panose="02010600030101010101" charset="-122"/>
              </a:rPr>
              <a:t>年支出比重图</a:t>
            </a:r>
            <a:endParaRPr lang="zh-CN" altLang="en-US" sz="1600" b="0" i="0" strike="noStrike">
              <a:solidFill>
                <a:srgbClr val="000000"/>
              </a:solidFill>
              <a:latin typeface="宋体" panose="02010600030101010101" charset="-122"/>
              <a:ea typeface="宋体" panose="02010600030101010101" charset="-122"/>
            </a:endParaRPr>
          </a:p>
        </c:rich>
      </c:tx>
      <c:layout>
        <c:manualLayout>
          <c:xMode val="edge"/>
          <c:yMode val="edge"/>
          <c:x val="0.259762487244274"/>
          <c:y val="0.0316025777443101"/>
        </c:manualLayout>
      </c:layout>
      <c:overlay val="0"/>
    </c:title>
    <c:autoTitleDeleted val="0"/>
    <c:plotArea>
      <c:layout>
        <c:manualLayout>
          <c:layoutTarget val="inner"/>
          <c:xMode val="edge"/>
          <c:yMode val="edge"/>
          <c:x val="0.292020615599647"/>
          <c:y val="0.209932279909707"/>
          <c:w val="0.465195631827342"/>
          <c:h val="0.618510158013544"/>
        </c:manualLayout>
      </c:layout>
      <c:pieChart>
        <c:varyColors val="1"/>
        <c:ser>
          <c:idx val="0"/>
          <c:order val="0"/>
          <c:spPr>
            <a:solidFill>
              <a:srgbClr val="9999FF"/>
            </a:solidFill>
            <a:ln w="25400">
              <a:noFill/>
            </a:ln>
          </c:spPr>
          <c:explosion val="4"/>
          <c:dPt>
            <c:idx val="0"/>
            <c:bubble3D val="0"/>
            <c:spPr>
              <a:solidFill>
                <a:srgbClr val="9999FF"/>
              </a:solidFill>
              <a:ln w="25400">
                <a:noFill/>
              </a:ln>
            </c:spPr>
          </c:dPt>
          <c:dPt>
            <c:idx val="1"/>
            <c:bubble3D val="0"/>
            <c:spPr>
              <a:solidFill>
                <a:srgbClr val="993366"/>
              </a:solidFill>
              <a:ln w="25400">
                <a:noFill/>
              </a:ln>
            </c:spPr>
          </c:dPt>
          <c:dPt>
            <c:idx val="2"/>
            <c:bubble3D val="0"/>
            <c:spPr>
              <a:solidFill>
                <a:srgbClr val="FFFFCC"/>
              </a:solidFill>
              <a:ln w="25400">
                <a:noFill/>
              </a:ln>
            </c:spPr>
          </c:dPt>
          <c:dPt>
            <c:idx val="3"/>
            <c:bubble3D val="0"/>
            <c:spPr>
              <a:solidFill>
                <a:srgbClr val="CCFFFF"/>
              </a:solidFill>
              <a:ln w="25400">
                <a:noFill/>
              </a:ln>
            </c:spPr>
          </c:dPt>
          <c:dPt>
            <c:idx val="4"/>
            <c:bubble3D val="0"/>
            <c:spPr>
              <a:solidFill>
                <a:srgbClr val="660066"/>
              </a:solidFill>
              <a:ln w="25400">
                <a:noFill/>
              </a:ln>
            </c:spPr>
          </c:dPt>
          <c:dPt>
            <c:idx val="5"/>
            <c:bubble3D val="0"/>
            <c:spPr>
              <a:solidFill>
                <a:srgbClr val="FF8080"/>
              </a:solidFill>
              <a:ln w="25400">
                <a:noFill/>
              </a:ln>
            </c:spPr>
          </c:dPt>
          <c:dPt>
            <c:idx val="6"/>
            <c:bubble3D val="0"/>
            <c:spPr>
              <a:solidFill>
                <a:srgbClr val="0066CC"/>
              </a:solidFill>
              <a:ln w="25400">
                <a:noFill/>
              </a:ln>
            </c:spPr>
          </c:dPt>
          <c:dPt>
            <c:idx val="7"/>
            <c:bubble3D val="0"/>
            <c:spPr>
              <a:solidFill>
                <a:srgbClr val="CCCCFF"/>
              </a:solidFill>
              <a:ln w="25400">
                <a:noFill/>
              </a:ln>
            </c:spPr>
          </c:dPt>
          <c:dPt>
            <c:idx val="8"/>
            <c:bubble3D val="0"/>
            <c:spPr>
              <a:solidFill>
                <a:srgbClr val="000080"/>
              </a:solidFill>
              <a:ln w="25400">
                <a:noFill/>
              </a:ln>
            </c:spPr>
          </c:dPt>
          <c:dPt>
            <c:idx val="9"/>
            <c:bubble3D val="0"/>
            <c:spPr>
              <a:solidFill>
                <a:srgbClr val="9999FF"/>
              </a:solidFill>
              <a:ln w="25400">
                <a:noFill/>
              </a:ln>
            </c:spPr>
          </c:dPt>
          <c:dPt>
            <c:idx val="10"/>
            <c:bubble3D val="0"/>
            <c:spPr>
              <a:solidFill>
                <a:srgbClr val="9999FF"/>
              </a:solidFill>
              <a:ln w="25400">
                <a:noFill/>
              </a:ln>
            </c:spPr>
          </c:dPt>
          <c:dPt>
            <c:idx val="11"/>
            <c:bubble3D val="0"/>
            <c:spPr>
              <a:solidFill>
                <a:srgbClr val="9999FF"/>
              </a:solidFill>
              <a:ln w="25400">
                <a:noFill/>
              </a:ln>
            </c:spPr>
          </c:dPt>
          <c:dLbls>
            <c:dLbl>
              <c:idx val="0"/>
              <c:layout>
                <c:manualLayout>
                  <c:x val="0.0214248091654078"/>
                  <c:y val="0.0408486636687344"/>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0174960897290216"/>
                  <c:y val="-0.0533046574595785"/>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3"/>
              <c:layout>
                <c:manualLayout>
                  <c:x val="0.019341826753829"/>
                  <c:y val="-0.011211332471175"/>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4"/>
              <c:layout>
                <c:manualLayout>
                  <c:x val="0.0229821442099025"/>
                  <c:y val="0.011057017041269"/>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5"/>
              <c:layout>
                <c:manualLayout>
                  <c:x val="0.0370658930791547"/>
                  <c:y val="0.0338832593950704"/>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6"/>
              <c:layout>
                <c:manualLayout>
                  <c:x val="-0.00948625055144851"/>
                  <c:y val="0.0123249354745418"/>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7"/>
              <c:layout>
                <c:manualLayout>
                  <c:x val="-0.0167750847782397"/>
                  <c:y val="-0.00921396259978939"/>
                </c:manualLayout>
              </c:layout>
              <c:numFmt formatCode="General" sourceLinked="1"/>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8"/>
              <c:layout>
                <c:manualLayout>
                  <c:x val="-0.0158460667798529"/>
                  <c:y val="0.0083160083160083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9"/>
              <c:layout>
                <c:manualLayout>
                  <c:x val="-0.00679117147707981"/>
                  <c:y val="0.011088011088011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0"/>
              <c:layout>
                <c:manualLayout>
                  <c:x val="-0.00679117147707981"/>
                  <c:y val="-0.0304920304920306"/>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dLbl>
              <c:idx val="11"/>
              <c:layout>
                <c:manualLayout>
                  <c:x val="0.024900962082626"/>
                  <c:y val="-0.0665280665280665"/>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spPr>
              <a:noFill/>
              <a:ln w="25400">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solidFill>
                    <a:latin typeface="Arial" panose="020B0604020202020204" pitchFamily="2"/>
                    <a:ea typeface="Arial" panose="020B0604020202020204" pitchFamily="2"/>
                    <a:cs typeface="Arial" panose="020B0604020202020204" pitchFamily="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3175" cap="flat" cmpd="sng" algn="ctr">
                      <a:solidFill>
                        <a:srgbClr val="000000"/>
                      </a:solidFill>
                      <a:prstDash val="solid"/>
                      <a:round/>
                    </a:ln>
                  </c:spPr>
                </c15:leaderLines>
              </c:ext>
            </c:extLst>
          </c:dLbls>
          <c:cat>
            <c:strRef>
              <c:f>Sheet1!$G$112:$G$123</c:f>
              <c:strCache>
                <c:ptCount val="12"/>
                <c:pt idx="0">
                  <c:v>一般公共服务</c:v>
                </c:pt>
                <c:pt idx="1">
                  <c:v>公共安全</c:v>
                </c:pt>
                <c:pt idx="2">
                  <c:v>教育</c:v>
                </c:pt>
                <c:pt idx="3">
                  <c:v>文化旅游体育和传媒</c:v>
                </c:pt>
                <c:pt idx="4">
                  <c:v>社保和就业</c:v>
                </c:pt>
                <c:pt idx="5">
                  <c:v>卫生健康</c:v>
                </c:pt>
                <c:pt idx="6">
                  <c:v>节能环保</c:v>
                </c:pt>
                <c:pt idx="7">
                  <c:v>城乡社区</c:v>
                </c:pt>
                <c:pt idx="8">
                  <c:v>农林水</c:v>
                </c:pt>
                <c:pt idx="9">
                  <c:v>交通运输</c:v>
                </c:pt>
                <c:pt idx="10">
                  <c:v>住房保障</c:v>
                </c:pt>
                <c:pt idx="11">
                  <c:v>其他合计</c:v>
                </c:pt>
              </c:strCache>
            </c:strRef>
          </c:cat>
          <c:val>
            <c:numRef>
              <c:f>Sheet1!$H$112:$H$123</c:f>
              <c:numCache>
                <c:formatCode>0.00%</c:formatCode>
                <c:ptCount val="12"/>
                <c:pt idx="0">
                  <c:v>0.1148</c:v>
                </c:pt>
                <c:pt idx="1">
                  <c:v>0.0293</c:v>
                </c:pt>
                <c:pt idx="2">
                  <c:v>0.224</c:v>
                </c:pt>
                <c:pt idx="3">
                  <c:v>0.0417</c:v>
                </c:pt>
                <c:pt idx="4">
                  <c:v>0.1434</c:v>
                </c:pt>
                <c:pt idx="5">
                  <c:v>0.0839</c:v>
                </c:pt>
                <c:pt idx="6">
                  <c:v>0.0336</c:v>
                </c:pt>
                <c:pt idx="7">
                  <c:v>0.0374000000000001</c:v>
                </c:pt>
                <c:pt idx="8">
                  <c:v>0.1658</c:v>
                </c:pt>
                <c:pt idx="9">
                  <c:v>0.0377</c:v>
                </c:pt>
                <c:pt idx="10">
                  <c:v>0.00530000000000001</c:v>
                </c:pt>
                <c:pt idx="11">
                  <c:v>0.0831000000000001</c:v>
                </c:pt>
              </c:numCache>
            </c:numRef>
          </c:val>
        </c:ser>
        <c:dLbls>
          <c:showLegendKey val="0"/>
          <c:showVal val="1"/>
          <c:showCatName val="1"/>
          <c:showSerName val="0"/>
          <c:showPercent val="0"/>
          <c:showBubbleSize val="0"/>
          <c:showLeaderLines val="1"/>
        </c:dLbls>
        <c:firstSliceAng val="0"/>
      </c:pieChart>
      <c:spPr>
        <a:noFill/>
        <a:ln w="25400">
          <a:noFill/>
        </a:ln>
      </c:spPr>
    </c:plotArea>
    <c:plotVisOnly val="1"/>
    <c:dispBlanksAs val="zero"/>
    <c:showDLblsOverMax val="0"/>
  </c:chart>
  <c:spPr>
    <a:noFill/>
    <a:ln w="3175" cap="flat" cmpd="sng" algn="ctr">
      <a:solidFill>
        <a:srgbClr val="000000"/>
      </a:solidFill>
      <a:prstDash val="solid"/>
      <a:round/>
    </a:ln>
  </c:spPr>
  <c:txPr>
    <a:bodyPr/>
    <a:lstStyle/>
    <a:p>
      <a:pPr>
        <a:defRPr lang="zh-CN" sz="850" b="0" i="0" u="none" strike="noStrike" baseline="0">
          <a:solidFill>
            <a:srgbClr val="000000"/>
          </a:solidFill>
          <a:latin typeface="Arial" panose="020B0604020202020204" pitchFamily="2"/>
          <a:ea typeface="Arial" panose="020B0604020202020204" pitchFamily="2"/>
          <a:cs typeface="Arial" panose="020B0604020202020204" pitchFamily="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7512</Words>
  <Characters>9234</Characters>
  <Lines>69</Lines>
  <Paragraphs>19</Paragraphs>
  <TotalTime>0</TotalTime>
  <ScaleCrop>false</ScaleCrop>
  <LinksUpToDate>false</LinksUpToDate>
  <CharactersWithSpaces>9315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2017-10-31T06:51:00Z</dcterms:created>
  <dc:creator>Administrator</dc:creator>
  <cp:lastModifiedBy>Administrator</cp:lastModifiedBy>
  <cp:lastPrinted>2022-02-22T02:20:00Z</cp:lastPrinted>
  <dcterms:modified xsi:type="dcterms:W3CDTF">2024-07-30T09:20:34Z</dcterms:modified>
  <dc:title>永济市财政局</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A1139E368DB94D9D93E66BC9BC52CC86_12</vt:lpwstr>
  </property>
</Properties>
</file>