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4" w:lineRule="exact"/>
        <w:ind w:left="0" w:leftChars="0" w:right="0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6" w:name="_GoBack"/>
      <w:bookmarkEnd w:id="6"/>
      <w:bookmarkStart w:id="0" w:name="_Toc10762"/>
      <w:bookmarkStart w:id="1" w:name="_Toc24108"/>
      <w:bookmarkStart w:id="2" w:name="_Toc28031"/>
      <w:bookmarkStart w:id="3" w:name="_Toc344"/>
      <w:bookmarkStart w:id="4" w:name="_Toc23384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4" w:lineRule="exact"/>
        <w:ind w:left="0" w:leftChars="0" w:right="0"/>
        <w:jc w:val="center"/>
        <w:outlineLvl w:val="0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职业指导办事</w:t>
      </w:r>
      <w:bookmarkEnd w:id="0"/>
      <w:bookmarkEnd w:id="1"/>
      <w:bookmarkEnd w:id="2"/>
      <w:bookmarkEnd w:id="3"/>
      <w:bookmarkEnd w:id="4"/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4" w:lineRule="exact"/>
        <w:ind w:left="0" w:leftChars="0" w:right="0" w:firstLine="321" w:firstLineChars="100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5" w:name="_Toc17832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一、事项名称：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职业指导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二、事项简述：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对劳动者及用人单位提供职业指导服务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1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6"/>
          <w:sz w:val="32"/>
          <w:szCs w:val="32"/>
          <w:highlight w:val="none"/>
        </w:rPr>
        <w:t>三、设立依据：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《中华人民共和国就业促进法》（2007年8月30日第十届全国人民代表大会常务委员会第二十九次会议通过，2015年4月24日第十二届全国人民代表大会常务委员会第十四次会议修订）、《人力资源市场暂行条例》（中华人民共和国国务院令第700号）、《就业服务与就业管理规定》（中华人民共和国劳动和社会保障部令第28号，2014年、2015年分别修订）、《山西省人力资源和社会保障厅山西省</w:t>
      </w:r>
      <w:r>
        <w:rPr>
          <w:rFonts w:hint="eastAsia" w:eastAsia="仿宋_GB2312" w:cs="Times New Roman"/>
          <w:spacing w:val="-6"/>
          <w:sz w:val="32"/>
          <w:szCs w:val="32"/>
          <w:highlight w:val="none"/>
          <w:lang w:eastAsia="zh-CN"/>
        </w:rPr>
        <w:t>发展和改革委员会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山西省财政厅关于推进全方位公共就业服务的实施意见》（晋人社厅发</w:t>
      </w:r>
      <w:r>
        <w:rPr>
          <w:rFonts w:hint="eastAsia" w:eastAsia="仿宋_GB2312" w:cs="Times New Roman"/>
          <w:spacing w:val="-6"/>
          <w:sz w:val="32"/>
          <w:szCs w:val="32"/>
          <w:highlight w:val="none"/>
          <w:lang w:eastAsia="zh-CN"/>
        </w:rPr>
        <w:t>〔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2019</w:t>
      </w:r>
      <w:r>
        <w:rPr>
          <w:rFonts w:hint="eastAsia" w:eastAsia="仿宋_GB2312" w:cs="Times New Roman"/>
          <w:spacing w:val="-6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64号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四、服务标准：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按照《公共就业服务总则》（GB/T 33527-2017）、《职业指导服务规范》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（GB/T 33554-2017）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、《高校毕业生就业指导服务规范》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（GB/T 33667-2017）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、《职业介绍服务规范》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GB/T 33535-2017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、《现场招聘会服务规范》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（GB/T 30662-2014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、《人力资源社会保障部 国家发展改革委 财政部关于推进全方位公共就业服务的指导意见》（人社部发〔2018〕77号）、《山西省人力资源和社会保障厅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山西省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发展和改革委员会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山西省财政厅关于推进全方位公共就业服务的实施意见》（晋人社厅发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2019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64号）等公共就业服务标准和要求执行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五、办理材料：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求职者：身份证、现场填写《求职人员登记表》。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用人单位：营业执照或事业单位法人证书、经办人身份证明 （身份证及招聘委托书）、招聘简章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六、办理流程：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申请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受理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（一）对劳动者指导流程：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了解劳动者情况，对劳动者职业能力进行分析和评估；对其择业目标进行分析，指导其调整就业观念和求职意愿并确定职业目标；对需要求职帮助的劳动者，帮助其制定就业计划，并提供职业介绍；定期约见劳动者了解计划进展情况；如果劳动者未按期实现就业则要与其共同分析问题、重新制定就业计划并提供相应的再指导服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（二）对用人单位指导流程：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用人单位的基本情况和用人需求，对空缺岗位及用人单位的要求进行分析，了解该岗位供求状况；根据岗位分析情况，向用人单位提供职业介绍服务；对于不能通过现有职业介绍服务及时招聘到人员的空缺岗位，与用人单位协商，建议其调整岗位要求和用人条件；分析用人单位人力资源管理中的问题，提出调整招用人员规定和管理方式方面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七、办理方式：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现场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八、办理时限：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即时办结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九、办理结果：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通过提供职业指导促进人岗匹配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eastAsia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十、结果送达方式：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现场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反馈、电话反馈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十一、收费依据及标准：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十二、办事时间：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法定工作日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十三、办理机构及地点：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永济市就业服务中心</w:t>
      </w:r>
    </w:p>
    <w:p>
      <w:pPr>
        <w:pStyle w:val="2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永济市迎新西街6、7号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十四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咨询查询途径：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永济市就业服务中心窗口或咨询服务电话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8085608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eastAsia="zh-CN"/>
        </w:rPr>
        <w:t>十五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、文书格式：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《求职登记表》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drawing>
          <wp:inline distT="0" distB="0" distL="114300" distR="114300">
            <wp:extent cx="5742305" cy="8373110"/>
            <wp:effectExtent l="0" t="0" r="10795" b="8890"/>
            <wp:docPr id="3" name="图片 1" descr="求职登记表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求职登记表(1)_00"/>
                    <pic:cNvPicPr>
                      <a:picLocks noChangeAspect="1"/>
                    </pic:cNvPicPr>
                  </pic:nvPicPr>
                  <pic:blipFill>
                    <a:blip r:embed="rId4"/>
                    <a:srcRect l="10188" t="9367" r="10449" b="8815"/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837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br w:type="page"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drawing>
          <wp:inline distT="0" distB="0" distL="114300" distR="114300">
            <wp:extent cx="5547995" cy="6744970"/>
            <wp:effectExtent l="0" t="0" r="14605" b="17780"/>
            <wp:docPr id="1" name="图片 2" descr="求职登记表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求职登记表(1)_01"/>
                    <pic:cNvPicPr>
                      <a:picLocks noChangeAspect="1"/>
                    </pic:cNvPicPr>
                  </pic:nvPicPr>
                  <pic:blipFill>
                    <a:blip r:embed="rId5"/>
                    <a:srcRect l="10893" t="9479" r="10893" b="23303"/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674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4" w:lineRule="exact"/>
        <w:ind w:left="0" w:leftChars="0" w:right="0"/>
        <w:jc w:val="center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4" w:lineRule="exact"/>
        <w:ind w:left="0" w:leftChars="0" w:right="0" w:firstLine="64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1009015</wp:posOffset>
            </wp:positionH>
            <wp:positionV relativeFrom="page">
              <wp:posOffset>1759585</wp:posOffset>
            </wp:positionV>
            <wp:extent cx="5541645" cy="5417185"/>
            <wp:effectExtent l="0" t="0" r="0" b="0"/>
            <wp:wrapNone/>
            <wp:docPr id="2" name="ECB019B1-382A-4266-B25C-5B523AA43C14-2" descr="C:/Users/Lenovo/AppData/Local/Temp/wps.LTkkAX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2" descr="C:/Users/Lenovo/AppData/Local/Temp/wps.LTkkAXwps"/>
                    <pic:cNvPicPr>
                      <a:picLocks noChangeAspect="1"/>
                    </pic:cNvPicPr>
                  </pic:nvPicPr>
                  <pic:blipFill>
                    <a:blip r:embed="rId6"/>
                    <a:srcRect t="6570"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541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十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职业指导办事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流程图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4" w:lineRule="exact"/>
        <w:ind w:left="0" w:leftChars="0" w:right="0"/>
        <w:jc w:val="center"/>
        <w:outlineLvl w:val="0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GJlODcxNmZhNjE5YTU3MThkMzI1YTA4NGQ1M2UifQ=="/>
  </w:docVars>
  <w:rsids>
    <w:rsidRoot w:val="484C1EAA"/>
    <w:rsid w:val="1B195D17"/>
    <w:rsid w:val="309F2F71"/>
    <w:rsid w:val="332F3FEF"/>
    <w:rsid w:val="484C1EAA"/>
    <w:rsid w:val="684C3FB9"/>
    <w:rsid w:val="6A830B37"/>
    <w:rsid w:val="6E4628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宋体" w:asciiTheme="minorAscii" w:hAnsiTheme="minorAscii"/>
      <w:kern w:val="44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1093</Words>
  <Characters>1190</Characters>
  <Lines>0</Lines>
  <Paragraphs>0</Paragraphs>
  <TotalTime>0</TotalTime>
  <ScaleCrop>false</ScaleCrop>
  <LinksUpToDate>false</LinksUpToDate>
  <CharactersWithSpaces>1229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2022-12-14T09:19:00Z</dcterms:created>
  <dc:creator>Ella</dc:creator>
  <cp:lastModifiedBy>邓工-测试3</cp:lastModifiedBy>
  <dcterms:modified xsi:type="dcterms:W3CDTF">2024-04-16T08:05:42Z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BA839DAA36844816B3491B4CBB23BF92</vt:lpwstr>
  </property>
</Properties>
</file>