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2024年永济市城区用户水龙头第一季度</w:t>
      </w: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水质监测报告</w:t>
      </w:r>
    </w:p>
    <w:p>
      <w:pPr>
        <w:jc w:val="center"/>
        <w:rPr>
          <w:rFonts w:asciiTheme="majorEastAsia" w:hAnsiTheme="majorEastAsia" w:eastAsiaTheme="majorEastAsia"/>
          <w:b/>
          <w:bCs/>
          <w:sz w:val="44"/>
          <w:szCs w:val="44"/>
        </w:rPr>
      </w:pPr>
    </w:p>
    <w:p>
      <w:pPr>
        <w:spacing w:line="580" w:lineRule="exact"/>
        <w:rPr>
          <w:rFonts w:ascii="仿宋" w:hAnsi="仿宋" w:eastAsia="仿宋" w:cs="仿宋"/>
          <w:sz w:val="32"/>
          <w:szCs w:val="32"/>
        </w:rPr>
      </w:pPr>
    </w:p>
    <w:p>
      <w:pPr>
        <w:spacing w:line="120" w:lineRule="auto"/>
        <w:ind w:firstLine="640" w:firstLineChars="200"/>
        <w:rPr>
          <w:rFonts w:ascii="仿宋" w:hAnsi="仿宋" w:eastAsia="仿宋" w:cs="仿宋"/>
          <w:sz w:val="32"/>
          <w:szCs w:val="32"/>
        </w:rPr>
      </w:pPr>
      <w:r>
        <w:rPr>
          <w:rFonts w:hint="eastAsia" w:ascii="仿宋" w:hAnsi="仿宋" w:eastAsia="仿宋" w:cs="仿宋"/>
          <w:sz w:val="32"/>
          <w:szCs w:val="32"/>
        </w:rPr>
        <w:t>为贯彻落实运城市人民政府关于印发《运城市城区水龙头水质监测工作方案》运卫疾控函(2024)〔77号〕要求,我中心于2024年3月份委托具有检测资质的山西圣羽检验监测服务有限公司对城区用户水龙头水质进行监测，25个监测点检测情况如下：</w:t>
      </w:r>
    </w:p>
    <w:p>
      <w:pPr>
        <w:pStyle w:val="8"/>
        <w:numPr>
          <w:ilvl w:val="0"/>
          <w:numId w:val="1"/>
        </w:numPr>
        <w:spacing w:line="120" w:lineRule="auto"/>
        <w:ind w:firstLineChars="0"/>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监测范围</w:t>
      </w:r>
    </w:p>
    <w:p>
      <w:pPr>
        <w:spacing w:line="120" w:lineRule="auto"/>
        <w:ind w:firstLine="640" w:firstLineChars="200"/>
        <w:rPr>
          <w:rFonts w:ascii="仿宋" w:hAnsi="仿宋" w:eastAsia="仿宋" w:cs="仿宋"/>
          <w:sz w:val="32"/>
          <w:szCs w:val="32"/>
        </w:rPr>
      </w:pPr>
      <w:r>
        <w:rPr>
          <w:rFonts w:hint="eastAsia" w:ascii="仿宋" w:hAnsi="仿宋" w:eastAsia="仿宋" w:cs="仿宋"/>
          <w:sz w:val="32"/>
          <w:szCs w:val="32"/>
        </w:rPr>
        <w:t>全市城区（含东城区、西城区、北城区）设东西南北中五个方位，每个方位设五个监测点，共计25个监测点。监测点的设置布局具有代表性，25个监测点用户水龙头的水源水全部来自城市集中式供水，监测点的水样采集由山西圣羽检验监测服务有限公司和疾控中心检验部共同完成。</w:t>
      </w:r>
    </w:p>
    <w:p>
      <w:pPr>
        <w:pStyle w:val="8"/>
        <w:numPr>
          <w:ilvl w:val="0"/>
          <w:numId w:val="1"/>
        </w:numPr>
        <w:spacing w:line="120" w:lineRule="auto"/>
        <w:ind w:firstLineChars="0"/>
        <w:rPr>
          <w:rFonts w:asciiTheme="minorEastAsia" w:hAnsiTheme="minorEastAsia" w:cstheme="minorEastAsia"/>
          <w:b/>
          <w:bCs/>
          <w:sz w:val="32"/>
          <w:szCs w:val="32"/>
        </w:rPr>
      </w:pPr>
      <w:r>
        <w:rPr>
          <w:rFonts w:hint="eastAsia" w:asciiTheme="minorEastAsia" w:hAnsiTheme="minorEastAsia" w:cstheme="minorEastAsia"/>
          <w:b/>
          <w:bCs/>
          <w:sz w:val="32"/>
          <w:szCs w:val="32"/>
        </w:rPr>
        <w:t>检测内容</w:t>
      </w:r>
    </w:p>
    <w:p>
      <w:pPr>
        <w:spacing w:line="120" w:lineRule="auto"/>
        <w:ind w:firstLine="640" w:firstLineChars="200"/>
        <w:rPr>
          <w:rFonts w:ascii="仿宋" w:hAnsi="仿宋" w:eastAsia="仿宋" w:cs="仿宋"/>
          <w:sz w:val="32"/>
          <w:szCs w:val="32"/>
        </w:rPr>
      </w:pPr>
      <w:r>
        <w:rPr>
          <w:rFonts w:hint="eastAsia" w:ascii="仿宋" w:hAnsi="仿宋" w:eastAsia="仿宋" w:cs="仿宋"/>
          <w:sz w:val="32"/>
          <w:szCs w:val="32"/>
        </w:rPr>
        <w:t>水样的采集、保存、运输、检测分析严格按照《生活饮用水标准检验方法》（GB∕T5750-2023）进行。25份水样的采集时间:2024年 3月15日，检测时间:2024年3月15日-2024年3月29日，数据报告时间:2024年 4月 2日。</w:t>
      </w:r>
    </w:p>
    <w:p>
      <w:pPr>
        <w:spacing w:line="120" w:lineRule="auto"/>
        <w:ind w:firstLine="640" w:firstLineChars="200"/>
        <w:rPr>
          <w:rFonts w:ascii="仿宋" w:hAnsi="仿宋" w:eastAsia="仿宋" w:cs="仿宋"/>
          <w:sz w:val="32"/>
          <w:szCs w:val="32"/>
        </w:rPr>
      </w:pPr>
      <w:r>
        <w:rPr>
          <w:rFonts w:hint="eastAsia" w:ascii="仿宋" w:hAnsi="仿宋" w:eastAsia="仿宋" w:cs="仿宋"/>
          <w:sz w:val="32"/>
          <w:szCs w:val="32"/>
        </w:rPr>
        <w:t>按照《生活饮用水标准检验方法》（GB∕T5750-2023）对每份水样，包括感官性状和一般化学指标、毒理学指标、微生物学指标等18项指标进行检验检测。</w:t>
      </w:r>
    </w:p>
    <w:p>
      <w:pPr>
        <w:spacing w:line="120" w:lineRule="auto"/>
        <w:ind w:firstLine="640" w:firstLineChars="200"/>
        <w:rPr>
          <w:rFonts w:ascii="仿宋" w:hAnsi="仿宋" w:eastAsia="仿宋" w:cs="仿宋"/>
          <w:sz w:val="32"/>
          <w:szCs w:val="32"/>
        </w:rPr>
      </w:pPr>
      <w:r>
        <w:rPr>
          <w:rFonts w:hint="eastAsia" w:ascii="仿宋" w:hAnsi="仿宋" w:eastAsia="仿宋" w:cs="仿宋"/>
          <w:sz w:val="32"/>
          <w:szCs w:val="32"/>
        </w:rPr>
        <w:t>饮用水水质分析结果按照《生活饮用水卫生标准》（GB5749-2022）为主要依据进行水质卫生评价。</w:t>
      </w:r>
    </w:p>
    <w:p>
      <w:pPr>
        <w:pStyle w:val="8"/>
        <w:numPr>
          <w:ilvl w:val="0"/>
          <w:numId w:val="1"/>
        </w:numPr>
        <w:spacing w:line="120" w:lineRule="auto"/>
        <w:ind w:firstLineChars="0"/>
        <w:rPr>
          <w:rFonts w:asciiTheme="minorEastAsia" w:hAnsiTheme="minorEastAsia" w:cstheme="minorEastAsia"/>
          <w:b/>
          <w:bCs/>
          <w:sz w:val="32"/>
          <w:szCs w:val="32"/>
        </w:rPr>
      </w:pPr>
      <w:r>
        <w:rPr>
          <w:rFonts w:hint="eastAsia" w:asciiTheme="minorEastAsia" w:hAnsiTheme="minorEastAsia" w:cstheme="minorEastAsia"/>
          <w:b/>
          <w:bCs/>
          <w:sz w:val="32"/>
          <w:szCs w:val="32"/>
        </w:rPr>
        <w:t>检测结果分析</w:t>
      </w:r>
    </w:p>
    <w:p>
      <w:pPr>
        <w:pStyle w:val="8"/>
        <w:numPr>
          <w:ilvl w:val="0"/>
          <w:numId w:val="2"/>
        </w:numPr>
        <w:spacing w:line="120" w:lineRule="auto"/>
        <w:ind w:firstLine="640"/>
        <w:rPr>
          <w:rFonts w:ascii="仿宋" w:hAnsi="仿宋" w:eastAsia="仿宋" w:cs="仿宋"/>
          <w:sz w:val="32"/>
          <w:szCs w:val="32"/>
        </w:rPr>
      </w:pPr>
      <w:r>
        <w:rPr>
          <w:rFonts w:hint="eastAsia" w:ascii="仿宋" w:hAnsi="仿宋" w:eastAsia="仿宋" w:cs="仿宋"/>
          <w:sz w:val="32"/>
          <w:szCs w:val="32"/>
        </w:rPr>
        <w:t>微生物检测项目</w:t>
      </w:r>
    </w:p>
    <w:p>
      <w:pPr>
        <w:pStyle w:val="8"/>
        <w:spacing w:line="120" w:lineRule="auto"/>
        <w:ind w:firstLine="640"/>
        <w:rPr>
          <w:rFonts w:ascii="仿宋" w:hAnsi="仿宋" w:eastAsia="仿宋" w:cs="仿宋"/>
          <w:sz w:val="32"/>
          <w:szCs w:val="32"/>
        </w:rPr>
      </w:pPr>
      <w:r>
        <w:rPr>
          <w:rFonts w:hint="eastAsia" w:ascii="仿宋" w:hAnsi="仿宋" w:eastAsia="仿宋" w:cs="仿宋"/>
          <w:sz w:val="32"/>
          <w:szCs w:val="32"/>
        </w:rPr>
        <w:t>菌落总数17-81cfu/ml；总大肠菌群未检出；大肠埃希氏菌未检出。检测项目结果均符合《生活饮用水卫生标准》（GB5749-2022）。</w:t>
      </w:r>
    </w:p>
    <w:p>
      <w:pPr>
        <w:pStyle w:val="8"/>
        <w:numPr>
          <w:ilvl w:val="0"/>
          <w:numId w:val="2"/>
        </w:numPr>
        <w:spacing w:line="120" w:lineRule="auto"/>
        <w:ind w:firstLine="640"/>
        <w:rPr>
          <w:rFonts w:ascii="仿宋" w:hAnsi="仿宋" w:eastAsia="仿宋" w:cs="仿宋"/>
          <w:sz w:val="32"/>
          <w:szCs w:val="32"/>
        </w:rPr>
      </w:pPr>
      <w:r>
        <w:rPr>
          <w:rFonts w:hint="eastAsia" w:ascii="仿宋" w:hAnsi="仿宋" w:eastAsia="仿宋" w:cs="仿宋"/>
          <w:sz w:val="32"/>
          <w:szCs w:val="32"/>
        </w:rPr>
        <w:t>毒理学检测项目</w:t>
      </w:r>
    </w:p>
    <w:p>
      <w:pPr>
        <w:pStyle w:val="8"/>
        <w:spacing w:line="120" w:lineRule="auto"/>
        <w:ind w:firstLine="640"/>
        <w:rPr>
          <w:rFonts w:ascii="仿宋" w:hAnsi="仿宋" w:eastAsia="仿宋" w:cs="仿宋"/>
          <w:sz w:val="32"/>
          <w:szCs w:val="32"/>
        </w:rPr>
      </w:pPr>
      <w:r>
        <w:rPr>
          <w:rFonts w:hint="eastAsia" w:ascii="仿宋" w:hAnsi="仿宋" w:eastAsia="仿宋" w:cs="仿宋"/>
          <w:sz w:val="32"/>
          <w:szCs w:val="32"/>
        </w:rPr>
        <w:t>硝酸盐氮1.92mg/L</w:t>
      </w:r>
      <w:r>
        <w:rPr>
          <w:rFonts w:ascii="仿宋" w:hAnsi="仿宋" w:eastAsia="仿宋" w:cs="仿宋"/>
          <w:sz w:val="32"/>
          <w:szCs w:val="32"/>
        </w:rPr>
        <w:t>—</w:t>
      </w:r>
      <w:r>
        <w:rPr>
          <w:rFonts w:hint="eastAsia" w:ascii="仿宋" w:hAnsi="仿宋" w:eastAsia="仿宋" w:cs="仿宋"/>
          <w:sz w:val="32"/>
          <w:szCs w:val="32"/>
        </w:rPr>
        <w:t>5.01mg/L；六价铬≤0.004mg/L</w:t>
      </w:r>
      <w:r>
        <w:rPr>
          <w:rFonts w:ascii="仿宋" w:hAnsi="仿宋" w:eastAsia="仿宋" w:cs="仿宋"/>
          <w:sz w:val="32"/>
          <w:szCs w:val="32"/>
        </w:rPr>
        <w:t>—</w:t>
      </w:r>
      <w:r>
        <w:rPr>
          <w:rFonts w:hint="eastAsia" w:ascii="仿宋" w:hAnsi="仿宋" w:eastAsia="仿宋" w:cs="仿宋"/>
          <w:sz w:val="32"/>
          <w:szCs w:val="32"/>
        </w:rPr>
        <w:t xml:space="preserve">0.008mg/L；砷≤0.001mg/L；汞≤0.0001mg/L；镉≤0.0005mg/L；铅≤0.0025mg/L；铝≤0.008mg/L检测项目结果均符合《生活饮用水卫生标准》（GB5749-2022）。                    </w:t>
      </w:r>
    </w:p>
    <w:p>
      <w:pPr>
        <w:pStyle w:val="8"/>
        <w:numPr>
          <w:ilvl w:val="0"/>
          <w:numId w:val="2"/>
        </w:numPr>
        <w:spacing w:line="120" w:lineRule="auto"/>
        <w:ind w:firstLine="640"/>
        <w:rPr>
          <w:rFonts w:ascii="仿宋" w:hAnsi="仿宋" w:eastAsia="仿宋" w:cs="仿宋"/>
          <w:sz w:val="32"/>
          <w:szCs w:val="32"/>
        </w:rPr>
      </w:pPr>
      <w:r>
        <w:rPr>
          <w:rFonts w:hint="eastAsia" w:ascii="仿宋" w:hAnsi="仿宋" w:eastAsia="仿宋" w:cs="仿宋"/>
          <w:sz w:val="32"/>
          <w:szCs w:val="32"/>
        </w:rPr>
        <w:t>感官性状和一般化学检测项目</w:t>
      </w:r>
    </w:p>
    <w:p>
      <w:pPr>
        <w:pStyle w:val="8"/>
        <w:spacing w:line="120" w:lineRule="auto"/>
        <w:ind w:firstLine="640"/>
        <w:rPr>
          <w:rFonts w:ascii="仿宋" w:hAnsi="仿宋" w:eastAsia="仿宋" w:cs="仿宋"/>
          <w:sz w:val="32"/>
          <w:szCs w:val="32"/>
        </w:rPr>
      </w:pPr>
      <w:r>
        <w:rPr>
          <w:rFonts w:hint="eastAsia" w:ascii="仿宋" w:hAnsi="仿宋" w:eastAsia="仿宋" w:cs="仿宋"/>
          <w:sz w:val="32"/>
          <w:szCs w:val="32"/>
        </w:rPr>
        <w:t>色度＜5；浑浊度＜0.5；臭和味无；肉眼可见物无；耗氧量0.84mg/L</w:t>
      </w:r>
      <w:r>
        <w:rPr>
          <w:rFonts w:ascii="仿宋" w:hAnsi="仿宋" w:eastAsia="仿宋" w:cs="仿宋"/>
          <w:sz w:val="32"/>
          <w:szCs w:val="32"/>
        </w:rPr>
        <w:t>—</w:t>
      </w:r>
      <w:r>
        <w:rPr>
          <w:rFonts w:hint="eastAsia" w:ascii="仿宋" w:hAnsi="仿宋" w:eastAsia="仿宋" w:cs="仿宋"/>
          <w:sz w:val="32"/>
          <w:szCs w:val="32"/>
        </w:rPr>
        <w:t>1.34mg/L范围；氨氮＜0.02mg/L。检测项目结果均符合《生活饮用水卫生标准》（GB5749-2022）。</w:t>
      </w:r>
    </w:p>
    <w:p>
      <w:pPr>
        <w:pStyle w:val="8"/>
        <w:numPr>
          <w:ilvl w:val="0"/>
          <w:numId w:val="2"/>
        </w:numPr>
        <w:spacing w:line="120" w:lineRule="auto"/>
        <w:ind w:firstLine="640"/>
        <w:rPr>
          <w:rFonts w:ascii="仿宋" w:hAnsi="仿宋" w:eastAsia="仿宋" w:cs="仿宋"/>
          <w:sz w:val="32"/>
          <w:szCs w:val="32"/>
        </w:rPr>
      </w:pPr>
      <w:r>
        <w:rPr>
          <w:rFonts w:hint="eastAsia" w:ascii="仿宋" w:hAnsi="仿宋" w:eastAsia="仿宋" w:cs="仿宋"/>
          <w:sz w:val="32"/>
          <w:szCs w:val="32"/>
        </w:rPr>
        <w:t>消毒剂检测项目</w:t>
      </w:r>
    </w:p>
    <w:p>
      <w:pPr>
        <w:pStyle w:val="8"/>
        <w:spacing w:line="120" w:lineRule="auto"/>
        <w:ind w:firstLine="640"/>
        <w:rPr>
          <w:rFonts w:ascii="仿宋" w:hAnsi="仿宋" w:eastAsia="仿宋" w:cs="仿宋"/>
          <w:sz w:val="32"/>
          <w:szCs w:val="32"/>
        </w:rPr>
      </w:pPr>
      <w:r>
        <w:rPr>
          <w:rFonts w:hint="eastAsia" w:ascii="仿宋" w:hAnsi="仿宋" w:eastAsia="仿宋" w:cs="仿宋"/>
          <w:sz w:val="32"/>
          <w:szCs w:val="32"/>
        </w:rPr>
        <w:t>二氧化氯0.03mg/L</w:t>
      </w:r>
      <w:r>
        <w:rPr>
          <w:rFonts w:ascii="仿宋" w:hAnsi="仿宋" w:eastAsia="仿宋" w:cs="仿宋"/>
          <w:sz w:val="32"/>
          <w:szCs w:val="32"/>
        </w:rPr>
        <w:t>—</w:t>
      </w:r>
      <w:r>
        <w:rPr>
          <w:rFonts w:hint="eastAsia" w:ascii="仿宋" w:hAnsi="仿宋" w:eastAsia="仿宋" w:cs="仿宋"/>
          <w:sz w:val="32"/>
          <w:szCs w:val="32"/>
        </w:rPr>
        <w:t>0.10mg/L；游离余氯＜0.005mg∕L，达到《生活饮用水卫生标准》（GB5749-2022）要求。（二氧化氯和游离余氯任意一项达到标准要求，即为合格）。</w:t>
      </w:r>
    </w:p>
    <w:p>
      <w:pPr>
        <w:pStyle w:val="8"/>
        <w:spacing w:line="120" w:lineRule="auto"/>
        <w:ind w:firstLine="643"/>
        <w:rPr>
          <w:rFonts w:asciiTheme="minorEastAsia" w:hAnsiTheme="minorEastAsia" w:cstheme="minorEastAsia"/>
          <w:b/>
          <w:bCs/>
          <w:sz w:val="32"/>
          <w:szCs w:val="32"/>
        </w:rPr>
      </w:pPr>
      <w:r>
        <w:rPr>
          <w:rFonts w:hint="eastAsia" w:asciiTheme="minorEastAsia" w:hAnsiTheme="minorEastAsia" w:cstheme="minorEastAsia"/>
          <w:b/>
          <w:bCs/>
          <w:sz w:val="32"/>
          <w:szCs w:val="32"/>
        </w:rPr>
        <w:t>四、结论</w:t>
      </w:r>
    </w:p>
    <w:p>
      <w:pPr>
        <w:pStyle w:val="8"/>
        <w:spacing w:line="120" w:lineRule="auto"/>
        <w:ind w:firstLine="640"/>
        <w:rPr>
          <w:rFonts w:ascii="仿宋" w:hAnsi="仿宋" w:eastAsia="仿宋" w:cs="仿宋"/>
          <w:sz w:val="32"/>
          <w:szCs w:val="32"/>
        </w:rPr>
      </w:pPr>
      <w:r>
        <w:rPr>
          <w:rFonts w:hint="eastAsia" w:ascii="仿宋" w:hAnsi="仿宋" w:eastAsia="仿宋" w:cs="仿宋"/>
          <w:sz w:val="32"/>
          <w:szCs w:val="32"/>
        </w:rPr>
        <w:t>第一季度对城市水龙头用户25份水样进行检测，检测项目18项，检测数据均达到《生活饮用水卫生标准》（GB5749-2022）要求，用户水龙头水质合格率100％。</w:t>
      </w:r>
    </w:p>
    <w:p>
      <w:pPr>
        <w:pStyle w:val="8"/>
        <w:spacing w:line="120" w:lineRule="auto"/>
        <w:ind w:firstLine="643"/>
        <w:rPr>
          <w:rFonts w:asciiTheme="minorEastAsia" w:hAnsiTheme="minorEastAsia" w:cstheme="minorEastAsia"/>
          <w:b/>
          <w:bCs/>
          <w:sz w:val="32"/>
          <w:szCs w:val="32"/>
        </w:rPr>
      </w:pPr>
      <w:r>
        <w:rPr>
          <w:rFonts w:hint="eastAsia" w:asciiTheme="minorEastAsia" w:hAnsiTheme="minorEastAsia" w:cstheme="minorEastAsia"/>
          <w:b/>
          <w:bCs/>
          <w:sz w:val="32"/>
          <w:szCs w:val="32"/>
        </w:rPr>
        <w:t>五、建议</w:t>
      </w:r>
      <w:bookmarkStart w:id="0" w:name="_GoBack"/>
      <w:bookmarkEnd w:id="0"/>
    </w:p>
    <w:p>
      <w:pPr>
        <w:spacing w:line="120" w:lineRule="auto"/>
        <w:ind w:firstLine="640" w:firstLineChars="200"/>
        <w:rPr>
          <w:rFonts w:ascii="仿宋" w:hAnsi="仿宋" w:eastAsia="仿宋" w:cs="仿宋"/>
          <w:sz w:val="32"/>
          <w:szCs w:val="32"/>
        </w:rPr>
      </w:pPr>
      <w:r>
        <w:rPr>
          <w:rFonts w:hint="eastAsia" w:ascii="仿宋" w:hAnsi="仿宋" w:eastAsia="仿宋" w:cs="仿宋"/>
          <w:sz w:val="32"/>
          <w:szCs w:val="32"/>
        </w:rPr>
        <w:t>1、城乡供水有限公司要严格认真落实责任制，切实做好饮用水水源地保护工作，保证消毒设备正常运转，使其出厂水各项指标达到标准要求。定期对饮用水的消毒剂指标进行检测并做好检测记录，检测数据应达到出厂水和末梢水指标要求。</w:t>
      </w:r>
    </w:p>
    <w:p>
      <w:pPr>
        <w:pStyle w:val="8"/>
        <w:spacing w:line="120" w:lineRule="auto"/>
        <w:ind w:firstLine="640"/>
        <w:rPr>
          <w:rFonts w:ascii="仿宋" w:hAnsi="仿宋" w:eastAsia="仿宋" w:cs="仿宋"/>
          <w:sz w:val="32"/>
          <w:szCs w:val="32"/>
        </w:rPr>
      </w:pPr>
      <w:r>
        <w:rPr>
          <w:rFonts w:hint="eastAsia" w:ascii="仿宋" w:hAnsi="仿宋" w:eastAsia="仿宋" w:cs="仿宋"/>
          <w:sz w:val="32"/>
          <w:szCs w:val="32"/>
        </w:rPr>
        <w:t xml:space="preserve"> 2、生活饮用水监督、管理部门要加强对城区集中式供水及小区二次供水的监督、管理力度，确保居民饮用水水质安全，防止发生饮用水安全事故。</w:t>
      </w:r>
    </w:p>
    <w:p>
      <w:pPr>
        <w:spacing w:line="120" w:lineRule="auto"/>
        <w:rPr>
          <w:rFonts w:ascii="仿宋" w:hAnsi="仿宋" w:eastAsia="仿宋" w:cs="仿宋"/>
          <w:sz w:val="32"/>
          <w:szCs w:val="32"/>
        </w:rPr>
      </w:pPr>
      <w:r>
        <w:rPr>
          <w:rFonts w:hint="eastAsia" w:ascii="仿宋" w:hAnsi="仿宋" w:eastAsia="仿宋" w:cs="仿宋"/>
          <w:sz w:val="32"/>
          <w:szCs w:val="32"/>
        </w:rPr>
        <w:t>具体结果详见附件（1-2）</w:t>
      </w:r>
    </w:p>
    <w:p>
      <w:pPr>
        <w:spacing w:line="120" w:lineRule="auto"/>
        <w:rPr>
          <w:rFonts w:ascii="仿宋" w:hAnsi="仿宋" w:eastAsia="仿宋" w:cs="仿宋"/>
          <w:sz w:val="32"/>
          <w:szCs w:val="32"/>
        </w:rPr>
      </w:pPr>
      <w:r>
        <w:rPr>
          <w:rFonts w:hint="eastAsia" w:ascii="仿宋" w:hAnsi="仿宋" w:eastAsia="仿宋" w:cs="仿宋"/>
          <w:sz w:val="32"/>
          <w:szCs w:val="32"/>
        </w:rPr>
        <w:t>附件1：生活饮用水卫生监测信息公开指标一览表</w:t>
      </w:r>
    </w:p>
    <w:p>
      <w:pPr>
        <w:spacing w:line="120" w:lineRule="auto"/>
        <w:rPr>
          <w:rFonts w:ascii="仿宋" w:hAnsi="仿宋" w:eastAsia="仿宋" w:cs="仿宋"/>
          <w:sz w:val="32"/>
          <w:szCs w:val="32"/>
        </w:rPr>
      </w:pPr>
      <w:r>
        <w:rPr>
          <w:rFonts w:hint="eastAsia" w:ascii="仿宋" w:hAnsi="仿宋" w:eastAsia="仿宋" w:cs="仿宋"/>
          <w:sz w:val="32"/>
          <w:szCs w:val="32"/>
        </w:rPr>
        <w:t>附件2：第一季度用户龙头水检测项目及结果</w:t>
      </w:r>
    </w:p>
    <w:p>
      <w:pPr>
        <w:pStyle w:val="8"/>
        <w:spacing w:line="120" w:lineRule="auto"/>
        <w:ind w:firstLine="640"/>
        <w:rPr>
          <w:rFonts w:ascii="仿宋" w:hAnsi="仿宋" w:eastAsia="仿宋" w:cs="仿宋"/>
          <w:sz w:val="32"/>
          <w:szCs w:val="32"/>
        </w:rPr>
      </w:pPr>
    </w:p>
    <w:p>
      <w:pPr>
        <w:spacing w:line="120" w:lineRule="auto"/>
        <w:ind w:left="142"/>
        <w:rPr>
          <w:rFonts w:ascii="仿宋" w:hAnsi="仿宋" w:eastAsia="仿宋" w:cs="仿宋"/>
          <w:sz w:val="32"/>
          <w:szCs w:val="32"/>
        </w:rPr>
      </w:pPr>
      <w:r>
        <w:rPr>
          <w:rFonts w:hint="eastAsia" w:ascii="仿宋" w:hAnsi="仿宋" w:eastAsia="仿宋" w:cs="仿宋"/>
          <w:sz w:val="32"/>
          <w:szCs w:val="32"/>
        </w:rPr>
        <w:t xml:space="preserve">                                 2024年4月2日</w:t>
      </w:r>
    </w:p>
    <w:p>
      <w:pPr>
        <w:spacing w:line="580" w:lineRule="exact"/>
        <w:ind w:left="142"/>
        <w:rPr>
          <w:rFonts w:ascii="仿宋" w:hAnsi="仿宋" w:eastAsia="仿宋" w:cs="仿宋"/>
          <w:sz w:val="32"/>
          <w:szCs w:val="32"/>
        </w:rPr>
      </w:pPr>
    </w:p>
    <w:sectPr>
      <w:footerReference r:id="rId3" w:type="default"/>
      <w:pgSz w:w="11906" w:h="16838"/>
      <w:pgMar w:top="1922"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4F7C65"/>
    <w:multiLevelType w:val="singleLevel"/>
    <w:tmpl w:val="174F7C65"/>
    <w:lvl w:ilvl="0" w:tentative="0">
      <w:start w:val="1"/>
      <w:numFmt w:val="decimal"/>
      <w:suff w:val="nothing"/>
      <w:lvlText w:val="%1、"/>
      <w:lvlJc w:val="left"/>
    </w:lvl>
  </w:abstractNum>
  <w:abstractNum w:abstractNumId="1">
    <w:nsid w:val="62AD521D"/>
    <w:multiLevelType w:val="multilevel"/>
    <w:tmpl w:val="62AD521D"/>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FkODgwYTk2NGUzYjU0YjljNmVhZWU1ZmZkMDVkNGEifQ=="/>
  </w:docVars>
  <w:rsids>
    <w:rsidRoot w:val="009178D3"/>
    <w:rsid w:val="0003076B"/>
    <w:rsid w:val="00036443"/>
    <w:rsid w:val="000F7A1A"/>
    <w:rsid w:val="001208C6"/>
    <w:rsid w:val="00191489"/>
    <w:rsid w:val="001D2FAC"/>
    <w:rsid w:val="002415F0"/>
    <w:rsid w:val="00255DF6"/>
    <w:rsid w:val="002876CF"/>
    <w:rsid w:val="00293CCD"/>
    <w:rsid w:val="002C5874"/>
    <w:rsid w:val="00313CDD"/>
    <w:rsid w:val="0032258E"/>
    <w:rsid w:val="0032674B"/>
    <w:rsid w:val="00354C59"/>
    <w:rsid w:val="003F4DDC"/>
    <w:rsid w:val="003F58FA"/>
    <w:rsid w:val="00407CCF"/>
    <w:rsid w:val="00433E68"/>
    <w:rsid w:val="0044387F"/>
    <w:rsid w:val="004A7ED4"/>
    <w:rsid w:val="004D798F"/>
    <w:rsid w:val="0050335A"/>
    <w:rsid w:val="00525B5E"/>
    <w:rsid w:val="00533C3E"/>
    <w:rsid w:val="005A09B2"/>
    <w:rsid w:val="00606005"/>
    <w:rsid w:val="0062408B"/>
    <w:rsid w:val="00680248"/>
    <w:rsid w:val="0068189B"/>
    <w:rsid w:val="006C1F35"/>
    <w:rsid w:val="007117AC"/>
    <w:rsid w:val="00725ECA"/>
    <w:rsid w:val="007847A3"/>
    <w:rsid w:val="007A1B87"/>
    <w:rsid w:val="007D6028"/>
    <w:rsid w:val="00826654"/>
    <w:rsid w:val="008418E6"/>
    <w:rsid w:val="00860F2E"/>
    <w:rsid w:val="00873B49"/>
    <w:rsid w:val="00892043"/>
    <w:rsid w:val="008B2FFB"/>
    <w:rsid w:val="008C4480"/>
    <w:rsid w:val="009055AE"/>
    <w:rsid w:val="0091481D"/>
    <w:rsid w:val="009151FC"/>
    <w:rsid w:val="009178D3"/>
    <w:rsid w:val="00920BCD"/>
    <w:rsid w:val="00977145"/>
    <w:rsid w:val="009D36BE"/>
    <w:rsid w:val="00A524EF"/>
    <w:rsid w:val="00A63141"/>
    <w:rsid w:val="00A70DCD"/>
    <w:rsid w:val="00A76F84"/>
    <w:rsid w:val="00AA791B"/>
    <w:rsid w:val="00AB2A4F"/>
    <w:rsid w:val="00AB57D8"/>
    <w:rsid w:val="00AD703A"/>
    <w:rsid w:val="00B260B8"/>
    <w:rsid w:val="00B44DC9"/>
    <w:rsid w:val="00B456FC"/>
    <w:rsid w:val="00C548D8"/>
    <w:rsid w:val="00C73BEC"/>
    <w:rsid w:val="00CA7B4D"/>
    <w:rsid w:val="00CB56B8"/>
    <w:rsid w:val="00CC4145"/>
    <w:rsid w:val="00D01D3B"/>
    <w:rsid w:val="00D07D24"/>
    <w:rsid w:val="00D25EC2"/>
    <w:rsid w:val="00D33D87"/>
    <w:rsid w:val="00D443DB"/>
    <w:rsid w:val="00D84A0F"/>
    <w:rsid w:val="00DA451F"/>
    <w:rsid w:val="00DA760C"/>
    <w:rsid w:val="00DB293E"/>
    <w:rsid w:val="00DB34E8"/>
    <w:rsid w:val="00E90A8C"/>
    <w:rsid w:val="00EA2498"/>
    <w:rsid w:val="00EA7C12"/>
    <w:rsid w:val="00ED79D5"/>
    <w:rsid w:val="00F85D05"/>
    <w:rsid w:val="02C45492"/>
    <w:rsid w:val="07407256"/>
    <w:rsid w:val="092B27A3"/>
    <w:rsid w:val="12D91969"/>
    <w:rsid w:val="1E387BC5"/>
    <w:rsid w:val="1E566913"/>
    <w:rsid w:val="23C93D8B"/>
    <w:rsid w:val="28D07E8B"/>
    <w:rsid w:val="30CA18DA"/>
    <w:rsid w:val="35640C3A"/>
    <w:rsid w:val="39E87780"/>
    <w:rsid w:val="46421FE0"/>
    <w:rsid w:val="47B47A13"/>
    <w:rsid w:val="49D60546"/>
    <w:rsid w:val="4AE50D98"/>
    <w:rsid w:val="69C54259"/>
    <w:rsid w:val="6C8F091C"/>
    <w:rsid w:val="6DC751AB"/>
    <w:rsid w:val="708D15A0"/>
    <w:rsid w:val="70CD4D36"/>
    <w:rsid w:val="75C82D2E"/>
    <w:rsid w:val="7DBA1A24"/>
    <w:rsid w:val="7E6D5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205</Words>
  <Characters>1169</Characters>
  <Lines>9</Lines>
  <Paragraphs>2</Paragraphs>
  <TotalTime>2864</TotalTime>
  <ScaleCrop>false</ScaleCrop>
  <LinksUpToDate>false</LinksUpToDate>
  <CharactersWithSpaces>1372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2021-04-06T01:46:00Z</dcterms:created>
  <dc:creator>微软用户</dc:creator>
  <cp:lastModifiedBy>Administrator</cp:lastModifiedBy>
  <cp:lastPrinted>2023-09-25T01:58:00Z</cp:lastPrinted>
  <dcterms:modified xsi:type="dcterms:W3CDTF">2024-04-09T02:26:09Z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A79D77B80ECF499BB211B06939ABB9DA_12</vt:lpwstr>
  </property>
</Properties>
</file>