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CB" w:rsidRDefault="00424C68">
      <w:pPr>
        <w:spacing w:line="620" w:lineRule="exact"/>
        <w:ind w:firstLineChars="200" w:firstLine="88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永济市财政局</w:t>
      </w:r>
    </w:p>
    <w:p w:rsidR="005155CB" w:rsidRDefault="00424C68">
      <w:pPr>
        <w:spacing w:line="620" w:lineRule="exact"/>
        <w:ind w:firstLineChars="200" w:firstLine="88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w:t>
      </w:r>
      <w:r w:rsidR="009253A0">
        <w:rPr>
          <w:rFonts w:ascii="方正小标宋简体" w:eastAsia="方正小标宋简体" w:hAnsi="方正小标宋简体" w:cs="方正小标宋简体" w:hint="eastAsia"/>
          <w:bCs/>
          <w:sz w:val="44"/>
        </w:rPr>
        <w:t>1</w:t>
      </w:r>
      <w:r>
        <w:rPr>
          <w:rFonts w:ascii="方正小标宋简体" w:eastAsia="方正小标宋简体" w:hAnsi="方正小标宋简体" w:cs="方正小标宋简体" w:hint="eastAsia"/>
          <w:bCs/>
          <w:sz w:val="44"/>
        </w:rPr>
        <w:t>年财政总决算分析报告</w:t>
      </w:r>
    </w:p>
    <w:p w:rsidR="005155CB" w:rsidRDefault="005155CB">
      <w:pPr>
        <w:spacing w:line="580" w:lineRule="exact"/>
        <w:ind w:firstLineChars="200" w:firstLine="640"/>
        <w:rPr>
          <w:rFonts w:ascii="Times New Roman" w:hAnsi="Times New Roman"/>
          <w:sz w:val="32"/>
          <w:szCs w:val="32"/>
        </w:rPr>
      </w:pPr>
    </w:p>
    <w:p w:rsidR="00D119D3" w:rsidRDefault="00D119D3" w:rsidP="00D119D3">
      <w:pPr>
        <w:spacing w:line="580" w:lineRule="exact"/>
        <w:ind w:firstLineChars="200" w:firstLine="640"/>
        <w:rPr>
          <w:rFonts w:asciiTheme="minorEastAsia" w:eastAsiaTheme="minorEastAsia" w:hAnsiTheme="minorEastAsia"/>
          <w:sz w:val="32"/>
          <w:szCs w:val="32"/>
        </w:rPr>
      </w:pPr>
      <w:r w:rsidRPr="00D119D3">
        <w:rPr>
          <w:rFonts w:asciiTheme="minorEastAsia" w:eastAsiaTheme="minorEastAsia" w:hAnsiTheme="minorEastAsia" w:hint="eastAsia"/>
          <w:sz w:val="32"/>
          <w:szCs w:val="32"/>
        </w:rPr>
        <w:t>2021年</w:t>
      </w:r>
      <w:r w:rsidR="009253A0">
        <w:rPr>
          <w:rFonts w:asciiTheme="minorEastAsia" w:eastAsiaTheme="minorEastAsia" w:hAnsiTheme="minorEastAsia" w:hint="eastAsia"/>
          <w:sz w:val="32"/>
          <w:szCs w:val="32"/>
        </w:rPr>
        <w:t>是中国共产党</w:t>
      </w:r>
      <w:r w:rsidR="0092532C">
        <w:rPr>
          <w:rFonts w:asciiTheme="minorEastAsia" w:eastAsiaTheme="minorEastAsia" w:hAnsiTheme="minorEastAsia" w:hint="eastAsia"/>
          <w:sz w:val="32"/>
          <w:szCs w:val="32"/>
        </w:rPr>
        <w:t>成立</w:t>
      </w:r>
      <w:r w:rsidR="009253A0">
        <w:rPr>
          <w:rFonts w:asciiTheme="minorEastAsia" w:eastAsiaTheme="minorEastAsia" w:hAnsiTheme="minorEastAsia" w:hint="eastAsia"/>
          <w:sz w:val="32"/>
          <w:szCs w:val="32"/>
        </w:rPr>
        <w:t>100周年，也是“十四五”规划开局之年，更是永济发展史上极不平凡的一年。</w:t>
      </w:r>
      <w:r w:rsidRPr="00D119D3">
        <w:rPr>
          <w:rFonts w:asciiTheme="minorEastAsia" w:eastAsiaTheme="minorEastAsia" w:hAnsiTheme="minorEastAsia" w:hint="eastAsia"/>
          <w:sz w:val="32"/>
          <w:szCs w:val="32"/>
        </w:rPr>
        <w:t>在市委的正确领导和市人大、市政协的监督支持下，财税部门积极面对经济下行压力、新冠疫情、自然灾害带来的挑战，紧紧围绕中心工作，勇于开拓创新，狠抓增收节支，坚持深化财政改革，全面落实“六稳、六保”各项政策，完成了年度目标任务，有力地支持了全市经济发展。 </w:t>
      </w:r>
    </w:p>
    <w:p w:rsidR="005155CB" w:rsidRDefault="00424C68">
      <w:pPr>
        <w:spacing w:line="58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一、政府性收支总体情况</w:t>
      </w:r>
    </w:p>
    <w:p w:rsidR="008B63FE" w:rsidRPr="008B63FE" w:rsidRDefault="00424C68" w:rsidP="008B63FE">
      <w:pPr>
        <w:spacing w:line="580" w:lineRule="exact"/>
        <w:ind w:firstLineChars="200" w:firstLine="640"/>
        <w:rPr>
          <w:rFonts w:ascii="宋体" w:hAnsi="宋体" w:cs="宋体"/>
          <w:sz w:val="32"/>
          <w:szCs w:val="32"/>
        </w:rPr>
      </w:pPr>
      <w:r>
        <w:rPr>
          <w:rFonts w:ascii="宋体" w:hAnsi="宋体" w:cs="宋体" w:hint="eastAsia"/>
          <w:sz w:val="32"/>
          <w:szCs w:val="32"/>
        </w:rPr>
        <w:t>按照202</w:t>
      </w:r>
      <w:r w:rsidR="00D119D3">
        <w:rPr>
          <w:rFonts w:ascii="宋体" w:hAnsi="宋体" w:cs="宋体" w:hint="eastAsia"/>
          <w:sz w:val="32"/>
          <w:szCs w:val="32"/>
        </w:rPr>
        <w:t>1</w:t>
      </w:r>
      <w:r>
        <w:rPr>
          <w:rFonts w:ascii="宋体" w:hAnsi="宋体" w:cs="宋体" w:hint="eastAsia"/>
          <w:sz w:val="32"/>
          <w:szCs w:val="32"/>
        </w:rPr>
        <w:t>年总决算报表体系划分，我市政府性收支主要由</w:t>
      </w:r>
      <w:r w:rsidR="003E6037">
        <w:rPr>
          <w:rFonts w:ascii="宋体" w:hAnsi="宋体" w:cs="宋体" w:hint="eastAsia"/>
          <w:sz w:val="32"/>
          <w:szCs w:val="32"/>
        </w:rPr>
        <w:t>四</w:t>
      </w:r>
      <w:r>
        <w:rPr>
          <w:rFonts w:ascii="宋体" w:hAnsi="宋体" w:cs="宋体" w:hint="eastAsia"/>
          <w:sz w:val="32"/>
          <w:szCs w:val="32"/>
        </w:rPr>
        <w:t>大部分组成：</w:t>
      </w:r>
      <w:r w:rsidR="008B63FE" w:rsidRPr="008B63FE">
        <w:rPr>
          <w:rFonts w:ascii="宋体" w:hAnsi="宋体" w:cs="宋体" w:hint="eastAsia"/>
          <w:sz w:val="32"/>
          <w:szCs w:val="32"/>
        </w:rPr>
        <w:t>一般公共决算、政府性基金决算、国有资本经营决算和社会保险基金决算。</w:t>
      </w:r>
    </w:p>
    <w:p w:rsidR="005155CB" w:rsidRDefault="00424C68">
      <w:pPr>
        <w:spacing w:line="580" w:lineRule="exact"/>
        <w:ind w:firstLineChars="200" w:firstLine="643"/>
        <w:rPr>
          <w:rFonts w:ascii="宋体" w:hAnsi="宋体" w:cs="宋体"/>
          <w:b/>
          <w:bCs/>
          <w:sz w:val="32"/>
          <w:szCs w:val="32"/>
        </w:rPr>
      </w:pPr>
      <w:r>
        <w:rPr>
          <w:rFonts w:ascii="宋体" w:hAnsi="宋体" w:cs="宋体" w:hint="eastAsia"/>
          <w:b/>
          <w:bCs/>
          <w:sz w:val="32"/>
          <w:szCs w:val="32"/>
        </w:rPr>
        <w:t>（一）全市政府性收支总况</w:t>
      </w:r>
    </w:p>
    <w:p w:rsidR="005155CB" w:rsidRDefault="00424C68">
      <w:pPr>
        <w:spacing w:line="580" w:lineRule="exact"/>
        <w:ind w:firstLineChars="200" w:firstLine="640"/>
        <w:rPr>
          <w:rFonts w:ascii="宋体" w:hAnsi="宋体" w:cs="宋体"/>
          <w:sz w:val="32"/>
          <w:szCs w:val="32"/>
        </w:rPr>
      </w:pPr>
      <w:r>
        <w:rPr>
          <w:rFonts w:ascii="宋体" w:hAnsi="宋体" w:cs="宋体" w:hint="eastAsia"/>
          <w:sz w:val="32"/>
          <w:szCs w:val="32"/>
        </w:rPr>
        <w:t>202</w:t>
      </w:r>
      <w:r w:rsidR="008B63FE">
        <w:rPr>
          <w:rFonts w:ascii="宋体" w:hAnsi="宋体" w:cs="宋体" w:hint="eastAsia"/>
          <w:sz w:val="32"/>
          <w:szCs w:val="32"/>
        </w:rPr>
        <w:t>1</w:t>
      </w:r>
      <w:r>
        <w:rPr>
          <w:rFonts w:ascii="宋体" w:hAnsi="宋体" w:cs="宋体" w:hint="eastAsia"/>
          <w:sz w:val="32"/>
          <w:szCs w:val="32"/>
        </w:rPr>
        <w:t>年全市政府性收入完成</w:t>
      </w:r>
      <w:r w:rsidR="00922D82" w:rsidRPr="00922D82">
        <w:rPr>
          <w:rFonts w:ascii="宋体" w:hAnsi="宋体" w:cs="宋体" w:hint="eastAsia"/>
          <w:sz w:val="32"/>
          <w:szCs w:val="32"/>
        </w:rPr>
        <w:t>125718</w:t>
      </w:r>
      <w:r w:rsidRPr="00922D82">
        <w:rPr>
          <w:rFonts w:ascii="宋体" w:hAnsi="宋体" w:cs="宋体" w:hint="eastAsia"/>
          <w:sz w:val="32"/>
          <w:szCs w:val="32"/>
        </w:rPr>
        <w:t>万元，其</w:t>
      </w:r>
      <w:r w:rsidRPr="000D2D34">
        <w:rPr>
          <w:rFonts w:ascii="宋体" w:hAnsi="宋体" w:cs="宋体" w:hint="eastAsia"/>
          <w:sz w:val="32"/>
          <w:szCs w:val="32"/>
        </w:rPr>
        <w:t>中一般公共预算</w:t>
      </w:r>
      <w:r w:rsidR="00D96786" w:rsidRPr="000D2D34">
        <w:rPr>
          <w:rFonts w:ascii="宋体" w:hAnsi="宋体" w:cs="宋体" w:hint="eastAsia"/>
          <w:sz w:val="32"/>
          <w:szCs w:val="32"/>
        </w:rPr>
        <w:t>收入</w:t>
      </w:r>
      <w:r w:rsidR="000D2D34" w:rsidRPr="000D2D34">
        <w:rPr>
          <w:rFonts w:ascii="宋体" w:hAnsi="宋体" w:cs="宋体" w:hint="eastAsia"/>
          <w:sz w:val="32"/>
          <w:szCs w:val="32"/>
        </w:rPr>
        <w:t>53754</w:t>
      </w:r>
      <w:r w:rsidRPr="000D2D34">
        <w:rPr>
          <w:rFonts w:ascii="宋体" w:hAnsi="宋体" w:cs="宋体" w:hint="eastAsia"/>
          <w:sz w:val="32"/>
          <w:szCs w:val="32"/>
        </w:rPr>
        <w:t>万元，政府性基金</w:t>
      </w:r>
      <w:r w:rsidR="00D96786" w:rsidRPr="000D2D34">
        <w:rPr>
          <w:rFonts w:ascii="宋体" w:hAnsi="宋体" w:cs="宋体" w:hint="eastAsia"/>
          <w:sz w:val="32"/>
          <w:szCs w:val="32"/>
        </w:rPr>
        <w:t>收入</w:t>
      </w:r>
      <w:r w:rsidR="000D2D34" w:rsidRPr="000D2D34">
        <w:rPr>
          <w:rFonts w:ascii="宋体" w:hAnsi="宋体" w:cs="宋体" w:hint="eastAsia"/>
          <w:sz w:val="32"/>
          <w:szCs w:val="32"/>
        </w:rPr>
        <w:t>23055</w:t>
      </w:r>
      <w:r w:rsidRPr="000D2D34">
        <w:rPr>
          <w:rFonts w:ascii="宋体" w:hAnsi="宋体" w:cs="宋体" w:hint="eastAsia"/>
          <w:sz w:val="32"/>
          <w:szCs w:val="32"/>
        </w:rPr>
        <w:t>万元，国有资本经营</w:t>
      </w:r>
      <w:r w:rsidR="00D96786" w:rsidRPr="000D2D34">
        <w:rPr>
          <w:rFonts w:ascii="宋体" w:hAnsi="宋体" w:cs="宋体" w:hint="eastAsia"/>
          <w:sz w:val="32"/>
          <w:szCs w:val="32"/>
        </w:rPr>
        <w:t>收入</w:t>
      </w:r>
      <w:r w:rsidR="000D2D34" w:rsidRPr="000D2D34">
        <w:rPr>
          <w:rFonts w:ascii="宋体" w:hAnsi="宋体" w:cs="宋体" w:hint="eastAsia"/>
          <w:sz w:val="32"/>
          <w:szCs w:val="32"/>
        </w:rPr>
        <w:t>3</w:t>
      </w:r>
      <w:r w:rsidRPr="000D2D34">
        <w:rPr>
          <w:rFonts w:ascii="宋体" w:hAnsi="宋体" w:cs="宋体" w:hint="eastAsia"/>
          <w:sz w:val="32"/>
          <w:szCs w:val="32"/>
        </w:rPr>
        <w:t>万元</w:t>
      </w:r>
      <w:r w:rsidR="008B63FE" w:rsidRPr="000D2D34">
        <w:rPr>
          <w:rFonts w:ascii="宋体" w:hAnsi="宋体" w:cs="宋体" w:hint="eastAsia"/>
          <w:sz w:val="32"/>
          <w:szCs w:val="32"/>
        </w:rPr>
        <w:t>，</w:t>
      </w:r>
      <w:r w:rsidR="008B63FE" w:rsidRPr="00922D82">
        <w:rPr>
          <w:rFonts w:ascii="宋体" w:hAnsi="宋体" w:cs="宋体" w:hint="eastAsia"/>
          <w:sz w:val="32"/>
          <w:szCs w:val="32"/>
        </w:rPr>
        <w:t>社会保险基金</w:t>
      </w:r>
      <w:r w:rsidR="00D96786" w:rsidRPr="00922D82">
        <w:rPr>
          <w:rFonts w:ascii="宋体" w:hAnsi="宋体" w:cs="宋体" w:hint="eastAsia"/>
          <w:sz w:val="32"/>
          <w:szCs w:val="32"/>
        </w:rPr>
        <w:t>预算收入</w:t>
      </w:r>
      <w:r w:rsidR="00922D82" w:rsidRPr="00922D82">
        <w:rPr>
          <w:rFonts w:ascii="宋体" w:hAnsi="宋体" w:cs="宋体" w:hint="eastAsia"/>
          <w:sz w:val="32"/>
          <w:szCs w:val="32"/>
        </w:rPr>
        <w:t>48906</w:t>
      </w:r>
      <w:r w:rsidR="00D96786" w:rsidRPr="00922D82">
        <w:rPr>
          <w:rFonts w:ascii="宋体" w:hAnsi="宋体" w:cs="宋体" w:hint="eastAsia"/>
          <w:sz w:val="32"/>
          <w:szCs w:val="32"/>
        </w:rPr>
        <w:t>万元。</w:t>
      </w:r>
      <w:r>
        <w:rPr>
          <w:rFonts w:ascii="宋体" w:hAnsi="宋体" w:cs="宋体" w:hint="eastAsia"/>
          <w:sz w:val="32"/>
          <w:szCs w:val="32"/>
        </w:rPr>
        <w:t xml:space="preserve"> </w:t>
      </w:r>
    </w:p>
    <w:p w:rsidR="005155CB" w:rsidRPr="00922D82" w:rsidRDefault="00424C68">
      <w:pPr>
        <w:spacing w:line="580" w:lineRule="exact"/>
        <w:ind w:firstLineChars="200" w:firstLine="640"/>
        <w:rPr>
          <w:rFonts w:ascii="宋体" w:hAnsi="宋体" w:cs="宋体"/>
          <w:sz w:val="32"/>
          <w:szCs w:val="32"/>
        </w:rPr>
      </w:pPr>
      <w:r>
        <w:rPr>
          <w:rFonts w:ascii="宋体" w:hAnsi="宋体" w:cs="宋体" w:hint="eastAsia"/>
          <w:sz w:val="32"/>
          <w:szCs w:val="32"/>
        </w:rPr>
        <w:t>202</w:t>
      </w:r>
      <w:r w:rsidR="008B63FE">
        <w:rPr>
          <w:rFonts w:ascii="宋体" w:hAnsi="宋体" w:cs="宋体" w:hint="eastAsia"/>
          <w:sz w:val="32"/>
          <w:szCs w:val="32"/>
        </w:rPr>
        <w:t>1</w:t>
      </w:r>
      <w:r>
        <w:rPr>
          <w:rFonts w:ascii="宋体" w:hAnsi="宋体" w:cs="宋体" w:hint="eastAsia"/>
          <w:sz w:val="32"/>
          <w:szCs w:val="32"/>
        </w:rPr>
        <w:t>年全市政府性支出完成</w:t>
      </w:r>
      <w:r w:rsidR="00922D82" w:rsidRPr="00922D82">
        <w:rPr>
          <w:rFonts w:ascii="宋体" w:hAnsi="宋体" w:cs="宋体" w:hint="eastAsia"/>
          <w:sz w:val="32"/>
          <w:szCs w:val="32"/>
        </w:rPr>
        <w:t>366558</w:t>
      </w:r>
      <w:r w:rsidRPr="00922D82">
        <w:rPr>
          <w:rFonts w:ascii="宋体" w:hAnsi="宋体" w:cs="宋体" w:hint="eastAsia"/>
          <w:sz w:val="32"/>
          <w:szCs w:val="32"/>
        </w:rPr>
        <w:t>万元，其中一般公共预算</w:t>
      </w:r>
      <w:r w:rsidR="00D96786" w:rsidRPr="00922D82">
        <w:rPr>
          <w:rFonts w:ascii="宋体" w:hAnsi="宋体" w:cs="宋体" w:hint="eastAsia"/>
          <w:sz w:val="32"/>
          <w:szCs w:val="32"/>
        </w:rPr>
        <w:t>支出</w:t>
      </w:r>
      <w:r w:rsidR="000D2D34" w:rsidRPr="00922D82">
        <w:rPr>
          <w:rFonts w:ascii="宋体" w:hAnsi="宋体" w:cs="宋体" w:hint="eastAsia"/>
          <w:sz w:val="32"/>
          <w:szCs w:val="32"/>
        </w:rPr>
        <w:t>275624</w:t>
      </w:r>
      <w:r w:rsidRPr="00922D82">
        <w:rPr>
          <w:rFonts w:ascii="宋体" w:hAnsi="宋体" w:cs="宋体" w:hint="eastAsia"/>
          <w:sz w:val="32"/>
          <w:szCs w:val="32"/>
        </w:rPr>
        <w:t>万元，政府性基金</w:t>
      </w:r>
      <w:r w:rsidR="00D96786" w:rsidRPr="00922D82">
        <w:rPr>
          <w:rFonts w:ascii="宋体" w:hAnsi="宋体" w:cs="宋体" w:hint="eastAsia"/>
          <w:sz w:val="32"/>
          <w:szCs w:val="32"/>
        </w:rPr>
        <w:t>支出</w:t>
      </w:r>
      <w:r w:rsidR="000D2D34" w:rsidRPr="00922D82">
        <w:rPr>
          <w:rFonts w:ascii="宋体" w:hAnsi="宋体" w:cs="宋体" w:hint="eastAsia"/>
          <w:sz w:val="32"/>
          <w:szCs w:val="32"/>
        </w:rPr>
        <w:t>52954</w:t>
      </w:r>
      <w:r w:rsidRPr="00922D82">
        <w:rPr>
          <w:rFonts w:ascii="宋体" w:hAnsi="宋体" w:cs="宋体" w:hint="eastAsia"/>
          <w:sz w:val="32"/>
          <w:szCs w:val="32"/>
        </w:rPr>
        <w:t>万元，国有资本经营</w:t>
      </w:r>
      <w:r w:rsidR="00D96786" w:rsidRPr="00922D82">
        <w:rPr>
          <w:rFonts w:ascii="宋体" w:hAnsi="宋体" w:cs="宋体" w:hint="eastAsia"/>
          <w:sz w:val="32"/>
          <w:szCs w:val="32"/>
        </w:rPr>
        <w:t>支出</w:t>
      </w:r>
      <w:r w:rsidR="000D2D34" w:rsidRPr="00922D82">
        <w:rPr>
          <w:rFonts w:ascii="宋体" w:hAnsi="宋体" w:cs="宋体" w:hint="eastAsia"/>
          <w:sz w:val="32"/>
          <w:szCs w:val="32"/>
        </w:rPr>
        <w:t>-2827</w:t>
      </w:r>
      <w:r w:rsidR="00D96786" w:rsidRPr="00922D82">
        <w:rPr>
          <w:rFonts w:ascii="宋体" w:hAnsi="宋体" w:cs="宋体" w:hint="eastAsia"/>
          <w:sz w:val="32"/>
          <w:szCs w:val="32"/>
        </w:rPr>
        <w:t>万元，社保</w:t>
      </w:r>
      <w:r w:rsidR="00D96786" w:rsidRPr="00922D82">
        <w:rPr>
          <w:rFonts w:ascii="宋体" w:hAnsi="宋体" w:cs="宋体"/>
          <w:sz w:val="32"/>
          <w:szCs w:val="32"/>
        </w:rPr>
        <w:t>基金预算支出</w:t>
      </w:r>
      <w:r w:rsidR="00922D82" w:rsidRPr="00922D82">
        <w:rPr>
          <w:rFonts w:ascii="宋体" w:hAnsi="宋体" w:cs="宋体" w:hint="eastAsia"/>
          <w:sz w:val="32"/>
          <w:szCs w:val="32"/>
        </w:rPr>
        <w:t>40807</w:t>
      </w:r>
      <w:r w:rsidR="00D96786" w:rsidRPr="00922D82">
        <w:rPr>
          <w:rFonts w:ascii="宋体" w:hAnsi="宋体" w:cs="宋体" w:hint="eastAsia"/>
          <w:sz w:val="32"/>
          <w:szCs w:val="32"/>
        </w:rPr>
        <w:t>万元。</w:t>
      </w:r>
    </w:p>
    <w:p w:rsidR="005155CB" w:rsidRDefault="00424C68">
      <w:pPr>
        <w:spacing w:line="580" w:lineRule="exact"/>
        <w:ind w:firstLineChars="200" w:firstLine="643"/>
        <w:rPr>
          <w:rFonts w:ascii="宋体" w:hAnsi="宋体" w:cs="宋体"/>
          <w:b/>
          <w:bCs/>
          <w:sz w:val="32"/>
          <w:szCs w:val="32"/>
        </w:rPr>
      </w:pPr>
      <w:r w:rsidRPr="00922D82">
        <w:rPr>
          <w:rFonts w:ascii="宋体" w:hAnsi="宋体" w:cs="宋体" w:hint="eastAsia"/>
          <w:b/>
          <w:bCs/>
          <w:sz w:val="32"/>
          <w:szCs w:val="32"/>
        </w:rPr>
        <w:t>（二）</w:t>
      </w:r>
      <w:bookmarkStart w:id="0" w:name="政府性收支平衡情况"/>
      <w:r w:rsidRPr="00922D82">
        <w:rPr>
          <w:rFonts w:ascii="宋体" w:hAnsi="宋体" w:cs="宋体" w:hint="eastAsia"/>
          <w:b/>
          <w:bCs/>
          <w:sz w:val="32"/>
          <w:szCs w:val="32"/>
        </w:rPr>
        <w:t>政府性收支平衡情况</w:t>
      </w:r>
      <w:bookmarkEnd w:id="0"/>
    </w:p>
    <w:p w:rsidR="005155CB" w:rsidRPr="000D2D34" w:rsidRDefault="00424C68">
      <w:pPr>
        <w:spacing w:line="580" w:lineRule="exact"/>
        <w:ind w:firstLine="640"/>
        <w:rPr>
          <w:rFonts w:ascii="宋体" w:hAnsi="宋体" w:cs="宋体"/>
          <w:sz w:val="32"/>
        </w:rPr>
      </w:pPr>
      <w:r w:rsidRPr="000D2D34">
        <w:rPr>
          <w:rFonts w:ascii="宋体" w:hAnsi="宋体" w:cs="宋体" w:hint="eastAsia"/>
          <w:sz w:val="32"/>
        </w:rPr>
        <w:t>202</w:t>
      </w:r>
      <w:r w:rsidR="00D96786" w:rsidRPr="000D2D34">
        <w:rPr>
          <w:rFonts w:ascii="宋体" w:hAnsi="宋体" w:cs="宋体" w:hint="eastAsia"/>
          <w:sz w:val="32"/>
        </w:rPr>
        <w:t>1</w:t>
      </w:r>
      <w:r w:rsidRPr="000D2D34">
        <w:rPr>
          <w:rFonts w:ascii="宋体" w:hAnsi="宋体" w:cs="宋体" w:hint="eastAsia"/>
          <w:sz w:val="32"/>
        </w:rPr>
        <w:t>年一般公共预算收入5</w:t>
      </w:r>
      <w:r w:rsidR="000D2D34" w:rsidRPr="000D2D34">
        <w:rPr>
          <w:rFonts w:ascii="宋体" w:hAnsi="宋体" w:cs="宋体" w:hint="eastAsia"/>
          <w:sz w:val="32"/>
        </w:rPr>
        <w:t>3754</w:t>
      </w:r>
      <w:r w:rsidRPr="000D2D34">
        <w:rPr>
          <w:rFonts w:ascii="宋体" w:hAnsi="宋体" w:cs="宋体" w:hint="eastAsia"/>
          <w:sz w:val="32"/>
        </w:rPr>
        <w:t>万元，上级补助收入</w:t>
      </w:r>
      <w:r w:rsidR="000D2D34" w:rsidRPr="000D2D34">
        <w:rPr>
          <w:rFonts w:ascii="宋体" w:hAnsi="宋体" w:cs="宋体" w:hint="eastAsia"/>
          <w:sz w:val="32"/>
        </w:rPr>
        <w:t>226581</w:t>
      </w:r>
      <w:r w:rsidRPr="000D2D34">
        <w:rPr>
          <w:rFonts w:ascii="宋体" w:hAnsi="宋体" w:cs="宋体" w:hint="eastAsia"/>
          <w:sz w:val="32"/>
        </w:rPr>
        <w:t>万元（返还性收入1604万元、一般性转移支付</w:t>
      </w:r>
      <w:r w:rsidR="001B7A80">
        <w:rPr>
          <w:rFonts w:ascii="宋体" w:hAnsi="宋体" w:cs="宋体" w:hint="eastAsia"/>
          <w:sz w:val="32"/>
        </w:rPr>
        <w:t>203490</w:t>
      </w:r>
      <w:r w:rsidRPr="000D2D34">
        <w:rPr>
          <w:rFonts w:ascii="宋体" w:hAnsi="宋体" w:cs="宋体" w:hint="eastAsia"/>
          <w:sz w:val="32"/>
        </w:rPr>
        <w:t>万元、专项转移支付</w:t>
      </w:r>
      <w:r w:rsidR="001B7A80">
        <w:rPr>
          <w:rFonts w:ascii="宋体" w:hAnsi="宋体" w:cs="宋体" w:hint="eastAsia"/>
          <w:sz w:val="32"/>
        </w:rPr>
        <w:t>21487</w:t>
      </w:r>
      <w:r w:rsidRPr="000D2D34">
        <w:rPr>
          <w:rFonts w:ascii="宋体" w:hAnsi="宋体" w:cs="宋体" w:hint="eastAsia"/>
          <w:sz w:val="32"/>
        </w:rPr>
        <w:t>万元），债务转贷收入</w:t>
      </w:r>
      <w:r w:rsidR="000D2D34" w:rsidRPr="000D2D34">
        <w:rPr>
          <w:rFonts w:ascii="宋体" w:hAnsi="宋体" w:cs="宋体" w:hint="eastAsia"/>
          <w:sz w:val="32"/>
        </w:rPr>
        <w:t>21600</w:t>
      </w:r>
      <w:r w:rsidRPr="000D2D34">
        <w:rPr>
          <w:rFonts w:ascii="宋体" w:hAnsi="宋体" w:cs="宋体" w:hint="eastAsia"/>
          <w:sz w:val="32"/>
        </w:rPr>
        <w:t>万元，上年结余</w:t>
      </w:r>
      <w:r w:rsidR="000D2D34" w:rsidRPr="000D2D34">
        <w:rPr>
          <w:rFonts w:ascii="宋体" w:hAnsi="宋体" w:cs="宋体" w:hint="eastAsia"/>
          <w:sz w:val="32"/>
        </w:rPr>
        <w:t>3631</w:t>
      </w:r>
      <w:r w:rsidRPr="000D2D34">
        <w:rPr>
          <w:rFonts w:ascii="宋体" w:hAnsi="宋体" w:cs="宋体" w:hint="eastAsia"/>
          <w:sz w:val="32"/>
        </w:rPr>
        <w:t>万元，动用预算稳定调节基金</w:t>
      </w:r>
      <w:r w:rsidR="000D2D34" w:rsidRPr="000D2D34">
        <w:rPr>
          <w:rFonts w:ascii="宋体" w:hAnsi="宋体" w:cs="宋体" w:hint="eastAsia"/>
          <w:sz w:val="32"/>
        </w:rPr>
        <w:t>7269</w:t>
      </w:r>
      <w:r w:rsidRPr="000D2D34">
        <w:rPr>
          <w:rFonts w:ascii="宋体" w:hAnsi="宋体" w:cs="宋体" w:hint="eastAsia"/>
          <w:sz w:val="32"/>
        </w:rPr>
        <w:t>万元，</w:t>
      </w:r>
      <w:r w:rsidRPr="000D2D34">
        <w:rPr>
          <w:rFonts w:ascii="宋体" w:hAnsi="宋体" w:cs="宋体" w:hint="eastAsia"/>
          <w:sz w:val="32"/>
        </w:rPr>
        <w:lastRenderedPageBreak/>
        <w:t>调入资金</w:t>
      </w:r>
      <w:r w:rsidR="000D2D34" w:rsidRPr="000D2D34">
        <w:rPr>
          <w:rFonts w:ascii="宋体" w:hAnsi="宋体" w:cs="宋体" w:hint="eastAsia"/>
          <w:sz w:val="32"/>
        </w:rPr>
        <w:t>9067</w:t>
      </w:r>
      <w:r w:rsidRPr="000D2D34">
        <w:rPr>
          <w:rFonts w:ascii="宋体" w:hAnsi="宋体" w:cs="宋体" w:hint="eastAsia"/>
          <w:sz w:val="32"/>
        </w:rPr>
        <w:t>万元，收入总计</w:t>
      </w:r>
      <w:r w:rsidR="000D2D34" w:rsidRPr="000D2D34">
        <w:rPr>
          <w:rFonts w:ascii="宋体" w:hAnsi="宋体" w:cs="宋体" w:hint="eastAsia"/>
          <w:sz w:val="32"/>
        </w:rPr>
        <w:t>321902</w:t>
      </w:r>
      <w:r w:rsidRPr="000D2D34">
        <w:rPr>
          <w:rFonts w:ascii="宋体" w:hAnsi="宋体" w:cs="宋体" w:hint="eastAsia"/>
          <w:sz w:val="32"/>
        </w:rPr>
        <w:t>万元。一般公共预算支出</w:t>
      </w:r>
      <w:r w:rsidR="000D2D34" w:rsidRPr="000D2D34">
        <w:rPr>
          <w:rFonts w:ascii="宋体" w:hAnsi="宋体" w:cs="宋体" w:hint="eastAsia"/>
          <w:sz w:val="32"/>
        </w:rPr>
        <w:t>275624</w:t>
      </w:r>
      <w:r w:rsidRPr="000D2D34">
        <w:rPr>
          <w:rFonts w:ascii="宋体" w:hAnsi="宋体" w:cs="宋体" w:hint="eastAsia"/>
          <w:sz w:val="32"/>
        </w:rPr>
        <w:t>万元，上解上级支出</w:t>
      </w:r>
      <w:r w:rsidR="000D2D34" w:rsidRPr="000D2D34">
        <w:rPr>
          <w:rFonts w:ascii="宋体" w:hAnsi="宋体" w:cs="宋体" w:hint="eastAsia"/>
          <w:sz w:val="32"/>
        </w:rPr>
        <w:t>13248</w:t>
      </w:r>
      <w:r w:rsidRPr="000D2D34">
        <w:rPr>
          <w:rFonts w:ascii="宋体" w:hAnsi="宋体" w:cs="宋体" w:hint="eastAsia"/>
          <w:sz w:val="32"/>
        </w:rPr>
        <w:t>万元，债务还本支出</w:t>
      </w:r>
      <w:r w:rsidR="000D2D34" w:rsidRPr="000D2D34">
        <w:rPr>
          <w:rFonts w:ascii="宋体" w:hAnsi="宋体" w:cs="宋体" w:hint="eastAsia"/>
          <w:sz w:val="32"/>
        </w:rPr>
        <w:t>76</w:t>
      </w:r>
      <w:r w:rsidRPr="000D2D34">
        <w:rPr>
          <w:rFonts w:ascii="宋体" w:hAnsi="宋体" w:cs="宋体" w:hint="eastAsia"/>
          <w:sz w:val="32"/>
        </w:rPr>
        <w:t>00万元，安排预算稳定调节基金</w:t>
      </w:r>
      <w:r w:rsidR="000D2D34" w:rsidRPr="000D2D34">
        <w:rPr>
          <w:rFonts w:ascii="宋体" w:hAnsi="宋体" w:cs="宋体" w:hint="eastAsia"/>
          <w:sz w:val="32"/>
        </w:rPr>
        <w:t>807</w:t>
      </w:r>
      <w:r w:rsidRPr="000D2D34">
        <w:rPr>
          <w:rFonts w:ascii="宋体" w:hAnsi="宋体" w:cs="宋体" w:hint="eastAsia"/>
          <w:sz w:val="32"/>
        </w:rPr>
        <w:t>万元，年终结余</w:t>
      </w:r>
      <w:r w:rsidR="000D2D34" w:rsidRPr="000D2D34">
        <w:rPr>
          <w:rFonts w:ascii="宋体" w:hAnsi="宋体" w:cs="宋体" w:hint="eastAsia"/>
          <w:sz w:val="32"/>
        </w:rPr>
        <w:t>24623</w:t>
      </w:r>
      <w:r w:rsidRPr="000D2D34">
        <w:rPr>
          <w:rFonts w:ascii="宋体" w:hAnsi="宋体" w:cs="宋体" w:hint="eastAsia"/>
          <w:sz w:val="32"/>
        </w:rPr>
        <w:t>万元，支出总计</w:t>
      </w:r>
      <w:r w:rsidR="000D2D34" w:rsidRPr="000D2D34">
        <w:rPr>
          <w:rFonts w:ascii="宋体" w:hAnsi="宋体" w:cs="宋体" w:hint="eastAsia"/>
          <w:sz w:val="32"/>
        </w:rPr>
        <w:t>321902</w:t>
      </w:r>
      <w:r w:rsidRPr="000D2D34">
        <w:rPr>
          <w:rFonts w:ascii="宋体" w:hAnsi="宋体" w:cs="宋体" w:hint="eastAsia"/>
          <w:sz w:val="32"/>
        </w:rPr>
        <w:t>万元。</w:t>
      </w:r>
    </w:p>
    <w:p w:rsidR="005155CB" w:rsidRDefault="00424C68">
      <w:pPr>
        <w:spacing w:line="580" w:lineRule="exact"/>
        <w:ind w:firstLine="640"/>
        <w:rPr>
          <w:rFonts w:ascii="宋体" w:hAnsi="宋体" w:cs="宋体"/>
          <w:sz w:val="32"/>
        </w:rPr>
      </w:pPr>
      <w:r w:rsidRPr="000D2D34">
        <w:rPr>
          <w:rFonts w:ascii="宋体" w:hAnsi="宋体" w:cs="宋体" w:hint="eastAsia"/>
          <w:sz w:val="32"/>
        </w:rPr>
        <w:t>202</w:t>
      </w:r>
      <w:r w:rsidR="000D2D34" w:rsidRPr="000D2D34">
        <w:rPr>
          <w:rFonts w:ascii="宋体" w:hAnsi="宋体" w:cs="宋体" w:hint="eastAsia"/>
          <w:sz w:val="32"/>
        </w:rPr>
        <w:t>1</w:t>
      </w:r>
      <w:r w:rsidRPr="000D2D34">
        <w:rPr>
          <w:rFonts w:ascii="宋体" w:hAnsi="宋体" w:cs="宋体" w:hint="eastAsia"/>
          <w:sz w:val="32"/>
        </w:rPr>
        <w:t>年政府性基金收入</w:t>
      </w:r>
      <w:r w:rsidR="000D2D34" w:rsidRPr="000D2D34">
        <w:rPr>
          <w:rFonts w:ascii="宋体" w:hAnsi="宋体" w:cs="宋体" w:hint="eastAsia"/>
          <w:sz w:val="32"/>
        </w:rPr>
        <w:t>23055</w:t>
      </w:r>
      <w:r w:rsidRPr="000D2D34">
        <w:rPr>
          <w:rFonts w:ascii="宋体" w:hAnsi="宋体" w:cs="宋体" w:hint="eastAsia"/>
          <w:sz w:val="32"/>
        </w:rPr>
        <w:t>万元，上级补助收入</w:t>
      </w:r>
      <w:r w:rsidR="000D2D34" w:rsidRPr="000D2D34">
        <w:rPr>
          <w:rFonts w:ascii="宋体" w:hAnsi="宋体" w:cs="宋体" w:hint="eastAsia"/>
          <w:sz w:val="32"/>
        </w:rPr>
        <w:t>8645</w:t>
      </w:r>
      <w:r w:rsidRPr="000D2D34">
        <w:rPr>
          <w:rFonts w:ascii="宋体" w:hAnsi="宋体" w:cs="宋体" w:hint="eastAsia"/>
          <w:sz w:val="32"/>
        </w:rPr>
        <w:t>万元，</w:t>
      </w:r>
      <w:r w:rsidR="005E074B" w:rsidRPr="005E074B">
        <w:rPr>
          <w:rFonts w:ascii="宋体" w:hAnsi="宋体" w:cs="宋体" w:hint="eastAsia"/>
          <w:sz w:val="32"/>
        </w:rPr>
        <w:t>地方政府专项债务转贷收入24600万元（其中：新增专项债券23600万元、再融资债券1000万元），</w:t>
      </w:r>
      <w:r w:rsidRPr="000D2D34">
        <w:rPr>
          <w:rFonts w:ascii="宋体" w:hAnsi="宋体" w:cs="宋体" w:hint="eastAsia"/>
          <w:sz w:val="32"/>
        </w:rPr>
        <w:t>政府性基金上年结余</w:t>
      </w:r>
      <w:r w:rsidR="000D2D34" w:rsidRPr="000D2D34">
        <w:rPr>
          <w:rFonts w:ascii="宋体" w:hAnsi="宋体" w:cs="宋体" w:hint="eastAsia"/>
          <w:sz w:val="32"/>
        </w:rPr>
        <w:t>12742</w:t>
      </w:r>
      <w:r w:rsidRPr="000D2D34">
        <w:rPr>
          <w:rFonts w:ascii="宋体" w:hAnsi="宋体" w:cs="宋体" w:hint="eastAsia"/>
          <w:sz w:val="32"/>
        </w:rPr>
        <w:t>万元，收入总计</w:t>
      </w:r>
      <w:r w:rsidR="000D2D34" w:rsidRPr="000D2D34">
        <w:rPr>
          <w:rFonts w:ascii="宋体" w:hAnsi="宋体" w:cs="宋体" w:hint="eastAsia"/>
          <w:sz w:val="32"/>
        </w:rPr>
        <w:t>69042</w:t>
      </w:r>
      <w:r w:rsidRPr="000D2D34">
        <w:rPr>
          <w:rFonts w:ascii="宋体" w:hAnsi="宋体" w:cs="宋体" w:hint="eastAsia"/>
          <w:sz w:val="32"/>
        </w:rPr>
        <w:t>万元。政府性基金支出</w:t>
      </w:r>
      <w:r w:rsidR="000D2D34" w:rsidRPr="000D2D34">
        <w:rPr>
          <w:rFonts w:ascii="宋体" w:hAnsi="宋体" w:cs="宋体" w:hint="eastAsia"/>
          <w:sz w:val="32"/>
        </w:rPr>
        <w:t>52954</w:t>
      </w:r>
      <w:r w:rsidRPr="000D2D34">
        <w:rPr>
          <w:rFonts w:ascii="宋体" w:hAnsi="宋体" w:cs="宋体" w:hint="eastAsia"/>
          <w:sz w:val="32"/>
        </w:rPr>
        <w:t>万元，债务还本支出</w:t>
      </w:r>
      <w:r w:rsidR="000D2D34" w:rsidRPr="000D2D34">
        <w:rPr>
          <w:rFonts w:ascii="宋体" w:hAnsi="宋体" w:cs="宋体" w:hint="eastAsia"/>
          <w:sz w:val="32"/>
        </w:rPr>
        <w:t>8</w:t>
      </w:r>
      <w:r w:rsidRPr="000D2D34">
        <w:rPr>
          <w:rFonts w:ascii="宋体" w:hAnsi="宋体" w:cs="宋体" w:hint="eastAsia"/>
          <w:sz w:val="32"/>
        </w:rPr>
        <w:t>000万元，年终结余</w:t>
      </w:r>
      <w:r w:rsidR="000D2D34" w:rsidRPr="000D2D34">
        <w:rPr>
          <w:rFonts w:ascii="宋体" w:hAnsi="宋体" w:cs="宋体" w:hint="eastAsia"/>
          <w:sz w:val="32"/>
        </w:rPr>
        <w:t>8088</w:t>
      </w:r>
      <w:r w:rsidRPr="000D2D34">
        <w:rPr>
          <w:rFonts w:ascii="宋体" w:hAnsi="宋体" w:cs="宋体" w:hint="eastAsia"/>
          <w:sz w:val="32"/>
        </w:rPr>
        <w:t>万元，支出总计</w:t>
      </w:r>
      <w:r w:rsidR="000D2D34" w:rsidRPr="000D2D34">
        <w:rPr>
          <w:rFonts w:ascii="宋体" w:hAnsi="宋体" w:cs="宋体" w:hint="eastAsia"/>
          <w:sz w:val="32"/>
        </w:rPr>
        <w:t>69042</w:t>
      </w:r>
      <w:r w:rsidRPr="000D2D34">
        <w:rPr>
          <w:rFonts w:ascii="宋体" w:hAnsi="宋体" w:cs="宋体" w:hint="eastAsia"/>
          <w:sz w:val="32"/>
        </w:rPr>
        <w:t>万元。</w:t>
      </w:r>
    </w:p>
    <w:p w:rsidR="005155CB" w:rsidRDefault="00424C68">
      <w:pPr>
        <w:spacing w:line="580" w:lineRule="exact"/>
        <w:ind w:firstLineChars="200" w:firstLine="640"/>
        <w:rPr>
          <w:rFonts w:ascii="宋体" w:hAnsi="宋体" w:cs="宋体"/>
          <w:sz w:val="32"/>
        </w:rPr>
      </w:pPr>
      <w:r w:rsidRPr="000D2D34">
        <w:rPr>
          <w:rFonts w:ascii="宋体" w:hAnsi="宋体" w:cs="宋体" w:hint="eastAsia"/>
          <w:sz w:val="32"/>
        </w:rPr>
        <w:t>202</w:t>
      </w:r>
      <w:r w:rsidR="000D2D34" w:rsidRPr="000D2D34">
        <w:rPr>
          <w:rFonts w:ascii="宋体" w:hAnsi="宋体" w:cs="宋体" w:hint="eastAsia"/>
          <w:sz w:val="32"/>
        </w:rPr>
        <w:t>1</w:t>
      </w:r>
      <w:r w:rsidRPr="000D2D34">
        <w:rPr>
          <w:rFonts w:ascii="宋体" w:hAnsi="宋体" w:cs="宋体" w:hint="eastAsia"/>
          <w:sz w:val="32"/>
        </w:rPr>
        <w:t>年国有资本经营预算收入</w:t>
      </w:r>
      <w:r w:rsidR="000D2D34" w:rsidRPr="000D2D34">
        <w:rPr>
          <w:rFonts w:ascii="宋体" w:hAnsi="宋体" w:cs="宋体" w:hint="eastAsia"/>
          <w:sz w:val="32"/>
        </w:rPr>
        <w:t>3</w:t>
      </w:r>
      <w:r w:rsidRPr="000D2D34">
        <w:rPr>
          <w:rFonts w:ascii="宋体" w:hAnsi="宋体" w:cs="宋体" w:hint="eastAsia"/>
          <w:sz w:val="32"/>
        </w:rPr>
        <w:t>万元，上级补助收入</w:t>
      </w:r>
      <w:r w:rsidR="000D2D34" w:rsidRPr="000D2D34">
        <w:rPr>
          <w:rFonts w:ascii="宋体" w:hAnsi="宋体" w:cs="宋体" w:hint="eastAsia"/>
          <w:sz w:val="32"/>
        </w:rPr>
        <w:t>-2312</w:t>
      </w:r>
      <w:r w:rsidRPr="000D2D34">
        <w:rPr>
          <w:rFonts w:ascii="宋体" w:hAnsi="宋体" w:cs="宋体" w:hint="eastAsia"/>
          <w:sz w:val="32"/>
        </w:rPr>
        <w:t>万元，收入总计</w:t>
      </w:r>
      <w:r w:rsidR="000D2D34" w:rsidRPr="000D2D34">
        <w:rPr>
          <w:rFonts w:ascii="宋体" w:hAnsi="宋体" w:cs="宋体" w:hint="eastAsia"/>
          <w:sz w:val="32"/>
        </w:rPr>
        <w:t>-2309</w:t>
      </w:r>
      <w:r w:rsidRPr="000D2D34">
        <w:rPr>
          <w:rFonts w:ascii="宋体" w:hAnsi="宋体" w:cs="宋体" w:hint="eastAsia"/>
          <w:sz w:val="32"/>
        </w:rPr>
        <w:t>万元。国有资本经营支出</w:t>
      </w:r>
      <w:r w:rsidR="000D2D34" w:rsidRPr="000D2D34">
        <w:rPr>
          <w:rFonts w:ascii="宋体" w:hAnsi="宋体" w:cs="宋体" w:hint="eastAsia"/>
          <w:sz w:val="32"/>
        </w:rPr>
        <w:t>-2827</w:t>
      </w:r>
      <w:r w:rsidRPr="000D2D34">
        <w:rPr>
          <w:rFonts w:ascii="宋体" w:hAnsi="宋体" w:cs="宋体" w:hint="eastAsia"/>
          <w:sz w:val="32"/>
        </w:rPr>
        <w:t>万元，调出资金3万元，</w:t>
      </w:r>
      <w:r w:rsidR="000D2D34" w:rsidRPr="000D2D34">
        <w:rPr>
          <w:rFonts w:ascii="宋体" w:hAnsi="宋体" w:cs="宋体" w:hint="eastAsia"/>
          <w:sz w:val="32"/>
        </w:rPr>
        <w:t>年终结余515万元，</w:t>
      </w:r>
      <w:r w:rsidRPr="000D2D34">
        <w:rPr>
          <w:rFonts w:ascii="宋体" w:hAnsi="宋体" w:cs="宋体" w:hint="eastAsia"/>
          <w:sz w:val="32"/>
        </w:rPr>
        <w:t>支出总计</w:t>
      </w:r>
      <w:r w:rsidR="000D2D34" w:rsidRPr="000D2D34">
        <w:rPr>
          <w:rFonts w:ascii="宋体" w:hAnsi="宋体" w:cs="宋体" w:hint="eastAsia"/>
          <w:sz w:val="32"/>
        </w:rPr>
        <w:t>-2309</w:t>
      </w:r>
      <w:r w:rsidRPr="000D2D34">
        <w:rPr>
          <w:rFonts w:ascii="宋体" w:hAnsi="宋体" w:cs="宋体" w:hint="eastAsia"/>
          <w:sz w:val="32"/>
        </w:rPr>
        <w:t>万元。</w:t>
      </w:r>
    </w:p>
    <w:p w:rsidR="00922D82" w:rsidRDefault="00922D82" w:rsidP="00922D82">
      <w:pPr>
        <w:spacing w:line="580" w:lineRule="exact"/>
        <w:ind w:firstLineChars="200" w:firstLine="640"/>
        <w:rPr>
          <w:rFonts w:ascii="宋体" w:hAnsi="宋体" w:cs="宋体"/>
          <w:sz w:val="32"/>
        </w:rPr>
      </w:pPr>
      <w:r>
        <w:rPr>
          <w:rFonts w:ascii="宋体" w:hAnsi="宋体" w:cs="宋体" w:hint="eastAsia"/>
          <w:sz w:val="32"/>
        </w:rPr>
        <w:t>2021年社会保险基金预算社会保险费收入23093万元，财政补贴收入24160万元，利息收入858万元，委托投资收益206万元，转移收入561万元，其他收入9万元，收入总计48906万元。社会保险待遇支出40692万元，转移支出115万元，支出总计40807万元。本年收支结余8099万元，年末滚存结余44770万元。</w:t>
      </w:r>
    </w:p>
    <w:p w:rsidR="005155CB" w:rsidRDefault="00424C68">
      <w:pPr>
        <w:spacing w:line="580" w:lineRule="exact"/>
        <w:ind w:firstLineChars="200" w:firstLine="640"/>
        <w:rPr>
          <w:rFonts w:ascii="黑体" w:eastAsia="黑体" w:hAnsi="黑体"/>
          <w:sz w:val="32"/>
          <w:szCs w:val="32"/>
        </w:rPr>
      </w:pPr>
      <w:r>
        <w:rPr>
          <w:rFonts w:ascii="黑体" w:eastAsia="黑体" w:hAnsi="黑体" w:hint="eastAsia"/>
          <w:sz w:val="32"/>
          <w:szCs w:val="32"/>
        </w:rPr>
        <w:t>二、全市财政总收入情况</w:t>
      </w:r>
    </w:p>
    <w:p w:rsidR="005155CB" w:rsidRPr="00962DC9" w:rsidRDefault="00424C68">
      <w:pPr>
        <w:spacing w:line="580" w:lineRule="exact"/>
        <w:rPr>
          <w:rFonts w:ascii="宋体" w:hAnsi="宋体" w:cs="宋体"/>
          <w:b/>
          <w:bCs/>
          <w:sz w:val="32"/>
          <w:szCs w:val="32"/>
        </w:rPr>
      </w:pPr>
      <w:r>
        <w:rPr>
          <w:rFonts w:ascii="仿宋_GB2312" w:eastAsia="仿宋_GB2312" w:hAnsi="楷体" w:hint="eastAsia"/>
          <w:b/>
          <w:bCs/>
          <w:sz w:val="32"/>
          <w:szCs w:val="32"/>
        </w:rPr>
        <w:t xml:space="preserve">   </w:t>
      </w:r>
      <w:r>
        <w:rPr>
          <w:rFonts w:ascii="宋体" w:hAnsi="宋体" w:cs="宋体" w:hint="eastAsia"/>
          <w:b/>
          <w:bCs/>
          <w:sz w:val="32"/>
          <w:szCs w:val="32"/>
        </w:rPr>
        <w:t xml:space="preserve"> </w:t>
      </w:r>
      <w:r w:rsidRPr="00962DC9">
        <w:rPr>
          <w:rFonts w:ascii="宋体" w:hAnsi="宋体" w:cs="宋体" w:hint="eastAsia"/>
          <w:b/>
          <w:bCs/>
          <w:sz w:val="32"/>
          <w:szCs w:val="32"/>
        </w:rPr>
        <w:t>（一）财政总收入基本情况</w:t>
      </w:r>
    </w:p>
    <w:p w:rsidR="005155CB" w:rsidRDefault="00424C68">
      <w:pPr>
        <w:spacing w:line="580" w:lineRule="exact"/>
        <w:ind w:firstLine="640"/>
        <w:rPr>
          <w:rFonts w:ascii="宋体" w:hAnsi="宋体" w:cs="宋体"/>
          <w:sz w:val="32"/>
        </w:rPr>
      </w:pPr>
      <w:r w:rsidRPr="00962DC9">
        <w:rPr>
          <w:rFonts w:ascii="宋体" w:hAnsi="宋体" w:cs="宋体" w:hint="eastAsia"/>
          <w:sz w:val="32"/>
        </w:rPr>
        <w:t>202</w:t>
      </w:r>
      <w:r w:rsidR="000D2D34" w:rsidRPr="00962DC9">
        <w:rPr>
          <w:rFonts w:ascii="宋体" w:hAnsi="宋体" w:cs="宋体" w:hint="eastAsia"/>
          <w:sz w:val="32"/>
        </w:rPr>
        <w:t>1</w:t>
      </w:r>
      <w:r w:rsidRPr="00962DC9">
        <w:rPr>
          <w:rFonts w:ascii="宋体" w:hAnsi="宋体" w:cs="宋体" w:hint="eastAsia"/>
          <w:sz w:val="32"/>
        </w:rPr>
        <w:t>年，全市财政总收入完成</w:t>
      </w:r>
      <w:r w:rsidR="00962DC9" w:rsidRPr="00962DC9">
        <w:rPr>
          <w:rFonts w:ascii="宋体" w:hAnsi="宋体" w:cs="宋体" w:hint="eastAsia"/>
          <w:sz w:val="32"/>
        </w:rPr>
        <w:t>82609</w:t>
      </w:r>
      <w:r w:rsidRPr="00962DC9">
        <w:rPr>
          <w:rFonts w:ascii="宋体" w:hAnsi="宋体" w:cs="宋体" w:hint="eastAsia"/>
          <w:sz w:val="32"/>
        </w:rPr>
        <w:t>万元，比上年同期增长</w:t>
      </w:r>
      <w:r w:rsidR="00962DC9" w:rsidRPr="00962DC9">
        <w:rPr>
          <w:rFonts w:ascii="宋体" w:hAnsi="宋体" w:cs="宋体" w:hint="eastAsia"/>
          <w:sz w:val="32"/>
        </w:rPr>
        <w:t>0</w:t>
      </w:r>
      <w:r w:rsidRPr="00962DC9">
        <w:rPr>
          <w:rFonts w:ascii="宋体" w:hAnsi="宋体" w:cs="宋体" w:hint="eastAsia"/>
          <w:sz w:val="32"/>
        </w:rPr>
        <w:t>.9%，增收</w:t>
      </w:r>
      <w:r w:rsidR="00962DC9" w:rsidRPr="00962DC9">
        <w:rPr>
          <w:rFonts w:ascii="宋体" w:hAnsi="宋体" w:cs="宋体" w:hint="eastAsia"/>
          <w:sz w:val="32"/>
        </w:rPr>
        <w:t>75</w:t>
      </w:r>
      <w:r w:rsidRPr="00962DC9">
        <w:rPr>
          <w:rFonts w:ascii="宋体" w:hAnsi="宋体" w:cs="宋体" w:hint="eastAsia"/>
          <w:sz w:val="32"/>
        </w:rPr>
        <w:t>2</w:t>
      </w:r>
      <w:r w:rsidR="00962DC9" w:rsidRPr="00962DC9">
        <w:rPr>
          <w:rFonts w:ascii="宋体" w:hAnsi="宋体" w:cs="宋体" w:hint="eastAsia"/>
          <w:sz w:val="32"/>
        </w:rPr>
        <w:t>万元。财政总收入总量排名全市第九名，增长排名全市第十三</w:t>
      </w:r>
      <w:r w:rsidRPr="00962DC9">
        <w:rPr>
          <w:rFonts w:ascii="宋体" w:hAnsi="宋体" w:cs="宋体" w:hint="eastAsia"/>
          <w:sz w:val="32"/>
        </w:rPr>
        <w:t>名。</w:t>
      </w:r>
    </w:p>
    <w:p w:rsidR="005155CB" w:rsidRDefault="00424C68">
      <w:pPr>
        <w:spacing w:line="580" w:lineRule="exact"/>
        <w:ind w:firstLine="640"/>
        <w:rPr>
          <w:rFonts w:ascii="宋体" w:hAnsi="宋体" w:cs="宋体"/>
          <w:b/>
          <w:bCs/>
          <w:sz w:val="32"/>
        </w:rPr>
      </w:pPr>
      <w:r>
        <w:rPr>
          <w:rFonts w:ascii="宋体" w:hAnsi="宋体" w:cs="宋体" w:hint="eastAsia"/>
          <w:b/>
          <w:bCs/>
          <w:sz w:val="32"/>
          <w:szCs w:val="32"/>
        </w:rPr>
        <w:t>（二）财政总收入结构情况</w:t>
      </w:r>
    </w:p>
    <w:p w:rsidR="005155CB" w:rsidRDefault="00424C68">
      <w:pPr>
        <w:spacing w:line="580" w:lineRule="exact"/>
        <w:ind w:firstLine="640"/>
        <w:rPr>
          <w:rFonts w:ascii="宋体" w:hAnsi="宋体" w:cs="宋体"/>
          <w:sz w:val="32"/>
          <w:szCs w:val="32"/>
        </w:rPr>
      </w:pPr>
      <w:r>
        <w:rPr>
          <w:rFonts w:ascii="宋体" w:hAnsi="宋体" w:cs="宋体" w:hint="eastAsia"/>
          <w:sz w:val="32"/>
          <w:szCs w:val="32"/>
        </w:rPr>
        <w:t xml:space="preserve"> 1.分级次情况,</w:t>
      </w:r>
      <w:r>
        <w:rPr>
          <w:rFonts w:ascii="宋体" w:hAnsi="宋体" w:cs="宋体" w:hint="eastAsia"/>
          <w:sz w:val="32"/>
        </w:rPr>
        <w:t xml:space="preserve"> 上划中央</w:t>
      </w:r>
      <w:r w:rsidR="00962DC9">
        <w:rPr>
          <w:rFonts w:ascii="宋体" w:hAnsi="宋体" w:cs="宋体" w:hint="eastAsia"/>
          <w:sz w:val="32"/>
        </w:rPr>
        <w:t>22801</w:t>
      </w:r>
      <w:r>
        <w:rPr>
          <w:rFonts w:ascii="宋体" w:hAnsi="宋体" w:cs="宋体" w:hint="eastAsia"/>
          <w:sz w:val="32"/>
        </w:rPr>
        <w:t>万元，</w:t>
      </w:r>
      <w:r w:rsidR="00962DC9">
        <w:rPr>
          <w:rFonts w:ascii="宋体" w:hAnsi="宋体" w:cs="宋体" w:hint="eastAsia"/>
          <w:sz w:val="32"/>
          <w:szCs w:val="32"/>
        </w:rPr>
        <w:t>比上年下降7.7</w:t>
      </w:r>
      <w:r>
        <w:rPr>
          <w:rFonts w:ascii="宋体" w:hAnsi="宋体" w:cs="宋体" w:hint="eastAsia"/>
          <w:sz w:val="32"/>
          <w:szCs w:val="32"/>
        </w:rPr>
        <w:t>%</w:t>
      </w:r>
      <w:r w:rsidR="00962DC9">
        <w:rPr>
          <w:rFonts w:ascii="宋体" w:hAnsi="宋体" w:cs="宋体" w:hint="eastAsia"/>
          <w:sz w:val="32"/>
          <w:szCs w:val="32"/>
        </w:rPr>
        <w:t>，减</w:t>
      </w:r>
      <w:r>
        <w:rPr>
          <w:rFonts w:ascii="宋体" w:hAnsi="宋体" w:cs="宋体" w:hint="eastAsia"/>
          <w:sz w:val="32"/>
          <w:szCs w:val="32"/>
        </w:rPr>
        <w:t>收</w:t>
      </w:r>
      <w:r w:rsidR="00962DC9">
        <w:rPr>
          <w:rFonts w:ascii="宋体" w:hAnsi="宋体" w:cs="宋体" w:hint="eastAsia"/>
          <w:sz w:val="32"/>
          <w:szCs w:val="32"/>
        </w:rPr>
        <w:t>1906</w:t>
      </w:r>
      <w:r>
        <w:rPr>
          <w:rFonts w:ascii="宋体" w:hAnsi="宋体" w:cs="宋体" w:hint="eastAsia"/>
          <w:sz w:val="32"/>
          <w:szCs w:val="32"/>
        </w:rPr>
        <w:t>万元，占财政总收入比重</w:t>
      </w:r>
      <w:r w:rsidR="00962DC9">
        <w:rPr>
          <w:rFonts w:ascii="宋体" w:hAnsi="宋体" w:cs="宋体" w:hint="eastAsia"/>
          <w:sz w:val="32"/>
          <w:szCs w:val="32"/>
        </w:rPr>
        <w:t>27.6</w:t>
      </w:r>
      <w:r>
        <w:rPr>
          <w:rFonts w:ascii="宋体" w:hAnsi="宋体" w:cs="宋体" w:hint="eastAsia"/>
          <w:sz w:val="32"/>
          <w:szCs w:val="32"/>
        </w:rPr>
        <w:t>%。</w:t>
      </w:r>
      <w:r>
        <w:rPr>
          <w:rFonts w:ascii="宋体" w:hAnsi="宋体" w:cs="宋体" w:hint="eastAsia"/>
          <w:sz w:val="32"/>
        </w:rPr>
        <w:t>上划省级</w:t>
      </w:r>
      <w:r w:rsidR="00962DC9">
        <w:rPr>
          <w:rFonts w:ascii="宋体" w:hAnsi="宋体" w:cs="宋体" w:hint="eastAsia"/>
          <w:sz w:val="32"/>
        </w:rPr>
        <w:t>6054</w:t>
      </w:r>
      <w:r>
        <w:rPr>
          <w:rFonts w:ascii="宋体" w:hAnsi="宋体" w:cs="宋体" w:hint="eastAsia"/>
          <w:sz w:val="32"/>
        </w:rPr>
        <w:t>万元，</w:t>
      </w:r>
      <w:r w:rsidR="00962DC9">
        <w:rPr>
          <w:rFonts w:ascii="宋体" w:hAnsi="宋体" w:cs="宋体" w:hint="eastAsia"/>
          <w:sz w:val="32"/>
          <w:szCs w:val="32"/>
        </w:rPr>
        <w:t>比上年下降13.5</w:t>
      </w:r>
      <w:r>
        <w:rPr>
          <w:rFonts w:ascii="宋体" w:hAnsi="宋体" w:cs="宋体" w:hint="eastAsia"/>
          <w:sz w:val="32"/>
          <w:szCs w:val="32"/>
        </w:rPr>
        <w:t>%</w:t>
      </w:r>
      <w:r w:rsidR="00962DC9">
        <w:rPr>
          <w:rFonts w:ascii="宋体" w:hAnsi="宋体" w:cs="宋体" w:hint="eastAsia"/>
          <w:sz w:val="32"/>
          <w:szCs w:val="32"/>
        </w:rPr>
        <w:t>，减</w:t>
      </w:r>
      <w:r>
        <w:rPr>
          <w:rFonts w:ascii="宋体" w:hAnsi="宋体" w:cs="宋体" w:hint="eastAsia"/>
          <w:sz w:val="32"/>
          <w:szCs w:val="32"/>
        </w:rPr>
        <w:t>收</w:t>
      </w:r>
      <w:r w:rsidR="00962DC9">
        <w:rPr>
          <w:rFonts w:ascii="宋体" w:hAnsi="宋体" w:cs="宋体" w:hint="eastAsia"/>
          <w:sz w:val="32"/>
          <w:szCs w:val="32"/>
        </w:rPr>
        <w:t>944</w:t>
      </w:r>
      <w:r>
        <w:rPr>
          <w:rFonts w:ascii="宋体" w:hAnsi="宋体" w:cs="宋体" w:hint="eastAsia"/>
          <w:sz w:val="32"/>
          <w:szCs w:val="32"/>
        </w:rPr>
        <w:t>万元，占财政总收入比重</w:t>
      </w:r>
      <w:r w:rsidR="00962DC9">
        <w:rPr>
          <w:rFonts w:ascii="宋体" w:hAnsi="宋体" w:cs="宋体" w:hint="eastAsia"/>
          <w:sz w:val="32"/>
          <w:szCs w:val="32"/>
        </w:rPr>
        <w:t>7.3</w:t>
      </w:r>
      <w:r>
        <w:rPr>
          <w:rFonts w:ascii="宋体" w:hAnsi="宋体" w:cs="宋体" w:hint="eastAsia"/>
          <w:sz w:val="32"/>
          <w:szCs w:val="32"/>
        </w:rPr>
        <w:t>%</w:t>
      </w:r>
      <w:r>
        <w:rPr>
          <w:rFonts w:ascii="宋体" w:hAnsi="宋体" w:cs="宋体" w:hint="eastAsia"/>
          <w:sz w:val="32"/>
        </w:rPr>
        <w:t>。</w:t>
      </w:r>
      <w:r>
        <w:rPr>
          <w:rFonts w:ascii="宋体" w:hAnsi="宋体" w:cs="宋体" w:hint="eastAsia"/>
          <w:sz w:val="32"/>
          <w:szCs w:val="32"/>
        </w:rPr>
        <w:t>一般公共预算收入完成</w:t>
      </w:r>
      <w:r w:rsidR="00962DC9">
        <w:rPr>
          <w:rFonts w:ascii="宋体" w:hAnsi="宋体" w:cs="宋体" w:hint="eastAsia"/>
          <w:sz w:val="32"/>
        </w:rPr>
        <w:t>53754</w:t>
      </w:r>
      <w:r>
        <w:rPr>
          <w:rFonts w:ascii="宋体" w:hAnsi="宋体" w:cs="宋体" w:hint="eastAsia"/>
          <w:sz w:val="32"/>
          <w:szCs w:val="32"/>
        </w:rPr>
        <w:t>，比上年增长</w:t>
      </w:r>
      <w:r w:rsidR="00962DC9">
        <w:rPr>
          <w:rFonts w:ascii="宋体" w:hAnsi="宋体" w:cs="宋体" w:hint="eastAsia"/>
          <w:sz w:val="32"/>
          <w:szCs w:val="32"/>
        </w:rPr>
        <w:t>7.2</w:t>
      </w:r>
      <w:r>
        <w:rPr>
          <w:rFonts w:ascii="宋体" w:hAnsi="宋体" w:cs="宋体" w:hint="eastAsia"/>
          <w:sz w:val="32"/>
          <w:szCs w:val="32"/>
        </w:rPr>
        <w:t>%，增收</w:t>
      </w:r>
      <w:r w:rsidR="00962DC9">
        <w:rPr>
          <w:rFonts w:ascii="宋体" w:hAnsi="宋体" w:cs="宋体" w:hint="eastAsia"/>
          <w:sz w:val="32"/>
          <w:szCs w:val="32"/>
        </w:rPr>
        <w:t>3602</w:t>
      </w:r>
      <w:r>
        <w:rPr>
          <w:rFonts w:ascii="宋体" w:hAnsi="宋体" w:cs="宋体" w:hint="eastAsia"/>
          <w:sz w:val="32"/>
          <w:szCs w:val="32"/>
        </w:rPr>
        <w:t>万元，占财政收入比重</w:t>
      </w:r>
      <w:r w:rsidR="00962DC9">
        <w:rPr>
          <w:rFonts w:ascii="宋体" w:hAnsi="宋体" w:cs="宋体" w:hint="eastAsia"/>
          <w:sz w:val="32"/>
          <w:szCs w:val="32"/>
        </w:rPr>
        <w:t>65.1</w:t>
      </w:r>
      <w:r>
        <w:rPr>
          <w:rFonts w:ascii="宋体" w:hAnsi="宋体" w:cs="宋体" w:hint="eastAsia"/>
          <w:sz w:val="32"/>
          <w:szCs w:val="32"/>
        </w:rPr>
        <w:t>%。</w:t>
      </w:r>
    </w:p>
    <w:p w:rsidR="005155CB" w:rsidRDefault="00424C68">
      <w:pPr>
        <w:spacing w:line="580" w:lineRule="exact"/>
        <w:ind w:firstLine="640"/>
        <w:rPr>
          <w:rFonts w:ascii="宋体" w:hAnsi="宋体" w:cs="宋体"/>
          <w:sz w:val="32"/>
        </w:rPr>
      </w:pPr>
      <w:r>
        <w:rPr>
          <w:rFonts w:ascii="宋体" w:hAnsi="宋体" w:cs="宋体" w:hint="eastAsia"/>
          <w:sz w:val="32"/>
          <w:szCs w:val="32"/>
        </w:rPr>
        <w:lastRenderedPageBreak/>
        <w:t>2.分部门情况，</w:t>
      </w:r>
      <w:r>
        <w:rPr>
          <w:rFonts w:ascii="宋体" w:hAnsi="宋体" w:cs="宋体" w:hint="eastAsia"/>
          <w:sz w:val="32"/>
        </w:rPr>
        <w:t>税务部门完成</w:t>
      </w:r>
      <w:r w:rsidR="00962DC9">
        <w:rPr>
          <w:rFonts w:ascii="宋体" w:hAnsi="宋体" w:cs="宋体" w:hint="eastAsia"/>
          <w:sz w:val="32"/>
        </w:rPr>
        <w:t>58880</w:t>
      </w:r>
      <w:r>
        <w:rPr>
          <w:rFonts w:ascii="宋体" w:hAnsi="宋体" w:cs="宋体" w:hint="eastAsia"/>
          <w:sz w:val="32"/>
        </w:rPr>
        <w:t>万元，占年初计划</w:t>
      </w:r>
      <w:r w:rsidR="00962DC9">
        <w:rPr>
          <w:rFonts w:ascii="宋体" w:hAnsi="宋体" w:cs="宋体" w:hint="eastAsia"/>
          <w:sz w:val="32"/>
        </w:rPr>
        <w:t>61117</w:t>
      </w:r>
      <w:r>
        <w:rPr>
          <w:rFonts w:ascii="宋体" w:hAnsi="宋体" w:cs="宋体" w:hint="eastAsia"/>
          <w:sz w:val="32"/>
        </w:rPr>
        <w:t>万元的</w:t>
      </w:r>
      <w:r w:rsidR="00962DC9">
        <w:rPr>
          <w:rFonts w:ascii="宋体" w:hAnsi="宋体" w:cs="宋体" w:hint="eastAsia"/>
          <w:sz w:val="32"/>
        </w:rPr>
        <w:t>96.3</w:t>
      </w:r>
      <w:r>
        <w:rPr>
          <w:rFonts w:ascii="宋体" w:hAnsi="宋体" w:cs="宋体" w:hint="eastAsia"/>
          <w:sz w:val="32"/>
        </w:rPr>
        <w:t>%，短收</w:t>
      </w:r>
      <w:r w:rsidR="00962DC9">
        <w:rPr>
          <w:rFonts w:ascii="宋体" w:hAnsi="宋体" w:cs="宋体" w:hint="eastAsia"/>
          <w:sz w:val="32"/>
        </w:rPr>
        <w:t>2237</w:t>
      </w:r>
      <w:r>
        <w:rPr>
          <w:rFonts w:ascii="宋体" w:hAnsi="宋体" w:cs="宋体" w:hint="eastAsia"/>
          <w:sz w:val="32"/>
        </w:rPr>
        <w:t>万元，比上年</w:t>
      </w:r>
      <w:r w:rsidR="00962DC9">
        <w:rPr>
          <w:rFonts w:ascii="宋体" w:hAnsi="宋体" w:cs="宋体" w:hint="eastAsia"/>
          <w:sz w:val="32"/>
        </w:rPr>
        <w:t>62210</w:t>
      </w:r>
      <w:r>
        <w:rPr>
          <w:rFonts w:ascii="宋体" w:hAnsi="宋体" w:cs="宋体" w:hint="eastAsia"/>
          <w:sz w:val="32"/>
        </w:rPr>
        <w:t>万元</w:t>
      </w:r>
      <w:r w:rsidR="00962DC9">
        <w:rPr>
          <w:rFonts w:ascii="宋体" w:hAnsi="宋体" w:cs="宋体" w:hint="eastAsia"/>
          <w:sz w:val="32"/>
        </w:rPr>
        <w:t>下降5.4</w:t>
      </w:r>
      <w:r>
        <w:rPr>
          <w:rFonts w:ascii="宋体" w:hAnsi="宋体" w:cs="宋体" w:hint="eastAsia"/>
          <w:sz w:val="32"/>
        </w:rPr>
        <w:t>%</w:t>
      </w:r>
      <w:r w:rsidR="00962DC9">
        <w:rPr>
          <w:rFonts w:ascii="宋体" w:hAnsi="宋体" w:cs="宋体" w:hint="eastAsia"/>
          <w:sz w:val="32"/>
        </w:rPr>
        <w:t>，减</w:t>
      </w:r>
      <w:r>
        <w:rPr>
          <w:rFonts w:ascii="宋体" w:hAnsi="宋体" w:cs="宋体" w:hint="eastAsia"/>
          <w:sz w:val="32"/>
        </w:rPr>
        <w:t>收</w:t>
      </w:r>
      <w:r w:rsidR="00962DC9">
        <w:rPr>
          <w:rFonts w:ascii="宋体" w:hAnsi="宋体" w:cs="宋体" w:hint="eastAsia"/>
          <w:sz w:val="32"/>
        </w:rPr>
        <w:t>3330</w:t>
      </w:r>
      <w:r>
        <w:rPr>
          <w:rFonts w:ascii="宋体" w:hAnsi="宋体" w:cs="宋体" w:hint="eastAsia"/>
          <w:sz w:val="32"/>
        </w:rPr>
        <w:t>万元，</w:t>
      </w:r>
      <w:r>
        <w:rPr>
          <w:rFonts w:ascii="宋体" w:hAnsi="宋体" w:cs="宋体" w:hint="eastAsia"/>
          <w:sz w:val="32"/>
          <w:szCs w:val="32"/>
        </w:rPr>
        <w:t>占财政总收入比重</w:t>
      </w:r>
      <w:r w:rsidR="00962DC9">
        <w:rPr>
          <w:rFonts w:ascii="宋体" w:hAnsi="宋体" w:cs="宋体" w:hint="eastAsia"/>
          <w:sz w:val="32"/>
          <w:szCs w:val="32"/>
        </w:rPr>
        <w:t>71.3</w:t>
      </w:r>
      <w:r>
        <w:rPr>
          <w:rFonts w:ascii="宋体" w:hAnsi="宋体" w:cs="宋体" w:hint="eastAsia"/>
          <w:sz w:val="32"/>
          <w:szCs w:val="32"/>
        </w:rPr>
        <w:t>%</w:t>
      </w:r>
      <w:r>
        <w:rPr>
          <w:rFonts w:ascii="宋体" w:hAnsi="宋体" w:cs="宋体" w:hint="eastAsia"/>
          <w:sz w:val="32"/>
        </w:rPr>
        <w:t>。财政部门完成</w:t>
      </w:r>
      <w:r w:rsidR="00962DC9">
        <w:rPr>
          <w:rFonts w:ascii="宋体" w:hAnsi="宋体" w:cs="宋体" w:hint="eastAsia"/>
          <w:sz w:val="32"/>
        </w:rPr>
        <w:t>23729</w:t>
      </w:r>
      <w:r>
        <w:rPr>
          <w:rFonts w:ascii="宋体" w:hAnsi="宋体" w:cs="宋体" w:hint="eastAsia"/>
          <w:sz w:val="32"/>
        </w:rPr>
        <w:t>万元，占年初计划</w:t>
      </w:r>
      <w:r w:rsidR="00962DC9">
        <w:rPr>
          <w:rFonts w:ascii="宋体" w:hAnsi="宋体" w:cs="宋体" w:hint="eastAsia"/>
          <w:sz w:val="32"/>
        </w:rPr>
        <w:t>20826</w:t>
      </w:r>
      <w:r>
        <w:rPr>
          <w:rFonts w:ascii="宋体" w:hAnsi="宋体" w:cs="宋体" w:hint="eastAsia"/>
          <w:sz w:val="32"/>
        </w:rPr>
        <w:t>万元的</w:t>
      </w:r>
      <w:r w:rsidR="00962DC9">
        <w:rPr>
          <w:rFonts w:ascii="宋体" w:hAnsi="宋体" w:cs="宋体" w:hint="eastAsia"/>
          <w:sz w:val="32"/>
        </w:rPr>
        <w:t>113.9</w:t>
      </w:r>
      <w:r>
        <w:rPr>
          <w:rFonts w:ascii="宋体" w:hAnsi="宋体" w:cs="宋体" w:hint="eastAsia"/>
          <w:sz w:val="32"/>
        </w:rPr>
        <w:t>%，超收</w:t>
      </w:r>
      <w:r w:rsidR="00962DC9">
        <w:rPr>
          <w:rFonts w:ascii="宋体" w:hAnsi="宋体" w:cs="宋体" w:hint="eastAsia"/>
          <w:sz w:val="32"/>
        </w:rPr>
        <w:t>2903</w:t>
      </w:r>
      <w:r>
        <w:rPr>
          <w:rFonts w:ascii="宋体" w:hAnsi="宋体" w:cs="宋体" w:hint="eastAsia"/>
          <w:sz w:val="32"/>
        </w:rPr>
        <w:t>万元，比上年</w:t>
      </w:r>
      <w:r w:rsidR="00962DC9">
        <w:rPr>
          <w:rFonts w:ascii="宋体" w:hAnsi="宋体" w:cs="宋体" w:hint="eastAsia"/>
          <w:sz w:val="32"/>
        </w:rPr>
        <w:t>19647</w:t>
      </w:r>
      <w:r>
        <w:rPr>
          <w:rFonts w:ascii="宋体" w:hAnsi="宋体" w:cs="宋体" w:hint="eastAsia"/>
          <w:sz w:val="32"/>
        </w:rPr>
        <w:t>万元增长</w:t>
      </w:r>
      <w:r w:rsidR="00962DC9">
        <w:rPr>
          <w:rFonts w:ascii="宋体" w:hAnsi="宋体" w:cs="宋体" w:hint="eastAsia"/>
          <w:sz w:val="32"/>
        </w:rPr>
        <w:t>20.8</w:t>
      </w:r>
      <w:r>
        <w:rPr>
          <w:rFonts w:ascii="宋体" w:hAnsi="宋体" w:cs="宋体" w:hint="eastAsia"/>
          <w:sz w:val="32"/>
        </w:rPr>
        <w:t>%，增收</w:t>
      </w:r>
      <w:r w:rsidR="00962DC9">
        <w:rPr>
          <w:rFonts w:ascii="宋体" w:hAnsi="宋体" w:cs="宋体" w:hint="eastAsia"/>
          <w:sz w:val="32"/>
        </w:rPr>
        <w:t>4082</w:t>
      </w:r>
      <w:r>
        <w:rPr>
          <w:rFonts w:ascii="宋体" w:hAnsi="宋体" w:cs="宋体" w:hint="eastAsia"/>
          <w:sz w:val="32"/>
        </w:rPr>
        <w:t>万元，</w:t>
      </w:r>
      <w:r>
        <w:rPr>
          <w:rFonts w:ascii="宋体" w:hAnsi="宋体" w:cs="宋体" w:hint="eastAsia"/>
          <w:sz w:val="32"/>
          <w:szCs w:val="32"/>
        </w:rPr>
        <w:t>占财政总收入比重</w:t>
      </w:r>
      <w:r w:rsidR="00962DC9">
        <w:rPr>
          <w:rFonts w:ascii="宋体" w:hAnsi="宋体" w:cs="宋体" w:hint="eastAsia"/>
          <w:sz w:val="32"/>
          <w:szCs w:val="32"/>
        </w:rPr>
        <w:t>28.7</w:t>
      </w:r>
      <w:r>
        <w:rPr>
          <w:rFonts w:ascii="宋体" w:hAnsi="宋体" w:cs="宋体" w:hint="eastAsia"/>
          <w:sz w:val="32"/>
          <w:szCs w:val="32"/>
        </w:rPr>
        <w:t>%</w:t>
      </w:r>
      <w:r>
        <w:rPr>
          <w:rFonts w:ascii="宋体" w:hAnsi="宋体" w:cs="宋体" w:hint="eastAsia"/>
          <w:sz w:val="32"/>
        </w:rPr>
        <w:t>。</w:t>
      </w:r>
    </w:p>
    <w:p w:rsidR="005155CB" w:rsidRDefault="00BA72CE">
      <w:pPr>
        <w:ind w:firstLine="640"/>
        <w:jc w:val="center"/>
        <w:rPr>
          <w:rFonts w:ascii="仿宋_GB2312" w:eastAsia="仿宋_GB2312" w:hAnsi="仿宋" w:cs="仿宋"/>
          <w:sz w:val="32"/>
        </w:rPr>
      </w:pPr>
      <w:r>
        <w:rPr>
          <w:noProof/>
        </w:rPr>
        <w:drawing>
          <wp:inline distT="0" distB="0" distL="0" distR="0">
            <wp:extent cx="3941820" cy="2705100"/>
            <wp:effectExtent l="5360" t="0" r="5695"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extent cx="3876504" cy="2676525"/>
            <wp:effectExtent l="4848" t="0" r="4848"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55CB" w:rsidRDefault="00424C68">
      <w:pPr>
        <w:spacing w:line="600" w:lineRule="exact"/>
        <w:ind w:firstLineChars="200" w:firstLine="640"/>
        <w:rPr>
          <w:rFonts w:ascii="仿宋_GB2312" w:eastAsia="仿宋_GB2312" w:hAnsi="仿宋" w:cs="仿宋"/>
          <w:sz w:val="32"/>
        </w:rPr>
      </w:pPr>
      <w:r>
        <w:rPr>
          <w:rFonts w:ascii="黑体" w:eastAsia="黑体" w:hAnsi="黑体" w:hint="eastAsia"/>
          <w:sz w:val="32"/>
          <w:szCs w:val="32"/>
        </w:rPr>
        <w:t>三、全市一般公共预算收支情况</w:t>
      </w:r>
    </w:p>
    <w:p w:rsidR="005155CB" w:rsidRDefault="00424C68">
      <w:pPr>
        <w:spacing w:line="600" w:lineRule="exact"/>
        <w:ind w:firstLineChars="200" w:firstLine="643"/>
        <w:rPr>
          <w:rFonts w:ascii="宋体" w:hAnsi="宋体" w:cs="宋体"/>
          <w:b/>
          <w:bCs/>
          <w:sz w:val="32"/>
        </w:rPr>
      </w:pPr>
      <w:r>
        <w:rPr>
          <w:rFonts w:ascii="宋体" w:hAnsi="宋体" w:cs="宋体" w:hint="eastAsia"/>
          <w:b/>
          <w:bCs/>
          <w:sz w:val="32"/>
          <w:szCs w:val="32"/>
        </w:rPr>
        <w:t>(一）一般公共预算收入完成情况</w:t>
      </w:r>
    </w:p>
    <w:p w:rsidR="005155CB" w:rsidRDefault="00424C68">
      <w:pPr>
        <w:spacing w:line="600" w:lineRule="exact"/>
        <w:ind w:firstLineChars="200" w:firstLine="640"/>
        <w:rPr>
          <w:rFonts w:ascii="宋体" w:hAnsi="宋体" w:cs="宋体"/>
          <w:sz w:val="32"/>
        </w:rPr>
      </w:pPr>
      <w:r>
        <w:rPr>
          <w:rFonts w:ascii="宋体" w:hAnsi="宋体" w:cs="宋体" w:hint="eastAsia"/>
          <w:kern w:val="0"/>
          <w:sz w:val="32"/>
          <w:szCs w:val="32"/>
        </w:rPr>
        <w:t>202</w:t>
      </w:r>
      <w:r w:rsidR="00701A5F">
        <w:rPr>
          <w:rFonts w:ascii="宋体" w:hAnsi="宋体" w:cs="宋体" w:hint="eastAsia"/>
          <w:kern w:val="0"/>
          <w:sz w:val="32"/>
          <w:szCs w:val="32"/>
        </w:rPr>
        <w:t>1</w:t>
      </w:r>
      <w:r>
        <w:rPr>
          <w:rFonts w:ascii="宋体" w:hAnsi="宋体" w:cs="宋体" w:hint="eastAsia"/>
          <w:kern w:val="0"/>
          <w:sz w:val="32"/>
          <w:szCs w:val="32"/>
        </w:rPr>
        <w:t>年，</w:t>
      </w:r>
      <w:r>
        <w:rPr>
          <w:rFonts w:ascii="宋体" w:hAnsi="宋体" w:cs="宋体" w:hint="eastAsia"/>
          <w:sz w:val="32"/>
        </w:rPr>
        <w:t>我市一般公共预算收入完成</w:t>
      </w:r>
      <w:r w:rsidR="00701A5F">
        <w:rPr>
          <w:rFonts w:ascii="宋体" w:hAnsi="宋体" w:cs="宋体" w:hint="eastAsia"/>
          <w:sz w:val="32"/>
        </w:rPr>
        <w:t>53754</w:t>
      </w:r>
      <w:r>
        <w:rPr>
          <w:rFonts w:ascii="宋体" w:hAnsi="宋体" w:cs="宋体" w:hint="eastAsia"/>
          <w:sz w:val="32"/>
        </w:rPr>
        <w:t>万元，占年初预算</w:t>
      </w:r>
      <w:r w:rsidR="00701A5F">
        <w:rPr>
          <w:rFonts w:ascii="宋体" w:hAnsi="宋体" w:cs="宋体" w:hint="eastAsia"/>
          <w:sz w:val="32"/>
        </w:rPr>
        <w:t>53162</w:t>
      </w:r>
      <w:r>
        <w:rPr>
          <w:rFonts w:ascii="宋体" w:hAnsi="宋体" w:cs="宋体" w:hint="eastAsia"/>
          <w:sz w:val="32"/>
        </w:rPr>
        <w:t>万元的</w:t>
      </w:r>
      <w:r w:rsidR="00701A5F">
        <w:rPr>
          <w:rFonts w:ascii="宋体" w:hAnsi="宋体" w:cs="宋体" w:hint="eastAsia"/>
          <w:sz w:val="32"/>
        </w:rPr>
        <w:t>101.1</w:t>
      </w:r>
      <w:r>
        <w:rPr>
          <w:rFonts w:ascii="宋体" w:hAnsi="宋体" w:cs="宋体" w:hint="eastAsia"/>
          <w:sz w:val="32"/>
        </w:rPr>
        <w:t>%，超收</w:t>
      </w:r>
      <w:r w:rsidR="00701A5F">
        <w:rPr>
          <w:rFonts w:ascii="宋体" w:hAnsi="宋体" w:cs="宋体" w:hint="eastAsia"/>
          <w:sz w:val="32"/>
        </w:rPr>
        <w:t>592</w:t>
      </w:r>
      <w:r>
        <w:rPr>
          <w:rFonts w:ascii="宋体" w:hAnsi="宋体" w:cs="宋体" w:hint="eastAsia"/>
          <w:sz w:val="32"/>
        </w:rPr>
        <w:t>万元，比上年</w:t>
      </w:r>
      <w:r w:rsidR="00701A5F">
        <w:rPr>
          <w:rFonts w:ascii="宋体" w:hAnsi="宋体" w:cs="宋体" w:hint="eastAsia"/>
          <w:sz w:val="32"/>
        </w:rPr>
        <w:t>50152</w:t>
      </w:r>
      <w:r>
        <w:rPr>
          <w:rFonts w:ascii="宋体" w:hAnsi="宋体" w:cs="宋体" w:hint="eastAsia"/>
          <w:sz w:val="32"/>
        </w:rPr>
        <w:t>万元增长</w:t>
      </w:r>
      <w:r w:rsidR="00701A5F">
        <w:rPr>
          <w:rFonts w:ascii="宋体" w:hAnsi="宋体" w:cs="宋体" w:hint="eastAsia"/>
          <w:sz w:val="32"/>
        </w:rPr>
        <w:t>7.2</w:t>
      </w:r>
      <w:r>
        <w:rPr>
          <w:rFonts w:ascii="宋体" w:hAnsi="宋体" w:cs="宋体" w:hint="eastAsia"/>
          <w:sz w:val="32"/>
        </w:rPr>
        <w:t>%，增收</w:t>
      </w:r>
      <w:r w:rsidR="00701A5F">
        <w:rPr>
          <w:rFonts w:ascii="宋体" w:hAnsi="宋体" w:cs="宋体" w:hint="eastAsia"/>
          <w:sz w:val="32"/>
        </w:rPr>
        <w:t>3602</w:t>
      </w:r>
      <w:r>
        <w:rPr>
          <w:rFonts w:ascii="宋体" w:hAnsi="宋体" w:cs="宋体" w:hint="eastAsia"/>
          <w:sz w:val="32"/>
        </w:rPr>
        <w:t>万元。一般公共预算收入总量排名全市第</w:t>
      </w:r>
      <w:r w:rsidR="00701A5F">
        <w:rPr>
          <w:rFonts w:ascii="宋体" w:hAnsi="宋体" w:cs="宋体" w:hint="eastAsia"/>
          <w:sz w:val="32"/>
        </w:rPr>
        <w:t>五名，增长排名全市第十三</w:t>
      </w:r>
      <w:r>
        <w:rPr>
          <w:rFonts w:ascii="宋体" w:hAnsi="宋体" w:cs="宋体" w:hint="eastAsia"/>
          <w:sz w:val="32"/>
        </w:rPr>
        <w:t>名。</w:t>
      </w:r>
    </w:p>
    <w:p w:rsidR="005155CB" w:rsidRDefault="00424C68">
      <w:pPr>
        <w:spacing w:line="600" w:lineRule="exact"/>
        <w:ind w:firstLineChars="200" w:firstLine="640"/>
        <w:rPr>
          <w:rFonts w:ascii="宋体" w:hAnsi="宋体" w:cs="宋体"/>
          <w:sz w:val="32"/>
        </w:rPr>
      </w:pPr>
      <w:r>
        <w:rPr>
          <w:rFonts w:ascii="宋体" w:hAnsi="宋体" w:cs="宋体" w:hint="eastAsia"/>
          <w:sz w:val="32"/>
        </w:rPr>
        <w:t>其中:税务部门完成</w:t>
      </w:r>
      <w:r w:rsidR="00D1515F">
        <w:rPr>
          <w:rFonts w:ascii="宋体" w:hAnsi="宋体" w:cs="宋体" w:hint="eastAsia"/>
          <w:sz w:val="32"/>
        </w:rPr>
        <w:t>30025</w:t>
      </w:r>
      <w:r>
        <w:rPr>
          <w:rFonts w:ascii="宋体" w:hAnsi="宋体" w:cs="宋体" w:hint="eastAsia"/>
          <w:sz w:val="32"/>
        </w:rPr>
        <w:t>万元，占年初预算</w:t>
      </w:r>
      <w:r w:rsidR="00D1515F">
        <w:rPr>
          <w:rFonts w:ascii="宋体" w:hAnsi="宋体" w:cs="宋体" w:hint="eastAsia"/>
          <w:sz w:val="32"/>
        </w:rPr>
        <w:t>3233</w:t>
      </w:r>
      <w:r>
        <w:rPr>
          <w:rFonts w:ascii="宋体" w:hAnsi="宋体" w:cs="宋体" w:hint="eastAsia"/>
          <w:sz w:val="32"/>
        </w:rPr>
        <w:t>6万元的</w:t>
      </w:r>
      <w:r w:rsidR="00D1515F">
        <w:rPr>
          <w:rFonts w:ascii="宋体" w:hAnsi="宋体" w:cs="宋体" w:hint="eastAsia"/>
          <w:sz w:val="32"/>
        </w:rPr>
        <w:t>92.9</w:t>
      </w:r>
      <w:r>
        <w:rPr>
          <w:rFonts w:ascii="宋体" w:hAnsi="宋体" w:cs="宋体" w:hint="eastAsia"/>
          <w:sz w:val="32"/>
        </w:rPr>
        <w:t>%，短收</w:t>
      </w:r>
      <w:r w:rsidR="00D1515F">
        <w:rPr>
          <w:rFonts w:ascii="宋体" w:hAnsi="宋体" w:cs="宋体" w:hint="eastAsia"/>
          <w:sz w:val="32"/>
        </w:rPr>
        <w:t>2311</w:t>
      </w:r>
      <w:r>
        <w:rPr>
          <w:rFonts w:ascii="宋体" w:hAnsi="宋体" w:cs="宋体" w:hint="eastAsia"/>
          <w:sz w:val="32"/>
        </w:rPr>
        <w:t>万元，比上年</w:t>
      </w:r>
      <w:r w:rsidR="00D1515F">
        <w:rPr>
          <w:rFonts w:ascii="宋体" w:hAnsi="宋体" w:cs="宋体" w:hint="eastAsia"/>
          <w:sz w:val="32"/>
        </w:rPr>
        <w:t>30505万元下降1.6</w:t>
      </w:r>
      <w:r>
        <w:rPr>
          <w:rFonts w:ascii="宋体" w:hAnsi="宋体" w:cs="宋体" w:hint="eastAsia"/>
          <w:sz w:val="32"/>
        </w:rPr>
        <w:t>%</w:t>
      </w:r>
      <w:r w:rsidR="00D1515F">
        <w:rPr>
          <w:rFonts w:ascii="宋体" w:hAnsi="宋体" w:cs="宋体" w:hint="eastAsia"/>
          <w:sz w:val="32"/>
        </w:rPr>
        <w:t>，减</w:t>
      </w:r>
      <w:r>
        <w:rPr>
          <w:rFonts w:ascii="宋体" w:hAnsi="宋体" w:cs="宋体" w:hint="eastAsia"/>
          <w:sz w:val="32"/>
        </w:rPr>
        <w:t>收</w:t>
      </w:r>
      <w:r w:rsidR="00D1515F">
        <w:rPr>
          <w:rFonts w:ascii="宋体" w:hAnsi="宋体" w:cs="宋体" w:hint="eastAsia"/>
          <w:sz w:val="32"/>
        </w:rPr>
        <w:t>480</w:t>
      </w:r>
      <w:r>
        <w:rPr>
          <w:rFonts w:ascii="宋体" w:hAnsi="宋体" w:cs="宋体" w:hint="eastAsia"/>
          <w:sz w:val="32"/>
        </w:rPr>
        <w:t>万元,</w:t>
      </w:r>
      <w:r>
        <w:rPr>
          <w:rFonts w:ascii="宋体" w:hAnsi="宋体" w:cs="宋体" w:hint="eastAsia"/>
          <w:kern w:val="0"/>
          <w:sz w:val="32"/>
          <w:szCs w:val="32"/>
        </w:rPr>
        <w:t xml:space="preserve"> 占一般公共预算收入比重</w:t>
      </w:r>
      <w:r w:rsidR="00D1515F" w:rsidRPr="00D1515F">
        <w:rPr>
          <w:rFonts w:ascii="宋体" w:hAnsi="宋体" w:cs="宋体" w:hint="eastAsia"/>
          <w:kern w:val="0"/>
          <w:sz w:val="32"/>
          <w:szCs w:val="32"/>
        </w:rPr>
        <w:t>55.9</w:t>
      </w:r>
      <w:r w:rsidRPr="00D1515F">
        <w:rPr>
          <w:rFonts w:ascii="宋体" w:hAnsi="宋体" w:cs="宋体" w:hint="eastAsia"/>
          <w:kern w:val="0"/>
          <w:sz w:val="32"/>
          <w:szCs w:val="32"/>
        </w:rPr>
        <w:t>%</w:t>
      </w:r>
      <w:r w:rsidRPr="00D1515F">
        <w:rPr>
          <w:rFonts w:ascii="宋体" w:hAnsi="宋体" w:cs="宋体" w:hint="eastAsia"/>
          <w:sz w:val="32"/>
        </w:rPr>
        <w:t>。财政部门完成</w:t>
      </w:r>
      <w:r w:rsidR="00D1515F" w:rsidRPr="00D1515F">
        <w:rPr>
          <w:rFonts w:ascii="宋体" w:hAnsi="宋体" w:cs="宋体" w:hint="eastAsia"/>
          <w:sz w:val="32"/>
        </w:rPr>
        <w:t>23729</w:t>
      </w:r>
      <w:r w:rsidRPr="00D1515F">
        <w:rPr>
          <w:rFonts w:ascii="宋体" w:hAnsi="宋体" w:cs="宋体" w:hint="eastAsia"/>
          <w:sz w:val="32"/>
        </w:rPr>
        <w:t>万元，占年初预算</w:t>
      </w:r>
      <w:r w:rsidR="00D1515F" w:rsidRPr="00D1515F">
        <w:rPr>
          <w:rFonts w:ascii="宋体" w:hAnsi="宋体" w:cs="宋体" w:hint="eastAsia"/>
          <w:sz w:val="32"/>
        </w:rPr>
        <w:t>20826</w:t>
      </w:r>
      <w:r w:rsidRPr="00D1515F">
        <w:rPr>
          <w:rFonts w:ascii="宋体" w:hAnsi="宋体" w:cs="宋体" w:hint="eastAsia"/>
          <w:sz w:val="32"/>
        </w:rPr>
        <w:t>万元的</w:t>
      </w:r>
      <w:r w:rsidR="00D1515F" w:rsidRPr="00D1515F">
        <w:rPr>
          <w:rFonts w:ascii="宋体" w:hAnsi="宋体" w:cs="宋体" w:hint="eastAsia"/>
          <w:sz w:val="32"/>
        </w:rPr>
        <w:t>113.9</w:t>
      </w:r>
      <w:r w:rsidRPr="00D1515F">
        <w:rPr>
          <w:rFonts w:ascii="宋体" w:hAnsi="宋体" w:cs="宋体" w:hint="eastAsia"/>
          <w:sz w:val="32"/>
        </w:rPr>
        <w:t>%，超收</w:t>
      </w:r>
      <w:r w:rsidR="00D1515F" w:rsidRPr="00D1515F">
        <w:rPr>
          <w:rFonts w:ascii="宋体" w:hAnsi="宋体" w:cs="宋体" w:hint="eastAsia"/>
          <w:sz w:val="32"/>
        </w:rPr>
        <w:t>2903</w:t>
      </w:r>
      <w:r w:rsidRPr="00D1515F">
        <w:rPr>
          <w:rFonts w:ascii="宋体" w:hAnsi="宋体" w:cs="宋体" w:hint="eastAsia"/>
          <w:sz w:val="32"/>
        </w:rPr>
        <w:t>万元，比上年</w:t>
      </w:r>
      <w:r w:rsidR="00D1515F" w:rsidRPr="00D1515F">
        <w:rPr>
          <w:rFonts w:ascii="宋体" w:hAnsi="宋体" w:cs="宋体" w:hint="eastAsia"/>
          <w:sz w:val="32"/>
        </w:rPr>
        <w:t>19647</w:t>
      </w:r>
      <w:r w:rsidRPr="00D1515F">
        <w:rPr>
          <w:rFonts w:ascii="宋体" w:hAnsi="宋体" w:cs="宋体" w:hint="eastAsia"/>
          <w:sz w:val="32"/>
        </w:rPr>
        <w:t>万元增长</w:t>
      </w:r>
      <w:r w:rsidR="00D1515F" w:rsidRPr="00D1515F">
        <w:rPr>
          <w:rFonts w:ascii="宋体" w:hAnsi="宋体" w:cs="宋体" w:hint="eastAsia"/>
          <w:sz w:val="32"/>
        </w:rPr>
        <w:t>20.8</w:t>
      </w:r>
      <w:r w:rsidRPr="00D1515F">
        <w:rPr>
          <w:rFonts w:ascii="宋体" w:hAnsi="宋体" w:cs="宋体" w:hint="eastAsia"/>
          <w:sz w:val="32"/>
        </w:rPr>
        <w:t>%，增收</w:t>
      </w:r>
      <w:r w:rsidR="00D1515F" w:rsidRPr="00D1515F">
        <w:rPr>
          <w:rFonts w:ascii="宋体" w:hAnsi="宋体" w:cs="宋体" w:hint="eastAsia"/>
          <w:sz w:val="32"/>
        </w:rPr>
        <w:t>4082</w:t>
      </w:r>
      <w:r w:rsidRPr="00D1515F">
        <w:rPr>
          <w:rFonts w:ascii="宋体" w:hAnsi="宋体" w:cs="宋体" w:hint="eastAsia"/>
          <w:sz w:val="32"/>
        </w:rPr>
        <w:t>万元,</w:t>
      </w:r>
      <w:r w:rsidRPr="00D1515F">
        <w:rPr>
          <w:rFonts w:ascii="宋体" w:hAnsi="宋体" w:cs="宋体" w:hint="eastAsia"/>
          <w:kern w:val="0"/>
          <w:sz w:val="32"/>
          <w:szCs w:val="32"/>
        </w:rPr>
        <w:t xml:space="preserve"> 占一般公共预算收入比重</w:t>
      </w:r>
      <w:r w:rsidR="00D1515F" w:rsidRPr="00D1515F">
        <w:rPr>
          <w:rFonts w:ascii="宋体" w:hAnsi="宋体" w:cs="宋体" w:hint="eastAsia"/>
          <w:kern w:val="0"/>
          <w:sz w:val="32"/>
          <w:szCs w:val="32"/>
        </w:rPr>
        <w:t>44.1</w:t>
      </w:r>
      <w:r w:rsidRPr="00D1515F">
        <w:rPr>
          <w:rFonts w:ascii="宋体" w:hAnsi="宋体" w:cs="宋体" w:hint="eastAsia"/>
          <w:kern w:val="0"/>
          <w:sz w:val="32"/>
          <w:szCs w:val="32"/>
        </w:rPr>
        <w:t>%</w:t>
      </w:r>
      <w:r w:rsidRPr="00D1515F">
        <w:rPr>
          <w:rFonts w:ascii="宋体" w:hAnsi="宋体" w:cs="宋体" w:hint="eastAsia"/>
          <w:sz w:val="32"/>
        </w:rPr>
        <w:t>。</w:t>
      </w:r>
    </w:p>
    <w:p w:rsidR="005155CB" w:rsidRDefault="00424C68">
      <w:pPr>
        <w:spacing w:line="600" w:lineRule="exact"/>
        <w:ind w:firstLineChars="200" w:firstLine="643"/>
        <w:rPr>
          <w:rFonts w:ascii="宋体" w:hAnsi="宋体" w:cs="宋体"/>
          <w:b/>
          <w:bCs/>
          <w:sz w:val="32"/>
          <w:szCs w:val="32"/>
        </w:rPr>
      </w:pPr>
      <w:r>
        <w:rPr>
          <w:rFonts w:ascii="宋体" w:hAnsi="宋体" w:cs="宋体" w:hint="eastAsia"/>
          <w:b/>
          <w:bCs/>
          <w:sz w:val="32"/>
          <w:szCs w:val="32"/>
        </w:rPr>
        <w:lastRenderedPageBreak/>
        <w:t>（二）分税种收入分析</w:t>
      </w:r>
    </w:p>
    <w:p w:rsidR="005155CB" w:rsidRPr="00ED6F37" w:rsidRDefault="00424C68" w:rsidP="005A6DC6">
      <w:pPr>
        <w:spacing w:line="600" w:lineRule="exact"/>
        <w:ind w:firstLineChars="200" w:firstLine="640"/>
        <w:rPr>
          <w:rFonts w:ascii="宋体" w:hAnsi="宋体" w:cs="宋体"/>
          <w:sz w:val="32"/>
        </w:rPr>
      </w:pPr>
      <w:r w:rsidRPr="0016554F">
        <w:rPr>
          <w:rFonts w:ascii="宋体" w:hAnsi="宋体" w:cs="宋体" w:hint="eastAsia"/>
          <w:sz w:val="32"/>
        </w:rPr>
        <w:t>十五项税收中，增值税完成</w:t>
      </w:r>
      <w:r w:rsidR="00F81CF7" w:rsidRPr="0016554F">
        <w:rPr>
          <w:rFonts w:ascii="宋体" w:hAnsi="宋体" w:cs="宋体" w:hint="eastAsia"/>
          <w:sz w:val="32"/>
        </w:rPr>
        <w:t>11335</w:t>
      </w:r>
      <w:r w:rsidRPr="0016554F">
        <w:rPr>
          <w:rFonts w:ascii="宋体" w:hAnsi="宋体" w:cs="宋体" w:hint="eastAsia"/>
          <w:sz w:val="32"/>
        </w:rPr>
        <w:t>万元，比上年同期</w:t>
      </w:r>
      <w:r w:rsidR="00F81CF7" w:rsidRPr="0016554F">
        <w:rPr>
          <w:rFonts w:ascii="宋体" w:hAnsi="宋体" w:cs="宋体" w:hint="eastAsia"/>
          <w:sz w:val="32"/>
        </w:rPr>
        <w:t>14099</w:t>
      </w:r>
      <w:r w:rsidRPr="0016554F">
        <w:rPr>
          <w:rFonts w:ascii="宋体" w:hAnsi="宋体" w:cs="宋体" w:hint="eastAsia"/>
          <w:sz w:val="32"/>
        </w:rPr>
        <w:t>万元</w:t>
      </w:r>
      <w:r w:rsidR="00F81CF7" w:rsidRPr="0016554F">
        <w:rPr>
          <w:rFonts w:ascii="宋体" w:hAnsi="宋体" w:cs="宋体" w:hint="eastAsia"/>
          <w:sz w:val="32"/>
        </w:rPr>
        <w:t>减</w:t>
      </w:r>
      <w:r w:rsidRPr="0016554F">
        <w:rPr>
          <w:rFonts w:ascii="宋体" w:hAnsi="宋体" w:cs="宋体" w:hint="eastAsia"/>
          <w:sz w:val="32"/>
        </w:rPr>
        <w:t>收</w:t>
      </w:r>
      <w:r w:rsidR="00F81CF7" w:rsidRPr="0016554F">
        <w:rPr>
          <w:rFonts w:ascii="宋体" w:hAnsi="宋体" w:cs="宋体" w:hint="eastAsia"/>
          <w:sz w:val="32"/>
        </w:rPr>
        <w:t>2764</w:t>
      </w:r>
      <w:r w:rsidRPr="0016554F">
        <w:rPr>
          <w:rFonts w:ascii="宋体" w:hAnsi="宋体" w:cs="宋体" w:hint="eastAsia"/>
          <w:sz w:val="32"/>
        </w:rPr>
        <w:t>万元，</w:t>
      </w:r>
      <w:r w:rsidR="00F81CF7" w:rsidRPr="0016554F">
        <w:rPr>
          <w:rFonts w:ascii="宋体" w:hAnsi="宋体" w:cs="宋体" w:hint="eastAsia"/>
          <w:sz w:val="32"/>
        </w:rPr>
        <w:t>下降19.6</w:t>
      </w:r>
      <w:r w:rsidRPr="0016554F">
        <w:rPr>
          <w:rFonts w:ascii="宋体" w:hAnsi="宋体" w:cs="宋体" w:hint="eastAsia"/>
          <w:sz w:val="32"/>
        </w:rPr>
        <w:t>%，占一般公共预算收入的比重为2</w:t>
      </w:r>
      <w:r w:rsidR="00F81CF7" w:rsidRPr="0016554F">
        <w:rPr>
          <w:rFonts w:ascii="宋体" w:hAnsi="宋体" w:cs="宋体" w:hint="eastAsia"/>
          <w:sz w:val="32"/>
        </w:rPr>
        <w:t>1.1</w:t>
      </w:r>
      <w:r w:rsidRPr="0016554F">
        <w:rPr>
          <w:rFonts w:ascii="宋体" w:hAnsi="宋体" w:cs="宋体" w:hint="eastAsia"/>
          <w:sz w:val="32"/>
        </w:rPr>
        <w:t>%，较上年同期</w:t>
      </w:r>
      <w:r w:rsidR="00F81CF7" w:rsidRPr="0016554F">
        <w:rPr>
          <w:rFonts w:ascii="宋体" w:hAnsi="宋体" w:cs="宋体" w:hint="eastAsia"/>
          <w:sz w:val="32"/>
        </w:rPr>
        <w:t>下降</w:t>
      </w:r>
      <w:r w:rsidRPr="0016554F">
        <w:rPr>
          <w:rFonts w:ascii="宋体" w:hAnsi="宋体" w:cs="宋体" w:hint="eastAsia"/>
          <w:sz w:val="32"/>
        </w:rPr>
        <w:t>7个百分点；企业所得税完成</w:t>
      </w:r>
      <w:r w:rsidR="00F81CF7" w:rsidRPr="0016554F">
        <w:rPr>
          <w:rFonts w:ascii="宋体" w:hAnsi="宋体" w:cs="宋体" w:hint="eastAsia"/>
          <w:sz w:val="32"/>
        </w:rPr>
        <w:t>2683</w:t>
      </w:r>
      <w:r w:rsidRPr="0016554F">
        <w:rPr>
          <w:rFonts w:ascii="宋体" w:hAnsi="宋体" w:cs="宋体" w:hint="eastAsia"/>
          <w:sz w:val="32"/>
        </w:rPr>
        <w:t>万元，比上年同期</w:t>
      </w:r>
      <w:r w:rsidR="00F81CF7" w:rsidRPr="0016554F">
        <w:rPr>
          <w:rFonts w:ascii="宋体" w:hAnsi="宋体" w:cs="宋体" w:hint="eastAsia"/>
          <w:sz w:val="32"/>
        </w:rPr>
        <w:t>1667</w:t>
      </w:r>
      <w:r w:rsidRPr="0016554F">
        <w:rPr>
          <w:rFonts w:ascii="宋体" w:hAnsi="宋体" w:cs="宋体" w:hint="eastAsia"/>
          <w:sz w:val="32"/>
        </w:rPr>
        <w:t>万元</w:t>
      </w:r>
      <w:r w:rsidR="00F81CF7" w:rsidRPr="0016554F">
        <w:rPr>
          <w:rFonts w:ascii="宋体" w:hAnsi="宋体" w:cs="宋体" w:hint="eastAsia"/>
          <w:sz w:val="32"/>
        </w:rPr>
        <w:t>增</w:t>
      </w:r>
      <w:r w:rsidRPr="0016554F">
        <w:rPr>
          <w:rFonts w:ascii="宋体" w:hAnsi="宋体" w:cs="宋体" w:hint="eastAsia"/>
          <w:sz w:val="32"/>
        </w:rPr>
        <w:t>收</w:t>
      </w:r>
      <w:r w:rsidR="00F81CF7" w:rsidRPr="0016554F">
        <w:rPr>
          <w:rFonts w:ascii="宋体" w:hAnsi="宋体" w:cs="宋体" w:hint="eastAsia"/>
          <w:sz w:val="32"/>
        </w:rPr>
        <w:t>1016</w:t>
      </w:r>
      <w:r w:rsidRPr="0016554F">
        <w:rPr>
          <w:rFonts w:ascii="宋体" w:hAnsi="宋体" w:cs="宋体" w:hint="eastAsia"/>
          <w:sz w:val="32"/>
        </w:rPr>
        <w:t>万元，</w:t>
      </w:r>
      <w:r w:rsidR="00F81CF7" w:rsidRPr="0016554F">
        <w:rPr>
          <w:rFonts w:ascii="宋体" w:hAnsi="宋体" w:cs="宋体" w:hint="eastAsia"/>
          <w:sz w:val="32"/>
        </w:rPr>
        <w:t>增长60.9</w:t>
      </w:r>
      <w:r w:rsidRPr="0016554F">
        <w:rPr>
          <w:rFonts w:ascii="宋体" w:hAnsi="宋体" w:cs="宋体" w:hint="eastAsia"/>
          <w:sz w:val="32"/>
        </w:rPr>
        <w:t>%，占一般公共预算收入的比重为</w:t>
      </w:r>
      <w:r w:rsidR="00F81CF7" w:rsidRPr="0016554F">
        <w:rPr>
          <w:rFonts w:ascii="宋体" w:hAnsi="宋体" w:cs="宋体" w:hint="eastAsia"/>
          <w:sz w:val="32"/>
        </w:rPr>
        <w:t>5</w:t>
      </w:r>
      <w:r w:rsidRPr="0016554F">
        <w:rPr>
          <w:rFonts w:ascii="宋体" w:hAnsi="宋体" w:cs="宋体" w:hint="eastAsia"/>
          <w:sz w:val="32"/>
        </w:rPr>
        <w:t>%，较上年同期</w:t>
      </w:r>
      <w:r w:rsidR="00F81CF7" w:rsidRPr="0016554F">
        <w:rPr>
          <w:rFonts w:ascii="宋体" w:hAnsi="宋体" w:cs="宋体" w:hint="eastAsia"/>
          <w:sz w:val="32"/>
        </w:rPr>
        <w:t>增长1.7</w:t>
      </w:r>
      <w:r w:rsidRPr="0016554F">
        <w:rPr>
          <w:rFonts w:ascii="宋体" w:hAnsi="宋体" w:cs="宋体" w:hint="eastAsia"/>
          <w:sz w:val="32"/>
        </w:rPr>
        <w:t>个百分点；</w:t>
      </w:r>
      <w:r w:rsidRPr="00B16786">
        <w:rPr>
          <w:rFonts w:ascii="宋体" w:hAnsi="宋体" w:cs="宋体" w:hint="eastAsia"/>
          <w:sz w:val="32"/>
        </w:rPr>
        <w:t>个人所得税完成</w:t>
      </w:r>
      <w:r w:rsidR="0016554F" w:rsidRPr="00B16786">
        <w:rPr>
          <w:rFonts w:ascii="宋体" w:hAnsi="宋体" w:cs="宋体" w:hint="eastAsia"/>
          <w:sz w:val="32"/>
        </w:rPr>
        <w:t>566</w:t>
      </w:r>
      <w:r w:rsidRPr="00B16786">
        <w:rPr>
          <w:rFonts w:ascii="宋体" w:hAnsi="宋体" w:cs="宋体" w:hint="eastAsia"/>
          <w:sz w:val="32"/>
        </w:rPr>
        <w:t>万元，比上年同期</w:t>
      </w:r>
      <w:r w:rsidR="00922D82" w:rsidRPr="00B16786">
        <w:rPr>
          <w:rFonts w:ascii="宋体" w:hAnsi="宋体" w:cs="宋体" w:hint="eastAsia"/>
          <w:sz w:val="32"/>
        </w:rPr>
        <w:t>508</w:t>
      </w:r>
      <w:r w:rsidRPr="00B16786">
        <w:rPr>
          <w:rFonts w:ascii="宋体" w:hAnsi="宋体" w:cs="宋体" w:hint="eastAsia"/>
          <w:sz w:val="32"/>
        </w:rPr>
        <w:t>万元增收</w:t>
      </w:r>
      <w:r w:rsidR="00922D82" w:rsidRPr="00B16786">
        <w:rPr>
          <w:rFonts w:ascii="宋体" w:hAnsi="宋体" w:cs="宋体" w:hint="eastAsia"/>
          <w:sz w:val="32"/>
        </w:rPr>
        <w:t>58</w:t>
      </w:r>
      <w:r w:rsidRPr="00B16786">
        <w:rPr>
          <w:rFonts w:ascii="宋体" w:hAnsi="宋体" w:cs="宋体" w:hint="eastAsia"/>
          <w:sz w:val="32"/>
        </w:rPr>
        <w:t>万元，增长</w:t>
      </w:r>
      <w:r w:rsidR="00922D82" w:rsidRPr="00B16786">
        <w:rPr>
          <w:rFonts w:ascii="宋体" w:hAnsi="宋体" w:cs="宋体" w:hint="eastAsia"/>
          <w:sz w:val="32"/>
        </w:rPr>
        <w:t>11.4</w:t>
      </w:r>
      <w:r w:rsidRPr="00B16786">
        <w:rPr>
          <w:rFonts w:ascii="宋体" w:hAnsi="宋体" w:cs="宋体" w:hint="eastAsia"/>
          <w:sz w:val="32"/>
        </w:rPr>
        <w:t>%，占一般公共预算收入的比重为</w:t>
      </w:r>
      <w:r w:rsidR="00922D82" w:rsidRPr="00B16786">
        <w:rPr>
          <w:rFonts w:ascii="宋体" w:hAnsi="宋体" w:cs="宋体" w:hint="eastAsia"/>
          <w:sz w:val="32"/>
        </w:rPr>
        <w:t>1.1</w:t>
      </w:r>
      <w:r w:rsidRPr="00B16786">
        <w:rPr>
          <w:rFonts w:ascii="宋体" w:hAnsi="宋体" w:cs="宋体" w:hint="eastAsia"/>
          <w:sz w:val="32"/>
        </w:rPr>
        <w:t>%，与上年持平；其他税收中</w:t>
      </w:r>
      <w:r w:rsidR="005A6DC6">
        <w:rPr>
          <w:rFonts w:ascii="宋体" w:hAnsi="宋体" w:cs="宋体" w:hint="eastAsia"/>
          <w:sz w:val="32"/>
        </w:rPr>
        <w:t>土地增值税</w:t>
      </w:r>
      <w:r w:rsidR="00410EF3" w:rsidRPr="00B16786">
        <w:rPr>
          <w:rFonts w:ascii="宋体" w:hAnsi="宋体" w:cs="宋体" w:hint="eastAsia"/>
          <w:sz w:val="32"/>
        </w:rPr>
        <w:t>完成</w:t>
      </w:r>
      <w:r w:rsidR="005A6DC6">
        <w:rPr>
          <w:rFonts w:ascii="宋体" w:hAnsi="宋体" w:cs="宋体" w:hint="eastAsia"/>
          <w:sz w:val="32"/>
        </w:rPr>
        <w:t>4033</w:t>
      </w:r>
      <w:r w:rsidR="00410EF3" w:rsidRPr="00B16786">
        <w:rPr>
          <w:rFonts w:ascii="宋体" w:hAnsi="宋体" w:cs="宋体" w:hint="eastAsia"/>
          <w:sz w:val="32"/>
        </w:rPr>
        <w:t>万元，比上年同期</w:t>
      </w:r>
      <w:r w:rsidR="005A6DC6">
        <w:rPr>
          <w:rFonts w:ascii="宋体" w:hAnsi="宋体" w:cs="宋体" w:hint="eastAsia"/>
          <w:sz w:val="32"/>
        </w:rPr>
        <w:t>1710</w:t>
      </w:r>
      <w:r w:rsidR="00410EF3" w:rsidRPr="00B16786">
        <w:rPr>
          <w:rFonts w:ascii="宋体" w:hAnsi="宋体" w:cs="宋体" w:hint="eastAsia"/>
          <w:sz w:val="32"/>
        </w:rPr>
        <w:t>万元增收</w:t>
      </w:r>
      <w:r w:rsidR="005A6DC6">
        <w:rPr>
          <w:rFonts w:ascii="宋体" w:hAnsi="宋体" w:cs="宋体" w:hint="eastAsia"/>
          <w:sz w:val="32"/>
        </w:rPr>
        <w:t>2323</w:t>
      </w:r>
      <w:r w:rsidR="00410EF3" w:rsidRPr="00B16786">
        <w:rPr>
          <w:rFonts w:ascii="宋体" w:hAnsi="宋体" w:cs="宋体" w:hint="eastAsia"/>
          <w:sz w:val="32"/>
        </w:rPr>
        <w:t>万元，增长</w:t>
      </w:r>
      <w:r w:rsidR="005A6DC6">
        <w:rPr>
          <w:rFonts w:ascii="宋体" w:hAnsi="宋体" w:cs="宋体" w:hint="eastAsia"/>
          <w:sz w:val="32"/>
        </w:rPr>
        <w:t>135.8</w:t>
      </w:r>
      <w:r w:rsidR="00410EF3" w:rsidRPr="00B16786">
        <w:rPr>
          <w:rFonts w:ascii="宋体" w:hAnsi="宋体" w:cs="宋体" w:hint="eastAsia"/>
          <w:sz w:val="32"/>
        </w:rPr>
        <w:t>%</w:t>
      </w:r>
      <w:r w:rsidR="005A6DC6">
        <w:rPr>
          <w:rFonts w:ascii="宋体" w:hAnsi="宋体" w:cs="宋体" w:hint="eastAsia"/>
          <w:sz w:val="32"/>
        </w:rPr>
        <w:t>，</w:t>
      </w:r>
      <w:r w:rsidR="005A6DC6" w:rsidRPr="0016554F">
        <w:rPr>
          <w:rFonts w:ascii="宋体" w:hAnsi="宋体" w:cs="宋体" w:hint="eastAsia"/>
          <w:sz w:val="32"/>
        </w:rPr>
        <w:t>占一般公共预算收入的比重为</w:t>
      </w:r>
      <w:r w:rsidR="005A6DC6">
        <w:rPr>
          <w:rFonts w:ascii="宋体" w:hAnsi="宋体" w:cs="宋体" w:hint="eastAsia"/>
          <w:sz w:val="32"/>
        </w:rPr>
        <w:t>7.</w:t>
      </w:r>
      <w:r w:rsidR="005A6DC6" w:rsidRPr="0016554F">
        <w:rPr>
          <w:rFonts w:ascii="宋体" w:hAnsi="宋体" w:cs="宋体" w:hint="eastAsia"/>
          <w:sz w:val="32"/>
        </w:rPr>
        <w:t>5%，较上年同期增长</w:t>
      </w:r>
      <w:r w:rsidR="005A6DC6">
        <w:rPr>
          <w:rFonts w:ascii="宋体" w:hAnsi="宋体" w:cs="宋体" w:hint="eastAsia"/>
          <w:sz w:val="32"/>
        </w:rPr>
        <w:t>4.1</w:t>
      </w:r>
      <w:r w:rsidR="005A6DC6" w:rsidRPr="0016554F">
        <w:rPr>
          <w:rFonts w:ascii="宋体" w:hAnsi="宋体" w:cs="宋体" w:hint="eastAsia"/>
          <w:sz w:val="32"/>
        </w:rPr>
        <w:t>个百分点；</w:t>
      </w:r>
      <w:r w:rsidRPr="00B16786">
        <w:rPr>
          <w:rFonts w:ascii="宋体" w:hAnsi="宋体" w:cs="宋体" w:hint="eastAsia"/>
          <w:sz w:val="32"/>
        </w:rPr>
        <w:t>契税完成</w:t>
      </w:r>
      <w:r w:rsidR="00922D82" w:rsidRPr="00B16786">
        <w:rPr>
          <w:rFonts w:ascii="宋体" w:hAnsi="宋体" w:cs="宋体" w:hint="eastAsia"/>
          <w:sz w:val="32"/>
        </w:rPr>
        <w:t>2877</w:t>
      </w:r>
      <w:r w:rsidRPr="00B16786">
        <w:rPr>
          <w:rFonts w:ascii="宋体" w:hAnsi="宋体" w:cs="宋体" w:hint="eastAsia"/>
          <w:sz w:val="32"/>
        </w:rPr>
        <w:t>万元，比上年同期</w:t>
      </w:r>
      <w:r w:rsidR="00922D82" w:rsidRPr="00B16786">
        <w:rPr>
          <w:rFonts w:ascii="宋体" w:hAnsi="宋体" w:cs="宋体" w:hint="eastAsia"/>
          <w:sz w:val="32"/>
        </w:rPr>
        <w:t>2304</w:t>
      </w:r>
      <w:r w:rsidRPr="00B16786">
        <w:rPr>
          <w:rFonts w:ascii="宋体" w:hAnsi="宋体" w:cs="宋体" w:hint="eastAsia"/>
          <w:sz w:val="32"/>
        </w:rPr>
        <w:t>万元</w:t>
      </w:r>
      <w:r w:rsidR="00B16786" w:rsidRPr="00B16786">
        <w:rPr>
          <w:rFonts w:ascii="宋体" w:hAnsi="宋体" w:cs="宋体" w:hint="eastAsia"/>
          <w:sz w:val="32"/>
        </w:rPr>
        <w:t>增收573</w:t>
      </w:r>
      <w:r w:rsidRPr="00B16786">
        <w:rPr>
          <w:rFonts w:ascii="宋体" w:hAnsi="宋体" w:cs="宋体" w:hint="eastAsia"/>
          <w:sz w:val="32"/>
        </w:rPr>
        <w:t>万元，</w:t>
      </w:r>
      <w:r w:rsidR="00B16786" w:rsidRPr="00B16786">
        <w:rPr>
          <w:rFonts w:ascii="宋体" w:hAnsi="宋体" w:cs="宋体" w:hint="eastAsia"/>
          <w:sz w:val="32"/>
        </w:rPr>
        <w:t>增长24.9</w:t>
      </w:r>
      <w:r w:rsidRPr="00B16786">
        <w:rPr>
          <w:rFonts w:ascii="宋体" w:hAnsi="宋体" w:cs="宋体" w:hint="eastAsia"/>
          <w:sz w:val="32"/>
        </w:rPr>
        <w:t>%</w:t>
      </w:r>
      <w:r w:rsidR="005A6DC6">
        <w:rPr>
          <w:rFonts w:ascii="宋体" w:hAnsi="宋体" w:cs="宋体" w:hint="eastAsia"/>
          <w:sz w:val="32"/>
        </w:rPr>
        <w:t>，</w:t>
      </w:r>
      <w:r w:rsidR="005A6DC6" w:rsidRPr="0016554F">
        <w:rPr>
          <w:rFonts w:ascii="宋体" w:hAnsi="宋体" w:cs="宋体" w:hint="eastAsia"/>
          <w:sz w:val="32"/>
        </w:rPr>
        <w:t>占一般公共预算收入的比重为5</w:t>
      </w:r>
      <w:r w:rsidR="005A6DC6">
        <w:rPr>
          <w:rFonts w:ascii="宋体" w:hAnsi="宋体" w:cs="宋体" w:hint="eastAsia"/>
          <w:sz w:val="32"/>
        </w:rPr>
        <w:t>.4</w:t>
      </w:r>
      <w:r w:rsidR="005A6DC6" w:rsidRPr="0016554F">
        <w:rPr>
          <w:rFonts w:ascii="宋体" w:hAnsi="宋体" w:cs="宋体" w:hint="eastAsia"/>
          <w:sz w:val="32"/>
        </w:rPr>
        <w:t>%，较上年同期增长</w:t>
      </w:r>
      <w:r w:rsidR="005A6DC6">
        <w:rPr>
          <w:rFonts w:ascii="宋体" w:hAnsi="宋体" w:cs="宋体" w:hint="eastAsia"/>
          <w:sz w:val="32"/>
        </w:rPr>
        <w:t>0.8个百分点</w:t>
      </w:r>
      <w:r w:rsidRPr="00ED6F37">
        <w:rPr>
          <w:rFonts w:ascii="宋体" w:hAnsi="宋体" w:cs="宋体" w:hint="eastAsia"/>
          <w:sz w:val="32"/>
        </w:rPr>
        <w:t>；</w:t>
      </w:r>
      <w:r w:rsidR="005A6DC6" w:rsidRPr="00ED6F37">
        <w:rPr>
          <w:rFonts w:ascii="宋体" w:hAnsi="宋体" w:cs="宋体" w:hint="eastAsia"/>
          <w:sz w:val="32"/>
        </w:rPr>
        <w:t>城市维护建设税完成</w:t>
      </w:r>
      <w:r w:rsidR="00ED6F37" w:rsidRPr="00ED6F37">
        <w:rPr>
          <w:rFonts w:ascii="宋体" w:hAnsi="宋体" w:cs="宋体" w:hint="eastAsia"/>
          <w:sz w:val="32"/>
        </w:rPr>
        <w:t>2347</w:t>
      </w:r>
      <w:r w:rsidR="005A6DC6" w:rsidRPr="00ED6F37">
        <w:rPr>
          <w:rFonts w:ascii="宋体" w:hAnsi="宋体" w:cs="宋体" w:hint="eastAsia"/>
          <w:sz w:val="32"/>
        </w:rPr>
        <w:t>万元，比上年同期</w:t>
      </w:r>
      <w:r w:rsidR="00ED6F37" w:rsidRPr="00ED6F37">
        <w:rPr>
          <w:rFonts w:ascii="宋体" w:hAnsi="宋体" w:cs="宋体" w:hint="eastAsia"/>
          <w:sz w:val="32"/>
        </w:rPr>
        <w:t>2939</w:t>
      </w:r>
      <w:r w:rsidR="005A6DC6" w:rsidRPr="00ED6F37">
        <w:rPr>
          <w:rFonts w:ascii="宋体" w:hAnsi="宋体" w:cs="宋体" w:hint="eastAsia"/>
          <w:sz w:val="32"/>
        </w:rPr>
        <w:t>万元</w:t>
      </w:r>
      <w:r w:rsidR="00ED6F37" w:rsidRPr="00ED6F37">
        <w:rPr>
          <w:rFonts w:ascii="宋体" w:hAnsi="宋体" w:cs="宋体" w:hint="eastAsia"/>
          <w:sz w:val="32"/>
        </w:rPr>
        <w:t>减</w:t>
      </w:r>
      <w:r w:rsidR="005A6DC6" w:rsidRPr="00ED6F37">
        <w:rPr>
          <w:rFonts w:ascii="宋体" w:hAnsi="宋体" w:cs="宋体" w:hint="eastAsia"/>
          <w:sz w:val="32"/>
        </w:rPr>
        <w:t>收</w:t>
      </w:r>
      <w:r w:rsidR="00ED6F37" w:rsidRPr="00ED6F37">
        <w:rPr>
          <w:rFonts w:ascii="宋体" w:hAnsi="宋体" w:cs="宋体" w:hint="eastAsia"/>
          <w:sz w:val="32"/>
        </w:rPr>
        <w:t>592万元，下降20.1%，占一般公共预算收入的比重为4.4%，较上年同期下降1.5个百分点；</w:t>
      </w:r>
      <w:r w:rsidRPr="00ED6F37">
        <w:rPr>
          <w:rFonts w:ascii="宋体" w:hAnsi="宋体" w:cs="宋体" w:hint="eastAsia"/>
          <w:sz w:val="32"/>
        </w:rPr>
        <w:t>非税收入完成</w:t>
      </w:r>
      <w:r w:rsidR="00B16786" w:rsidRPr="00ED6F37">
        <w:rPr>
          <w:rFonts w:ascii="宋体" w:hAnsi="宋体" w:cs="宋体" w:hint="eastAsia"/>
          <w:sz w:val="32"/>
        </w:rPr>
        <w:t>23729</w:t>
      </w:r>
      <w:r w:rsidRPr="00ED6F37">
        <w:rPr>
          <w:rFonts w:ascii="宋体" w:hAnsi="宋体" w:cs="宋体" w:hint="eastAsia"/>
          <w:sz w:val="32"/>
        </w:rPr>
        <w:t>万元，比上年同期</w:t>
      </w:r>
      <w:r w:rsidR="00B16786" w:rsidRPr="00ED6F37">
        <w:rPr>
          <w:rFonts w:ascii="宋体" w:hAnsi="宋体" w:cs="宋体" w:hint="eastAsia"/>
          <w:sz w:val="32"/>
        </w:rPr>
        <w:t>19647</w:t>
      </w:r>
      <w:r w:rsidRPr="00ED6F37">
        <w:rPr>
          <w:rFonts w:ascii="宋体" w:hAnsi="宋体" w:cs="宋体" w:hint="eastAsia"/>
          <w:sz w:val="32"/>
        </w:rPr>
        <w:t>万元增收</w:t>
      </w:r>
      <w:r w:rsidR="00410EF3" w:rsidRPr="00ED6F37">
        <w:rPr>
          <w:rFonts w:ascii="宋体" w:hAnsi="宋体" w:cs="宋体" w:hint="eastAsia"/>
          <w:sz w:val="32"/>
        </w:rPr>
        <w:t>4</w:t>
      </w:r>
      <w:r w:rsidR="00B16786" w:rsidRPr="00ED6F37">
        <w:rPr>
          <w:rFonts w:ascii="宋体" w:hAnsi="宋体" w:cs="宋体" w:hint="eastAsia"/>
          <w:sz w:val="32"/>
        </w:rPr>
        <w:t>082</w:t>
      </w:r>
      <w:r w:rsidRPr="00ED6F37">
        <w:rPr>
          <w:rFonts w:ascii="宋体" w:hAnsi="宋体" w:cs="宋体" w:hint="eastAsia"/>
          <w:sz w:val="32"/>
        </w:rPr>
        <w:t>万元，增长</w:t>
      </w:r>
      <w:r w:rsidR="00B16786" w:rsidRPr="00ED6F37">
        <w:rPr>
          <w:rFonts w:ascii="宋体" w:hAnsi="宋体" w:cs="宋体" w:hint="eastAsia"/>
          <w:sz w:val="32"/>
        </w:rPr>
        <w:t>20.8</w:t>
      </w:r>
      <w:r w:rsidRPr="00ED6F37">
        <w:rPr>
          <w:rFonts w:ascii="宋体" w:hAnsi="宋体" w:cs="宋体" w:hint="eastAsia"/>
          <w:sz w:val="32"/>
        </w:rPr>
        <w:t>%，占一般公共预算收入的比重为</w:t>
      </w:r>
      <w:r w:rsidR="00B16786" w:rsidRPr="00ED6F37">
        <w:rPr>
          <w:rFonts w:ascii="宋体" w:hAnsi="宋体" w:cs="宋体" w:hint="eastAsia"/>
          <w:sz w:val="32"/>
        </w:rPr>
        <w:t>44.1</w:t>
      </w:r>
      <w:r w:rsidRPr="00ED6F37">
        <w:rPr>
          <w:rFonts w:ascii="宋体" w:hAnsi="宋体" w:cs="宋体" w:hint="eastAsia"/>
          <w:sz w:val="32"/>
        </w:rPr>
        <w:t>%，比上年同期增长</w:t>
      </w:r>
      <w:r w:rsidR="00B16786" w:rsidRPr="00ED6F37">
        <w:rPr>
          <w:rFonts w:ascii="宋体" w:hAnsi="宋体" w:cs="宋体" w:hint="eastAsia"/>
          <w:sz w:val="32"/>
        </w:rPr>
        <w:t>4.9</w:t>
      </w:r>
      <w:r w:rsidRPr="00ED6F37">
        <w:rPr>
          <w:rFonts w:ascii="宋体" w:hAnsi="宋体" w:cs="宋体" w:hint="eastAsia"/>
          <w:sz w:val="32"/>
        </w:rPr>
        <w:t>个百分点。</w:t>
      </w:r>
    </w:p>
    <w:tbl>
      <w:tblPr>
        <w:tblW w:w="7381" w:type="dxa"/>
        <w:tblInd w:w="98" w:type="dxa"/>
        <w:tblLayout w:type="fixed"/>
        <w:tblLook w:val="04A0"/>
      </w:tblPr>
      <w:tblGrid>
        <w:gridCol w:w="1711"/>
        <w:gridCol w:w="993"/>
        <w:gridCol w:w="850"/>
        <w:gridCol w:w="851"/>
        <w:gridCol w:w="850"/>
        <w:gridCol w:w="992"/>
        <w:gridCol w:w="1134"/>
      </w:tblGrid>
      <w:tr w:rsidR="005155CB">
        <w:trPr>
          <w:trHeight w:val="585"/>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155CB" w:rsidRPr="00ED6F37" w:rsidRDefault="00424C68">
            <w:pPr>
              <w:jc w:val="center"/>
              <w:rPr>
                <w:rFonts w:ascii="楷体_GB2312" w:eastAsia="楷体_GB2312" w:hAnsi="宋体" w:cs="宋体"/>
                <w:b/>
                <w:bCs/>
                <w:color w:val="000000"/>
                <w:sz w:val="24"/>
                <w:szCs w:val="24"/>
              </w:rPr>
            </w:pPr>
            <w:r w:rsidRPr="00ED6F37">
              <w:rPr>
                <w:rFonts w:ascii="楷体_GB2312" w:eastAsia="楷体_GB2312" w:hint="eastAsia"/>
                <w:b/>
                <w:bCs/>
                <w:color w:val="000000"/>
              </w:rPr>
              <w:t>收入项目</w:t>
            </w: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5155CB" w:rsidRPr="00ED6F37" w:rsidRDefault="00424C68" w:rsidP="00AB1ED6">
            <w:pPr>
              <w:jc w:val="center"/>
              <w:rPr>
                <w:rFonts w:ascii="楷体_GB2312" w:eastAsia="楷体_GB2312" w:hAnsi="宋体" w:cs="宋体"/>
                <w:b/>
                <w:bCs/>
                <w:color w:val="000000"/>
                <w:sz w:val="24"/>
                <w:szCs w:val="24"/>
              </w:rPr>
            </w:pPr>
            <w:r w:rsidRPr="00ED6F37">
              <w:rPr>
                <w:rFonts w:ascii="楷体_GB2312" w:eastAsia="楷体_GB2312" w:hint="eastAsia"/>
                <w:b/>
                <w:bCs/>
                <w:color w:val="000000"/>
              </w:rPr>
              <w:t>202</w:t>
            </w:r>
            <w:r w:rsidR="00AB1ED6" w:rsidRPr="00ED6F37">
              <w:rPr>
                <w:rFonts w:ascii="楷体_GB2312" w:eastAsia="楷体_GB2312" w:hint="eastAsia"/>
                <w:b/>
                <w:bCs/>
                <w:color w:val="000000"/>
              </w:rPr>
              <w:t>1</w:t>
            </w:r>
            <w:r w:rsidRPr="00ED6F37">
              <w:rPr>
                <w:rFonts w:ascii="楷体_GB2312" w:eastAsia="楷体_GB2312" w:hint="eastAsia"/>
                <w:b/>
                <w:bCs/>
                <w:color w:val="000000"/>
              </w:rPr>
              <w:t>年</w:t>
            </w:r>
          </w:p>
        </w:tc>
        <w:tc>
          <w:tcPr>
            <w:tcW w:w="1701" w:type="dxa"/>
            <w:gridSpan w:val="2"/>
            <w:tcBorders>
              <w:top w:val="single" w:sz="8" w:space="0" w:color="auto"/>
              <w:left w:val="nil"/>
              <w:bottom w:val="single" w:sz="8" w:space="0" w:color="auto"/>
              <w:right w:val="single" w:sz="8" w:space="0" w:color="000000"/>
            </w:tcBorders>
            <w:shd w:val="clear" w:color="auto" w:fill="auto"/>
            <w:vAlign w:val="center"/>
          </w:tcPr>
          <w:p w:rsidR="005155CB" w:rsidRPr="00ED6F37" w:rsidRDefault="00424C68" w:rsidP="00AB1ED6">
            <w:pPr>
              <w:jc w:val="center"/>
              <w:rPr>
                <w:rFonts w:ascii="楷体_GB2312" w:eastAsia="楷体_GB2312" w:hAnsi="宋体" w:cs="宋体"/>
                <w:b/>
                <w:bCs/>
                <w:color w:val="000000"/>
                <w:sz w:val="24"/>
                <w:szCs w:val="24"/>
              </w:rPr>
            </w:pPr>
            <w:r w:rsidRPr="00ED6F37">
              <w:rPr>
                <w:rFonts w:ascii="楷体_GB2312" w:eastAsia="楷体_GB2312" w:hint="eastAsia"/>
                <w:b/>
                <w:bCs/>
                <w:color w:val="000000"/>
              </w:rPr>
              <w:t>20</w:t>
            </w:r>
            <w:r w:rsidR="00AB1ED6" w:rsidRPr="00ED6F37">
              <w:rPr>
                <w:rFonts w:ascii="楷体_GB2312" w:eastAsia="楷体_GB2312" w:hint="eastAsia"/>
                <w:b/>
                <w:bCs/>
                <w:color w:val="000000"/>
              </w:rPr>
              <w:t>20</w:t>
            </w:r>
            <w:r w:rsidRPr="00ED6F37">
              <w:rPr>
                <w:rFonts w:ascii="楷体_GB2312" w:eastAsia="楷体_GB2312" w:hint="eastAsia"/>
                <w:b/>
                <w:bCs/>
                <w:color w:val="000000"/>
              </w:rPr>
              <w:t>年</w:t>
            </w:r>
          </w:p>
        </w:tc>
        <w:tc>
          <w:tcPr>
            <w:tcW w:w="2126" w:type="dxa"/>
            <w:gridSpan w:val="2"/>
            <w:tcBorders>
              <w:top w:val="single" w:sz="8" w:space="0" w:color="auto"/>
              <w:left w:val="nil"/>
              <w:bottom w:val="single" w:sz="8" w:space="0" w:color="auto"/>
              <w:right w:val="single" w:sz="8" w:space="0" w:color="000000"/>
            </w:tcBorders>
            <w:shd w:val="clear" w:color="auto" w:fill="auto"/>
            <w:vAlign w:val="center"/>
          </w:tcPr>
          <w:p w:rsidR="005155CB" w:rsidRDefault="00424C68">
            <w:pPr>
              <w:jc w:val="center"/>
              <w:rPr>
                <w:rFonts w:ascii="楷体_GB2312" w:eastAsia="楷体_GB2312" w:hAnsi="宋体" w:cs="宋体"/>
                <w:b/>
                <w:bCs/>
                <w:color w:val="000000"/>
                <w:sz w:val="24"/>
                <w:szCs w:val="24"/>
              </w:rPr>
            </w:pPr>
            <w:r w:rsidRPr="00ED6F37">
              <w:rPr>
                <w:rFonts w:ascii="楷体_GB2312" w:eastAsia="楷体_GB2312" w:hint="eastAsia"/>
                <w:b/>
                <w:bCs/>
                <w:color w:val="000000"/>
              </w:rPr>
              <w:t>比较</w:t>
            </w:r>
          </w:p>
        </w:tc>
      </w:tr>
      <w:tr w:rsidR="005155CB">
        <w:trPr>
          <w:trHeight w:val="300"/>
        </w:trPr>
        <w:tc>
          <w:tcPr>
            <w:tcW w:w="1711" w:type="dxa"/>
            <w:vMerge/>
            <w:tcBorders>
              <w:top w:val="single" w:sz="8" w:space="0" w:color="auto"/>
              <w:left w:val="single" w:sz="8" w:space="0" w:color="auto"/>
              <w:bottom w:val="single" w:sz="8" w:space="0" w:color="000000"/>
              <w:right w:val="single" w:sz="8" w:space="0" w:color="auto"/>
            </w:tcBorders>
            <w:vAlign w:val="center"/>
          </w:tcPr>
          <w:p w:rsidR="005155CB" w:rsidRDefault="005155CB">
            <w:pPr>
              <w:rPr>
                <w:rFonts w:ascii="楷体_GB2312" w:eastAsia="楷体_GB2312" w:hAnsi="宋体" w:cs="宋体"/>
                <w:b/>
                <w:bCs/>
                <w:color w:val="000000"/>
                <w:sz w:val="24"/>
                <w:szCs w:val="24"/>
              </w:rPr>
            </w:pPr>
          </w:p>
        </w:tc>
        <w:tc>
          <w:tcPr>
            <w:tcW w:w="993"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收入数</w:t>
            </w:r>
          </w:p>
        </w:tc>
        <w:tc>
          <w:tcPr>
            <w:tcW w:w="850"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比重</w:t>
            </w:r>
          </w:p>
        </w:tc>
        <w:tc>
          <w:tcPr>
            <w:tcW w:w="851"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收入数</w:t>
            </w:r>
          </w:p>
        </w:tc>
        <w:tc>
          <w:tcPr>
            <w:tcW w:w="850"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比重</w:t>
            </w:r>
          </w:p>
        </w:tc>
        <w:tc>
          <w:tcPr>
            <w:tcW w:w="992"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增收</w:t>
            </w:r>
          </w:p>
        </w:tc>
        <w:tc>
          <w:tcPr>
            <w:tcW w:w="1134" w:type="dxa"/>
            <w:tcBorders>
              <w:top w:val="nil"/>
              <w:left w:val="nil"/>
              <w:bottom w:val="single" w:sz="8" w:space="0" w:color="auto"/>
              <w:right w:val="single" w:sz="8" w:space="0" w:color="auto"/>
            </w:tcBorders>
            <w:shd w:val="clear" w:color="auto" w:fill="auto"/>
            <w:vAlign w:val="center"/>
          </w:tcPr>
          <w:p w:rsidR="005155CB" w:rsidRDefault="00424C68">
            <w:pPr>
              <w:jc w:val="center"/>
              <w:rPr>
                <w:rFonts w:ascii="楷体_GB2312" w:eastAsia="楷体_GB2312" w:hAnsi="宋体" w:cs="宋体"/>
                <w:b/>
                <w:bCs/>
                <w:color w:val="000000"/>
                <w:sz w:val="24"/>
                <w:szCs w:val="24"/>
              </w:rPr>
            </w:pPr>
            <w:r>
              <w:rPr>
                <w:rFonts w:ascii="楷体_GB2312" w:eastAsia="楷体_GB2312" w:hint="eastAsia"/>
                <w:b/>
                <w:bCs/>
                <w:color w:val="000000"/>
              </w:rPr>
              <w:t>增幅</w:t>
            </w:r>
          </w:p>
        </w:tc>
      </w:tr>
      <w:tr w:rsidR="005F2B4C">
        <w:trPr>
          <w:trHeight w:val="38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增值税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11335</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21.1%</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14099</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28.1%</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-2764</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-19.6%</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企业所得税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2683</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5.0%</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1667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3.3%</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1016</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60.9%</w:t>
            </w:r>
          </w:p>
        </w:tc>
      </w:tr>
      <w:tr w:rsidR="005F2B4C">
        <w:trPr>
          <w:trHeight w:val="336"/>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个人所得税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566</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1.1%</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508</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1.0%</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58</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11.4%</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资源税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339</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0.6%</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297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0.6%</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42</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14.1%</w:t>
            </w:r>
          </w:p>
        </w:tc>
      </w:tr>
      <w:tr w:rsidR="005F2B4C">
        <w:trPr>
          <w:trHeight w:val="318"/>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城市维护建设税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2347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4.4%</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2939</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5.9%</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-592</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-20.1%</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房产税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1704</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3.2%</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1834</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3.7%</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-130</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-7.1%</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印花税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1149</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2.1%</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1028</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2.0%</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121</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11.8%</w:t>
            </w:r>
          </w:p>
        </w:tc>
      </w:tr>
      <w:tr w:rsidR="005F2B4C">
        <w:trPr>
          <w:trHeight w:val="378"/>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城镇土地使用税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1113</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2.1%</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1270</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2.5%</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-157</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-12.4%</w:t>
            </w:r>
          </w:p>
        </w:tc>
      </w:tr>
      <w:tr w:rsidR="005F2B4C">
        <w:trPr>
          <w:trHeight w:val="328"/>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土地增值税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4033</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7.5%</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1710</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3.4%</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2323</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135.8%</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车船税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2106</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3.9%</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2047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4.1%</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59</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2.9%</w:t>
            </w:r>
          </w:p>
        </w:tc>
      </w:tr>
      <w:tr w:rsidR="005F2B4C">
        <w:trPr>
          <w:trHeight w:val="416"/>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耕地占用税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-318</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-0.6%</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685</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1.4%</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-1003</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-146.4%</w:t>
            </w:r>
          </w:p>
        </w:tc>
      </w:tr>
      <w:tr w:rsidR="005F2B4C">
        <w:trPr>
          <w:trHeight w:val="300"/>
        </w:trPr>
        <w:tc>
          <w:tcPr>
            <w:tcW w:w="1711" w:type="dxa"/>
            <w:tcBorders>
              <w:top w:val="nil"/>
              <w:left w:val="single" w:sz="8" w:space="0" w:color="auto"/>
              <w:bottom w:val="single" w:sz="8" w:space="0" w:color="auto"/>
              <w:right w:val="single" w:sz="8" w:space="0" w:color="auto"/>
            </w:tcBorders>
            <w:shd w:val="clear" w:color="000000" w:fill="FFFFFF"/>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lastRenderedPageBreak/>
              <w:t>契税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2877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5.4%</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2304</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4.6%</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573</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24.9%</w:t>
            </w:r>
          </w:p>
        </w:tc>
      </w:tr>
      <w:tr w:rsidR="005F2B4C">
        <w:trPr>
          <w:trHeight w:val="416"/>
        </w:trPr>
        <w:tc>
          <w:tcPr>
            <w:tcW w:w="1711" w:type="dxa"/>
            <w:tcBorders>
              <w:top w:val="nil"/>
              <w:left w:val="single" w:sz="8" w:space="0" w:color="auto"/>
              <w:bottom w:val="single" w:sz="8" w:space="0" w:color="auto"/>
              <w:right w:val="single" w:sz="8" w:space="0" w:color="auto"/>
            </w:tcBorders>
            <w:shd w:val="clear" w:color="auto" w:fill="auto"/>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环境保护税</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83</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0.2%</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85</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0.2%</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-2.4%</w:t>
            </w:r>
          </w:p>
        </w:tc>
      </w:tr>
      <w:tr w:rsidR="005F2B4C">
        <w:trPr>
          <w:trHeight w:val="338"/>
        </w:trPr>
        <w:tc>
          <w:tcPr>
            <w:tcW w:w="1711" w:type="dxa"/>
            <w:tcBorders>
              <w:top w:val="nil"/>
              <w:left w:val="single" w:sz="8" w:space="0" w:color="auto"/>
              <w:bottom w:val="single" w:sz="8" w:space="0" w:color="auto"/>
              <w:right w:val="single" w:sz="8" w:space="0" w:color="auto"/>
            </w:tcBorders>
            <w:shd w:val="clear" w:color="auto" w:fill="auto"/>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其他税收收入</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8</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0.0%</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32</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0.1%</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-24</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-75.0%</w:t>
            </w:r>
          </w:p>
        </w:tc>
      </w:tr>
      <w:tr w:rsidR="005F2B4C">
        <w:trPr>
          <w:trHeight w:val="300"/>
        </w:trPr>
        <w:tc>
          <w:tcPr>
            <w:tcW w:w="1711" w:type="dxa"/>
            <w:tcBorders>
              <w:top w:val="nil"/>
              <w:left w:val="single" w:sz="8" w:space="0" w:color="auto"/>
              <w:bottom w:val="single" w:sz="8" w:space="0" w:color="auto"/>
              <w:right w:val="single" w:sz="8" w:space="0" w:color="auto"/>
            </w:tcBorders>
            <w:shd w:val="clear" w:color="auto" w:fill="auto"/>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非税收入</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23729</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44.1%</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19647</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39.2%</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4082</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20.8%</w:t>
            </w:r>
          </w:p>
        </w:tc>
      </w:tr>
      <w:tr w:rsidR="005F2B4C" w:rsidTr="00AB1ED6">
        <w:trPr>
          <w:trHeight w:val="384"/>
        </w:trPr>
        <w:tc>
          <w:tcPr>
            <w:tcW w:w="1711" w:type="dxa"/>
            <w:tcBorders>
              <w:top w:val="nil"/>
              <w:left w:val="single" w:sz="8" w:space="0" w:color="auto"/>
              <w:bottom w:val="single" w:sz="8" w:space="0" w:color="auto"/>
              <w:right w:val="single" w:sz="8" w:space="0" w:color="auto"/>
            </w:tcBorders>
            <w:shd w:val="clear" w:color="auto" w:fill="auto"/>
            <w:vAlign w:val="center"/>
          </w:tcPr>
          <w:p w:rsidR="005F2B4C" w:rsidRDefault="005F2B4C">
            <w:pPr>
              <w:rPr>
                <w:rFonts w:ascii="楷体_GB2312" w:eastAsia="楷体_GB2312" w:hAnsi="宋体" w:cs="宋体"/>
                <w:b/>
                <w:bCs/>
                <w:color w:val="000000"/>
                <w:sz w:val="20"/>
                <w:szCs w:val="20"/>
              </w:rPr>
            </w:pPr>
            <w:r>
              <w:rPr>
                <w:rFonts w:ascii="楷体_GB2312" w:eastAsia="楷体_GB2312" w:hint="eastAsia"/>
                <w:b/>
                <w:bCs/>
                <w:color w:val="000000"/>
                <w:sz w:val="20"/>
                <w:szCs w:val="20"/>
              </w:rPr>
              <w:t>合计</w:t>
            </w:r>
          </w:p>
        </w:tc>
        <w:tc>
          <w:tcPr>
            <w:tcW w:w="993"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53754</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50152</w:t>
            </w:r>
          </w:p>
        </w:tc>
        <w:tc>
          <w:tcPr>
            <w:tcW w:w="850"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color w:val="000000"/>
                <w:sz w:val="20"/>
                <w:szCs w:val="20"/>
              </w:rPr>
            </w:pPr>
            <w:r>
              <w:rPr>
                <w:rFonts w:ascii="楷体_GB2312" w:eastAsia="楷体_GB2312" w:hint="eastAsia"/>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3602</w:t>
            </w:r>
          </w:p>
        </w:tc>
        <w:tc>
          <w:tcPr>
            <w:tcW w:w="1134" w:type="dxa"/>
            <w:tcBorders>
              <w:top w:val="nil"/>
              <w:left w:val="nil"/>
              <w:bottom w:val="single" w:sz="8" w:space="0" w:color="auto"/>
              <w:right w:val="single" w:sz="8" w:space="0" w:color="auto"/>
            </w:tcBorders>
            <w:shd w:val="clear" w:color="auto" w:fill="auto"/>
            <w:vAlign w:val="center"/>
          </w:tcPr>
          <w:p w:rsidR="005F2B4C" w:rsidRDefault="005F2B4C">
            <w:pPr>
              <w:jc w:val="center"/>
              <w:rPr>
                <w:rFonts w:ascii="楷体_GB2312" w:eastAsia="楷体_GB2312" w:hAnsi="宋体" w:cs="宋体"/>
                <w:sz w:val="20"/>
                <w:szCs w:val="20"/>
              </w:rPr>
            </w:pPr>
            <w:r>
              <w:rPr>
                <w:rFonts w:ascii="楷体_GB2312" w:eastAsia="楷体_GB2312" w:hint="eastAsia"/>
                <w:sz w:val="20"/>
                <w:szCs w:val="20"/>
              </w:rPr>
              <w:t>7.2%</w:t>
            </w:r>
          </w:p>
        </w:tc>
      </w:tr>
    </w:tbl>
    <w:p w:rsidR="005155CB" w:rsidRDefault="005155CB">
      <w:pPr>
        <w:ind w:firstLine="640"/>
        <w:rPr>
          <w:rFonts w:ascii="仿宋_GB2312" w:eastAsia="仿宋_GB2312" w:hAnsi="仿宋" w:cs="仿宋"/>
          <w:sz w:val="32"/>
        </w:rPr>
      </w:pPr>
    </w:p>
    <w:p w:rsidR="005155CB" w:rsidRDefault="00424C68">
      <w:pPr>
        <w:ind w:firstLine="640"/>
        <w:rPr>
          <w:rFonts w:ascii="宋体" w:hAnsi="宋体" w:cs="宋体"/>
          <w:b/>
          <w:bCs/>
          <w:sz w:val="32"/>
          <w:szCs w:val="32"/>
        </w:rPr>
      </w:pPr>
      <w:r>
        <w:rPr>
          <w:rFonts w:ascii="宋体" w:hAnsi="宋体" w:cs="宋体" w:hint="eastAsia"/>
          <w:b/>
          <w:bCs/>
          <w:sz w:val="32"/>
          <w:szCs w:val="32"/>
        </w:rPr>
        <w:t>（三）一般公共预算支出完成情况</w:t>
      </w:r>
    </w:p>
    <w:p w:rsidR="005155CB" w:rsidRDefault="00424C68">
      <w:pPr>
        <w:ind w:firstLine="640"/>
        <w:rPr>
          <w:rFonts w:ascii="宋体" w:hAnsi="宋体" w:cs="宋体"/>
          <w:sz w:val="32"/>
        </w:rPr>
      </w:pPr>
      <w:r>
        <w:rPr>
          <w:rFonts w:ascii="宋体" w:hAnsi="宋体" w:cs="宋体" w:hint="eastAsia"/>
          <w:sz w:val="32"/>
        </w:rPr>
        <w:t>今年以来，财政部门在市委、市政府的正确领导下，认真落实积极的财政政策，加强支出预算执行管理，积极盘活财政存量，保障民生等重点支出需要。</w:t>
      </w:r>
      <w:r w:rsidR="005F2B4C" w:rsidRPr="005F2B4C">
        <w:rPr>
          <w:rFonts w:ascii="宋体" w:hAnsi="宋体" w:cs="宋体" w:hint="eastAsia"/>
          <w:sz w:val="32"/>
        </w:rPr>
        <w:t>2021年一般公共预算支出275624万元，占调整预算91.8%,比上年下降7.5%，主要原因是2020年上级下达特殊转移支付资金1.6亿元及2021年取消权责发生制列支。</w:t>
      </w:r>
    </w:p>
    <w:p w:rsidR="005155CB" w:rsidRDefault="00BA72CE">
      <w:pPr>
        <w:ind w:firstLine="643"/>
        <w:jc w:val="center"/>
      </w:pPr>
      <w:r>
        <w:rPr>
          <w:noProof/>
        </w:rPr>
        <w:lastRenderedPageBreak/>
        <w:drawing>
          <wp:inline distT="0" distB="0" distL="0" distR="0">
            <wp:extent cx="6010275" cy="4162425"/>
            <wp:effectExtent l="19050" t="0" r="9525"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2B4C" w:rsidRDefault="005F2B4C" w:rsidP="005F2B4C">
      <w:pPr>
        <w:spacing w:line="600" w:lineRule="exact"/>
        <w:ind w:firstLine="643"/>
        <w:rPr>
          <w:rFonts w:ascii="宋体" w:hAnsi="宋体" w:cs="宋体"/>
          <w:sz w:val="32"/>
        </w:rPr>
      </w:pPr>
    </w:p>
    <w:p w:rsidR="005F2B4C" w:rsidRDefault="005F2B4C" w:rsidP="0030591E">
      <w:pPr>
        <w:spacing w:line="600" w:lineRule="exact"/>
        <w:ind w:firstLine="643"/>
        <w:rPr>
          <w:rFonts w:ascii="宋体" w:hAnsi="宋体" w:cs="宋体"/>
          <w:sz w:val="32"/>
        </w:rPr>
      </w:pPr>
      <w:r w:rsidRPr="005F2B4C">
        <w:rPr>
          <w:rFonts w:ascii="宋体" w:hAnsi="宋体" w:cs="宋体" w:hint="eastAsia"/>
          <w:sz w:val="32"/>
        </w:rPr>
        <w:t>主要项目执行情况是：一般公共服务30702万元,占调整预算99.8%，比上年增长18.2%；公共安全支出8461万元，占调整预算95.3%,比上年下降14.9%；教育支出68255万元,占调整预算95.7%,比上年增长6.2%；科学技术支出1883万元,占调整预算100%,比上年增长52.7%；文化旅游体育与传媒11288万元,占调整预算96.9%，比上年下降41.1%；社会保障和就业42465万元,占调整预算98.8%,比上年增长15.8%；卫生健康支出24516万元,占调整预算96.3%,比上年增长2.7%;节能环保支出8439万元，占调整预算71.9%，比上年下降58.1%；城乡社区事务15555万元，占调整预算99.6%，比上年下降32.4%；农林水支出35314万元，占调整预算74.7%，比上年下降14.9%；交通运输支出12563万元，占调整</w:t>
      </w:r>
      <w:r w:rsidRPr="005F2B4C">
        <w:rPr>
          <w:rFonts w:ascii="宋体" w:hAnsi="宋体" w:cs="宋体" w:hint="eastAsia"/>
          <w:sz w:val="32"/>
        </w:rPr>
        <w:lastRenderedPageBreak/>
        <w:t>预算84.5%，比上年下降7%；资源勘探信息等支出4011万元，占调整预算98.6%，比上年下降53.3%；</w:t>
      </w:r>
      <w:r w:rsidR="0030591E">
        <w:rPr>
          <w:rFonts w:ascii="宋体" w:hAnsi="宋体" w:cs="宋体" w:hint="eastAsia"/>
          <w:sz w:val="32"/>
        </w:rPr>
        <w:t>商业服务业等支出662万元，</w:t>
      </w:r>
      <w:r w:rsidR="0030591E" w:rsidRPr="005F2B4C">
        <w:rPr>
          <w:rFonts w:ascii="宋体" w:hAnsi="宋体" w:cs="宋体" w:hint="eastAsia"/>
          <w:sz w:val="32"/>
        </w:rPr>
        <w:t>占调整预算</w:t>
      </w:r>
      <w:r w:rsidR="0030591E">
        <w:rPr>
          <w:rFonts w:ascii="宋体" w:hAnsi="宋体" w:cs="宋体" w:hint="eastAsia"/>
          <w:sz w:val="32"/>
        </w:rPr>
        <w:t>99.5</w:t>
      </w:r>
      <w:r w:rsidR="0030591E" w:rsidRPr="005F2B4C">
        <w:rPr>
          <w:rFonts w:ascii="宋体" w:hAnsi="宋体" w:cs="宋体" w:hint="eastAsia"/>
          <w:sz w:val="32"/>
        </w:rPr>
        <w:t>%，比上年下降</w:t>
      </w:r>
      <w:r w:rsidR="0030591E">
        <w:rPr>
          <w:rFonts w:ascii="宋体" w:hAnsi="宋体" w:cs="宋体" w:hint="eastAsia"/>
          <w:sz w:val="32"/>
        </w:rPr>
        <w:t>80.5</w:t>
      </w:r>
      <w:r w:rsidR="0030591E" w:rsidRPr="005F2B4C">
        <w:rPr>
          <w:rFonts w:ascii="宋体" w:hAnsi="宋体" w:cs="宋体" w:hint="eastAsia"/>
          <w:sz w:val="32"/>
        </w:rPr>
        <w:t>%；</w:t>
      </w:r>
      <w:r w:rsidR="0030591E">
        <w:rPr>
          <w:rFonts w:ascii="宋体" w:hAnsi="宋体" w:cs="宋体" w:hint="eastAsia"/>
          <w:sz w:val="32"/>
        </w:rPr>
        <w:t>自然资源海洋气象等支出1337万元，</w:t>
      </w:r>
      <w:r w:rsidR="0030591E" w:rsidRPr="005F2B4C">
        <w:rPr>
          <w:rFonts w:ascii="宋体" w:hAnsi="宋体" w:cs="宋体" w:hint="eastAsia"/>
          <w:sz w:val="32"/>
        </w:rPr>
        <w:t>占调整预算</w:t>
      </w:r>
      <w:r w:rsidR="0030591E">
        <w:rPr>
          <w:rFonts w:ascii="宋体" w:hAnsi="宋体" w:cs="宋体" w:hint="eastAsia"/>
          <w:sz w:val="32"/>
        </w:rPr>
        <w:t>93.2</w:t>
      </w:r>
      <w:r w:rsidR="0030591E" w:rsidRPr="005F2B4C">
        <w:rPr>
          <w:rFonts w:ascii="宋体" w:hAnsi="宋体" w:cs="宋体" w:hint="eastAsia"/>
          <w:sz w:val="32"/>
        </w:rPr>
        <w:t>%，比上年下降</w:t>
      </w:r>
      <w:r w:rsidR="0030591E">
        <w:rPr>
          <w:rFonts w:ascii="宋体" w:hAnsi="宋体" w:cs="宋体" w:hint="eastAsia"/>
          <w:sz w:val="32"/>
        </w:rPr>
        <w:t>9.9</w:t>
      </w:r>
      <w:r w:rsidR="0030591E" w:rsidRPr="005F2B4C">
        <w:rPr>
          <w:rFonts w:ascii="宋体" w:hAnsi="宋体" w:cs="宋体" w:hint="eastAsia"/>
          <w:sz w:val="32"/>
        </w:rPr>
        <w:t>%；</w:t>
      </w:r>
      <w:r w:rsidRPr="005F2B4C">
        <w:rPr>
          <w:rFonts w:ascii="宋体" w:hAnsi="宋体" w:cs="宋体" w:hint="eastAsia"/>
          <w:sz w:val="32"/>
        </w:rPr>
        <w:t>住房保障支出2596万元，占调整预算72.9%，比上年增长131.6%；</w:t>
      </w:r>
      <w:r w:rsidR="0030591E">
        <w:rPr>
          <w:rFonts w:ascii="宋体" w:hAnsi="宋体" w:cs="宋体" w:hint="eastAsia"/>
          <w:sz w:val="32"/>
        </w:rPr>
        <w:t>粮油物资储备支出669万元，</w:t>
      </w:r>
      <w:r w:rsidR="0030591E" w:rsidRPr="005F2B4C">
        <w:rPr>
          <w:rFonts w:ascii="宋体" w:hAnsi="宋体" w:cs="宋体" w:hint="eastAsia"/>
          <w:sz w:val="32"/>
        </w:rPr>
        <w:t>占调整预算</w:t>
      </w:r>
      <w:r w:rsidR="0030591E">
        <w:rPr>
          <w:rFonts w:ascii="宋体" w:hAnsi="宋体" w:cs="宋体" w:hint="eastAsia"/>
          <w:sz w:val="32"/>
        </w:rPr>
        <w:t>100</w:t>
      </w:r>
      <w:r w:rsidR="0030591E" w:rsidRPr="005F2B4C">
        <w:rPr>
          <w:rFonts w:ascii="宋体" w:hAnsi="宋体" w:cs="宋体" w:hint="eastAsia"/>
          <w:sz w:val="32"/>
        </w:rPr>
        <w:t>%，比上年下降</w:t>
      </w:r>
      <w:r w:rsidR="0030591E">
        <w:rPr>
          <w:rFonts w:ascii="宋体" w:hAnsi="宋体" w:cs="宋体" w:hint="eastAsia"/>
          <w:sz w:val="32"/>
        </w:rPr>
        <w:t>31</w:t>
      </w:r>
      <w:r w:rsidR="0030591E" w:rsidRPr="005F2B4C">
        <w:rPr>
          <w:rFonts w:ascii="宋体" w:hAnsi="宋体" w:cs="宋体" w:hint="eastAsia"/>
          <w:sz w:val="32"/>
        </w:rPr>
        <w:t>%；</w:t>
      </w:r>
      <w:r w:rsidR="0030591E">
        <w:rPr>
          <w:rFonts w:ascii="宋体" w:hAnsi="宋体" w:cs="宋体" w:hint="eastAsia"/>
          <w:sz w:val="32"/>
        </w:rPr>
        <w:t>灾害防治及应急管理支出1651万元，</w:t>
      </w:r>
      <w:r w:rsidR="0030591E" w:rsidRPr="005F2B4C">
        <w:rPr>
          <w:rFonts w:ascii="宋体" w:hAnsi="宋体" w:cs="宋体" w:hint="eastAsia"/>
          <w:sz w:val="32"/>
        </w:rPr>
        <w:t>占调整预算</w:t>
      </w:r>
      <w:r w:rsidR="0030591E">
        <w:rPr>
          <w:rFonts w:ascii="宋体" w:hAnsi="宋体" w:cs="宋体" w:hint="eastAsia"/>
          <w:sz w:val="32"/>
        </w:rPr>
        <w:t>77.9</w:t>
      </w:r>
      <w:r w:rsidR="0030591E" w:rsidRPr="005F2B4C">
        <w:rPr>
          <w:rFonts w:ascii="宋体" w:hAnsi="宋体" w:cs="宋体" w:hint="eastAsia"/>
          <w:sz w:val="32"/>
        </w:rPr>
        <w:t>%</w:t>
      </w:r>
      <w:r w:rsidR="0030591E">
        <w:rPr>
          <w:rFonts w:ascii="宋体" w:hAnsi="宋体" w:cs="宋体" w:hint="eastAsia"/>
          <w:sz w:val="32"/>
        </w:rPr>
        <w:t>，比上年增长52</w:t>
      </w:r>
      <w:r w:rsidR="0030591E" w:rsidRPr="005F2B4C">
        <w:rPr>
          <w:rFonts w:ascii="宋体" w:hAnsi="宋体" w:cs="宋体" w:hint="eastAsia"/>
          <w:sz w:val="32"/>
        </w:rPr>
        <w:t>%；</w:t>
      </w:r>
      <w:r w:rsidRPr="005F2B4C">
        <w:rPr>
          <w:rFonts w:ascii="宋体" w:hAnsi="宋体" w:cs="宋体" w:hint="eastAsia"/>
          <w:sz w:val="32"/>
        </w:rPr>
        <w:t>债务付息支出2093万元，占调整预算100%，比上年增长11.6%</w:t>
      </w:r>
      <w:r w:rsidR="0030591E">
        <w:rPr>
          <w:rFonts w:ascii="宋体" w:hAnsi="宋体" w:cs="宋体" w:hint="eastAsia"/>
          <w:sz w:val="32"/>
        </w:rPr>
        <w:t>；债务发行费用16万元，</w:t>
      </w:r>
      <w:r w:rsidR="0030591E" w:rsidRPr="005F2B4C">
        <w:rPr>
          <w:rFonts w:ascii="宋体" w:hAnsi="宋体" w:cs="宋体" w:hint="eastAsia"/>
          <w:sz w:val="32"/>
        </w:rPr>
        <w:t>占调整预算</w:t>
      </w:r>
      <w:r w:rsidR="0030591E">
        <w:rPr>
          <w:rFonts w:ascii="宋体" w:hAnsi="宋体" w:cs="宋体" w:hint="eastAsia"/>
          <w:sz w:val="32"/>
        </w:rPr>
        <w:t>100</w:t>
      </w:r>
      <w:r w:rsidR="0030591E" w:rsidRPr="005F2B4C">
        <w:rPr>
          <w:rFonts w:ascii="宋体" w:hAnsi="宋体" w:cs="宋体" w:hint="eastAsia"/>
          <w:sz w:val="32"/>
        </w:rPr>
        <w:t>%，</w:t>
      </w:r>
      <w:r w:rsidR="0030591E">
        <w:rPr>
          <w:rFonts w:ascii="宋体" w:hAnsi="宋体" w:cs="宋体" w:hint="eastAsia"/>
          <w:sz w:val="32"/>
        </w:rPr>
        <w:t>与上年同期持平；其他支出3148万元，</w:t>
      </w:r>
      <w:r w:rsidR="0030591E" w:rsidRPr="005F2B4C">
        <w:rPr>
          <w:rFonts w:ascii="宋体" w:hAnsi="宋体" w:cs="宋体" w:hint="eastAsia"/>
          <w:sz w:val="32"/>
        </w:rPr>
        <w:t>占调整预算</w:t>
      </w:r>
      <w:r w:rsidR="0030591E">
        <w:rPr>
          <w:rFonts w:ascii="宋体" w:hAnsi="宋体" w:cs="宋体" w:hint="eastAsia"/>
          <w:sz w:val="32"/>
        </w:rPr>
        <w:t>100</w:t>
      </w:r>
      <w:r w:rsidR="0030591E" w:rsidRPr="005F2B4C">
        <w:rPr>
          <w:rFonts w:ascii="宋体" w:hAnsi="宋体" w:cs="宋体" w:hint="eastAsia"/>
          <w:sz w:val="32"/>
        </w:rPr>
        <w:t>%</w:t>
      </w:r>
      <w:r w:rsidR="0030591E">
        <w:rPr>
          <w:rFonts w:ascii="宋体" w:hAnsi="宋体" w:cs="宋体" w:hint="eastAsia"/>
          <w:sz w:val="32"/>
        </w:rPr>
        <w:t>，比上年增长4154.1</w:t>
      </w:r>
      <w:r w:rsidR="0030591E" w:rsidRPr="005F2B4C">
        <w:rPr>
          <w:rFonts w:ascii="宋体" w:hAnsi="宋体" w:cs="宋体" w:hint="eastAsia"/>
          <w:sz w:val="32"/>
        </w:rPr>
        <w:t>%</w:t>
      </w:r>
      <w:r w:rsidRPr="005F2B4C">
        <w:rPr>
          <w:rFonts w:ascii="宋体" w:hAnsi="宋体" w:cs="宋体" w:hint="eastAsia"/>
          <w:sz w:val="32"/>
        </w:rPr>
        <w:t>。</w:t>
      </w:r>
    </w:p>
    <w:p w:rsidR="005155CB" w:rsidRDefault="00424C68">
      <w:pPr>
        <w:spacing w:line="600" w:lineRule="exact"/>
        <w:ind w:firstLine="643"/>
        <w:jc w:val="left"/>
        <w:rPr>
          <w:rFonts w:ascii="仿宋_GB2312" w:eastAsia="仿宋_GB2312" w:hAnsi="仿宋" w:cs="仿宋"/>
          <w:b/>
          <w:sz w:val="32"/>
        </w:rPr>
      </w:pPr>
      <w:r w:rsidRPr="00A32DB9">
        <w:rPr>
          <w:rFonts w:ascii="黑体" w:eastAsia="黑体" w:hAnsi="黑体" w:cs="黑体" w:hint="eastAsia"/>
          <w:sz w:val="32"/>
        </w:rPr>
        <w:t>四、</w:t>
      </w:r>
      <w:r w:rsidRPr="00A32DB9">
        <w:rPr>
          <w:rFonts w:ascii="黑体" w:eastAsia="黑体" w:hAnsi="黑体" w:cs="仿宋" w:hint="eastAsia"/>
          <w:sz w:val="32"/>
        </w:rPr>
        <w:t>规模以上工业企业入库税款情况</w:t>
      </w:r>
    </w:p>
    <w:p w:rsidR="005155CB" w:rsidRDefault="00424C68" w:rsidP="00E2664A">
      <w:pPr>
        <w:spacing w:line="600" w:lineRule="exact"/>
        <w:ind w:firstLine="640"/>
        <w:rPr>
          <w:rFonts w:ascii="宋体" w:hAnsi="宋体" w:cs="宋体"/>
          <w:sz w:val="32"/>
        </w:rPr>
      </w:pPr>
      <w:r>
        <w:rPr>
          <w:rFonts w:ascii="宋体" w:hAnsi="宋体" w:cs="宋体" w:hint="eastAsia"/>
          <w:sz w:val="32"/>
        </w:rPr>
        <w:t>202</w:t>
      </w:r>
      <w:r w:rsidR="00E2664A">
        <w:rPr>
          <w:rFonts w:ascii="宋体" w:hAnsi="宋体" w:cs="宋体" w:hint="eastAsia"/>
          <w:sz w:val="32"/>
        </w:rPr>
        <w:t>1</w:t>
      </w:r>
      <w:r>
        <w:rPr>
          <w:rFonts w:ascii="宋体" w:hAnsi="宋体" w:cs="宋体" w:hint="eastAsia"/>
          <w:sz w:val="32"/>
        </w:rPr>
        <w:t>年我市规模以上工业企业共</w:t>
      </w:r>
      <w:r w:rsidR="00E2664A">
        <w:rPr>
          <w:rFonts w:ascii="宋体" w:hAnsi="宋体" w:cs="宋体" w:hint="eastAsia"/>
          <w:sz w:val="32"/>
        </w:rPr>
        <w:t>60</w:t>
      </w:r>
      <w:r>
        <w:rPr>
          <w:rFonts w:ascii="宋体" w:hAnsi="宋体" w:cs="宋体" w:hint="eastAsia"/>
          <w:sz w:val="32"/>
        </w:rPr>
        <w:t>家，其中机电</w:t>
      </w:r>
      <w:r w:rsidR="00E2664A">
        <w:rPr>
          <w:rFonts w:ascii="宋体" w:hAnsi="宋体" w:cs="宋体" w:hint="eastAsia"/>
          <w:sz w:val="32"/>
        </w:rPr>
        <w:t>制造业</w:t>
      </w:r>
      <w:r>
        <w:rPr>
          <w:rFonts w:ascii="宋体" w:hAnsi="宋体" w:cs="宋体" w:hint="eastAsia"/>
          <w:sz w:val="32"/>
        </w:rPr>
        <w:t>企业26家，</w:t>
      </w:r>
      <w:r w:rsidR="00E2664A">
        <w:rPr>
          <w:rFonts w:ascii="宋体" w:hAnsi="宋体" w:cs="宋体" w:hint="eastAsia"/>
          <w:sz w:val="32"/>
        </w:rPr>
        <w:t>新能源汽车及汽车轻量化零配件企业2家，风电设备制造维修企业3家，高端印染包装业企业3家，农副产品加工业企业4家，其他企业22家。</w:t>
      </w:r>
      <w:r>
        <w:rPr>
          <w:rFonts w:ascii="宋体" w:hAnsi="宋体" w:cs="宋体" w:hint="eastAsia"/>
          <w:sz w:val="32"/>
        </w:rPr>
        <w:t>202</w:t>
      </w:r>
      <w:r w:rsidR="00E2664A">
        <w:rPr>
          <w:rFonts w:ascii="宋体" w:hAnsi="宋体" w:cs="宋体" w:hint="eastAsia"/>
          <w:sz w:val="32"/>
        </w:rPr>
        <w:t>1</w:t>
      </w:r>
      <w:r>
        <w:rPr>
          <w:rFonts w:ascii="宋体" w:hAnsi="宋体" w:cs="宋体" w:hint="eastAsia"/>
          <w:sz w:val="32"/>
        </w:rPr>
        <w:t>年上缴税金</w:t>
      </w:r>
      <w:r w:rsidR="00E2664A">
        <w:rPr>
          <w:rFonts w:ascii="宋体" w:hAnsi="宋体" w:cs="宋体" w:hint="eastAsia"/>
          <w:sz w:val="32"/>
        </w:rPr>
        <w:t>15029</w:t>
      </w:r>
      <w:r>
        <w:rPr>
          <w:rFonts w:ascii="宋体" w:hAnsi="宋体" w:cs="宋体" w:hint="eastAsia"/>
          <w:sz w:val="32"/>
        </w:rPr>
        <w:t>万元，占财政总收入的</w:t>
      </w:r>
      <w:r w:rsidR="00E2664A">
        <w:rPr>
          <w:rFonts w:ascii="宋体" w:hAnsi="宋体" w:cs="宋体" w:hint="eastAsia"/>
          <w:sz w:val="32"/>
        </w:rPr>
        <w:t>18.2</w:t>
      </w:r>
      <w:r>
        <w:rPr>
          <w:rFonts w:ascii="宋体" w:hAnsi="宋体" w:cs="宋体" w:hint="eastAsia"/>
          <w:sz w:val="32"/>
        </w:rPr>
        <w:t>%，比上年同期</w:t>
      </w:r>
      <w:r w:rsidR="00E2664A">
        <w:rPr>
          <w:rFonts w:ascii="宋体" w:hAnsi="宋体" w:cs="宋体" w:hint="eastAsia"/>
          <w:sz w:val="32"/>
        </w:rPr>
        <w:t>25931</w:t>
      </w:r>
      <w:r>
        <w:rPr>
          <w:rFonts w:ascii="宋体" w:hAnsi="宋体" w:cs="宋体" w:hint="eastAsia"/>
          <w:sz w:val="32"/>
        </w:rPr>
        <w:t>万元下降</w:t>
      </w:r>
      <w:r w:rsidR="00E2664A">
        <w:rPr>
          <w:rFonts w:ascii="宋体" w:hAnsi="宋体" w:cs="宋体" w:hint="eastAsia"/>
          <w:sz w:val="32"/>
        </w:rPr>
        <w:t>42</w:t>
      </w:r>
      <w:r>
        <w:rPr>
          <w:rFonts w:ascii="宋体" w:hAnsi="宋体" w:cs="宋体" w:hint="eastAsia"/>
          <w:sz w:val="32"/>
        </w:rPr>
        <w:t>%，减收</w:t>
      </w:r>
      <w:r w:rsidR="00E2664A">
        <w:rPr>
          <w:rFonts w:ascii="宋体" w:hAnsi="宋体" w:cs="宋体" w:hint="eastAsia"/>
          <w:sz w:val="32"/>
        </w:rPr>
        <w:t>1</w:t>
      </w:r>
      <w:r w:rsidR="00162B29">
        <w:rPr>
          <w:rFonts w:ascii="宋体" w:hAnsi="宋体" w:cs="宋体" w:hint="eastAsia"/>
          <w:sz w:val="32"/>
        </w:rPr>
        <w:t>0902</w:t>
      </w:r>
      <w:r>
        <w:rPr>
          <w:rFonts w:ascii="宋体" w:hAnsi="宋体" w:cs="宋体" w:hint="eastAsia"/>
          <w:sz w:val="32"/>
        </w:rPr>
        <w:t>万元。</w:t>
      </w:r>
    </w:p>
    <w:p w:rsidR="005155CB" w:rsidRDefault="00424C68">
      <w:pPr>
        <w:spacing w:line="600" w:lineRule="exact"/>
        <w:ind w:firstLine="640"/>
        <w:rPr>
          <w:rFonts w:ascii="宋体" w:hAnsi="宋体" w:cs="宋体"/>
          <w:b/>
          <w:bCs/>
          <w:sz w:val="32"/>
          <w:szCs w:val="32"/>
        </w:rPr>
      </w:pPr>
      <w:r>
        <w:rPr>
          <w:rFonts w:ascii="宋体" w:hAnsi="宋体" w:cs="宋体" w:hint="eastAsia"/>
          <w:b/>
          <w:bCs/>
          <w:sz w:val="32"/>
          <w:szCs w:val="32"/>
        </w:rPr>
        <w:t>（一）机电制造业</w:t>
      </w:r>
    </w:p>
    <w:p w:rsidR="005155CB" w:rsidRDefault="00424C68">
      <w:pPr>
        <w:spacing w:line="600" w:lineRule="exact"/>
        <w:ind w:firstLine="640"/>
        <w:rPr>
          <w:rFonts w:ascii="宋体" w:hAnsi="宋体" w:cs="宋体"/>
          <w:sz w:val="32"/>
        </w:rPr>
      </w:pPr>
      <w:r>
        <w:rPr>
          <w:rFonts w:ascii="宋体" w:hAnsi="宋体" w:cs="宋体" w:hint="eastAsia"/>
          <w:sz w:val="32"/>
        </w:rPr>
        <w:t>以中车永济电机有限公司为代表的26家机电行业企业入库税款</w:t>
      </w:r>
      <w:r w:rsidR="00F0212E">
        <w:rPr>
          <w:rFonts w:ascii="宋体" w:hAnsi="宋体" w:cs="宋体" w:hint="eastAsia"/>
          <w:sz w:val="32"/>
        </w:rPr>
        <w:t>8940</w:t>
      </w:r>
      <w:r>
        <w:rPr>
          <w:rFonts w:ascii="宋体" w:hAnsi="宋体" w:cs="宋体" w:hint="eastAsia"/>
          <w:sz w:val="32"/>
        </w:rPr>
        <w:t>万元，同比下降</w:t>
      </w:r>
      <w:r w:rsidR="00F0212E">
        <w:rPr>
          <w:rFonts w:ascii="宋体" w:hAnsi="宋体" w:cs="宋体" w:hint="eastAsia"/>
          <w:sz w:val="32"/>
        </w:rPr>
        <w:t>35.6</w:t>
      </w:r>
      <w:r>
        <w:rPr>
          <w:rFonts w:ascii="宋体" w:hAnsi="宋体" w:cs="宋体" w:hint="eastAsia"/>
          <w:sz w:val="32"/>
        </w:rPr>
        <w:t>%，减收</w:t>
      </w:r>
      <w:r w:rsidR="00F0212E">
        <w:rPr>
          <w:rFonts w:ascii="宋体" w:hAnsi="宋体" w:cs="宋体" w:hint="eastAsia"/>
          <w:sz w:val="32"/>
        </w:rPr>
        <w:t>4945</w:t>
      </w:r>
      <w:r>
        <w:rPr>
          <w:rFonts w:ascii="宋体" w:hAnsi="宋体" w:cs="宋体" w:hint="eastAsia"/>
          <w:sz w:val="32"/>
        </w:rPr>
        <w:t>万元。主要企业情况如下：</w:t>
      </w:r>
    </w:p>
    <w:p w:rsidR="005155CB" w:rsidRPr="00B16786" w:rsidRDefault="00424C68">
      <w:pPr>
        <w:spacing w:line="600" w:lineRule="exact"/>
        <w:ind w:firstLineChars="200" w:firstLine="640"/>
        <w:rPr>
          <w:rFonts w:ascii="宋体" w:hAnsi="宋体" w:cs="宋体"/>
          <w:sz w:val="32"/>
        </w:rPr>
      </w:pPr>
      <w:r>
        <w:rPr>
          <w:rFonts w:ascii="宋体" w:hAnsi="宋体" w:cs="宋体" w:hint="eastAsia"/>
          <w:sz w:val="32"/>
        </w:rPr>
        <w:t>——中车永济电机有限公司。</w:t>
      </w:r>
      <w:r w:rsidRPr="00C520F5">
        <w:rPr>
          <w:rFonts w:ascii="宋体" w:hAnsi="宋体" w:cs="宋体" w:hint="eastAsia"/>
          <w:sz w:val="32"/>
        </w:rPr>
        <w:t>202</w:t>
      </w:r>
      <w:r w:rsidR="00F0212E" w:rsidRPr="00C520F5">
        <w:rPr>
          <w:rFonts w:ascii="宋体" w:hAnsi="宋体" w:cs="宋体" w:hint="eastAsia"/>
          <w:sz w:val="32"/>
        </w:rPr>
        <w:t>1</w:t>
      </w:r>
      <w:r w:rsidRPr="00C520F5">
        <w:rPr>
          <w:rFonts w:ascii="宋体" w:hAnsi="宋体" w:cs="宋体" w:hint="eastAsia"/>
          <w:sz w:val="32"/>
        </w:rPr>
        <w:t>年实现销售收入</w:t>
      </w:r>
      <w:r w:rsidR="00C520F5" w:rsidRPr="00C520F5">
        <w:rPr>
          <w:rFonts w:ascii="宋体" w:hAnsi="宋体" w:cs="宋体" w:hint="eastAsia"/>
          <w:sz w:val="32"/>
        </w:rPr>
        <w:t>34.7</w:t>
      </w:r>
      <w:r w:rsidRPr="00C520F5">
        <w:rPr>
          <w:rFonts w:ascii="宋体" w:hAnsi="宋体" w:cs="宋体" w:hint="eastAsia"/>
          <w:sz w:val="32"/>
        </w:rPr>
        <w:t>亿元，较同期</w:t>
      </w:r>
      <w:r w:rsidR="00C520F5" w:rsidRPr="00C520F5">
        <w:rPr>
          <w:rFonts w:ascii="宋体" w:hAnsi="宋体" w:cs="宋体" w:hint="eastAsia"/>
          <w:sz w:val="32"/>
        </w:rPr>
        <w:t>40.9</w:t>
      </w:r>
      <w:r w:rsidRPr="00C520F5">
        <w:rPr>
          <w:rFonts w:ascii="宋体" w:hAnsi="宋体" w:cs="宋体" w:hint="eastAsia"/>
          <w:sz w:val="32"/>
        </w:rPr>
        <w:t>亿元</w:t>
      </w:r>
      <w:r w:rsidR="00C520F5" w:rsidRPr="00C520F5">
        <w:rPr>
          <w:rFonts w:ascii="宋体" w:hAnsi="宋体" w:cs="宋体" w:hint="eastAsia"/>
          <w:sz w:val="32"/>
        </w:rPr>
        <w:t>减少</w:t>
      </w:r>
      <w:r w:rsidR="00ED6F37">
        <w:rPr>
          <w:rFonts w:ascii="宋体" w:hAnsi="宋体" w:cs="宋体" w:hint="eastAsia"/>
          <w:sz w:val="32"/>
        </w:rPr>
        <w:t>6</w:t>
      </w:r>
      <w:r w:rsidR="00C520F5" w:rsidRPr="00C520F5">
        <w:rPr>
          <w:rFonts w:ascii="宋体" w:hAnsi="宋体" w:cs="宋体" w:hint="eastAsia"/>
          <w:sz w:val="32"/>
        </w:rPr>
        <w:t>.2</w:t>
      </w:r>
      <w:r w:rsidRPr="00C520F5">
        <w:rPr>
          <w:rFonts w:ascii="宋体" w:hAnsi="宋体" w:cs="宋体" w:hint="eastAsia"/>
          <w:sz w:val="32"/>
        </w:rPr>
        <w:t>亿元。</w:t>
      </w:r>
      <w:r w:rsidRPr="00336EF5">
        <w:rPr>
          <w:rFonts w:ascii="宋体" w:hAnsi="宋体" w:cs="宋体" w:hint="eastAsia"/>
          <w:sz w:val="32"/>
        </w:rPr>
        <w:t>入库税款</w:t>
      </w:r>
      <w:r w:rsidR="00C520F5" w:rsidRPr="00336EF5">
        <w:rPr>
          <w:rFonts w:ascii="宋体" w:hAnsi="宋体" w:cs="宋体" w:hint="eastAsia"/>
          <w:sz w:val="32"/>
        </w:rPr>
        <w:t>3830</w:t>
      </w:r>
      <w:r w:rsidRPr="00336EF5">
        <w:rPr>
          <w:rFonts w:ascii="宋体" w:hAnsi="宋体" w:cs="宋体" w:hint="eastAsia"/>
          <w:sz w:val="32"/>
        </w:rPr>
        <w:t>万元，较同期</w:t>
      </w:r>
      <w:r w:rsidR="00C520F5" w:rsidRPr="00336EF5">
        <w:rPr>
          <w:rFonts w:ascii="宋体" w:hAnsi="宋体" w:cs="宋体" w:hint="eastAsia"/>
          <w:sz w:val="32"/>
        </w:rPr>
        <w:t>7664</w:t>
      </w:r>
      <w:r w:rsidRPr="00336EF5">
        <w:rPr>
          <w:rFonts w:ascii="宋体" w:hAnsi="宋体" w:cs="宋体" w:hint="eastAsia"/>
          <w:sz w:val="32"/>
        </w:rPr>
        <w:t>万元减收</w:t>
      </w:r>
      <w:r w:rsidR="00C520F5" w:rsidRPr="00336EF5">
        <w:rPr>
          <w:rFonts w:ascii="宋体" w:hAnsi="宋体" w:cs="宋体" w:hint="eastAsia"/>
          <w:sz w:val="32"/>
        </w:rPr>
        <w:t>3834</w:t>
      </w:r>
      <w:r w:rsidRPr="00336EF5">
        <w:rPr>
          <w:rFonts w:ascii="宋体" w:hAnsi="宋体" w:cs="宋体" w:hint="eastAsia"/>
          <w:sz w:val="32"/>
        </w:rPr>
        <w:t>万元。</w:t>
      </w:r>
      <w:r w:rsidRPr="00B16786">
        <w:rPr>
          <w:rFonts w:ascii="宋体" w:hAnsi="宋体" w:cs="宋体" w:hint="eastAsia"/>
          <w:sz w:val="32"/>
        </w:rPr>
        <w:t>税收减少的主要原因一是2016年以来国家铁路建设速度放缓，产品需求回升迟滞，行业景气度持续下降；二是市场竞争激烈，产品交付周期延长，增值空间减少，轨道交通市场主机公司要求每年价格下降2%，风电市场价与检修市场格战激烈，降幅明显；三是原材料价格持续上涨，采购成本上升，进项加大；四是国家鼓励企业创新发展，提档升级，减税降费力度加大；五是国际环境复杂，加之疫情影响，海外市场拓展迟缓。</w:t>
      </w:r>
    </w:p>
    <w:p w:rsidR="005155CB" w:rsidRDefault="00424C68" w:rsidP="00A77BF7">
      <w:pPr>
        <w:spacing w:line="600" w:lineRule="exact"/>
        <w:ind w:firstLine="640"/>
        <w:rPr>
          <w:rFonts w:ascii="宋体" w:hAnsi="宋体" w:cs="宋体"/>
          <w:sz w:val="32"/>
        </w:rPr>
      </w:pPr>
      <w:r w:rsidRPr="00B16786">
        <w:rPr>
          <w:rFonts w:ascii="宋体" w:hAnsi="宋体" w:cs="宋体" w:hint="eastAsia"/>
          <w:sz w:val="32"/>
        </w:rPr>
        <w:lastRenderedPageBreak/>
        <w:t>与中车永济电机相关联的企业入库税款情况：永济立达电气配件制造有限公司入库税款</w:t>
      </w:r>
      <w:r w:rsidR="00A77BF7" w:rsidRPr="00B16786">
        <w:rPr>
          <w:rFonts w:ascii="宋体" w:hAnsi="宋体" w:cs="宋体" w:hint="eastAsia"/>
          <w:sz w:val="32"/>
        </w:rPr>
        <w:t>1572万元，同比增长20.7</w:t>
      </w:r>
      <w:r w:rsidRPr="00B16786">
        <w:rPr>
          <w:rFonts w:ascii="宋体" w:hAnsi="宋体" w:cs="宋体" w:hint="eastAsia"/>
          <w:sz w:val="32"/>
        </w:rPr>
        <w:t>%</w:t>
      </w:r>
      <w:r w:rsidR="00A77BF7" w:rsidRPr="00B16786">
        <w:rPr>
          <w:rFonts w:ascii="宋体" w:hAnsi="宋体" w:cs="宋体" w:hint="eastAsia"/>
          <w:sz w:val="32"/>
        </w:rPr>
        <w:t>，增</w:t>
      </w:r>
      <w:r w:rsidRPr="00B16786">
        <w:rPr>
          <w:rFonts w:ascii="宋体" w:hAnsi="宋体" w:cs="宋体" w:hint="eastAsia"/>
          <w:sz w:val="32"/>
        </w:rPr>
        <w:t>收</w:t>
      </w:r>
      <w:r w:rsidR="00A77BF7" w:rsidRPr="00B16786">
        <w:rPr>
          <w:rFonts w:ascii="宋体" w:hAnsi="宋体" w:cs="宋体" w:hint="eastAsia"/>
          <w:sz w:val="32"/>
        </w:rPr>
        <w:t>270</w:t>
      </w:r>
      <w:r w:rsidRPr="00B16786">
        <w:rPr>
          <w:rFonts w:ascii="宋体" w:hAnsi="宋体" w:cs="宋体" w:hint="eastAsia"/>
          <w:sz w:val="32"/>
        </w:rPr>
        <w:t>万元；</w:t>
      </w:r>
      <w:r w:rsidR="00A77BF7" w:rsidRPr="00B16786">
        <w:rPr>
          <w:rFonts w:ascii="宋体" w:hAnsi="宋体" w:cs="宋体" w:hint="eastAsia"/>
          <w:sz w:val="32"/>
        </w:rPr>
        <w:t>永济宏信电气制造有限公司入库税款421万元，同比下降2.3%，减收10万元；</w:t>
      </w:r>
      <w:r w:rsidRPr="00B16786">
        <w:rPr>
          <w:rFonts w:ascii="宋体" w:hAnsi="宋体" w:cs="宋体" w:hint="eastAsia"/>
          <w:sz w:val="32"/>
        </w:rPr>
        <w:t>永济优耐特绝</w:t>
      </w:r>
      <w:r>
        <w:rPr>
          <w:rFonts w:ascii="宋体" w:hAnsi="宋体" w:cs="宋体" w:hint="eastAsia"/>
          <w:sz w:val="32"/>
        </w:rPr>
        <w:t>缘材料有限公司入库税款</w:t>
      </w:r>
      <w:r w:rsidR="00A77BF7">
        <w:rPr>
          <w:rFonts w:ascii="宋体" w:hAnsi="宋体" w:cs="宋体" w:hint="eastAsia"/>
          <w:sz w:val="32"/>
        </w:rPr>
        <w:t>390</w:t>
      </w:r>
      <w:r>
        <w:rPr>
          <w:rFonts w:ascii="宋体" w:hAnsi="宋体" w:cs="宋体" w:hint="eastAsia"/>
          <w:sz w:val="32"/>
        </w:rPr>
        <w:t>万元，</w:t>
      </w:r>
      <w:r w:rsidR="00A77BF7">
        <w:rPr>
          <w:rFonts w:ascii="宋体" w:hAnsi="宋体" w:cs="宋体" w:hint="eastAsia"/>
          <w:sz w:val="32"/>
        </w:rPr>
        <w:t>同比下降26.4%，减收140万元</w:t>
      </w:r>
      <w:r>
        <w:rPr>
          <w:rFonts w:ascii="宋体" w:hAnsi="宋体" w:cs="宋体" w:hint="eastAsia"/>
          <w:sz w:val="32"/>
        </w:rPr>
        <w:t>；</w:t>
      </w:r>
      <w:r w:rsidR="00A77BF7">
        <w:rPr>
          <w:rFonts w:ascii="宋体" w:hAnsi="宋体" w:cs="宋体" w:hint="eastAsia"/>
          <w:sz w:val="32"/>
        </w:rPr>
        <w:t>山西德隆达电气制造有限公司386万元，同比增长3.5%，增收13万元；永济市捷安电器有限公司367万元，同比增长191.3%，增收241万元；永济市华隆机电有限公司入库税款304万元，同比下降30.4%，减收133万元</w:t>
      </w:r>
      <w:r>
        <w:rPr>
          <w:rFonts w:ascii="宋体" w:hAnsi="宋体" w:cs="宋体" w:hint="eastAsia"/>
          <w:sz w:val="32"/>
        </w:rPr>
        <w:t>。</w:t>
      </w:r>
    </w:p>
    <w:p w:rsidR="00A77BF7" w:rsidRPr="00484813" w:rsidRDefault="00424C68">
      <w:pPr>
        <w:spacing w:line="600" w:lineRule="exact"/>
        <w:ind w:firstLine="640"/>
        <w:rPr>
          <w:rFonts w:ascii="宋体" w:hAnsi="宋体" w:cs="宋体"/>
          <w:b/>
          <w:bCs/>
          <w:sz w:val="32"/>
          <w:szCs w:val="32"/>
        </w:rPr>
      </w:pPr>
      <w:r w:rsidRPr="00484813">
        <w:rPr>
          <w:rFonts w:ascii="宋体" w:hAnsi="宋体" w:cs="宋体" w:hint="eastAsia"/>
          <w:b/>
          <w:bCs/>
          <w:sz w:val="32"/>
          <w:szCs w:val="32"/>
        </w:rPr>
        <w:t>（二）</w:t>
      </w:r>
      <w:r w:rsidR="00A77BF7" w:rsidRPr="00484813">
        <w:rPr>
          <w:rFonts w:ascii="宋体" w:hAnsi="宋体" w:cs="宋体" w:hint="eastAsia"/>
          <w:b/>
          <w:sz w:val="32"/>
        </w:rPr>
        <w:t>新能源汽车及汽车轻量化零配件企业</w:t>
      </w:r>
    </w:p>
    <w:p w:rsidR="00851B58" w:rsidRDefault="00851B58" w:rsidP="00851B58">
      <w:pPr>
        <w:spacing w:line="600" w:lineRule="exact"/>
        <w:ind w:firstLine="640"/>
        <w:rPr>
          <w:rFonts w:ascii="宋体" w:hAnsi="宋体" w:cs="宋体"/>
          <w:sz w:val="32"/>
        </w:rPr>
      </w:pPr>
      <w:r>
        <w:rPr>
          <w:rFonts w:ascii="宋体" w:hAnsi="宋体" w:cs="宋体" w:hint="eastAsia"/>
          <w:sz w:val="32"/>
        </w:rPr>
        <w:t>新能源汽车及汽车轻量化零配件企业2</w:t>
      </w:r>
      <w:r w:rsidR="00A77BF7">
        <w:rPr>
          <w:rFonts w:ascii="宋体" w:hAnsi="宋体" w:cs="宋体" w:hint="eastAsia"/>
          <w:sz w:val="32"/>
        </w:rPr>
        <w:t>家入库税款</w:t>
      </w:r>
      <w:r>
        <w:rPr>
          <w:rFonts w:ascii="宋体" w:hAnsi="宋体" w:cs="宋体" w:hint="eastAsia"/>
          <w:sz w:val="32"/>
        </w:rPr>
        <w:t>214</w:t>
      </w:r>
      <w:r w:rsidR="00A77BF7">
        <w:rPr>
          <w:rFonts w:ascii="宋体" w:hAnsi="宋体" w:cs="宋体" w:hint="eastAsia"/>
          <w:sz w:val="32"/>
        </w:rPr>
        <w:t>万元，同比下降</w:t>
      </w:r>
      <w:r>
        <w:rPr>
          <w:rFonts w:ascii="宋体" w:hAnsi="宋体" w:cs="宋体" w:hint="eastAsia"/>
          <w:sz w:val="32"/>
        </w:rPr>
        <w:t>53.6</w:t>
      </w:r>
      <w:r w:rsidR="00A77BF7">
        <w:rPr>
          <w:rFonts w:ascii="宋体" w:hAnsi="宋体" w:cs="宋体" w:hint="eastAsia"/>
          <w:sz w:val="32"/>
        </w:rPr>
        <w:t>%，减收</w:t>
      </w:r>
      <w:r>
        <w:rPr>
          <w:rFonts w:ascii="宋体" w:hAnsi="宋体" w:cs="宋体" w:hint="eastAsia"/>
          <w:sz w:val="32"/>
        </w:rPr>
        <w:t>247万元。山西阳煤千军汽车部件有限责任公司入库税款79万元，同比下降73.3%，减收217万元；永济市华茂铸造有限公司入库税款135万元，同比下降18.2%，减收30万元。</w:t>
      </w:r>
    </w:p>
    <w:p w:rsidR="00851B58" w:rsidRPr="00484813" w:rsidRDefault="00851B58" w:rsidP="00851B58">
      <w:pPr>
        <w:spacing w:line="600" w:lineRule="exact"/>
        <w:ind w:firstLine="640"/>
        <w:rPr>
          <w:rFonts w:ascii="宋体" w:hAnsi="宋体" w:cs="宋体"/>
          <w:b/>
          <w:sz w:val="32"/>
        </w:rPr>
      </w:pPr>
      <w:r w:rsidRPr="00484813">
        <w:rPr>
          <w:rFonts w:ascii="宋体" w:hAnsi="宋体" w:cs="宋体" w:hint="eastAsia"/>
          <w:b/>
          <w:sz w:val="32"/>
        </w:rPr>
        <w:t xml:space="preserve">（三）风电设备制造维修产业 </w:t>
      </w:r>
    </w:p>
    <w:p w:rsidR="00851B58" w:rsidRDefault="00851B58" w:rsidP="00851B58">
      <w:pPr>
        <w:spacing w:line="600" w:lineRule="exact"/>
        <w:ind w:firstLine="640"/>
        <w:rPr>
          <w:rFonts w:ascii="宋体" w:hAnsi="宋体" w:cs="宋体"/>
          <w:sz w:val="32"/>
        </w:rPr>
      </w:pPr>
      <w:r>
        <w:rPr>
          <w:rFonts w:ascii="宋体" w:hAnsi="宋体" w:cs="宋体" w:hint="eastAsia"/>
          <w:sz w:val="32"/>
        </w:rPr>
        <w:t>风电设备制造维修产业3家入库税款657万元，同比增长3.1%，增收20万元。永济中车电机电器修配有限责任公司入库税款189万元，同比下降16.7%，减收38万元；永济市条山电机电器修配有限公司入库税款455万元，同比增长27.5%，增收98万元；永济瑞丰电机电气有限公司入库税款13万元，同比下降75.5%，减收40万元。</w:t>
      </w:r>
    </w:p>
    <w:p w:rsidR="00851B58" w:rsidRPr="00484813" w:rsidRDefault="00851B58" w:rsidP="00851B58">
      <w:pPr>
        <w:spacing w:line="600" w:lineRule="exact"/>
        <w:ind w:firstLine="640"/>
        <w:rPr>
          <w:rFonts w:ascii="宋体" w:hAnsi="宋体" w:cs="宋体"/>
          <w:b/>
          <w:sz w:val="32"/>
        </w:rPr>
      </w:pPr>
      <w:r w:rsidRPr="00484813">
        <w:rPr>
          <w:rFonts w:ascii="宋体" w:hAnsi="宋体" w:cs="宋体" w:hint="eastAsia"/>
          <w:b/>
          <w:sz w:val="32"/>
        </w:rPr>
        <w:t>（四）高端印染包装业</w:t>
      </w:r>
    </w:p>
    <w:p w:rsidR="00851B58" w:rsidRPr="00851B58" w:rsidRDefault="00851B58" w:rsidP="00851B58">
      <w:pPr>
        <w:spacing w:line="600" w:lineRule="exact"/>
        <w:ind w:firstLine="640"/>
        <w:rPr>
          <w:rFonts w:ascii="宋体" w:hAnsi="宋体" w:cs="宋体"/>
          <w:sz w:val="32"/>
        </w:rPr>
      </w:pPr>
      <w:r>
        <w:rPr>
          <w:rFonts w:ascii="宋体" w:hAnsi="宋体" w:cs="宋体" w:hint="eastAsia"/>
          <w:sz w:val="32"/>
        </w:rPr>
        <w:t>高端印染包装业3家，入库税款646万元，同比增长55.7%，增收231万元。</w:t>
      </w:r>
      <w:r w:rsidRPr="00851B58">
        <w:rPr>
          <w:rFonts w:ascii="宋体" w:hAnsi="宋体" w:cs="宋体" w:hint="eastAsia"/>
          <w:sz w:val="32"/>
        </w:rPr>
        <w:t>永济市凯通印染有限责任公司</w:t>
      </w:r>
      <w:r>
        <w:rPr>
          <w:rFonts w:ascii="宋体" w:hAnsi="宋体" w:cs="宋体" w:hint="eastAsia"/>
          <w:sz w:val="32"/>
        </w:rPr>
        <w:t>入库税款284万元，同比增长1083.3%，增收260万元；</w:t>
      </w:r>
      <w:r w:rsidRPr="00851B58">
        <w:rPr>
          <w:rFonts w:ascii="宋体" w:hAnsi="宋体" w:cs="宋体" w:hint="eastAsia"/>
          <w:sz w:val="32"/>
        </w:rPr>
        <w:t>山西彩佳印染有限公司</w:t>
      </w:r>
      <w:r>
        <w:rPr>
          <w:rFonts w:ascii="宋体" w:hAnsi="宋体" w:cs="宋体" w:hint="eastAsia"/>
          <w:sz w:val="32"/>
        </w:rPr>
        <w:t>入库税款232万元，同比下降28.8%，减收94万元；</w:t>
      </w:r>
      <w:r w:rsidRPr="00851B58">
        <w:rPr>
          <w:rFonts w:ascii="宋体" w:hAnsi="宋体" w:cs="宋体" w:hint="eastAsia"/>
          <w:sz w:val="32"/>
        </w:rPr>
        <w:t>永济市恒誉彩印包装有限公司</w:t>
      </w:r>
      <w:r>
        <w:rPr>
          <w:rFonts w:ascii="宋体" w:hAnsi="宋体" w:cs="宋体" w:hint="eastAsia"/>
          <w:sz w:val="32"/>
        </w:rPr>
        <w:t>入库税款130万元，同比增长</w:t>
      </w:r>
      <w:r w:rsidR="00484813">
        <w:rPr>
          <w:rFonts w:ascii="宋体" w:hAnsi="宋体" w:cs="宋体" w:hint="eastAsia"/>
          <w:sz w:val="32"/>
        </w:rPr>
        <w:t>100</w:t>
      </w:r>
      <w:r>
        <w:rPr>
          <w:rFonts w:ascii="宋体" w:hAnsi="宋体" w:cs="宋体" w:hint="eastAsia"/>
          <w:sz w:val="32"/>
        </w:rPr>
        <w:t>%，增收</w:t>
      </w:r>
      <w:r w:rsidR="00484813">
        <w:rPr>
          <w:rFonts w:ascii="宋体" w:hAnsi="宋体" w:cs="宋体" w:hint="eastAsia"/>
          <w:sz w:val="32"/>
        </w:rPr>
        <w:t>65</w:t>
      </w:r>
      <w:r>
        <w:rPr>
          <w:rFonts w:ascii="宋体" w:hAnsi="宋体" w:cs="宋体" w:hint="eastAsia"/>
          <w:sz w:val="32"/>
        </w:rPr>
        <w:t>万元</w:t>
      </w:r>
      <w:r w:rsidR="00484813">
        <w:rPr>
          <w:rFonts w:ascii="宋体" w:hAnsi="宋体" w:cs="宋体" w:hint="eastAsia"/>
          <w:sz w:val="32"/>
        </w:rPr>
        <w:t>。</w:t>
      </w:r>
    </w:p>
    <w:p w:rsidR="00484813" w:rsidRDefault="00484813" w:rsidP="00484813">
      <w:pPr>
        <w:spacing w:line="600" w:lineRule="exact"/>
        <w:ind w:firstLine="640"/>
        <w:rPr>
          <w:rFonts w:ascii="宋体" w:hAnsi="宋体" w:cs="宋体"/>
          <w:b/>
          <w:bCs/>
          <w:sz w:val="32"/>
          <w:szCs w:val="32"/>
        </w:rPr>
      </w:pPr>
      <w:r>
        <w:rPr>
          <w:rFonts w:ascii="宋体" w:hAnsi="宋体" w:cs="宋体" w:hint="eastAsia"/>
          <w:b/>
          <w:bCs/>
          <w:sz w:val="32"/>
          <w:szCs w:val="32"/>
        </w:rPr>
        <w:t>（五）农副产品加工业</w:t>
      </w:r>
    </w:p>
    <w:p w:rsidR="00484813" w:rsidRDefault="00484813" w:rsidP="00484813">
      <w:pPr>
        <w:spacing w:line="600" w:lineRule="exact"/>
        <w:ind w:firstLine="640"/>
        <w:rPr>
          <w:rFonts w:ascii="宋体" w:hAnsi="宋体" w:cs="宋体"/>
          <w:sz w:val="32"/>
        </w:rPr>
      </w:pPr>
      <w:r>
        <w:rPr>
          <w:rFonts w:ascii="宋体" w:hAnsi="宋体" w:cs="宋体" w:hint="eastAsia"/>
          <w:sz w:val="32"/>
        </w:rPr>
        <w:lastRenderedPageBreak/>
        <w:t>4家农副产品加工企业，入库税款479万元，同比下降49.9%，减收477万元。由于农副产品加工业享受国家税收优惠政策， 整个行业虽然产值较大，但入库税款比重小。</w:t>
      </w:r>
    </w:p>
    <w:p w:rsidR="00484813" w:rsidRDefault="00484813" w:rsidP="00484813">
      <w:pPr>
        <w:spacing w:line="600" w:lineRule="exact"/>
        <w:ind w:firstLine="640"/>
        <w:rPr>
          <w:rFonts w:ascii="宋体" w:hAnsi="宋体" w:cs="宋体"/>
          <w:sz w:val="32"/>
        </w:rPr>
      </w:pPr>
      <w:r>
        <w:rPr>
          <w:rFonts w:ascii="宋体" w:hAnsi="宋体" w:cs="宋体" w:hint="eastAsia"/>
          <w:sz w:val="32"/>
        </w:rPr>
        <w:t>——永济安德利果蔬汁有限公司。2021年实现销售收入1.65亿元，较上年同期2.44亿元减少0.79亿元。入库税款402万元，</w:t>
      </w:r>
      <w:bookmarkStart w:id="1" w:name="_GoBack"/>
      <w:bookmarkEnd w:id="1"/>
      <w:r>
        <w:rPr>
          <w:rFonts w:ascii="宋体" w:hAnsi="宋体" w:cs="宋体" w:hint="eastAsia"/>
          <w:sz w:val="32"/>
        </w:rPr>
        <w:t>同比下降55%，减收491万元。</w:t>
      </w:r>
    </w:p>
    <w:p w:rsidR="00851B58" w:rsidRPr="007A4A47" w:rsidRDefault="000408BB" w:rsidP="00851B58">
      <w:pPr>
        <w:spacing w:line="600" w:lineRule="exact"/>
        <w:ind w:firstLine="640"/>
        <w:rPr>
          <w:rFonts w:ascii="宋体" w:hAnsi="宋体" w:cs="宋体"/>
          <w:b/>
          <w:sz w:val="32"/>
        </w:rPr>
      </w:pPr>
      <w:r w:rsidRPr="007A4A47">
        <w:rPr>
          <w:rFonts w:ascii="宋体" w:hAnsi="宋体" w:cs="宋体" w:hint="eastAsia"/>
          <w:b/>
          <w:sz w:val="32"/>
        </w:rPr>
        <w:t xml:space="preserve">（六）其他产业 </w:t>
      </w:r>
    </w:p>
    <w:p w:rsidR="000408BB" w:rsidRPr="00851B58" w:rsidRDefault="000408BB" w:rsidP="00851B58">
      <w:pPr>
        <w:spacing w:line="600" w:lineRule="exact"/>
        <w:ind w:firstLine="640"/>
        <w:rPr>
          <w:rFonts w:ascii="宋体" w:hAnsi="宋体" w:cs="宋体"/>
          <w:sz w:val="32"/>
        </w:rPr>
      </w:pPr>
      <w:r>
        <w:rPr>
          <w:rFonts w:ascii="宋体" w:hAnsi="宋体" w:cs="宋体" w:hint="eastAsia"/>
          <w:sz w:val="32"/>
        </w:rPr>
        <w:t>其他产业入库税款4093万元，同比下降57.3%，减收5484万元。</w:t>
      </w:r>
    </w:p>
    <w:p w:rsidR="000408BB" w:rsidRDefault="000408BB" w:rsidP="000408BB">
      <w:pPr>
        <w:spacing w:line="600" w:lineRule="exact"/>
        <w:ind w:firstLine="640"/>
        <w:rPr>
          <w:rFonts w:ascii="宋体" w:hAnsi="宋体" w:cs="宋体"/>
          <w:sz w:val="32"/>
        </w:rPr>
      </w:pPr>
      <w:r>
        <w:rPr>
          <w:rFonts w:ascii="宋体" w:hAnsi="宋体" w:cs="宋体" w:hint="eastAsia"/>
          <w:sz w:val="32"/>
        </w:rPr>
        <w:t>——山西华圣铝业有限公司。入库税款</w:t>
      </w:r>
      <w:r w:rsidR="00876694">
        <w:rPr>
          <w:rFonts w:ascii="宋体" w:hAnsi="宋体" w:cs="宋体" w:hint="eastAsia"/>
          <w:sz w:val="32"/>
        </w:rPr>
        <w:t>306</w:t>
      </w:r>
      <w:r>
        <w:rPr>
          <w:rFonts w:ascii="宋体" w:hAnsi="宋体" w:cs="宋体" w:hint="eastAsia"/>
          <w:sz w:val="32"/>
        </w:rPr>
        <w:t>万元，较同期</w:t>
      </w:r>
      <w:r w:rsidR="00876694">
        <w:rPr>
          <w:rFonts w:ascii="宋体" w:hAnsi="宋体" w:cs="宋体" w:hint="eastAsia"/>
          <w:sz w:val="32"/>
        </w:rPr>
        <w:t>6294万元减</w:t>
      </w:r>
      <w:r>
        <w:rPr>
          <w:rFonts w:ascii="宋体" w:hAnsi="宋体" w:cs="宋体" w:hint="eastAsia"/>
          <w:sz w:val="32"/>
        </w:rPr>
        <w:t>收</w:t>
      </w:r>
      <w:r w:rsidR="00876694">
        <w:rPr>
          <w:rFonts w:ascii="宋体" w:hAnsi="宋体" w:cs="宋体" w:hint="eastAsia"/>
          <w:sz w:val="32"/>
        </w:rPr>
        <w:t>5988</w:t>
      </w:r>
      <w:r>
        <w:rPr>
          <w:rFonts w:ascii="宋体" w:hAnsi="宋体" w:cs="宋体" w:hint="eastAsia"/>
          <w:sz w:val="32"/>
        </w:rPr>
        <w:t>万元。</w:t>
      </w:r>
      <w:r w:rsidRPr="00A32DB9">
        <w:rPr>
          <w:rFonts w:ascii="宋体" w:hAnsi="宋体" w:cs="宋体" w:hint="eastAsia"/>
          <w:sz w:val="32"/>
        </w:rPr>
        <w:t>入库税款</w:t>
      </w:r>
      <w:r w:rsidR="00A32DB9" w:rsidRPr="00A32DB9">
        <w:rPr>
          <w:rFonts w:ascii="宋体" w:hAnsi="宋体" w:cs="宋体" w:hint="eastAsia"/>
          <w:sz w:val="32"/>
        </w:rPr>
        <w:t>减收</w:t>
      </w:r>
      <w:r w:rsidRPr="00A32DB9">
        <w:rPr>
          <w:rFonts w:ascii="宋体" w:hAnsi="宋体" w:cs="宋体" w:hint="eastAsia"/>
          <w:sz w:val="32"/>
        </w:rPr>
        <w:t>原因是华圣铝业</w:t>
      </w:r>
      <w:r w:rsidR="00A32DB9" w:rsidRPr="00A32DB9">
        <w:rPr>
          <w:rFonts w:ascii="宋体" w:hAnsi="宋体" w:cs="宋体" w:hint="eastAsia"/>
          <w:sz w:val="32"/>
        </w:rPr>
        <w:t>2019年</w:t>
      </w:r>
      <w:r w:rsidRPr="00A32DB9">
        <w:rPr>
          <w:rFonts w:ascii="宋体" w:hAnsi="宋体" w:cs="宋体" w:hint="eastAsia"/>
          <w:sz w:val="32"/>
        </w:rPr>
        <w:t>停产后，2020年元月份无形资产（产能转移）一次性收入8.5亿元，入库增值税5134万元。</w:t>
      </w:r>
    </w:p>
    <w:p w:rsidR="005155CB" w:rsidRDefault="00424C68">
      <w:pPr>
        <w:spacing w:line="600" w:lineRule="exact"/>
        <w:ind w:firstLine="640"/>
        <w:rPr>
          <w:rFonts w:ascii="黑体" w:eastAsia="黑体" w:hAnsi="黑体" w:cs="黑体"/>
          <w:sz w:val="32"/>
        </w:rPr>
      </w:pPr>
      <w:r>
        <w:rPr>
          <w:rFonts w:ascii="黑体" w:eastAsia="黑体" w:hAnsi="黑体" w:cs="黑体" w:hint="eastAsia"/>
          <w:sz w:val="32"/>
        </w:rPr>
        <w:t>五、政府性基金预算收支情况</w:t>
      </w:r>
    </w:p>
    <w:p w:rsidR="005E074B" w:rsidRDefault="00424C68" w:rsidP="005E074B">
      <w:pPr>
        <w:spacing w:line="600" w:lineRule="exact"/>
        <w:ind w:firstLineChars="200" w:firstLine="640"/>
        <w:rPr>
          <w:rFonts w:ascii="宋体" w:hAnsi="宋体" w:cs="宋体"/>
          <w:sz w:val="32"/>
        </w:rPr>
      </w:pPr>
      <w:r>
        <w:rPr>
          <w:rFonts w:ascii="宋体" w:hAnsi="宋体" w:cs="宋体" w:hint="eastAsia"/>
          <w:sz w:val="32"/>
        </w:rPr>
        <w:t>202</w:t>
      </w:r>
      <w:r w:rsidR="005E074B">
        <w:rPr>
          <w:rFonts w:ascii="宋体" w:hAnsi="宋体" w:cs="宋体" w:hint="eastAsia"/>
          <w:sz w:val="32"/>
        </w:rPr>
        <w:t>1</w:t>
      </w:r>
      <w:r>
        <w:rPr>
          <w:rFonts w:ascii="宋体" w:hAnsi="宋体" w:cs="宋体" w:hint="eastAsia"/>
          <w:sz w:val="32"/>
        </w:rPr>
        <w:t>年</w:t>
      </w:r>
      <w:r w:rsidR="005E074B" w:rsidRPr="005E074B">
        <w:rPr>
          <w:rFonts w:ascii="宋体" w:hAnsi="宋体" w:cs="宋体" w:hint="eastAsia"/>
          <w:sz w:val="32"/>
        </w:rPr>
        <w:t>政府性基金收入完成23055万元，占预算66.3%，比上年下降46.5%。其中：国有土地使用权出让收入18994万元,占预算63.3%，比上年下降45.3%；国有土地收益基金收入1025万元，占预算51.3%，比上年下降75.8%；农业土地开发资金收入174万元，占预算108.8%，比上年下降70.9%；城市基础设施配套费收入1836万元，占预算91.8%，比上年下降36%；污水处理费收入756万元，占预算126%，比上年增长15.4%;其他政府性基金收入270万元，主要是蒲坂城市建设投资集团有限公司偿还专项债券利息。</w:t>
      </w:r>
    </w:p>
    <w:p w:rsidR="005E074B" w:rsidRDefault="00424C68" w:rsidP="005E074B">
      <w:pPr>
        <w:spacing w:line="600" w:lineRule="exact"/>
        <w:ind w:firstLineChars="200" w:firstLine="640"/>
        <w:rPr>
          <w:rFonts w:ascii="宋体" w:hAnsi="宋体" w:cs="宋体"/>
          <w:sz w:val="32"/>
        </w:rPr>
      </w:pPr>
      <w:r>
        <w:rPr>
          <w:rFonts w:ascii="宋体" w:hAnsi="宋体" w:cs="宋体" w:hint="eastAsia"/>
          <w:sz w:val="32"/>
        </w:rPr>
        <w:t>202</w:t>
      </w:r>
      <w:r w:rsidR="005E074B">
        <w:rPr>
          <w:rFonts w:ascii="宋体" w:hAnsi="宋体" w:cs="宋体" w:hint="eastAsia"/>
          <w:sz w:val="32"/>
        </w:rPr>
        <w:t>1</w:t>
      </w:r>
      <w:r>
        <w:rPr>
          <w:rFonts w:ascii="宋体" w:hAnsi="宋体" w:cs="宋体" w:hint="eastAsia"/>
          <w:sz w:val="32"/>
        </w:rPr>
        <w:t>年</w:t>
      </w:r>
      <w:r w:rsidR="005E074B" w:rsidRPr="005E074B">
        <w:rPr>
          <w:rFonts w:ascii="宋体" w:hAnsi="宋体" w:cs="宋体" w:hint="eastAsia"/>
          <w:sz w:val="32"/>
        </w:rPr>
        <w:t>政府性基金预算支出52954万元，占调整预算86.8%，比上年增长13.6%。主要支出项目是：文化旅游与体育传媒支出-19万元，主要是上级扣回以前年度指标。社会保障和就业支出2326万元，比上年增长13.5%。城乡社区支出27315万元，比上年下降3.8%，其中：国有土地使用权出让收入安排的支出21768万元，比上年下降5.7%；国有土地收益基金支出2079万元，比上年下降34.3%；</w:t>
      </w:r>
      <w:r w:rsidR="00E849E3" w:rsidRPr="005E074B">
        <w:rPr>
          <w:rFonts w:ascii="宋体" w:hAnsi="宋体" w:cs="宋体" w:hint="eastAsia"/>
          <w:sz w:val="32"/>
        </w:rPr>
        <w:t>农业土地开发资金支出318万元，比上年增长114.9%；</w:t>
      </w:r>
      <w:r w:rsidR="005E074B" w:rsidRPr="005E074B">
        <w:rPr>
          <w:rFonts w:ascii="宋体" w:hAnsi="宋体" w:cs="宋体" w:hint="eastAsia"/>
          <w:sz w:val="32"/>
        </w:rPr>
        <w:t>城市基础设施配套费</w:t>
      </w:r>
      <w:r w:rsidR="005E074B" w:rsidRPr="005E074B">
        <w:rPr>
          <w:rFonts w:ascii="宋体" w:hAnsi="宋体" w:cs="宋体" w:hint="eastAsia"/>
          <w:sz w:val="32"/>
        </w:rPr>
        <w:lastRenderedPageBreak/>
        <w:t>支出2574万元，比上年增长100.5%；污水处理费支出576万元，比上年下降20.8%。农林水支出932万元。其他支出20499万元，比上年增长116.4%。债务付息支出1881万元，比上年增长14.5%。</w:t>
      </w:r>
      <w:r w:rsidR="00E849E3" w:rsidRPr="005E074B">
        <w:rPr>
          <w:rFonts w:ascii="宋体" w:hAnsi="宋体" w:cs="宋体" w:hint="eastAsia"/>
          <w:sz w:val="32"/>
        </w:rPr>
        <w:t>债务</w:t>
      </w:r>
      <w:r w:rsidR="00E849E3">
        <w:rPr>
          <w:rFonts w:ascii="宋体" w:hAnsi="宋体" w:cs="宋体" w:hint="eastAsia"/>
          <w:sz w:val="32"/>
        </w:rPr>
        <w:t>发行费</w:t>
      </w:r>
      <w:r w:rsidR="00E849E3" w:rsidRPr="005E074B">
        <w:rPr>
          <w:rFonts w:ascii="宋体" w:hAnsi="宋体" w:cs="宋体" w:hint="eastAsia"/>
          <w:sz w:val="32"/>
        </w:rPr>
        <w:t>支出</w:t>
      </w:r>
      <w:r w:rsidR="00E849E3">
        <w:rPr>
          <w:rFonts w:ascii="宋体" w:hAnsi="宋体" w:cs="宋体" w:hint="eastAsia"/>
          <w:sz w:val="32"/>
        </w:rPr>
        <w:t>20</w:t>
      </w:r>
      <w:r w:rsidR="00E849E3" w:rsidRPr="005E074B">
        <w:rPr>
          <w:rFonts w:ascii="宋体" w:hAnsi="宋体" w:cs="宋体" w:hint="eastAsia"/>
          <w:sz w:val="32"/>
        </w:rPr>
        <w:t>万元，比上年增长1</w:t>
      </w:r>
      <w:r w:rsidR="00E849E3">
        <w:rPr>
          <w:rFonts w:ascii="宋体" w:hAnsi="宋体" w:cs="宋体" w:hint="eastAsia"/>
          <w:sz w:val="32"/>
        </w:rPr>
        <w:t>00</w:t>
      </w:r>
      <w:r w:rsidR="00E849E3" w:rsidRPr="005E074B">
        <w:rPr>
          <w:rFonts w:ascii="宋体" w:hAnsi="宋体" w:cs="宋体" w:hint="eastAsia"/>
          <w:sz w:val="32"/>
        </w:rPr>
        <w:t>%。</w:t>
      </w:r>
    </w:p>
    <w:p w:rsidR="005155CB" w:rsidRDefault="00424C68">
      <w:pPr>
        <w:spacing w:line="600" w:lineRule="exact"/>
        <w:ind w:firstLineChars="200" w:firstLine="640"/>
        <w:rPr>
          <w:rFonts w:ascii="黑体" w:eastAsia="黑体" w:hAnsi="黑体" w:cs="黑体"/>
          <w:sz w:val="32"/>
        </w:rPr>
      </w:pPr>
      <w:r>
        <w:rPr>
          <w:rFonts w:ascii="黑体" w:eastAsia="黑体" w:hAnsi="黑体" w:cs="黑体" w:hint="eastAsia"/>
          <w:sz w:val="32"/>
        </w:rPr>
        <w:t>六、国有资本经营情况</w:t>
      </w:r>
    </w:p>
    <w:p w:rsidR="005E074B" w:rsidRDefault="005E074B" w:rsidP="005E074B">
      <w:pPr>
        <w:spacing w:line="600" w:lineRule="exact"/>
        <w:ind w:firstLineChars="250" w:firstLine="800"/>
        <w:rPr>
          <w:rFonts w:ascii="宋体" w:hAnsi="宋体" w:cs="宋体"/>
          <w:sz w:val="32"/>
        </w:rPr>
      </w:pPr>
      <w:r w:rsidRPr="005E074B">
        <w:rPr>
          <w:rFonts w:ascii="宋体" w:hAnsi="宋体" w:cs="宋体" w:hint="eastAsia"/>
          <w:sz w:val="32"/>
        </w:rPr>
        <w:t>2021年国有资本经营预算收入3万元，上级补助收入-2312万元（主要是2021年12月31日上级“三供一业”资金清算扣回3056万元），支出-2827万元，调入一般公共预算3万元，结转下年515万元。经过企业改制,2021年末,我市政府职能部门出资且正常运营的国有及国有控股企业共11户,其中：</w:t>
      </w:r>
      <w:r w:rsidRPr="005E074B">
        <w:rPr>
          <w:rFonts w:ascii="宋体" w:hAnsi="宋体" w:cs="宋体" w:hint="eastAsia"/>
          <w:b/>
          <w:sz w:val="32"/>
        </w:rPr>
        <w:t>盈利企业</w:t>
      </w:r>
      <w:r w:rsidRPr="005E074B">
        <w:rPr>
          <w:rFonts w:ascii="宋体" w:hAnsi="宋体" w:cs="宋体" w:hint="eastAsia"/>
          <w:bCs/>
          <w:sz w:val="32"/>
        </w:rPr>
        <w:t>3</w:t>
      </w:r>
      <w:r w:rsidRPr="005E074B">
        <w:rPr>
          <w:rFonts w:ascii="宋体" w:hAnsi="宋体" w:cs="宋体" w:hint="eastAsia"/>
          <w:sz w:val="32"/>
        </w:rPr>
        <w:t>户,盈利额1049.49万元，主要是蒲坂城市建设投资集团有限公司846.54万元，市政工程公司44.42万元，视佳广播电视网络传输有限公司158.53万元；</w:t>
      </w:r>
      <w:r w:rsidRPr="005E074B">
        <w:rPr>
          <w:rFonts w:ascii="宋体" w:hAnsi="宋体" w:cs="宋体" w:hint="eastAsia"/>
          <w:b/>
          <w:sz w:val="32"/>
        </w:rPr>
        <w:t>亏损企业</w:t>
      </w:r>
      <w:r w:rsidRPr="005E074B">
        <w:rPr>
          <w:rFonts w:ascii="宋体" w:hAnsi="宋体" w:cs="宋体" w:hint="eastAsia"/>
          <w:bCs/>
          <w:sz w:val="32"/>
        </w:rPr>
        <w:t>8</w:t>
      </w:r>
      <w:r w:rsidRPr="005E074B">
        <w:rPr>
          <w:rFonts w:ascii="宋体" w:hAnsi="宋体" w:cs="宋体" w:hint="eastAsia"/>
          <w:sz w:val="32"/>
        </w:rPr>
        <w:t>户,亏损额1731.01万元,主要是新纪元商业集团有限公司-242.42万元，粟济储备粮有限公司-0.17万元，军粮供应有限公司-0.48万元，山西鹳雀楼旅游集团有限公司-35.8万元,山西鹳雀楼集团永济五老峰旅游有限公司-322.31万元，普救寺旅游有限公司-747.16万元，供热服务中心-204.46万元，经济技术开发区实业发展有限责任公司-178.21万元。</w:t>
      </w:r>
    </w:p>
    <w:p w:rsidR="005E074B" w:rsidRDefault="00463388" w:rsidP="005E074B">
      <w:pPr>
        <w:spacing w:line="600" w:lineRule="exact"/>
        <w:ind w:firstLine="643"/>
        <w:rPr>
          <w:rFonts w:ascii="黑体" w:eastAsia="黑体" w:hAnsi="黑体" w:cs="黑体"/>
          <w:sz w:val="32"/>
        </w:rPr>
      </w:pPr>
      <w:r>
        <w:rPr>
          <w:rFonts w:ascii="黑体" w:eastAsia="黑体" w:hAnsi="黑体" w:cs="黑体" w:hint="eastAsia"/>
          <w:sz w:val="32"/>
        </w:rPr>
        <w:t>七</w:t>
      </w:r>
      <w:r w:rsidR="005E074B">
        <w:rPr>
          <w:rFonts w:ascii="黑体" w:eastAsia="黑体" w:hAnsi="黑体" w:cs="黑体" w:hint="eastAsia"/>
          <w:sz w:val="32"/>
        </w:rPr>
        <w:t>、社保基金预算执行情况</w:t>
      </w:r>
    </w:p>
    <w:p w:rsidR="005E074B" w:rsidRPr="005E074B" w:rsidRDefault="005E074B" w:rsidP="00C05D0F">
      <w:pPr>
        <w:spacing w:line="600" w:lineRule="exact"/>
        <w:ind w:firstLineChars="200" w:firstLine="640"/>
        <w:rPr>
          <w:rFonts w:ascii="宋体" w:hAnsi="宋体" w:cs="宋体"/>
          <w:sz w:val="32"/>
        </w:rPr>
      </w:pPr>
      <w:r w:rsidRPr="00B16786">
        <w:rPr>
          <w:rFonts w:ascii="宋体" w:hAnsi="宋体" w:cs="宋体" w:hint="eastAsia"/>
          <w:sz w:val="32"/>
        </w:rPr>
        <w:t>2021社保基金</w:t>
      </w:r>
      <w:r w:rsidR="00463388">
        <w:rPr>
          <w:rFonts w:ascii="宋体" w:hAnsi="宋体" w:cs="宋体" w:hint="eastAsia"/>
          <w:sz w:val="32"/>
        </w:rPr>
        <w:t>本年</w:t>
      </w:r>
      <w:r w:rsidRPr="00B16786">
        <w:rPr>
          <w:rFonts w:ascii="宋体" w:hAnsi="宋体" w:cs="宋体" w:hint="eastAsia"/>
          <w:sz w:val="32"/>
        </w:rPr>
        <w:t>收入</w:t>
      </w:r>
      <w:r w:rsidR="00463388">
        <w:rPr>
          <w:rFonts w:ascii="宋体" w:hAnsi="宋体" w:cs="宋体" w:hint="eastAsia"/>
          <w:sz w:val="32"/>
        </w:rPr>
        <w:t>48906</w:t>
      </w:r>
      <w:r w:rsidRPr="00B16786">
        <w:rPr>
          <w:rFonts w:ascii="宋体" w:hAnsi="宋体" w:cs="宋体" w:hint="eastAsia"/>
          <w:sz w:val="32"/>
        </w:rPr>
        <w:t>万元，支出</w:t>
      </w:r>
      <w:r w:rsidR="00463388">
        <w:rPr>
          <w:rFonts w:ascii="宋体" w:hAnsi="宋体" w:cs="宋体" w:hint="eastAsia"/>
          <w:sz w:val="32"/>
        </w:rPr>
        <w:t>40807</w:t>
      </w:r>
      <w:r w:rsidRPr="00B16786">
        <w:rPr>
          <w:rFonts w:ascii="宋体" w:hAnsi="宋体" w:cs="宋体" w:hint="eastAsia"/>
          <w:sz w:val="32"/>
        </w:rPr>
        <w:t>万元，</w:t>
      </w:r>
      <w:r w:rsidR="00463388">
        <w:rPr>
          <w:rFonts w:ascii="宋体" w:hAnsi="宋体" w:cs="宋体" w:hint="eastAsia"/>
          <w:sz w:val="32"/>
        </w:rPr>
        <w:t>本年收支结余8099万元，年末滚存</w:t>
      </w:r>
      <w:r w:rsidRPr="00B16786">
        <w:rPr>
          <w:rFonts w:ascii="宋体" w:hAnsi="宋体" w:cs="宋体" w:hint="eastAsia"/>
          <w:sz w:val="32"/>
        </w:rPr>
        <w:t>结余</w:t>
      </w:r>
      <w:r w:rsidR="00463388">
        <w:rPr>
          <w:rFonts w:ascii="宋体" w:hAnsi="宋体" w:cs="宋体" w:hint="eastAsia"/>
          <w:sz w:val="32"/>
        </w:rPr>
        <w:t>44770</w:t>
      </w:r>
      <w:r w:rsidRPr="00B16786">
        <w:rPr>
          <w:rFonts w:ascii="宋体" w:hAnsi="宋体" w:cs="宋体" w:hint="eastAsia"/>
          <w:sz w:val="32"/>
        </w:rPr>
        <w:t>万元。其中：机关事业单位基本养老保险基金收入31686万元，支出 3104</w:t>
      </w:r>
      <w:r w:rsidR="00B16786" w:rsidRPr="00B16786">
        <w:rPr>
          <w:rFonts w:ascii="宋体" w:hAnsi="宋体" w:cs="宋体" w:hint="eastAsia"/>
          <w:sz w:val="32"/>
        </w:rPr>
        <w:t>4</w:t>
      </w:r>
      <w:r w:rsidRPr="00B16786">
        <w:rPr>
          <w:rFonts w:ascii="宋体" w:hAnsi="宋体" w:cs="宋体" w:hint="eastAsia"/>
          <w:sz w:val="32"/>
        </w:rPr>
        <w:t>万元，</w:t>
      </w:r>
      <w:r w:rsidR="00B16786" w:rsidRPr="00B16786">
        <w:rPr>
          <w:rFonts w:ascii="宋体" w:hAnsi="宋体" w:cs="宋体" w:hint="eastAsia"/>
          <w:sz w:val="32"/>
        </w:rPr>
        <w:t>本年收支结余642万元，年末滚存</w:t>
      </w:r>
      <w:r w:rsidRPr="00B16786">
        <w:rPr>
          <w:rFonts w:ascii="宋体" w:hAnsi="宋体" w:cs="宋体" w:hint="eastAsia"/>
          <w:sz w:val="32"/>
        </w:rPr>
        <w:t>结余2781万元；城乡居民基本养老保险基金收入17</w:t>
      </w:r>
      <w:r w:rsidR="00B16786" w:rsidRPr="00B16786">
        <w:rPr>
          <w:rFonts w:ascii="宋体" w:hAnsi="宋体" w:cs="宋体" w:hint="eastAsia"/>
          <w:sz w:val="32"/>
        </w:rPr>
        <w:t>220</w:t>
      </w:r>
      <w:r w:rsidRPr="00B16786">
        <w:rPr>
          <w:rFonts w:ascii="宋体" w:hAnsi="宋体" w:cs="宋体" w:hint="eastAsia"/>
          <w:sz w:val="32"/>
        </w:rPr>
        <w:t>万元，支出 9763万元，</w:t>
      </w:r>
      <w:r w:rsidR="00B16786" w:rsidRPr="00B16786">
        <w:rPr>
          <w:rFonts w:ascii="宋体" w:hAnsi="宋体" w:cs="宋体" w:hint="eastAsia"/>
          <w:sz w:val="32"/>
        </w:rPr>
        <w:t>本年收支结余7457万元，年末滚存结余41989万元</w:t>
      </w:r>
      <w:r w:rsidRPr="00B16786">
        <w:rPr>
          <w:rFonts w:ascii="宋体" w:hAnsi="宋体" w:cs="宋体" w:hint="eastAsia"/>
          <w:sz w:val="32"/>
        </w:rPr>
        <w:t>。</w:t>
      </w:r>
    </w:p>
    <w:p w:rsidR="005155CB" w:rsidRDefault="00463388">
      <w:pPr>
        <w:spacing w:line="600" w:lineRule="exact"/>
        <w:ind w:firstLineChars="250" w:firstLine="800"/>
        <w:rPr>
          <w:rFonts w:ascii="黑体" w:eastAsia="黑体" w:hAnsi="黑体"/>
          <w:sz w:val="32"/>
          <w:szCs w:val="32"/>
        </w:rPr>
      </w:pPr>
      <w:r>
        <w:rPr>
          <w:rFonts w:ascii="黑体" w:eastAsia="黑体" w:hAnsi="黑体" w:hint="eastAsia"/>
          <w:sz w:val="32"/>
          <w:szCs w:val="32"/>
        </w:rPr>
        <w:t>八</w:t>
      </w:r>
      <w:r w:rsidR="00424C68">
        <w:rPr>
          <w:rFonts w:ascii="黑体" w:eastAsia="黑体" w:hAnsi="黑体" w:hint="eastAsia"/>
          <w:sz w:val="32"/>
          <w:szCs w:val="32"/>
        </w:rPr>
        <w:t>、202</w:t>
      </w:r>
      <w:r w:rsidR="00C05D0F">
        <w:rPr>
          <w:rFonts w:ascii="黑体" w:eastAsia="黑体" w:hAnsi="黑体" w:hint="eastAsia"/>
          <w:sz w:val="32"/>
          <w:szCs w:val="32"/>
        </w:rPr>
        <w:t>1</w:t>
      </w:r>
      <w:r w:rsidR="00424C68">
        <w:rPr>
          <w:rFonts w:ascii="黑体" w:eastAsia="黑体" w:hAnsi="黑体" w:hint="eastAsia"/>
          <w:sz w:val="32"/>
          <w:szCs w:val="32"/>
        </w:rPr>
        <w:t>年主要工作情况</w:t>
      </w:r>
    </w:p>
    <w:p w:rsidR="00C05D0F" w:rsidRDefault="00424C68" w:rsidP="00C05D0F">
      <w:pPr>
        <w:spacing w:line="600" w:lineRule="exact"/>
        <w:ind w:firstLineChars="250" w:firstLine="803"/>
        <w:rPr>
          <w:rFonts w:ascii="宋体" w:hAnsi="宋体" w:cs="宋体"/>
          <w:sz w:val="32"/>
        </w:rPr>
      </w:pPr>
      <w:r>
        <w:rPr>
          <w:rFonts w:ascii="宋体" w:hAnsi="宋体" w:cs="宋体" w:hint="eastAsia"/>
          <w:b/>
          <w:bCs/>
          <w:sz w:val="32"/>
          <w:szCs w:val="32"/>
        </w:rPr>
        <w:t>1、</w:t>
      </w:r>
      <w:r w:rsidR="00C05D0F" w:rsidRPr="00C05D0F">
        <w:rPr>
          <w:rFonts w:ascii="宋体" w:hAnsi="宋体" w:cs="宋体" w:hint="eastAsia"/>
          <w:b/>
          <w:bCs/>
          <w:sz w:val="32"/>
        </w:rPr>
        <w:t>积极争取资金，提升财政保障能力。</w:t>
      </w:r>
      <w:r w:rsidR="00C05D0F" w:rsidRPr="00C05D0F">
        <w:rPr>
          <w:rFonts w:ascii="宋体" w:hAnsi="宋体" w:cs="宋体" w:hint="eastAsia"/>
          <w:sz w:val="32"/>
        </w:rPr>
        <w:t>一是多次向省财政厅汇报了我市财政运行及面临的困难，取得了上级的大</w:t>
      </w:r>
      <w:r w:rsidR="00C05D0F" w:rsidRPr="00C05D0F">
        <w:rPr>
          <w:rFonts w:ascii="宋体" w:hAnsi="宋体" w:cs="宋体" w:hint="eastAsia"/>
          <w:sz w:val="32"/>
        </w:rPr>
        <w:lastRenderedPageBreak/>
        <w:t xml:space="preserve">力支持。下达我市均衡性转移支付92036万元，比年初增加6245万元；县级基本财力保障机制奖补资金18660万元，比年初增加4319万元；县级增收返还奖励资金及其他财力增加4594万元；新增政府债券资金37600万元，为我市经济良好运行提供了财力保障。二是根据向上争取资金考核方案，对相关单位全年的项目申报及上级资金到位情况进行统计，35个被考核单位共向上争取资金111302.48万元，完成年度任务120.4%。 </w:t>
      </w:r>
    </w:p>
    <w:p w:rsidR="00C05D0F" w:rsidRPr="00C05D0F" w:rsidRDefault="00424C68" w:rsidP="00C05D0F">
      <w:pPr>
        <w:spacing w:line="600" w:lineRule="exact"/>
        <w:ind w:firstLine="640"/>
        <w:rPr>
          <w:rFonts w:ascii="宋体" w:hAnsi="宋体" w:cs="宋体"/>
          <w:sz w:val="32"/>
          <w:szCs w:val="32"/>
        </w:rPr>
      </w:pPr>
      <w:r>
        <w:rPr>
          <w:rFonts w:ascii="宋体" w:hAnsi="宋体" w:cs="宋体" w:hint="eastAsia"/>
          <w:b/>
          <w:bCs/>
          <w:sz w:val="32"/>
          <w:szCs w:val="32"/>
        </w:rPr>
        <w:t>2、</w:t>
      </w:r>
      <w:r w:rsidR="00C05D0F" w:rsidRPr="00C05D0F">
        <w:rPr>
          <w:rFonts w:ascii="宋体" w:hAnsi="宋体" w:cs="宋体" w:hint="eastAsia"/>
          <w:b/>
          <w:sz w:val="32"/>
          <w:szCs w:val="32"/>
        </w:rPr>
        <w:t>关注三农工作，大力支持乡村振兴。</w:t>
      </w:r>
      <w:r w:rsidR="00C05D0F" w:rsidRPr="00C05D0F">
        <w:rPr>
          <w:rFonts w:ascii="宋体" w:hAnsi="宋体" w:cs="宋体" w:hint="eastAsia"/>
          <w:sz w:val="32"/>
          <w:szCs w:val="32"/>
        </w:rPr>
        <w:t>财政加大支持脱贫攻坚同乡村振兴有效衔接，积极整合基层设施建设、产业发展等农业类资金，在乡村振兴方面投入71430万元，比上年增长19.09%。因地制宜发展农业产业，有效激发乡村振兴的内生动力，不断推进农村人居环境整治，形成绿色生产生活方式，让农民精神文化层面越来越丰盈、农业生产越来越发展、农村环境越来越美丽。</w:t>
      </w:r>
    </w:p>
    <w:p w:rsidR="00C05D0F" w:rsidRDefault="00424C68" w:rsidP="00C05D0F">
      <w:pPr>
        <w:spacing w:line="600" w:lineRule="exact"/>
        <w:ind w:firstLine="640"/>
        <w:rPr>
          <w:rFonts w:ascii="宋体" w:hAnsi="宋体" w:cs="宋体"/>
          <w:sz w:val="32"/>
        </w:rPr>
      </w:pPr>
      <w:r>
        <w:rPr>
          <w:rFonts w:ascii="宋体" w:hAnsi="宋体" w:cs="宋体" w:hint="eastAsia"/>
          <w:b/>
          <w:bCs/>
          <w:sz w:val="32"/>
        </w:rPr>
        <w:t>3、</w:t>
      </w:r>
      <w:r w:rsidR="00C05D0F" w:rsidRPr="00C05D0F">
        <w:rPr>
          <w:rFonts w:ascii="宋体" w:hAnsi="宋体" w:cs="宋体" w:hint="eastAsia"/>
          <w:b/>
          <w:bCs/>
          <w:sz w:val="32"/>
        </w:rPr>
        <w:t>增进民生福祉，不断提升幸福质感。</w:t>
      </w:r>
      <w:r w:rsidR="00C05D0F" w:rsidRPr="00C05D0F">
        <w:rPr>
          <w:rFonts w:ascii="宋体" w:hAnsi="宋体" w:cs="宋体" w:hint="eastAsia"/>
          <w:sz w:val="32"/>
        </w:rPr>
        <w:t xml:space="preserve">一是优先保证个人部分支出，全年个人部分达11.1亿元，比上年增长5.7%；二是支持教育事业发展。认真落实各项教育优惠政策，全年教育投入68255万元，重点安排宗元小学和幼儿园建设、智慧教育等民生工程；三是不断提升医疗卫生水平及社会保障能力。积极筹集资金，拨付疫苗接种费用、核酸检测材料储备等资金2258万元；四是加大应急经费投入。拨付雨涝灾害、民兵应急队伍装备购置等1016万元；五是注重保障群众精神文化方面的需求。全年文化旅游体育支出11288万元，完善基层文化服务体系，加强全面健身基础设施方面的投入，推进我市全域旅游高质量发展。 </w:t>
      </w:r>
    </w:p>
    <w:p w:rsidR="00944025" w:rsidRDefault="00C05D0F" w:rsidP="00C05D0F">
      <w:pPr>
        <w:spacing w:line="600" w:lineRule="exact"/>
        <w:ind w:firstLine="640"/>
        <w:rPr>
          <w:rFonts w:ascii="宋体" w:hAnsi="宋体" w:cs="宋体"/>
          <w:sz w:val="32"/>
        </w:rPr>
      </w:pPr>
      <w:r>
        <w:rPr>
          <w:rFonts w:ascii="宋体" w:hAnsi="宋体" w:cs="宋体" w:hint="eastAsia"/>
          <w:b/>
          <w:bCs/>
          <w:sz w:val="32"/>
        </w:rPr>
        <w:t>4、</w:t>
      </w:r>
      <w:r w:rsidRPr="00C05D0F">
        <w:rPr>
          <w:rFonts w:ascii="宋体" w:hAnsi="宋体" w:cs="宋体" w:hint="eastAsia"/>
          <w:b/>
          <w:bCs/>
          <w:sz w:val="32"/>
        </w:rPr>
        <w:t>深化财政改革，提升财政管理水平。</w:t>
      </w:r>
      <w:r w:rsidRPr="00C05D0F">
        <w:rPr>
          <w:rFonts w:ascii="宋体" w:hAnsi="宋体" w:cs="宋体" w:hint="eastAsia"/>
          <w:sz w:val="32"/>
        </w:rPr>
        <w:t>一是通过预算管理一体化系统，强化项目储备、细化预算编制，不断推进预算科学化、精细化管理；二是充分发挥部门监督管理职能，稳步推进政府采购工作。全年共完成政府采购1442 笔，采购资金10.3亿元，节约资金6897.3万元；三是发挥财政评审职能，提高资金使用效益。全年共评审265个项目，送审金额12.97亿元，审定金额10.9亿元，审减金额2.07亿元，审减率15.96%；四是全面实施预算绩效管理。全年纳入绩效</w:t>
      </w:r>
      <w:r w:rsidRPr="00C05D0F">
        <w:rPr>
          <w:rFonts w:ascii="宋体" w:hAnsi="宋体" w:cs="宋体" w:hint="eastAsia"/>
          <w:sz w:val="32"/>
        </w:rPr>
        <w:lastRenderedPageBreak/>
        <w:t>目标管理的项目共811个金额20.2亿元，其中财政重点绩效项目16个金额4.2亿元。</w:t>
      </w:r>
    </w:p>
    <w:p w:rsidR="00C05D0F" w:rsidRDefault="00C05D0F" w:rsidP="00C05D0F">
      <w:pPr>
        <w:spacing w:line="600" w:lineRule="exact"/>
        <w:ind w:firstLine="640"/>
        <w:rPr>
          <w:rFonts w:ascii="宋体" w:hAnsi="宋体" w:cs="宋体"/>
          <w:sz w:val="32"/>
        </w:rPr>
      </w:pPr>
      <w:r>
        <w:rPr>
          <w:rFonts w:ascii="宋体" w:hAnsi="宋体" w:cs="宋体" w:hint="eastAsia"/>
          <w:b/>
          <w:sz w:val="32"/>
        </w:rPr>
        <w:t>5、</w:t>
      </w:r>
      <w:r w:rsidRPr="00C05D0F">
        <w:rPr>
          <w:rFonts w:ascii="宋体" w:hAnsi="宋体" w:cs="宋体" w:hint="eastAsia"/>
          <w:b/>
          <w:sz w:val="32"/>
        </w:rPr>
        <w:t>加强债务管理，严控财政资金风险。</w:t>
      </w:r>
      <w:r w:rsidRPr="00C05D0F">
        <w:rPr>
          <w:rFonts w:ascii="宋体" w:hAnsi="宋体" w:cs="宋体" w:hint="eastAsia"/>
          <w:bCs/>
          <w:sz w:val="32"/>
        </w:rPr>
        <w:t>一是防范化解政府债务风险，强化底线思维，做好政府债务管理工作。</w:t>
      </w:r>
      <w:r w:rsidRPr="00C05D0F">
        <w:rPr>
          <w:rFonts w:ascii="宋体" w:hAnsi="宋体" w:cs="宋体" w:hint="eastAsia"/>
          <w:sz w:val="32"/>
        </w:rPr>
        <w:t>我市政府性债务余额14.19亿元，未超政府债务限额15.74亿元。按期偿还到期的政府性债务本息，偿还地方政府债券本金15600万元，利息3973.3万元，合计19573.3万元；二是及时对政府债务及隐性债务进行监测，加强风险监控及预警；三是严格财政暂付款管理，消化财政暂付款1004万元，完成年度化解任务。</w:t>
      </w:r>
    </w:p>
    <w:p w:rsidR="00800E43" w:rsidRDefault="00390FE3" w:rsidP="0080746C">
      <w:pPr>
        <w:spacing w:line="600" w:lineRule="exact"/>
        <w:ind w:firstLine="640"/>
        <w:rPr>
          <w:rFonts w:ascii="黑体" w:eastAsia="黑体" w:hAnsi="黑体" w:cs="黑体"/>
          <w:sz w:val="32"/>
        </w:rPr>
      </w:pPr>
      <w:r>
        <w:rPr>
          <w:rFonts w:ascii="黑体" w:eastAsia="黑体" w:hAnsi="黑体" w:cs="黑体" w:hint="eastAsia"/>
          <w:sz w:val="32"/>
        </w:rPr>
        <w:t>九</w:t>
      </w:r>
      <w:r w:rsidR="008B229D">
        <w:rPr>
          <w:rFonts w:ascii="黑体" w:eastAsia="黑体" w:hAnsi="黑体" w:cs="黑体" w:hint="eastAsia"/>
          <w:sz w:val="32"/>
        </w:rPr>
        <w:t>、“三公”经费支出情况</w:t>
      </w:r>
    </w:p>
    <w:p w:rsidR="008B229D" w:rsidRPr="00FB4F6A" w:rsidRDefault="008B229D" w:rsidP="008B229D">
      <w:pPr>
        <w:spacing w:line="600" w:lineRule="exact"/>
        <w:ind w:firstLine="640"/>
        <w:rPr>
          <w:rFonts w:ascii="宋体" w:hAnsi="宋体" w:cs="宋体"/>
          <w:bCs/>
          <w:sz w:val="32"/>
        </w:rPr>
      </w:pPr>
      <w:r w:rsidRPr="00FB4F6A">
        <w:rPr>
          <w:rFonts w:ascii="宋体" w:hAnsi="宋体" w:cs="宋体" w:hint="eastAsia"/>
          <w:bCs/>
          <w:sz w:val="32"/>
        </w:rPr>
        <w:t>厉行勤俭节约，进一步严控“三公”经费支出，全年“三公”经费财政拨款支出预算</w:t>
      </w:r>
      <w:r w:rsidR="00360C23">
        <w:rPr>
          <w:rFonts w:ascii="宋体" w:hAnsi="宋体" w:cs="宋体" w:hint="eastAsia"/>
          <w:bCs/>
          <w:sz w:val="32"/>
        </w:rPr>
        <w:t>1260</w:t>
      </w:r>
      <w:r w:rsidRPr="00FB4F6A">
        <w:rPr>
          <w:rFonts w:ascii="宋体" w:hAnsi="宋体" w:cs="宋体" w:hint="eastAsia"/>
          <w:bCs/>
          <w:sz w:val="32"/>
        </w:rPr>
        <w:t>万元，支出决算641万元，完成预算的</w:t>
      </w:r>
      <w:r w:rsidR="00360C23">
        <w:rPr>
          <w:rFonts w:ascii="宋体" w:hAnsi="宋体" w:cs="宋体" w:hint="eastAsia"/>
          <w:bCs/>
          <w:sz w:val="32"/>
        </w:rPr>
        <w:t>50.87</w:t>
      </w:r>
      <w:r w:rsidRPr="00FB4F6A">
        <w:rPr>
          <w:rFonts w:ascii="宋体" w:hAnsi="宋体" w:cs="宋体" w:hint="eastAsia"/>
          <w:bCs/>
          <w:sz w:val="32"/>
        </w:rPr>
        <w:t>%，比上年减少5万元。其中：</w:t>
      </w:r>
      <w:r w:rsidR="00FB4F6A" w:rsidRPr="00FB4F6A">
        <w:rPr>
          <w:rFonts w:ascii="宋体" w:hAnsi="宋体" w:cs="宋体" w:hint="eastAsia"/>
          <w:bCs/>
          <w:sz w:val="32"/>
        </w:rPr>
        <w:t>公务用车运行维护费308万元，公务用车购置费198万元，公务接待费135万元。</w:t>
      </w:r>
    </w:p>
    <w:p w:rsidR="00800E43" w:rsidRPr="00014ECC" w:rsidRDefault="00390FE3" w:rsidP="0080746C">
      <w:pPr>
        <w:spacing w:line="600" w:lineRule="exact"/>
        <w:ind w:firstLine="640"/>
        <w:rPr>
          <w:rFonts w:ascii="黑体" w:eastAsia="黑体" w:hAnsi="黑体" w:cs="宋体"/>
          <w:bCs/>
          <w:sz w:val="32"/>
        </w:rPr>
      </w:pPr>
      <w:r>
        <w:rPr>
          <w:rFonts w:ascii="黑体" w:eastAsia="黑体" w:hAnsi="黑体" w:cs="宋体" w:hint="eastAsia"/>
          <w:bCs/>
          <w:sz w:val="32"/>
        </w:rPr>
        <w:t>十</w:t>
      </w:r>
      <w:r w:rsidR="00782314" w:rsidRPr="00014ECC">
        <w:rPr>
          <w:rFonts w:ascii="黑体" w:eastAsia="黑体" w:hAnsi="黑体" w:cs="宋体" w:hint="eastAsia"/>
          <w:bCs/>
          <w:sz w:val="32"/>
        </w:rPr>
        <w:t>、预算绩效工作开展情况</w:t>
      </w:r>
    </w:p>
    <w:p w:rsidR="00782314" w:rsidRPr="00014ECC" w:rsidRDefault="00782314" w:rsidP="00782314">
      <w:pPr>
        <w:spacing w:line="600" w:lineRule="exact"/>
        <w:ind w:firstLine="640"/>
        <w:rPr>
          <w:rFonts w:ascii="宋体" w:hAnsi="宋体" w:cs="宋体"/>
          <w:bCs/>
          <w:sz w:val="32"/>
        </w:rPr>
      </w:pPr>
      <w:r w:rsidRPr="00014ECC">
        <w:rPr>
          <w:rFonts w:ascii="宋体" w:hAnsi="宋体" w:cs="宋体" w:hint="eastAsia"/>
          <w:bCs/>
          <w:sz w:val="32"/>
        </w:rPr>
        <w:t>为完善预算绩效管理制度，提高绩效评价质量。根据《中华人民共和国预算法实施条例》、《中共山西省人民政府关于全面实施绩效管理的实施意见》等，结合运城财政局相关文件，5月份出台了永财字【2021】17号文件《永济市项目支出绩效评价管理办法》、8月份出台了永财字【2021】37号文件《永济市财政局2021年重点绩效评价实施方案》。其中，对绩效评价的适用范围、职责分工、依据、标准、方法、结果应用及公开、以及法律责任都做出了更全面的解释和规范。绩效评价结果将作为完善财政政策、科学安排预算的重要依据。</w:t>
      </w:r>
    </w:p>
    <w:p w:rsidR="001C4BFA" w:rsidRPr="001C4BFA" w:rsidRDefault="00014ECC" w:rsidP="001C4BFA">
      <w:pPr>
        <w:spacing w:line="600" w:lineRule="exact"/>
        <w:ind w:firstLine="640"/>
        <w:rPr>
          <w:rFonts w:ascii="宋体" w:hAnsi="宋体" w:cs="宋体"/>
          <w:bCs/>
          <w:sz w:val="32"/>
        </w:rPr>
      </w:pPr>
      <w:r w:rsidRPr="00014ECC">
        <w:rPr>
          <w:rFonts w:ascii="宋体" w:hAnsi="宋体" w:cs="宋体" w:hint="eastAsia"/>
          <w:bCs/>
          <w:sz w:val="32"/>
        </w:rPr>
        <w:t>在部门全面开展自评的基础上，不断加大自评抽查复核和重点评价力度，在财政安排的重点项目中选择覆盖面广、影响力大、社会关注度高的项目支出开展财政重点评价，评价金额超过当年财政项目支出总额的30%，同时选择1-2个部门开展整体支出评价。</w:t>
      </w:r>
      <w:r w:rsidR="00782314" w:rsidRPr="00014ECC">
        <w:rPr>
          <w:rFonts w:ascii="宋体" w:hAnsi="宋体" w:cs="宋体" w:hint="eastAsia"/>
          <w:bCs/>
          <w:sz w:val="32"/>
        </w:rPr>
        <w:t>8月份组织开展了2021年度重点绩效评价工作，从2020年度及以前年度本级预算安排的市委市政</w:t>
      </w:r>
      <w:r w:rsidR="00782314" w:rsidRPr="00014ECC">
        <w:rPr>
          <w:rFonts w:ascii="宋体" w:hAnsi="宋体" w:cs="宋体" w:hint="eastAsia"/>
          <w:bCs/>
          <w:sz w:val="32"/>
        </w:rPr>
        <w:lastRenderedPageBreak/>
        <w:t>府重点项目或重大民生实事项目及上级部门要求的必评项目中选出15个，部门整体支出1个，涉及财政资金4.24亿元。</w:t>
      </w:r>
      <w:r w:rsidR="00782314" w:rsidRPr="001C4BFA">
        <w:rPr>
          <w:rFonts w:ascii="宋体" w:hAnsi="宋体" w:cs="宋体" w:hint="eastAsia"/>
          <w:bCs/>
          <w:sz w:val="32"/>
        </w:rPr>
        <w:t>评价机构从财政厅和运城财政局确定的第三方绩效评价机构中择优选聘三家具体参与本次绩效评价工作，相关部门全权配合、协调、监督，并指定专人全程参与评价工作，确保评价工作客观公正。</w:t>
      </w:r>
    </w:p>
    <w:p w:rsidR="00782314" w:rsidRPr="00FB4F6A" w:rsidRDefault="001C4BFA" w:rsidP="00390FE3">
      <w:pPr>
        <w:spacing w:line="600" w:lineRule="exact"/>
        <w:ind w:firstLine="640"/>
        <w:rPr>
          <w:rFonts w:ascii="宋体" w:hAnsi="宋体" w:cs="宋体"/>
          <w:bCs/>
          <w:sz w:val="32"/>
        </w:rPr>
      </w:pPr>
      <w:r w:rsidRPr="001C4BFA">
        <w:rPr>
          <w:rFonts w:ascii="宋体" w:hAnsi="宋体" w:cs="宋体" w:hint="eastAsia"/>
          <w:bCs/>
          <w:sz w:val="32"/>
        </w:rPr>
        <w:t>建立绩效评价结果反馈和应用机制，</w:t>
      </w:r>
      <w:r w:rsidR="00782314" w:rsidRPr="001C4BFA">
        <w:rPr>
          <w:rFonts w:ascii="宋体" w:hAnsi="宋体" w:cs="宋体" w:hint="eastAsia"/>
          <w:bCs/>
          <w:sz w:val="32"/>
        </w:rPr>
        <w:t>对绩效好的项目优先支持，对绩效较差的项目进行整改、调减或撤销，最大限度提升财政资金的使用效益和资金配置效率。不断拓展绩效评价模式，提高绩效评价质量，充分运用绩效评价结果，不断提升财政资金使用效益。</w:t>
      </w:r>
      <w:r w:rsidR="00014ECC" w:rsidRPr="001C4BFA">
        <w:rPr>
          <w:rFonts w:ascii="宋体" w:hAnsi="宋体" w:cs="宋体" w:hint="eastAsia"/>
          <w:bCs/>
          <w:sz w:val="32"/>
        </w:rPr>
        <w:t>同时加大绩效信息公开力度，各预算部门将年初预算中纳入绩效目标管理的项目绩效目标随同部门预算的公开同步公开，将绩效管理情况和绩效评价结果随同部门决算的公开同步公开。财政部门将财政重点评价结果向社会公开，主动接受外部监督。</w:t>
      </w:r>
    </w:p>
    <w:p w:rsidR="0080746C" w:rsidRPr="00A32DB9" w:rsidRDefault="00390FE3" w:rsidP="0080746C">
      <w:pPr>
        <w:spacing w:line="600" w:lineRule="exact"/>
        <w:ind w:firstLine="640"/>
        <w:rPr>
          <w:rFonts w:ascii="黑体" w:eastAsia="黑体" w:hAnsi="黑体" w:cs="黑体"/>
          <w:sz w:val="32"/>
        </w:rPr>
      </w:pPr>
      <w:r>
        <w:rPr>
          <w:rFonts w:ascii="黑体" w:eastAsia="黑体" w:hAnsi="黑体" w:cs="黑体" w:hint="eastAsia"/>
          <w:sz w:val="32"/>
        </w:rPr>
        <w:t>十一</w:t>
      </w:r>
      <w:r w:rsidR="0080746C" w:rsidRPr="00A32DB9">
        <w:rPr>
          <w:rFonts w:ascii="黑体" w:eastAsia="黑体" w:hAnsi="黑体" w:cs="黑体" w:hint="eastAsia"/>
          <w:sz w:val="32"/>
        </w:rPr>
        <w:t>、地方政府债务情况</w:t>
      </w:r>
    </w:p>
    <w:p w:rsidR="0080746C" w:rsidRPr="00A32DB9" w:rsidRDefault="0080746C" w:rsidP="0080746C">
      <w:pPr>
        <w:spacing w:line="600" w:lineRule="exact"/>
        <w:ind w:firstLine="643"/>
        <w:rPr>
          <w:rFonts w:ascii="宋体" w:hAnsi="宋体" w:cs="宋体"/>
          <w:b/>
          <w:bCs/>
          <w:sz w:val="32"/>
        </w:rPr>
      </w:pPr>
      <w:r w:rsidRPr="00A32DB9">
        <w:rPr>
          <w:rFonts w:ascii="宋体" w:hAnsi="宋体" w:cs="宋体" w:hint="eastAsia"/>
          <w:b/>
          <w:bCs/>
          <w:sz w:val="32"/>
        </w:rPr>
        <w:t>（一）2021年政府性债务总体情况</w:t>
      </w:r>
    </w:p>
    <w:p w:rsidR="0080746C" w:rsidRPr="00A32DB9" w:rsidRDefault="0080746C" w:rsidP="0080746C">
      <w:pPr>
        <w:spacing w:line="600" w:lineRule="exact"/>
        <w:ind w:firstLine="643"/>
        <w:rPr>
          <w:rFonts w:ascii="宋体" w:hAnsi="宋体" w:cs="宋体"/>
          <w:bCs/>
          <w:sz w:val="32"/>
        </w:rPr>
      </w:pPr>
      <w:r w:rsidRPr="00A32DB9">
        <w:rPr>
          <w:rFonts w:ascii="宋体" w:hAnsi="宋体" w:cs="宋体" w:hint="eastAsia"/>
          <w:bCs/>
          <w:sz w:val="32"/>
        </w:rPr>
        <w:t>2021年末，我市政府债务余额141900万元，其中：一般债务余额73000万元，专项债务余额68900万元。债务余额未超过法定政府性债务限额157400万元（其中：一般债务限额76500万元，专项债务限额80900万元），政府债务风险总体安全可控。</w:t>
      </w:r>
    </w:p>
    <w:p w:rsidR="0080746C" w:rsidRPr="00A32DB9" w:rsidRDefault="0080746C" w:rsidP="0080746C">
      <w:pPr>
        <w:spacing w:line="600" w:lineRule="exact"/>
        <w:ind w:firstLine="643"/>
        <w:rPr>
          <w:rFonts w:ascii="宋体" w:hAnsi="宋体" w:cs="宋体"/>
          <w:bCs/>
          <w:sz w:val="32"/>
        </w:rPr>
      </w:pPr>
      <w:r w:rsidRPr="00A32DB9">
        <w:rPr>
          <w:rFonts w:ascii="宋体" w:hAnsi="宋体" w:cs="宋体" w:hint="eastAsia"/>
          <w:b/>
          <w:bCs/>
          <w:sz w:val="32"/>
        </w:rPr>
        <w:t>（二）新增债券资金使用情况</w:t>
      </w:r>
    </w:p>
    <w:p w:rsidR="0080746C" w:rsidRPr="00A32DB9" w:rsidRDefault="0080746C" w:rsidP="0080746C">
      <w:pPr>
        <w:spacing w:line="600" w:lineRule="exact"/>
        <w:ind w:firstLine="643"/>
        <w:rPr>
          <w:rFonts w:ascii="宋体" w:hAnsi="宋体" w:cs="宋体"/>
          <w:bCs/>
          <w:sz w:val="32"/>
        </w:rPr>
      </w:pPr>
      <w:r w:rsidRPr="00A32DB9">
        <w:rPr>
          <w:rFonts w:ascii="宋体" w:hAnsi="宋体" w:cs="宋体" w:hint="eastAsia"/>
          <w:bCs/>
          <w:sz w:val="32"/>
        </w:rPr>
        <w:t>今年我市收到上级转贷的新增债券资金37600万元，其中，新增一般债券资金14000万元，新增专项债券资金23600万元。</w:t>
      </w:r>
    </w:p>
    <w:p w:rsidR="0080746C" w:rsidRPr="00A32DB9" w:rsidRDefault="0080746C" w:rsidP="0080746C">
      <w:pPr>
        <w:spacing w:line="600" w:lineRule="exact"/>
        <w:ind w:firstLine="643"/>
        <w:rPr>
          <w:rFonts w:ascii="宋体" w:hAnsi="宋体" w:cs="宋体"/>
          <w:bCs/>
          <w:sz w:val="32"/>
        </w:rPr>
      </w:pPr>
      <w:r w:rsidRPr="00A32DB9">
        <w:rPr>
          <w:rFonts w:ascii="宋体" w:hAnsi="宋体" w:cs="宋体" w:hint="eastAsia"/>
          <w:bCs/>
          <w:sz w:val="32"/>
        </w:rPr>
        <w:t>新增一般债券安排支出的项目是：沿黄旅游公路改建工程5000万元，柳宗元小学建设项目6000万元，黄河大道地下停车场建设项目2000万元，城东污水处理厂提效改造工程1000万元。</w:t>
      </w:r>
    </w:p>
    <w:p w:rsidR="0080746C" w:rsidRPr="00A32DB9" w:rsidRDefault="0080746C" w:rsidP="0080746C">
      <w:pPr>
        <w:spacing w:line="600" w:lineRule="exact"/>
        <w:ind w:firstLine="643"/>
        <w:rPr>
          <w:rFonts w:ascii="宋体" w:hAnsi="宋体" w:cs="宋体"/>
          <w:bCs/>
          <w:sz w:val="32"/>
        </w:rPr>
      </w:pPr>
      <w:r w:rsidRPr="00A32DB9">
        <w:rPr>
          <w:rFonts w:ascii="宋体" w:hAnsi="宋体" w:cs="宋体" w:hint="eastAsia"/>
          <w:bCs/>
          <w:sz w:val="32"/>
        </w:rPr>
        <w:lastRenderedPageBreak/>
        <w:t>新增专项债券安排支出的项目是：人民医院整体搬迁项目5000万元，华夏经典文化旅游区片打造5A景区提升改造建设项目3200万元，经济技术开发区标准厂房及配套设施建设8100万元，柳宗元幼儿园建设项目2000万元，职业中专学校产教融合基地建设项目1300万元，黄河一号旅游公路永济至卿头支线改建工程4000万元。</w:t>
      </w:r>
    </w:p>
    <w:p w:rsidR="0080746C" w:rsidRPr="00A32DB9" w:rsidRDefault="0080746C" w:rsidP="0080746C">
      <w:pPr>
        <w:spacing w:line="600" w:lineRule="exact"/>
        <w:ind w:firstLineChars="200" w:firstLine="643"/>
        <w:rPr>
          <w:rFonts w:ascii="宋体" w:hAnsi="宋体" w:cs="宋体"/>
          <w:b/>
          <w:bCs/>
          <w:sz w:val="32"/>
        </w:rPr>
      </w:pPr>
      <w:r w:rsidRPr="00A32DB9">
        <w:rPr>
          <w:rFonts w:ascii="宋体" w:hAnsi="宋体" w:cs="宋体" w:hint="eastAsia"/>
          <w:b/>
          <w:bCs/>
          <w:sz w:val="32"/>
        </w:rPr>
        <w:t>（三）债券还本付息</w:t>
      </w:r>
    </w:p>
    <w:p w:rsidR="0080746C" w:rsidRPr="00390FE3" w:rsidRDefault="0080746C" w:rsidP="00390FE3">
      <w:pPr>
        <w:spacing w:line="600" w:lineRule="exact"/>
        <w:ind w:firstLine="643"/>
        <w:rPr>
          <w:rFonts w:ascii="宋体" w:hAnsi="宋体" w:cs="宋体"/>
          <w:bCs/>
          <w:sz w:val="32"/>
        </w:rPr>
      </w:pPr>
      <w:r w:rsidRPr="00A32DB9">
        <w:rPr>
          <w:rFonts w:ascii="宋体" w:hAnsi="宋体" w:cs="宋体" w:hint="eastAsia"/>
          <w:bCs/>
          <w:sz w:val="32"/>
        </w:rPr>
        <w:t>2021年政府债券到期本息19573.3万元，其中，一般债券到期本金7600万元，到期利息2092.6万元；专项债券到期本金8000万元，到期利息1880.7万元。到期本息已全部偿还。</w:t>
      </w:r>
    </w:p>
    <w:p w:rsidR="005155CB" w:rsidRDefault="00B64A52">
      <w:pPr>
        <w:spacing w:line="600" w:lineRule="exact"/>
        <w:ind w:firstLine="640"/>
        <w:rPr>
          <w:rFonts w:ascii="黑体" w:eastAsia="黑体" w:hAnsi="黑体" w:cs="黑体"/>
          <w:sz w:val="32"/>
        </w:rPr>
      </w:pPr>
      <w:r>
        <w:rPr>
          <w:rFonts w:ascii="黑体" w:eastAsia="黑体" w:hAnsi="黑体" w:cs="黑体" w:hint="eastAsia"/>
          <w:sz w:val="32"/>
        </w:rPr>
        <w:t>十</w:t>
      </w:r>
      <w:r w:rsidR="00390FE3">
        <w:rPr>
          <w:rFonts w:ascii="黑体" w:eastAsia="黑体" w:hAnsi="黑体" w:cs="黑体" w:hint="eastAsia"/>
          <w:sz w:val="32"/>
        </w:rPr>
        <w:t>二</w:t>
      </w:r>
      <w:r w:rsidR="00424C68">
        <w:rPr>
          <w:rFonts w:ascii="黑体" w:eastAsia="黑体" w:hAnsi="黑体" w:cs="黑体" w:hint="eastAsia"/>
          <w:sz w:val="32"/>
        </w:rPr>
        <w:t>、财政供养人员情况</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sz w:val="32"/>
        </w:rPr>
        <w:t>202</w:t>
      </w:r>
      <w:r w:rsidRPr="00C05D0F">
        <w:rPr>
          <w:rFonts w:ascii="宋体" w:hAnsi="宋体" w:cs="宋体" w:hint="eastAsia"/>
          <w:sz w:val="32"/>
        </w:rPr>
        <w:t>1年财政供养人员为10037人，比上年9799人增加238人。</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hint="eastAsia"/>
          <w:sz w:val="32"/>
        </w:rPr>
        <w:t>其中：在职9959人，比上年9712人增加247人。其中：行政</w:t>
      </w:r>
      <w:r w:rsidRPr="00C05D0F">
        <w:rPr>
          <w:rFonts w:ascii="宋体" w:hAnsi="宋体" w:cs="宋体"/>
          <w:sz w:val="32"/>
        </w:rPr>
        <w:t>1</w:t>
      </w:r>
      <w:r w:rsidRPr="00C05D0F">
        <w:rPr>
          <w:rFonts w:ascii="宋体" w:hAnsi="宋体" w:cs="宋体" w:hint="eastAsia"/>
          <w:sz w:val="32"/>
        </w:rPr>
        <w:t>183人，参公84人，事业8692人。</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hint="eastAsia"/>
          <w:sz w:val="32"/>
        </w:rPr>
        <w:t>离休56人，比上年65人减少9人；</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hint="eastAsia"/>
          <w:sz w:val="32"/>
        </w:rPr>
        <w:t>退休</w:t>
      </w:r>
      <w:r w:rsidRPr="00C05D0F">
        <w:rPr>
          <w:rFonts w:ascii="宋体" w:hAnsi="宋体" w:cs="宋体"/>
          <w:sz w:val="32"/>
        </w:rPr>
        <w:t>22</w:t>
      </w:r>
      <w:r w:rsidRPr="00C05D0F">
        <w:rPr>
          <w:rFonts w:ascii="宋体" w:hAnsi="宋体" w:cs="宋体" w:hint="eastAsia"/>
          <w:sz w:val="32"/>
        </w:rPr>
        <w:t>人，和上年持平。</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hint="eastAsia"/>
          <w:sz w:val="32"/>
        </w:rPr>
        <w:t>主要增减因素是：</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sz w:val="32"/>
        </w:rPr>
        <w:t>1</w:t>
      </w:r>
      <w:r w:rsidRPr="00C05D0F">
        <w:rPr>
          <w:rFonts w:ascii="宋体" w:hAnsi="宋体" w:cs="宋体" w:hint="eastAsia"/>
          <w:sz w:val="32"/>
        </w:rPr>
        <w:t>、</w:t>
      </w:r>
      <w:r w:rsidRPr="00C05D0F">
        <w:rPr>
          <w:rFonts w:ascii="宋体" w:hAnsi="宋体" w:cs="宋体"/>
          <w:sz w:val="32"/>
        </w:rPr>
        <w:t>202</w:t>
      </w:r>
      <w:r w:rsidRPr="00C05D0F">
        <w:rPr>
          <w:rFonts w:ascii="宋体" w:hAnsi="宋体" w:cs="宋体" w:hint="eastAsia"/>
          <w:sz w:val="32"/>
        </w:rPr>
        <w:t>1年新增632人{公开招聘510人（行政43人，事业467人），调入46人（外县调入45人，行政审批局差额选调1人），选调生4人（虞乡镇政府2人，韩阳镇政府2人），文化场馆服务中心64人，退伍军人安置3人，政策性安置4人[村官转正3人(城西街道办1人，城北街道办1人，城东街道办1人)，韩阳镇政府村级干部择优选拔1人],恢复公职1人（自然资源局）}。</w:t>
      </w:r>
    </w:p>
    <w:p w:rsidR="00C05D0F" w:rsidRPr="00C05D0F" w:rsidRDefault="00C05D0F" w:rsidP="00C05D0F">
      <w:pPr>
        <w:spacing w:line="600" w:lineRule="exact"/>
        <w:ind w:firstLineChars="200" w:firstLine="640"/>
        <w:rPr>
          <w:rFonts w:ascii="宋体" w:hAnsi="宋体" w:cs="宋体"/>
          <w:b/>
          <w:sz w:val="32"/>
        </w:rPr>
      </w:pPr>
      <w:r w:rsidRPr="00C05D0F">
        <w:rPr>
          <w:rFonts w:ascii="宋体" w:hAnsi="宋体" w:cs="宋体"/>
          <w:sz w:val="32"/>
        </w:rPr>
        <w:t>2</w:t>
      </w:r>
      <w:r w:rsidRPr="00C05D0F">
        <w:rPr>
          <w:rFonts w:ascii="宋体" w:hAnsi="宋体" w:cs="宋体" w:hint="eastAsia"/>
          <w:sz w:val="32"/>
        </w:rPr>
        <w:t>、在职减少</w:t>
      </w:r>
      <w:r w:rsidRPr="00C05D0F">
        <w:rPr>
          <w:rFonts w:ascii="宋体" w:hAnsi="宋体" w:cs="宋体"/>
          <w:sz w:val="32"/>
        </w:rPr>
        <w:t>38</w:t>
      </w:r>
      <w:r w:rsidRPr="00C05D0F">
        <w:rPr>
          <w:rFonts w:ascii="宋体" w:hAnsi="宋体" w:cs="宋体" w:hint="eastAsia"/>
          <w:sz w:val="32"/>
        </w:rPr>
        <w:t>5人。其中：退休307人，辞职26人，死亡9人，开除6人，调出37人（调出永济34人，调出系统3人）。</w:t>
      </w:r>
    </w:p>
    <w:p w:rsidR="00C05D0F" w:rsidRPr="00FE53E7" w:rsidRDefault="00C05D0F" w:rsidP="00FE53E7">
      <w:pPr>
        <w:spacing w:line="600" w:lineRule="exact"/>
        <w:ind w:firstLineChars="200" w:firstLine="640"/>
        <w:rPr>
          <w:rFonts w:ascii="宋体" w:hAnsi="宋体" w:cs="宋体"/>
          <w:b/>
          <w:sz w:val="32"/>
        </w:rPr>
      </w:pPr>
      <w:r w:rsidRPr="00C05D0F">
        <w:rPr>
          <w:rFonts w:ascii="宋体" w:hAnsi="宋体" w:cs="宋体"/>
          <w:sz w:val="32"/>
        </w:rPr>
        <w:lastRenderedPageBreak/>
        <w:t>3</w:t>
      </w:r>
      <w:r w:rsidRPr="00C05D0F">
        <w:rPr>
          <w:rFonts w:ascii="宋体" w:hAnsi="宋体" w:cs="宋体" w:hint="eastAsia"/>
          <w:sz w:val="32"/>
        </w:rPr>
        <w:t>、离休减少9人（其中死亡9人）。</w:t>
      </w:r>
    </w:p>
    <w:p w:rsidR="005155CB" w:rsidRDefault="00424C68">
      <w:pPr>
        <w:spacing w:line="600" w:lineRule="exact"/>
        <w:ind w:firstLine="640"/>
        <w:rPr>
          <w:rFonts w:ascii="黑体" w:eastAsia="黑体" w:hAnsi="黑体" w:cs="黑体"/>
          <w:sz w:val="32"/>
        </w:rPr>
      </w:pPr>
      <w:r>
        <w:rPr>
          <w:rFonts w:ascii="黑体" w:eastAsia="黑体" w:hAnsi="黑体" w:cs="黑体" w:hint="eastAsia"/>
          <w:sz w:val="32"/>
        </w:rPr>
        <w:t>十</w:t>
      </w:r>
      <w:r w:rsidR="00390FE3">
        <w:rPr>
          <w:rFonts w:ascii="黑体" w:eastAsia="黑体" w:hAnsi="黑体" w:cs="黑体" w:hint="eastAsia"/>
          <w:sz w:val="32"/>
        </w:rPr>
        <w:t>三</w:t>
      </w:r>
      <w:r>
        <w:rPr>
          <w:rFonts w:ascii="黑体" w:eastAsia="黑体" w:hAnsi="黑体" w:cs="黑体" w:hint="eastAsia"/>
          <w:sz w:val="32"/>
        </w:rPr>
        <w:t>、财政工作存在的困难及2021年工作重点</w:t>
      </w:r>
    </w:p>
    <w:p w:rsidR="009434CF" w:rsidRPr="009434CF" w:rsidRDefault="009434CF" w:rsidP="009434CF">
      <w:pPr>
        <w:spacing w:line="600" w:lineRule="exact"/>
        <w:ind w:firstLine="640"/>
        <w:rPr>
          <w:rFonts w:ascii="宋体" w:hAnsi="宋体" w:cs="宋体"/>
          <w:sz w:val="32"/>
        </w:rPr>
      </w:pPr>
      <w:r w:rsidRPr="009434CF">
        <w:rPr>
          <w:rFonts w:ascii="宋体" w:hAnsi="宋体" w:cs="宋体" w:hint="eastAsia"/>
          <w:sz w:val="32"/>
        </w:rPr>
        <w:t>2021年，我们在争取资金、保障民生、支持经济发展等方面取得了成绩，但还存在一些困难和问题：一是重点税源企业增收乏力，新招商企业短期内不能达产增效，非税收入在一般公共预算收入中占比较大；二是保工资、保运转、保民生等刚性支出需求不断增加，财政平衡压力很大；三是地方政府性债务已到还贷高峰期，财政还款压力逐年增加；四是部分部门过“紧日子”意识不强，绩效管理理念不够深入。对此，我们高度重视，积极应对，切实采取有效措施加以解决。</w:t>
      </w:r>
    </w:p>
    <w:p w:rsidR="0041778F" w:rsidRPr="0041778F" w:rsidRDefault="0041778F" w:rsidP="0041778F">
      <w:pPr>
        <w:spacing w:line="600" w:lineRule="exact"/>
        <w:ind w:firstLine="640"/>
        <w:rPr>
          <w:rFonts w:ascii="宋体" w:hAnsi="宋体" w:cs="宋体"/>
          <w:sz w:val="32"/>
        </w:rPr>
      </w:pPr>
      <w:r w:rsidRPr="0041778F">
        <w:rPr>
          <w:rFonts w:ascii="宋体" w:hAnsi="宋体" w:cs="宋体" w:hint="eastAsia"/>
          <w:sz w:val="32"/>
        </w:rPr>
        <w:t>做好2022年财政工作，要准确把握“稳字当头、稳中求进”的工作总基调，坚决执行财政支出“小钱小气、大钱大方”的工作要求，着力提升财政保大事要事能力，加快构建与高质量发展相适应的财政工作矩阵，高质量高标准完成工作任务。</w:t>
      </w:r>
    </w:p>
    <w:p w:rsidR="0041778F" w:rsidRPr="0041778F" w:rsidRDefault="0041778F" w:rsidP="0041778F">
      <w:pPr>
        <w:spacing w:line="600" w:lineRule="exact"/>
        <w:ind w:firstLine="640"/>
        <w:rPr>
          <w:rFonts w:ascii="宋体" w:hAnsi="宋体" w:cs="宋体"/>
          <w:sz w:val="32"/>
        </w:rPr>
      </w:pPr>
      <w:r w:rsidRPr="0041778F">
        <w:rPr>
          <w:rFonts w:ascii="楷体" w:eastAsia="楷体" w:hAnsi="楷体" w:cs="宋体" w:hint="eastAsia"/>
          <w:sz w:val="32"/>
        </w:rPr>
        <w:t>1、强化税费征管保收入。</w:t>
      </w:r>
      <w:r w:rsidRPr="0041778F">
        <w:rPr>
          <w:rFonts w:ascii="宋体" w:hAnsi="宋体" w:cs="宋体" w:hint="eastAsia"/>
          <w:sz w:val="32"/>
        </w:rPr>
        <w:t>一方面严格落实制度性、结构性减税政策，另一方面加强对宏观经济形势和财政收入结构的分析研判，密切关注财税改革动态，及时掌握和应对国家财税政策调整对收入的影响，牢牢把握组织收入工作的主动权，确保税源不流失。加强对重点行业、重点税源的管理，强化收入征管，做到依法征收、应收尽收。规范非税收入管理，加大征缴、监管力度，挖掘增收潜力，确保完成全年收入计划。</w:t>
      </w:r>
    </w:p>
    <w:p w:rsidR="0041778F" w:rsidRPr="0041778F" w:rsidRDefault="0041778F" w:rsidP="0041778F">
      <w:pPr>
        <w:spacing w:line="600" w:lineRule="exact"/>
        <w:ind w:firstLine="640"/>
        <w:rPr>
          <w:rFonts w:ascii="宋体" w:hAnsi="宋体" w:cs="宋体"/>
          <w:sz w:val="32"/>
        </w:rPr>
      </w:pPr>
      <w:r w:rsidRPr="0041778F">
        <w:rPr>
          <w:rFonts w:ascii="楷体" w:eastAsia="楷体" w:hAnsi="楷体" w:cs="宋体" w:hint="eastAsia"/>
          <w:sz w:val="32"/>
        </w:rPr>
        <w:t>2、积极争取资金促发展。</w:t>
      </w:r>
      <w:r w:rsidRPr="0041778F">
        <w:rPr>
          <w:rFonts w:ascii="宋体" w:hAnsi="宋体" w:cs="宋体" w:hint="eastAsia"/>
          <w:sz w:val="32"/>
        </w:rPr>
        <w:t>认真研究国家、省支持经济发展的各项政策，及时摸准政策导向，围绕全市经济发展战略目标，主动做好对接，准确把握投资方向和投资重点，争取更多转移支付和各类专项资金，为全市经济发展提供财力保障。</w:t>
      </w:r>
    </w:p>
    <w:p w:rsidR="0041778F" w:rsidRPr="0041778F" w:rsidRDefault="0041778F" w:rsidP="0041778F">
      <w:pPr>
        <w:spacing w:line="600" w:lineRule="exact"/>
        <w:ind w:firstLine="640"/>
        <w:rPr>
          <w:rFonts w:ascii="宋体" w:hAnsi="宋体" w:cs="宋体"/>
          <w:sz w:val="32"/>
        </w:rPr>
      </w:pPr>
      <w:r w:rsidRPr="0041778F">
        <w:rPr>
          <w:rFonts w:ascii="楷体" w:eastAsia="楷体" w:hAnsi="楷体" w:cs="宋体" w:hint="eastAsia"/>
          <w:sz w:val="32"/>
        </w:rPr>
        <w:t>3、优化支出结构惠民生。</w:t>
      </w:r>
      <w:r w:rsidRPr="0041778F">
        <w:rPr>
          <w:rFonts w:ascii="宋体" w:hAnsi="宋体" w:cs="宋体" w:hint="eastAsia"/>
          <w:sz w:val="32"/>
        </w:rPr>
        <w:t>以保障和改善民生为导向，将政策支持和财力保障的重点向民生领域倾斜。用好财政资金</w:t>
      </w:r>
      <w:r w:rsidRPr="0041778F">
        <w:rPr>
          <w:rFonts w:ascii="宋体" w:hAnsi="宋体" w:cs="宋体" w:hint="eastAsia"/>
          <w:sz w:val="32"/>
        </w:rPr>
        <w:lastRenderedPageBreak/>
        <w:t>直达机制，对政策性规定的刚性支出和民生保障支出，确保不折不扣落实到位。继续压减一般性支出，严控“三公”经费支出，坚持勤俭办一切事业，严格控制行政运行成本，把有限的资金用在刀刃上。</w:t>
      </w:r>
    </w:p>
    <w:p w:rsidR="0041778F" w:rsidRPr="0041778F" w:rsidRDefault="0041778F" w:rsidP="0041778F">
      <w:pPr>
        <w:spacing w:line="600" w:lineRule="exact"/>
        <w:ind w:firstLine="640"/>
        <w:rPr>
          <w:rFonts w:ascii="宋体" w:hAnsi="宋体" w:cs="宋体"/>
          <w:sz w:val="32"/>
        </w:rPr>
      </w:pPr>
      <w:r w:rsidRPr="0041778F">
        <w:rPr>
          <w:rFonts w:ascii="楷体" w:eastAsia="楷体" w:hAnsi="楷体" w:cs="宋体" w:hint="eastAsia"/>
          <w:sz w:val="32"/>
        </w:rPr>
        <w:t>4、加强预算管理重绩效。</w:t>
      </w:r>
      <w:r w:rsidRPr="0041778F">
        <w:rPr>
          <w:rFonts w:ascii="宋体" w:hAnsi="宋体" w:cs="宋体" w:hint="eastAsia"/>
          <w:sz w:val="32"/>
        </w:rPr>
        <w:t>要强化预算管理，硬化预算约束，通过预算管理一体化建设，建立财政项目库，做好政府投资计划与财政预算衔接，单位提前完成项目前期手续，科学编制预算，提高项目管理水平。强化财政绩效管理，实现绩效评价结果与预算编制、预算调整的衔接，提高财政预算执行效率。</w:t>
      </w:r>
    </w:p>
    <w:p w:rsidR="0041778F" w:rsidRPr="0041778F" w:rsidRDefault="0041778F" w:rsidP="0041778F">
      <w:pPr>
        <w:spacing w:line="600" w:lineRule="exact"/>
        <w:ind w:firstLine="640"/>
        <w:rPr>
          <w:rFonts w:ascii="宋体" w:hAnsi="宋体" w:cs="宋体"/>
          <w:sz w:val="32"/>
        </w:rPr>
      </w:pPr>
      <w:r w:rsidRPr="0041778F">
        <w:rPr>
          <w:rFonts w:ascii="楷体" w:eastAsia="楷体" w:hAnsi="楷体" w:cs="宋体" w:hint="eastAsia"/>
          <w:sz w:val="32"/>
        </w:rPr>
        <w:t>5、强化债务管理控风险。</w:t>
      </w:r>
      <w:r w:rsidRPr="0041778F">
        <w:rPr>
          <w:rFonts w:ascii="宋体" w:hAnsi="宋体" w:cs="宋体" w:hint="eastAsia"/>
          <w:sz w:val="32"/>
        </w:rPr>
        <w:t>统筹做好政府债券促发展和防风险两方面工作，积极用好政府债券资金，充分发挥政府债券资金的使用效益。加强隐性债务风险管理，坚决遏制隐性债务新增，并做好化解存量工作。</w:t>
      </w:r>
    </w:p>
    <w:p w:rsidR="0041778F" w:rsidRPr="0041778F" w:rsidRDefault="0041778F" w:rsidP="0041778F">
      <w:pPr>
        <w:spacing w:line="600" w:lineRule="exact"/>
        <w:ind w:firstLine="640"/>
        <w:rPr>
          <w:rFonts w:ascii="宋体" w:hAnsi="宋体" w:cs="宋体"/>
          <w:sz w:val="32"/>
        </w:rPr>
      </w:pPr>
      <w:r w:rsidRPr="0041778F">
        <w:rPr>
          <w:rFonts w:ascii="宋体" w:hAnsi="宋体" w:cs="宋体" w:hint="eastAsia"/>
          <w:sz w:val="32"/>
        </w:rPr>
        <w:t>做好2022年财政工作，财政部门倍感任务艰巨，责任重大。我们决心在市委的正确领导下，在市人大、政协的监督支持下，埋头苦干，勇毅前行，以优异成绩迎接党的二十大胜利召开！</w:t>
      </w:r>
    </w:p>
    <w:p w:rsidR="005155CB" w:rsidRDefault="005155CB">
      <w:pPr>
        <w:wordWrap w:val="0"/>
        <w:spacing w:line="600" w:lineRule="exact"/>
        <w:ind w:firstLine="640"/>
        <w:jc w:val="right"/>
        <w:rPr>
          <w:rFonts w:ascii="宋体" w:hAnsi="宋体" w:cs="宋体"/>
          <w:sz w:val="32"/>
        </w:rPr>
      </w:pPr>
    </w:p>
    <w:p w:rsidR="005155CB" w:rsidRDefault="005155CB">
      <w:pPr>
        <w:spacing w:line="600" w:lineRule="exact"/>
        <w:ind w:firstLine="640"/>
        <w:jc w:val="right"/>
        <w:rPr>
          <w:rFonts w:ascii="宋体" w:hAnsi="宋体" w:cs="宋体"/>
          <w:sz w:val="32"/>
        </w:rPr>
      </w:pPr>
    </w:p>
    <w:p w:rsidR="005155CB" w:rsidRDefault="00424C68">
      <w:pPr>
        <w:spacing w:line="600" w:lineRule="exact"/>
        <w:ind w:firstLine="640"/>
        <w:jc w:val="right"/>
        <w:rPr>
          <w:rFonts w:ascii="仿宋_GB2312" w:eastAsia="仿宋_GB2312" w:hAnsi="仿宋" w:cs="仿宋"/>
          <w:sz w:val="32"/>
        </w:rPr>
      </w:pPr>
      <w:r>
        <w:rPr>
          <w:rFonts w:ascii="宋体" w:hAnsi="宋体" w:cs="宋体" w:hint="eastAsia"/>
          <w:sz w:val="32"/>
        </w:rPr>
        <w:t>202</w:t>
      </w:r>
      <w:r w:rsidR="0041778F">
        <w:rPr>
          <w:rFonts w:ascii="宋体" w:hAnsi="宋体" w:cs="宋体" w:hint="eastAsia"/>
          <w:sz w:val="32"/>
        </w:rPr>
        <w:t>2</w:t>
      </w:r>
      <w:r>
        <w:rPr>
          <w:rFonts w:ascii="宋体" w:hAnsi="宋体" w:cs="宋体" w:hint="eastAsia"/>
          <w:sz w:val="32"/>
        </w:rPr>
        <w:t xml:space="preserve">年1月22日      </w:t>
      </w:r>
      <w:r>
        <w:rPr>
          <w:rFonts w:ascii="仿宋_GB2312" w:eastAsia="仿宋_GB2312" w:hAnsi="仿宋" w:cs="仿宋" w:hint="eastAsia"/>
          <w:sz w:val="32"/>
        </w:rPr>
        <w:t xml:space="preserve">    </w:t>
      </w:r>
    </w:p>
    <w:sectPr w:rsidR="005155CB" w:rsidSect="005155CB">
      <w:footerReference w:type="even" r:id="rId10"/>
      <w:footerReference w:type="default" r:id="rId11"/>
      <w:pgSz w:w="20580" w:h="14513" w:orient="landscape"/>
      <w:pgMar w:top="1814" w:right="1587" w:bottom="1701" w:left="2098" w:header="851" w:footer="1304" w:gutter="0"/>
      <w:pgNumType w:fmt="numberInDash"/>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1D" w:rsidRDefault="0054791D" w:rsidP="005155CB">
      <w:r>
        <w:separator/>
      </w:r>
    </w:p>
  </w:endnote>
  <w:endnote w:type="continuationSeparator" w:id="0">
    <w:p w:rsidR="0054791D" w:rsidRDefault="0054791D" w:rsidP="00515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CB" w:rsidRDefault="008C4D3F">
    <w:pPr>
      <w:pStyle w:val="a4"/>
      <w:framePr w:wrap="around" w:vAnchor="text" w:hAnchor="margin" w:xAlign="right" w:y="1"/>
      <w:rPr>
        <w:rStyle w:val="a6"/>
      </w:rPr>
    </w:pPr>
    <w:r>
      <w:rPr>
        <w:rStyle w:val="a6"/>
      </w:rPr>
      <w:fldChar w:fldCharType="begin"/>
    </w:r>
    <w:r w:rsidR="00424C68">
      <w:rPr>
        <w:rStyle w:val="a6"/>
      </w:rPr>
      <w:instrText xml:space="preserve">PAGE  </w:instrText>
    </w:r>
    <w:r>
      <w:rPr>
        <w:rStyle w:val="a6"/>
      </w:rPr>
      <w:fldChar w:fldCharType="end"/>
    </w:r>
  </w:p>
  <w:p w:rsidR="005155CB" w:rsidRDefault="005155C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CB" w:rsidRDefault="008C4D3F">
    <w:pPr>
      <w:pStyle w:val="a4"/>
      <w:ind w:right="360"/>
    </w:pPr>
    <w: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7728;mso-wrap-style:none;mso-position-horizontal:center;mso-position-horizontal-relative:margin" o:preferrelative="t" filled="f" stroked="f">
          <v:textbox style="mso-next-textbox:#文本框 5;mso-fit-shape-to-text:t" inset="0,0,0,0">
            <w:txbxContent>
              <w:p w:rsidR="005155CB" w:rsidRDefault="008C4D3F">
                <w:pPr>
                  <w:pStyle w:val="a4"/>
                  <w:rPr>
                    <w:rStyle w:val="a6"/>
                    <w:sz w:val="21"/>
                    <w:szCs w:val="21"/>
                  </w:rPr>
                </w:pPr>
                <w:r>
                  <w:rPr>
                    <w:rStyle w:val="a6"/>
                    <w:sz w:val="21"/>
                    <w:szCs w:val="21"/>
                  </w:rPr>
                  <w:fldChar w:fldCharType="begin"/>
                </w:r>
                <w:r w:rsidR="00424C68">
                  <w:rPr>
                    <w:rStyle w:val="a6"/>
                    <w:sz w:val="21"/>
                    <w:szCs w:val="21"/>
                  </w:rPr>
                  <w:instrText xml:space="preserve">PAGE  </w:instrText>
                </w:r>
                <w:r>
                  <w:rPr>
                    <w:rStyle w:val="a6"/>
                    <w:sz w:val="21"/>
                    <w:szCs w:val="21"/>
                  </w:rPr>
                  <w:fldChar w:fldCharType="separate"/>
                </w:r>
                <w:r w:rsidR="0092532C">
                  <w:rPr>
                    <w:rStyle w:val="a6"/>
                    <w:noProof/>
                    <w:sz w:val="21"/>
                    <w:szCs w:val="21"/>
                  </w:rPr>
                  <w:t>- 2 -</w:t>
                </w:r>
                <w:r>
                  <w:rPr>
                    <w:rStyle w:val="a6"/>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1D" w:rsidRDefault="0054791D" w:rsidP="005155CB">
      <w:r>
        <w:separator/>
      </w:r>
    </w:p>
  </w:footnote>
  <w:footnote w:type="continuationSeparator" w:id="0">
    <w:p w:rsidR="0054791D" w:rsidRDefault="0054791D" w:rsidP="00515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AB3E5"/>
    <w:multiLevelType w:val="singleLevel"/>
    <w:tmpl w:val="5E9AB3E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60"/>
  <w:displayVerticalDrawingGridEvery w:val="2"/>
  <w:noPunctuationKerning/>
  <w:characterSpacingControl w:val="doNotCompress"/>
  <w:noLineBreaksAfter w:lang="zh-CN" w:val="$([{£¥·‘“〈《「『【〔〖〝﹙﹛﹝＄（．［｛￡￥"/>
  <w:noLineBreaksBefore w:lang="zh-CN" w:val="!%),.:;&gt;?]}¢¨°·ˇˉ―‖’”…‰′″›℃∶、。〃〉》」』】〕〗〞︶︺︾﹀﹄﹚﹜﹞！＂％＇），．：；？］｀｜｝～￠"/>
  <w:hdrShapeDefaults>
    <o:shapedefaults v:ext="edit" spidmax="26626"/>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
  <w:rsids>
    <w:rsidRoot w:val="001500C1"/>
    <w:rsid w:val="00006975"/>
    <w:rsid w:val="00014ECC"/>
    <w:rsid w:val="00025A6F"/>
    <w:rsid w:val="000408BB"/>
    <w:rsid w:val="00054A6E"/>
    <w:rsid w:val="0006209A"/>
    <w:rsid w:val="00085864"/>
    <w:rsid w:val="00094F7C"/>
    <w:rsid w:val="00097966"/>
    <w:rsid w:val="000A07BF"/>
    <w:rsid w:val="000A4232"/>
    <w:rsid w:val="000A5060"/>
    <w:rsid w:val="000B1B62"/>
    <w:rsid w:val="000B3057"/>
    <w:rsid w:val="000B6899"/>
    <w:rsid w:val="000D2D34"/>
    <w:rsid w:val="000F0F6B"/>
    <w:rsid w:val="00101C63"/>
    <w:rsid w:val="00110C1E"/>
    <w:rsid w:val="0012111E"/>
    <w:rsid w:val="00130D81"/>
    <w:rsid w:val="00131CF4"/>
    <w:rsid w:val="00132181"/>
    <w:rsid w:val="00137267"/>
    <w:rsid w:val="0014019B"/>
    <w:rsid w:val="001412D7"/>
    <w:rsid w:val="00147004"/>
    <w:rsid w:val="001500C1"/>
    <w:rsid w:val="00155919"/>
    <w:rsid w:val="00162B29"/>
    <w:rsid w:val="001647C1"/>
    <w:rsid w:val="0016554F"/>
    <w:rsid w:val="00191980"/>
    <w:rsid w:val="00194C69"/>
    <w:rsid w:val="001B1109"/>
    <w:rsid w:val="001B2641"/>
    <w:rsid w:val="001B620D"/>
    <w:rsid w:val="001B7A80"/>
    <w:rsid w:val="001C3669"/>
    <w:rsid w:val="001C4BFA"/>
    <w:rsid w:val="001D1BF6"/>
    <w:rsid w:val="001D5E35"/>
    <w:rsid w:val="00231904"/>
    <w:rsid w:val="00241246"/>
    <w:rsid w:val="00243A35"/>
    <w:rsid w:val="00244252"/>
    <w:rsid w:val="002719FC"/>
    <w:rsid w:val="002763CC"/>
    <w:rsid w:val="002820FF"/>
    <w:rsid w:val="00283B93"/>
    <w:rsid w:val="002840B8"/>
    <w:rsid w:val="0028474C"/>
    <w:rsid w:val="002914BE"/>
    <w:rsid w:val="00291615"/>
    <w:rsid w:val="002921A3"/>
    <w:rsid w:val="002925CD"/>
    <w:rsid w:val="00293294"/>
    <w:rsid w:val="002936D2"/>
    <w:rsid w:val="002941AA"/>
    <w:rsid w:val="002B09A7"/>
    <w:rsid w:val="002B0DC8"/>
    <w:rsid w:val="002C269D"/>
    <w:rsid w:val="002C3833"/>
    <w:rsid w:val="002C4F1D"/>
    <w:rsid w:val="002D3E42"/>
    <w:rsid w:val="002D71F9"/>
    <w:rsid w:val="002E040B"/>
    <w:rsid w:val="002E0967"/>
    <w:rsid w:val="00302301"/>
    <w:rsid w:val="0030591E"/>
    <w:rsid w:val="0031322D"/>
    <w:rsid w:val="00315667"/>
    <w:rsid w:val="00335890"/>
    <w:rsid w:val="00336EF5"/>
    <w:rsid w:val="003531E1"/>
    <w:rsid w:val="00360C23"/>
    <w:rsid w:val="003614EE"/>
    <w:rsid w:val="0036485C"/>
    <w:rsid w:val="00372AAD"/>
    <w:rsid w:val="00373C12"/>
    <w:rsid w:val="003803E4"/>
    <w:rsid w:val="0039007D"/>
    <w:rsid w:val="00390584"/>
    <w:rsid w:val="00390FE3"/>
    <w:rsid w:val="00394058"/>
    <w:rsid w:val="00395150"/>
    <w:rsid w:val="003B41B0"/>
    <w:rsid w:val="003B7100"/>
    <w:rsid w:val="003D3633"/>
    <w:rsid w:val="003D4B91"/>
    <w:rsid w:val="003E6037"/>
    <w:rsid w:val="003F09D8"/>
    <w:rsid w:val="003F6FB4"/>
    <w:rsid w:val="004005E9"/>
    <w:rsid w:val="00404C8E"/>
    <w:rsid w:val="00410EF3"/>
    <w:rsid w:val="00413184"/>
    <w:rsid w:val="00416C4C"/>
    <w:rsid w:val="0041778F"/>
    <w:rsid w:val="004236D6"/>
    <w:rsid w:val="00424C68"/>
    <w:rsid w:val="00427FD9"/>
    <w:rsid w:val="00433C68"/>
    <w:rsid w:val="0043695C"/>
    <w:rsid w:val="00441457"/>
    <w:rsid w:val="004533B7"/>
    <w:rsid w:val="00453EB9"/>
    <w:rsid w:val="00454AC2"/>
    <w:rsid w:val="0046045E"/>
    <w:rsid w:val="00463388"/>
    <w:rsid w:val="0046707D"/>
    <w:rsid w:val="004674C7"/>
    <w:rsid w:val="00480A85"/>
    <w:rsid w:val="004836FC"/>
    <w:rsid w:val="00484813"/>
    <w:rsid w:val="00492A8C"/>
    <w:rsid w:val="004A45F0"/>
    <w:rsid w:val="004B39ED"/>
    <w:rsid w:val="004C037D"/>
    <w:rsid w:val="004D5EFB"/>
    <w:rsid w:val="004D7FC0"/>
    <w:rsid w:val="004E7C87"/>
    <w:rsid w:val="004F25E6"/>
    <w:rsid w:val="00500F3A"/>
    <w:rsid w:val="00515100"/>
    <w:rsid w:val="005155CB"/>
    <w:rsid w:val="00532310"/>
    <w:rsid w:val="00541074"/>
    <w:rsid w:val="00541227"/>
    <w:rsid w:val="00545D85"/>
    <w:rsid w:val="00547888"/>
    <w:rsid w:val="0054791D"/>
    <w:rsid w:val="00547DF2"/>
    <w:rsid w:val="00573952"/>
    <w:rsid w:val="00575828"/>
    <w:rsid w:val="00590D97"/>
    <w:rsid w:val="005A6DC6"/>
    <w:rsid w:val="005B08D1"/>
    <w:rsid w:val="005B5F0B"/>
    <w:rsid w:val="005C5AF0"/>
    <w:rsid w:val="005C6046"/>
    <w:rsid w:val="005C6C11"/>
    <w:rsid w:val="005C710C"/>
    <w:rsid w:val="005D121A"/>
    <w:rsid w:val="005D2D40"/>
    <w:rsid w:val="005D5C49"/>
    <w:rsid w:val="005D619D"/>
    <w:rsid w:val="005E074B"/>
    <w:rsid w:val="005E4B62"/>
    <w:rsid w:val="005E7BCF"/>
    <w:rsid w:val="005F2B4C"/>
    <w:rsid w:val="005F3C16"/>
    <w:rsid w:val="006109AF"/>
    <w:rsid w:val="00613F20"/>
    <w:rsid w:val="00616A4F"/>
    <w:rsid w:val="00622ABC"/>
    <w:rsid w:val="00623A63"/>
    <w:rsid w:val="0063053E"/>
    <w:rsid w:val="00633287"/>
    <w:rsid w:val="006541BB"/>
    <w:rsid w:val="006623EA"/>
    <w:rsid w:val="00666A52"/>
    <w:rsid w:val="00667121"/>
    <w:rsid w:val="00671E50"/>
    <w:rsid w:val="0067507B"/>
    <w:rsid w:val="0068064E"/>
    <w:rsid w:val="006868A9"/>
    <w:rsid w:val="00686DDB"/>
    <w:rsid w:val="006871CD"/>
    <w:rsid w:val="00693F5C"/>
    <w:rsid w:val="006A1504"/>
    <w:rsid w:val="006A55DB"/>
    <w:rsid w:val="006A6A4E"/>
    <w:rsid w:val="006A79F4"/>
    <w:rsid w:val="006E2D8A"/>
    <w:rsid w:val="006E46D6"/>
    <w:rsid w:val="006E4B86"/>
    <w:rsid w:val="006F35F0"/>
    <w:rsid w:val="00701A5F"/>
    <w:rsid w:val="007032AE"/>
    <w:rsid w:val="00705080"/>
    <w:rsid w:val="00710E92"/>
    <w:rsid w:val="00714BAA"/>
    <w:rsid w:val="00714E42"/>
    <w:rsid w:val="00717D87"/>
    <w:rsid w:val="00721307"/>
    <w:rsid w:val="0072548A"/>
    <w:rsid w:val="007365FA"/>
    <w:rsid w:val="00742DD4"/>
    <w:rsid w:val="007467E2"/>
    <w:rsid w:val="007524EF"/>
    <w:rsid w:val="007645D2"/>
    <w:rsid w:val="00771CFA"/>
    <w:rsid w:val="00777590"/>
    <w:rsid w:val="00782314"/>
    <w:rsid w:val="007918F5"/>
    <w:rsid w:val="00794914"/>
    <w:rsid w:val="007A4A47"/>
    <w:rsid w:val="007C4EA6"/>
    <w:rsid w:val="007C5EC7"/>
    <w:rsid w:val="007D02B2"/>
    <w:rsid w:val="007D6824"/>
    <w:rsid w:val="007D6CA1"/>
    <w:rsid w:val="007E3C47"/>
    <w:rsid w:val="007E50DA"/>
    <w:rsid w:val="007F5044"/>
    <w:rsid w:val="00800E43"/>
    <w:rsid w:val="00801AD2"/>
    <w:rsid w:val="00801C40"/>
    <w:rsid w:val="0080746C"/>
    <w:rsid w:val="008104ED"/>
    <w:rsid w:val="008148C1"/>
    <w:rsid w:val="00827A5F"/>
    <w:rsid w:val="00833E14"/>
    <w:rsid w:val="00851718"/>
    <w:rsid w:val="00851B58"/>
    <w:rsid w:val="008541A6"/>
    <w:rsid w:val="00856CD3"/>
    <w:rsid w:val="0086564A"/>
    <w:rsid w:val="0086659D"/>
    <w:rsid w:val="00876694"/>
    <w:rsid w:val="00893BAB"/>
    <w:rsid w:val="00895005"/>
    <w:rsid w:val="008965C7"/>
    <w:rsid w:val="008A0A3A"/>
    <w:rsid w:val="008A2A28"/>
    <w:rsid w:val="008A4960"/>
    <w:rsid w:val="008A5201"/>
    <w:rsid w:val="008B229D"/>
    <w:rsid w:val="008B63FE"/>
    <w:rsid w:val="008C4D3F"/>
    <w:rsid w:val="008C7477"/>
    <w:rsid w:val="008D16B4"/>
    <w:rsid w:val="008D2042"/>
    <w:rsid w:val="008D24F3"/>
    <w:rsid w:val="008E3545"/>
    <w:rsid w:val="008F0B69"/>
    <w:rsid w:val="008F0F36"/>
    <w:rsid w:val="00903B78"/>
    <w:rsid w:val="00910C8D"/>
    <w:rsid w:val="009142DB"/>
    <w:rsid w:val="00922D82"/>
    <w:rsid w:val="0092532C"/>
    <w:rsid w:val="009253A0"/>
    <w:rsid w:val="00932123"/>
    <w:rsid w:val="00932437"/>
    <w:rsid w:val="00935B32"/>
    <w:rsid w:val="00937DA6"/>
    <w:rsid w:val="009434CF"/>
    <w:rsid w:val="00944025"/>
    <w:rsid w:val="00944DE6"/>
    <w:rsid w:val="00945F59"/>
    <w:rsid w:val="00947996"/>
    <w:rsid w:val="0095538B"/>
    <w:rsid w:val="00960720"/>
    <w:rsid w:val="00962DC9"/>
    <w:rsid w:val="009814D2"/>
    <w:rsid w:val="00992A58"/>
    <w:rsid w:val="00997752"/>
    <w:rsid w:val="009A36BD"/>
    <w:rsid w:val="009A6B1E"/>
    <w:rsid w:val="009C2DED"/>
    <w:rsid w:val="009C493F"/>
    <w:rsid w:val="009C5BC1"/>
    <w:rsid w:val="009D2AC4"/>
    <w:rsid w:val="009F078F"/>
    <w:rsid w:val="009F0B8E"/>
    <w:rsid w:val="00A0201F"/>
    <w:rsid w:val="00A1431B"/>
    <w:rsid w:val="00A14DC2"/>
    <w:rsid w:val="00A15275"/>
    <w:rsid w:val="00A178A8"/>
    <w:rsid w:val="00A23718"/>
    <w:rsid w:val="00A32BC5"/>
    <w:rsid w:val="00A32DB9"/>
    <w:rsid w:val="00A34D53"/>
    <w:rsid w:val="00A412DA"/>
    <w:rsid w:val="00A4190C"/>
    <w:rsid w:val="00A42F04"/>
    <w:rsid w:val="00A44C83"/>
    <w:rsid w:val="00A5136C"/>
    <w:rsid w:val="00A5262A"/>
    <w:rsid w:val="00A64E4F"/>
    <w:rsid w:val="00A77BF7"/>
    <w:rsid w:val="00A81859"/>
    <w:rsid w:val="00A83CDE"/>
    <w:rsid w:val="00A96580"/>
    <w:rsid w:val="00A96F3D"/>
    <w:rsid w:val="00AA3730"/>
    <w:rsid w:val="00AB1ED6"/>
    <w:rsid w:val="00AB50C6"/>
    <w:rsid w:val="00AB6B6C"/>
    <w:rsid w:val="00AD6630"/>
    <w:rsid w:val="00AE2820"/>
    <w:rsid w:val="00B11871"/>
    <w:rsid w:val="00B16786"/>
    <w:rsid w:val="00B207ED"/>
    <w:rsid w:val="00B223B2"/>
    <w:rsid w:val="00B35540"/>
    <w:rsid w:val="00B64A52"/>
    <w:rsid w:val="00B74017"/>
    <w:rsid w:val="00B76E42"/>
    <w:rsid w:val="00B85B4C"/>
    <w:rsid w:val="00BA2AD0"/>
    <w:rsid w:val="00BA6EB1"/>
    <w:rsid w:val="00BA72CE"/>
    <w:rsid w:val="00BD06C4"/>
    <w:rsid w:val="00BE457B"/>
    <w:rsid w:val="00BF2355"/>
    <w:rsid w:val="00BF2747"/>
    <w:rsid w:val="00C04A02"/>
    <w:rsid w:val="00C05D0F"/>
    <w:rsid w:val="00C14F07"/>
    <w:rsid w:val="00C2101C"/>
    <w:rsid w:val="00C26481"/>
    <w:rsid w:val="00C33E49"/>
    <w:rsid w:val="00C476BA"/>
    <w:rsid w:val="00C520F5"/>
    <w:rsid w:val="00C575BA"/>
    <w:rsid w:val="00C65D80"/>
    <w:rsid w:val="00C66952"/>
    <w:rsid w:val="00C710E0"/>
    <w:rsid w:val="00C859A2"/>
    <w:rsid w:val="00CB4220"/>
    <w:rsid w:val="00CD3887"/>
    <w:rsid w:val="00CE5A2A"/>
    <w:rsid w:val="00CE65CF"/>
    <w:rsid w:val="00D06786"/>
    <w:rsid w:val="00D119D3"/>
    <w:rsid w:val="00D131EE"/>
    <w:rsid w:val="00D1515F"/>
    <w:rsid w:val="00D214C8"/>
    <w:rsid w:val="00D22232"/>
    <w:rsid w:val="00D2321F"/>
    <w:rsid w:val="00D272C6"/>
    <w:rsid w:val="00D37C48"/>
    <w:rsid w:val="00D659F8"/>
    <w:rsid w:val="00D66BE8"/>
    <w:rsid w:val="00D91F64"/>
    <w:rsid w:val="00D963FB"/>
    <w:rsid w:val="00D96786"/>
    <w:rsid w:val="00D977C8"/>
    <w:rsid w:val="00DB0E69"/>
    <w:rsid w:val="00DB5744"/>
    <w:rsid w:val="00DB793F"/>
    <w:rsid w:val="00DC31A7"/>
    <w:rsid w:val="00DD1892"/>
    <w:rsid w:val="00DD18C9"/>
    <w:rsid w:val="00DE61AF"/>
    <w:rsid w:val="00DF256B"/>
    <w:rsid w:val="00DF4E6F"/>
    <w:rsid w:val="00DF672E"/>
    <w:rsid w:val="00E01B50"/>
    <w:rsid w:val="00E027C0"/>
    <w:rsid w:val="00E1404E"/>
    <w:rsid w:val="00E15D22"/>
    <w:rsid w:val="00E17371"/>
    <w:rsid w:val="00E2664A"/>
    <w:rsid w:val="00E378C4"/>
    <w:rsid w:val="00E45A50"/>
    <w:rsid w:val="00E46FA2"/>
    <w:rsid w:val="00E5102C"/>
    <w:rsid w:val="00E52B8D"/>
    <w:rsid w:val="00E57B6A"/>
    <w:rsid w:val="00E60717"/>
    <w:rsid w:val="00E63903"/>
    <w:rsid w:val="00E72097"/>
    <w:rsid w:val="00E849E3"/>
    <w:rsid w:val="00E976E6"/>
    <w:rsid w:val="00EA2114"/>
    <w:rsid w:val="00EA4075"/>
    <w:rsid w:val="00EA40C5"/>
    <w:rsid w:val="00EB1531"/>
    <w:rsid w:val="00EB6759"/>
    <w:rsid w:val="00EC0782"/>
    <w:rsid w:val="00ED6F37"/>
    <w:rsid w:val="00ED76EC"/>
    <w:rsid w:val="00EE2D1C"/>
    <w:rsid w:val="00EE5C96"/>
    <w:rsid w:val="00EE7349"/>
    <w:rsid w:val="00F0212E"/>
    <w:rsid w:val="00F0494D"/>
    <w:rsid w:val="00F12187"/>
    <w:rsid w:val="00F165EE"/>
    <w:rsid w:val="00F17307"/>
    <w:rsid w:val="00F214D6"/>
    <w:rsid w:val="00F21503"/>
    <w:rsid w:val="00F403EE"/>
    <w:rsid w:val="00F64792"/>
    <w:rsid w:val="00F76995"/>
    <w:rsid w:val="00F81CF7"/>
    <w:rsid w:val="00F90F16"/>
    <w:rsid w:val="00FA0DCF"/>
    <w:rsid w:val="00FA1AF3"/>
    <w:rsid w:val="00FA1F56"/>
    <w:rsid w:val="00FB4F6A"/>
    <w:rsid w:val="00FC3B71"/>
    <w:rsid w:val="00FD252B"/>
    <w:rsid w:val="00FE2A2A"/>
    <w:rsid w:val="00FE4FA5"/>
    <w:rsid w:val="00FE53E7"/>
    <w:rsid w:val="0DFA48F9"/>
    <w:rsid w:val="0FD304D6"/>
    <w:rsid w:val="116D4993"/>
    <w:rsid w:val="20415484"/>
    <w:rsid w:val="21406688"/>
    <w:rsid w:val="3A602BFA"/>
    <w:rsid w:val="53AD1773"/>
    <w:rsid w:val="661F281A"/>
    <w:rsid w:val="770F2D6E"/>
    <w:rsid w:val="7D323451"/>
    <w:rsid w:val="7FDA0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page number" w:semiHidden="0" w:uiPriority="99" w:unhideWhenUsed="0" w:qFormat="1"/>
    <w:lsdException w:name="Title" w:locked="1" w:semiHidden="0"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CB"/>
    <w:pPr>
      <w:widowControl w:val="0"/>
      <w:jc w:val="both"/>
    </w:pPr>
    <w:rPr>
      <w:rFonts w:eastAsia="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155CB"/>
    <w:rPr>
      <w:sz w:val="18"/>
      <w:szCs w:val="18"/>
    </w:rPr>
  </w:style>
  <w:style w:type="paragraph" w:styleId="a4">
    <w:name w:val="footer"/>
    <w:basedOn w:val="a"/>
    <w:link w:val="Char0"/>
    <w:uiPriority w:val="99"/>
    <w:semiHidden/>
    <w:qFormat/>
    <w:rsid w:val="005155CB"/>
    <w:pPr>
      <w:tabs>
        <w:tab w:val="center" w:pos="4153"/>
        <w:tab w:val="right" w:pos="8306"/>
      </w:tabs>
      <w:snapToGrid w:val="0"/>
      <w:jc w:val="left"/>
    </w:pPr>
    <w:rPr>
      <w:sz w:val="18"/>
      <w:szCs w:val="18"/>
    </w:rPr>
  </w:style>
  <w:style w:type="paragraph" w:styleId="a5">
    <w:name w:val="header"/>
    <w:basedOn w:val="a"/>
    <w:link w:val="Char1"/>
    <w:uiPriority w:val="99"/>
    <w:semiHidden/>
    <w:qFormat/>
    <w:rsid w:val="005155CB"/>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5155CB"/>
    <w:rPr>
      <w:rFonts w:cs="Times New Roman"/>
    </w:rPr>
  </w:style>
  <w:style w:type="paragraph" w:customStyle="1" w:styleId="1">
    <w:name w:val="纯文本1"/>
    <w:basedOn w:val="a"/>
    <w:rsid w:val="005155CB"/>
    <w:pPr>
      <w:adjustRightInd w:val="0"/>
      <w:textAlignment w:val="baseline"/>
    </w:pPr>
    <w:rPr>
      <w:rFonts w:ascii="宋体" w:hAnsi="Courier New"/>
      <w:szCs w:val="20"/>
    </w:rPr>
  </w:style>
  <w:style w:type="character" w:customStyle="1" w:styleId="Char1">
    <w:name w:val="页眉 Char"/>
    <w:basedOn w:val="a0"/>
    <w:link w:val="a5"/>
    <w:uiPriority w:val="99"/>
    <w:semiHidden/>
    <w:qFormat/>
    <w:locked/>
    <w:rsid w:val="005155CB"/>
    <w:rPr>
      <w:rFonts w:cs="Times New Roman"/>
      <w:sz w:val="18"/>
      <w:szCs w:val="18"/>
    </w:rPr>
  </w:style>
  <w:style w:type="character" w:customStyle="1" w:styleId="Char0">
    <w:name w:val="页脚 Char"/>
    <w:basedOn w:val="a0"/>
    <w:link w:val="a4"/>
    <w:uiPriority w:val="99"/>
    <w:semiHidden/>
    <w:qFormat/>
    <w:locked/>
    <w:rsid w:val="005155CB"/>
    <w:rPr>
      <w:rFonts w:cs="Times New Roman"/>
      <w:sz w:val="18"/>
      <w:szCs w:val="18"/>
    </w:rPr>
  </w:style>
  <w:style w:type="character" w:customStyle="1" w:styleId="Char">
    <w:name w:val="批注框文本 Char"/>
    <w:basedOn w:val="a0"/>
    <w:link w:val="a3"/>
    <w:uiPriority w:val="99"/>
    <w:semiHidden/>
    <w:qFormat/>
    <w:locked/>
    <w:rsid w:val="005155CB"/>
    <w:rPr>
      <w:rFonts w:cs="Times New Roman"/>
      <w:sz w:val="18"/>
      <w:szCs w:val="18"/>
    </w:rPr>
  </w:style>
  <w:style w:type="paragraph" w:styleId="a7">
    <w:name w:val="Normal (Web)"/>
    <w:basedOn w:val="a"/>
    <w:qFormat/>
    <w:rsid w:val="00014ECC"/>
    <w:pPr>
      <w:jc w:val="left"/>
    </w:pPr>
    <w:rPr>
      <w:kern w:val="0"/>
      <w:sz w:val="24"/>
    </w:rPr>
  </w:style>
</w:styles>
</file>

<file path=word/webSettings.xml><?xml version="1.0" encoding="utf-8"?>
<w:webSettings xmlns:r="http://schemas.openxmlformats.org/officeDocument/2006/relationships" xmlns:w="http://schemas.openxmlformats.org/wordprocessingml/2006/main">
  <w:divs>
    <w:div w:id="200560226">
      <w:bodyDiv w:val="1"/>
      <w:marLeft w:val="0"/>
      <w:marRight w:val="0"/>
      <w:marTop w:val="0"/>
      <w:marBottom w:val="0"/>
      <w:divBdr>
        <w:top w:val="none" w:sz="0" w:space="0" w:color="auto"/>
        <w:left w:val="none" w:sz="0" w:space="0" w:color="auto"/>
        <w:bottom w:val="none" w:sz="0" w:space="0" w:color="auto"/>
        <w:right w:val="none" w:sz="0" w:space="0" w:color="auto"/>
      </w:divBdr>
    </w:div>
    <w:div w:id="520825802">
      <w:bodyDiv w:val="1"/>
      <w:marLeft w:val="0"/>
      <w:marRight w:val="0"/>
      <w:marTop w:val="0"/>
      <w:marBottom w:val="0"/>
      <w:divBdr>
        <w:top w:val="none" w:sz="0" w:space="0" w:color="auto"/>
        <w:left w:val="none" w:sz="0" w:space="0" w:color="auto"/>
        <w:bottom w:val="none" w:sz="0" w:space="0" w:color="auto"/>
        <w:right w:val="none" w:sz="0" w:space="0" w:color="auto"/>
      </w:divBdr>
    </w:div>
    <w:div w:id="540556248">
      <w:bodyDiv w:val="1"/>
      <w:marLeft w:val="0"/>
      <w:marRight w:val="0"/>
      <w:marTop w:val="0"/>
      <w:marBottom w:val="0"/>
      <w:divBdr>
        <w:top w:val="none" w:sz="0" w:space="0" w:color="auto"/>
        <w:left w:val="none" w:sz="0" w:space="0" w:color="auto"/>
        <w:bottom w:val="none" w:sz="0" w:space="0" w:color="auto"/>
        <w:right w:val="none" w:sz="0" w:space="0" w:color="auto"/>
      </w:divBdr>
    </w:div>
    <w:div w:id="574240181">
      <w:bodyDiv w:val="1"/>
      <w:marLeft w:val="0"/>
      <w:marRight w:val="0"/>
      <w:marTop w:val="0"/>
      <w:marBottom w:val="0"/>
      <w:divBdr>
        <w:top w:val="none" w:sz="0" w:space="0" w:color="auto"/>
        <w:left w:val="none" w:sz="0" w:space="0" w:color="auto"/>
        <w:bottom w:val="none" w:sz="0" w:space="0" w:color="auto"/>
        <w:right w:val="none" w:sz="0" w:space="0" w:color="auto"/>
      </w:divBdr>
    </w:div>
    <w:div w:id="1323849437">
      <w:bodyDiv w:val="1"/>
      <w:marLeft w:val="0"/>
      <w:marRight w:val="0"/>
      <w:marTop w:val="0"/>
      <w:marBottom w:val="0"/>
      <w:divBdr>
        <w:top w:val="none" w:sz="0" w:space="0" w:color="auto"/>
        <w:left w:val="none" w:sz="0" w:space="0" w:color="auto"/>
        <w:bottom w:val="none" w:sz="0" w:space="0" w:color="auto"/>
        <w:right w:val="none" w:sz="0" w:space="0" w:color="auto"/>
      </w:divBdr>
    </w:div>
    <w:div w:id="1503082051">
      <w:bodyDiv w:val="1"/>
      <w:marLeft w:val="0"/>
      <w:marRight w:val="0"/>
      <w:marTop w:val="0"/>
      <w:marBottom w:val="0"/>
      <w:divBdr>
        <w:top w:val="none" w:sz="0" w:space="0" w:color="auto"/>
        <w:left w:val="none" w:sz="0" w:space="0" w:color="auto"/>
        <w:bottom w:val="none" w:sz="0" w:space="0" w:color="auto"/>
        <w:right w:val="none" w:sz="0" w:space="0" w:color="auto"/>
      </w:divBdr>
    </w:div>
    <w:div w:id="1807237973">
      <w:bodyDiv w:val="1"/>
      <w:marLeft w:val="0"/>
      <w:marRight w:val="0"/>
      <w:marTop w:val="0"/>
      <w:marBottom w:val="0"/>
      <w:divBdr>
        <w:top w:val="none" w:sz="0" w:space="0" w:color="auto"/>
        <w:left w:val="none" w:sz="0" w:space="0" w:color="auto"/>
        <w:bottom w:val="none" w:sz="0" w:space="0" w:color="auto"/>
        <w:right w:val="none" w:sz="0" w:space="0" w:color="auto"/>
      </w:divBdr>
    </w:div>
    <w:div w:id="1943486205">
      <w:bodyDiv w:val="1"/>
      <w:marLeft w:val="0"/>
      <w:marRight w:val="0"/>
      <w:marTop w:val="0"/>
      <w:marBottom w:val="0"/>
      <w:divBdr>
        <w:top w:val="none" w:sz="0" w:space="0" w:color="auto"/>
        <w:left w:val="none" w:sz="0" w:space="0" w:color="auto"/>
        <w:bottom w:val="none" w:sz="0" w:space="0" w:color="auto"/>
        <w:right w:val="none" w:sz="0" w:space="0" w:color="auto"/>
      </w:divBdr>
    </w:div>
    <w:div w:id="2039425028">
      <w:bodyDiv w:val="1"/>
      <w:marLeft w:val="0"/>
      <w:marRight w:val="0"/>
      <w:marTop w:val="0"/>
      <w:marBottom w:val="0"/>
      <w:divBdr>
        <w:top w:val="none" w:sz="0" w:space="0" w:color="auto"/>
        <w:left w:val="none" w:sz="0" w:space="0" w:color="auto"/>
        <w:bottom w:val="none" w:sz="0" w:space="0" w:color="auto"/>
        <w:right w:val="none" w:sz="0" w:space="0" w:color="auto"/>
      </w:divBdr>
    </w:div>
    <w:div w:id="208013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G:\&#29579;&#29141;\2021\2021&#24635;&#20915;&#31639;&#20998;&#26512;\2021&#38468;&#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9579;&#29141;\2021\2021&#24635;&#20915;&#31639;&#20998;&#26512;\2021&#38468;&#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9579;&#29141;\2021\2021&#24635;&#20915;&#31639;&#20998;&#26512;\2021&#38468;&#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Arial"/>
                <a:ea typeface="Arial"/>
                <a:cs typeface="Arial"/>
              </a:defRPr>
            </a:pPr>
            <a:r>
              <a:rPr lang="zh-CN" altLang="en-US" sz="1200" b="0" i="0" u="none" strike="noStrike" baseline="0">
                <a:solidFill>
                  <a:srgbClr val="000000"/>
                </a:solidFill>
                <a:latin typeface="宋体"/>
                <a:ea typeface="宋体"/>
              </a:rPr>
              <a:t>永济市</a:t>
            </a:r>
            <a:r>
              <a:rPr lang="en-US" altLang="zh-CN" sz="1200" b="0" i="0" u="none" strike="noStrike" baseline="0">
                <a:solidFill>
                  <a:srgbClr val="000000"/>
                </a:solidFill>
                <a:latin typeface="Arial"/>
                <a:cs typeface="Arial"/>
              </a:rPr>
              <a:t>2020-2021</a:t>
            </a:r>
            <a:r>
              <a:rPr lang="zh-CN" altLang="en-US" sz="1200" b="0" i="0" u="none" strike="noStrike" baseline="0">
                <a:solidFill>
                  <a:srgbClr val="000000"/>
                </a:solidFill>
                <a:latin typeface="宋体"/>
                <a:ea typeface="宋体"/>
              </a:rPr>
              <a:t>年财政总收入分级比重图</a:t>
            </a:r>
          </a:p>
        </c:rich>
      </c:tx>
      <c:layout>
        <c:manualLayout>
          <c:xMode val="edge"/>
          <c:yMode val="edge"/>
          <c:x val="0.17834439484873357"/>
          <c:y val="3.4700349956255476E-2"/>
        </c:manualLayout>
      </c:layout>
      <c:spPr>
        <a:noFill/>
        <a:ln w="25400">
          <a:noFill/>
        </a:ln>
      </c:spPr>
    </c:title>
    <c:plotArea>
      <c:layout>
        <c:manualLayout>
          <c:layoutTarget val="inner"/>
          <c:xMode val="edge"/>
          <c:yMode val="edge"/>
          <c:x val="0.13375823911524534"/>
          <c:y val="0.19558359621451066"/>
          <c:w val="0.80042628803884697"/>
          <c:h val="0.58044164037854895"/>
        </c:manualLayout>
      </c:layout>
      <c:barChart>
        <c:barDir val="col"/>
        <c:grouping val="clustered"/>
        <c:ser>
          <c:idx val="1"/>
          <c:order val="0"/>
          <c:tx>
            <c:strRef>
              <c:f>Sheet1!$B$15</c:f>
              <c:strCache>
                <c:ptCount val="1"/>
                <c:pt idx="0">
                  <c:v>2020</c:v>
                </c:pt>
              </c:strCache>
            </c:strRef>
          </c:tx>
          <c:spPr>
            <a:solidFill>
              <a:srgbClr val="993366"/>
            </a:solidFill>
            <a:ln w="12700">
              <a:solidFill>
                <a:srgbClr val="000000"/>
              </a:solidFill>
              <a:prstDash val="solid"/>
            </a:ln>
          </c:spPr>
          <c:cat>
            <c:strRef>
              <c:f>Sheet1!$C$14:$F$14</c:f>
              <c:strCache>
                <c:ptCount val="4"/>
                <c:pt idx="0">
                  <c:v>中央</c:v>
                </c:pt>
                <c:pt idx="1">
                  <c:v>省</c:v>
                </c:pt>
                <c:pt idx="2">
                  <c:v>市 </c:v>
                </c:pt>
                <c:pt idx="3">
                  <c:v>县</c:v>
                </c:pt>
              </c:strCache>
            </c:strRef>
          </c:cat>
          <c:val>
            <c:numRef>
              <c:f>Sheet1!$C$15:$F$15</c:f>
              <c:numCache>
                <c:formatCode>0.0%</c:formatCode>
                <c:ptCount val="4"/>
                <c:pt idx="0">
                  <c:v>0.30200000000000032</c:v>
                </c:pt>
                <c:pt idx="1">
                  <c:v>8.5000000000000006E-2</c:v>
                </c:pt>
                <c:pt idx="2">
                  <c:v>0</c:v>
                </c:pt>
                <c:pt idx="3">
                  <c:v>0.61300000000000088</c:v>
                </c:pt>
              </c:numCache>
            </c:numRef>
          </c:val>
        </c:ser>
        <c:ser>
          <c:idx val="0"/>
          <c:order val="1"/>
          <c:tx>
            <c:strRef>
              <c:f>Sheet1!$B$16</c:f>
              <c:strCache>
                <c:ptCount val="1"/>
                <c:pt idx="0">
                  <c:v>2021</c:v>
                </c:pt>
              </c:strCache>
            </c:strRef>
          </c:tx>
          <c:spPr>
            <a:solidFill>
              <a:srgbClr val="9999FF"/>
            </a:solidFill>
            <a:ln w="12700">
              <a:solidFill>
                <a:srgbClr val="000000"/>
              </a:solidFill>
              <a:prstDash val="solid"/>
            </a:ln>
          </c:spPr>
          <c:cat>
            <c:strRef>
              <c:f>Sheet1!$C$14:$F$14</c:f>
              <c:strCache>
                <c:ptCount val="4"/>
                <c:pt idx="0">
                  <c:v>中央</c:v>
                </c:pt>
                <c:pt idx="1">
                  <c:v>省</c:v>
                </c:pt>
                <c:pt idx="2">
                  <c:v>市 </c:v>
                </c:pt>
                <c:pt idx="3">
                  <c:v>县</c:v>
                </c:pt>
              </c:strCache>
            </c:strRef>
          </c:cat>
          <c:val>
            <c:numRef>
              <c:f>Sheet1!$C$16:$F$16</c:f>
              <c:numCache>
                <c:formatCode>0.0%</c:formatCode>
                <c:ptCount val="4"/>
                <c:pt idx="0">
                  <c:v>0.27600000000000002</c:v>
                </c:pt>
                <c:pt idx="1">
                  <c:v>7.3000000000000009E-2</c:v>
                </c:pt>
                <c:pt idx="2">
                  <c:v>0</c:v>
                </c:pt>
                <c:pt idx="3">
                  <c:v>0.65100000000000113</c:v>
                </c:pt>
              </c:numCache>
            </c:numRef>
          </c:val>
        </c:ser>
        <c:axId val="172273664"/>
        <c:axId val="172275200"/>
      </c:barChart>
      <c:catAx>
        <c:axId val="172273664"/>
        <c:scaling>
          <c:orientation val="minMax"/>
        </c:scaling>
        <c:axPos val="b"/>
        <c:numFmt formatCode="General" sourceLinked="1"/>
        <c:majorTickMark val="in"/>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172275200"/>
        <c:crosses val="autoZero"/>
        <c:lblAlgn val="ctr"/>
        <c:lblOffset val="100"/>
      </c:catAx>
      <c:valAx>
        <c:axId val="172275200"/>
        <c:scaling>
          <c:orientation val="minMax"/>
        </c:scaling>
        <c:axPos val="l"/>
        <c:majorGridlines>
          <c:spPr>
            <a:ln w="3175">
              <a:solidFill>
                <a:srgbClr val="000000"/>
              </a:solidFill>
              <a:prstDash val="solid"/>
            </a:ln>
          </c:spPr>
        </c:majorGridlines>
        <c:numFmt formatCode="0.0%"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Arial"/>
                <a:ea typeface="Arial"/>
                <a:cs typeface="Arial"/>
              </a:defRPr>
            </a:pPr>
            <a:endParaRPr lang="zh-CN"/>
          </a:p>
        </c:txPr>
        <c:crossAx val="172273664"/>
        <c:crosses val="autoZero"/>
        <c:crossBetween val="between"/>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25"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永济市</a:t>
            </a:r>
            <a:r>
              <a:rPr lang="en-US" altLang="zh-CN" sz="1200" b="0" i="0" u="none" strike="noStrike" baseline="0">
                <a:solidFill>
                  <a:srgbClr val="000000"/>
                </a:solidFill>
                <a:latin typeface="宋体"/>
                <a:ea typeface="宋体"/>
              </a:rPr>
              <a:t>2020-2021</a:t>
            </a:r>
            <a:r>
              <a:rPr lang="zh-CN" altLang="en-US" sz="1200" b="0" i="0" u="none" strike="noStrike" baseline="0">
                <a:solidFill>
                  <a:srgbClr val="000000"/>
                </a:solidFill>
                <a:latin typeface="宋体"/>
                <a:ea typeface="宋体"/>
              </a:rPr>
              <a:t>年财政收入分部门比重图</a:t>
            </a:r>
          </a:p>
        </c:rich>
      </c:tx>
      <c:layout>
        <c:manualLayout>
          <c:xMode val="edge"/>
          <c:yMode val="edge"/>
          <c:x val="0.17255741469816274"/>
          <c:y val="3.5398262382977552E-2"/>
        </c:manualLayout>
      </c:layout>
      <c:spPr>
        <a:noFill/>
        <a:ln w="25400">
          <a:noFill/>
        </a:ln>
      </c:spPr>
    </c:title>
    <c:plotArea>
      <c:layout>
        <c:manualLayout>
          <c:layoutTarget val="inner"/>
          <c:xMode val="edge"/>
          <c:yMode val="edge"/>
          <c:x val="0.15384631002134888"/>
          <c:y val="0.16519221628473069"/>
          <c:w val="0.7629945375383117"/>
          <c:h val="0.55752372996096378"/>
        </c:manualLayout>
      </c:layout>
      <c:barChart>
        <c:barDir val="col"/>
        <c:grouping val="clustered"/>
        <c:ser>
          <c:idx val="0"/>
          <c:order val="0"/>
          <c:tx>
            <c:strRef>
              <c:f>Sheet1!$B$40</c:f>
              <c:strCache>
                <c:ptCount val="1"/>
                <c:pt idx="0">
                  <c:v>2020</c:v>
                </c:pt>
              </c:strCache>
            </c:strRef>
          </c:tx>
          <c:spPr>
            <a:solidFill>
              <a:srgbClr val="9999FF"/>
            </a:solidFill>
            <a:ln w="12700">
              <a:solidFill>
                <a:srgbClr val="000000"/>
              </a:solidFill>
              <a:prstDash val="solid"/>
            </a:ln>
          </c:spPr>
          <c:cat>
            <c:strRef>
              <c:f>Sheet1!$C$39:$F$39</c:f>
              <c:strCache>
                <c:ptCount val="4"/>
                <c:pt idx="0">
                  <c:v>总收入：税务</c:v>
                </c:pt>
                <c:pt idx="1">
                  <c:v>财政</c:v>
                </c:pt>
                <c:pt idx="2">
                  <c:v>一般：税务</c:v>
                </c:pt>
                <c:pt idx="3">
                  <c:v>财政</c:v>
                </c:pt>
              </c:strCache>
            </c:strRef>
          </c:cat>
          <c:val>
            <c:numRef>
              <c:f>Sheet1!$C$40:$F$40</c:f>
              <c:numCache>
                <c:formatCode>0.0%</c:formatCode>
                <c:ptCount val="4"/>
                <c:pt idx="0">
                  <c:v>0.76000000000000101</c:v>
                </c:pt>
                <c:pt idx="1">
                  <c:v>0.24000000000000021</c:v>
                </c:pt>
                <c:pt idx="2">
                  <c:v>0.60800000000000065</c:v>
                </c:pt>
                <c:pt idx="3">
                  <c:v>0.39200000000000057</c:v>
                </c:pt>
              </c:numCache>
            </c:numRef>
          </c:val>
        </c:ser>
        <c:ser>
          <c:idx val="1"/>
          <c:order val="1"/>
          <c:tx>
            <c:strRef>
              <c:f>Sheet1!$B$41</c:f>
              <c:strCache>
                <c:ptCount val="1"/>
                <c:pt idx="0">
                  <c:v>2021</c:v>
                </c:pt>
              </c:strCache>
            </c:strRef>
          </c:tx>
          <c:spPr>
            <a:solidFill>
              <a:srgbClr val="993366"/>
            </a:solidFill>
            <a:ln w="12700">
              <a:solidFill>
                <a:srgbClr val="000000"/>
              </a:solidFill>
              <a:prstDash val="solid"/>
            </a:ln>
          </c:spPr>
          <c:cat>
            <c:strRef>
              <c:f>Sheet1!$C$39:$F$39</c:f>
              <c:strCache>
                <c:ptCount val="4"/>
                <c:pt idx="0">
                  <c:v>总收入：税务</c:v>
                </c:pt>
                <c:pt idx="1">
                  <c:v>财政</c:v>
                </c:pt>
                <c:pt idx="2">
                  <c:v>一般：税务</c:v>
                </c:pt>
                <c:pt idx="3">
                  <c:v>财政</c:v>
                </c:pt>
              </c:strCache>
            </c:strRef>
          </c:cat>
          <c:val>
            <c:numRef>
              <c:f>Sheet1!$C$41:$F$41</c:f>
              <c:numCache>
                <c:formatCode>0.0%</c:formatCode>
                <c:ptCount val="4"/>
                <c:pt idx="0">
                  <c:v>0.71300000000000063</c:v>
                </c:pt>
                <c:pt idx="1">
                  <c:v>0.28700000000000031</c:v>
                </c:pt>
                <c:pt idx="2">
                  <c:v>0.55900000000000005</c:v>
                </c:pt>
                <c:pt idx="3">
                  <c:v>0.441</c:v>
                </c:pt>
              </c:numCache>
            </c:numRef>
          </c:val>
        </c:ser>
        <c:axId val="65463424"/>
        <c:axId val="65464960"/>
      </c:barChart>
      <c:catAx>
        <c:axId val="65463424"/>
        <c:scaling>
          <c:orientation val="minMax"/>
        </c:scaling>
        <c:axPos val="b"/>
        <c:numFmt formatCode="General" sourceLinked="1"/>
        <c:majorTickMark val="in"/>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65464960"/>
        <c:crosses val="autoZero"/>
        <c:auto val="1"/>
        <c:lblAlgn val="ctr"/>
        <c:lblOffset val="100"/>
      </c:catAx>
      <c:valAx>
        <c:axId val="65464960"/>
        <c:scaling>
          <c:orientation val="minMax"/>
        </c:scaling>
        <c:axPos val="l"/>
        <c:majorGridlines>
          <c:spPr>
            <a:ln w="3175">
              <a:solidFill>
                <a:srgbClr val="000000"/>
              </a:solidFill>
              <a:prstDash val="solid"/>
            </a:ln>
          </c:spPr>
        </c:majorGridlines>
        <c:numFmt formatCode="0.0%"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65463424"/>
        <c:crosses val="autoZero"/>
        <c:crossBetween val="between"/>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宋体"/>
                <a:ea typeface="宋体"/>
                <a:cs typeface="宋体"/>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50" b="0" i="0" u="none" strike="noStrike" baseline="0">
                <a:solidFill>
                  <a:srgbClr val="000000"/>
                </a:solidFill>
                <a:latin typeface="Arial"/>
                <a:ea typeface="Arial"/>
                <a:cs typeface="Arial"/>
              </a:defRPr>
            </a:pPr>
            <a:r>
              <a:rPr lang="zh-CN" altLang="en-US" sz="1600" b="0" i="0" u="none" strike="noStrike" baseline="0">
                <a:solidFill>
                  <a:srgbClr val="000000"/>
                </a:solidFill>
                <a:latin typeface="宋体"/>
                <a:ea typeface="宋体"/>
              </a:rPr>
              <a:t>永济市</a:t>
            </a:r>
            <a:r>
              <a:rPr lang="en-US" altLang="zh-CN" sz="1600" b="0" i="0" u="none" strike="noStrike" baseline="0">
                <a:solidFill>
                  <a:srgbClr val="000000"/>
                </a:solidFill>
                <a:latin typeface="Arial"/>
                <a:cs typeface="Arial"/>
              </a:rPr>
              <a:t>2021</a:t>
            </a:r>
            <a:r>
              <a:rPr lang="zh-CN" altLang="en-US" sz="1600" b="0" i="0" u="none" strike="noStrike" baseline="0">
                <a:solidFill>
                  <a:srgbClr val="000000"/>
                </a:solidFill>
                <a:latin typeface="宋体"/>
                <a:ea typeface="宋体"/>
              </a:rPr>
              <a:t>年支出比重图</a:t>
            </a:r>
          </a:p>
        </c:rich>
      </c:tx>
      <c:layout>
        <c:manualLayout>
          <c:xMode val="edge"/>
          <c:yMode val="edge"/>
          <c:x val="0.25976248724427353"/>
          <c:y val="3.1602577744310092E-2"/>
        </c:manualLayout>
      </c:layout>
    </c:title>
    <c:plotArea>
      <c:layout>
        <c:manualLayout>
          <c:layoutTarget val="inner"/>
          <c:xMode val="edge"/>
          <c:yMode val="edge"/>
          <c:x val="0.29202061559964726"/>
          <c:y val="0.20993227990970656"/>
          <c:w val="0.4651956318273423"/>
          <c:h val="0.61851015801354403"/>
        </c:manualLayout>
      </c:layout>
      <c:pieChart>
        <c:varyColors val="1"/>
        <c:ser>
          <c:idx val="0"/>
          <c:order val="0"/>
          <c:spPr>
            <a:solidFill>
              <a:srgbClr val="9999FF"/>
            </a:solidFill>
            <a:ln w="25400">
              <a:noFill/>
            </a:ln>
          </c:spPr>
          <c:explosion val="4"/>
          <c:dPt>
            <c:idx val="1"/>
            <c:spPr>
              <a:solidFill>
                <a:srgbClr val="993366"/>
              </a:solidFill>
              <a:ln w="25400">
                <a:noFill/>
              </a:ln>
            </c:spPr>
          </c:dPt>
          <c:dPt>
            <c:idx val="2"/>
            <c:spPr>
              <a:solidFill>
                <a:srgbClr val="FFFFCC"/>
              </a:solidFill>
              <a:ln w="25400">
                <a:noFill/>
              </a:ln>
            </c:spPr>
          </c:dPt>
          <c:dPt>
            <c:idx val="3"/>
            <c:spPr>
              <a:solidFill>
                <a:srgbClr val="CCFFFF"/>
              </a:solidFill>
              <a:ln w="25400">
                <a:noFill/>
              </a:ln>
            </c:spPr>
          </c:dPt>
          <c:dPt>
            <c:idx val="4"/>
            <c:spPr>
              <a:solidFill>
                <a:srgbClr val="660066"/>
              </a:solidFill>
              <a:ln w="25400">
                <a:noFill/>
              </a:ln>
            </c:spPr>
          </c:dPt>
          <c:dPt>
            <c:idx val="5"/>
            <c:spPr>
              <a:solidFill>
                <a:srgbClr val="FF8080"/>
              </a:solidFill>
              <a:ln w="25400">
                <a:noFill/>
              </a:ln>
            </c:spPr>
          </c:dPt>
          <c:dPt>
            <c:idx val="6"/>
            <c:spPr>
              <a:solidFill>
                <a:srgbClr val="0066CC"/>
              </a:solidFill>
              <a:ln w="25400">
                <a:noFill/>
              </a:ln>
            </c:spPr>
          </c:dPt>
          <c:dPt>
            <c:idx val="7"/>
            <c:spPr>
              <a:solidFill>
                <a:srgbClr val="CCCCFF"/>
              </a:solidFill>
              <a:ln w="25400">
                <a:noFill/>
              </a:ln>
            </c:spPr>
          </c:dPt>
          <c:dPt>
            <c:idx val="8"/>
            <c:spPr>
              <a:solidFill>
                <a:srgbClr val="000080"/>
              </a:solidFill>
              <a:ln w="25400">
                <a:noFill/>
              </a:ln>
            </c:spPr>
          </c:dPt>
          <c:dLbls>
            <c:dLbl>
              <c:idx val="0"/>
              <c:layout>
                <c:manualLayout>
                  <c:x val="2.1424809165407805E-2"/>
                  <c:y val="4.0848663668734395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1"/>
              <c:spPr>
                <a:noFill/>
                <a:ln w="25400">
                  <a:noFill/>
                </a:ln>
              </c:spPr>
              <c:txPr>
                <a:bodyPr/>
                <a:lstStyle/>
                <a:p>
                  <a:pPr>
                    <a:defRPr sz="1200" b="0" i="0" u="none" strike="noStrike" baseline="0">
                      <a:solidFill>
                        <a:srgbClr val="000000"/>
                      </a:solidFill>
                      <a:latin typeface="Arial"/>
                      <a:ea typeface="Arial"/>
                      <a:cs typeface="Arial"/>
                    </a:defRPr>
                  </a:pPr>
                  <a:endParaRPr lang="zh-CN"/>
                </a:p>
              </c:txPr>
              <c:showVal val="1"/>
              <c:showCatName val="1"/>
              <c:separator> </c:separator>
            </c:dLbl>
            <c:dLbl>
              <c:idx val="2"/>
              <c:layout>
                <c:manualLayout>
                  <c:x val="1.7496089729021565E-2"/>
                  <c:y val="-5.3304657459578436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3"/>
              <c:layout>
                <c:manualLayout>
                  <c:x val="1.9341826753828992E-2"/>
                  <c:y val="-1.1211332471174956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4"/>
              <c:layout>
                <c:manualLayout>
                  <c:x val="2.2982144209902453E-2"/>
                  <c:y val="1.1057017041269011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5"/>
              <c:layout>
                <c:manualLayout>
                  <c:x val="3.7065893079154678E-2"/>
                  <c:y val="3.3883259395070434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6"/>
              <c:layout>
                <c:manualLayout>
                  <c:x val="-9.4862505514485031E-3"/>
                  <c:y val="1.2324935474541754E-2"/>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7"/>
              <c:layout>
                <c:manualLayout>
                  <c:x val="-1.6775084778239743E-2"/>
                  <c:y val="-9.2139625997893909E-3"/>
                </c:manualLayout>
              </c:layout>
              <c:spPr>
                <a:noFill/>
                <a:ln w="25400">
                  <a:noFill/>
                </a:ln>
              </c:spPr>
              <c:txPr>
                <a:bodyPr/>
                <a:lstStyle/>
                <a:p>
                  <a:pPr>
                    <a:defRPr sz="1200" b="0" i="0" u="none" strike="noStrike" baseline="0">
                      <a:solidFill>
                        <a:srgbClr val="000000"/>
                      </a:solidFill>
                      <a:latin typeface="Arial"/>
                      <a:ea typeface="Arial"/>
                      <a:cs typeface="Arial"/>
                    </a:defRPr>
                  </a:pPr>
                  <a:endParaRPr lang="zh-CN"/>
                </a:p>
              </c:txPr>
              <c:dLblPos val="bestFit"/>
              <c:showVal val="1"/>
              <c:showCatName val="1"/>
              <c:separator> </c:separator>
            </c:dLbl>
            <c:dLbl>
              <c:idx val="8"/>
              <c:layout>
                <c:manualLayout>
                  <c:x val="-1.5846066779852862E-2"/>
                  <c:y val="8.3160083160083061E-3"/>
                </c:manualLayout>
              </c:layout>
              <c:dLblPos val="bestFit"/>
              <c:showVal val="1"/>
              <c:showCatName val="1"/>
              <c:separator> </c:separator>
            </c:dLbl>
            <c:dLbl>
              <c:idx val="9"/>
              <c:layout>
                <c:manualLayout>
                  <c:x val="-6.7911714770798083E-3"/>
                  <c:y val="1.1088011088011105E-2"/>
                </c:manualLayout>
              </c:layout>
              <c:dLblPos val="bestFit"/>
              <c:showVal val="1"/>
              <c:showCatName val="1"/>
              <c:separator> </c:separator>
            </c:dLbl>
            <c:dLbl>
              <c:idx val="10"/>
              <c:layout>
                <c:manualLayout>
                  <c:x val="-6.7911714770798083E-3"/>
                  <c:y val="-3.0492030492030552E-2"/>
                </c:manualLayout>
              </c:layout>
              <c:dLblPos val="bestFit"/>
              <c:showVal val="1"/>
              <c:showCatName val="1"/>
              <c:separator> </c:separator>
            </c:dLbl>
            <c:dLbl>
              <c:idx val="11"/>
              <c:layout>
                <c:manualLayout>
                  <c:x val="2.4900962082626012E-2"/>
                  <c:y val="-6.6528066528066518E-2"/>
                </c:manualLayout>
              </c:layout>
              <c:dLblPos val="bestFit"/>
              <c:showVal val="1"/>
              <c:showCatName val="1"/>
              <c:separator> </c:separator>
            </c:dLbl>
            <c:spPr>
              <a:noFill/>
              <a:ln w="25400">
                <a:noFill/>
              </a:ln>
            </c:spPr>
            <c:txPr>
              <a:bodyPr/>
              <a:lstStyle/>
              <a:p>
                <a:pPr>
                  <a:defRPr sz="1100" b="0" i="0" u="none" strike="noStrike" baseline="0">
                    <a:solidFill>
                      <a:srgbClr val="000000"/>
                    </a:solidFill>
                    <a:latin typeface="Arial"/>
                    <a:ea typeface="Arial"/>
                    <a:cs typeface="Arial"/>
                  </a:defRPr>
                </a:pPr>
                <a:endParaRPr lang="zh-CN"/>
              </a:p>
            </c:txPr>
            <c:dLblPos val="outEnd"/>
            <c:showVal val="1"/>
            <c:showCatName val="1"/>
            <c:separator> </c:separator>
            <c:showLeaderLines val="1"/>
            <c:leaderLines>
              <c:spPr>
                <a:ln w="3175">
                  <a:solidFill>
                    <a:srgbClr val="000000"/>
                  </a:solidFill>
                  <a:prstDash val="solid"/>
                </a:ln>
              </c:spPr>
            </c:leaderLines>
          </c:dLbls>
          <c:cat>
            <c:strRef>
              <c:f>Sheet1!$G$112:$G$123</c:f>
              <c:strCache>
                <c:ptCount val="12"/>
                <c:pt idx="0">
                  <c:v>一般公共服务</c:v>
                </c:pt>
                <c:pt idx="1">
                  <c:v>公共安全</c:v>
                </c:pt>
                <c:pt idx="2">
                  <c:v>教育</c:v>
                </c:pt>
                <c:pt idx="3">
                  <c:v>文化旅游体育和传媒</c:v>
                </c:pt>
                <c:pt idx="4">
                  <c:v>社保和就业</c:v>
                </c:pt>
                <c:pt idx="5">
                  <c:v>卫生健康</c:v>
                </c:pt>
                <c:pt idx="6">
                  <c:v>节能环保</c:v>
                </c:pt>
                <c:pt idx="7">
                  <c:v>城乡社区</c:v>
                </c:pt>
                <c:pt idx="8">
                  <c:v>农林水</c:v>
                </c:pt>
                <c:pt idx="9">
                  <c:v>交通运输</c:v>
                </c:pt>
                <c:pt idx="10">
                  <c:v>住房保障</c:v>
                </c:pt>
                <c:pt idx="11">
                  <c:v>其他合计</c:v>
                </c:pt>
              </c:strCache>
            </c:strRef>
          </c:cat>
          <c:val>
            <c:numRef>
              <c:f>Sheet1!$H$112:$H$123</c:f>
              <c:numCache>
                <c:formatCode>0.00%</c:formatCode>
                <c:ptCount val="12"/>
                <c:pt idx="0">
                  <c:v>0.1114</c:v>
                </c:pt>
                <c:pt idx="1">
                  <c:v>3.0700000000000002E-2</c:v>
                </c:pt>
                <c:pt idx="2">
                  <c:v>0.24760000000000001</c:v>
                </c:pt>
                <c:pt idx="3">
                  <c:v>4.1000000000000002E-2</c:v>
                </c:pt>
                <c:pt idx="4">
                  <c:v>0.15410000000000001</c:v>
                </c:pt>
                <c:pt idx="5">
                  <c:v>8.8900000000000048E-2</c:v>
                </c:pt>
                <c:pt idx="6">
                  <c:v>3.0599999999999999E-2</c:v>
                </c:pt>
                <c:pt idx="7">
                  <c:v>5.6400000000000013E-2</c:v>
                </c:pt>
                <c:pt idx="8">
                  <c:v>0.12809999999999999</c:v>
                </c:pt>
                <c:pt idx="9">
                  <c:v>4.5600000000000002E-2</c:v>
                </c:pt>
                <c:pt idx="10">
                  <c:v>9.4000000000000142E-3</c:v>
                </c:pt>
                <c:pt idx="11">
                  <c:v>5.62E-2</c:v>
                </c:pt>
              </c:numCache>
            </c:numRef>
          </c:val>
        </c:ser>
        <c:firstSliceAng val="0"/>
      </c:pieChart>
      <c:spPr>
        <a:noFill/>
        <a:ln w="25400">
          <a:noFill/>
        </a:ln>
      </c:spPr>
    </c:plotArea>
    <c:plotVisOnly val="1"/>
    <c:dispBlanksAs val="zero"/>
  </c:chart>
  <c:spPr>
    <a:no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1642</Words>
  <Characters>9361</Characters>
  <Application>Microsoft Office Word</Application>
  <DocSecurity>0</DocSecurity>
  <Lines>78</Lines>
  <Paragraphs>21</Paragraphs>
  <ScaleCrop>false</ScaleCrop>
  <Company>Microsoft</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永济市财政局</dc:title>
  <dc:creator>Administrator</dc:creator>
  <cp:lastModifiedBy>Administrator</cp:lastModifiedBy>
  <cp:revision>3</cp:revision>
  <cp:lastPrinted>2022-02-22T02:20:00Z</cp:lastPrinted>
  <dcterms:created xsi:type="dcterms:W3CDTF">2024-03-05T01:53:00Z</dcterms:created>
  <dcterms:modified xsi:type="dcterms:W3CDTF">2024-03-05T01:55:00Z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