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20" w:lineRule="exact"/>
        <w:ind w:left="0" w:leftChars="0" w:right="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永济市旅游职业技术学校</w:t>
      </w:r>
    </w:p>
    <w:p>
      <w:pPr>
        <w:widowControl w:val="0"/>
        <w:wordWrap/>
        <w:adjustRightInd/>
        <w:snapToGrid/>
        <w:spacing w:line="520" w:lineRule="exact"/>
        <w:ind w:left="0" w:leftChars="0" w:right="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2021年部门预算</w:t>
      </w:r>
      <w:r>
        <w:rPr>
          <w:rFonts w:hint="eastAsia" w:ascii="方正小标宋简体" w:hAnsi="方正小标宋简体" w:eastAsia="方正小标宋简体" w:cs="方正小标宋简体"/>
          <w:sz w:val="36"/>
          <w:szCs w:val="36"/>
          <w:lang w:eastAsia="zh-CN"/>
        </w:rPr>
        <w:t>公开</w:t>
      </w:r>
      <w:r>
        <w:rPr>
          <w:rFonts w:hint="eastAsia" w:ascii="方正小标宋简体" w:hAnsi="方正小标宋简体" w:eastAsia="方正小标宋简体" w:cs="方正小标宋简体"/>
          <w:sz w:val="36"/>
          <w:szCs w:val="36"/>
        </w:rPr>
        <w:t>说明</w:t>
      </w:r>
    </w:p>
    <w:p>
      <w:pPr>
        <w:widowControl w:val="0"/>
        <w:wordWrap/>
        <w:adjustRightInd/>
        <w:snapToGrid/>
        <w:spacing w:line="520" w:lineRule="exact"/>
        <w:ind w:left="0" w:leftChars="0" w:right="0" w:firstLine="560" w:firstLineChars="200"/>
        <w:textAlignment w:val="auto"/>
        <w:outlineLvl w:val="9"/>
        <w:rPr>
          <w:rFonts w:ascii="仿宋" w:hAnsi="仿宋" w:eastAsia="仿宋" w:cs="仿宋"/>
          <w:sz w:val="28"/>
          <w:szCs w:val="28"/>
        </w:rPr>
      </w:pPr>
    </w:p>
    <w:p>
      <w:pPr>
        <w:pStyle w:val="3"/>
        <w:spacing w:line="420" w:lineRule="exact"/>
        <w:ind w:firstLine="480" w:firstLineChars="200"/>
        <w:rPr>
          <w:rFonts w:hint="eastAsia" w:ascii="黑体" w:hAnsi="黑体" w:eastAsia="黑体" w:cs="黑体"/>
          <w:sz w:val="24"/>
          <w:szCs w:val="24"/>
        </w:rPr>
      </w:pPr>
      <w:r>
        <w:rPr>
          <w:rFonts w:hint="eastAsia" w:ascii="黑体" w:hAnsi="黑体" w:eastAsia="黑体" w:cs="黑体"/>
          <w:sz w:val="24"/>
          <w:szCs w:val="24"/>
        </w:rPr>
        <w:t>一、单位主要职责及机构设置情况</w:t>
      </w:r>
    </w:p>
    <w:p>
      <w:pPr>
        <w:spacing w:line="420" w:lineRule="exact"/>
        <w:ind w:firstLine="480" w:firstLineChars="200"/>
        <w:rPr>
          <w:rFonts w:hint="eastAsia" w:ascii="仿宋_GB2312" w:hAnsi="仿宋_GB2312" w:eastAsia="仿宋_GB2312" w:cs="仿宋_GB2312"/>
          <w:sz w:val="24"/>
          <w:szCs w:val="24"/>
        </w:rPr>
      </w:pPr>
      <w:r>
        <w:rPr>
          <w:rFonts w:hint="eastAsia" w:ascii="楷体_GB2312" w:hAnsi="楷体_GB2312" w:eastAsia="楷体_GB2312" w:cs="楷体_GB2312"/>
          <w:sz w:val="24"/>
          <w:szCs w:val="24"/>
        </w:rPr>
        <w:t>（一）学校概况</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永济市旅游职业技术学校是永济市教育局举办的一所职业高中学校，位于永济市涑水西街299号，现有教职工17名，退休人员1名。现有在校学生950名。</w:t>
      </w:r>
    </w:p>
    <w:p>
      <w:pPr>
        <w:pStyle w:val="3"/>
        <w:widowControl w:val="0"/>
        <w:wordWrap/>
        <w:adjustRightInd/>
        <w:snapToGrid/>
        <w:spacing w:line="440" w:lineRule="exact"/>
        <w:ind w:left="0" w:leftChars="0" w:right="0" w:firstLine="480" w:firstLineChars="200"/>
        <w:jc w:val="both"/>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（二）主要职责</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贯彻执行教育法律法规，坚持依法治教、依法治学。培养具有旅游服务、平面媒体印制技术、美容美发、会计、化学工艺、音乐、舞蹈、计算机应用等专业方面的人才，为永济经济发展服务。</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楷体_GB2312" w:hAnsi="楷体_GB2312" w:eastAsia="楷体_GB2312" w:cs="楷体_GB2312"/>
          <w:sz w:val="24"/>
          <w:szCs w:val="24"/>
        </w:rPr>
        <w:t>（三）机构设置情况</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学校独立核算的机构1个，内设办公室、教务处、后勤保障处、政教处、招生就业办等处室。</w:t>
      </w:r>
    </w:p>
    <w:p>
      <w:pPr>
        <w:pStyle w:val="3"/>
        <w:spacing w:line="420" w:lineRule="exact"/>
        <w:ind w:firstLine="480" w:firstLineChars="200"/>
        <w:rPr>
          <w:rFonts w:hint="eastAsia" w:ascii="黑体" w:hAnsi="黑体" w:eastAsia="黑体" w:cs="黑体"/>
          <w:sz w:val="24"/>
          <w:szCs w:val="24"/>
        </w:rPr>
      </w:pPr>
      <w:r>
        <w:rPr>
          <w:rFonts w:hint="eastAsia" w:ascii="黑体" w:hAnsi="黑体" w:eastAsia="黑体" w:cs="黑体"/>
          <w:sz w:val="24"/>
          <w:szCs w:val="24"/>
        </w:rPr>
        <w:t>二、本级预算情况</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我校为全额事业独立核算单位。2021年我单位预算收入安排为</w:t>
      </w:r>
      <w:r>
        <w:rPr>
          <w:rFonts w:ascii="仿宋_GB2312" w:hAnsi="仿宋_GB2312" w:eastAsia="仿宋_GB2312" w:cs="仿宋_GB2312"/>
          <w:sz w:val="24"/>
          <w:szCs w:val="24"/>
        </w:rPr>
        <w:t>490.55</w:t>
      </w:r>
      <w:r>
        <w:rPr>
          <w:rFonts w:hint="eastAsia" w:ascii="仿宋_GB2312" w:hAnsi="仿宋_GB2312" w:eastAsia="仿宋_GB2312" w:cs="仿宋_GB2312"/>
          <w:sz w:val="24"/>
          <w:szCs w:val="24"/>
        </w:rPr>
        <w:t>万元，全部为财政拨款。根据收支平衡的原则，预算支出安排为</w:t>
      </w:r>
      <w:r>
        <w:rPr>
          <w:rFonts w:ascii="仿宋_GB2312" w:hAnsi="仿宋_GB2312" w:eastAsia="仿宋_GB2312" w:cs="仿宋_GB2312"/>
          <w:sz w:val="24"/>
          <w:szCs w:val="24"/>
        </w:rPr>
        <w:t>490.55</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其中工资福利支出</w:t>
      </w:r>
      <w:r>
        <w:rPr>
          <w:rFonts w:ascii="仿宋_GB2312" w:hAnsi="仿宋_GB2312" w:eastAsia="仿宋_GB2312" w:cs="仿宋_GB2312"/>
          <w:sz w:val="24"/>
          <w:szCs w:val="24"/>
        </w:rPr>
        <w:t>127.09</w:t>
      </w:r>
      <w:r>
        <w:rPr>
          <w:rFonts w:hint="eastAsia" w:ascii="仿宋_GB2312" w:hAnsi="仿宋_GB2312" w:eastAsia="仿宋_GB2312" w:cs="仿宋_GB2312"/>
          <w:sz w:val="24"/>
          <w:szCs w:val="24"/>
        </w:rPr>
        <w:t>万元，对个人和家庭的补助支出</w:t>
      </w:r>
      <w:r>
        <w:rPr>
          <w:rFonts w:ascii="仿宋_GB2312" w:hAnsi="仿宋_GB2312" w:eastAsia="仿宋_GB2312" w:cs="仿宋_GB2312"/>
          <w:sz w:val="24"/>
          <w:szCs w:val="24"/>
        </w:rPr>
        <w:t>0.46</w:t>
      </w:r>
      <w:r>
        <w:rPr>
          <w:rFonts w:hint="eastAsia" w:ascii="仿宋_GB2312" w:hAnsi="仿宋_GB2312" w:eastAsia="仿宋_GB2312" w:cs="仿宋_GB2312"/>
          <w:sz w:val="24"/>
          <w:szCs w:val="24"/>
        </w:rPr>
        <w:t>万元，商品服务支出为1.8</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万元，项目支出为</w:t>
      </w:r>
      <w:r>
        <w:rPr>
          <w:rFonts w:hint="eastAsia" w:ascii="仿宋_GB2312" w:hAnsi="仿宋_GB2312" w:eastAsia="仿宋_GB2312" w:cs="仿宋_GB2312"/>
          <w:sz w:val="24"/>
          <w:szCs w:val="24"/>
          <w:lang w:val="en-US" w:eastAsia="zh-CN"/>
        </w:rPr>
        <w:t>361.16</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w:t>
      </w:r>
    </w:p>
    <w:p>
      <w:pPr>
        <w:pStyle w:val="3"/>
        <w:widowControl w:val="0"/>
        <w:wordWrap/>
        <w:adjustRightInd/>
        <w:snapToGrid/>
        <w:spacing w:line="440" w:lineRule="exact"/>
        <w:ind w:left="0" w:leftChars="0" w:right="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三、预算收支增减变化及情况说明</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2021年收入预算为</w:t>
      </w:r>
      <w:r>
        <w:rPr>
          <w:rFonts w:ascii="仿宋_GB2312" w:hAnsi="仿宋_GB2312" w:eastAsia="仿宋_GB2312" w:cs="仿宋_GB2312"/>
          <w:sz w:val="24"/>
          <w:szCs w:val="24"/>
        </w:rPr>
        <w:t>490.55</w:t>
      </w:r>
      <w:r>
        <w:rPr>
          <w:rFonts w:hint="eastAsia" w:ascii="仿宋_GB2312" w:hAnsi="仿宋_GB2312" w:eastAsia="仿宋_GB2312" w:cs="仿宋_GB2312"/>
          <w:sz w:val="24"/>
          <w:szCs w:val="24"/>
        </w:rPr>
        <w:t>万元，比上年</w:t>
      </w:r>
      <w:r>
        <w:rPr>
          <w:rFonts w:hint="eastAsia" w:ascii="仿宋_GB2312" w:hAnsi="宋体" w:eastAsia="仿宋_GB2312"/>
          <w:sz w:val="24"/>
          <w:szCs w:val="24"/>
          <w:lang w:eastAsia="zh-CN"/>
        </w:rPr>
        <w:t>下降</w:t>
      </w:r>
      <w:r>
        <w:rPr>
          <w:rFonts w:hint="eastAsia" w:ascii="仿宋_GB2312" w:hAnsi="仿宋_GB2312" w:eastAsia="仿宋_GB2312" w:cs="仿宋_GB2312"/>
          <w:sz w:val="24"/>
          <w:szCs w:val="24"/>
        </w:rPr>
        <w:t>45.7%。支出预算为</w:t>
      </w:r>
      <w:r>
        <w:rPr>
          <w:rFonts w:ascii="仿宋_GB2312" w:hAnsi="仿宋_GB2312" w:eastAsia="仿宋_GB2312" w:cs="仿宋_GB2312"/>
          <w:sz w:val="24"/>
          <w:szCs w:val="24"/>
        </w:rPr>
        <w:t>490.55</w:t>
      </w:r>
      <w:r>
        <w:rPr>
          <w:rFonts w:hint="eastAsia" w:ascii="仿宋_GB2312" w:hAnsi="仿宋_GB2312" w:eastAsia="仿宋_GB2312" w:cs="仿宋_GB2312"/>
          <w:sz w:val="24"/>
          <w:szCs w:val="24"/>
        </w:rPr>
        <w:t>万元，比上年</w:t>
      </w:r>
      <w:r>
        <w:rPr>
          <w:rFonts w:hint="eastAsia" w:ascii="仿宋_GB2312" w:hAnsi="宋体" w:eastAsia="仿宋_GB2312"/>
          <w:sz w:val="24"/>
          <w:szCs w:val="24"/>
          <w:lang w:eastAsia="zh-CN"/>
        </w:rPr>
        <w:t>下降</w:t>
      </w:r>
      <w:r>
        <w:rPr>
          <w:rFonts w:hint="eastAsia" w:ascii="仿宋_GB2312" w:hAnsi="仿宋_GB2312" w:eastAsia="仿宋_GB2312" w:cs="仿宋_GB2312"/>
          <w:sz w:val="24"/>
          <w:szCs w:val="24"/>
        </w:rPr>
        <w:t>45.7%，其中工资福利支出为</w:t>
      </w:r>
      <w:r>
        <w:rPr>
          <w:rFonts w:ascii="仿宋_GB2312" w:hAnsi="仿宋_GB2312" w:eastAsia="仿宋_GB2312" w:cs="仿宋_GB2312"/>
          <w:sz w:val="24"/>
          <w:szCs w:val="24"/>
        </w:rPr>
        <w:t>127.09</w:t>
      </w:r>
      <w:r>
        <w:rPr>
          <w:rFonts w:hint="eastAsia" w:ascii="仿宋_GB2312" w:hAnsi="仿宋_GB2312" w:eastAsia="仿宋_GB2312" w:cs="仿宋_GB2312"/>
          <w:sz w:val="24"/>
          <w:szCs w:val="24"/>
        </w:rPr>
        <w:t>万元，比上年增长6.51%，原因是</w:t>
      </w:r>
      <w:r>
        <w:rPr>
          <w:rFonts w:hint="eastAsia" w:ascii="仿宋_GB2312" w:hAnsi="宋体" w:eastAsia="仿宋_GB2312"/>
          <w:sz w:val="24"/>
          <w:szCs w:val="24"/>
        </w:rPr>
        <w:t>工资普调及</w:t>
      </w:r>
      <w:r>
        <w:rPr>
          <w:rFonts w:hint="eastAsia" w:ascii="仿宋_GB2312" w:hAnsi="仿宋_GB2312" w:eastAsia="仿宋_GB2312" w:cs="仿宋_GB2312"/>
          <w:sz w:val="24"/>
          <w:szCs w:val="24"/>
        </w:rPr>
        <w:t>增加教职工1人；对个人和家庭的补助为0.46万元，</w:t>
      </w:r>
      <w:r>
        <w:rPr>
          <w:rFonts w:hint="eastAsia" w:ascii="仿宋_GB2312" w:hAnsi="仿宋_GB2312" w:eastAsia="仿宋_GB2312" w:cs="仿宋_GB2312"/>
          <w:sz w:val="24"/>
          <w:szCs w:val="24"/>
          <w:lang w:eastAsia="zh-CN"/>
        </w:rPr>
        <w:t>与上年基本持平</w:t>
      </w:r>
      <w:r>
        <w:rPr>
          <w:rFonts w:hint="eastAsia" w:ascii="仿宋_GB2312" w:hAnsi="仿宋_GB2312" w:eastAsia="仿宋_GB2312" w:cs="仿宋_GB2312"/>
          <w:sz w:val="24"/>
          <w:szCs w:val="24"/>
        </w:rPr>
        <w:t>；商品服务支出为1.8</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万元,比上年</w:t>
      </w:r>
      <w:r>
        <w:rPr>
          <w:rFonts w:hint="eastAsia" w:ascii="仿宋_GB2312" w:hAnsi="仿宋_GB2312" w:eastAsia="仿宋_GB2312" w:cs="仿宋_GB2312"/>
          <w:sz w:val="24"/>
          <w:szCs w:val="24"/>
          <w:lang w:eastAsia="zh-CN"/>
        </w:rPr>
        <w:t>减少</w:t>
      </w:r>
      <w:r>
        <w:rPr>
          <w:rFonts w:hint="eastAsia" w:ascii="仿宋_GB2312" w:hAnsi="仿宋_GB2312" w:eastAsia="仿宋_GB2312" w:cs="仿宋_GB2312"/>
          <w:sz w:val="24"/>
          <w:szCs w:val="24"/>
          <w:lang w:val="en-US" w:eastAsia="zh-CN"/>
        </w:rPr>
        <w:t>256</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849万元</w:t>
      </w:r>
      <w:r>
        <w:rPr>
          <w:rFonts w:hint="eastAsia" w:ascii="仿宋_GB2312" w:hAnsi="仿宋_GB2312" w:eastAsia="仿宋_GB2312" w:cs="仿宋_GB2312"/>
          <w:sz w:val="24"/>
          <w:szCs w:val="24"/>
        </w:rPr>
        <w:t>，</w:t>
      </w:r>
      <w:r>
        <w:rPr>
          <w:rFonts w:hint="eastAsia" w:ascii="仿宋_GB2312" w:hAnsi="宋体" w:eastAsia="仿宋_GB2312"/>
          <w:sz w:val="24"/>
          <w:szCs w:val="24"/>
        </w:rPr>
        <w:t>原因是部门经济分类科目调整</w:t>
      </w:r>
      <w:r>
        <w:rPr>
          <w:rFonts w:hint="eastAsia" w:ascii="仿宋_GB2312" w:hAnsi="仿宋_GB2312" w:eastAsia="仿宋_GB2312" w:cs="仿宋_GB2312"/>
          <w:sz w:val="24"/>
          <w:szCs w:val="24"/>
        </w:rPr>
        <w:t>；项目支出为</w:t>
      </w:r>
      <w:r>
        <w:rPr>
          <w:rFonts w:hint="eastAsia" w:ascii="仿宋_GB2312" w:hAnsi="仿宋_GB2312" w:eastAsia="仿宋_GB2312" w:cs="仿宋_GB2312"/>
          <w:sz w:val="24"/>
          <w:szCs w:val="24"/>
          <w:lang w:val="en-US" w:eastAsia="zh-CN"/>
        </w:rPr>
        <w:t>361.16万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比上年下降</w:t>
      </w:r>
      <w:r>
        <w:rPr>
          <w:rFonts w:hint="eastAsia" w:ascii="仿宋_GB2312" w:hAnsi="仿宋_GB2312" w:eastAsia="仿宋_GB2312" w:cs="仿宋_GB2312"/>
          <w:sz w:val="24"/>
          <w:szCs w:val="24"/>
          <w:lang w:val="en-US" w:eastAsia="zh-CN"/>
        </w:rPr>
        <w:t>45.43%,</w:t>
      </w:r>
      <w:r>
        <w:rPr>
          <w:rFonts w:hint="eastAsia" w:ascii="仿宋_GB2312" w:hAnsi="仿宋_GB2312" w:eastAsia="仿宋_GB2312" w:cs="仿宋_GB2312"/>
          <w:sz w:val="24"/>
          <w:szCs w:val="24"/>
        </w:rPr>
        <w:t>原因是我校今年有山西省中职发展示范校及高水平重点专业、高水平实训基地项目及照明卫生达标项目。</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黑体" w:hAnsi="黑体" w:eastAsia="黑体" w:cs="黑体"/>
          <w:sz w:val="24"/>
          <w:szCs w:val="24"/>
        </w:rPr>
        <w:t>四、机关运行经费安排情况说明</w:t>
      </w:r>
    </w:p>
    <w:p>
      <w:pPr>
        <w:widowControl w:val="0"/>
        <w:wordWrap/>
        <w:adjustRightInd/>
        <w:snapToGrid/>
        <w:spacing w:line="44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2021年我单位</w:t>
      </w:r>
      <w:r>
        <w:rPr>
          <w:rFonts w:hint="eastAsia" w:ascii="仿宋_GB2312" w:hAnsi="仿宋_GB2312" w:eastAsia="仿宋_GB2312" w:cs="仿宋_GB2312"/>
          <w:bCs/>
          <w:sz w:val="24"/>
          <w:szCs w:val="24"/>
        </w:rPr>
        <w:t>机关运行经费安排为</w:t>
      </w:r>
      <w:r>
        <w:rPr>
          <w:rFonts w:hint="eastAsia" w:ascii="仿宋_GB2312" w:hAnsi="仿宋_GB2312" w:eastAsia="仿宋_GB2312" w:cs="仿宋_GB2312"/>
          <w:sz w:val="24"/>
          <w:szCs w:val="24"/>
        </w:rPr>
        <w:t>1.8</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万</w:t>
      </w:r>
      <w:r>
        <w:rPr>
          <w:rFonts w:hint="eastAsia" w:ascii="仿宋_GB2312" w:hAnsi="仿宋_GB2312" w:eastAsia="仿宋_GB2312" w:cs="仿宋_GB2312"/>
          <w:bCs/>
          <w:sz w:val="24"/>
          <w:szCs w:val="24"/>
        </w:rPr>
        <w:t>元，</w:t>
      </w:r>
      <w:r>
        <w:rPr>
          <w:rFonts w:hint="eastAsia" w:ascii="仿宋_GB2312" w:hAnsi="仿宋_GB2312" w:eastAsia="仿宋_GB2312" w:cs="仿宋_GB2312"/>
          <w:sz w:val="24"/>
          <w:szCs w:val="24"/>
        </w:rPr>
        <w:t>比上年</w:t>
      </w:r>
      <w:r>
        <w:rPr>
          <w:rFonts w:hint="eastAsia" w:ascii="仿宋_GB2312" w:hAnsi="仿宋_GB2312" w:eastAsia="仿宋_GB2312" w:cs="仿宋_GB2312"/>
          <w:sz w:val="24"/>
          <w:szCs w:val="24"/>
          <w:lang w:eastAsia="zh-CN"/>
        </w:rPr>
        <w:t>减少</w:t>
      </w:r>
      <w:r>
        <w:rPr>
          <w:rFonts w:hint="eastAsia" w:ascii="仿宋_GB2312" w:hAnsi="仿宋_GB2312" w:eastAsia="仿宋_GB2312" w:cs="仿宋_GB2312"/>
          <w:sz w:val="24"/>
          <w:szCs w:val="24"/>
          <w:lang w:val="en-US" w:eastAsia="zh-CN"/>
        </w:rPr>
        <w:t>256</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849万元</w:t>
      </w:r>
      <w:r>
        <w:rPr>
          <w:rFonts w:hint="eastAsia" w:ascii="仿宋_GB2312" w:hAnsi="仿宋_GB2312" w:eastAsia="仿宋_GB2312" w:cs="仿宋_GB2312"/>
          <w:sz w:val="24"/>
          <w:szCs w:val="24"/>
        </w:rPr>
        <w:t>，原因是</w:t>
      </w:r>
      <w:r>
        <w:rPr>
          <w:rFonts w:hint="eastAsia" w:ascii="仿宋_GB2312" w:hAnsi="宋体" w:eastAsia="仿宋_GB2312"/>
          <w:sz w:val="24"/>
          <w:szCs w:val="24"/>
        </w:rPr>
        <w:t>部门经济分类科目调整</w:t>
      </w:r>
      <w:r>
        <w:rPr>
          <w:rFonts w:hint="eastAsia" w:ascii="仿宋_GB2312" w:hAnsi="仿宋_GB2312" w:eastAsia="仿宋_GB2312" w:cs="仿宋_GB2312"/>
          <w:sz w:val="24"/>
          <w:szCs w:val="24"/>
        </w:rPr>
        <w:t>。</w:t>
      </w:r>
    </w:p>
    <w:p>
      <w:pPr>
        <w:pStyle w:val="3"/>
        <w:spacing w:line="420" w:lineRule="exact"/>
        <w:ind w:firstLine="480" w:firstLineChars="200"/>
        <w:rPr>
          <w:rFonts w:hint="eastAsia" w:ascii="黑体" w:hAnsi="黑体" w:eastAsia="黑体" w:cs="黑体"/>
          <w:sz w:val="24"/>
          <w:szCs w:val="24"/>
        </w:rPr>
      </w:pPr>
      <w:r>
        <w:rPr>
          <w:rFonts w:hint="eastAsia" w:ascii="黑体" w:hAnsi="黑体" w:eastAsia="黑体" w:cs="黑体"/>
          <w:sz w:val="24"/>
          <w:szCs w:val="24"/>
        </w:rPr>
        <w:t>五、政府采购安排情况说明</w:t>
      </w:r>
    </w:p>
    <w:p>
      <w:pPr>
        <w:spacing w:line="42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2020年我单位政府采购预算安排为3</w:t>
      </w:r>
      <w:r>
        <w:rPr>
          <w:rFonts w:hint="eastAsia" w:ascii="仿宋_GB2312" w:hAnsi="仿宋_GB2312" w:eastAsia="仿宋_GB2312" w:cs="仿宋_GB2312"/>
          <w:sz w:val="24"/>
          <w:szCs w:val="24"/>
          <w:lang w:val="en-US" w:eastAsia="zh-CN"/>
        </w:rPr>
        <w:t>16.38</w:t>
      </w:r>
      <w:r>
        <w:rPr>
          <w:rFonts w:hint="eastAsia" w:ascii="仿宋_GB2312" w:hAnsi="仿宋_GB2312" w:eastAsia="仿宋_GB2312" w:cs="仿宋_GB2312"/>
          <w:sz w:val="24"/>
          <w:szCs w:val="24"/>
        </w:rPr>
        <w:t>万元，其中：专用设备</w:t>
      </w:r>
      <w:r>
        <w:rPr>
          <w:rFonts w:hint="eastAsia" w:ascii="仿宋_GB2312" w:hAnsi="仿宋_GB2312" w:eastAsia="仿宋_GB2312" w:cs="仿宋_GB2312"/>
          <w:sz w:val="24"/>
          <w:szCs w:val="24"/>
          <w:lang w:val="en-US" w:eastAsia="zh-CN"/>
        </w:rPr>
        <w:t>141</w:t>
      </w:r>
      <w:r>
        <w:rPr>
          <w:rFonts w:hint="eastAsia" w:ascii="仿宋_GB2312" w:hAnsi="仿宋_GB2312" w:eastAsia="仿宋_GB2312" w:cs="仿宋_GB2312"/>
          <w:sz w:val="24"/>
          <w:szCs w:val="24"/>
        </w:rPr>
        <w:t>.4万元，办公用纸0.98万元，印刷费10万元，重点专业建设</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0万元，照明卫生达标</w:t>
      </w:r>
      <w:r>
        <w:rPr>
          <w:rFonts w:hint="eastAsia" w:ascii="仿宋_GB2312" w:hAnsi="仿宋_GB2312" w:eastAsia="仿宋_GB2312" w:cs="仿宋_GB2312"/>
          <w:sz w:val="24"/>
          <w:szCs w:val="24"/>
          <w:lang w:val="en-US" w:eastAsia="zh-CN"/>
        </w:rPr>
        <w:t>84</w:t>
      </w:r>
      <w:r>
        <w:rPr>
          <w:rFonts w:hint="eastAsia" w:ascii="仿宋_GB2312" w:hAnsi="仿宋_GB2312" w:eastAsia="仿宋_GB2312" w:cs="仿宋_GB2312"/>
          <w:sz w:val="24"/>
          <w:szCs w:val="24"/>
        </w:rPr>
        <w:t>万元。</w:t>
      </w:r>
    </w:p>
    <w:p>
      <w:pPr>
        <w:spacing w:line="420" w:lineRule="exact"/>
        <w:ind w:firstLine="480" w:firstLineChars="200"/>
        <w:rPr>
          <w:rFonts w:hint="eastAsia" w:ascii="仿宋_GB2312" w:hAnsi="仿宋_GB2312" w:eastAsia="仿宋_GB2312" w:cs="仿宋_GB2312"/>
          <w:sz w:val="24"/>
          <w:szCs w:val="24"/>
        </w:rPr>
      </w:pPr>
      <w:r>
        <w:rPr>
          <w:rFonts w:hint="eastAsia" w:ascii="黑体" w:hAnsi="黑体" w:eastAsia="黑体" w:cs="黑体"/>
          <w:sz w:val="24"/>
          <w:szCs w:val="24"/>
        </w:rPr>
        <w:t>六、专业性较强的名词解释</w:t>
      </w:r>
    </w:p>
    <w:p>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2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1、中职教育国家助学金：中等职业教育全日制正式学籍一、二年级在校涉农专业学生和非涉农专业家庭经济困难学生发放国家助学金。</w:t>
      </w:r>
    </w:p>
    <w:p>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2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2、中等职业学校免学费补助是第一、二、三学年因免除学费导致公办学校运转出现的经费缺口，由财政按照享受免学费政策学生人数和免学费标准补助学校。</w:t>
      </w:r>
    </w:p>
    <w:p>
      <w:pPr>
        <w:pStyle w:val="2"/>
        <w:widowControl/>
        <w:shd w:val="clear" w:color="auto" w:fill="FFFFFF"/>
        <w:spacing w:line="420" w:lineRule="exact"/>
        <w:ind w:firstLine="480" w:firstLineChars="200"/>
        <w:rPr>
          <w:rFonts w:hint="eastAsia" w:ascii="黑体" w:hAnsi="黑体" w:eastAsia="黑体" w:cs="黑体"/>
          <w:sz w:val="24"/>
          <w:szCs w:val="24"/>
          <w:shd w:val="clear" w:color="auto" w:fill="FFFFFF"/>
        </w:rPr>
      </w:pPr>
      <w:r>
        <w:rPr>
          <w:rFonts w:hint="eastAsia" w:ascii="黑体" w:hAnsi="黑体" w:eastAsia="黑体" w:cs="黑体"/>
          <w:sz w:val="24"/>
          <w:szCs w:val="24"/>
        </w:rPr>
        <w:t>七、</w:t>
      </w:r>
      <w:r>
        <w:rPr>
          <w:rFonts w:hint="eastAsia" w:ascii="黑体" w:hAnsi="黑体" w:eastAsia="黑体" w:cs="黑体"/>
          <w:sz w:val="24"/>
          <w:szCs w:val="24"/>
          <w:shd w:val="clear" w:color="auto" w:fill="FFFFFF"/>
        </w:rPr>
        <w:t>“三公”经费增减变化情况</w:t>
      </w:r>
    </w:p>
    <w:p>
      <w:pPr>
        <w:pStyle w:val="3"/>
        <w:widowControl/>
        <w:spacing w:line="420" w:lineRule="exact"/>
        <w:ind w:firstLine="480" w:firstLineChars="200"/>
        <w:rPr>
          <w:rFonts w:hint="eastAsia" w:ascii="仿宋_GB2312" w:hAnsi="仿宋_GB2312" w:eastAsia="仿宋_GB2312" w:cs="仿宋_GB2312"/>
          <w:kern w:val="44"/>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pStyle w:val="2"/>
        <w:widowControl/>
        <w:shd w:val="clear" w:color="auto" w:fill="FFFFFF"/>
        <w:spacing w:line="420" w:lineRule="exact"/>
        <w:ind w:firstLine="480" w:firstLineChars="200"/>
        <w:rPr>
          <w:rFonts w:hint="eastAsia" w:ascii="黑体" w:hAnsi="黑体" w:eastAsia="黑体" w:cs="黑体"/>
          <w:sz w:val="24"/>
          <w:szCs w:val="24"/>
          <w:shd w:val="clear" w:color="auto" w:fill="FFFFFF"/>
        </w:rPr>
      </w:pPr>
      <w:r>
        <w:rPr>
          <w:rFonts w:hint="eastAsia" w:ascii="黑体" w:hAnsi="黑体" w:eastAsia="黑体" w:cs="黑体"/>
          <w:sz w:val="24"/>
          <w:szCs w:val="24"/>
          <w:shd w:val="clear" w:color="auto" w:fill="FFFFFF"/>
        </w:rPr>
        <w:t>八、国有资产占用情况说明</w:t>
      </w:r>
    </w:p>
    <w:p>
      <w:pPr>
        <w:spacing w:line="42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截止2020年12月31日，我单位资产总额5199.07万元，其中流动资产147.7</w:t>
      </w:r>
      <w:r>
        <w:rPr>
          <w:rFonts w:hint="eastAsia" w:ascii="仿宋_GB2312" w:hAnsi="仿宋_GB2312" w:eastAsia="仿宋_GB2312" w:cs="仿宋_GB2312"/>
          <w:sz w:val="24"/>
          <w:szCs w:val="24"/>
          <w:lang w:eastAsia="zh-CN"/>
        </w:rPr>
        <w:t>万</w:t>
      </w:r>
      <w:bookmarkStart w:id="0" w:name="_GoBack"/>
      <w:bookmarkEnd w:id="0"/>
      <w:r>
        <w:rPr>
          <w:rFonts w:hint="eastAsia" w:ascii="仿宋_GB2312" w:hAnsi="仿宋_GB2312" w:eastAsia="仿宋_GB2312" w:cs="仿宋_GB2312"/>
          <w:sz w:val="24"/>
          <w:szCs w:val="24"/>
        </w:rPr>
        <w:t>元；固定资产原值6972.43万元，累计折旧2204.48万元，固定资产净值为4767.95万元，在建工程0万元，无形资产321.06万元。固定资产当中，房屋构筑物5836.55万元，汽车0辆0万元，单价200万元以上大型设备价值0万元，其他固定资产1135.88万元。与上年相比，本年固定资产原值增长216.09万元，原因是本年度新增资产及累计折旧增加。</w:t>
      </w:r>
    </w:p>
    <w:p>
      <w:pPr>
        <w:spacing w:line="360" w:lineRule="auto"/>
        <w:ind w:left="105" w:leftChars="50"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2021年预计新增采购固定资产</w:t>
      </w:r>
      <w:r>
        <w:rPr>
          <w:rFonts w:hint="eastAsia" w:ascii="仿宋_GB2312" w:hAnsi="仿宋_GB2312" w:eastAsia="仿宋_GB2312" w:cs="仿宋_GB2312"/>
          <w:sz w:val="24"/>
          <w:szCs w:val="24"/>
          <w:lang w:val="en-US" w:eastAsia="zh-CN"/>
        </w:rPr>
        <w:t>221</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万元，其中专用设备购置</w:t>
      </w:r>
      <w:r>
        <w:rPr>
          <w:rFonts w:hint="eastAsia" w:ascii="仿宋_GB2312" w:hAnsi="仿宋_GB2312" w:eastAsia="仿宋_GB2312" w:cs="仿宋_GB2312"/>
          <w:sz w:val="24"/>
          <w:szCs w:val="24"/>
          <w:lang w:val="en-US" w:eastAsia="zh-CN"/>
        </w:rPr>
        <w:t>160</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eastAsia="zh-CN"/>
        </w:rPr>
        <w:t>，采暖锅炉</w:t>
      </w:r>
      <w:r>
        <w:rPr>
          <w:rFonts w:hint="eastAsia" w:ascii="仿宋_GB2312" w:hAnsi="仿宋_GB2312" w:eastAsia="仿宋_GB2312" w:cs="仿宋_GB2312"/>
          <w:sz w:val="24"/>
          <w:szCs w:val="24"/>
          <w:lang w:val="en-US" w:eastAsia="zh-CN"/>
        </w:rPr>
        <w:t>50万元，监控设备5万元，空调6.4万元。</w:t>
      </w:r>
    </w:p>
    <w:p>
      <w:pPr>
        <w:pStyle w:val="3"/>
        <w:widowControl/>
        <w:spacing w:line="420" w:lineRule="exact"/>
        <w:ind w:firstLine="480" w:firstLineChars="200"/>
        <w:rPr>
          <w:rFonts w:hint="eastAsia" w:ascii="黑体" w:hAnsi="黑体" w:eastAsia="黑体" w:cs="黑体"/>
          <w:sz w:val="24"/>
          <w:szCs w:val="24"/>
          <w:shd w:val="clear" w:color="auto" w:fill="FFFFFF"/>
        </w:rPr>
      </w:pPr>
      <w:r>
        <w:rPr>
          <w:rFonts w:hint="eastAsia" w:ascii="黑体" w:hAnsi="黑体" w:eastAsia="黑体" w:cs="黑体"/>
          <w:sz w:val="24"/>
          <w:szCs w:val="24"/>
          <w:shd w:val="clear" w:color="auto" w:fill="FFFFFF"/>
        </w:rPr>
        <w:t>九、重点项目预算的绩效目标情况说明</w:t>
      </w:r>
    </w:p>
    <w:p>
      <w:pPr>
        <w:spacing w:line="42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2021年度我单位共</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个项目设定绩效目标，共</w:t>
      </w:r>
      <w:r>
        <w:rPr>
          <w:rFonts w:hint="eastAsia" w:ascii="仿宋_GB2312" w:hAnsi="仿宋_GB2312" w:eastAsia="仿宋_GB2312" w:cs="仿宋_GB2312"/>
          <w:sz w:val="24"/>
          <w:szCs w:val="24"/>
          <w:lang w:val="en-US" w:eastAsia="zh-CN"/>
        </w:rPr>
        <w:t>84</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eastAsia="zh-CN"/>
        </w:rPr>
        <w:t>主要用于</w:t>
      </w:r>
      <w:r>
        <w:rPr>
          <w:rFonts w:hint="eastAsia" w:ascii="仿宋_GB2312" w:hAnsi="仿宋_GB2312" w:eastAsia="仿宋_GB2312" w:cs="仿宋_GB2312"/>
          <w:sz w:val="24"/>
          <w:szCs w:val="24"/>
        </w:rPr>
        <w:t>照明卫生达标建设8</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万元。</w:t>
      </w:r>
    </w:p>
    <w:p>
      <w:pPr>
        <w:spacing w:line="420" w:lineRule="exact"/>
        <w:ind w:firstLine="480" w:firstLineChars="200"/>
        <w:rPr>
          <w:rFonts w:hint="eastAsia" w:ascii="仿宋_GB2312" w:hAnsi="仿宋_GB2312" w:eastAsia="仿宋_GB2312" w:cs="仿宋_GB2312"/>
          <w:sz w:val="24"/>
          <w:szCs w:val="24"/>
        </w:rPr>
      </w:pPr>
    </w:p>
    <w:p>
      <w:pPr>
        <w:spacing w:line="42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单位负责人：戈立强</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财务负责人：智</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鸿</w:t>
      </w:r>
      <w:r>
        <w:rPr>
          <w:rFonts w:hint="eastAsia" w:ascii="仿宋_GB2312" w:hAnsi="仿宋_GB2312" w:eastAsia="仿宋_GB2312" w:cs="仿宋_GB2312"/>
          <w:sz w:val="24"/>
          <w:szCs w:val="24"/>
        </w:rPr>
        <w:tab/>
      </w:r>
    </w:p>
    <w:p>
      <w:pPr>
        <w:spacing w:line="420" w:lineRule="exact"/>
        <w:ind w:firstLine="480" w:firstLineChars="200"/>
        <w:rPr>
          <w:b/>
          <w:bCs/>
        </w:rPr>
      </w:pPr>
      <w:r>
        <w:rPr>
          <w:rFonts w:hint="eastAsia" w:ascii="仿宋_GB2312" w:hAnsi="仿宋_GB2312" w:eastAsia="仿宋_GB2312" w:cs="仿宋_GB2312"/>
          <w:sz w:val="24"/>
          <w:szCs w:val="24"/>
        </w:rPr>
        <w:t>填</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表</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人：陈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磊</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电话：0359-8158971</w:t>
      </w:r>
    </w:p>
    <w:p>
      <w:pPr>
        <w:widowControl w:val="0"/>
        <w:wordWrap/>
        <w:adjustRightInd/>
        <w:snapToGrid/>
        <w:spacing w:line="40" w:lineRule="exact"/>
        <w:ind w:left="0" w:leftChars="0" w:right="0" w:firstLine="0" w:firstLineChars="0"/>
        <w:jc w:val="both"/>
        <w:textAlignment w:val="auto"/>
        <w:outlineLvl w:val="9"/>
        <w:rPr>
          <w:b/>
          <w:bCs/>
        </w:rPr>
        <w:sectPr>
          <w:pgSz w:w="11906" w:h="16838"/>
          <w:pgMar w:top="1984" w:right="1474" w:bottom="1644" w:left="1474"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4" w:charSpace="0"/>
        </w:sectPr>
      </w:pPr>
    </w:p>
    <w:p>
      <w:pPr>
        <w:widowControl w:val="0"/>
        <w:wordWrap/>
        <w:adjustRightInd/>
        <w:snapToGrid/>
        <w:spacing w:line="40" w:lineRule="exact"/>
        <w:ind w:left="0" w:leftChars="0" w:right="0" w:firstLine="0" w:firstLineChars="0"/>
        <w:jc w:val="both"/>
        <w:textAlignment w:val="auto"/>
        <w:outlineLvl w:val="9"/>
        <w:rPr>
          <w:b/>
          <w:bCs/>
        </w:rPr>
      </w:pP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90686"/>
    <w:rsid w:val="00234169"/>
    <w:rsid w:val="00246DC4"/>
    <w:rsid w:val="0BF906B3"/>
    <w:rsid w:val="0ED3560D"/>
    <w:rsid w:val="0F3E36B6"/>
    <w:rsid w:val="13457127"/>
    <w:rsid w:val="168615A9"/>
    <w:rsid w:val="195C6E4A"/>
    <w:rsid w:val="1A694B6A"/>
    <w:rsid w:val="1ABF23BC"/>
    <w:rsid w:val="1B0B17CF"/>
    <w:rsid w:val="1E2B5508"/>
    <w:rsid w:val="21787965"/>
    <w:rsid w:val="24674A7D"/>
    <w:rsid w:val="276B0E1F"/>
    <w:rsid w:val="27EE5511"/>
    <w:rsid w:val="2A4A105E"/>
    <w:rsid w:val="2C090686"/>
    <w:rsid w:val="37077D6C"/>
    <w:rsid w:val="3BD317B6"/>
    <w:rsid w:val="43236F74"/>
    <w:rsid w:val="4E195985"/>
    <w:rsid w:val="5073471F"/>
    <w:rsid w:val="529B7A3A"/>
    <w:rsid w:val="54040354"/>
    <w:rsid w:val="56AD65C8"/>
    <w:rsid w:val="5B017F67"/>
    <w:rsid w:val="5D8A3D08"/>
    <w:rsid w:val="6B8D64B4"/>
    <w:rsid w:val="6D582400"/>
    <w:rsid w:val="70237527"/>
    <w:rsid w:val="71E54B77"/>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HTML Preformatted"/>
    <w:basedOn w:val="1"/>
    <w:uiPriority w:val="0"/>
    <w:pPr>
      <w:ind w:firstLine="0" w:firstLineChars="0"/>
    </w:pPr>
    <w:rPr>
      <w:rFonts w:ascii="宋体" w:hAnsi="宋体" w:cs="宋体"/>
    </w:rPr>
  </w:style>
  <w:style w:type="paragraph" w:styleId="3">
    <w:name w:val="Normal (Web)"/>
    <w:basedOn w:val="1"/>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2021-04-27T09:06:46Z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F6E57E942FF64343A564E4260C65FC13</vt:lpwstr>
  </property>
</Properties>
</file>