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440" w:lineRule="exact"/>
        <w:ind w:left="0" w:leftChars="0" w:right="0" w:firstLine="0" w:firstLineChars="0"/>
        <w:jc w:val="center"/>
        <w:textAlignment w:val="auto"/>
        <w:outlineLvl w:val="9"/>
        <w:rPr>
          <w:rFonts w:hint="eastAsia" w:ascii="方正小标宋简体" w:hAnsi="宋体" w:eastAsia="方正小标宋简体"/>
          <w:sz w:val="36"/>
          <w:szCs w:val="36"/>
          <w:lang w:eastAsia="zh-CN"/>
        </w:rPr>
      </w:pPr>
      <w:r>
        <w:rPr>
          <w:rFonts w:hint="eastAsia" w:ascii="方正小标宋简体" w:hAnsi="宋体" w:eastAsia="方正小标宋简体"/>
          <w:sz w:val="36"/>
          <w:szCs w:val="36"/>
          <w:lang w:eastAsia="zh-CN"/>
        </w:rPr>
        <w:t>永济市城北街道中心学校</w:t>
      </w:r>
    </w:p>
    <w:p>
      <w:pPr>
        <w:widowControl w:val="0"/>
        <w:wordWrap/>
        <w:adjustRightInd/>
        <w:snapToGrid/>
        <w:spacing w:line="440" w:lineRule="exact"/>
        <w:ind w:left="0" w:leftChars="0" w:right="0" w:firstLine="0" w:firstLineChars="0"/>
        <w:jc w:val="center"/>
        <w:textAlignment w:val="auto"/>
        <w:outlineLvl w:val="9"/>
        <w:rPr>
          <w:rFonts w:ascii="方正小标宋简体" w:hAnsi="宋体" w:eastAsia="方正小标宋简体"/>
          <w:sz w:val="36"/>
          <w:szCs w:val="36"/>
        </w:rPr>
      </w:pPr>
      <w:r>
        <w:rPr>
          <w:rFonts w:hint="eastAsia" w:ascii="方正小标宋简体" w:hAnsi="宋体" w:eastAsia="方正小标宋简体"/>
          <w:sz w:val="36"/>
          <w:szCs w:val="36"/>
        </w:rPr>
        <w:t>20</w:t>
      </w:r>
      <w:r>
        <w:rPr>
          <w:rFonts w:ascii="方正小标宋简体" w:hAnsi="宋体" w:eastAsia="方正小标宋简体"/>
          <w:sz w:val="36"/>
          <w:szCs w:val="36"/>
        </w:rPr>
        <w:t>2</w:t>
      </w:r>
      <w:r>
        <w:rPr>
          <w:rFonts w:hint="eastAsia" w:ascii="方正小标宋简体" w:hAnsi="宋体" w:eastAsia="方正小标宋简体"/>
          <w:sz w:val="36"/>
          <w:szCs w:val="36"/>
          <w:lang w:val="en-US" w:eastAsia="zh-CN"/>
        </w:rPr>
        <w:t>1</w:t>
      </w:r>
      <w:r>
        <w:rPr>
          <w:rFonts w:hint="eastAsia" w:ascii="方正小标宋简体" w:hAnsi="宋体" w:eastAsia="方正小标宋简体"/>
          <w:sz w:val="36"/>
          <w:szCs w:val="36"/>
        </w:rPr>
        <w:t>年部门预算</w:t>
      </w:r>
      <w:r>
        <w:rPr>
          <w:rFonts w:hint="eastAsia" w:eastAsia="方正小标宋简体"/>
          <w:sz w:val="36"/>
          <w:szCs w:val="36"/>
          <w:lang w:eastAsia="zh-CN"/>
        </w:rPr>
        <w:t>公开</w:t>
      </w:r>
      <w:r>
        <w:rPr>
          <w:rFonts w:hint="eastAsia" w:ascii="方正小标宋简体" w:hAnsi="宋体" w:eastAsia="方正小标宋简体"/>
          <w:sz w:val="36"/>
          <w:szCs w:val="36"/>
        </w:rPr>
        <w:t>说明</w:t>
      </w:r>
    </w:p>
    <w:p>
      <w:pPr>
        <w:widowControl w:val="0"/>
        <w:wordWrap/>
        <w:adjustRightInd/>
        <w:snapToGrid/>
        <w:spacing w:line="440" w:lineRule="exact"/>
        <w:ind w:left="0" w:leftChars="0" w:right="0" w:firstLine="480" w:firstLineChars="200"/>
        <w:jc w:val="center"/>
        <w:textAlignment w:val="auto"/>
        <w:outlineLvl w:val="9"/>
        <w:rPr>
          <w:rFonts w:ascii="宋体"/>
          <w:sz w:val="24"/>
          <w:szCs w:val="24"/>
        </w:rPr>
      </w:pPr>
    </w:p>
    <w:p>
      <w:pPr>
        <w:pStyle w:val="5"/>
        <w:widowControl w:val="0"/>
        <w:wordWrap/>
        <w:adjustRightInd/>
        <w:snapToGrid/>
        <w:spacing w:line="42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一、单位主要职责及机构设置情况</w:t>
      </w:r>
    </w:p>
    <w:p>
      <w:pPr>
        <w:widowControl w:val="0"/>
        <w:numPr>
          <w:ilvl w:val="0"/>
          <w:numId w:val="1"/>
        </w:numPr>
        <w:wordWrap/>
        <w:adjustRightInd/>
        <w:snapToGrid/>
        <w:spacing w:line="420" w:lineRule="exact"/>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基本情况</w:t>
      </w:r>
    </w:p>
    <w:p>
      <w:pPr>
        <w:widowControl w:val="0"/>
        <w:wordWrap/>
        <w:adjustRightInd/>
        <w:snapToGrid/>
        <w:spacing w:line="420" w:lineRule="exact"/>
        <w:ind w:left="0" w:leftChars="0" w:right="0" w:firstLine="480" w:firstLineChars="200"/>
        <w:jc w:val="left"/>
        <w:textAlignment w:val="auto"/>
        <w:outlineLvl w:val="9"/>
        <w:rPr>
          <w:rFonts w:hint="default" w:ascii="宋体" w:hAnsi="宋体" w:eastAsia="仿宋_GB2312"/>
          <w:sz w:val="24"/>
          <w:szCs w:val="24"/>
          <w:lang w:val="en-US" w:eastAsia="zh-CN"/>
        </w:rPr>
      </w:pPr>
      <w:r>
        <w:rPr>
          <w:rFonts w:hint="eastAsia" w:ascii="仿宋_GB2312" w:hAnsi="宋体" w:eastAsia="仿宋_GB2312"/>
          <w:sz w:val="24"/>
          <w:szCs w:val="24"/>
          <w:lang w:eastAsia="zh-CN"/>
        </w:rPr>
        <w:t>永济市城北中心校</w:t>
      </w:r>
      <w:r>
        <w:rPr>
          <w:rFonts w:hint="eastAsia" w:ascii="仿宋_GB2312" w:hAnsi="宋体" w:eastAsia="仿宋_GB2312"/>
          <w:sz w:val="24"/>
          <w:szCs w:val="24"/>
        </w:rPr>
        <w:t>是参照公务员管理全额事业单位，位于</w:t>
      </w:r>
      <w:r>
        <w:rPr>
          <w:rFonts w:hint="eastAsia" w:ascii="仿宋_GB2312" w:hAnsi="宋体" w:eastAsia="仿宋_GB2312"/>
          <w:sz w:val="24"/>
          <w:szCs w:val="24"/>
          <w:lang w:eastAsia="zh-CN"/>
        </w:rPr>
        <w:t>永济市城北街道七社村七社学校</w:t>
      </w:r>
      <w:r>
        <w:rPr>
          <w:rFonts w:hint="eastAsia" w:ascii="仿宋_GB2312" w:hAnsi="宋体" w:eastAsia="仿宋_GB2312"/>
          <w:sz w:val="24"/>
          <w:szCs w:val="24"/>
        </w:rPr>
        <w:t>，编制</w:t>
      </w:r>
      <w:r>
        <w:rPr>
          <w:rFonts w:hint="eastAsia" w:ascii="仿宋_GB2312" w:hAnsi="宋体" w:eastAsia="仿宋_GB2312"/>
          <w:color w:val="auto"/>
          <w:sz w:val="24"/>
          <w:szCs w:val="24"/>
          <w:lang w:val="en-US" w:eastAsia="zh-CN"/>
        </w:rPr>
        <w:t>196</w:t>
      </w:r>
      <w:r>
        <w:rPr>
          <w:rFonts w:hint="eastAsia" w:ascii="仿宋_GB2312" w:hAnsi="宋体" w:eastAsia="仿宋_GB2312"/>
          <w:sz w:val="24"/>
          <w:szCs w:val="24"/>
        </w:rPr>
        <w:t>人，实有人数</w:t>
      </w:r>
      <w:r>
        <w:rPr>
          <w:rFonts w:hint="eastAsia" w:ascii="仿宋_GB2312" w:hAnsi="宋体" w:eastAsia="仿宋_GB2312"/>
          <w:sz w:val="24"/>
          <w:szCs w:val="24"/>
          <w:lang w:val="en-US" w:eastAsia="zh-CN"/>
        </w:rPr>
        <w:t>191</w:t>
      </w:r>
      <w:r>
        <w:rPr>
          <w:rFonts w:hint="eastAsia" w:ascii="仿宋_GB2312" w:hAnsi="宋体" w:eastAsia="仿宋_GB2312"/>
          <w:sz w:val="24"/>
          <w:szCs w:val="24"/>
        </w:rPr>
        <w:t>人，退休人员</w:t>
      </w:r>
      <w:r>
        <w:rPr>
          <w:rFonts w:hint="eastAsia" w:ascii="仿宋_GB2312" w:hAnsi="宋体" w:eastAsia="仿宋_GB2312"/>
          <w:sz w:val="24"/>
          <w:szCs w:val="24"/>
          <w:lang w:val="en-US" w:eastAsia="zh-CN"/>
        </w:rPr>
        <w:t>157</w:t>
      </w:r>
      <w:r>
        <w:rPr>
          <w:rFonts w:hint="eastAsia" w:ascii="仿宋_GB2312" w:hAnsi="宋体" w:eastAsia="仿宋_GB2312"/>
          <w:sz w:val="24"/>
          <w:szCs w:val="24"/>
        </w:rPr>
        <w:t>人</w:t>
      </w:r>
      <w:r>
        <w:rPr>
          <w:rFonts w:hint="eastAsia" w:ascii="仿宋_GB2312" w:hAnsi="宋体" w:eastAsia="仿宋_GB2312"/>
          <w:sz w:val="24"/>
          <w:szCs w:val="24"/>
          <w:lang w:eastAsia="zh-CN"/>
        </w:rPr>
        <w:t>，学生</w:t>
      </w:r>
      <w:r>
        <w:rPr>
          <w:rFonts w:hint="eastAsia" w:ascii="仿宋_GB2312" w:hAnsi="宋体" w:eastAsia="仿宋_GB2312"/>
          <w:sz w:val="24"/>
          <w:szCs w:val="24"/>
          <w:lang w:val="en-US" w:eastAsia="zh-CN"/>
        </w:rPr>
        <w:t>1647人。</w:t>
      </w:r>
    </w:p>
    <w:p>
      <w:pPr>
        <w:pStyle w:val="5"/>
        <w:widowControl w:val="0"/>
        <w:numPr>
          <w:ilvl w:val="0"/>
          <w:numId w:val="1"/>
        </w:numPr>
        <w:tabs>
          <w:tab w:val="left" w:pos="988"/>
          <w:tab w:val="left" w:pos="1093"/>
          <w:tab w:val="left" w:pos="1153"/>
          <w:tab w:val="left" w:pos="1168"/>
        </w:tabs>
        <w:wordWrap/>
        <w:adjustRightInd/>
        <w:snapToGrid/>
        <w:spacing w:line="420" w:lineRule="exact"/>
        <w:ind w:left="0" w:leftChars="0" w:right="0" w:firstLine="480" w:firstLineChars="200"/>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主要职责</w:t>
      </w:r>
    </w:p>
    <w:p>
      <w:pPr>
        <w:pStyle w:val="5"/>
        <w:widowControl w:val="0"/>
        <w:numPr>
          <w:ilvl w:val="0"/>
          <w:numId w:val="0"/>
        </w:numPr>
        <w:tabs>
          <w:tab w:val="left" w:pos="988"/>
          <w:tab w:val="left" w:pos="1093"/>
          <w:tab w:val="left" w:pos="1153"/>
          <w:tab w:val="left" w:pos="1168"/>
        </w:tabs>
        <w:wordWrap/>
        <w:adjustRightInd/>
        <w:snapToGrid/>
        <w:spacing w:line="420" w:lineRule="exact"/>
        <w:ind w:left="0" w:leftChars="0" w:right="0" w:firstLine="480" w:firstLineChars="200"/>
        <w:textAlignment w:val="auto"/>
        <w:outlineLvl w:val="9"/>
        <w:rPr>
          <w:rFonts w:ascii="楷体_GB2312" w:hAnsi="楷体_GB2312" w:eastAsia="楷体_GB2312" w:cs="楷体_GB2312"/>
          <w:sz w:val="24"/>
          <w:szCs w:val="24"/>
        </w:rPr>
      </w:pPr>
      <w:r>
        <w:rPr>
          <w:rFonts w:hint="eastAsia" w:ascii="仿宋_GB2312" w:hAnsi="仿宋_GB2312" w:eastAsia="仿宋_GB2312" w:cs="仿宋_GB2312"/>
          <w:sz w:val="24"/>
          <w:szCs w:val="24"/>
        </w:rPr>
        <w:t>为辖区学前及小学教育阶段学生提供教育教学服务。</w:t>
      </w:r>
    </w:p>
    <w:p>
      <w:pPr>
        <w:widowControl w:val="0"/>
        <w:numPr>
          <w:ilvl w:val="0"/>
          <w:numId w:val="2"/>
        </w:numPr>
        <w:wordWrap/>
        <w:adjustRightInd/>
        <w:snapToGrid/>
        <w:spacing w:line="420" w:lineRule="exact"/>
        <w:ind w:left="0" w:leftChars="0" w:right="0" w:firstLine="480" w:firstLineChars="200"/>
        <w:jc w:val="left"/>
        <w:textAlignment w:val="auto"/>
        <w:outlineLvl w:val="9"/>
        <w:rPr>
          <w:rFonts w:ascii="楷体_GB2312" w:hAnsi="楷体_GB2312" w:eastAsia="楷体_GB2312" w:cs="楷体_GB2312"/>
          <w:sz w:val="24"/>
          <w:szCs w:val="24"/>
        </w:rPr>
      </w:pPr>
      <w:r>
        <w:rPr>
          <w:rFonts w:hint="eastAsia" w:ascii="楷体_GB2312" w:hAnsi="楷体_GB2312" w:eastAsia="楷体_GB2312" w:cs="楷体_GB2312"/>
          <w:sz w:val="24"/>
          <w:szCs w:val="24"/>
        </w:rPr>
        <w:t>机构设置情况</w:t>
      </w:r>
    </w:p>
    <w:p>
      <w:pPr>
        <w:widowControl w:val="0"/>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我单位机构设为中心校下属9所小学和4所幼儿园。为辖区教育教学提供服务，进行教学管理、业务指导。我中心校办校宗旨是实施农村学前教育和小学教育，培养高素质的学生。</w:t>
      </w:r>
    </w:p>
    <w:p>
      <w:pPr>
        <w:pStyle w:val="7"/>
        <w:widowControl w:val="0"/>
        <w:wordWrap/>
        <w:adjustRightInd/>
        <w:snapToGrid/>
        <w:spacing w:line="420" w:lineRule="exact"/>
        <w:ind w:left="0" w:leftChars="0" w:right="0" w:firstLine="480" w:firstLineChars="200"/>
        <w:textAlignment w:val="auto"/>
        <w:outlineLvl w:val="9"/>
        <w:rPr>
          <w:rFonts w:hint="eastAsia" w:ascii="黑体" w:hAnsi="黑体" w:eastAsia="黑体" w:cs="黑体"/>
          <w:b w:val="0"/>
          <w:bCs/>
          <w:color w:val="0000FF"/>
          <w:sz w:val="24"/>
          <w:szCs w:val="24"/>
        </w:rPr>
      </w:pPr>
      <w:r>
        <w:rPr>
          <w:rFonts w:hint="eastAsia" w:ascii="黑体" w:hAnsi="黑体" w:eastAsia="黑体" w:cs="黑体"/>
          <w:bCs/>
          <w:sz w:val="24"/>
          <w:szCs w:val="24"/>
        </w:rPr>
        <w:t>二、</w:t>
      </w:r>
      <w:r>
        <w:rPr>
          <w:rFonts w:hint="eastAsia" w:ascii="黑体" w:hAnsi="黑体" w:eastAsia="黑体" w:cs="黑体"/>
          <w:b w:val="0"/>
          <w:bCs/>
          <w:sz w:val="24"/>
          <w:szCs w:val="24"/>
        </w:rPr>
        <w:t>本级预算情况</w:t>
      </w:r>
    </w:p>
    <w:p>
      <w:pPr>
        <w:widowControl w:val="0"/>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kern w:val="2"/>
          <w:sz w:val="24"/>
          <w:szCs w:val="24"/>
          <w:lang w:val="en-US" w:eastAsia="zh-CN" w:bidi="ar-SA"/>
        </w:rPr>
        <w:t>我单位为全额事业单位，属于永济市教育局二级独立核算单位。2021年我单位预算收入安排为2254.22万元，全部为财政拨款。根据收支平衡的原则，预算支出安排为2254.22万元（其中工资福利支出为1882.03万元，对个人和家庭的补助为101.57万元，</w:t>
      </w:r>
      <w:r>
        <w:rPr>
          <w:rFonts w:hint="eastAsia" w:ascii="仿宋_GB2312" w:hAnsi="仿宋_GB2312" w:eastAsia="仿宋_GB2312" w:cs="仿宋_GB2312"/>
          <w:color w:val="auto"/>
          <w:kern w:val="2"/>
          <w:sz w:val="24"/>
          <w:szCs w:val="24"/>
          <w:lang w:val="en-US" w:eastAsia="zh-CN" w:bidi="ar-SA"/>
        </w:rPr>
        <w:t>商品服务支出为27.6万元，项目支出为243.02万元）。</w:t>
      </w:r>
    </w:p>
    <w:p>
      <w:pPr>
        <w:pStyle w:val="5"/>
        <w:widowControl w:val="0"/>
        <w:wordWrap/>
        <w:adjustRightInd/>
        <w:snapToGrid/>
        <w:spacing w:line="42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三、预算收支增减变化及情况说明</w:t>
      </w:r>
    </w:p>
    <w:p>
      <w:pPr>
        <w:widowControl w:val="0"/>
        <w:wordWrap/>
        <w:adjustRightInd/>
        <w:snapToGrid/>
        <w:spacing w:line="420" w:lineRule="exact"/>
        <w:ind w:left="0" w:leftChars="0" w:right="0" w:firstLine="480" w:firstLineChars="200"/>
        <w:textAlignment w:val="auto"/>
        <w:outlineLvl w:val="9"/>
        <w:rPr>
          <w:rFonts w:ascii="宋体" w:hAnsi="宋体" w:eastAsia="仿宋_GB2312"/>
          <w:b/>
          <w:sz w:val="24"/>
          <w:szCs w:val="24"/>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年收入预算为</w:t>
      </w:r>
      <w:r>
        <w:rPr>
          <w:rFonts w:hint="eastAsia" w:ascii="仿宋_GB2312" w:hAnsi="仿宋_GB2312" w:eastAsia="仿宋_GB2312" w:cs="仿宋_GB2312"/>
          <w:kern w:val="2"/>
          <w:sz w:val="24"/>
          <w:szCs w:val="24"/>
          <w:lang w:val="en-US" w:eastAsia="zh-CN" w:bidi="ar-SA"/>
        </w:rPr>
        <w:t>2254.22</w:t>
      </w:r>
      <w:r>
        <w:rPr>
          <w:rFonts w:hint="eastAsia" w:ascii="仿宋_GB2312" w:hAnsi="宋体" w:eastAsia="仿宋_GB2312"/>
          <w:sz w:val="24"/>
          <w:szCs w:val="24"/>
          <w:lang w:eastAsia="zh-CN"/>
        </w:rPr>
        <w:t>万元</w:t>
      </w:r>
      <w:r>
        <w:rPr>
          <w:rFonts w:hint="eastAsia" w:ascii="仿宋_GB2312" w:hAnsi="宋体" w:eastAsia="仿宋_GB2312"/>
          <w:sz w:val="24"/>
          <w:szCs w:val="24"/>
        </w:rPr>
        <w:t>，比上年</w:t>
      </w:r>
      <w:r>
        <w:rPr>
          <w:rFonts w:hint="eastAsia" w:ascii="仿宋_GB2312" w:hAnsi="宋体" w:eastAsia="仿宋_GB2312"/>
          <w:sz w:val="24"/>
          <w:szCs w:val="24"/>
          <w:lang w:eastAsia="zh-CN"/>
        </w:rPr>
        <w:t>增长</w:t>
      </w:r>
      <w:r>
        <w:rPr>
          <w:rFonts w:hint="eastAsia" w:ascii="仿宋_GB2312" w:hAnsi="宋体" w:eastAsia="仿宋_GB2312"/>
          <w:sz w:val="24"/>
          <w:szCs w:val="24"/>
          <w:lang w:val="en-US" w:eastAsia="zh-CN"/>
        </w:rPr>
        <w:t>2.14%</w:t>
      </w:r>
      <w:r>
        <w:rPr>
          <w:rFonts w:hint="eastAsia" w:ascii="仿宋_GB2312" w:hAnsi="宋体" w:eastAsia="仿宋_GB2312"/>
          <w:sz w:val="24"/>
          <w:szCs w:val="24"/>
        </w:rPr>
        <w:t>。支出预算为</w:t>
      </w:r>
      <w:r>
        <w:rPr>
          <w:rFonts w:hint="eastAsia" w:ascii="仿宋_GB2312" w:hAnsi="仿宋_GB2312" w:eastAsia="仿宋_GB2312" w:cs="仿宋_GB2312"/>
          <w:kern w:val="2"/>
          <w:sz w:val="24"/>
          <w:szCs w:val="24"/>
          <w:lang w:val="en-US" w:eastAsia="zh-CN" w:bidi="ar-SA"/>
        </w:rPr>
        <w:t>2254.22</w:t>
      </w:r>
      <w:r>
        <w:rPr>
          <w:rFonts w:hint="eastAsia" w:ascii="仿宋_GB2312" w:hAnsi="宋体" w:eastAsia="仿宋_GB2312"/>
          <w:sz w:val="24"/>
          <w:szCs w:val="24"/>
          <w:lang w:eastAsia="zh-CN"/>
        </w:rPr>
        <w:t>万元</w:t>
      </w:r>
      <w:r>
        <w:rPr>
          <w:rFonts w:hint="eastAsia" w:ascii="仿宋_GB2312" w:hAnsi="宋体" w:eastAsia="仿宋_GB2312"/>
          <w:sz w:val="24"/>
          <w:szCs w:val="24"/>
        </w:rPr>
        <w:t>，比上年</w:t>
      </w:r>
      <w:r>
        <w:rPr>
          <w:rFonts w:hint="eastAsia" w:ascii="仿宋_GB2312" w:hAnsi="宋体" w:eastAsia="仿宋_GB2312"/>
          <w:sz w:val="24"/>
          <w:szCs w:val="24"/>
          <w:lang w:eastAsia="zh-CN"/>
        </w:rPr>
        <w:t>增长</w:t>
      </w:r>
      <w:r>
        <w:rPr>
          <w:rFonts w:hint="eastAsia" w:ascii="仿宋_GB2312" w:hAnsi="宋体" w:eastAsia="仿宋_GB2312"/>
          <w:sz w:val="24"/>
          <w:szCs w:val="24"/>
          <w:lang w:val="en-US" w:eastAsia="zh-CN"/>
        </w:rPr>
        <w:t>2.14%</w:t>
      </w:r>
      <w:r>
        <w:rPr>
          <w:rFonts w:hint="eastAsia" w:ascii="仿宋_GB2312" w:hAnsi="宋体" w:eastAsia="仿宋_GB2312"/>
          <w:sz w:val="24"/>
          <w:szCs w:val="24"/>
        </w:rPr>
        <w:t>，其中工资福利支出为</w:t>
      </w:r>
      <w:r>
        <w:rPr>
          <w:rFonts w:hint="eastAsia" w:ascii="仿宋_GB2312" w:hAnsi="仿宋_GB2312" w:eastAsia="仿宋_GB2312" w:cs="仿宋_GB2312"/>
          <w:kern w:val="2"/>
          <w:sz w:val="24"/>
          <w:szCs w:val="24"/>
          <w:lang w:val="en-US" w:eastAsia="zh-CN" w:bidi="ar-SA"/>
        </w:rPr>
        <w:t>1882.03</w:t>
      </w:r>
      <w:r>
        <w:rPr>
          <w:rFonts w:hint="eastAsia" w:ascii="仿宋_GB2312" w:hAnsi="宋体" w:eastAsia="仿宋_GB2312"/>
          <w:sz w:val="24"/>
          <w:szCs w:val="24"/>
          <w:lang w:eastAsia="zh-CN"/>
        </w:rPr>
        <w:t>万元</w:t>
      </w:r>
      <w:r>
        <w:rPr>
          <w:rFonts w:hint="eastAsia" w:ascii="仿宋_GB2312" w:hAnsi="宋体" w:eastAsia="仿宋_GB2312"/>
          <w:sz w:val="24"/>
          <w:szCs w:val="24"/>
        </w:rPr>
        <w:t>，比上年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2.92%</w:t>
      </w:r>
      <w:r>
        <w:rPr>
          <w:rFonts w:hint="eastAsia" w:ascii="仿宋_GB2312" w:hAnsi="宋体" w:eastAsia="仿宋_GB2312"/>
          <w:sz w:val="24"/>
          <w:szCs w:val="24"/>
        </w:rPr>
        <w:t>，原因是</w:t>
      </w:r>
      <w:r>
        <w:rPr>
          <w:rFonts w:hint="eastAsia" w:ascii="仿宋_GB2312" w:hAnsi="宋体" w:eastAsia="仿宋_GB2312"/>
          <w:sz w:val="24"/>
          <w:szCs w:val="24"/>
          <w:lang w:eastAsia="zh-CN"/>
        </w:rPr>
        <w:t>人员减少</w:t>
      </w:r>
      <w:r>
        <w:rPr>
          <w:rFonts w:hint="eastAsia" w:ascii="仿宋_GB2312" w:hAnsi="宋体" w:eastAsia="仿宋_GB2312"/>
          <w:sz w:val="24"/>
          <w:szCs w:val="24"/>
        </w:rPr>
        <w:t>；对个人和家庭的补助为</w:t>
      </w:r>
      <w:r>
        <w:rPr>
          <w:rFonts w:hint="eastAsia" w:ascii="仿宋_GB2312" w:hAnsi="仿宋_GB2312" w:eastAsia="仿宋_GB2312" w:cs="仿宋_GB2312"/>
          <w:kern w:val="2"/>
          <w:sz w:val="24"/>
          <w:szCs w:val="24"/>
          <w:lang w:val="en-US" w:eastAsia="zh-CN" w:bidi="ar-SA"/>
        </w:rPr>
        <w:t>101.57</w:t>
      </w:r>
      <w:r>
        <w:rPr>
          <w:rFonts w:hint="eastAsia" w:ascii="仿宋_GB2312" w:hAnsi="宋体" w:eastAsia="仿宋_GB2312"/>
          <w:sz w:val="24"/>
          <w:szCs w:val="24"/>
          <w:lang w:eastAsia="zh-CN"/>
        </w:rPr>
        <w:t>万元</w:t>
      </w:r>
      <w:r>
        <w:rPr>
          <w:rFonts w:hint="eastAsia" w:ascii="仿宋_GB2312" w:hAnsi="宋体" w:eastAsia="仿宋_GB2312"/>
          <w:sz w:val="24"/>
          <w:szCs w:val="24"/>
        </w:rPr>
        <w:t>，比上年</w:t>
      </w:r>
      <w:r>
        <w:rPr>
          <w:rFonts w:hint="eastAsia" w:ascii="仿宋_GB2312" w:hAnsi="宋体" w:eastAsia="仿宋_GB2312"/>
          <w:sz w:val="24"/>
          <w:szCs w:val="24"/>
          <w:lang w:eastAsia="zh-CN"/>
        </w:rPr>
        <w:t>增长</w:t>
      </w:r>
      <w:r>
        <w:rPr>
          <w:rFonts w:hint="eastAsia" w:ascii="仿宋_GB2312" w:hAnsi="宋体" w:eastAsia="仿宋_GB2312"/>
          <w:sz w:val="24"/>
          <w:szCs w:val="24"/>
          <w:lang w:val="en-US" w:eastAsia="zh-CN"/>
        </w:rPr>
        <w:t>6.92%</w:t>
      </w:r>
      <w:r>
        <w:rPr>
          <w:rFonts w:hint="eastAsia" w:ascii="仿宋_GB2312" w:hAnsi="宋体" w:eastAsia="仿宋_GB2312"/>
          <w:sz w:val="24"/>
          <w:szCs w:val="24"/>
        </w:rPr>
        <w:t>，原因是</w:t>
      </w:r>
      <w:r>
        <w:rPr>
          <w:rFonts w:hint="eastAsia" w:ascii="仿宋_GB2312" w:hAnsi="宋体" w:eastAsia="仿宋_GB2312"/>
          <w:sz w:val="24"/>
          <w:szCs w:val="24"/>
          <w:lang w:eastAsia="zh-CN"/>
        </w:rPr>
        <w:t>退</w:t>
      </w:r>
      <w:r>
        <w:rPr>
          <w:rFonts w:hint="eastAsia" w:ascii="仿宋_GB2312" w:hAnsi="仿宋_GB2312" w:eastAsia="仿宋_GB2312" w:cs="仿宋_GB2312"/>
          <w:color w:val="auto"/>
          <w:sz w:val="24"/>
          <w:szCs w:val="24"/>
        </w:rPr>
        <w:t>休人员</w:t>
      </w:r>
      <w:r>
        <w:rPr>
          <w:rFonts w:hint="eastAsia" w:ascii="仿宋_GB2312" w:hAnsi="仿宋_GB2312" w:eastAsia="仿宋_GB2312" w:cs="仿宋_GB2312"/>
          <w:color w:val="auto"/>
          <w:sz w:val="24"/>
          <w:szCs w:val="24"/>
          <w:lang w:eastAsia="zh-CN"/>
        </w:rPr>
        <w:t>增长</w:t>
      </w:r>
      <w:r>
        <w:rPr>
          <w:rFonts w:hint="eastAsia" w:ascii="仿宋_GB2312" w:hAnsi="仿宋_GB2312" w:eastAsia="仿宋_GB2312" w:cs="仿宋_GB2312"/>
          <w:color w:val="auto"/>
          <w:sz w:val="24"/>
          <w:szCs w:val="24"/>
        </w:rPr>
        <w:t>及遗属补助标准提高</w:t>
      </w:r>
      <w:r>
        <w:rPr>
          <w:rFonts w:hint="eastAsia" w:ascii="仿宋_GB2312" w:hAnsi="宋体" w:eastAsia="仿宋_GB2312"/>
          <w:sz w:val="24"/>
          <w:szCs w:val="24"/>
        </w:rPr>
        <w:t>；商品服务支出为</w:t>
      </w:r>
      <w:r>
        <w:rPr>
          <w:rFonts w:hint="eastAsia" w:ascii="仿宋_GB2312" w:hAnsi="仿宋_GB2312" w:eastAsia="仿宋_GB2312" w:cs="仿宋_GB2312"/>
          <w:color w:val="auto"/>
          <w:kern w:val="2"/>
          <w:sz w:val="24"/>
          <w:szCs w:val="24"/>
          <w:lang w:val="en-US" w:eastAsia="zh-CN" w:bidi="ar-SA"/>
        </w:rPr>
        <w:t>27.6</w:t>
      </w:r>
      <w:r>
        <w:rPr>
          <w:rFonts w:hint="eastAsia" w:ascii="仿宋_GB2312" w:hAnsi="宋体" w:eastAsia="仿宋_GB2312"/>
          <w:sz w:val="24"/>
          <w:szCs w:val="24"/>
          <w:lang w:eastAsia="zh-CN"/>
        </w:rPr>
        <w:t>万元</w:t>
      </w:r>
      <w:r>
        <w:rPr>
          <w:rFonts w:hint="eastAsia" w:ascii="仿宋_GB2312" w:hAnsi="宋体" w:eastAsia="仿宋_GB2312"/>
          <w:sz w:val="24"/>
          <w:szCs w:val="24"/>
        </w:rPr>
        <w:t>,比上年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83.99%</w:t>
      </w:r>
      <w:r>
        <w:rPr>
          <w:rFonts w:hint="eastAsia" w:ascii="仿宋_GB2312" w:hAnsi="宋体" w:eastAsia="仿宋_GB2312"/>
          <w:sz w:val="24"/>
          <w:szCs w:val="24"/>
        </w:rPr>
        <w:t>,原因是</w:t>
      </w:r>
      <w:r>
        <w:rPr>
          <w:rFonts w:hint="eastAsia" w:ascii="仿宋_GB2312" w:hAnsi="宋体" w:eastAsia="仿宋_GB2312"/>
          <w:sz w:val="24"/>
          <w:szCs w:val="24"/>
          <w:lang w:eastAsia="zh-CN"/>
        </w:rPr>
        <w:t>部门经济分类科目调整</w:t>
      </w:r>
      <w:r>
        <w:rPr>
          <w:rFonts w:hint="eastAsia" w:ascii="仿宋_GB2312" w:hAnsi="宋体" w:eastAsia="仿宋_GB2312"/>
          <w:sz w:val="24"/>
          <w:szCs w:val="24"/>
        </w:rPr>
        <w:t>；项目支出为</w:t>
      </w:r>
      <w:r>
        <w:rPr>
          <w:rFonts w:hint="eastAsia" w:ascii="仿宋_GB2312" w:hAnsi="仿宋_GB2312" w:eastAsia="仿宋_GB2312" w:cs="仿宋_GB2312"/>
          <w:color w:val="auto"/>
          <w:kern w:val="2"/>
          <w:sz w:val="24"/>
          <w:szCs w:val="24"/>
          <w:lang w:val="en-US" w:eastAsia="zh-CN" w:bidi="ar-SA"/>
        </w:rPr>
        <w:t>243.02</w:t>
      </w:r>
      <w:r>
        <w:rPr>
          <w:rFonts w:hint="eastAsia" w:ascii="仿宋_GB2312" w:hAnsi="宋体" w:eastAsia="仿宋_GB2312"/>
          <w:sz w:val="24"/>
          <w:szCs w:val="24"/>
          <w:lang w:eastAsia="zh-CN"/>
        </w:rPr>
        <w:t>万元</w:t>
      </w:r>
      <w:r>
        <w:rPr>
          <w:rFonts w:hint="eastAsia" w:ascii="仿宋_GB2312" w:hAnsi="宋体" w:eastAsia="仿宋_GB2312"/>
          <w:sz w:val="24"/>
          <w:szCs w:val="24"/>
        </w:rPr>
        <w:t>，比上年</w:t>
      </w:r>
      <w:r>
        <w:rPr>
          <w:rFonts w:hint="eastAsia" w:ascii="仿宋_GB2312" w:hAnsi="宋体" w:eastAsia="仿宋_GB2312"/>
          <w:sz w:val="24"/>
          <w:szCs w:val="24"/>
          <w:lang w:eastAsia="zh-CN"/>
        </w:rPr>
        <w:t>增长</w:t>
      </w:r>
      <w:r>
        <w:rPr>
          <w:rFonts w:hint="eastAsia" w:ascii="仿宋_GB2312" w:hAnsi="宋体" w:eastAsia="仿宋_GB2312"/>
          <w:sz w:val="24"/>
          <w:szCs w:val="24"/>
          <w:lang w:val="en-US" w:eastAsia="zh-CN"/>
        </w:rPr>
        <w:t>100%</w:t>
      </w:r>
      <w:r>
        <w:rPr>
          <w:rFonts w:hint="eastAsia" w:ascii="仿宋_GB2312" w:hAnsi="宋体" w:eastAsia="仿宋_GB2312"/>
          <w:sz w:val="24"/>
          <w:szCs w:val="24"/>
        </w:rPr>
        <w:t>，原因是</w:t>
      </w:r>
      <w:r>
        <w:rPr>
          <w:rFonts w:hint="eastAsia" w:ascii="仿宋_GB2312" w:hAnsi="宋体" w:eastAsia="仿宋_GB2312"/>
          <w:sz w:val="24"/>
          <w:szCs w:val="24"/>
          <w:lang w:eastAsia="zh-CN"/>
        </w:rPr>
        <w:t>部门经济分类科目调整</w:t>
      </w:r>
      <w:r>
        <w:rPr>
          <w:rFonts w:hint="eastAsia" w:ascii="仿宋_GB2312" w:hAnsi="宋体" w:eastAsia="仿宋_GB2312"/>
          <w:sz w:val="24"/>
          <w:szCs w:val="24"/>
        </w:rPr>
        <w:t>。</w:t>
      </w:r>
    </w:p>
    <w:p>
      <w:pPr>
        <w:widowControl w:val="0"/>
        <w:wordWrap/>
        <w:adjustRightInd/>
        <w:snapToGrid/>
        <w:spacing w:line="42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四、机关运行经费安排情况说明</w:t>
      </w:r>
    </w:p>
    <w:p>
      <w:pPr>
        <w:widowControl w:val="0"/>
        <w:wordWrap/>
        <w:adjustRightInd/>
        <w:snapToGrid/>
        <w:spacing w:line="420" w:lineRule="exact"/>
        <w:ind w:left="0" w:leftChars="0" w:right="0" w:firstLine="480" w:firstLineChars="200"/>
        <w:textAlignment w:val="auto"/>
        <w:outlineLvl w:val="9"/>
        <w:rPr>
          <w:rFonts w:ascii="仿宋_GB2312"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w:t>
      </w:r>
      <w:r>
        <w:rPr>
          <w:rFonts w:hint="eastAsia" w:ascii="仿宋_GB2312" w:hAnsi="宋体" w:eastAsia="仿宋_GB2312"/>
          <w:bCs/>
          <w:sz w:val="24"/>
          <w:szCs w:val="24"/>
        </w:rPr>
        <w:t>机关运行经费安排为</w:t>
      </w:r>
      <w:r>
        <w:rPr>
          <w:rFonts w:hint="eastAsia" w:ascii="仿宋_GB2312" w:hAnsi="仿宋_GB2312" w:eastAsia="仿宋_GB2312" w:cs="仿宋_GB2312"/>
          <w:color w:val="auto"/>
          <w:kern w:val="2"/>
          <w:sz w:val="24"/>
          <w:szCs w:val="24"/>
          <w:lang w:val="en-US" w:eastAsia="zh-CN" w:bidi="ar-SA"/>
        </w:rPr>
        <w:t>27.6</w:t>
      </w:r>
      <w:r>
        <w:rPr>
          <w:rFonts w:hint="eastAsia" w:ascii="仿宋_GB2312" w:hAnsi="宋体" w:eastAsia="仿宋_GB2312"/>
          <w:bCs/>
          <w:sz w:val="24"/>
          <w:szCs w:val="24"/>
          <w:lang w:eastAsia="zh-CN"/>
        </w:rPr>
        <w:t>万元</w:t>
      </w:r>
      <w:r>
        <w:rPr>
          <w:rFonts w:hint="eastAsia" w:ascii="仿宋_GB2312" w:hAnsi="宋体" w:eastAsia="仿宋_GB2312"/>
          <w:bCs/>
          <w:sz w:val="24"/>
          <w:szCs w:val="24"/>
        </w:rPr>
        <w:t>，</w:t>
      </w:r>
      <w:r>
        <w:rPr>
          <w:rFonts w:hint="eastAsia" w:ascii="仿宋_GB2312" w:hAnsi="宋体" w:eastAsia="仿宋_GB2312"/>
          <w:sz w:val="24"/>
          <w:szCs w:val="24"/>
        </w:rPr>
        <w:t>比上年</w:t>
      </w:r>
      <w:r>
        <w:rPr>
          <w:rFonts w:hint="eastAsia" w:ascii="仿宋_GB2312" w:hAnsi="宋体" w:eastAsia="仿宋_GB2312"/>
          <w:sz w:val="24"/>
          <w:szCs w:val="24"/>
          <w:lang w:eastAsia="zh-CN"/>
        </w:rPr>
        <w:t>下降</w:t>
      </w:r>
      <w:r>
        <w:rPr>
          <w:rFonts w:hint="eastAsia" w:ascii="仿宋_GB2312" w:hAnsi="宋体" w:eastAsia="仿宋_GB2312"/>
          <w:sz w:val="24"/>
          <w:szCs w:val="24"/>
          <w:lang w:val="en-US" w:eastAsia="zh-CN"/>
        </w:rPr>
        <w:t>83.99%</w:t>
      </w:r>
      <w:r>
        <w:rPr>
          <w:rFonts w:hint="eastAsia" w:ascii="仿宋_GB2312" w:hAnsi="宋体" w:eastAsia="仿宋_GB2312"/>
          <w:sz w:val="24"/>
          <w:szCs w:val="24"/>
        </w:rPr>
        <w:t>,原因是</w:t>
      </w:r>
      <w:r>
        <w:rPr>
          <w:rFonts w:hint="eastAsia" w:ascii="仿宋_GB2312" w:hAnsi="宋体" w:eastAsia="仿宋_GB2312"/>
          <w:sz w:val="24"/>
          <w:szCs w:val="24"/>
          <w:lang w:eastAsia="zh-CN"/>
        </w:rPr>
        <w:t>部门经济分类科目调整</w:t>
      </w:r>
      <w:r>
        <w:rPr>
          <w:rFonts w:hint="eastAsia" w:ascii="仿宋_GB2312" w:hAnsi="宋体" w:eastAsia="仿宋_GB2312"/>
          <w:sz w:val="24"/>
          <w:szCs w:val="24"/>
        </w:rPr>
        <w:t>。</w:t>
      </w:r>
    </w:p>
    <w:p>
      <w:pPr>
        <w:pStyle w:val="5"/>
        <w:widowControl w:val="0"/>
        <w:wordWrap/>
        <w:adjustRightInd/>
        <w:snapToGrid/>
        <w:spacing w:line="42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五、政府采购安排情况说明</w:t>
      </w:r>
    </w:p>
    <w:p>
      <w:pPr>
        <w:widowControl w:val="0"/>
        <w:wordWrap/>
        <w:adjustRightInd/>
        <w:snapToGrid/>
        <w:spacing w:line="420" w:lineRule="exact"/>
        <w:ind w:left="0" w:leftChars="0" w:right="0" w:firstLine="480" w:firstLineChars="200"/>
        <w:textAlignment w:val="auto"/>
        <w:outlineLvl w:val="9"/>
        <w:rPr>
          <w:rFonts w:hint="default" w:ascii="仿宋_GB2312" w:hAnsi="宋体" w:eastAsia="仿宋_GB2312"/>
          <w:sz w:val="24"/>
          <w:szCs w:val="24"/>
          <w:lang w:val="en-US" w:eastAsia="zh-CN"/>
        </w:rPr>
      </w:pPr>
      <w:r>
        <w:rPr>
          <w:rFonts w:ascii="仿宋_GB2312" w:hAnsi="宋体" w:eastAsia="仿宋_GB2312"/>
          <w:sz w:val="24"/>
          <w:szCs w:val="24"/>
        </w:rPr>
        <w:t>20</w:t>
      </w:r>
      <w:r>
        <w:rPr>
          <w:rFonts w:hint="eastAsia" w:ascii="仿宋_GB2312" w:hAnsi="宋体" w:eastAsia="仿宋_GB2312"/>
          <w:sz w:val="24"/>
          <w:szCs w:val="24"/>
        </w:rPr>
        <w:t>2</w:t>
      </w:r>
      <w:r>
        <w:rPr>
          <w:rFonts w:hint="eastAsia" w:ascii="仿宋_GB2312" w:hAnsi="宋体" w:eastAsia="仿宋_GB2312"/>
          <w:sz w:val="24"/>
          <w:szCs w:val="24"/>
          <w:lang w:val="en-US" w:eastAsia="zh-CN"/>
        </w:rPr>
        <w:t>1</w:t>
      </w:r>
      <w:r>
        <w:rPr>
          <w:rFonts w:hint="eastAsia" w:ascii="仿宋_GB2312" w:hAnsi="宋体" w:eastAsia="仿宋_GB2312"/>
          <w:sz w:val="24"/>
          <w:szCs w:val="24"/>
        </w:rPr>
        <w:t>年我单位政府采购预算安排为</w:t>
      </w:r>
      <w:r>
        <w:rPr>
          <w:rFonts w:hint="eastAsia" w:ascii="仿宋_GB2312" w:hAnsi="宋体" w:eastAsia="仿宋_GB2312"/>
          <w:sz w:val="24"/>
          <w:szCs w:val="24"/>
          <w:lang w:val="en-US" w:eastAsia="zh-CN"/>
        </w:rPr>
        <w:t>39.41</w:t>
      </w:r>
      <w:r>
        <w:rPr>
          <w:rFonts w:hint="eastAsia" w:ascii="仿宋_GB2312" w:hAnsi="宋体" w:eastAsia="仿宋_GB2312"/>
          <w:sz w:val="24"/>
          <w:szCs w:val="24"/>
          <w:lang w:eastAsia="zh-CN"/>
        </w:rPr>
        <w:t>万元</w:t>
      </w:r>
      <w:r>
        <w:rPr>
          <w:rFonts w:hint="eastAsia" w:ascii="仿宋_GB2312" w:hAnsi="宋体" w:eastAsia="仿宋_GB2312"/>
          <w:sz w:val="24"/>
          <w:szCs w:val="24"/>
        </w:rPr>
        <w:t>，其中：</w:t>
      </w:r>
      <w:r>
        <w:rPr>
          <w:rFonts w:hint="eastAsia" w:ascii="仿宋_GB2312" w:hAnsi="宋体" w:eastAsia="仿宋_GB2312"/>
          <w:sz w:val="24"/>
          <w:szCs w:val="24"/>
          <w:lang w:eastAsia="zh-CN"/>
        </w:rPr>
        <w:t>椅凳类</w:t>
      </w:r>
      <w:r>
        <w:rPr>
          <w:rFonts w:hint="eastAsia" w:ascii="仿宋_GB2312" w:hAnsi="宋体" w:eastAsia="仿宋_GB2312"/>
          <w:sz w:val="24"/>
          <w:szCs w:val="24"/>
          <w:lang w:val="en-US" w:eastAsia="zh-CN"/>
        </w:rPr>
        <w:t>1.9万元，台桌类2.11万元，纸、纸制品及印刷品2.14万元，印刷服务1.1万元，计算机设备5.83万元，厨卫用具5.25万元，床类2.14万元，通风和空调设备安装13.51万元，柜类1.81万元，教学设备2.21万元，安全设备1.41万元。</w:t>
      </w:r>
    </w:p>
    <w:p>
      <w:pPr>
        <w:pStyle w:val="5"/>
        <w:widowControl w:val="0"/>
        <w:numPr>
          <w:ilvl w:val="0"/>
          <w:numId w:val="3"/>
        </w:numPr>
        <w:wordWrap/>
        <w:adjustRightInd/>
        <w:snapToGrid/>
        <w:spacing w:line="420" w:lineRule="exact"/>
        <w:ind w:left="0" w:leftChars="0" w:right="0" w:firstLine="480" w:firstLineChars="200"/>
        <w:jc w:val="left"/>
        <w:textAlignment w:val="auto"/>
        <w:outlineLvl w:val="9"/>
        <w:rPr>
          <w:rFonts w:hint="eastAsia" w:ascii="黑体" w:hAnsi="黑体" w:eastAsia="黑体"/>
          <w:bCs/>
          <w:sz w:val="24"/>
          <w:szCs w:val="24"/>
        </w:rPr>
      </w:pPr>
      <w:r>
        <w:rPr>
          <w:rFonts w:hint="eastAsia" w:ascii="黑体" w:hAnsi="黑体" w:eastAsia="黑体"/>
          <w:bCs/>
          <w:sz w:val="24"/>
          <w:szCs w:val="24"/>
        </w:rPr>
        <w:t>专业性较强的名词解释</w:t>
      </w:r>
    </w:p>
    <w:p>
      <w:pPr>
        <w:widowControl w:val="0"/>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val="en-US" w:eastAsia="zh-CN"/>
        </w:rPr>
        <w:t>1.</w:t>
      </w:r>
      <w:r>
        <w:rPr>
          <w:rFonts w:hint="eastAsia" w:ascii="仿宋_GB2312" w:hAnsi="仿宋_GB2312" w:eastAsia="仿宋_GB2312" w:cs="仿宋_GB2312"/>
          <w:bCs/>
          <w:sz w:val="24"/>
          <w:szCs w:val="24"/>
        </w:rPr>
        <w:t>幼儿生活补助是在教育行政部门审批设立的各级各类幼儿园就读的家庭经济困难儿童、孤儿和残疾儿童发放生活补助。</w:t>
      </w:r>
    </w:p>
    <w:p>
      <w:pPr>
        <w:widowControl w:val="0"/>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val="en-US" w:eastAsia="zh-CN"/>
        </w:rPr>
        <w:t>2.</w:t>
      </w:r>
      <w:r>
        <w:rPr>
          <w:rFonts w:hint="eastAsia" w:ascii="仿宋_GB2312" w:hAnsi="仿宋_GB2312" w:eastAsia="仿宋_GB2312" w:cs="仿宋_GB2312"/>
          <w:bCs/>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idowControl w:val="0"/>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lang w:val="en-US" w:eastAsia="zh-CN"/>
        </w:rPr>
        <w:t>3、</w:t>
      </w:r>
      <w:r>
        <w:rPr>
          <w:rFonts w:hint="eastAsia" w:ascii="仿宋_GB2312" w:hAnsi="仿宋_GB2312" w:eastAsia="仿宋_GB2312" w:cs="仿宋_GB2312"/>
          <w:bCs/>
          <w:sz w:val="24"/>
          <w:szCs w:val="24"/>
          <w:lang w:eastAsia="zh-CN"/>
        </w:rPr>
        <w:t>普惠性民办幼儿园生均财政补助制度：从</w:t>
      </w:r>
      <w:r>
        <w:rPr>
          <w:rFonts w:hint="eastAsia" w:ascii="仿宋_GB2312" w:hAnsi="仿宋_GB2312" w:eastAsia="仿宋_GB2312" w:cs="仿宋_GB2312"/>
          <w:bCs/>
          <w:sz w:val="24"/>
          <w:szCs w:val="24"/>
          <w:lang w:val="en-US" w:eastAsia="zh-CN"/>
        </w:rPr>
        <w:t>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widowControl w:val="0"/>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val="en-US" w:eastAsia="zh-CN"/>
        </w:rPr>
        <w:t>4.</w:t>
      </w:r>
      <w:r>
        <w:rPr>
          <w:rFonts w:hint="eastAsia" w:ascii="仿宋_GB2312" w:hAnsi="仿宋_GB2312" w:eastAsia="仿宋_GB2312" w:cs="仿宋_GB2312"/>
          <w:bCs/>
          <w:sz w:val="24"/>
          <w:szCs w:val="24"/>
        </w:rPr>
        <w:t>义务教育“两免一补”：“两免”指免除学杂费、免费提供教科书。“一补”指我省农村义务教育阶段家庭经济困难</w:t>
      </w:r>
      <w:r>
        <w:rPr>
          <w:rFonts w:hint="eastAsia" w:ascii="仿宋_GB2312" w:hAnsi="仿宋_GB2312" w:eastAsia="仿宋_GB2312" w:cs="仿宋_GB2312"/>
          <w:bCs/>
          <w:sz w:val="24"/>
          <w:szCs w:val="24"/>
          <w:lang w:eastAsia="zh-CN"/>
        </w:rPr>
        <w:t>学生</w:t>
      </w:r>
      <w:r>
        <w:rPr>
          <w:rFonts w:hint="eastAsia" w:ascii="仿宋_GB2312" w:hAnsi="仿宋_GB2312" w:eastAsia="仿宋_GB2312" w:cs="仿宋_GB2312"/>
          <w:bCs/>
          <w:sz w:val="24"/>
          <w:szCs w:val="24"/>
        </w:rPr>
        <w:t>的生活补助。</w:t>
      </w:r>
    </w:p>
    <w:p>
      <w:pPr>
        <w:widowControl w:val="0"/>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val="en-US" w:eastAsia="zh-CN"/>
        </w:rPr>
        <w:t>5.</w:t>
      </w:r>
      <w:r>
        <w:rPr>
          <w:rFonts w:hint="eastAsia" w:ascii="仿宋_GB2312" w:hAnsi="仿宋_GB2312" w:eastAsia="仿宋_GB2312" w:cs="仿宋_GB2312"/>
          <w:bCs/>
          <w:sz w:val="24"/>
          <w:szCs w:val="24"/>
        </w:rPr>
        <w:t>城乡义务教育阶段中小学公用经费是对城乡义务教育学校（含民办学校）按照不低于基准定额的标准补助公用经费。</w:t>
      </w:r>
    </w:p>
    <w:p>
      <w:pPr>
        <w:widowControl w:val="0"/>
        <w:wordWrap/>
        <w:adjustRightInd/>
        <w:snapToGrid/>
        <w:spacing w:line="420" w:lineRule="exact"/>
        <w:ind w:left="0" w:leftChars="0" w:right="0" w:firstLine="480" w:firstLineChars="200"/>
        <w:textAlignment w:val="auto"/>
        <w:outlineLvl w:val="9"/>
        <w:rPr>
          <w:rFonts w:ascii="黑体" w:hAnsi="黑体" w:eastAsia="黑体"/>
          <w:bCs/>
          <w:sz w:val="24"/>
          <w:szCs w:val="24"/>
        </w:rPr>
      </w:pPr>
      <w:r>
        <w:rPr>
          <w:rFonts w:hint="eastAsia" w:ascii="黑体" w:hAnsi="黑体" w:eastAsia="黑体"/>
          <w:bCs/>
          <w:sz w:val="24"/>
          <w:szCs w:val="24"/>
        </w:rPr>
        <w:t>七、“三公”经费增减变化情况</w:t>
      </w:r>
    </w:p>
    <w:p>
      <w:pPr>
        <w:widowControl w:val="0"/>
        <w:numPr>
          <w:ilvl w:val="0"/>
          <w:numId w:val="0"/>
        </w:numPr>
        <w:wordWrap/>
        <w:adjustRightInd/>
        <w:snapToGrid/>
        <w:spacing w:line="440" w:lineRule="exact"/>
        <w:ind w:left="0" w:leftChars="0" w:right="0" w:firstLine="480" w:firstLineChars="200"/>
        <w:jc w:val="left"/>
        <w:textAlignment w:val="auto"/>
        <w:outlineLvl w:val="9"/>
        <w:rPr>
          <w:rFonts w:ascii="仿宋_GB2312" w:eastAsia="仿宋_GB2312"/>
          <w:sz w:val="24"/>
          <w:szCs w:val="24"/>
        </w:rPr>
      </w:pP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年“三公经费”预算</w:t>
      </w:r>
      <w:r>
        <w:rPr>
          <w:rFonts w:hint="eastAsia" w:ascii="仿宋_GB2312" w:eastAsia="仿宋_GB2312"/>
          <w:sz w:val="24"/>
          <w:szCs w:val="24"/>
          <w:lang w:val="en-US" w:eastAsia="zh-CN"/>
        </w:rPr>
        <w:t>0万</w:t>
      </w:r>
      <w:r>
        <w:rPr>
          <w:rFonts w:hint="eastAsia" w:ascii="仿宋_GB2312" w:eastAsia="仿宋_GB2312"/>
          <w:sz w:val="24"/>
          <w:szCs w:val="24"/>
        </w:rPr>
        <w:t>元，</w:t>
      </w:r>
      <w:r>
        <w:rPr>
          <w:rFonts w:hint="eastAsia" w:ascii="仿宋_GB2312" w:hAnsi="仿宋_GB2312" w:eastAsia="仿宋_GB2312" w:cs="仿宋_GB2312"/>
          <w:sz w:val="24"/>
          <w:szCs w:val="24"/>
        </w:rPr>
        <w:t>与20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年预算相比无变化</w:t>
      </w:r>
      <w:r>
        <w:rPr>
          <w:rFonts w:hint="eastAsia" w:ascii="仿宋_GB2312" w:hAnsi="仿宋_GB2312" w:eastAsia="仿宋_GB2312" w:cs="仿宋_GB2312"/>
          <w:kern w:val="44"/>
          <w:sz w:val="24"/>
          <w:szCs w:val="24"/>
        </w:rPr>
        <w:t>。</w:t>
      </w:r>
      <w:r>
        <w:rPr>
          <w:rFonts w:hint="eastAsia" w:ascii="仿宋_GB2312" w:eastAsia="仿宋_GB2312"/>
          <w:sz w:val="24"/>
          <w:szCs w:val="24"/>
        </w:rPr>
        <w:t>其中因公出国（境）费</w:t>
      </w:r>
      <w:r>
        <w:rPr>
          <w:rFonts w:ascii="仿宋_GB2312" w:eastAsia="仿宋_GB2312"/>
          <w:sz w:val="24"/>
          <w:szCs w:val="24"/>
        </w:rPr>
        <w:t>0</w:t>
      </w:r>
      <w:r>
        <w:rPr>
          <w:rFonts w:hint="eastAsia" w:ascii="仿宋_GB2312" w:eastAsia="仿宋_GB2312"/>
          <w:sz w:val="24"/>
          <w:szCs w:val="24"/>
          <w:lang w:eastAsia="zh-CN"/>
        </w:rPr>
        <w:t>万</w:t>
      </w:r>
      <w:r>
        <w:rPr>
          <w:rFonts w:hint="eastAsia" w:ascii="仿宋_GB2312" w:eastAsia="仿宋_GB2312"/>
          <w:sz w:val="24"/>
          <w:szCs w:val="24"/>
        </w:rPr>
        <w:t>元，原因是本年度没有出国（境）安排；公务接待费</w:t>
      </w:r>
      <w:r>
        <w:rPr>
          <w:rFonts w:hint="eastAsia" w:ascii="仿宋_GB2312" w:eastAsia="仿宋_GB2312"/>
          <w:sz w:val="24"/>
          <w:szCs w:val="24"/>
          <w:lang w:val="en-US" w:eastAsia="zh-CN"/>
        </w:rPr>
        <w:t>0万</w:t>
      </w:r>
      <w:r>
        <w:rPr>
          <w:rFonts w:hint="eastAsia" w:ascii="仿宋_GB2312" w:eastAsia="仿宋_GB2312"/>
          <w:sz w:val="24"/>
          <w:szCs w:val="24"/>
        </w:rPr>
        <w:t>元，</w:t>
      </w:r>
      <w:r>
        <w:rPr>
          <w:rFonts w:hint="eastAsia" w:ascii="仿宋_GB2312" w:hAnsi="仿宋_GB2312" w:eastAsia="仿宋_GB2312" w:cs="仿宋_GB2312"/>
          <w:kern w:val="44"/>
          <w:sz w:val="24"/>
          <w:szCs w:val="24"/>
        </w:rPr>
        <w:t>原因是我校没有接待任务；</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bookmarkStart w:id="0" w:name="_GoBack"/>
      <w:bookmarkEnd w:id="0"/>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hint="eastAsia" w:ascii="仿宋_GB2312" w:eastAsia="仿宋_GB2312"/>
          <w:sz w:val="24"/>
          <w:szCs w:val="24"/>
        </w:rPr>
        <w:t>公务用车运行维护费</w:t>
      </w:r>
      <w:r>
        <w:rPr>
          <w:rFonts w:hint="eastAsia" w:ascii="仿宋_GB2312" w:eastAsia="仿宋_GB2312"/>
          <w:sz w:val="24"/>
          <w:szCs w:val="24"/>
          <w:lang w:val="en-US" w:eastAsia="zh-CN"/>
        </w:rPr>
        <w:t>0万</w:t>
      </w:r>
      <w:r>
        <w:rPr>
          <w:rFonts w:hint="eastAsia" w:ascii="仿宋_GB2312" w:eastAsia="仿宋_GB2312"/>
          <w:sz w:val="24"/>
          <w:szCs w:val="24"/>
        </w:rPr>
        <w:t>元，原因是</w:t>
      </w:r>
      <w:r>
        <w:rPr>
          <w:rFonts w:hint="eastAsia" w:ascii="仿宋_GB2312" w:hAnsi="仿宋_GB2312" w:eastAsia="仿宋_GB2312" w:cs="仿宋_GB2312"/>
          <w:kern w:val="44"/>
          <w:sz w:val="24"/>
          <w:szCs w:val="24"/>
        </w:rPr>
        <w:t>我校无公车</w:t>
      </w:r>
      <w:r>
        <w:rPr>
          <w:rFonts w:hint="eastAsia" w:ascii="仿宋_GB2312" w:hAnsi="仿宋_GB2312" w:eastAsia="仿宋_GB2312" w:cs="仿宋_GB2312"/>
          <w:kern w:val="44"/>
          <w:sz w:val="24"/>
          <w:szCs w:val="24"/>
          <w:lang w:eastAsia="zh-CN"/>
        </w:rPr>
        <w:t>。</w:t>
      </w:r>
    </w:p>
    <w:p>
      <w:pPr>
        <w:widowControl w:val="0"/>
        <w:wordWrap/>
        <w:adjustRightInd/>
        <w:snapToGrid/>
        <w:spacing w:line="420" w:lineRule="exact"/>
        <w:ind w:left="0" w:leftChars="0" w:right="0" w:firstLine="480" w:firstLineChars="200"/>
        <w:textAlignment w:val="auto"/>
        <w:outlineLvl w:val="9"/>
        <w:rPr>
          <w:rFonts w:ascii="黑体" w:hAnsi="黑体" w:eastAsia="黑体"/>
          <w:sz w:val="24"/>
          <w:szCs w:val="24"/>
        </w:rPr>
      </w:pPr>
      <w:r>
        <w:rPr>
          <w:rFonts w:hint="eastAsia" w:ascii="黑体" w:hAnsi="黑体" w:eastAsia="黑体"/>
          <w:sz w:val="24"/>
          <w:szCs w:val="24"/>
        </w:rPr>
        <w:t>八、国有资产占用情况说明</w:t>
      </w:r>
    </w:p>
    <w:p>
      <w:pPr>
        <w:widowControl w:val="0"/>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截止20</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年12月31日，我单位资产总额</w:t>
      </w:r>
      <w:r>
        <w:rPr>
          <w:rFonts w:hint="eastAsia" w:ascii="仿宋_GB2312" w:hAnsi="仿宋_GB2312" w:eastAsia="仿宋_GB2312" w:cs="仿宋_GB2312"/>
          <w:sz w:val="24"/>
          <w:szCs w:val="24"/>
          <w:lang w:val="en-US" w:eastAsia="zh-CN"/>
        </w:rPr>
        <w:t>1295.49</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，其中流动资产</w:t>
      </w:r>
      <w:r>
        <w:rPr>
          <w:rFonts w:hint="eastAsia" w:ascii="仿宋_GB2312" w:hAnsi="仿宋_GB2312" w:eastAsia="仿宋_GB2312" w:cs="仿宋_GB2312"/>
          <w:sz w:val="24"/>
          <w:szCs w:val="24"/>
          <w:lang w:val="en-US" w:eastAsia="zh-CN"/>
        </w:rPr>
        <w:t>69.93</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；固定资产原值</w:t>
      </w:r>
      <w:r>
        <w:rPr>
          <w:rFonts w:hint="eastAsia" w:ascii="仿宋_GB2312" w:hAnsi="仿宋_GB2312" w:eastAsia="仿宋_GB2312" w:cs="仿宋_GB2312"/>
          <w:sz w:val="24"/>
          <w:szCs w:val="24"/>
          <w:lang w:val="en-US" w:eastAsia="zh-CN"/>
        </w:rPr>
        <w:t>2084.24</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，累计折旧</w:t>
      </w:r>
      <w:r>
        <w:rPr>
          <w:rFonts w:hint="eastAsia" w:ascii="仿宋_GB2312" w:hAnsi="仿宋_GB2312" w:eastAsia="仿宋_GB2312" w:cs="仿宋_GB2312"/>
          <w:sz w:val="24"/>
          <w:szCs w:val="24"/>
          <w:lang w:val="en-US" w:eastAsia="zh-CN"/>
        </w:rPr>
        <w:t>858.67</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，固定资产净值为</w:t>
      </w:r>
      <w:r>
        <w:rPr>
          <w:rFonts w:hint="eastAsia" w:ascii="仿宋_GB2312" w:hAnsi="仿宋_GB2312" w:eastAsia="仿宋_GB2312" w:cs="仿宋_GB2312"/>
          <w:sz w:val="24"/>
          <w:szCs w:val="24"/>
          <w:lang w:val="en-US" w:eastAsia="zh-CN"/>
        </w:rPr>
        <w:t>1225.56</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。固定资产当中，房屋构筑物</w:t>
      </w:r>
      <w:r>
        <w:rPr>
          <w:rFonts w:hint="eastAsia" w:ascii="仿宋_GB2312" w:hAnsi="仿宋_GB2312" w:eastAsia="仿宋_GB2312" w:cs="仿宋_GB2312"/>
          <w:sz w:val="24"/>
          <w:szCs w:val="24"/>
          <w:lang w:val="en-US" w:eastAsia="zh-CN"/>
        </w:rPr>
        <w:t>1267.24</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，其他固定资产</w:t>
      </w:r>
      <w:r>
        <w:rPr>
          <w:rFonts w:hint="eastAsia" w:ascii="仿宋_GB2312" w:hAnsi="仿宋_GB2312" w:eastAsia="仿宋_GB2312" w:cs="仿宋_GB2312"/>
          <w:sz w:val="24"/>
          <w:szCs w:val="24"/>
          <w:lang w:val="en-US" w:eastAsia="zh-CN"/>
        </w:rPr>
        <w:t>817</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与上年相比，本年固定资产原值</w:t>
      </w:r>
      <w:r>
        <w:rPr>
          <w:rFonts w:hint="eastAsia" w:ascii="仿宋_GB2312" w:hAnsi="仿宋_GB2312" w:eastAsia="仿宋_GB2312" w:cs="仿宋_GB2312"/>
          <w:sz w:val="24"/>
          <w:szCs w:val="24"/>
          <w:lang w:eastAsia="zh-CN"/>
        </w:rPr>
        <w:t>增长</w:t>
      </w:r>
      <w:r>
        <w:rPr>
          <w:rFonts w:hint="eastAsia" w:ascii="仿宋_GB2312" w:hAnsi="仿宋_GB2312" w:eastAsia="仿宋_GB2312" w:cs="仿宋_GB2312"/>
          <w:sz w:val="24"/>
          <w:szCs w:val="24"/>
          <w:lang w:val="en-US" w:eastAsia="zh-CN"/>
        </w:rPr>
        <w:t>106.73万元</w:t>
      </w:r>
      <w:r>
        <w:rPr>
          <w:rFonts w:hint="eastAsia" w:ascii="仿宋_GB2312" w:hAnsi="仿宋_GB2312" w:eastAsia="仿宋_GB2312" w:cs="仿宋_GB2312"/>
          <w:sz w:val="24"/>
          <w:szCs w:val="24"/>
        </w:rPr>
        <w:t>，原因是</w:t>
      </w:r>
      <w:r>
        <w:rPr>
          <w:rFonts w:hint="eastAsia" w:ascii="仿宋_GB2312" w:hAnsi="仿宋_GB2312" w:eastAsia="仿宋_GB2312" w:cs="仿宋_GB2312"/>
          <w:sz w:val="24"/>
          <w:szCs w:val="24"/>
          <w:lang w:eastAsia="zh-CN"/>
        </w:rPr>
        <w:t>新建功能室、通用设备、专用设备等增长</w:t>
      </w:r>
      <w:r>
        <w:rPr>
          <w:rFonts w:hint="eastAsia" w:ascii="仿宋_GB2312" w:hAnsi="仿宋_GB2312" w:eastAsia="仿宋_GB2312" w:cs="仿宋_GB2312"/>
          <w:sz w:val="24"/>
          <w:szCs w:val="24"/>
        </w:rPr>
        <w:t>。</w:t>
      </w:r>
    </w:p>
    <w:p>
      <w:pPr>
        <w:widowControl w:val="0"/>
        <w:wordWrap/>
        <w:adjustRightInd/>
        <w:snapToGrid/>
        <w:spacing w:line="420" w:lineRule="exact"/>
        <w:ind w:left="0" w:leftChars="0" w:right="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年预计新增采购固定资产</w:t>
      </w:r>
      <w:r>
        <w:rPr>
          <w:rFonts w:hint="eastAsia" w:ascii="仿宋_GB2312" w:hAnsi="仿宋_GB2312" w:eastAsia="仿宋_GB2312" w:cs="仿宋_GB2312"/>
          <w:sz w:val="24"/>
          <w:szCs w:val="24"/>
          <w:lang w:val="en-US" w:eastAsia="zh-CN"/>
        </w:rPr>
        <w:t>20.52</w:t>
      </w:r>
      <w:r>
        <w:rPr>
          <w:rFonts w:hint="eastAsia" w:ascii="仿宋_GB2312" w:hAnsi="仿宋_GB2312" w:eastAsia="仿宋_GB2312" w:cs="仿宋_GB2312"/>
          <w:sz w:val="24"/>
          <w:szCs w:val="24"/>
          <w:lang w:eastAsia="zh-CN"/>
        </w:rPr>
        <w:t>万元</w:t>
      </w:r>
      <w:r>
        <w:rPr>
          <w:rFonts w:hint="eastAsia" w:ascii="仿宋_GB2312" w:hAnsi="仿宋_GB2312" w:eastAsia="仿宋_GB2312" w:cs="仿宋_GB2312"/>
          <w:sz w:val="24"/>
          <w:szCs w:val="24"/>
        </w:rPr>
        <w:t>，其中</w:t>
      </w:r>
      <w:r>
        <w:rPr>
          <w:rFonts w:hint="eastAsia" w:ascii="仿宋_GB2312" w:hAnsi="仿宋_GB2312" w:eastAsia="仿宋_GB2312" w:cs="仿宋_GB2312"/>
          <w:sz w:val="24"/>
          <w:szCs w:val="24"/>
          <w:lang w:eastAsia="zh-CN"/>
        </w:rPr>
        <w:t>椅凳类</w:t>
      </w:r>
      <w:r>
        <w:rPr>
          <w:rFonts w:hint="eastAsia" w:ascii="仿宋_GB2312" w:hAnsi="仿宋_GB2312" w:eastAsia="仿宋_GB2312" w:cs="仿宋_GB2312"/>
          <w:sz w:val="24"/>
          <w:szCs w:val="24"/>
          <w:lang w:val="en-US" w:eastAsia="zh-CN"/>
        </w:rPr>
        <w:t>1.9万元，台桌类2.11万元，计算机设备5.83万元，厨卫用具5.25万元，柜类1.81万元，教学设备2.21万元，安全设备1.41万元。</w:t>
      </w:r>
    </w:p>
    <w:p>
      <w:pPr>
        <w:widowControl w:val="0"/>
        <w:wordWrap/>
        <w:adjustRightInd/>
        <w:snapToGrid/>
        <w:spacing w:line="420" w:lineRule="exact"/>
        <w:ind w:left="0" w:leftChars="0" w:right="0" w:firstLine="480" w:firstLineChars="200"/>
        <w:textAlignment w:val="auto"/>
        <w:outlineLvl w:val="9"/>
        <w:rPr>
          <w:rFonts w:ascii="黑体" w:hAnsi="黑体" w:eastAsia="黑体"/>
          <w:sz w:val="24"/>
          <w:szCs w:val="24"/>
        </w:rPr>
      </w:pPr>
      <w:r>
        <w:rPr>
          <w:rFonts w:hint="eastAsia" w:ascii="黑体" w:hAnsi="黑体" w:eastAsia="黑体"/>
          <w:sz w:val="24"/>
          <w:szCs w:val="24"/>
        </w:rPr>
        <w:t>九、重点项目预算的绩效目标情况说明</w:t>
      </w:r>
    </w:p>
    <w:p>
      <w:pPr>
        <w:widowControl w:val="0"/>
        <w:wordWrap/>
        <w:adjustRightInd/>
        <w:snapToGrid/>
        <w:spacing w:line="420" w:lineRule="exact"/>
        <w:ind w:left="0" w:leftChars="0" w:right="0" w:firstLine="480" w:firstLineChars="200"/>
        <w:textAlignment w:val="auto"/>
        <w:outlineLvl w:val="9"/>
        <w:rPr>
          <w:rFonts w:ascii="仿宋_GB2312" w:eastAsia="仿宋_GB2312"/>
          <w:sz w:val="24"/>
          <w:szCs w:val="24"/>
        </w:rPr>
      </w:pPr>
      <w:r>
        <w:rPr>
          <w:rFonts w:hint="eastAsia" w:ascii="仿宋_GB2312" w:hAnsi="仿宋_GB2312" w:eastAsia="仿宋_GB2312" w:cs="仿宋_GB2312"/>
          <w:sz w:val="24"/>
          <w:szCs w:val="24"/>
          <w:lang w:val="en-US" w:eastAsia="zh-CN"/>
        </w:rPr>
        <w:t>2021</w:t>
      </w:r>
      <w:r>
        <w:rPr>
          <w:rFonts w:hint="eastAsia" w:ascii="仿宋_GB2312" w:hAnsi="仿宋_GB2312" w:eastAsia="仿宋_GB2312" w:cs="仿宋_GB2312"/>
          <w:sz w:val="24"/>
          <w:szCs w:val="24"/>
        </w:rPr>
        <w:t>年度</w:t>
      </w:r>
      <w:r>
        <w:rPr>
          <w:rFonts w:hint="eastAsia" w:ascii="仿宋_GB2312" w:hAnsi="仿宋_GB2312" w:eastAsia="仿宋_GB2312" w:cs="仿宋_GB2312"/>
          <w:sz w:val="24"/>
          <w:szCs w:val="24"/>
          <w:lang w:eastAsia="zh-CN"/>
        </w:rPr>
        <w:t>本部门</w:t>
      </w:r>
      <w:r>
        <w:rPr>
          <w:rFonts w:hint="eastAsia" w:ascii="仿宋_GB2312" w:hAnsi="仿宋_GB2312" w:eastAsia="仿宋_GB2312" w:cs="仿宋_GB2312"/>
          <w:sz w:val="24"/>
          <w:szCs w:val="24"/>
        </w:rPr>
        <w:t>无项目预算的绩效目标</w:t>
      </w:r>
      <w:r>
        <w:rPr>
          <w:rFonts w:hint="eastAsia" w:ascii="仿宋_GB2312" w:hAnsi="仿宋_GB2312" w:eastAsia="仿宋_GB2312" w:cs="仿宋_GB2312"/>
          <w:sz w:val="24"/>
          <w:szCs w:val="24"/>
          <w:lang w:eastAsia="zh-CN"/>
        </w:rPr>
        <w:t>。</w:t>
      </w:r>
    </w:p>
    <w:p>
      <w:pPr>
        <w:widowControl w:val="0"/>
        <w:wordWrap/>
        <w:adjustRightInd/>
        <w:snapToGrid/>
        <w:spacing w:line="420" w:lineRule="exact"/>
        <w:ind w:left="0" w:leftChars="0" w:right="0" w:firstLine="480" w:firstLineChars="200"/>
        <w:jc w:val="left"/>
        <w:textAlignment w:val="auto"/>
        <w:outlineLvl w:val="9"/>
        <w:rPr>
          <w:rFonts w:hint="eastAsia" w:ascii="仿宋_GB2312" w:hAnsi="仿宋_GB2312" w:eastAsia="仿宋_GB2312" w:cs="仿宋_GB2312"/>
          <w:sz w:val="24"/>
          <w:szCs w:val="24"/>
        </w:rPr>
      </w:pPr>
    </w:p>
    <w:p>
      <w:pPr>
        <w:widowControl w:val="0"/>
        <w:wordWrap/>
        <w:adjustRightInd/>
        <w:snapToGrid/>
        <w:spacing w:line="420" w:lineRule="exact"/>
        <w:ind w:left="0" w:leftChars="0" w:right="0" w:firstLine="480" w:firstLineChars="200"/>
        <w:jc w:val="left"/>
        <w:textAlignment w:val="auto"/>
        <w:outlineLvl w:val="9"/>
        <w:rPr>
          <w:rFonts w:ascii="仿宋_GB2312" w:hAnsi="仿宋_GB2312" w:eastAsia="仿宋_GB2312" w:cs="仿宋_GB2312"/>
          <w:sz w:val="24"/>
          <w:szCs w:val="24"/>
        </w:rPr>
      </w:pPr>
      <w:r>
        <w:rPr>
          <w:rFonts w:hint="eastAsia" w:ascii="仿宋_GB2312" w:hAnsi="仿宋_GB2312" w:eastAsia="仿宋_GB2312" w:cs="仿宋_GB2312"/>
          <w:sz w:val="24"/>
          <w:szCs w:val="24"/>
        </w:rPr>
        <w:t>单位负责人：</w:t>
      </w:r>
      <w:r>
        <w:rPr>
          <w:rFonts w:hint="eastAsia" w:ascii="仿宋_GB2312" w:hAnsi="仿宋_GB2312" w:eastAsia="仿宋_GB2312" w:cs="仿宋_GB2312"/>
          <w:sz w:val="24"/>
          <w:szCs w:val="24"/>
          <w:lang w:eastAsia="zh-CN"/>
        </w:rPr>
        <w:t>贾东平</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财务负责人：</w:t>
      </w:r>
      <w:r>
        <w:rPr>
          <w:rFonts w:hint="eastAsia" w:ascii="仿宋_GB2312" w:hAnsi="仿宋_GB2312" w:eastAsia="仿宋_GB2312" w:cs="仿宋_GB2312"/>
          <w:sz w:val="24"/>
          <w:szCs w:val="24"/>
          <w:lang w:eastAsia="zh-CN"/>
        </w:rPr>
        <w:t>许冰</w:t>
      </w:r>
    </w:p>
    <w:p>
      <w:pPr>
        <w:widowControl w:val="0"/>
        <w:wordWrap/>
        <w:adjustRightInd/>
        <w:snapToGrid/>
        <w:spacing w:line="420" w:lineRule="exact"/>
        <w:ind w:left="0" w:leftChars="0" w:right="0" w:firstLine="480" w:firstLineChars="200"/>
        <w:textAlignment w:val="auto"/>
        <w:outlineLvl w:val="9"/>
        <w:rPr>
          <w:rFonts w:hint="default"/>
          <w:b/>
          <w:bCs/>
          <w:lang w:val="en-U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r>
        <w:rPr>
          <w:rFonts w:hint="eastAsia" w:ascii="仿宋_GB2312" w:hAnsi="仿宋_GB2312" w:eastAsia="仿宋_GB2312" w:cs="仿宋_GB2312"/>
          <w:sz w:val="24"/>
          <w:szCs w:val="24"/>
        </w:rPr>
        <w:t>填  报  人：</w:t>
      </w:r>
      <w:r>
        <w:rPr>
          <w:rFonts w:hint="eastAsia" w:ascii="仿宋_GB2312" w:hAnsi="仿宋_GB2312" w:eastAsia="仿宋_GB2312" w:cs="仿宋_GB2312"/>
          <w:sz w:val="24"/>
          <w:szCs w:val="24"/>
          <w:lang w:eastAsia="zh-CN"/>
        </w:rPr>
        <w:t>杨</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康</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联 系电 话：</w:t>
      </w:r>
      <w:r>
        <w:rPr>
          <w:rFonts w:hint="eastAsia" w:ascii="仿宋_GB2312" w:hAnsi="仿宋_GB2312" w:eastAsia="仿宋_GB2312" w:cs="仿宋_GB2312"/>
          <w:sz w:val="24"/>
          <w:szCs w:val="24"/>
          <w:lang w:val="en-US" w:eastAsia="zh-CN"/>
        </w:rPr>
        <w:t>0359-8020364</w:t>
      </w:r>
    </w:p>
    <w:p>
      <w:pPr>
        <w:tabs>
          <w:tab w:val="left" w:pos="2643"/>
        </w:tabs>
        <w:bidi w:val="0"/>
        <w:jc w:val="left"/>
        <w:rPr>
          <w:lang w:val="en-US" w:eastAsia="zh-CN"/>
        </w:rPr>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3D830"/>
    <w:multiLevelType w:val="singleLevel"/>
    <w:tmpl w:val="33A3D830"/>
    <w:lvl w:ilvl="0" w:tentative="0">
      <w:start w:val="6"/>
      <w:numFmt w:val="chineseCounting"/>
      <w:suff w:val="nothing"/>
      <w:lvlText w:val="%1、"/>
      <w:lvlJc w:val="left"/>
      <w:pPr>
        <w:ind w:left="560" w:firstLine="0"/>
      </w:pPr>
      <w:rPr>
        <w:rFonts w:hint="eastAsia"/>
      </w:rPr>
    </w:lvl>
  </w:abstractNum>
  <w:abstractNum w:abstractNumId="1">
    <w:nsid w:val="390E71E4"/>
    <w:multiLevelType w:val="singleLevel"/>
    <w:tmpl w:val="390E71E4"/>
    <w:lvl w:ilvl="0" w:tentative="0">
      <w:start w:val="1"/>
      <w:numFmt w:val="chineseCounting"/>
      <w:suff w:val="nothing"/>
      <w:lvlText w:val="（%1）"/>
      <w:lvlJc w:val="left"/>
      <w:rPr>
        <w:rFonts w:hint="eastAsia"/>
      </w:rPr>
    </w:lvl>
  </w:abstractNum>
  <w:abstractNum w:abstractNumId="2">
    <w:nsid w:val="5A93742C"/>
    <w:multiLevelType w:val="singleLevel"/>
    <w:tmpl w:val="5A93742C"/>
    <w:lvl w:ilvl="0" w:tentative="0">
      <w:start w:val="3"/>
      <w:numFmt w:val="chineseCounting"/>
      <w:suff w:val="nothing"/>
      <w:lvlText w:val="（%1）"/>
      <w:lvlJc w:val="left"/>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84F532E"/>
    <w:rsid w:val="0A6D40D9"/>
    <w:rsid w:val="0C1B665F"/>
    <w:rsid w:val="0F3E36B6"/>
    <w:rsid w:val="12750F57"/>
    <w:rsid w:val="195C6E4A"/>
    <w:rsid w:val="1A694B6A"/>
    <w:rsid w:val="1E15266D"/>
    <w:rsid w:val="1E2B5508"/>
    <w:rsid w:val="21787965"/>
    <w:rsid w:val="24674A7D"/>
    <w:rsid w:val="2A4A105E"/>
    <w:rsid w:val="2C090686"/>
    <w:rsid w:val="2D222731"/>
    <w:rsid w:val="37077D6C"/>
    <w:rsid w:val="3BD317B6"/>
    <w:rsid w:val="470D43A0"/>
    <w:rsid w:val="47F531FD"/>
    <w:rsid w:val="4DAA120A"/>
    <w:rsid w:val="4E195985"/>
    <w:rsid w:val="529B7A3A"/>
    <w:rsid w:val="56AD65C8"/>
    <w:rsid w:val="5B017F67"/>
    <w:rsid w:val="5D8A3D08"/>
    <w:rsid w:val="63616199"/>
    <w:rsid w:val="63740482"/>
    <w:rsid w:val="64A4332E"/>
    <w:rsid w:val="6A1F750D"/>
    <w:rsid w:val="70237527"/>
    <w:rsid w:val="71E54B77"/>
    <w:rsid w:val="72C465F5"/>
    <w:rsid w:val="731746C4"/>
    <w:rsid w:val="73477B78"/>
    <w:rsid w:val="785175A8"/>
    <w:rsid w:val="7BAB130B"/>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rPr>
  </w:style>
  <w:style w:type="paragraph" w:customStyle="1" w:styleId="5">
    <w:name w:val="列出段落1"/>
    <w:basedOn w:val="1"/>
    <w:qFormat/>
    <w:uiPriority w:val="0"/>
    <w:pPr>
      <w:widowControl w:val="0"/>
      <w:spacing w:before="0" w:beforeAutospacing="0" w:after="0" w:afterAutospacing="0"/>
      <w:ind w:left="0" w:right="0" w:firstLine="420" w:firstLineChars="200"/>
      <w:jc w:val="both"/>
    </w:pPr>
    <w:rPr>
      <w:rFonts w:hint="default" w:ascii="Calibri" w:hAnsi="Calibri" w:eastAsia="宋体" w:cs="黑体"/>
      <w:kern w:val="2"/>
      <w:sz w:val="21"/>
      <w:szCs w:val="22"/>
      <w:lang w:val="en-US" w:eastAsia="zh-CN" w:bidi="ar-SA"/>
    </w:rPr>
  </w:style>
  <w:style w:type="paragraph" w:customStyle="1" w:styleId="6">
    <w:name w:val="List Paragraph1"/>
    <w:basedOn w:val="1"/>
    <w:qFormat/>
    <w:uiPriority w:val="0"/>
    <w:pPr>
      <w:widowControl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SA"/>
    </w:rPr>
  </w:style>
  <w:style w:type="paragraph" w:customStyle="1" w:styleId="7">
    <w:name w:val="List Paragraph"/>
    <w:basedOn w:val="1"/>
    <w:qFormat/>
    <w:uiPriority w:val="34"/>
    <w:pPr>
      <w:ind w:firstLine="420" w:firstLineChars="200"/>
    </w:pPr>
    <w:rPr>
      <w:rFonts w:ascii="Calibri" w:hAnsi="Calibri" w:eastAsia="宋体" w:cs="黑体"/>
    </w:rPr>
  </w:style>
  <w:style w:type="character" w:customStyle="1" w:styleId="8">
    <w:name w:val="Footer Char"/>
    <w:basedOn w:val="3"/>
    <w:link w:val="2"/>
    <w:qFormat/>
    <w:uiPriority w:val="0"/>
    <w:rPr>
      <w:rFonts w:hint="default" w:ascii="Calibri" w:hAnsi="Calibri" w:eastAsia="宋体" w:cs="黑体"/>
      <w:kern w:val="2"/>
      <w:sz w:val="18"/>
      <w:szCs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2021-03-24T02:07:00Z</cp:lastPrinted>
  <dcterms:modified xsi:type="dcterms:W3CDTF">2021-04-27T08:32:23Z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