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-180"/>
          <w:tab w:val="left" w:pos="180"/>
          <w:tab w:val="left" w:pos="540"/>
        </w:tabs>
        <w:wordWrap/>
        <w:adjustRightInd/>
        <w:snapToGri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永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济市少儿业余体育运动学校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0" w:firstLineChars="0"/>
        <w:jc w:val="center"/>
        <w:textAlignment w:val="auto"/>
        <w:outlineLvl w:val="9"/>
        <w:rPr>
          <w:rFonts w:ascii="宋体" w:hAnsi="宋体"/>
          <w:b/>
          <w:color w:val="auto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年部门预算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说明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单位主要职责及机构设置情况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（一）基本情况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永济市少儿业余体育运动学校，简称少体校。现有编制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人数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人，在岗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人，退休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人.在校学生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154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人。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（二）主要职能职责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培养学生全面发展能力，提高学生全面素质。代表永济市承担运城市的各项运动会的竞技、竞赛任务，同时为上一级体育运动学校输送合格人才。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</w:rPr>
        <w:t>（三）机构设置情况</w:t>
      </w:r>
    </w:p>
    <w:p>
      <w:pPr>
        <w:pStyle w:val="8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我单位机构设为教务处，政教处，办公室，后勤处，竞训处五个处室。</w:t>
      </w: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b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二、本级预算情况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局二级独立核算单位。20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344.21万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344.21万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308.58万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4.11万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4.52万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元，项目支出为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27万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元）。</w:t>
      </w:r>
    </w:p>
    <w:p>
      <w:pPr>
        <w:pStyle w:val="7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460" w:lineRule="exact"/>
        <w:ind w:left="0" w:leftChars="0" w:right="0" w:firstLine="480" w:firstLineChars="200"/>
        <w:jc w:val="both"/>
        <w:textAlignment w:val="auto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344.21万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上年预算增长2.8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</w:t>
      </w:r>
      <w:r>
        <w:rPr>
          <w:rFonts w:hint="eastAsia" w:ascii="仿宋_GB2312" w:hAnsi="仿宋" w:eastAsia="仿宋_GB2312" w:cs="仿宋"/>
          <w:color w:val="auto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支出预算为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344.21万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上年预算增长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2.8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</w:t>
      </w:r>
      <w:r>
        <w:rPr>
          <w:rFonts w:hint="eastAsia" w:ascii="仿宋_GB2312" w:hAnsi="仿宋" w:eastAsia="仿宋_GB2312" w:cs="仿宋"/>
          <w:color w:val="auto"/>
          <w:sz w:val="24"/>
          <w:szCs w:val="24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308.58万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工资普调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4.11万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元，比上年增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10.78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%，原因是部门经济分类科目调整；商品服务支出为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4.52万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280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%，原因是部门经济分类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科目调整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；项目支出为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81.48%，原因是部门经济分类科目调整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四、机关运行经费安排情况说明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4.52万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比上年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280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%，原因是部门经济分类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科目调整。</w:t>
      </w:r>
    </w:p>
    <w:p>
      <w:pPr>
        <w:pStyle w:val="7"/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五、政府采购安排情况说明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年我单位政府采购预算安排为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6.57万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LED屏4万元，空调1.5万元，目的改善教师办公条件，电脑1,07万元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>
      <w:pPr>
        <w:pStyle w:val="7"/>
        <w:numPr>
          <w:ilvl w:val="0"/>
          <w:numId w:val="2"/>
        </w:numPr>
        <w:adjustRightInd/>
        <w:spacing w:line="360" w:lineRule="auto"/>
        <w:ind w:left="0" w:leftChars="0" w:right="0" w:firstLine="480" w:firstLineChars="200"/>
        <w:jc w:val="left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专业性较强的名词解释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义务教育“两免一补”：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“两免”：免除学杂费、免费提供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书。“一补”：我省农村义务教育阶段家庭经济困难寄宿生的生活补助。</w:t>
      </w:r>
    </w:p>
    <w:p>
      <w:pPr>
        <w:pStyle w:val="3"/>
        <w:widowControl w:val="0"/>
        <w:wordWrap/>
        <w:adjustRightInd/>
        <w:snapToGrid w:val="0"/>
        <w:spacing w:after="0" w:line="360" w:lineRule="auto"/>
        <w:ind w:left="0" w:leftChars="0" w:right="0" w:firstLine="480" w:firstLineChars="200"/>
        <w:jc w:val="both"/>
        <w:textAlignment w:val="baseline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黑体" w:hAnsi="黑体" w:eastAsia="黑体" w:cs="黑体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sz w:val="24"/>
          <w:szCs w:val="24"/>
          <w:lang w:eastAsia="zh-CN"/>
        </w:rPr>
        <w:t>七</w:t>
      </w:r>
      <w:r>
        <w:rPr>
          <w:rFonts w:hint="eastAsia" w:ascii="黑体" w:hAnsi="黑体" w:eastAsia="黑体" w:cs="黑体"/>
          <w:bCs/>
          <w:color w:val="auto"/>
          <w:sz w:val="24"/>
          <w:szCs w:val="24"/>
        </w:rPr>
        <w:t>、“三公”经费增减变化情况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年三公经费预算0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元,与20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年预算相比无变化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。其中20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年因公出国（境）费0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元，原因是本年度我校无此项业务支出预算；20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年公务接待费0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元，原因是我校没有接待任务；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年公务用车运行维护费预算0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kern w:val="44"/>
          <w:sz w:val="24"/>
          <w:szCs w:val="24"/>
        </w:rPr>
        <w:t>元，原因是我校无公车。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、国有资产占用情况说明</w:t>
      </w:r>
    </w:p>
    <w:p>
      <w:pPr>
        <w:pStyle w:val="4"/>
        <w:numPr>
          <w:ilvl w:val="0"/>
          <w:numId w:val="0"/>
        </w:numPr>
        <w:shd w:val="clear" w:color="auto" w:fill="FFFFFF"/>
        <w:wordWrap w:val="0"/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截止2020年12月31日，本部门共有资产348.1万元，其中土地、房屋价值218.55万元；通用设备数量23台，价值66.54万元；专用设备数量31件，价值28.84万元；家具用具244个，价值5.7万元。图书、档案240个，价值2.77万元,无形资产25.67万元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。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预计新增采购固定资产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6.57万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元，其中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LED屏4万元，空调1.5万元，目的改善教师办公条件，电脑1,07万元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>
      <w:pPr>
        <w:numPr>
          <w:ilvl w:val="0"/>
          <w:numId w:val="0"/>
        </w:numPr>
        <w:adjustRightInd/>
        <w:spacing w:line="360" w:lineRule="auto"/>
        <w:ind w:left="0" w:leftChars="0" w:right="0" w:firstLine="482" w:firstLineChars="200"/>
        <w:outlineLvl w:val="9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>九、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重点项目预算的教学目标情况说明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本年度无重点项目预算的绩效目标。</w:t>
      </w:r>
    </w:p>
    <w:p>
      <w:pPr>
        <w:tabs>
          <w:tab w:val="left" w:pos="5285"/>
        </w:tabs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tabs>
          <w:tab w:val="left" w:pos="5285"/>
        </w:tabs>
        <w:adjustRightInd/>
        <w:spacing w:line="360" w:lineRule="auto"/>
        <w:ind w:left="0" w:leftChars="0" w:right="0" w:firstLine="480" w:firstLineChars="200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陈俊峰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陈俊峰</w:t>
      </w:r>
    </w:p>
    <w:p>
      <w:pPr>
        <w:adjustRightInd/>
        <w:spacing w:line="360" w:lineRule="auto"/>
        <w:ind w:left="0" w:leftChars="0" w:right="0" w:firstLine="480" w:firstLineChars="200"/>
        <w:outlineLvl w:val="9"/>
        <w:rPr>
          <w:rFonts w:hint="default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人：徐文军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系电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13513596362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auto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  <w:color w:val="auto"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</w:p>
    <w:p>
      <w:pPr>
        <w:widowControl w:val="0"/>
        <w:spacing w:before="0" w:beforeAutospacing="0" w:after="0" w:afterAutospacing="0"/>
        <w:ind w:left="0" w:right="0"/>
        <w:jc w:val="both"/>
        <w:rPr>
          <w:color w:val="auto"/>
          <w:lang w:val="en-US"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rFonts w:hint="eastAsia" w:eastAsia="宋体"/>
          <w:b/>
          <w:bCs/>
          <w:color w:val="auto"/>
          <w:lang w:eastAsia="zh-CN"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F68F4"/>
    <w:multiLevelType w:val="singleLevel"/>
    <w:tmpl w:val="6B3F68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D972D9D"/>
    <w:multiLevelType w:val="singleLevel"/>
    <w:tmpl w:val="6D972D9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9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90686"/>
    <w:rsid w:val="00234169"/>
    <w:rsid w:val="00246DC4"/>
    <w:rsid w:val="011E7BAD"/>
    <w:rsid w:val="0ED3560D"/>
    <w:rsid w:val="0F3E36B6"/>
    <w:rsid w:val="0F7E5809"/>
    <w:rsid w:val="112711F9"/>
    <w:rsid w:val="14F861C9"/>
    <w:rsid w:val="195C6E4A"/>
    <w:rsid w:val="1A694B6A"/>
    <w:rsid w:val="1E2B5508"/>
    <w:rsid w:val="21787965"/>
    <w:rsid w:val="24674A7D"/>
    <w:rsid w:val="276B0E1F"/>
    <w:rsid w:val="2A3E70D4"/>
    <w:rsid w:val="2A4A105E"/>
    <w:rsid w:val="2C090686"/>
    <w:rsid w:val="33D46F96"/>
    <w:rsid w:val="342149B6"/>
    <w:rsid w:val="37077D6C"/>
    <w:rsid w:val="3BD317B6"/>
    <w:rsid w:val="435E20E7"/>
    <w:rsid w:val="446504DC"/>
    <w:rsid w:val="4E195985"/>
    <w:rsid w:val="529B7A3A"/>
    <w:rsid w:val="56AD65C8"/>
    <w:rsid w:val="58036FF1"/>
    <w:rsid w:val="5B017F67"/>
    <w:rsid w:val="5D8A3D08"/>
    <w:rsid w:val="6DB010BC"/>
    <w:rsid w:val="70237527"/>
    <w:rsid w:val="71E54B77"/>
    <w:rsid w:val="76F21C63"/>
    <w:rsid w:val="7AD16FE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cs="黑体"/>
      <w:sz w:val="22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2021-03-27T10:55:00Z</cp:lastPrinted>
  <dcterms:modified xsi:type="dcterms:W3CDTF">2021-04-27T08:26:07Z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C55D085A2C374F938C1E50D78142AF1E</vt:lpwstr>
  </property>
</Properties>
</file>