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ind w:firstLine="1760"/>
        <w:jc w:val="center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bookmarkStart w:id="0" w:name="_GoBack"/>
      <w:bookmarkEnd w:id="0"/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</w:rPr>
        <w:t>2021年部门预算公开目录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 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1、部门主要职责及机构设置情况（详见部门预算公开说明）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2、包括本级预算和所属单位预算在内的汇总预算（详见部门预算公开说明）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3、预算收支增减变化情况说明（详见部门预算公开说明）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4、机关运行经费安排情况说明（详见部门预算公开说明）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5、政府采购安排情况说明（详见部门预算公开说明）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6、对专业性较强的名词进行解释（详见部门预算公开说明）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7、国有资产占用情况说明（详见部门预算公开说明）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8、“三公”经费增减变化原因说明信息（详见部门预算公开说明）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9、重点项目预算的绩效目标等预算绩效情况说明（详见部门预算公开说明）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10、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2021年部门预算收支总表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11、2021年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部门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预算收入总表（详见单位信息公开表）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12、2021年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部门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预算支出总表（详见单位信息公开表）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13、2021年财政拨款收支总表（详见单位信息公开表）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14、2021年一般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公共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预算支出预算表（详见单位信息公开表）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15、一般公共预算安排基本支出分经济科目表（详见单位信息公开表）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16、2021年政府性基金预算收入表（详见单位信息公开表）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17、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2021年政府性基金预算支出预算表（详见单位信息公开表）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18、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2021年一般公共预算“三公”经费支出情况统计表（详见单位信息公开表）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19、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2021年机关运行经费预算财政拨款情况统计表（详见单位信息公开表）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945"/>
    <w:rsid w:val="001264E6"/>
    <w:rsid w:val="00521E3D"/>
    <w:rsid w:val="005A56FF"/>
    <w:rsid w:val="00727D52"/>
    <w:rsid w:val="007E6945"/>
    <w:rsid w:val="009759AA"/>
    <w:rsid w:val="00A229E7"/>
    <w:rsid w:val="12EB2BC1"/>
    <w:rsid w:val="1CB6080C"/>
    <w:rsid w:val="416309AA"/>
    <w:rsid w:val="7177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371</Characters>
  <Lines>3</Lines>
  <Paragraphs>1</Paragraphs>
  <TotalTime>1</TotalTime>
  <ScaleCrop>false</ScaleCrop>
  <LinksUpToDate>false</LinksUpToDate>
  <CharactersWithSpaces>435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2020-05-09T02:31:00Z</dcterms:created>
  <dc:creator>Administrator</dc:creator>
  <cp:lastModifiedBy>转子</cp:lastModifiedBy>
  <dcterms:modified xsi:type="dcterms:W3CDTF">2021-04-28T03:11:54Z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BDDDEED5893740029B83F3C1F619B6E7</vt:lpwstr>
  </property>
</Properties>
</file>