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永济市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银杏小学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校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年部门预算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pStyle w:val="5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基本情况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lang w:val="en-US" w:eastAsia="zh-CN" w:bidi="ar-SA"/>
        </w:rPr>
        <w:t>永济市银杏小学校是全额事业单位，位于永济市银杏东街196号 ，编制117 人，实有人数114 人，退休人员33人，享受遗属补助人数4人，学生人数1983人。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主要职责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校坚持依据党的教育方针，遵照《教育法》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《义务教育法》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《教师法》等法律法规的要求，为辖区小学教育阶段学生提供良好的教育教学服务。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机构设置情况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我单位机构设为：办公室、教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导处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、党建室、工会、后勤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室、政教处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6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  <w:t xml:space="preserve">二、本级预算情况(二级单位)      </w:t>
      </w:r>
    </w:p>
    <w:p>
      <w:pPr>
        <w:pStyle w:val="5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局二级独立核算单位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1276.34万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1276.34万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元（其中工资福利支出为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1080.78万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元，对个人和家庭的补助为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16.73万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元，商品服务支出为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15.66万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，项目支出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163.17万元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）。</w:t>
      </w:r>
    </w:p>
    <w:p>
      <w:pPr>
        <w:pStyle w:val="5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1276.34万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10.04%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。支出预算为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1276.34万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10.04%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，其中工资福利支出为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1080.78万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12.68%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，原因是工资普调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、教师人数增加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16.73万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2.11%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遗属减少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；商品服务支出为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15.66万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元, 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91.47%，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原因是部门经济分类科目调整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及附属幼儿园独立核算；项目支出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163.17万元，比上年增长100%，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原因是部门经济分类科目调整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机关运行经费安排为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15.66万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91.47%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，原因是部门经济分类科目调整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及附属幼儿园独立核算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5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年我单位政府采购预算安排为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15.72万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元，其中：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A4纸50箱1万元，印刷费1.81万元，监控一套3.82万元，宿舍值班室5张床0.14万元，2组更衣柜0.13万元，2张桌子0.11万元，2台电视机0.28万元，360套学生课桌椅6.3万元，30张办公桌1.65万元，40把办公椅0.48万元。</w:t>
      </w:r>
    </w:p>
    <w:p>
      <w:pPr>
        <w:pStyle w:val="5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六、专业性较强的名词解释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义务教育“两免一补”： “两免”：免除学杂费、免费提供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书。 “一补”：我省农村义务教育阶段家庭经济困难寄宿生的生活补助。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七、“三公”经费增减变化情况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元，与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年预算相比无变化。其中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年因公出国（境）费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元，原因是本年度我校无此项业务支出预算；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年公务接待费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年公务用车运行维护费预算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元，原因是我校无公车。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1317.20万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30.72万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元；固定资产原值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1688.31万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元，累计折旧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402.06万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元，固定资产净值为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1286.25万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元，在建工程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元，无形资产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0.88万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元。固定资产当中，房屋构筑物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1072.49万元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汽车0辆0万元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，单价200万元以上大型设备价值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元，其他固定资产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元。与上年相比，本年固定资产原值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119.21%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接收了逸夫初中划拨的资产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年预计新增采购固定资产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20.9万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元，其中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监控一套3.82万元，宿舍值班室5张床0.14万元，2组更衣柜0.13万元，2张桌子0.11万元，2台电视机0.28万元，360套学生课桌椅6.3万元，30张办公桌1.65万元，40把办公椅0.48万元，净水机4台2.2万元，热水桶4个0.76万元，图书4.95万元，小音箱0.08万元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九、重点项目预算的绩效目标情况说明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年度本部门无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重点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项目预算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绩效目标。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卫苏龙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常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b/>
          <w:bCs/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填  报  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李亚姣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联 系电 话：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13935983879</w:t>
      </w:r>
    </w:p>
    <w:sectPr>
      <w:pgSz w:w="11915" w:h="16840"/>
      <w:pgMar w:top="1587" w:right="1361" w:bottom="158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ED3560D"/>
    <w:rsid w:val="0F3E36B6"/>
    <w:rsid w:val="1866073B"/>
    <w:rsid w:val="195C6E4A"/>
    <w:rsid w:val="1A694B6A"/>
    <w:rsid w:val="1E2B5508"/>
    <w:rsid w:val="1E5D51A5"/>
    <w:rsid w:val="21787965"/>
    <w:rsid w:val="24674A7D"/>
    <w:rsid w:val="2A4A105E"/>
    <w:rsid w:val="2C090686"/>
    <w:rsid w:val="37077D6C"/>
    <w:rsid w:val="3784307B"/>
    <w:rsid w:val="3BD317B6"/>
    <w:rsid w:val="45C547B0"/>
    <w:rsid w:val="49E81F97"/>
    <w:rsid w:val="4E195985"/>
    <w:rsid w:val="529B7A3A"/>
    <w:rsid w:val="56AD65C8"/>
    <w:rsid w:val="5B017F67"/>
    <w:rsid w:val="5D8A3D08"/>
    <w:rsid w:val="5D97530E"/>
    <w:rsid w:val="5DB122E8"/>
    <w:rsid w:val="637E3716"/>
    <w:rsid w:val="70237527"/>
    <w:rsid w:val="70C62CD1"/>
    <w:rsid w:val="71E54B7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2021-04-27T09:00:34Z</dcterms:modified>
  <dc:title>永济市银杏小学校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