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00" w:lineRule="exact"/>
        <w:ind w:left="0" w:leftChars="0" w:right="0" w:firstLine="0" w:firstLineChars="0"/>
        <w:jc w:val="center"/>
        <w:textAlignment w:val="auto"/>
        <w:outlineLvl w:val="9"/>
        <w:rPr>
          <w:rFonts w:hint="eastAsia" w:ascii="方正小标宋简体" w:hAnsi="宋体" w:eastAsia="方正小标宋简体"/>
          <w:sz w:val="36"/>
          <w:szCs w:val="36"/>
          <w:lang w:eastAsia="zh-CN"/>
        </w:rPr>
      </w:pPr>
      <w:r>
        <w:rPr>
          <w:rFonts w:hint="eastAsia" w:ascii="方正小标宋简体" w:hAnsi="宋体" w:eastAsia="方正小标宋简体"/>
          <w:sz w:val="36"/>
          <w:szCs w:val="36"/>
        </w:rPr>
        <w:t>永济市</w:t>
      </w:r>
      <w:r>
        <w:rPr>
          <w:rFonts w:hint="eastAsia" w:ascii="方正小标宋简体" w:hAnsi="宋体" w:eastAsia="方正小标宋简体"/>
          <w:sz w:val="36"/>
          <w:szCs w:val="36"/>
          <w:lang w:eastAsia="zh-CN"/>
        </w:rPr>
        <w:t>栲栳镇中心学校</w:t>
      </w:r>
    </w:p>
    <w:p>
      <w:pPr>
        <w:widowControl w:val="0"/>
        <w:wordWrap/>
        <w:adjustRightInd/>
        <w:snapToGrid/>
        <w:spacing w:line="500" w:lineRule="exact"/>
        <w:ind w:left="0" w:leftChars="0" w:right="0" w:firstLine="0" w:firstLineChars="0"/>
        <w:jc w:val="center"/>
        <w:textAlignment w:val="auto"/>
        <w:outlineLvl w:val="9"/>
        <w:rPr>
          <w:rFonts w:ascii="方正小标宋简体" w:hAnsi="宋体" w:eastAsia="方正小标宋简体"/>
          <w:sz w:val="36"/>
          <w:szCs w:val="36"/>
        </w:rPr>
      </w:pPr>
      <w:r>
        <w:rPr>
          <w:rFonts w:hint="eastAsia" w:ascii="方正小标宋简体" w:hAnsi="宋体" w:eastAsia="方正小标宋简体"/>
          <w:sz w:val="36"/>
          <w:szCs w:val="36"/>
        </w:rPr>
        <w:t>20</w:t>
      </w:r>
      <w:r>
        <w:rPr>
          <w:rFonts w:ascii="方正小标宋简体" w:hAnsi="宋体" w:eastAsia="方正小标宋简体"/>
          <w:sz w:val="36"/>
          <w:szCs w:val="36"/>
        </w:rPr>
        <w:t>2</w:t>
      </w:r>
      <w:r>
        <w:rPr>
          <w:rFonts w:hint="eastAsia" w:ascii="方正小标宋简体" w:hAnsi="宋体" w:eastAsia="方正小标宋简体"/>
          <w:sz w:val="36"/>
          <w:szCs w:val="36"/>
          <w:lang w:val="en-US" w:eastAsia="zh-CN"/>
        </w:rPr>
        <w:t>1</w:t>
      </w:r>
      <w:r>
        <w:rPr>
          <w:rFonts w:hint="eastAsia" w:ascii="方正小标宋简体" w:hAnsi="宋体" w:eastAsia="方正小标宋简体"/>
          <w:sz w:val="36"/>
          <w:szCs w:val="36"/>
        </w:rPr>
        <w:t>年部门预算</w:t>
      </w:r>
      <w:r>
        <w:rPr>
          <w:rFonts w:hint="eastAsia" w:eastAsia="方正小标宋简体"/>
          <w:sz w:val="36"/>
          <w:szCs w:val="36"/>
          <w:lang w:eastAsia="zh-CN"/>
        </w:rPr>
        <w:t>公开</w:t>
      </w:r>
      <w:r>
        <w:rPr>
          <w:rFonts w:hint="eastAsia" w:ascii="方正小标宋简体" w:hAnsi="宋体" w:eastAsia="方正小标宋简体"/>
          <w:sz w:val="36"/>
          <w:szCs w:val="36"/>
        </w:rPr>
        <w:t>说明</w:t>
      </w:r>
    </w:p>
    <w:p>
      <w:pPr>
        <w:widowControl w:val="0"/>
        <w:wordWrap/>
        <w:adjustRightInd/>
        <w:snapToGrid/>
        <w:spacing w:line="400" w:lineRule="exact"/>
        <w:ind w:left="0" w:leftChars="0" w:right="0" w:firstLine="880" w:firstLineChars="200"/>
        <w:jc w:val="center"/>
        <w:textAlignment w:val="auto"/>
        <w:outlineLvl w:val="9"/>
        <w:rPr>
          <w:rFonts w:ascii="宋体"/>
          <w:sz w:val="44"/>
          <w:szCs w:val="44"/>
        </w:rPr>
      </w:pPr>
    </w:p>
    <w:p>
      <w:pPr>
        <w:pStyle w:val="6"/>
        <w:widowControl w:val="0"/>
        <w:wordWrap/>
        <w:adjustRightInd/>
        <w:snapToGrid/>
        <w:spacing w:line="40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一、单位主要职责及机构设置情况</w:t>
      </w:r>
    </w:p>
    <w:p>
      <w:pPr>
        <w:widowControl w:val="0"/>
        <w:numPr>
          <w:ilvl w:val="0"/>
          <w:numId w:val="1"/>
        </w:numPr>
        <w:wordWrap/>
        <w:adjustRightInd/>
        <w:spacing w:line="400" w:lineRule="exact"/>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基本情况</w:t>
      </w:r>
    </w:p>
    <w:p>
      <w:pPr>
        <w:widowControl w:val="0"/>
        <w:wordWrap/>
        <w:adjustRightInd/>
        <w:spacing w:line="400" w:lineRule="exact"/>
        <w:ind w:left="0" w:leftChars="0" w:right="0" w:firstLine="480" w:firstLineChars="200"/>
        <w:jc w:val="left"/>
        <w:textAlignment w:val="auto"/>
        <w:outlineLvl w:val="9"/>
        <w:rPr>
          <w:rFonts w:hint="default" w:ascii="宋体" w:hAnsi="宋体" w:eastAsia="仿宋_GB2312"/>
          <w:sz w:val="24"/>
          <w:szCs w:val="24"/>
          <w:lang w:val="en-US" w:eastAsia="zh-CN"/>
        </w:rPr>
      </w:pPr>
      <w:r>
        <w:rPr>
          <w:rFonts w:hint="eastAsia" w:ascii="仿宋_GB2312" w:hAnsi="仿宋_GB2312" w:eastAsia="仿宋_GB2312" w:cs="仿宋_GB2312"/>
          <w:sz w:val="24"/>
          <w:szCs w:val="24"/>
        </w:rPr>
        <w:t>永济市栲栳镇中心学校</w:t>
      </w:r>
      <w:r>
        <w:rPr>
          <w:rFonts w:hint="eastAsia" w:ascii="仿宋_GB2312" w:hAnsi="仿宋_GB2312" w:eastAsia="仿宋_GB2312" w:cs="仿宋_GB2312"/>
          <w:sz w:val="24"/>
          <w:szCs w:val="24"/>
          <w:lang w:eastAsia="zh-CN"/>
        </w:rPr>
        <w:t>是</w:t>
      </w:r>
      <w:r>
        <w:rPr>
          <w:rFonts w:hint="eastAsia" w:ascii="仿宋_GB2312" w:hAnsi="宋体" w:eastAsia="仿宋_GB2312"/>
          <w:sz w:val="24"/>
          <w:szCs w:val="24"/>
        </w:rPr>
        <w:t>全额事业单位，位于</w:t>
      </w:r>
      <w:r>
        <w:rPr>
          <w:rFonts w:hint="eastAsia" w:ascii="仿宋_GB2312" w:hAnsi="仿宋_GB2312" w:eastAsia="仿宋_GB2312" w:cs="仿宋_GB2312"/>
          <w:sz w:val="24"/>
          <w:szCs w:val="24"/>
        </w:rPr>
        <w:t>永济市栲栳镇栲栳村</w:t>
      </w:r>
      <w:r>
        <w:rPr>
          <w:rFonts w:hint="eastAsia" w:ascii="仿宋_GB2312" w:hAnsi="宋体" w:eastAsia="仿宋_GB2312"/>
          <w:sz w:val="24"/>
          <w:szCs w:val="24"/>
        </w:rPr>
        <w:t>，编制</w:t>
      </w:r>
      <w:r>
        <w:rPr>
          <w:rFonts w:hint="eastAsia" w:ascii="仿宋_GB2312" w:hAnsi="宋体" w:eastAsia="仿宋_GB2312"/>
          <w:sz w:val="24"/>
          <w:szCs w:val="24"/>
          <w:lang w:val="en-US" w:eastAsia="zh-CN"/>
        </w:rPr>
        <w:t>158</w:t>
      </w:r>
      <w:r>
        <w:rPr>
          <w:rFonts w:hint="eastAsia" w:ascii="仿宋_GB2312" w:hAnsi="宋体" w:eastAsia="仿宋_GB2312"/>
          <w:sz w:val="24"/>
          <w:szCs w:val="24"/>
        </w:rPr>
        <w:t>人，实有人数</w:t>
      </w:r>
      <w:r>
        <w:rPr>
          <w:rFonts w:hint="eastAsia" w:ascii="仿宋_GB2312" w:hAnsi="宋体" w:eastAsia="仿宋_GB2312"/>
          <w:sz w:val="24"/>
          <w:szCs w:val="24"/>
          <w:lang w:val="en-US" w:eastAsia="zh-CN"/>
        </w:rPr>
        <w:t>133</w:t>
      </w:r>
      <w:r>
        <w:rPr>
          <w:rFonts w:hint="eastAsia" w:ascii="仿宋_GB2312" w:hAnsi="宋体" w:eastAsia="仿宋_GB2312"/>
          <w:sz w:val="24"/>
          <w:szCs w:val="24"/>
        </w:rPr>
        <w:t>人，退休人员</w:t>
      </w:r>
      <w:r>
        <w:rPr>
          <w:rFonts w:hint="eastAsia" w:ascii="仿宋_GB2312" w:hAnsi="宋体" w:eastAsia="仿宋_GB2312"/>
          <w:sz w:val="24"/>
          <w:szCs w:val="24"/>
          <w:lang w:val="en-US" w:eastAsia="zh-CN"/>
        </w:rPr>
        <w:t>162</w:t>
      </w:r>
      <w:r>
        <w:rPr>
          <w:rFonts w:hint="eastAsia" w:ascii="仿宋_GB2312" w:hAnsi="宋体" w:eastAsia="仿宋_GB2312"/>
          <w:sz w:val="24"/>
          <w:szCs w:val="24"/>
        </w:rPr>
        <w:t>人</w:t>
      </w:r>
      <w:r>
        <w:rPr>
          <w:rFonts w:hint="eastAsia" w:ascii="仿宋_GB2312" w:hAnsi="宋体" w:eastAsia="仿宋_GB2312"/>
          <w:sz w:val="24"/>
          <w:szCs w:val="24"/>
          <w:lang w:eastAsia="zh-CN"/>
        </w:rPr>
        <w:t>，学生数</w:t>
      </w:r>
      <w:r>
        <w:rPr>
          <w:rFonts w:hint="eastAsia" w:ascii="仿宋_GB2312" w:hAnsi="宋体" w:eastAsia="仿宋_GB2312"/>
          <w:sz w:val="24"/>
          <w:szCs w:val="24"/>
          <w:lang w:val="en-US" w:eastAsia="zh-CN"/>
        </w:rPr>
        <w:t>904人。</w:t>
      </w:r>
    </w:p>
    <w:p>
      <w:pPr>
        <w:pStyle w:val="6"/>
        <w:widowControl w:val="0"/>
        <w:numPr>
          <w:ilvl w:val="0"/>
          <w:numId w:val="1"/>
        </w:numPr>
        <w:tabs>
          <w:tab w:val="left" w:pos="988"/>
          <w:tab w:val="left" w:pos="1093"/>
          <w:tab w:val="left" w:pos="1153"/>
          <w:tab w:val="left" w:pos="1168"/>
        </w:tabs>
        <w:wordWrap/>
        <w:adjustRightInd/>
        <w:spacing w:line="400" w:lineRule="exact"/>
        <w:ind w:left="0" w:leftChars="0" w:right="0" w:firstLine="480" w:firstLineChars="200"/>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主要职责</w:t>
      </w:r>
    </w:p>
    <w:p>
      <w:pPr>
        <w:widowControl w:val="0"/>
        <w:wordWrap/>
        <w:adjustRightInd/>
        <w:spacing w:line="400" w:lineRule="exact"/>
        <w:ind w:left="0" w:leftChars="0" w:right="0" w:firstLine="480" w:firstLineChars="200"/>
        <w:textAlignment w:val="auto"/>
        <w:outlineLvl w:val="9"/>
        <w:rPr>
          <w:rFonts w:hint="eastAsia" w:ascii="仿宋_GB2312" w:eastAsia="仿宋_GB2312"/>
          <w:sz w:val="24"/>
          <w:szCs w:val="24"/>
          <w:lang w:eastAsia="zh-CN"/>
        </w:rPr>
      </w:pPr>
      <w:r>
        <w:rPr>
          <w:rFonts w:hint="eastAsia" w:ascii="仿宋_GB2312" w:hAnsi="仿宋_GB2312" w:eastAsia="仿宋_GB2312" w:cs="仿宋_GB2312"/>
          <w:sz w:val="24"/>
          <w:szCs w:val="24"/>
        </w:rPr>
        <w:t>辖区教学管理提供服务，进行业务指导，</w:t>
      </w:r>
      <w:r>
        <w:rPr>
          <w:rFonts w:hint="eastAsia" w:ascii="仿宋_GB2312" w:hAnsi="仿宋_GB2312" w:eastAsia="仿宋_GB2312" w:cs="仿宋_GB2312"/>
          <w:sz w:val="24"/>
          <w:szCs w:val="24"/>
          <w:lang w:eastAsia="zh-CN"/>
        </w:rPr>
        <w:t>我中心校办学宗旨是实施</w:t>
      </w:r>
      <w:r>
        <w:rPr>
          <w:rFonts w:hint="eastAsia" w:ascii="仿宋_GB2312" w:hAnsi="仿宋_GB2312" w:eastAsia="仿宋_GB2312" w:cs="仿宋_GB2312"/>
          <w:sz w:val="24"/>
          <w:szCs w:val="24"/>
        </w:rPr>
        <w:t>农村学前教育和小学教育，</w:t>
      </w:r>
      <w:r>
        <w:rPr>
          <w:rFonts w:hint="eastAsia" w:ascii="仿宋_GB2312" w:hAnsi="仿宋_GB2312" w:eastAsia="仿宋_GB2312" w:cs="仿宋_GB2312"/>
          <w:sz w:val="24"/>
          <w:szCs w:val="24"/>
          <w:lang w:eastAsia="zh-CN"/>
        </w:rPr>
        <w:t>培养高素质的学生。</w:t>
      </w:r>
    </w:p>
    <w:p>
      <w:pPr>
        <w:widowControl w:val="0"/>
        <w:numPr>
          <w:ilvl w:val="0"/>
          <w:numId w:val="2"/>
        </w:numPr>
        <w:wordWrap/>
        <w:adjustRightInd/>
        <w:spacing w:line="400" w:lineRule="exact"/>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机构设置情况</w:t>
      </w:r>
    </w:p>
    <w:p>
      <w:pPr>
        <w:widowControl w:val="0"/>
        <w:wordWrap/>
        <w:adjustRightInd/>
        <w:spacing w:line="400" w:lineRule="exact"/>
        <w:ind w:left="0" w:leftChars="0" w:right="0" w:firstLine="480" w:firstLineChars="200"/>
        <w:textAlignment w:val="auto"/>
        <w:outlineLvl w:val="9"/>
        <w:rPr>
          <w:rFonts w:ascii="仿宋_GB2312" w:hAnsi="仿宋_GB2312" w:eastAsia="仿宋_GB2312" w:cs="仿宋_GB2312"/>
          <w:sz w:val="24"/>
          <w:szCs w:val="24"/>
        </w:rPr>
      </w:pPr>
      <w:r>
        <w:rPr>
          <w:rFonts w:hint="eastAsia" w:ascii="仿宋_GB2312" w:hAnsi="仿宋_GB2312" w:eastAsia="仿宋_GB2312" w:cs="仿宋_GB2312"/>
          <w:sz w:val="24"/>
          <w:szCs w:val="24"/>
        </w:rPr>
        <w:t>我单位机构设置为中心校下属小学</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所，教学点1个，幼儿园</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所。</w:t>
      </w:r>
    </w:p>
    <w:p>
      <w:pPr>
        <w:pStyle w:val="5"/>
        <w:widowControl w:val="0"/>
        <w:wordWrap/>
        <w:adjustRightInd/>
        <w:spacing w:line="400" w:lineRule="exact"/>
        <w:ind w:left="0" w:leftChars="0" w:right="0" w:firstLine="480" w:firstLineChars="200"/>
        <w:textAlignment w:val="auto"/>
        <w:outlineLvl w:val="9"/>
        <w:rPr>
          <w:rFonts w:hint="eastAsia" w:ascii="黑体" w:hAnsi="黑体" w:eastAsia="黑体" w:cs="黑体"/>
          <w:b w:val="0"/>
          <w:bCs/>
          <w:color w:val="0000FF"/>
          <w:sz w:val="24"/>
          <w:szCs w:val="24"/>
        </w:rPr>
      </w:pPr>
      <w:r>
        <w:rPr>
          <w:rFonts w:hint="eastAsia" w:ascii="黑体" w:hAnsi="黑体" w:eastAsia="黑体" w:cs="黑体"/>
          <w:b w:val="0"/>
          <w:bCs/>
          <w:sz w:val="24"/>
          <w:szCs w:val="24"/>
        </w:rPr>
        <w:t>二、本级预算情况</w:t>
      </w:r>
    </w:p>
    <w:p>
      <w:pPr>
        <w:pStyle w:val="6"/>
        <w:widowControl w:val="0"/>
        <w:wordWrap/>
        <w:adjustRightInd/>
        <w:spacing w:line="400" w:lineRule="exact"/>
        <w:ind w:left="0" w:leftChars="0" w:right="0" w:firstLine="480" w:firstLineChars="200"/>
        <w:textAlignment w:val="auto"/>
        <w:outlineLvl w:val="9"/>
        <w:rPr>
          <w:rFonts w:ascii="仿宋_GB2312" w:eastAsia="仿宋_GB2312"/>
          <w:sz w:val="24"/>
          <w:szCs w:val="24"/>
        </w:rPr>
      </w:pPr>
      <w:r>
        <w:rPr>
          <w:rFonts w:hint="eastAsia" w:ascii="仿宋_GB2312" w:hAnsi="宋体" w:eastAsia="仿宋_GB2312"/>
          <w:sz w:val="24"/>
          <w:szCs w:val="24"/>
        </w:rPr>
        <w:t>我单位为全额事业单位，属于</w:t>
      </w:r>
      <w:r>
        <w:rPr>
          <w:rFonts w:hint="eastAsia" w:ascii="仿宋_GB2312" w:hAnsi="宋体" w:eastAsia="仿宋_GB2312"/>
          <w:sz w:val="24"/>
          <w:szCs w:val="24"/>
          <w:lang w:eastAsia="zh-CN"/>
        </w:rPr>
        <w:t>二</w:t>
      </w:r>
      <w:r>
        <w:rPr>
          <w:rFonts w:hint="eastAsia" w:ascii="仿宋_GB2312" w:hAnsi="宋体" w:eastAsia="仿宋_GB2312"/>
          <w:sz w:val="24"/>
          <w:szCs w:val="24"/>
        </w:rPr>
        <w:t>级独立核算单位。</w:t>
      </w: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年我单位预算收入安排为</w:t>
      </w:r>
      <w:r>
        <w:rPr>
          <w:rFonts w:hint="eastAsia" w:ascii="仿宋_GB2312" w:hAnsi="宋体" w:eastAsia="仿宋_GB2312"/>
          <w:sz w:val="24"/>
          <w:szCs w:val="24"/>
          <w:lang w:val="en-US" w:eastAsia="zh-CN"/>
        </w:rPr>
        <w:t>1604.54万</w:t>
      </w:r>
      <w:r>
        <w:rPr>
          <w:rFonts w:hint="eastAsia" w:ascii="仿宋_GB2312" w:hAnsi="宋体" w:eastAsia="仿宋_GB2312"/>
          <w:sz w:val="24"/>
          <w:szCs w:val="24"/>
        </w:rPr>
        <w:t>元，全部为财政拨款。根据收支平衡的原则，预算支出安排为元</w:t>
      </w:r>
      <w:r>
        <w:rPr>
          <w:rFonts w:hint="eastAsia" w:ascii="仿宋_GB2312" w:hAnsi="宋体" w:eastAsia="仿宋_GB2312"/>
          <w:sz w:val="24"/>
          <w:szCs w:val="24"/>
          <w:lang w:val="en-US" w:eastAsia="zh-CN"/>
        </w:rPr>
        <w:t>1604.54万元</w:t>
      </w:r>
      <w:r>
        <w:rPr>
          <w:rFonts w:hint="eastAsia" w:ascii="仿宋_GB2312" w:hAnsi="宋体" w:eastAsia="仿宋_GB2312"/>
          <w:sz w:val="24"/>
          <w:szCs w:val="24"/>
        </w:rPr>
        <w:t>（其中工资福利支出为</w:t>
      </w:r>
      <w:r>
        <w:rPr>
          <w:rFonts w:hint="eastAsia" w:ascii="仿宋_GB2312" w:hAnsi="宋体" w:eastAsia="仿宋_GB2312"/>
          <w:sz w:val="24"/>
          <w:szCs w:val="24"/>
          <w:lang w:val="en-US" w:eastAsia="zh-CN"/>
        </w:rPr>
        <w:t>1296.45万</w:t>
      </w:r>
      <w:r>
        <w:rPr>
          <w:rFonts w:hint="eastAsia" w:ascii="仿宋_GB2312" w:hAnsi="宋体" w:eastAsia="仿宋_GB2312"/>
          <w:sz w:val="24"/>
          <w:szCs w:val="24"/>
        </w:rPr>
        <w:t>元，对个人和家庭的补助为</w:t>
      </w:r>
      <w:r>
        <w:rPr>
          <w:rFonts w:hint="eastAsia" w:ascii="仿宋_GB2312" w:hAnsi="宋体" w:eastAsia="仿宋_GB2312"/>
          <w:sz w:val="24"/>
          <w:szCs w:val="24"/>
          <w:lang w:val="en-US" w:eastAsia="zh-CN"/>
        </w:rPr>
        <w:t>101.07万</w:t>
      </w:r>
      <w:r>
        <w:rPr>
          <w:rFonts w:hint="eastAsia" w:ascii="仿宋_GB2312" w:hAnsi="宋体" w:eastAsia="仿宋_GB2312"/>
          <w:sz w:val="24"/>
          <w:szCs w:val="24"/>
        </w:rPr>
        <w:t>元，商品服务支出为</w:t>
      </w:r>
      <w:r>
        <w:rPr>
          <w:rFonts w:hint="eastAsia" w:ascii="仿宋_GB2312" w:hAnsi="宋体" w:eastAsia="仿宋_GB2312"/>
          <w:sz w:val="24"/>
          <w:szCs w:val="24"/>
          <w:lang w:val="en-US" w:eastAsia="zh-CN"/>
        </w:rPr>
        <w:t>17.38万</w:t>
      </w:r>
      <w:r>
        <w:rPr>
          <w:rFonts w:hint="eastAsia" w:ascii="仿宋_GB2312" w:hAnsi="宋体" w:eastAsia="仿宋_GB2312"/>
          <w:sz w:val="24"/>
          <w:szCs w:val="24"/>
        </w:rPr>
        <w:t>元，项目支出为</w:t>
      </w:r>
      <w:r>
        <w:rPr>
          <w:rFonts w:hint="eastAsia" w:ascii="仿宋_GB2312" w:hAnsi="宋体" w:eastAsia="仿宋_GB2312"/>
          <w:sz w:val="24"/>
          <w:szCs w:val="24"/>
          <w:lang w:val="en-US" w:eastAsia="zh-CN"/>
        </w:rPr>
        <w:t>189.64万</w:t>
      </w:r>
      <w:r>
        <w:rPr>
          <w:rFonts w:hint="eastAsia" w:ascii="仿宋_GB2312" w:hAnsi="宋体" w:eastAsia="仿宋_GB2312"/>
          <w:sz w:val="24"/>
          <w:szCs w:val="24"/>
        </w:rPr>
        <w:t>元）。</w:t>
      </w:r>
    </w:p>
    <w:p>
      <w:pPr>
        <w:pStyle w:val="6"/>
        <w:widowControl w:val="0"/>
        <w:wordWrap/>
        <w:adjustRightInd/>
        <w:spacing w:line="40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三、预算收支增减变化及情况说明</w:t>
      </w:r>
    </w:p>
    <w:p>
      <w:pPr>
        <w:widowControl w:val="0"/>
        <w:wordWrap/>
        <w:adjustRightInd/>
        <w:spacing w:line="400" w:lineRule="exact"/>
        <w:ind w:left="0" w:leftChars="0" w:right="0" w:firstLine="480" w:firstLineChars="200"/>
        <w:textAlignment w:val="auto"/>
        <w:outlineLvl w:val="9"/>
        <w:rPr>
          <w:rFonts w:ascii="宋体" w:hAnsi="宋体" w:eastAsia="仿宋_GB2312"/>
          <w:b/>
          <w:sz w:val="24"/>
          <w:szCs w:val="24"/>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年收入预算为</w:t>
      </w:r>
      <w:r>
        <w:rPr>
          <w:rFonts w:hint="eastAsia" w:ascii="仿宋_GB2312" w:hAnsi="宋体" w:eastAsia="仿宋_GB2312"/>
          <w:sz w:val="24"/>
          <w:szCs w:val="24"/>
          <w:lang w:val="en-US" w:eastAsia="zh-CN"/>
        </w:rPr>
        <w:t>1604.54万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2.52%</w:t>
      </w:r>
      <w:r>
        <w:rPr>
          <w:rFonts w:hint="eastAsia" w:ascii="仿宋_GB2312" w:hAnsi="宋体" w:eastAsia="仿宋_GB2312"/>
          <w:sz w:val="24"/>
          <w:szCs w:val="24"/>
        </w:rPr>
        <w:t>。支出预算为</w:t>
      </w:r>
      <w:r>
        <w:rPr>
          <w:rFonts w:hint="eastAsia" w:ascii="仿宋_GB2312" w:hAnsi="宋体" w:eastAsia="仿宋_GB2312"/>
          <w:sz w:val="24"/>
          <w:szCs w:val="24"/>
          <w:lang w:val="en-US" w:eastAsia="zh-CN"/>
        </w:rPr>
        <w:t>1604.54万</w:t>
      </w:r>
      <w:r>
        <w:rPr>
          <w:rFonts w:hint="eastAsia" w:ascii="仿宋_GB2312" w:hAnsi="宋体" w:eastAsia="仿宋_GB2312"/>
          <w:sz w:val="24"/>
          <w:szCs w:val="24"/>
        </w:rPr>
        <w:t>元</w:t>
      </w:r>
      <w:r>
        <w:rPr>
          <w:rFonts w:hint="eastAsia" w:ascii="仿宋_GB2312" w:hAnsi="宋体" w:eastAsia="仿宋_GB2312"/>
          <w:sz w:val="24"/>
          <w:szCs w:val="24"/>
          <w:lang w:eastAsia="zh-CN"/>
        </w:rPr>
        <w:t>，</w:t>
      </w:r>
      <w:r>
        <w:rPr>
          <w:rFonts w:hint="eastAsia" w:ascii="仿宋_GB2312" w:hAnsi="宋体" w:eastAsia="仿宋_GB2312"/>
          <w:sz w:val="24"/>
          <w:szCs w:val="24"/>
        </w:rPr>
        <w:t>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2.52%</w:t>
      </w:r>
      <w:r>
        <w:rPr>
          <w:rFonts w:hint="eastAsia" w:ascii="仿宋_GB2312" w:hAnsi="宋体" w:eastAsia="仿宋_GB2312"/>
          <w:sz w:val="24"/>
          <w:szCs w:val="24"/>
        </w:rPr>
        <w:t>，其中工资福利支出为</w:t>
      </w:r>
      <w:r>
        <w:rPr>
          <w:rFonts w:hint="eastAsia" w:ascii="仿宋_GB2312" w:hAnsi="宋体" w:eastAsia="仿宋_GB2312"/>
          <w:sz w:val="24"/>
          <w:szCs w:val="24"/>
          <w:lang w:val="en-US" w:eastAsia="zh-CN"/>
        </w:rPr>
        <w:t>1296.45万</w:t>
      </w:r>
      <w:r>
        <w:rPr>
          <w:rFonts w:hint="eastAsia" w:ascii="仿宋_GB2312" w:hAnsi="宋体" w:eastAsia="仿宋_GB2312"/>
          <w:sz w:val="24"/>
          <w:szCs w:val="24"/>
        </w:rPr>
        <w:t>元，比</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8.78%</w:t>
      </w:r>
      <w:r>
        <w:rPr>
          <w:rFonts w:hint="eastAsia" w:ascii="仿宋_GB2312" w:hAnsi="宋体" w:eastAsia="仿宋_GB2312"/>
          <w:sz w:val="24"/>
          <w:szCs w:val="24"/>
        </w:rPr>
        <w:t>，原因是</w:t>
      </w:r>
      <w:r>
        <w:rPr>
          <w:rFonts w:hint="eastAsia" w:ascii="仿宋_GB2312" w:hAnsi="宋体" w:eastAsia="仿宋_GB2312"/>
          <w:sz w:val="24"/>
          <w:szCs w:val="24"/>
          <w:lang w:eastAsia="zh-CN"/>
        </w:rPr>
        <w:t>人员减少</w:t>
      </w:r>
      <w:r>
        <w:rPr>
          <w:rFonts w:hint="eastAsia" w:ascii="仿宋_GB2312" w:hAnsi="宋体" w:eastAsia="仿宋_GB2312"/>
          <w:sz w:val="24"/>
          <w:szCs w:val="24"/>
        </w:rPr>
        <w:t>；对个人和家庭的补助为</w:t>
      </w:r>
      <w:r>
        <w:rPr>
          <w:rFonts w:hint="eastAsia" w:ascii="仿宋_GB2312" w:hAnsi="宋体" w:eastAsia="仿宋_GB2312"/>
          <w:sz w:val="24"/>
          <w:szCs w:val="24"/>
          <w:lang w:val="en-US" w:eastAsia="zh-CN"/>
        </w:rPr>
        <w:t>101.07万</w:t>
      </w:r>
      <w:r>
        <w:rPr>
          <w:rFonts w:hint="eastAsia" w:ascii="仿宋_GB2312" w:hAnsi="宋体" w:eastAsia="仿宋_GB2312"/>
          <w:sz w:val="24"/>
          <w:szCs w:val="24"/>
        </w:rPr>
        <w:t>元，比上年增</w:t>
      </w:r>
      <w:r>
        <w:rPr>
          <w:rFonts w:hint="eastAsia" w:ascii="仿宋_GB2312" w:hAnsi="宋体" w:eastAsia="仿宋_GB2312"/>
          <w:sz w:val="24"/>
          <w:szCs w:val="24"/>
          <w:lang w:eastAsia="zh-CN"/>
        </w:rPr>
        <w:t>长</w:t>
      </w:r>
      <w:r>
        <w:rPr>
          <w:rFonts w:hint="eastAsia" w:ascii="仿宋_GB2312" w:hAnsi="宋体" w:eastAsia="仿宋_GB2312"/>
          <w:sz w:val="24"/>
          <w:szCs w:val="24"/>
          <w:lang w:val="en-US" w:eastAsia="zh-CN"/>
        </w:rPr>
        <w:t>8.6%</w:t>
      </w:r>
      <w:r>
        <w:rPr>
          <w:rFonts w:hint="eastAsia" w:ascii="仿宋_GB2312" w:hAnsi="宋体" w:eastAsia="仿宋_GB2312"/>
          <w:sz w:val="24"/>
          <w:szCs w:val="24"/>
        </w:rPr>
        <w:t>，原因</w:t>
      </w:r>
      <w:r>
        <w:rPr>
          <w:rFonts w:hint="eastAsia" w:ascii="仿宋_GB2312" w:hAnsi="宋体" w:eastAsia="仿宋_GB2312"/>
          <w:sz w:val="24"/>
          <w:szCs w:val="24"/>
          <w:lang w:eastAsia="zh-CN"/>
        </w:rPr>
        <w:t>是</w:t>
      </w:r>
      <w:r>
        <w:rPr>
          <w:rFonts w:hint="eastAsia" w:ascii="仿宋_GB2312" w:hAnsi="仿宋_GB2312" w:eastAsia="仿宋_GB2312" w:cs="仿宋_GB2312"/>
          <w:sz w:val="24"/>
          <w:szCs w:val="24"/>
        </w:rPr>
        <w:t>退休人员</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rPr>
        <w:t>及遗属补助标准提高</w:t>
      </w:r>
      <w:r>
        <w:rPr>
          <w:rFonts w:hint="eastAsia" w:ascii="仿宋_GB2312" w:hAnsi="宋体" w:eastAsia="仿宋_GB2312"/>
          <w:sz w:val="24"/>
          <w:szCs w:val="24"/>
        </w:rPr>
        <w:t>；商品服务支出为</w:t>
      </w:r>
      <w:r>
        <w:rPr>
          <w:rFonts w:hint="eastAsia" w:ascii="仿宋_GB2312" w:hAnsi="宋体" w:eastAsia="仿宋_GB2312"/>
          <w:sz w:val="24"/>
          <w:szCs w:val="24"/>
          <w:lang w:val="en-US" w:eastAsia="zh-CN"/>
        </w:rPr>
        <w:t>17.38万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86.8%</w:t>
      </w:r>
      <w:r>
        <w:rPr>
          <w:rFonts w:hint="eastAsia" w:ascii="仿宋_GB2312" w:hAnsi="宋体" w:eastAsia="仿宋_GB2312"/>
          <w:sz w:val="24"/>
          <w:szCs w:val="24"/>
        </w:rPr>
        <w:t>,原因是部门经济分类科目调整；项目支出为</w:t>
      </w:r>
      <w:r>
        <w:rPr>
          <w:rFonts w:hint="eastAsia" w:ascii="仿宋_GB2312" w:hAnsi="宋体" w:eastAsia="仿宋_GB2312"/>
          <w:sz w:val="24"/>
          <w:szCs w:val="24"/>
          <w:lang w:val="en-US" w:eastAsia="zh-CN"/>
        </w:rPr>
        <w:t>189.64万</w:t>
      </w:r>
      <w:r>
        <w:rPr>
          <w:rFonts w:hint="eastAsia" w:ascii="仿宋_GB2312" w:hAnsi="宋体" w:eastAsia="仿宋_GB2312"/>
          <w:sz w:val="24"/>
          <w:szCs w:val="24"/>
        </w:rPr>
        <w:t>元，比上年增</w:t>
      </w:r>
      <w:r>
        <w:rPr>
          <w:rFonts w:hint="eastAsia" w:ascii="仿宋_GB2312" w:hAnsi="宋体" w:eastAsia="仿宋_GB2312"/>
          <w:sz w:val="24"/>
          <w:szCs w:val="24"/>
          <w:lang w:eastAsia="zh-CN"/>
        </w:rPr>
        <w:t>长</w:t>
      </w:r>
      <w:r>
        <w:rPr>
          <w:rFonts w:hint="eastAsia" w:ascii="仿宋_GB2312" w:hAnsi="宋体" w:eastAsia="仿宋_GB2312"/>
          <w:sz w:val="24"/>
          <w:szCs w:val="24"/>
          <w:lang w:val="en-US" w:eastAsia="zh-CN"/>
        </w:rPr>
        <w:t>100%</w:t>
      </w:r>
      <w:r>
        <w:rPr>
          <w:rFonts w:hint="eastAsia" w:ascii="仿宋_GB2312" w:hAnsi="宋体" w:eastAsia="仿宋_GB2312"/>
          <w:sz w:val="24"/>
          <w:szCs w:val="24"/>
        </w:rPr>
        <w:t>，原因是部门经济分类科目调整。</w:t>
      </w:r>
    </w:p>
    <w:p>
      <w:pPr>
        <w:widowControl w:val="0"/>
        <w:wordWrap/>
        <w:adjustRightInd/>
        <w:spacing w:line="40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四、机关运行经费安排情况说明</w:t>
      </w:r>
    </w:p>
    <w:p>
      <w:pPr>
        <w:widowControl w:val="0"/>
        <w:wordWrap/>
        <w:adjustRightInd/>
        <w:spacing w:line="400" w:lineRule="exact"/>
        <w:ind w:left="0" w:leftChars="0" w:right="0" w:firstLine="480" w:firstLineChars="200"/>
        <w:textAlignment w:val="auto"/>
        <w:outlineLvl w:val="9"/>
        <w:rPr>
          <w:rFonts w:ascii="仿宋_GB2312"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w:t>
      </w:r>
      <w:r>
        <w:rPr>
          <w:rFonts w:hint="eastAsia" w:ascii="仿宋_GB2312" w:hAnsi="宋体" w:eastAsia="仿宋_GB2312"/>
          <w:bCs/>
          <w:sz w:val="24"/>
          <w:szCs w:val="24"/>
        </w:rPr>
        <w:t>机关运行经费安排为</w:t>
      </w:r>
      <w:r>
        <w:rPr>
          <w:rFonts w:hint="eastAsia" w:ascii="仿宋_GB2312" w:hAnsi="宋体" w:eastAsia="仿宋_GB2312"/>
          <w:bCs/>
          <w:sz w:val="24"/>
          <w:szCs w:val="24"/>
          <w:lang w:val="en-US" w:eastAsia="zh-CN"/>
        </w:rPr>
        <w:t>17.38万</w:t>
      </w:r>
      <w:r>
        <w:rPr>
          <w:rFonts w:hint="eastAsia" w:ascii="仿宋_GB2312" w:hAnsi="宋体" w:eastAsia="仿宋_GB2312"/>
          <w:bCs/>
          <w:sz w:val="24"/>
          <w:szCs w:val="24"/>
        </w:rPr>
        <w:t>元，</w:t>
      </w:r>
      <w:r>
        <w:rPr>
          <w:rFonts w:hint="eastAsia" w:ascii="仿宋_GB2312" w:hAnsi="宋体" w:eastAsia="仿宋_GB2312"/>
          <w:sz w:val="24"/>
          <w:szCs w:val="24"/>
        </w:rPr>
        <w:t>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86.8%</w:t>
      </w:r>
      <w:r>
        <w:rPr>
          <w:rFonts w:hint="eastAsia" w:ascii="仿宋_GB2312" w:hAnsi="宋体" w:eastAsia="仿宋_GB2312"/>
          <w:sz w:val="24"/>
          <w:szCs w:val="24"/>
        </w:rPr>
        <w:t>，原因是部门经济分类科目调整。</w:t>
      </w:r>
    </w:p>
    <w:p>
      <w:pPr>
        <w:pStyle w:val="6"/>
        <w:widowControl w:val="0"/>
        <w:wordWrap/>
        <w:adjustRightInd/>
        <w:spacing w:line="40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五、政府采购安排情况说明</w:t>
      </w:r>
    </w:p>
    <w:p>
      <w:pPr>
        <w:widowControl w:val="0"/>
        <w:wordWrap/>
        <w:adjustRightInd/>
        <w:spacing w:line="400" w:lineRule="exact"/>
        <w:ind w:left="0" w:leftChars="0" w:right="0" w:firstLine="480" w:firstLineChars="200"/>
        <w:textAlignment w:val="auto"/>
        <w:outlineLvl w:val="9"/>
        <w:rPr>
          <w:rFonts w:hint="default" w:ascii="仿宋_GB2312" w:hAnsi="宋体" w:eastAsia="仿宋_GB2312"/>
          <w:sz w:val="24"/>
          <w:szCs w:val="24"/>
          <w:lang w:val="en-US" w:eastAsia="zh-CN"/>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年我单位政府采购预算安排为</w:t>
      </w:r>
      <w:r>
        <w:rPr>
          <w:rFonts w:hint="eastAsia" w:ascii="仿宋_GB2312" w:hAnsi="宋体" w:eastAsia="仿宋_GB2312"/>
          <w:sz w:val="24"/>
          <w:szCs w:val="24"/>
          <w:lang w:val="en-US" w:eastAsia="zh-CN"/>
        </w:rPr>
        <w:t>21.66万元</w:t>
      </w:r>
      <w:r>
        <w:rPr>
          <w:rFonts w:hint="eastAsia" w:ascii="仿宋_GB2312" w:hAnsi="宋体" w:eastAsia="仿宋_GB2312"/>
          <w:sz w:val="24"/>
          <w:szCs w:val="24"/>
        </w:rPr>
        <w:t>，其中：</w:t>
      </w:r>
      <w:r>
        <w:rPr>
          <w:rFonts w:hint="eastAsia" w:ascii="仿宋_GB2312" w:hAnsi="宋体" w:eastAsia="仿宋_GB2312"/>
          <w:sz w:val="24"/>
          <w:szCs w:val="24"/>
          <w:lang w:eastAsia="zh-CN"/>
        </w:rPr>
        <w:t>纸制品</w:t>
      </w:r>
      <w:r>
        <w:rPr>
          <w:rFonts w:hint="eastAsia" w:ascii="仿宋_GB2312" w:hAnsi="宋体" w:eastAsia="仿宋_GB2312"/>
          <w:sz w:val="24"/>
          <w:szCs w:val="24"/>
          <w:lang w:val="en-US" w:eastAsia="zh-CN"/>
        </w:rPr>
        <w:t>1.88万元，幼儿桌30张、幼儿椅60把、幼儿床40张共计1.94万元，空调17台10.56万元，LED电子屏2块0.87万元，电脑2台2万元，文件柜9个0.45万元，沙发2套、茶几2个共计0.53万元，一体机3台3.3万元，办公桌、办公椅0.13万元。</w:t>
      </w:r>
    </w:p>
    <w:p>
      <w:pPr>
        <w:pStyle w:val="6"/>
        <w:widowControl w:val="0"/>
        <w:wordWrap/>
        <w:adjustRightInd/>
        <w:spacing w:line="400" w:lineRule="exact"/>
        <w:ind w:left="0" w:leftChars="0" w:right="0" w:firstLine="480" w:firstLineChars="200"/>
        <w:jc w:val="left"/>
        <w:textAlignment w:val="auto"/>
        <w:outlineLvl w:val="9"/>
        <w:rPr>
          <w:rFonts w:ascii="黑体" w:hAnsi="黑体" w:eastAsia="黑体"/>
          <w:bCs/>
          <w:sz w:val="24"/>
          <w:szCs w:val="24"/>
        </w:rPr>
      </w:pPr>
      <w:r>
        <w:rPr>
          <w:rFonts w:hint="eastAsia" w:ascii="黑体" w:hAnsi="黑体" w:eastAsia="黑体"/>
          <w:bCs/>
          <w:sz w:val="24"/>
          <w:szCs w:val="24"/>
        </w:rPr>
        <w:t>六、专业性较强的名词解释</w:t>
      </w:r>
    </w:p>
    <w:p>
      <w:pPr>
        <w:widowControl w:val="0"/>
        <w:wordWrap/>
        <w:adjustRightInd/>
        <w:snapToGrid w:val="0"/>
        <w:spacing w:line="40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幼儿生活补助是在教育行政部门审批设立的各级各类幼儿园就读的家庭经济困难儿童、孤儿和残疾儿童发放生活补助。</w:t>
      </w:r>
    </w:p>
    <w:p>
      <w:pPr>
        <w:widowControl w:val="0"/>
        <w:wordWrap/>
        <w:adjustRightInd/>
        <w:snapToGrid w:val="0"/>
        <w:spacing w:line="40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idowControl w:val="0"/>
        <w:wordWrap/>
        <w:adjustRightInd/>
        <w:snapToGrid w:val="0"/>
        <w:spacing w:line="400" w:lineRule="exact"/>
        <w:ind w:left="0" w:leftChars="0" w:right="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普惠性民办幼儿园生均财政补助制度：从</w:t>
      </w:r>
      <w:r>
        <w:rPr>
          <w:rFonts w:hint="eastAsia" w:ascii="仿宋_GB2312" w:hAnsi="仿宋_GB2312" w:eastAsia="仿宋_GB2312" w:cs="仿宋_GB2312"/>
          <w:sz w:val="24"/>
          <w:szCs w:val="24"/>
          <w:lang w:val="en-US" w:eastAsia="zh-CN"/>
        </w:rPr>
        <w:t>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widowControl w:val="0"/>
        <w:wordWrap/>
        <w:adjustRightInd/>
        <w:snapToGrid w:val="0"/>
        <w:spacing w:line="40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义务教育“两免一补”：“两免”指免除学杂费、免费提供教科书。“一补”指我省农村义务教育阶段家庭经济困难</w:t>
      </w:r>
      <w:r>
        <w:rPr>
          <w:rFonts w:hint="eastAsia" w:ascii="仿宋_GB2312" w:hAnsi="仿宋_GB2312" w:eastAsia="仿宋_GB2312" w:cs="仿宋_GB2312"/>
          <w:sz w:val="24"/>
          <w:szCs w:val="24"/>
          <w:lang w:eastAsia="zh-CN"/>
        </w:rPr>
        <w:t>学生</w:t>
      </w:r>
      <w:r>
        <w:rPr>
          <w:rFonts w:hint="eastAsia" w:ascii="仿宋_GB2312" w:hAnsi="仿宋_GB2312" w:eastAsia="仿宋_GB2312" w:cs="仿宋_GB2312"/>
          <w:sz w:val="24"/>
          <w:szCs w:val="24"/>
        </w:rPr>
        <w:t>的生活补助。</w:t>
      </w:r>
    </w:p>
    <w:p>
      <w:pPr>
        <w:widowControl w:val="0"/>
        <w:wordWrap/>
        <w:adjustRightInd/>
        <w:snapToGrid w:val="0"/>
        <w:spacing w:line="40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城乡义务教育阶段中小学公用经费是对城乡义务教育学校（含民办学校）按照不低于基准定额的标准补助公用经费。</w:t>
      </w:r>
    </w:p>
    <w:p>
      <w:pPr>
        <w:widowControl w:val="0"/>
        <w:wordWrap/>
        <w:adjustRightInd/>
        <w:spacing w:line="40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七、“三公”经费增减变化情况</w:t>
      </w:r>
    </w:p>
    <w:p>
      <w:pPr>
        <w:widowControl w:val="0"/>
        <w:wordWrap/>
        <w:adjustRightInd/>
        <w:snapToGrid/>
        <w:spacing w:line="360" w:lineRule="auto"/>
        <w:ind w:left="0" w:leftChars="0" w:right="0" w:firstLine="480" w:firstLineChars="200"/>
        <w:textAlignment w:val="auto"/>
        <w:outlineLvl w:val="9"/>
        <w:rPr>
          <w:rFonts w:ascii="仿宋_GB2312" w:hAnsi="仿宋_GB2312" w:eastAsia="仿宋_GB2312" w:cs="仿宋_GB2312"/>
          <w:color w:val="000000"/>
          <w:sz w:val="24"/>
          <w:szCs w:val="24"/>
        </w:rPr>
      </w:pP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年三公经费预算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元，与</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20</w:t>
      </w:r>
      <w:r>
        <w:rPr>
          <w:rFonts w:hint="eastAsia" w:ascii="仿宋_GB2312" w:hAnsi="仿宋_GB2312" w:eastAsia="仿宋_GB2312" w:cs="仿宋_GB2312"/>
          <w:color w:val="000000"/>
          <w:sz w:val="24"/>
          <w:szCs w:val="24"/>
        </w:rPr>
        <w:t>年预算相比无变化。其中</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年因公出国（境）费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元，原因是本年度我校无此项业务支出预算；</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年公务接待费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元，原因是我校无公务接待任务；</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年公务用车运行维护费预算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元，原因是我校无公车。</w:t>
      </w:r>
    </w:p>
    <w:p>
      <w:pPr>
        <w:widowControl w:val="0"/>
        <w:wordWrap/>
        <w:adjustRightInd/>
        <w:spacing w:line="400" w:lineRule="exact"/>
        <w:ind w:left="0" w:leftChars="0" w:right="0" w:firstLine="480" w:firstLineChars="200"/>
        <w:textAlignment w:val="auto"/>
        <w:outlineLvl w:val="9"/>
        <w:rPr>
          <w:rFonts w:ascii="黑体" w:hAnsi="黑体" w:eastAsia="黑体"/>
          <w:sz w:val="24"/>
          <w:szCs w:val="24"/>
        </w:rPr>
      </w:pPr>
      <w:bookmarkStart w:id="0" w:name="_GoBack"/>
      <w:bookmarkEnd w:id="0"/>
      <w:r>
        <w:rPr>
          <w:rFonts w:hint="eastAsia" w:ascii="黑体" w:hAnsi="黑体" w:eastAsia="黑体"/>
          <w:sz w:val="24"/>
          <w:szCs w:val="24"/>
        </w:rPr>
        <w:t>八、国有资产占用情况说明</w:t>
      </w:r>
    </w:p>
    <w:p>
      <w:pPr>
        <w:widowControl w:val="0"/>
        <w:wordWrap/>
        <w:adjustRightInd/>
        <w:spacing w:line="400" w:lineRule="exact"/>
        <w:ind w:left="0" w:leftChars="0" w:right="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1036.78万</w:t>
      </w:r>
      <w:r>
        <w:rPr>
          <w:rFonts w:hint="eastAsia" w:ascii="仿宋_GB2312" w:hAnsi="仿宋_GB2312" w:eastAsia="仿宋_GB2312" w:cs="仿宋_GB2312"/>
          <w:sz w:val="24"/>
          <w:szCs w:val="24"/>
        </w:rPr>
        <w:t>元，其中流动资产</w:t>
      </w:r>
      <w:r>
        <w:rPr>
          <w:rFonts w:hint="eastAsia" w:ascii="仿宋_GB2312" w:hAnsi="仿宋_GB2312" w:eastAsia="仿宋_GB2312" w:cs="仿宋_GB2312"/>
          <w:sz w:val="24"/>
          <w:szCs w:val="24"/>
          <w:lang w:val="en-US" w:eastAsia="zh-CN"/>
        </w:rPr>
        <w:t>47.91万</w:t>
      </w:r>
      <w:r>
        <w:rPr>
          <w:rFonts w:hint="eastAsia" w:ascii="仿宋_GB2312" w:hAnsi="仿宋_GB2312" w:eastAsia="仿宋_GB2312" w:cs="仿宋_GB2312"/>
          <w:sz w:val="24"/>
          <w:szCs w:val="24"/>
        </w:rPr>
        <w:t>元；固定资产原值</w:t>
      </w:r>
      <w:r>
        <w:rPr>
          <w:rFonts w:hint="eastAsia" w:ascii="仿宋_GB2312" w:hAnsi="仿宋_GB2312" w:eastAsia="仿宋_GB2312" w:cs="仿宋_GB2312"/>
          <w:sz w:val="24"/>
          <w:szCs w:val="24"/>
          <w:lang w:val="en-US" w:eastAsia="zh-CN"/>
        </w:rPr>
        <w:t>1793.41万</w:t>
      </w:r>
      <w:r>
        <w:rPr>
          <w:rFonts w:hint="eastAsia" w:ascii="仿宋_GB2312" w:hAnsi="仿宋_GB2312" w:eastAsia="仿宋_GB2312" w:cs="仿宋_GB2312"/>
          <w:sz w:val="24"/>
          <w:szCs w:val="24"/>
        </w:rPr>
        <w:t>元，累计折旧</w:t>
      </w:r>
      <w:r>
        <w:rPr>
          <w:rFonts w:hint="eastAsia" w:ascii="仿宋_GB2312" w:hAnsi="仿宋_GB2312" w:eastAsia="仿宋_GB2312" w:cs="仿宋_GB2312"/>
          <w:sz w:val="24"/>
          <w:szCs w:val="24"/>
          <w:lang w:val="en-US" w:eastAsia="zh-CN"/>
        </w:rPr>
        <w:t>804.54万</w:t>
      </w:r>
      <w:r>
        <w:rPr>
          <w:rFonts w:hint="eastAsia" w:ascii="仿宋_GB2312" w:hAnsi="仿宋_GB2312" w:eastAsia="仿宋_GB2312" w:cs="仿宋_GB2312"/>
          <w:sz w:val="24"/>
          <w:szCs w:val="24"/>
        </w:rPr>
        <w:t>元，固定资产净值为</w:t>
      </w:r>
      <w:r>
        <w:rPr>
          <w:rFonts w:hint="eastAsia" w:ascii="仿宋_GB2312" w:hAnsi="仿宋_GB2312" w:eastAsia="仿宋_GB2312" w:cs="仿宋_GB2312"/>
          <w:sz w:val="24"/>
          <w:szCs w:val="24"/>
          <w:lang w:val="en-US" w:eastAsia="zh-CN"/>
        </w:rPr>
        <w:t>988.87万</w:t>
      </w:r>
      <w:r>
        <w:rPr>
          <w:rFonts w:hint="eastAsia" w:ascii="仿宋_GB2312" w:hAnsi="仿宋_GB2312" w:eastAsia="仿宋_GB2312" w:cs="仿宋_GB2312"/>
          <w:sz w:val="24"/>
          <w:szCs w:val="24"/>
        </w:rPr>
        <w:t>元，在建工程</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元，无形资产</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元。固定资产当中，房屋构筑物</w:t>
      </w:r>
      <w:r>
        <w:rPr>
          <w:rFonts w:hint="eastAsia" w:ascii="仿宋_GB2312" w:hAnsi="仿宋_GB2312" w:eastAsia="仿宋_GB2312" w:cs="仿宋_GB2312"/>
          <w:sz w:val="24"/>
          <w:szCs w:val="24"/>
          <w:lang w:val="en-US" w:eastAsia="zh-CN"/>
        </w:rPr>
        <w:t>1291.81万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单价200万元以上大型设备价值</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元，其他固定资产</w:t>
      </w:r>
      <w:r>
        <w:rPr>
          <w:rFonts w:hint="eastAsia" w:ascii="仿宋_GB2312" w:hAnsi="仿宋_GB2312" w:eastAsia="仿宋_GB2312" w:cs="仿宋_GB2312"/>
          <w:sz w:val="24"/>
          <w:szCs w:val="24"/>
          <w:lang w:val="en-US" w:eastAsia="zh-CN"/>
        </w:rPr>
        <w:t>501.6万</w:t>
      </w:r>
      <w:r>
        <w:rPr>
          <w:rFonts w:hint="eastAsia" w:ascii="仿宋_GB2312" w:hAnsi="仿宋_GB2312" w:eastAsia="仿宋_GB2312" w:cs="仿宋_GB2312"/>
          <w:sz w:val="24"/>
          <w:szCs w:val="24"/>
        </w:rPr>
        <w:t>元。与上年相比，本年固定资产原值</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3.85%</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2020年新购资产66.56万元。</w:t>
      </w:r>
    </w:p>
    <w:p>
      <w:pPr>
        <w:widowControl w:val="0"/>
        <w:wordWrap/>
        <w:adjustRightInd/>
        <w:spacing w:line="400" w:lineRule="exact"/>
        <w:ind w:left="0" w:leftChars="0" w:right="0" w:firstLine="480" w:firstLineChars="200"/>
        <w:textAlignment w:val="auto"/>
        <w:outlineLvl w:val="9"/>
        <w:rPr>
          <w:rFonts w:hint="default" w:ascii="仿宋_GB2312" w:hAnsi="宋体" w:eastAsia="仿宋_GB2312"/>
          <w:sz w:val="24"/>
          <w:szCs w:val="24"/>
          <w:lang w:val="en-US"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年预计新增采购固定资产</w:t>
      </w:r>
      <w:r>
        <w:rPr>
          <w:rFonts w:hint="eastAsia" w:ascii="仿宋_GB2312" w:hAnsi="仿宋_GB2312" w:eastAsia="仿宋_GB2312" w:cs="仿宋_GB2312"/>
          <w:sz w:val="24"/>
          <w:szCs w:val="24"/>
          <w:lang w:val="en-US" w:eastAsia="zh-CN"/>
        </w:rPr>
        <w:t>22.68万元</w:t>
      </w:r>
      <w:r>
        <w:rPr>
          <w:rFonts w:hint="eastAsia" w:ascii="仿宋_GB2312" w:hAnsi="仿宋_GB2312" w:eastAsia="仿宋_GB2312" w:cs="仿宋_GB2312"/>
          <w:sz w:val="24"/>
          <w:szCs w:val="24"/>
        </w:rPr>
        <w:t>，其中</w:t>
      </w:r>
      <w:r>
        <w:rPr>
          <w:rFonts w:hint="eastAsia" w:ascii="仿宋_GB2312" w:hAnsi="仿宋_GB2312" w:eastAsia="仿宋_GB2312" w:cs="仿宋_GB2312"/>
          <w:sz w:val="24"/>
          <w:szCs w:val="24"/>
          <w:lang w:val="en-US" w:eastAsia="zh-CN"/>
        </w:rPr>
        <w:t>幼儿桌30张、幼儿椅60把、幼儿床40张共计1.94万元，空调17台10.56万元，LED电子屏2块0.87万元，电脑2</w:t>
      </w:r>
      <w:r>
        <w:rPr>
          <w:rFonts w:hint="eastAsia" w:ascii="仿宋_GB2312" w:hAnsi="宋体" w:eastAsia="仿宋_GB2312"/>
          <w:sz w:val="24"/>
          <w:szCs w:val="24"/>
          <w:lang w:val="en-US" w:eastAsia="zh-CN"/>
        </w:rPr>
        <w:t>台2万元，文件柜9个0.45万元，沙发2套、茶几2个共计0.53万元，一体机3台3.3万元，办公桌、办公椅0.13万元，等其他资产2.9万元。</w:t>
      </w:r>
    </w:p>
    <w:p>
      <w:pPr>
        <w:widowControl w:val="0"/>
        <w:wordWrap/>
        <w:adjustRightInd/>
        <w:spacing w:line="400" w:lineRule="exact"/>
        <w:ind w:left="0" w:leftChars="0" w:right="0" w:firstLine="480" w:firstLineChars="200"/>
        <w:textAlignment w:val="auto"/>
        <w:outlineLvl w:val="9"/>
        <w:rPr>
          <w:rFonts w:ascii="黑体" w:hAnsi="黑体" w:eastAsia="黑体"/>
          <w:sz w:val="24"/>
          <w:szCs w:val="24"/>
        </w:rPr>
      </w:pPr>
      <w:r>
        <w:rPr>
          <w:rFonts w:hint="eastAsia" w:ascii="黑体" w:hAnsi="黑体" w:eastAsia="黑体"/>
          <w:sz w:val="24"/>
          <w:szCs w:val="24"/>
        </w:rPr>
        <w:t>九、重点项目预算的绩效目标情况说明</w:t>
      </w:r>
    </w:p>
    <w:p>
      <w:pPr>
        <w:widowControl w:val="0"/>
        <w:wordWrap/>
        <w:adjustRightInd/>
        <w:spacing w:line="400" w:lineRule="exact"/>
        <w:ind w:left="0" w:leftChars="0" w:right="0" w:firstLine="480" w:firstLineChars="200"/>
        <w:textAlignment w:val="auto"/>
        <w:outlineLvl w:val="9"/>
        <w:rPr>
          <w:rFonts w:ascii="仿宋_GB2312" w:eastAsia="仿宋_GB2312"/>
          <w:sz w:val="24"/>
          <w:szCs w:val="24"/>
        </w:rPr>
      </w:pPr>
      <w:r>
        <w:rPr>
          <w:rFonts w:hint="eastAsia" w:ascii="仿宋_GB2312" w:hAnsi="仿宋_GB2312" w:eastAsia="仿宋_GB2312" w:cs="仿宋_GB2312"/>
          <w:kern w:val="44"/>
          <w:sz w:val="24"/>
          <w:szCs w:val="24"/>
        </w:rPr>
        <w:t>本年度无项目预算的绩效目标。</w:t>
      </w:r>
    </w:p>
    <w:p>
      <w:pPr>
        <w:widowControl w:val="0"/>
        <w:wordWrap/>
        <w:adjustRightInd/>
        <w:snapToGrid/>
        <w:spacing w:before="158" w:beforeLines="50" w:line="400" w:lineRule="exact"/>
        <w:ind w:left="0" w:leftChars="0" w:right="0" w:firstLine="480" w:firstLineChars="200"/>
        <w:jc w:val="left"/>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eastAsia="zh-CN"/>
        </w:rPr>
        <w:t>薛凯峰</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eastAsia="zh-CN"/>
        </w:rPr>
        <w:t>王文斌</w:t>
      </w:r>
    </w:p>
    <w:p>
      <w:pPr>
        <w:widowControl w:val="0"/>
        <w:wordWrap/>
        <w:adjustRightInd/>
        <w:spacing w:line="400" w:lineRule="exact"/>
        <w:ind w:left="0" w:leftChars="0" w:right="0" w:firstLine="480" w:firstLineChars="200"/>
        <w:textAlignment w:val="auto"/>
        <w:outlineLvl w:val="9"/>
        <w:rPr>
          <w:rFonts w:hint="default"/>
          <w:b/>
          <w:bCs/>
          <w:lang w:val="en-U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r>
        <w:rPr>
          <w:rFonts w:hint="eastAsia" w:ascii="仿宋_GB2312" w:hAnsi="仿宋_GB2312" w:eastAsia="仿宋_GB2312" w:cs="仿宋_GB2312"/>
          <w:sz w:val="24"/>
          <w:szCs w:val="24"/>
        </w:rPr>
        <w:t>填</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报</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eastAsia="zh-CN"/>
        </w:rPr>
        <w:t>朱</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奇</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联</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系</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电话：</w:t>
      </w:r>
      <w:r>
        <w:rPr>
          <w:rFonts w:hint="eastAsia" w:ascii="仿宋_GB2312" w:hAnsi="仿宋_GB2312" w:eastAsia="仿宋_GB2312" w:cs="仿宋_GB2312"/>
          <w:sz w:val="24"/>
          <w:szCs w:val="24"/>
          <w:lang w:val="en-US" w:eastAsia="zh-CN"/>
        </w:rPr>
        <w:t>13934109730</w:t>
      </w:r>
    </w:p>
    <w:p>
      <w:pPr>
        <w:widowControl w:val="0"/>
        <w:spacing w:before="0" w:beforeAutospacing="0" w:after="0" w:afterAutospacing="0"/>
        <w:ind w:left="0" w:right="0"/>
        <w:jc w:val="both"/>
        <w:rPr>
          <w:color w:val="000000"/>
          <w:lang w:val="en-US"/>
        </w:rPr>
      </w:pPr>
    </w:p>
    <w:p>
      <w:pPr>
        <w:widowControl w:val="0"/>
        <w:spacing w:before="0" w:beforeAutospacing="0" w:after="0" w:afterAutospacing="0"/>
        <w:ind w:left="0" w:right="0"/>
        <w:jc w:val="both"/>
        <w:rPr>
          <w:lang w:val="en-US"/>
        </w:rPr>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pPr>
    </w:p>
    <w:p>
      <w:pPr>
        <w:widowControl w:val="0"/>
        <w:wordWrap/>
        <w:adjustRightInd/>
        <w:snapToGrid/>
        <w:spacing w:line="40" w:lineRule="exact"/>
        <w:ind w:left="0" w:leftChars="0" w:right="0" w:firstLine="0" w:firstLineChars="0"/>
        <w:jc w:val="both"/>
        <w:textAlignment w:val="auto"/>
        <w:outlineLvl w:val="9"/>
        <w:rPr>
          <w:b/>
          <w:bCs/>
        </w:rPr>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5A93742C"/>
    <w:multiLevelType w:val="singleLevel"/>
    <w:tmpl w:val="5A93742C"/>
    <w:lvl w:ilvl="0" w:tentative="0">
      <w:start w:val="3"/>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5CB11A5"/>
    <w:rsid w:val="0ED3560D"/>
    <w:rsid w:val="0F3E36B6"/>
    <w:rsid w:val="1407552C"/>
    <w:rsid w:val="195C6E4A"/>
    <w:rsid w:val="1A694B6A"/>
    <w:rsid w:val="1E2B5508"/>
    <w:rsid w:val="21787965"/>
    <w:rsid w:val="24674A7D"/>
    <w:rsid w:val="276B0E1F"/>
    <w:rsid w:val="2A4A105E"/>
    <w:rsid w:val="2C090686"/>
    <w:rsid w:val="37077D6C"/>
    <w:rsid w:val="3BD317B6"/>
    <w:rsid w:val="4A950D53"/>
    <w:rsid w:val="4E195985"/>
    <w:rsid w:val="529B7A3A"/>
    <w:rsid w:val="549961EF"/>
    <w:rsid w:val="56AD65C8"/>
    <w:rsid w:val="587E216B"/>
    <w:rsid w:val="5B017F67"/>
    <w:rsid w:val="5D8A3D08"/>
    <w:rsid w:val="6924760F"/>
    <w:rsid w:val="70237527"/>
    <w:rsid w:val="71D4704B"/>
    <w:rsid w:val="71E54B77"/>
    <w:rsid w:val="73F51316"/>
    <w:rsid w:val="794B3F15"/>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rPr>
      <w:rFonts w:ascii="Calibri" w:hAnsi="Calibri" w:eastAsia="宋体" w:cs="黑体"/>
    </w:r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2021-03-27T09:37:00Z</cp:lastPrinted>
  <dcterms:modified xsi:type="dcterms:W3CDTF">2021-04-27T08:46:48Z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4757FC22FD9D400CB0D0C5F46D95E2E1</vt:lpwstr>
  </property>
</Properties>
</file>