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60" w:lineRule="exact"/>
        <w:ind w:left="0" w:leftChars="0" w:right="0" w:firstLine="0" w:firstLineChars="0"/>
        <w:jc w:val="center"/>
        <w:textAlignment w:val="auto"/>
        <w:outlineLvl w:val="9"/>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lang w:eastAsia="zh-CN"/>
        </w:rPr>
        <w:t>永济市韩阳镇中心学校</w:t>
      </w:r>
    </w:p>
    <w:p>
      <w:pPr>
        <w:widowControl w:val="0"/>
        <w:wordWrap/>
        <w:adjustRightInd/>
        <w:snapToGrid/>
        <w:spacing w:line="46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ascii="方正小标宋简体" w:hAnsi="宋体" w:eastAsia="方正小标宋简体"/>
          <w:sz w:val="36"/>
          <w:szCs w:val="36"/>
          <w:lang w:eastAsia="zh-CN"/>
        </w:rPr>
        <w:t>公开</w:t>
      </w:r>
      <w:r>
        <w:rPr>
          <w:rFonts w:hint="eastAsia" w:ascii="方正小标宋简体" w:hAnsi="宋体" w:eastAsia="方正小标宋简体"/>
          <w:sz w:val="36"/>
          <w:szCs w:val="36"/>
        </w:rPr>
        <w:t>说明</w:t>
      </w:r>
    </w:p>
    <w:p>
      <w:pPr>
        <w:widowControl w:val="0"/>
        <w:wordWrap/>
        <w:adjustRightInd/>
        <w:snapToGrid/>
        <w:spacing w:line="460" w:lineRule="exact"/>
        <w:ind w:left="0" w:leftChars="0" w:right="0" w:firstLine="880" w:firstLineChars="200"/>
        <w:jc w:val="center"/>
        <w:textAlignment w:val="auto"/>
        <w:outlineLvl w:val="9"/>
        <w:rPr>
          <w:rFonts w:ascii="宋体"/>
          <w:sz w:val="44"/>
          <w:szCs w:val="44"/>
        </w:rPr>
      </w:pPr>
    </w:p>
    <w:p>
      <w:pPr>
        <w:pStyle w:val="6"/>
        <w:widowControl w:val="0"/>
        <w:wordWrap/>
        <w:adjustRightInd/>
        <w:snapToGrid/>
        <w:spacing w:line="460" w:lineRule="exact"/>
        <w:ind w:left="0" w:leftChars="0" w:right="0" w:firstLine="480" w:firstLineChars="200"/>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rPr>
        <w:t>一、单位主要职责及机构设置情况</w:t>
      </w:r>
    </w:p>
    <w:p>
      <w:pPr>
        <w:widowControl w:val="0"/>
        <w:numPr>
          <w:ilvl w:val="0"/>
          <w:numId w:val="1"/>
        </w:numPr>
        <w:wordWrap/>
        <w:adjustRightInd/>
        <w:snapToGrid/>
        <w:spacing w:line="460" w:lineRule="exact"/>
        <w:ind w:left="0" w:leftChars="0" w:right="0" w:firstLine="480" w:firstLineChars="200"/>
        <w:jc w:val="left"/>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napToGrid/>
        <w:spacing w:line="460" w:lineRule="exact"/>
        <w:ind w:left="0" w:leftChars="0" w:right="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永济市韩阳镇中心学校属于</w:t>
      </w:r>
      <w:r>
        <w:rPr>
          <w:rFonts w:hint="eastAsia" w:ascii="仿宋_GB2312" w:hAnsi="仿宋_GB2312" w:eastAsia="仿宋_GB2312" w:cs="仿宋_GB2312"/>
          <w:sz w:val="24"/>
          <w:szCs w:val="24"/>
        </w:rPr>
        <w:t>全额事业单位，位于</w:t>
      </w:r>
      <w:r>
        <w:rPr>
          <w:rFonts w:hint="eastAsia" w:ascii="仿宋_GB2312" w:hAnsi="仿宋_GB2312" w:eastAsia="仿宋_GB2312" w:cs="仿宋_GB2312"/>
          <w:sz w:val="24"/>
          <w:szCs w:val="24"/>
          <w:lang w:eastAsia="zh-CN"/>
        </w:rPr>
        <w:t>永济市韩阳镇东街</w:t>
      </w:r>
      <w:r>
        <w:rPr>
          <w:rFonts w:hint="eastAsia" w:ascii="仿宋_GB2312" w:hAnsi="仿宋_GB2312" w:eastAsia="仿宋_GB2312" w:cs="仿宋_GB2312"/>
          <w:sz w:val="24"/>
          <w:szCs w:val="24"/>
          <w:lang w:val="en-US" w:eastAsia="zh-CN"/>
        </w:rPr>
        <w:t>2号</w:t>
      </w:r>
      <w:r>
        <w:rPr>
          <w:rFonts w:hint="eastAsia" w:ascii="仿宋_GB2312" w:hAnsi="仿宋_GB2312" w:eastAsia="仿宋_GB2312" w:cs="仿宋_GB2312"/>
          <w:sz w:val="24"/>
          <w:szCs w:val="24"/>
        </w:rPr>
        <w:t>，编制</w:t>
      </w:r>
      <w:r>
        <w:rPr>
          <w:rFonts w:hint="eastAsia" w:ascii="仿宋_GB2312" w:hAnsi="仿宋_GB2312" w:eastAsia="仿宋_GB2312" w:cs="仿宋_GB2312"/>
          <w:sz w:val="24"/>
          <w:szCs w:val="24"/>
          <w:lang w:val="en-US" w:eastAsia="zh-CN"/>
        </w:rPr>
        <w:t>111</w:t>
      </w:r>
      <w:r>
        <w:rPr>
          <w:rFonts w:hint="eastAsia" w:ascii="仿宋_GB2312" w:hAnsi="仿宋_GB2312" w:eastAsia="仿宋_GB2312" w:cs="仿宋_GB2312"/>
          <w:sz w:val="24"/>
          <w:szCs w:val="24"/>
        </w:rPr>
        <w:t>人，实有人数</w:t>
      </w:r>
      <w:r>
        <w:rPr>
          <w:rFonts w:hint="eastAsia" w:ascii="仿宋_GB2312" w:hAnsi="仿宋_GB2312" w:eastAsia="仿宋_GB2312" w:cs="仿宋_GB2312"/>
          <w:sz w:val="24"/>
          <w:szCs w:val="24"/>
          <w:lang w:val="en-US" w:eastAsia="zh-CN"/>
        </w:rPr>
        <w:t>103</w:t>
      </w:r>
      <w:r>
        <w:rPr>
          <w:rFonts w:hint="eastAsia" w:ascii="仿宋_GB2312" w:hAnsi="仿宋_GB2312" w:eastAsia="仿宋_GB2312" w:cs="仿宋_GB2312"/>
          <w:sz w:val="24"/>
          <w:szCs w:val="24"/>
        </w:rPr>
        <w:t>人，退休人员</w:t>
      </w:r>
      <w:r>
        <w:rPr>
          <w:rFonts w:hint="eastAsia" w:ascii="仿宋_GB2312" w:hAnsi="仿宋_GB2312" w:eastAsia="仿宋_GB2312" w:cs="仿宋_GB2312"/>
          <w:sz w:val="24"/>
          <w:szCs w:val="24"/>
          <w:lang w:val="en-US" w:eastAsia="zh-CN"/>
        </w:rPr>
        <w:t>82</w:t>
      </w:r>
      <w:r>
        <w:rPr>
          <w:rFonts w:hint="eastAsia" w:ascii="仿宋_GB2312" w:hAnsi="仿宋_GB2312" w:eastAsia="仿宋_GB2312" w:cs="仿宋_GB2312"/>
          <w:sz w:val="24"/>
          <w:szCs w:val="24"/>
        </w:rPr>
        <w:t>人。</w:t>
      </w:r>
    </w:p>
    <w:p>
      <w:pPr>
        <w:pStyle w:val="6"/>
        <w:widowControl w:val="0"/>
        <w:numPr>
          <w:ilvl w:val="0"/>
          <w:numId w:val="1"/>
        </w:numPr>
        <w:tabs>
          <w:tab w:val="left" w:pos="988"/>
          <w:tab w:val="left" w:pos="1093"/>
          <w:tab w:val="left" w:pos="1153"/>
          <w:tab w:val="left" w:pos="1168"/>
        </w:tabs>
        <w:wordWrap/>
        <w:adjustRightInd/>
        <w:snapToGrid/>
        <w:spacing w:line="460" w:lineRule="exact"/>
        <w:ind w:left="0" w:leftChars="0" w:right="0" w:firstLine="480" w:firstLineChars="200"/>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idowControl w:val="0"/>
        <w:wordWrap/>
        <w:adjustRightInd/>
        <w:snapToGrid/>
        <w:spacing w:line="46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永济市韩阳镇中心校是一所农村山区</w:t>
      </w:r>
      <w:r>
        <w:rPr>
          <w:rFonts w:hint="eastAsia" w:ascii="仿宋_GB2312" w:hAnsi="仿宋_GB2312" w:eastAsia="仿宋_GB2312" w:cs="仿宋_GB2312"/>
          <w:sz w:val="24"/>
          <w:szCs w:val="24"/>
        </w:rPr>
        <w:t>的学校，主要是</w:t>
      </w:r>
      <w:r>
        <w:rPr>
          <w:rFonts w:hint="eastAsia" w:ascii="仿宋_GB2312" w:hAnsi="仿宋_GB2312" w:eastAsia="仿宋_GB2312" w:cs="仿宋_GB2312"/>
          <w:sz w:val="24"/>
          <w:szCs w:val="24"/>
          <w:lang w:eastAsia="zh-CN"/>
        </w:rPr>
        <w:t>为辖区教学管理提供服务，进行教学管理及业务指导</w:t>
      </w:r>
      <w:r>
        <w:rPr>
          <w:rFonts w:hint="eastAsia" w:ascii="仿宋_GB2312" w:hAnsi="仿宋_GB2312" w:eastAsia="仿宋_GB2312" w:cs="仿宋_GB2312"/>
          <w:sz w:val="24"/>
          <w:szCs w:val="24"/>
        </w:rPr>
        <w:t>。</w:t>
      </w:r>
    </w:p>
    <w:p>
      <w:pPr>
        <w:widowControl w:val="0"/>
        <w:numPr>
          <w:ilvl w:val="0"/>
          <w:numId w:val="2"/>
        </w:numPr>
        <w:wordWrap/>
        <w:adjustRightInd/>
        <w:snapToGrid/>
        <w:spacing w:line="460" w:lineRule="exact"/>
        <w:ind w:left="0" w:leftChars="0" w:right="0" w:firstLine="480" w:firstLineChars="200"/>
        <w:jc w:val="left"/>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idowControl w:val="0"/>
        <w:wordWrap/>
        <w:adjustRightInd/>
        <w:snapToGrid/>
        <w:spacing w:line="460" w:lineRule="exact"/>
        <w:ind w:left="0" w:leftChars="0" w:right="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我</w:t>
      </w:r>
      <w:r>
        <w:rPr>
          <w:rFonts w:hint="eastAsia" w:ascii="仿宋_GB2312" w:hAnsi="仿宋_GB2312" w:eastAsia="仿宋_GB2312" w:cs="仿宋_GB2312"/>
          <w:sz w:val="24"/>
          <w:szCs w:val="24"/>
          <w:lang w:eastAsia="zh-CN"/>
        </w:rPr>
        <w:t>校下设完全制小学</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所，独立幼儿园</w:t>
      </w:r>
      <w:r>
        <w:rPr>
          <w:rFonts w:hint="eastAsia" w:ascii="仿宋_GB2312" w:hAnsi="仿宋_GB2312" w:eastAsia="仿宋_GB2312" w:cs="仿宋_GB2312"/>
          <w:sz w:val="24"/>
          <w:szCs w:val="24"/>
          <w:lang w:val="en-US" w:eastAsia="zh-CN"/>
        </w:rPr>
        <w:t>5所，附属幼儿园2所。</w:t>
      </w:r>
    </w:p>
    <w:p>
      <w:pPr>
        <w:pStyle w:val="5"/>
        <w:widowControl w:val="0"/>
        <w:wordWrap/>
        <w:adjustRightInd/>
        <w:snapToGrid/>
        <w:spacing w:line="460" w:lineRule="exact"/>
        <w:ind w:left="0" w:leftChars="0"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rPr>
        <w:t>二、本级预算情况</w:t>
      </w:r>
    </w:p>
    <w:p>
      <w:pPr>
        <w:pStyle w:val="6"/>
        <w:widowControl w:val="0"/>
        <w:tabs>
          <w:tab w:val="left" w:pos="0"/>
        </w:tabs>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我单位为全额事业单位，</w:t>
      </w:r>
      <w:r>
        <w:rPr>
          <w:rFonts w:hint="eastAsia" w:ascii="仿宋_GB2312" w:hAnsi="仿宋_GB2312" w:eastAsia="仿宋_GB2312" w:cs="仿宋_GB2312"/>
          <w:color w:val="auto"/>
          <w:sz w:val="24"/>
          <w:szCs w:val="24"/>
        </w:rPr>
        <w:t>属于二级独立核算单位。</w:t>
      </w: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年我单位预算收入安排为</w:t>
      </w:r>
      <w:r>
        <w:rPr>
          <w:rFonts w:hint="eastAsia" w:ascii="仿宋_GB2312" w:hAnsi="仿宋_GB2312" w:eastAsia="仿宋_GB2312" w:cs="仿宋_GB2312"/>
          <w:sz w:val="24"/>
          <w:szCs w:val="24"/>
          <w:lang w:val="en-US" w:eastAsia="zh-CN"/>
        </w:rPr>
        <w:t>1277.14万</w:t>
      </w:r>
      <w:r>
        <w:rPr>
          <w:rFonts w:hint="eastAsia" w:ascii="仿宋_GB2312" w:hAnsi="仿宋_GB2312" w:eastAsia="仿宋_GB2312" w:cs="仿宋_GB2312"/>
          <w:sz w:val="24"/>
          <w:szCs w:val="24"/>
        </w:rPr>
        <w:t>元，全部为财政拨款。根据收支平衡的原则，预算支出安排为</w:t>
      </w:r>
      <w:r>
        <w:rPr>
          <w:rFonts w:hint="eastAsia" w:ascii="仿宋_GB2312" w:hAnsi="仿宋_GB2312" w:eastAsia="仿宋_GB2312" w:cs="仿宋_GB2312"/>
          <w:sz w:val="24"/>
          <w:szCs w:val="24"/>
          <w:lang w:val="en-US" w:eastAsia="zh-CN"/>
        </w:rPr>
        <w:t>1277.14万</w:t>
      </w:r>
      <w:r>
        <w:rPr>
          <w:rFonts w:hint="eastAsia" w:ascii="仿宋_GB2312" w:hAnsi="仿宋_GB2312" w:eastAsia="仿宋_GB2312" w:cs="仿宋_GB2312"/>
          <w:sz w:val="24"/>
          <w:szCs w:val="24"/>
        </w:rPr>
        <w:t>元（其中工资福利支出为</w:t>
      </w:r>
      <w:r>
        <w:rPr>
          <w:rFonts w:hint="eastAsia" w:ascii="仿宋_GB2312" w:hAnsi="仿宋_GB2312" w:eastAsia="仿宋_GB2312" w:cs="仿宋_GB2312"/>
          <w:sz w:val="24"/>
          <w:szCs w:val="24"/>
          <w:lang w:val="en-US" w:eastAsia="zh-CN"/>
        </w:rPr>
        <w:t>1035.87万</w:t>
      </w:r>
      <w:r>
        <w:rPr>
          <w:rFonts w:hint="eastAsia" w:ascii="仿宋_GB2312" w:hAnsi="仿宋_GB2312" w:eastAsia="仿宋_GB2312" w:cs="仿宋_GB2312"/>
          <w:sz w:val="24"/>
          <w:szCs w:val="24"/>
        </w:rPr>
        <w:t>元，对个人和家庭的补助为</w:t>
      </w:r>
      <w:r>
        <w:rPr>
          <w:rFonts w:hint="eastAsia" w:ascii="仿宋_GB2312" w:hAnsi="仿宋_GB2312" w:eastAsia="仿宋_GB2312" w:cs="仿宋_GB2312"/>
          <w:sz w:val="24"/>
          <w:szCs w:val="24"/>
          <w:lang w:val="en-US" w:eastAsia="zh-CN"/>
        </w:rPr>
        <w:t>55.59万</w:t>
      </w:r>
      <w:r>
        <w:rPr>
          <w:rFonts w:hint="eastAsia" w:ascii="仿宋_GB2312" w:hAnsi="仿宋_GB2312" w:eastAsia="仿宋_GB2312" w:cs="仿宋_GB2312"/>
          <w:sz w:val="24"/>
          <w:szCs w:val="24"/>
        </w:rPr>
        <w:t>元，商品服务支出为</w:t>
      </w:r>
      <w:r>
        <w:rPr>
          <w:rFonts w:hint="eastAsia" w:ascii="仿宋_GB2312" w:hAnsi="仿宋_GB2312" w:eastAsia="仿宋_GB2312" w:cs="仿宋_GB2312"/>
          <w:sz w:val="24"/>
          <w:szCs w:val="24"/>
          <w:lang w:val="en-US" w:eastAsia="zh-CN"/>
        </w:rPr>
        <w:t>14.82万</w:t>
      </w:r>
      <w:r>
        <w:rPr>
          <w:rFonts w:hint="eastAsia" w:ascii="仿宋_GB2312" w:hAnsi="仿宋_GB2312" w:eastAsia="仿宋_GB2312" w:cs="仿宋_GB2312"/>
          <w:sz w:val="24"/>
          <w:szCs w:val="24"/>
        </w:rPr>
        <w:t>元，项目支出为</w:t>
      </w:r>
      <w:r>
        <w:rPr>
          <w:rFonts w:hint="eastAsia" w:ascii="仿宋_GB2312" w:hAnsi="仿宋_GB2312" w:eastAsia="仿宋_GB2312" w:cs="仿宋_GB2312"/>
          <w:sz w:val="24"/>
          <w:szCs w:val="24"/>
          <w:lang w:val="en-US" w:eastAsia="zh-CN"/>
        </w:rPr>
        <w:t>170.86万</w:t>
      </w:r>
      <w:r>
        <w:rPr>
          <w:rFonts w:hint="eastAsia" w:ascii="仿宋_GB2312" w:hAnsi="仿宋_GB2312" w:eastAsia="仿宋_GB2312" w:cs="仿宋_GB2312"/>
          <w:sz w:val="24"/>
          <w:szCs w:val="24"/>
        </w:rPr>
        <w:t>元）。</w:t>
      </w:r>
    </w:p>
    <w:p>
      <w:pPr>
        <w:pStyle w:val="6"/>
        <w:widowControl w:val="0"/>
        <w:wordWrap/>
        <w:adjustRightInd/>
        <w:snapToGrid/>
        <w:spacing w:line="460" w:lineRule="exact"/>
        <w:ind w:left="0" w:leftChars="0" w:right="0" w:firstLine="480" w:firstLineChars="200"/>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rPr>
        <w:t>三、预算收支增减变化及情况说明</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年收入预算为</w:t>
      </w:r>
      <w:r>
        <w:rPr>
          <w:rFonts w:hint="eastAsia" w:ascii="仿宋_GB2312" w:hAnsi="仿宋_GB2312" w:eastAsia="仿宋_GB2312" w:cs="仿宋_GB2312"/>
          <w:sz w:val="24"/>
          <w:szCs w:val="24"/>
          <w:lang w:val="en-US" w:eastAsia="zh-CN"/>
        </w:rPr>
        <w:t>1277.14万</w:t>
      </w:r>
      <w:r>
        <w:rPr>
          <w:rFonts w:hint="eastAsia" w:ascii="仿宋_GB2312" w:hAnsi="仿宋_GB2312" w:eastAsia="仿宋_GB2312" w:cs="仿宋_GB2312"/>
          <w:sz w:val="24"/>
          <w:szCs w:val="24"/>
        </w:rPr>
        <w:t>元，比上年增长</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支</w:t>
      </w:r>
      <w:r>
        <w:rPr>
          <w:rFonts w:hint="eastAsia" w:ascii="仿宋_GB2312" w:hAnsi="仿宋_GB2312" w:eastAsia="仿宋_GB2312" w:cs="仿宋_GB2312"/>
          <w:sz w:val="24"/>
          <w:szCs w:val="24"/>
        </w:rPr>
        <w:t>出预算为</w:t>
      </w:r>
      <w:r>
        <w:rPr>
          <w:rFonts w:hint="eastAsia" w:ascii="仿宋_GB2312" w:hAnsi="仿宋_GB2312" w:eastAsia="仿宋_GB2312" w:cs="仿宋_GB2312"/>
          <w:sz w:val="24"/>
          <w:szCs w:val="24"/>
          <w:lang w:val="en-US" w:eastAsia="zh-CN"/>
        </w:rPr>
        <w:t>1277.14万</w:t>
      </w:r>
      <w:r>
        <w:rPr>
          <w:rFonts w:hint="eastAsia" w:ascii="仿宋_GB2312" w:hAnsi="仿宋_GB2312" w:eastAsia="仿宋_GB2312" w:cs="仿宋_GB2312"/>
          <w:sz w:val="24"/>
          <w:szCs w:val="24"/>
        </w:rPr>
        <w:t>元,比上年增长</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其中工资福利支出为</w:t>
      </w:r>
      <w:r>
        <w:rPr>
          <w:rFonts w:hint="eastAsia" w:ascii="仿宋_GB2312" w:hAnsi="仿宋_GB2312" w:eastAsia="仿宋_GB2312" w:cs="仿宋_GB2312"/>
          <w:sz w:val="24"/>
          <w:szCs w:val="24"/>
          <w:lang w:val="en-US" w:eastAsia="zh-CN"/>
        </w:rPr>
        <w:t>1035.87万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0.8%</w:t>
      </w:r>
      <w:r>
        <w:rPr>
          <w:rFonts w:hint="eastAsia" w:ascii="仿宋_GB2312" w:hAnsi="仿宋_GB2312" w:eastAsia="仿宋_GB2312" w:cs="仿宋_GB2312"/>
          <w:sz w:val="24"/>
          <w:szCs w:val="24"/>
        </w:rPr>
        <w:t xml:space="preserve"> ，原因是</w:t>
      </w:r>
      <w:r>
        <w:rPr>
          <w:rFonts w:hint="eastAsia" w:ascii="仿宋_GB2312" w:hAnsi="仿宋_GB2312" w:eastAsia="仿宋_GB2312" w:cs="仿宋_GB2312"/>
          <w:sz w:val="24"/>
          <w:szCs w:val="24"/>
          <w:lang w:val="en-US" w:eastAsia="zh-CN"/>
        </w:rPr>
        <w:t>2020年退休4人调出4人多为中级职称，调入2人新分配6人多为初级职称</w:t>
      </w:r>
      <w:r>
        <w:rPr>
          <w:rFonts w:hint="eastAsia" w:ascii="仿宋_GB2312" w:hAnsi="仿宋_GB2312" w:eastAsia="仿宋_GB2312" w:cs="仿宋_GB2312"/>
          <w:sz w:val="24"/>
          <w:szCs w:val="24"/>
        </w:rPr>
        <w:t>；对个人和家庭的补助为</w:t>
      </w:r>
      <w:r>
        <w:rPr>
          <w:rFonts w:hint="eastAsia" w:ascii="仿宋_GB2312" w:hAnsi="仿宋_GB2312" w:eastAsia="仿宋_GB2312" w:cs="仿宋_GB2312"/>
          <w:sz w:val="24"/>
          <w:szCs w:val="24"/>
          <w:lang w:val="en-US" w:eastAsia="zh-CN"/>
        </w:rPr>
        <w:t>55.59万</w:t>
      </w:r>
      <w:r>
        <w:rPr>
          <w:rFonts w:hint="eastAsia" w:ascii="仿宋_GB2312" w:hAnsi="仿宋_GB2312" w:eastAsia="仿宋_GB2312" w:cs="仿宋_GB2312"/>
          <w:sz w:val="24"/>
          <w:szCs w:val="24"/>
        </w:rPr>
        <w:t>元，比上年增长</w:t>
      </w:r>
      <w:r>
        <w:rPr>
          <w:rFonts w:hint="eastAsia" w:ascii="仿宋_GB2312" w:hAnsi="仿宋_GB2312" w:eastAsia="仿宋_GB2312" w:cs="仿宋_GB2312"/>
          <w:sz w:val="24"/>
          <w:szCs w:val="24"/>
          <w:lang w:val="en-US" w:eastAsia="zh-CN"/>
        </w:rPr>
        <w:t>0.27%</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eastAsia="zh-CN"/>
        </w:rPr>
        <w:t>遗属补助提高标准</w:t>
      </w:r>
      <w:r>
        <w:rPr>
          <w:rFonts w:hint="eastAsia" w:ascii="仿宋_GB2312" w:hAnsi="仿宋_GB2312" w:eastAsia="仿宋_GB2312" w:cs="仿宋_GB2312"/>
          <w:sz w:val="24"/>
          <w:szCs w:val="24"/>
        </w:rPr>
        <w:t>;商品服务支出为</w:t>
      </w:r>
      <w:r>
        <w:rPr>
          <w:rFonts w:hint="eastAsia" w:ascii="仿宋_GB2312" w:hAnsi="仿宋_GB2312" w:eastAsia="仿宋_GB2312" w:cs="仿宋_GB2312"/>
          <w:sz w:val="24"/>
          <w:szCs w:val="24"/>
          <w:lang w:val="en-US" w:eastAsia="zh-CN"/>
        </w:rPr>
        <w:t>14.82万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86.04%</w:t>
      </w:r>
      <w:r>
        <w:rPr>
          <w:rFonts w:hint="eastAsia" w:ascii="仿宋_GB2312" w:hAnsi="仿宋_GB2312" w:eastAsia="仿宋_GB2312" w:cs="仿宋_GB2312"/>
          <w:sz w:val="24"/>
          <w:szCs w:val="24"/>
        </w:rPr>
        <w:t>,原因是部门经济分类科目调整;项目支出为</w:t>
      </w:r>
      <w:r>
        <w:rPr>
          <w:rFonts w:hint="eastAsia" w:ascii="仿宋_GB2312" w:hAnsi="仿宋_GB2312" w:eastAsia="仿宋_GB2312" w:cs="仿宋_GB2312"/>
          <w:sz w:val="24"/>
          <w:szCs w:val="24"/>
          <w:lang w:val="en-US" w:eastAsia="zh-CN"/>
        </w:rPr>
        <w:t>170.86万元，</w:t>
      </w:r>
      <w:r>
        <w:rPr>
          <w:rFonts w:hint="eastAsia" w:ascii="仿宋_GB2312" w:hAnsi="仿宋_GB2312" w:eastAsia="仿宋_GB2312" w:cs="仿宋_GB2312"/>
          <w:sz w:val="24"/>
          <w:szCs w:val="24"/>
        </w:rPr>
        <w:t>比上年增长</w:t>
      </w:r>
      <w:r>
        <w:rPr>
          <w:rFonts w:hint="eastAsia" w:ascii="仿宋_GB2312" w:hAnsi="仿宋_GB2312" w:eastAsia="仿宋_GB2312" w:cs="仿宋_GB2312"/>
          <w:sz w:val="24"/>
          <w:szCs w:val="24"/>
          <w:lang w:val="en-US" w:eastAsia="zh-CN"/>
        </w:rPr>
        <w:t>100%</w:t>
      </w:r>
      <w:r>
        <w:rPr>
          <w:rFonts w:hint="eastAsia" w:ascii="仿宋_GB2312" w:hAnsi="仿宋_GB2312" w:eastAsia="仿宋_GB2312" w:cs="仿宋_GB2312"/>
          <w:sz w:val="24"/>
          <w:szCs w:val="24"/>
        </w:rPr>
        <w:t>,原因是部门经济分类科目调整。</w:t>
      </w:r>
    </w:p>
    <w:p>
      <w:pPr>
        <w:widowControl w:val="0"/>
        <w:wordWrap/>
        <w:adjustRightInd/>
        <w:snapToGrid/>
        <w:spacing w:line="460" w:lineRule="exact"/>
        <w:ind w:left="0" w:leftChars="0" w:right="0" w:firstLine="480" w:firstLineChars="200"/>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rPr>
        <w:t>四、机关运行经费安排情况说明</w:t>
      </w:r>
    </w:p>
    <w:p>
      <w:pPr>
        <w:widowControl w:val="0"/>
        <w:wordWrap/>
        <w:adjustRightInd/>
        <w:snapToGrid/>
        <w:spacing w:line="46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w:t>
      </w:r>
      <w:r>
        <w:rPr>
          <w:rFonts w:hint="eastAsia" w:ascii="仿宋_GB2312" w:hAnsi="仿宋_GB2312" w:eastAsia="仿宋_GB2312" w:cs="仿宋_GB2312"/>
          <w:bCs/>
          <w:sz w:val="24"/>
          <w:szCs w:val="24"/>
        </w:rPr>
        <w:t>机关运行经费安排为</w:t>
      </w:r>
      <w:r>
        <w:rPr>
          <w:rFonts w:hint="eastAsia" w:ascii="仿宋_GB2312" w:hAnsi="仿宋_GB2312" w:eastAsia="仿宋_GB2312" w:cs="仿宋_GB2312"/>
          <w:bCs/>
          <w:sz w:val="24"/>
          <w:szCs w:val="24"/>
          <w:lang w:val="en-US" w:eastAsia="zh-CN"/>
        </w:rPr>
        <w:t>14.82万</w:t>
      </w:r>
      <w:r>
        <w:rPr>
          <w:rFonts w:hint="eastAsia" w:ascii="仿宋_GB2312" w:hAnsi="仿宋_GB2312" w:eastAsia="仿宋_GB2312" w:cs="仿宋_GB2312"/>
          <w:bCs/>
          <w:sz w:val="24"/>
          <w:szCs w:val="24"/>
        </w:rPr>
        <w:t>元，</w:t>
      </w:r>
      <w:r>
        <w:rPr>
          <w:rFonts w:hint="eastAsia" w:ascii="仿宋_GB2312" w:hAnsi="仿宋_GB2312" w:eastAsia="仿宋_GB2312" w:cs="仿宋_GB2312"/>
          <w:bCs/>
          <w:sz w:val="24"/>
          <w:szCs w:val="24"/>
          <w:lang w:eastAsia="zh-CN"/>
        </w:rPr>
        <w:t>比</w:t>
      </w:r>
      <w:r>
        <w:rPr>
          <w:rFonts w:hint="eastAsia" w:ascii="仿宋_GB2312" w:hAnsi="仿宋_GB2312" w:eastAsia="仿宋_GB2312" w:cs="仿宋_GB2312"/>
          <w:sz w:val="24"/>
          <w:szCs w:val="24"/>
        </w:rPr>
        <w:t>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86.04%</w:t>
      </w:r>
      <w:r>
        <w:rPr>
          <w:rFonts w:hint="eastAsia" w:ascii="仿宋_GB2312" w:hAnsi="仿宋_GB2312" w:eastAsia="仿宋_GB2312" w:cs="仿宋_GB2312"/>
          <w:sz w:val="24"/>
          <w:szCs w:val="24"/>
        </w:rPr>
        <w:t>,原因是部门经济分类科目调整。</w:t>
      </w:r>
    </w:p>
    <w:p>
      <w:pPr>
        <w:pStyle w:val="6"/>
        <w:widowControl w:val="0"/>
        <w:wordWrap/>
        <w:adjustRightInd/>
        <w:snapToGrid/>
        <w:spacing w:line="460" w:lineRule="exact"/>
        <w:ind w:left="0" w:leftChars="0" w:right="0" w:firstLine="480" w:firstLineChars="200"/>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rPr>
        <w:t>五、政府采购安排情况说明</w:t>
      </w:r>
    </w:p>
    <w:p>
      <w:pPr>
        <w:widowControl w:val="0"/>
        <w:wordWrap/>
        <w:adjustRightInd/>
        <w:snapToGrid/>
        <w:spacing w:line="460" w:lineRule="exact"/>
        <w:ind w:left="0" w:leftChars="0" w:right="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年我单位政府采购预算安排为</w:t>
      </w:r>
      <w:r>
        <w:rPr>
          <w:rFonts w:hint="eastAsia" w:ascii="仿宋_GB2312" w:hAnsi="仿宋_GB2312" w:eastAsia="仿宋_GB2312" w:cs="仿宋_GB2312"/>
          <w:sz w:val="24"/>
          <w:szCs w:val="24"/>
          <w:lang w:val="en-US" w:eastAsia="zh-CN"/>
        </w:rPr>
        <w:t>22万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eastAsia="zh-CN"/>
        </w:rPr>
        <w:t>空调</w:t>
      </w:r>
      <w:r>
        <w:rPr>
          <w:rFonts w:hint="eastAsia" w:ascii="仿宋_GB2312" w:hAnsi="仿宋_GB2312" w:eastAsia="仿宋_GB2312" w:cs="仿宋_GB2312"/>
          <w:sz w:val="24"/>
          <w:szCs w:val="24"/>
          <w:lang w:val="en-US" w:eastAsia="zh-CN"/>
        </w:rPr>
        <w:t>42台20.2万元，学生课桌50套1万元，A4纸0.8万元。</w:t>
      </w:r>
    </w:p>
    <w:p>
      <w:pPr>
        <w:pStyle w:val="6"/>
        <w:widowControl w:val="0"/>
        <w:wordWrap/>
        <w:adjustRightInd/>
        <w:spacing w:line="440" w:lineRule="exact"/>
        <w:ind w:left="0" w:leftChars="0" w:right="0" w:firstLine="480" w:firstLineChars="200"/>
        <w:jc w:val="left"/>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rPr>
        <w:t>六、专业性较强的名词解释</w:t>
      </w:r>
    </w:p>
    <w:p>
      <w:pPr>
        <w:widowControl w:val="0"/>
        <w:wordWrap/>
        <w:adjustRightInd/>
        <w:snapToGrid w:val="0"/>
        <w:spacing w:line="44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idowControl w:val="0"/>
        <w:wordWrap/>
        <w:adjustRightInd/>
        <w:snapToGrid w:val="0"/>
        <w:spacing w:line="44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napToGrid w:val="0"/>
        <w:spacing w:line="440" w:lineRule="exact"/>
        <w:ind w:left="0" w:leftChars="0" w:right="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普惠性民办幼儿园生均财政补助制度：从</w:t>
      </w:r>
      <w:r>
        <w:rPr>
          <w:rFonts w:hint="eastAsia" w:ascii="仿宋_GB2312" w:hAnsi="仿宋_GB2312" w:eastAsia="仿宋_GB2312" w:cs="仿宋_GB2312"/>
          <w:sz w:val="24"/>
          <w:szCs w:val="24"/>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napToGrid w:val="0"/>
        <w:spacing w:line="44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义务教育“两免一补”：“两免”指免除学杂费、免费提供教科书。 “一补”指我省农村义务教育阶段家庭经济困难</w:t>
      </w:r>
      <w:r>
        <w:rPr>
          <w:rFonts w:hint="eastAsia" w:ascii="仿宋_GB2312" w:hAnsi="仿宋_GB2312" w:eastAsia="仿宋_GB2312" w:cs="仿宋_GB2312"/>
          <w:sz w:val="24"/>
          <w:szCs w:val="24"/>
          <w:lang w:eastAsia="zh-CN"/>
        </w:rPr>
        <w:t>学生</w:t>
      </w:r>
      <w:r>
        <w:rPr>
          <w:rFonts w:hint="eastAsia" w:ascii="仿宋_GB2312" w:hAnsi="仿宋_GB2312" w:eastAsia="仿宋_GB2312" w:cs="仿宋_GB2312"/>
          <w:sz w:val="24"/>
          <w:szCs w:val="24"/>
        </w:rPr>
        <w:t>的生活补助。</w:t>
      </w:r>
    </w:p>
    <w:p>
      <w:pPr>
        <w:widowControl w:val="0"/>
        <w:wordWrap/>
        <w:adjustRightInd/>
        <w:snapToGrid w:val="0"/>
        <w:spacing w:line="440" w:lineRule="exact"/>
        <w:ind w:left="0" w:leftChars="0" w:right="0" w:firstLine="480" w:firstLineChars="200"/>
        <w:textAlignment w:val="auto"/>
        <w:outlineLvl w:val="9"/>
        <w:rPr>
          <w:rFonts w:hint="eastAsia" w:ascii="仿宋_GB2312" w:hAnsi="仿宋_GB2312" w:eastAsia="仿宋_GB2312" w:cs="仿宋_GB2312"/>
          <w:b/>
          <w:color w:val="000000"/>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城乡义务教育阶段中小学公用经费是对城乡义务教育学校（含民办学校）按照不低于基准定额的标准补助公用经费。</w:t>
      </w:r>
    </w:p>
    <w:p>
      <w:pPr>
        <w:widowControl w:val="0"/>
        <w:wordWrap/>
        <w:adjustRightInd/>
        <w:spacing w:line="440" w:lineRule="exact"/>
        <w:ind w:left="0" w:leftChars="0" w:right="0" w:firstLine="480" w:firstLineChars="200"/>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rPr>
        <w:t>七、“三公”经费增减变化情况</w:t>
      </w:r>
    </w:p>
    <w:p>
      <w:pPr>
        <w:widowControl w:val="0"/>
        <w:wordWrap/>
        <w:adjustRightInd/>
        <w:spacing w:line="44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年“三公经费”预算</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与上年预算持平。</w:t>
      </w:r>
      <w:r>
        <w:rPr>
          <w:rFonts w:hint="eastAsia" w:ascii="仿宋_GB2312" w:hAnsi="仿宋_GB2312" w:eastAsia="仿宋_GB2312" w:cs="仿宋_GB2312"/>
          <w:sz w:val="24"/>
          <w:szCs w:val="24"/>
        </w:rPr>
        <w:t>其中因公出国（境）费0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元，原因是本年度没有出国（境）安排</w:t>
      </w:r>
      <w:r>
        <w:rPr>
          <w:rFonts w:hint="eastAsia" w:ascii="仿宋_GB2312" w:hAnsi="仿宋_GB2312" w:eastAsia="仿宋_GB2312" w:cs="仿宋_GB2312"/>
          <w:sz w:val="24"/>
          <w:szCs w:val="24"/>
          <w:lang w:eastAsia="zh-CN"/>
        </w:rPr>
        <w:t>，与</w:t>
      </w:r>
      <w:r>
        <w:rPr>
          <w:rFonts w:hint="eastAsia" w:ascii="仿宋_GB2312" w:hAnsi="仿宋_GB2312" w:eastAsia="仿宋_GB2312" w:cs="仿宋_GB2312"/>
          <w:sz w:val="24"/>
          <w:szCs w:val="24"/>
          <w:lang w:val="en-US" w:eastAsia="zh-CN"/>
        </w:rPr>
        <w:t>上年预算持平</w:t>
      </w:r>
      <w:r>
        <w:rPr>
          <w:rFonts w:hint="eastAsia" w:ascii="仿宋_GB2312" w:hAnsi="仿宋_GB2312" w:eastAsia="仿宋_GB2312" w:cs="仿宋_GB2312"/>
          <w:sz w:val="24"/>
          <w:szCs w:val="24"/>
        </w:rPr>
        <w:t>；公务接待费</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原因是无接待任务</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公务用车运行维护费</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元，原因是</w:t>
      </w:r>
      <w:r>
        <w:rPr>
          <w:rFonts w:hint="eastAsia" w:ascii="仿宋_GB2312" w:hAnsi="仿宋_GB2312" w:eastAsia="仿宋_GB2312" w:cs="仿宋_GB2312"/>
          <w:sz w:val="24"/>
          <w:szCs w:val="24"/>
          <w:lang w:eastAsia="zh-CN"/>
        </w:rPr>
        <w:t>我校</w:t>
      </w:r>
      <w:r>
        <w:rPr>
          <w:rFonts w:hint="eastAsia" w:ascii="仿宋_GB2312" w:hAnsi="仿宋_GB2312" w:eastAsia="仿宋_GB2312" w:cs="仿宋_GB2312"/>
          <w:sz w:val="24"/>
          <w:szCs w:val="24"/>
        </w:rPr>
        <w:t>没有公务用车</w:t>
      </w:r>
      <w:r>
        <w:rPr>
          <w:rFonts w:hint="eastAsia" w:ascii="仿宋_GB2312" w:hAnsi="仿宋_GB2312" w:eastAsia="仿宋_GB2312" w:cs="仿宋_GB2312"/>
          <w:sz w:val="24"/>
          <w:szCs w:val="24"/>
          <w:lang w:eastAsia="zh-CN"/>
        </w:rPr>
        <w:t>，与</w:t>
      </w:r>
      <w:r>
        <w:rPr>
          <w:rFonts w:hint="eastAsia" w:ascii="仿宋_GB2312" w:hAnsi="仿宋_GB2312" w:eastAsia="仿宋_GB2312" w:cs="仿宋_GB2312"/>
          <w:sz w:val="24"/>
          <w:szCs w:val="24"/>
          <w:lang w:val="en-US" w:eastAsia="zh-CN"/>
        </w:rPr>
        <w:t>上年预算持平</w:t>
      </w:r>
      <w:r>
        <w:rPr>
          <w:rFonts w:hint="eastAsia" w:ascii="仿宋_GB2312" w:hAnsi="仿宋_GB2312" w:eastAsia="仿宋_GB2312" w:cs="仿宋_GB2312"/>
          <w:sz w:val="24"/>
          <w:szCs w:val="24"/>
        </w:rPr>
        <w:t>。</w:t>
      </w:r>
    </w:p>
    <w:p>
      <w:pPr>
        <w:widowControl w:val="0"/>
        <w:wordWrap/>
        <w:adjustRightInd/>
        <w:spacing w:line="440" w:lineRule="exact"/>
        <w:ind w:left="0" w:leftChars="0" w:right="0" w:firstLine="480" w:firstLineChars="200"/>
        <w:textAlignment w:val="auto"/>
        <w:outlineLvl w:val="9"/>
        <w:rPr>
          <w:rFonts w:hint="eastAsia" w:ascii="黑体" w:hAnsi="黑体" w:eastAsia="黑体" w:cs="黑体"/>
          <w:b w:val="0"/>
          <w:bCs w:val="0"/>
          <w:sz w:val="24"/>
          <w:szCs w:val="24"/>
        </w:rPr>
      </w:pPr>
      <w:r>
        <w:rPr>
          <w:rFonts w:hint="eastAsia" w:ascii="黑体" w:hAnsi="黑体" w:eastAsia="黑体" w:cs="黑体"/>
          <w:b w:val="0"/>
          <w:bCs w:val="0"/>
          <w:sz w:val="24"/>
          <w:szCs w:val="24"/>
        </w:rPr>
        <w:t>八、国有资产占用情况说明</w:t>
      </w:r>
    </w:p>
    <w:p>
      <w:pPr>
        <w:widowControl w:val="0"/>
        <w:wordWrap/>
        <w:adjustRightInd/>
        <w:spacing w:line="44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806.05万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112.28万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1274.16万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580.39万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693.77</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元，在建工程</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元，无形资产</w:t>
      </w:r>
      <w:r>
        <w:rPr>
          <w:rFonts w:hint="eastAsia" w:ascii="仿宋_GB2312" w:hAnsi="仿宋_GB2312" w:eastAsia="仿宋_GB2312" w:cs="仿宋_GB2312"/>
          <w:sz w:val="24"/>
          <w:szCs w:val="24"/>
          <w:lang w:val="en-US" w:eastAsia="zh-CN"/>
        </w:rPr>
        <w:t>0.88万</w:t>
      </w:r>
      <w:r>
        <w:rPr>
          <w:rFonts w:hint="eastAsia" w:ascii="仿宋_GB2312" w:hAnsi="仿宋_GB2312" w:eastAsia="仿宋_GB2312" w:cs="仿宋_GB2312"/>
          <w:sz w:val="24"/>
          <w:szCs w:val="24"/>
        </w:rPr>
        <w:t>元。固定资产当中，房屋构筑物</w:t>
      </w:r>
      <w:r>
        <w:rPr>
          <w:rFonts w:hint="eastAsia" w:ascii="仿宋_GB2312" w:hAnsi="仿宋_GB2312" w:eastAsia="仿宋_GB2312" w:cs="仿宋_GB2312"/>
          <w:sz w:val="24"/>
          <w:szCs w:val="24"/>
          <w:lang w:val="en-US" w:eastAsia="zh-CN"/>
        </w:rPr>
        <w:t>898.83万</w:t>
      </w:r>
      <w:r>
        <w:rPr>
          <w:rFonts w:hint="eastAsia" w:ascii="仿宋_GB2312" w:hAnsi="仿宋_GB2312" w:eastAsia="仿宋_GB2312" w:cs="仿宋_GB2312"/>
          <w:sz w:val="24"/>
          <w:szCs w:val="24"/>
        </w:rPr>
        <w:t>元，单价200万元以上大型设备价值</w:t>
      </w:r>
      <w:r>
        <w:rPr>
          <w:rFonts w:hint="eastAsia" w:ascii="仿宋_GB2312" w:hAnsi="仿宋_GB2312" w:eastAsia="仿宋_GB2312" w:cs="仿宋_GB2312"/>
          <w:sz w:val="24"/>
          <w:szCs w:val="24"/>
          <w:lang w:val="en-US" w:eastAsia="zh-CN"/>
        </w:rPr>
        <w:t>0万</w:t>
      </w:r>
      <w:bookmarkStart w:id="0" w:name="_GoBack"/>
      <w:bookmarkEnd w:id="0"/>
      <w:r>
        <w:rPr>
          <w:rFonts w:hint="eastAsia" w:ascii="仿宋_GB2312" w:hAnsi="仿宋_GB2312" w:eastAsia="仿宋_GB2312" w:cs="仿宋_GB2312"/>
          <w:sz w:val="24"/>
          <w:szCs w:val="24"/>
        </w:rPr>
        <w:t>元，其他固定资产</w:t>
      </w:r>
      <w:r>
        <w:rPr>
          <w:rFonts w:hint="eastAsia" w:ascii="仿宋_GB2312" w:hAnsi="仿宋_GB2312" w:eastAsia="仿宋_GB2312" w:cs="仿宋_GB2312"/>
          <w:sz w:val="24"/>
          <w:szCs w:val="24"/>
          <w:lang w:val="en-US" w:eastAsia="zh-CN"/>
        </w:rPr>
        <w:t>3750.33万</w:t>
      </w:r>
      <w:r>
        <w:rPr>
          <w:rFonts w:hint="eastAsia" w:ascii="仿宋_GB2312" w:hAnsi="仿宋_GB2312" w:eastAsia="仿宋_GB2312" w:cs="仿宋_GB2312"/>
          <w:sz w:val="24"/>
          <w:szCs w:val="24"/>
        </w:rPr>
        <w:t>元。与上年相比，本年固定资产原值</w:t>
      </w:r>
      <w:r>
        <w:rPr>
          <w:rFonts w:hint="eastAsia" w:ascii="仿宋_GB2312" w:hAnsi="仿宋_GB2312" w:eastAsia="仿宋_GB2312" w:cs="仿宋_GB2312"/>
          <w:sz w:val="24"/>
          <w:szCs w:val="24"/>
          <w:lang w:eastAsia="zh-CN"/>
        </w:rPr>
        <w:t>增加了</w:t>
      </w:r>
      <w:r>
        <w:rPr>
          <w:rFonts w:hint="eastAsia" w:ascii="仿宋_GB2312" w:hAnsi="仿宋_GB2312" w:eastAsia="仿宋_GB2312" w:cs="仿宋_GB2312"/>
          <w:sz w:val="24"/>
          <w:szCs w:val="24"/>
          <w:lang w:val="en-US" w:eastAsia="zh-CN"/>
        </w:rPr>
        <w:t>1.27%</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2020年新增固定资产15.97万元</w:t>
      </w:r>
      <w:r>
        <w:rPr>
          <w:rFonts w:hint="eastAsia" w:ascii="仿宋_GB2312" w:hAnsi="仿宋_GB2312" w:eastAsia="仿宋_GB2312" w:cs="仿宋_GB2312"/>
          <w:sz w:val="24"/>
          <w:szCs w:val="24"/>
        </w:rPr>
        <w:t>。</w:t>
      </w:r>
    </w:p>
    <w:p>
      <w:pPr>
        <w:widowControl w:val="0"/>
        <w:wordWrap/>
        <w:adjustRightInd/>
        <w:spacing w:line="44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21.2万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eastAsia="zh-CN"/>
        </w:rPr>
        <w:t>空调</w:t>
      </w:r>
      <w:r>
        <w:rPr>
          <w:rFonts w:hint="eastAsia" w:ascii="仿宋_GB2312" w:hAnsi="仿宋_GB2312" w:eastAsia="仿宋_GB2312" w:cs="仿宋_GB2312"/>
          <w:sz w:val="24"/>
          <w:szCs w:val="24"/>
          <w:lang w:val="en-US" w:eastAsia="zh-CN"/>
        </w:rPr>
        <w:t>42台20.2万元，学生课桌50套1万元。</w:t>
      </w:r>
    </w:p>
    <w:p>
      <w:pPr>
        <w:widowControl w:val="0"/>
        <w:wordWrap/>
        <w:adjustRightInd/>
        <w:spacing w:line="440" w:lineRule="exact"/>
        <w:ind w:left="0" w:leftChars="0" w:right="0" w:firstLine="480" w:firstLineChars="200"/>
        <w:textAlignment w:val="auto"/>
        <w:outlineLvl w:val="9"/>
        <w:rPr>
          <w:rFonts w:hint="eastAsia" w:ascii="黑体" w:hAnsi="黑体" w:eastAsia="黑体" w:cs="黑体"/>
          <w:b w:val="0"/>
          <w:bCs w:val="0"/>
          <w:sz w:val="24"/>
          <w:szCs w:val="24"/>
        </w:rPr>
      </w:pPr>
      <w:r>
        <w:rPr>
          <w:rFonts w:hint="eastAsia" w:ascii="黑体" w:hAnsi="黑体" w:eastAsia="黑体" w:cs="黑体"/>
          <w:b w:val="0"/>
          <w:bCs w:val="0"/>
          <w:sz w:val="24"/>
          <w:szCs w:val="24"/>
        </w:rPr>
        <w:t>九、重点项目预算的绩效目标情况说明</w:t>
      </w:r>
    </w:p>
    <w:p>
      <w:pPr>
        <w:widowControl w:val="0"/>
        <w:wordWrap/>
        <w:adjustRightInd/>
        <w:spacing w:line="440" w:lineRule="exact"/>
        <w:ind w:left="0" w:leftChars="0"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本年度无项目预算的绩效目标。</w:t>
      </w:r>
    </w:p>
    <w:p>
      <w:pPr>
        <w:widowControl w:val="0"/>
        <w:wordWrap/>
        <w:adjustRightInd/>
        <w:spacing w:line="440" w:lineRule="exact"/>
        <w:ind w:left="0" w:leftChars="0"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贺益民</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李建军</w:t>
      </w:r>
    </w:p>
    <w:p>
      <w:pPr>
        <w:widowControl w:val="0"/>
        <w:wordWrap/>
        <w:adjustRightInd/>
        <w:spacing w:line="440" w:lineRule="exact"/>
        <w:ind w:left="0" w:leftChars="0" w:right="0" w:firstLine="480" w:firstLineChars="200"/>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eastAsia="zh-CN"/>
        </w:rPr>
        <w:t>杨</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勇</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 系电 话：</w:t>
      </w:r>
      <w:r>
        <w:rPr>
          <w:rFonts w:hint="eastAsia" w:ascii="仿宋_GB2312" w:hAnsi="仿宋_GB2312" w:eastAsia="仿宋_GB2312" w:cs="仿宋_GB2312"/>
          <w:sz w:val="24"/>
          <w:szCs w:val="24"/>
          <w:lang w:val="en-US" w:eastAsia="zh-CN"/>
        </w:rPr>
        <w:t>03598302085</w:t>
      </w:r>
    </w:p>
    <w:p>
      <w:pPr>
        <w:widowControl w:val="0"/>
        <w:wordWrap/>
        <w:adjustRightInd/>
        <w:snapToGrid/>
        <w:spacing w:line="40" w:lineRule="exact"/>
        <w:ind w:left="0" w:leftChars="0" w:right="0" w:firstLine="0" w:firstLineChars="0"/>
        <w:jc w:val="both"/>
        <w:textAlignment w:val="auto"/>
        <w:outlineLvl w:val="9"/>
        <w:rPr>
          <w:b/>
          <w:bCs/>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1D2285"/>
    <w:rsid w:val="00234169"/>
    <w:rsid w:val="00246DC4"/>
    <w:rsid w:val="0ED3560D"/>
    <w:rsid w:val="0F3E36B6"/>
    <w:rsid w:val="17ED5169"/>
    <w:rsid w:val="195C6E4A"/>
    <w:rsid w:val="1A694B6A"/>
    <w:rsid w:val="1E2B5508"/>
    <w:rsid w:val="21787965"/>
    <w:rsid w:val="24674A7D"/>
    <w:rsid w:val="2A4A105E"/>
    <w:rsid w:val="2C090686"/>
    <w:rsid w:val="37077D6C"/>
    <w:rsid w:val="39C715D8"/>
    <w:rsid w:val="3BD317B6"/>
    <w:rsid w:val="44DC7571"/>
    <w:rsid w:val="4E195985"/>
    <w:rsid w:val="4FF32B64"/>
    <w:rsid w:val="529B7A3A"/>
    <w:rsid w:val="56AD65C8"/>
    <w:rsid w:val="58E82FCB"/>
    <w:rsid w:val="5B017F67"/>
    <w:rsid w:val="5C0B16D1"/>
    <w:rsid w:val="5D8A3D08"/>
    <w:rsid w:val="70237527"/>
    <w:rsid w:val="71E54B77"/>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rPr>
      <w:rFonts w:ascii="Calibri" w:hAnsi="Calibri" w:eastAsia="宋体" w:cs="黑体"/>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2021-03-27T09:06:00Z</cp:lastPrinted>
  <dcterms:modified xsi:type="dcterms:W3CDTF">2021-04-27T08:41:35Z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