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永济市城北初级中学校</w:t>
      </w:r>
    </w:p>
    <w:p>
      <w:pPr>
        <w:spacing w:line="52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2021年部门预算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说明</w:t>
      </w:r>
    </w:p>
    <w:p>
      <w:pPr>
        <w:spacing w:line="480" w:lineRule="exact"/>
        <w:jc w:val="center"/>
        <w:textAlignment w:val="baseline"/>
        <w:rPr>
          <w:rFonts w:ascii="宋体"/>
          <w:sz w:val="44"/>
          <w:szCs w:val="44"/>
        </w:rPr>
      </w:pPr>
    </w:p>
    <w:p>
      <w:pPr>
        <w:pStyle w:val="5"/>
        <w:spacing w:line="440" w:lineRule="exact"/>
        <w:ind w:left="720" w:hanging="720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30"/>
          <w:szCs w:val="30"/>
        </w:rPr>
        <w:t xml:space="preserve">  </w:t>
      </w:r>
      <w:r>
        <w:rPr>
          <w:rFonts w:hint="eastAsia"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24"/>
          <w:szCs w:val="24"/>
        </w:rPr>
        <w:t xml:space="preserve"> 一、单位主要职责及机构设置情况</w:t>
      </w:r>
    </w:p>
    <w:p>
      <w:pPr>
        <w:spacing w:line="44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（一）基本情况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永济市城北初级中学校属全额事业单位，位于永济市河东大道北端，编制227人，实有人数221人，退休人员23人，在校学生数1595人。</w:t>
      </w:r>
    </w:p>
    <w:p>
      <w:pPr>
        <w:pStyle w:val="6"/>
        <w:tabs>
          <w:tab w:val="left" w:pos="988"/>
          <w:tab w:val="left" w:pos="1093"/>
          <w:tab w:val="left" w:pos="1168"/>
        </w:tabs>
        <w:spacing w:line="440" w:lineRule="exact"/>
        <w:ind w:firstLine="0" w:firstLineChars="0"/>
        <w:textAlignment w:val="baseline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（二）主要职责</w:t>
      </w:r>
    </w:p>
    <w:p>
      <w:pPr>
        <w:spacing w:line="440" w:lineRule="exact"/>
        <w:ind w:firstLine="645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我校主要职责是培养学生德、智、体、美、劳全面发展，为社会培养合格、有用的人才。</w:t>
      </w:r>
    </w:p>
    <w:p>
      <w:pPr>
        <w:spacing w:line="440" w:lineRule="exact"/>
        <w:ind w:firstLine="645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（三）机构设置情况</w:t>
      </w:r>
    </w:p>
    <w:p>
      <w:pPr>
        <w:snapToGrid w:val="0"/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我校属于全额拨款单位，执行事业单位会计制度，独立核算的机构1个，预算单位数1个。下设教务处、教研处、办公室、政教处、后勤处五个处室。本年机构增减无变动。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二、本级预算情况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</w:rPr>
        <w:t>局下属二级独立核算单位。2021年我单位预算收入安排为</w:t>
      </w:r>
      <w:r>
        <w:rPr>
          <w:rFonts w:hint="eastAsia" w:ascii="仿宋_GB2312" w:hAnsi="仿宋_GB2312" w:eastAsia="仿宋_GB2312" w:cs="仿宋_GB2312"/>
          <w:kern w:val="0"/>
          <w:sz w:val="24"/>
        </w:rPr>
        <w:t>2418.31万</w:t>
      </w:r>
      <w:r>
        <w:rPr>
          <w:rFonts w:hint="eastAsia" w:ascii="仿宋_GB2312" w:hAnsi="仿宋_GB2312" w:eastAsia="仿宋_GB2312" w:cs="仿宋_GB2312"/>
          <w:sz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kern w:val="0"/>
          <w:sz w:val="24"/>
        </w:rPr>
        <w:t>2418.31</w:t>
      </w:r>
      <w:r>
        <w:rPr>
          <w:rFonts w:hint="eastAsia" w:ascii="仿宋_GB2312" w:hAnsi="仿宋_GB2312" w:eastAsia="仿宋_GB2312" w:cs="仿宋_GB2312"/>
          <w:kern w:val="0"/>
          <w:sz w:val="24"/>
          <w:lang w:eastAsia="zh-CN"/>
        </w:rPr>
        <w:t>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2171.28万</w:t>
      </w:r>
      <w:r>
        <w:rPr>
          <w:rFonts w:hint="eastAsia" w:ascii="仿宋_GB2312" w:hAnsi="仿宋_GB2312" w:eastAsia="仿宋_GB2312" w:cs="仿宋_GB2312"/>
          <w:sz w:val="24"/>
        </w:rPr>
        <w:t>元，对个人和家庭的补助为11.61万元，商品服务支出为31.4万元，项目支出为204.02万元）。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三、预算收支增减变化及情况说明</w:t>
      </w:r>
    </w:p>
    <w:p>
      <w:pPr>
        <w:spacing w:line="440" w:lineRule="exact"/>
        <w:ind w:firstLine="240" w:firstLineChars="100"/>
        <w:textAlignment w:val="baseline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2021年收入预算为</w:t>
      </w:r>
      <w:r>
        <w:rPr>
          <w:rFonts w:hint="eastAsia" w:ascii="仿宋_GB2312" w:hAnsi="仿宋_GB2312" w:eastAsia="仿宋_GB2312" w:cs="仿宋_GB2312"/>
          <w:kern w:val="0"/>
          <w:sz w:val="24"/>
        </w:rPr>
        <w:t>2418.31万</w:t>
      </w:r>
      <w:r>
        <w:rPr>
          <w:rFonts w:hint="eastAsia" w:ascii="仿宋_GB2312" w:hAnsi="仿宋_GB2312" w:eastAsia="仿宋_GB2312" w:cs="仿宋_GB2312"/>
          <w:sz w:val="24"/>
        </w:rPr>
        <w:t>元，比上年增长3.47% 。支出预算为</w:t>
      </w:r>
      <w:r>
        <w:rPr>
          <w:rFonts w:hint="eastAsia" w:ascii="仿宋_GB2312" w:hAnsi="仿宋_GB2312" w:eastAsia="仿宋_GB2312" w:cs="仿宋_GB2312"/>
          <w:kern w:val="0"/>
          <w:sz w:val="24"/>
        </w:rPr>
        <w:t>2418.31万</w:t>
      </w:r>
      <w:r>
        <w:rPr>
          <w:rFonts w:hint="eastAsia" w:ascii="仿宋_GB2312" w:hAnsi="仿宋_GB2312" w:eastAsia="仿宋_GB2312" w:cs="仿宋_GB2312"/>
          <w:sz w:val="24"/>
        </w:rPr>
        <w:t>元，比上年增长3.47%，其中工资福利支出为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2171.28万</w:t>
      </w:r>
      <w:r>
        <w:rPr>
          <w:rFonts w:hint="eastAsia" w:ascii="仿宋_GB2312" w:hAnsi="仿宋_GB2312" w:eastAsia="仿宋_GB2312" w:cs="仿宋_GB2312"/>
          <w:sz w:val="24"/>
        </w:rPr>
        <w:t>元，比上年增长1.21%，原因是工资普调；对个人和家庭的补助为11.61万元，比上年增长11.37%，原因是遗属补助提标；商品服务支出为31.4万元, 比上年下降148.54万元 ,原因是部门经济分类科目调整；项目支出为204.02万元，比上年增长100%，原因是部门经济分类科目调整。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四、机关运行经费安排情况说明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2021年我单位</w:t>
      </w:r>
      <w:r>
        <w:rPr>
          <w:rFonts w:hint="eastAsia" w:ascii="仿宋_GB2312" w:hAnsi="仿宋_GB2312" w:eastAsia="仿宋_GB2312" w:cs="仿宋_GB2312"/>
          <w:bCs/>
          <w:sz w:val="24"/>
        </w:rPr>
        <w:t>机关运行经费安排为</w:t>
      </w:r>
      <w:r>
        <w:rPr>
          <w:rFonts w:hint="eastAsia" w:ascii="仿宋_GB2312" w:hAnsi="仿宋_GB2312" w:eastAsia="仿宋_GB2312" w:cs="仿宋_GB2312"/>
          <w:sz w:val="24"/>
        </w:rPr>
        <w:t>31.4万</w:t>
      </w:r>
      <w:r>
        <w:rPr>
          <w:rFonts w:hint="eastAsia" w:ascii="仿宋_GB2312" w:hAnsi="仿宋_GB2312" w:eastAsia="仿宋_GB2312" w:cs="仿宋_GB2312"/>
          <w:bCs/>
          <w:sz w:val="24"/>
        </w:rPr>
        <w:t>元，</w:t>
      </w:r>
      <w:r>
        <w:rPr>
          <w:rFonts w:hint="eastAsia" w:ascii="仿宋_GB2312" w:hAnsi="仿宋_GB2312" w:eastAsia="仿宋_GB2312" w:cs="仿宋_GB2312"/>
          <w:sz w:val="24"/>
        </w:rPr>
        <w:t>比上年下降148.54万元 ,原因是部门经济分类科目调整。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五、政府采购安排情况说明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2021年我单位政府采购预算安排为32.95万元，其中：空调7台，4.6万元；铁皮柜、办公椅等38件，1.95万元；监控1套，5万元；学生课桌凳650套，13万元； A4纸20件，0.4万元；印刷8万元。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六、专业性较强的名词解释</w:t>
      </w:r>
    </w:p>
    <w:p>
      <w:pPr>
        <w:spacing w:line="440" w:lineRule="exact"/>
        <w:ind w:firstLine="600" w:firstLineChars="25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义务教育“两免一补”：“两免”：免除学杂费、免费提供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</w:rPr>
        <w:t>书。“一补”：我省农村义务教育阶段家庭经济困难寄宿生的生活补助。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七、“三公”经费增减变化情况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2021年三公经费预算0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</w:rPr>
        <w:t>元，与2020年预算相比无变化。其中2021年因公出国（境）费0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</w:rPr>
        <w:t>元，原因是本年度我校无此项业务支出预算；2021年公务接待费0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</w:rPr>
        <w:t>元，原因是本年度我校无此项业务支出预算；公务用车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</w:rPr>
        <w:t>预算0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4"/>
        </w:rPr>
        <w:t>公务用车运行维护费预算0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</w:rPr>
        <w:t>元，原因是我校无公车。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八、国有资产占用情况说明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截止2020年12月31日，我单位资产总额2377.81万元，其中流动资产33.26万元；固定资产原值2344.55万元，累计折旧 1336.92万元，固定资产净值为1007.64万元，在建工程 0万元，无形资产0.88万元。固定资产当中，房屋构筑物</w:t>
      </w:r>
      <w:r>
        <w:rPr>
          <w:rFonts w:hint="eastAsia" w:ascii="仿宋_GB2312" w:hAnsi="仿宋_GB2312" w:eastAsia="仿宋_GB2312" w:cs="仿宋_GB2312"/>
          <w:kern w:val="44"/>
          <w:sz w:val="24"/>
        </w:rPr>
        <w:t>1588.26万</w:t>
      </w:r>
      <w:r>
        <w:rPr>
          <w:rFonts w:hint="eastAsia" w:ascii="仿宋_GB2312" w:hAnsi="仿宋_GB2312" w:eastAsia="仿宋_GB2312" w:cs="仿宋_GB2312"/>
          <w:sz w:val="24"/>
        </w:rPr>
        <w:t>元，单价200万元以上大型设备价值0元，其他固定资产755.41万元。与上年相比，本年固定资产原值增长24.27万元，原因是增长中央空调、电子屏等资产。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2021年预计新增采购固定资产24.57万元，空调7台，4.6万元；铁皮柜、办公椅等38件，1.97万元；监控1套，5万元；学生课桌凳650套，13万元。</w:t>
      </w:r>
    </w:p>
    <w:p>
      <w:pPr>
        <w:pStyle w:val="5"/>
        <w:spacing w:line="440" w:lineRule="exact"/>
        <w:ind w:left="576" w:hanging="576" w:hangingChars="24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 xml:space="preserve">    九、重点项目预算的绩效目标情况说明</w:t>
      </w:r>
    </w:p>
    <w:p>
      <w:pPr>
        <w:spacing w:line="440" w:lineRule="exac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2021年度本部门无重点项目预算的绩效目标。</w:t>
      </w:r>
    </w:p>
    <w:p>
      <w:pPr>
        <w:spacing w:line="440" w:lineRule="exact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</w:t>
      </w:r>
    </w:p>
    <w:p>
      <w:pPr>
        <w:spacing w:line="440" w:lineRule="exact"/>
        <w:jc w:val="left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spacing w:line="440" w:lineRule="exact"/>
        <w:ind w:firstLine="360" w:firstLineChars="15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单位负责人：陈俊峰          财务负责人：周志杰</w:t>
      </w:r>
    </w:p>
    <w:p>
      <w:pPr>
        <w:spacing w:line="440" w:lineRule="exac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填  报  人：张文琦          联 系电 话：03598158728</w:t>
      </w:r>
    </w:p>
    <w:p>
      <w:pPr>
        <w:spacing w:line="40" w:lineRule="exact"/>
        <w:rPr>
          <w:b/>
          <w:bCs/>
        </w:rPr>
      </w:pPr>
    </w:p>
    <w:sectPr>
      <w:pgSz w:w="11915" w:h="16840"/>
      <w:pgMar w:top="1587" w:right="1361" w:bottom="1587" w:left="1361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HorizontalSpacing w:val="105"/>
  <w:drawingGridVerticalSpacing w:val="317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02D61F9"/>
    <w:rsid w:val="00E8219E"/>
    <w:rsid w:val="03C30B37"/>
    <w:rsid w:val="0F3E36B6"/>
    <w:rsid w:val="195C6E4A"/>
    <w:rsid w:val="1A694B6A"/>
    <w:rsid w:val="1E2B5508"/>
    <w:rsid w:val="21787965"/>
    <w:rsid w:val="220F0810"/>
    <w:rsid w:val="24674A7D"/>
    <w:rsid w:val="2A4A105E"/>
    <w:rsid w:val="2ACA7007"/>
    <w:rsid w:val="2C090686"/>
    <w:rsid w:val="2D222731"/>
    <w:rsid w:val="338C32B1"/>
    <w:rsid w:val="345D5CD8"/>
    <w:rsid w:val="36D24A5E"/>
    <w:rsid w:val="37077D6C"/>
    <w:rsid w:val="3BD317B6"/>
    <w:rsid w:val="3CE73CE0"/>
    <w:rsid w:val="47F531FD"/>
    <w:rsid w:val="4E195985"/>
    <w:rsid w:val="529B7A3A"/>
    <w:rsid w:val="56AD65C8"/>
    <w:rsid w:val="5B017F67"/>
    <w:rsid w:val="5D8A3D08"/>
    <w:rsid w:val="64A4332E"/>
    <w:rsid w:val="70237527"/>
    <w:rsid w:val="704A78CB"/>
    <w:rsid w:val="71E54B77"/>
    <w:rsid w:val="72C465F5"/>
    <w:rsid w:val="72F61962"/>
    <w:rsid w:val="731746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6">
    <w:name w:val="List Paragraph1"/>
    <w:basedOn w:val="1"/>
    <w:qFormat/>
    <w:uiPriority w:val="0"/>
    <w:pPr>
      <w:ind w:firstLine="420" w:firstLineChars="200"/>
    </w:pPr>
    <w:rPr>
      <w:rFonts w:cs="Times New Roman"/>
      <w:szCs w:val="22"/>
    </w:rPr>
  </w:style>
  <w:style w:type="paragraph" w:customStyle="1" w:styleId="7">
    <w:name w:val="列出段落2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3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233</Words>
  <Characters>1331</Characters>
  <Lines>11</Lines>
  <Paragraphs>3</Paragraphs>
  <ScaleCrop>false</ScaleCrop>
  <LinksUpToDate>false</LinksUpToDate>
  <CharactersWithSpaces>1561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2021-03-31T09:10:00Z</cp:lastPrinted>
  <dcterms:modified xsi:type="dcterms:W3CDTF">2021-04-27T08:31:43Z</dcterms:modified>
  <dc:title>基 本 情 况 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