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40" w:lineRule="exact"/>
        <w:ind w:left="0" w:leftChars="0" w:right="0" w:firstLine="0" w:firstLineChars="0"/>
        <w:jc w:val="both"/>
        <w:textAlignment w:val="auto"/>
        <w:outlineLvl w:val="9"/>
        <w:rPr>
          <w:b/>
          <w:bCs/>
        </w:rPr>
      </w:pPr>
    </w:p>
    <w:p>
      <w:pPr>
        <w:widowControl w:val="0"/>
        <w:wordWrap/>
        <w:adjustRightInd/>
        <w:snapToGrid/>
        <w:spacing w:line="460" w:lineRule="exact"/>
        <w:ind w:left="0" w:leftChars="0" w:right="0" w:firstLine="0" w:firstLineChars="0"/>
        <w:jc w:val="center"/>
        <w:textAlignment w:val="auto"/>
        <w:outlineLvl w:val="9"/>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永济市张营镇中心学校</w:t>
      </w:r>
    </w:p>
    <w:p>
      <w:pPr>
        <w:widowControl w:val="0"/>
        <w:wordWrap/>
        <w:adjustRightInd/>
        <w:snapToGrid/>
        <w:spacing w:line="460" w:lineRule="exact"/>
        <w:ind w:left="0" w:leftChars="0" w:right="0" w:firstLine="0" w:firstLineChars="0"/>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36"/>
          <w:szCs w:val="36"/>
        </w:rPr>
        <w:t>20</w:t>
      </w:r>
      <w:r>
        <w:rPr>
          <w:rFonts w:hint="eastAsia" w:ascii="方正小标宋_GBK" w:hAnsi="方正小标宋_GBK" w:eastAsia="方正小标宋_GBK" w:cs="方正小标宋_GBK"/>
          <w:sz w:val="36"/>
          <w:szCs w:val="36"/>
          <w:lang w:val="en-US" w:eastAsia="zh-CN"/>
        </w:rPr>
        <w:t>21</w:t>
      </w:r>
      <w:r>
        <w:rPr>
          <w:rFonts w:hint="eastAsia" w:ascii="方正小标宋_GBK" w:hAnsi="方正小标宋_GBK" w:eastAsia="方正小标宋_GBK" w:cs="方正小标宋_GBK"/>
          <w:sz w:val="36"/>
          <w:szCs w:val="36"/>
        </w:rPr>
        <w:t>年部门预算</w:t>
      </w:r>
      <w:r>
        <w:rPr>
          <w:rFonts w:hint="eastAsia" w:ascii="方正小标宋_GBK" w:hAnsi="方正小标宋_GBK" w:eastAsia="方正小标宋_GBK" w:cs="方正小标宋_GBK"/>
          <w:sz w:val="36"/>
          <w:szCs w:val="36"/>
          <w:lang w:eastAsia="zh-CN"/>
        </w:rPr>
        <w:t>公开</w:t>
      </w:r>
      <w:r>
        <w:rPr>
          <w:rFonts w:hint="eastAsia" w:ascii="方正小标宋_GBK" w:hAnsi="方正小标宋_GBK" w:eastAsia="方正小标宋_GBK" w:cs="方正小标宋_GBK"/>
          <w:sz w:val="36"/>
          <w:szCs w:val="36"/>
        </w:rPr>
        <w:t>说明</w:t>
      </w:r>
    </w:p>
    <w:p>
      <w:pPr>
        <w:pStyle w:val="9"/>
        <w:keepNext w:val="0"/>
        <w:keepLines w:val="0"/>
        <w:pageBreakBefore w:val="0"/>
        <w:widowControl w:val="0"/>
        <w:kinsoku/>
        <w:wordWrap/>
        <w:overflowPunct/>
        <w:topLinePunct w:val="0"/>
        <w:autoSpaceDE/>
        <w:autoSpaceDN/>
        <w:bidi w:val="0"/>
        <w:adjustRightInd/>
        <w:spacing w:line="560" w:lineRule="exact"/>
        <w:ind w:left="600" w:right="0" w:rightChars="0" w:firstLine="0" w:firstLineChars="0"/>
        <w:rPr>
          <w:rFonts w:hint="eastAsia" w:ascii="黑体" w:hAnsi="宋体" w:eastAsia="黑体"/>
          <w:sz w:val="28"/>
          <w:szCs w:val="28"/>
        </w:rPr>
      </w:pPr>
    </w:p>
    <w:p>
      <w:pPr>
        <w:pStyle w:val="9"/>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outlineLvl w:val="9"/>
        <w:rPr>
          <w:rFonts w:hint="eastAsia" w:ascii="黑体" w:hAnsi="黑体" w:eastAsia="黑体" w:cs="黑体"/>
          <w:sz w:val="24"/>
          <w:szCs w:val="24"/>
          <w:lang w:eastAsia="zh-CN"/>
        </w:rPr>
      </w:pPr>
      <w:r>
        <w:rPr>
          <w:rFonts w:hint="eastAsia" w:ascii="黑体" w:hAnsi="黑体" w:eastAsia="黑体" w:cs="黑体"/>
          <w:sz w:val="24"/>
          <w:szCs w:val="24"/>
        </w:rPr>
        <w:t>一、单位主要职责</w:t>
      </w:r>
      <w:r>
        <w:rPr>
          <w:rFonts w:hint="eastAsia" w:ascii="黑体" w:hAnsi="黑体" w:eastAsia="黑体" w:cs="黑体"/>
          <w:sz w:val="24"/>
          <w:szCs w:val="24"/>
          <w:lang w:eastAsia="zh-CN"/>
        </w:rPr>
        <w:t>及机构设置情况</w:t>
      </w:r>
    </w:p>
    <w:p>
      <w:pPr>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jc w:val="left"/>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（一）基本情况</w:t>
      </w:r>
    </w:p>
    <w:p>
      <w:pPr>
        <w:pStyle w:val="9"/>
        <w:keepNext w:val="0"/>
        <w:keepLines w:val="0"/>
        <w:pageBreakBefore w:val="0"/>
        <w:widowControl w:val="0"/>
        <w:tabs>
          <w:tab w:val="left" w:pos="988"/>
          <w:tab w:val="left" w:pos="1093"/>
          <w:tab w:val="left" w:pos="1153"/>
          <w:tab w:val="left" w:pos="1168"/>
        </w:tabs>
        <w:kinsoku/>
        <w:wordWrap/>
        <w:overflowPunct/>
        <w:topLinePunct w:val="0"/>
        <w:autoSpaceDE/>
        <w:autoSpaceDN/>
        <w:bidi w:val="0"/>
        <w:adjustRightInd/>
        <w:spacing w:line="460" w:lineRule="exact"/>
        <w:ind w:left="0" w:leftChars="0" w:right="0" w:rightChars="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永济市张营镇中心学校位于永济市张营镇张营街，是全额事业单位。我校编制数</w:t>
      </w:r>
      <w:r>
        <w:rPr>
          <w:rFonts w:hint="eastAsia" w:ascii="仿宋_GB2312" w:hAnsi="仿宋_GB2312" w:eastAsia="仿宋_GB2312" w:cs="仿宋_GB2312"/>
          <w:sz w:val="24"/>
          <w:szCs w:val="24"/>
          <w:lang w:val="en-US" w:eastAsia="zh-CN"/>
        </w:rPr>
        <w:t>117</w:t>
      </w:r>
      <w:r>
        <w:rPr>
          <w:rFonts w:hint="eastAsia" w:ascii="仿宋_GB2312" w:hAnsi="仿宋_GB2312" w:eastAsia="仿宋_GB2312" w:cs="仿宋_GB2312"/>
          <w:sz w:val="24"/>
          <w:szCs w:val="24"/>
        </w:rPr>
        <w:t>人，在职教职工</w:t>
      </w:r>
      <w:r>
        <w:rPr>
          <w:rFonts w:hint="eastAsia" w:ascii="仿宋_GB2312" w:hAnsi="仿宋_GB2312" w:eastAsia="仿宋_GB2312" w:cs="仿宋_GB2312"/>
          <w:sz w:val="24"/>
          <w:szCs w:val="24"/>
          <w:lang w:val="en-US" w:eastAsia="zh-CN"/>
        </w:rPr>
        <w:t>106</w:t>
      </w:r>
      <w:r>
        <w:rPr>
          <w:rFonts w:hint="eastAsia" w:ascii="仿宋_GB2312" w:hAnsi="仿宋_GB2312" w:eastAsia="仿宋_GB2312" w:cs="仿宋_GB2312"/>
          <w:sz w:val="24"/>
          <w:szCs w:val="24"/>
        </w:rPr>
        <w:t>人（其中：烹饪班1人），</w:t>
      </w:r>
      <w:r>
        <w:rPr>
          <w:rFonts w:hint="eastAsia" w:ascii="仿宋_GB2312" w:hAnsi="仿宋_GB2312" w:eastAsia="仿宋_GB2312" w:cs="仿宋_GB2312"/>
          <w:sz w:val="24"/>
          <w:szCs w:val="24"/>
          <w:lang w:eastAsia="zh-CN"/>
        </w:rPr>
        <w:t>在编人数</w:t>
      </w:r>
      <w:r>
        <w:rPr>
          <w:rFonts w:hint="eastAsia" w:ascii="仿宋_GB2312" w:hAnsi="仿宋_GB2312" w:eastAsia="仿宋_GB2312" w:cs="仿宋_GB2312"/>
          <w:sz w:val="24"/>
          <w:szCs w:val="24"/>
          <w:lang w:val="en-US" w:eastAsia="zh-CN"/>
        </w:rPr>
        <w:t>105人，退休人员94人，遗属26人，</w:t>
      </w:r>
      <w:r>
        <w:rPr>
          <w:rFonts w:hint="eastAsia" w:ascii="仿宋_GB2312" w:hAnsi="仿宋_GB2312" w:eastAsia="仿宋_GB2312" w:cs="仿宋_GB2312"/>
          <w:sz w:val="24"/>
          <w:szCs w:val="24"/>
        </w:rPr>
        <w:t>学生</w:t>
      </w:r>
      <w:r>
        <w:rPr>
          <w:rFonts w:hint="eastAsia" w:ascii="仿宋_GB2312" w:hAnsi="仿宋_GB2312" w:eastAsia="仿宋_GB2312" w:cs="仿宋_GB2312"/>
          <w:sz w:val="24"/>
          <w:szCs w:val="24"/>
          <w:lang w:val="en-US" w:eastAsia="zh-CN"/>
        </w:rPr>
        <w:t>730</w:t>
      </w:r>
      <w:r>
        <w:rPr>
          <w:rFonts w:hint="eastAsia" w:ascii="仿宋_GB2312" w:hAnsi="仿宋_GB2312" w:eastAsia="仿宋_GB2312" w:cs="仿宋_GB2312"/>
          <w:sz w:val="24"/>
          <w:szCs w:val="24"/>
        </w:rPr>
        <w:t>人。</w:t>
      </w:r>
    </w:p>
    <w:p>
      <w:pPr>
        <w:pStyle w:val="9"/>
        <w:keepNext w:val="0"/>
        <w:keepLines w:val="0"/>
        <w:pageBreakBefore w:val="0"/>
        <w:widowControl w:val="0"/>
        <w:tabs>
          <w:tab w:val="left" w:pos="988"/>
          <w:tab w:val="left" w:pos="1093"/>
          <w:tab w:val="left" w:pos="1153"/>
          <w:tab w:val="left" w:pos="1168"/>
        </w:tabs>
        <w:kinsoku/>
        <w:wordWrap/>
        <w:overflowPunct/>
        <w:topLinePunct w:val="0"/>
        <w:autoSpaceDE/>
        <w:autoSpaceDN/>
        <w:bidi w:val="0"/>
        <w:adjustRightInd/>
        <w:spacing w:line="460" w:lineRule="exact"/>
        <w:ind w:left="0" w:leftChars="0" w:right="0" w:rightChars="0" w:firstLine="480" w:firstLineChars="200"/>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（二）主要</w:t>
      </w:r>
      <w:bookmarkStart w:id="0" w:name="_GoBack"/>
      <w:bookmarkEnd w:id="0"/>
      <w:r>
        <w:rPr>
          <w:rFonts w:hint="eastAsia" w:ascii="楷体_GB2312" w:hAnsi="楷体_GB2312" w:eastAsia="楷体_GB2312" w:cs="楷体_GB2312"/>
          <w:sz w:val="24"/>
          <w:szCs w:val="24"/>
        </w:rPr>
        <w:t>职责</w:t>
      </w:r>
    </w:p>
    <w:p>
      <w:pPr>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为辖区教育教学提供服务，进行教学管理，业务指导。我中心校办校宗旨是实施农村学前教育和小学教育，培养高素质的学生。</w:t>
      </w:r>
    </w:p>
    <w:p>
      <w:pPr>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jc w:val="left"/>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（三）机构设置情况</w:t>
      </w:r>
    </w:p>
    <w:p>
      <w:pPr>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我单位机构设为中心校下属</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所小学</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6所</w:t>
      </w:r>
      <w:r>
        <w:rPr>
          <w:rFonts w:hint="eastAsia" w:ascii="仿宋_GB2312" w:hAnsi="仿宋_GB2312" w:eastAsia="仿宋_GB2312" w:cs="仿宋_GB2312"/>
          <w:sz w:val="24"/>
          <w:szCs w:val="24"/>
          <w:lang w:eastAsia="zh-CN"/>
        </w:rPr>
        <w:t>公立</w:t>
      </w:r>
      <w:r>
        <w:rPr>
          <w:rFonts w:hint="eastAsia" w:ascii="仿宋_GB2312" w:hAnsi="仿宋_GB2312" w:eastAsia="仿宋_GB2312" w:cs="仿宋_GB2312"/>
          <w:sz w:val="24"/>
          <w:szCs w:val="24"/>
        </w:rPr>
        <w:t>幼儿园</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3所民办幼儿园。</w:t>
      </w:r>
    </w:p>
    <w:p>
      <w:pPr>
        <w:pStyle w:val="9"/>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outlineLvl w:val="9"/>
        <w:rPr>
          <w:rFonts w:hint="eastAsia" w:ascii="黑体" w:hAnsi="黑体" w:eastAsia="黑体" w:cs="黑体"/>
          <w:color w:val="0000FF"/>
          <w:sz w:val="24"/>
          <w:szCs w:val="24"/>
        </w:rPr>
      </w:pPr>
      <w:r>
        <w:rPr>
          <w:rFonts w:hint="eastAsia" w:ascii="黑体" w:hAnsi="黑体" w:eastAsia="黑体" w:cs="黑体"/>
          <w:sz w:val="24"/>
          <w:szCs w:val="24"/>
        </w:rPr>
        <w:t>二、本级预算情况</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我单位为全额事业单位，属于</w:t>
      </w: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rPr>
        <w:t>级独立核算单位</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21</w:t>
      </w:r>
      <w:r>
        <w:rPr>
          <w:rFonts w:hint="eastAsia" w:ascii="仿宋_GB2312" w:hAnsi="仿宋_GB2312" w:eastAsia="仿宋_GB2312" w:cs="仿宋_GB2312"/>
          <w:sz w:val="24"/>
          <w:szCs w:val="24"/>
        </w:rPr>
        <w:t>年我单位预算收入安排为</w:t>
      </w:r>
      <w:r>
        <w:rPr>
          <w:rFonts w:hint="eastAsia" w:ascii="仿宋_GB2312" w:hAnsi="仿宋_GB2312" w:eastAsia="仿宋_GB2312" w:cs="仿宋_GB2312"/>
          <w:sz w:val="24"/>
          <w:szCs w:val="24"/>
          <w:lang w:val="en-US" w:eastAsia="zh-CN"/>
        </w:rPr>
        <w:t>1321.53万</w:t>
      </w:r>
      <w:r>
        <w:rPr>
          <w:rFonts w:hint="eastAsia" w:ascii="仿宋_GB2312" w:hAnsi="仿宋_GB2312" w:eastAsia="仿宋_GB2312" w:cs="仿宋_GB2312"/>
          <w:sz w:val="24"/>
          <w:szCs w:val="24"/>
        </w:rPr>
        <w:t>元，全部为财政拨款。根据收支平衡的原则，预算支出安排为</w:t>
      </w:r>
      <w:r>
        <w:rPr>
          <w:rFonts w:hint="eastAsia" w:ascii="仿宋_GB2312" w:hAnsi="仿宋_GB2312" w:eastAsia="仿宋_GB2312" w:cs="仿宋_GB2312"/>
          <w:sz w:val="24"/>
          <w:szCs w:val="24"/>
          <w:lang w:val="en-US" w:eastAsia="zh-CN"/>
        </w:rPr>
        <w:t>1321.53万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其中工资福利支出为</w:t>
      </w:r>
      <w:r>
        <w:rPr>
          <w:rFonts w:hint="eastAsia" w:ascii="仿宋_GB2312" w:hAnsi="仿宋_GB2312" w:eastAsia="仿宋_GB2312" w:cs="仿宋_GB2312"/>
          <w:sz w:val="24"/>
          <w:szCs w:val="24"/>
          <w:lang w:val="en-US" w:eastAsia="zh-CN"/>
        </w:rPr>
        <w:t>1091.23万</w:t>
      </w:r>
      <w:r>
        <w:rPr>
          <w:rFonts w:hint="eastAsia" w:ascii="仿宋_GB2312" w:hAnsi="仿宋_GB2312" w:eastAsia="仿宋_GB2312" w:cs="仿宋_GB2312"/>
          <w:sz w:val="24"/>
          <w:szCs w:val="24"/>
        </w:rPr>
        <w:t>元，对个人和家庭的补助为</w:t>
      </w:r>
      <w:r>
        <w:rPr>
          <w:rFonts w:hint="eastAsia" w:ascii="仿宋_GB2312" w:hAnsi="仿宋_GB2312" w:eastAsia="仿宋_GB2312" w:cs="仿宋_GB2312"/>
          <w:sz w:val="24"/>
          <w:szCs w:val="24"/>
          <w:lang w:val="en-US" w:eastAsia="zh-CN"/>
        </w:rPr>
        <w:t>60.68万</w:t>
      </w:r>
      <w:r>
        <w:rPr>
          <w:rFonts w:hint="eastAsia" w:ascii="仿宋_GB2312" w:hAnsi="仿宋_GB2312" w:eastAsia="仿宋_GB2312" w:cs="仿宋_GB2312"/>
          <w:sz w:val="24"/>
          <w:szCs w:val="24"/>
        </w:rPr>
        <w:t>元，商品服务支出为</w:t>
      </w:r>
      <w:r>
        <w:rPr>
          <w:rFonts w:hint="eastAsia" w:ascii="仿宋_GB2312" w:hAnsi="仿宋_GB2312" w:eastAsia="仿宋_GB2312" w:cs="仿宋_GB2312"/>
          <w:sz w:val="24"/>
          <w:szCs w:val="24"/>
          <w:lang w:val="en-US" w:eastAsia="zh-CN"/>
        </w:rPr>
        <w:t>14.24万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项目支出155.38万元</w:t>
      </w:r>
      <w:r>
        <w:rPr>
          <w:rFonts w:hint="eastAsia" w:ascii="仿宋_GB2312" w:hAnsi="仿宋_GB2312" w:eastAsia="仿宋_GB2312" w:cs="仿宋_GB2312"/>
          <w:sz w:val="24"/>
          <w:szCs w:val="24"/>
        </w:rPr>
        <w:t>）。</w:t>
      </w:r>
    </w:p>
    <w:p>
      <w:pPr>
        <w:pStyle w:val="9"/>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outlineLvl w:val="9"/>
        <w:rPr>
          <w:rFonts w:hint="eastAsia" w:ascii="黑体" w:hAnsi="黑体" w:eastAsia="黑体" w:cs="黑体"/>
          <w:sz w:val="24"/>
          <w:szCs w:val="24"/>
        </w:rPr>
      </w:pPr>
      <w:r>
        <w:rPr>
          <w:rFonts w:hint="eastAsia" w:ascii="黑体" w:hAnsi="黑体" w:eastAsia="黑体" w:cs="黑体"/>
          <w:sz w:val="24"/>
          <w:szCs w:val="24"/>
        </w:rPr>
        <w:t>三、预算收支增减变化及情况说明</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21</w:t>
      </w:r>
      <w:r>
        <w:rPr>
          <w:rFonts w:hint="eastAsia" w:ascii="仿宋_GB2312" w:hAnsi="仿宋_GB2312" w:eastAsia="仿宋_GB2312" w:cs="仿宋_GB2312"/>
          <w:sz w:val="24"/>
          <w:szCs w:val="24"/>
        </w:rPr>
        <w:t>年收入预算为</w:t>
      </w:r>
      <w:r>
        <w:rPr>
          <w:rFonts w:hint="eastAsia" w:ascii="仿宋_GB2312" w:hAnsi="仿宋_GB2312" w:eastAsia="仿宋_GB2312" w:cs="仿宋_GB2312"/>
          <w:sz w:val="24"/>
          <w:szCs w:val="24"/>
          <w:lang w:val="en-US" w:eastAsia="zh-CN"/>
        </w:rPr>
        <w:t>1321.53万</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3.20</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支出预算为</w:t>
      </w:r>
      <w:r>
        <w:rPr>
          <w:rFonts w:hint="eastAsia" w:ascii="仿宋_GB2312" w:hAnsi="仿宋_GB2312" w:eastAsia="仿宋_GB2312" w:cs="仿宋_GB2312"/>
          <w:sz w:val="24"/>
          <w:szCs w:val="24"/>
          <w:lang w:val="en-US" w:eastAsia="zh-CN"/>
        </w:rPr>
        <w:t>1321.53</w:t>
      </w:r>
      <w:r>
        <w:rPr>
          <w:rFonts w:hint="eastAsia" w:ascii="仿宋_GB2312" w:hAnsi="仿宋_GB2312" w:eastAsia="仿宋_GB2312" w:cs="仿宋_GB2312"/>
          <w:sz w:val="24"/>
          <w:szCs w:val="24"/>
        </w:rPr>
        <w:t>元，比上年</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3.20</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其中工资福利支出</w:t>
      </w:r>
      <w:r>
        <w:rPr>
          <w:rFonts w:hint="eastAsia" w:ascii="仿宋_GB2312" w:hAnsi="仿宋_GB2312" w:eastAsia="仿宋_GB2312" w:cs="仿宋_GB2312"/>
          <w:sz w:val="24"/>
          <w:szCs w:val="24"/>
          <w:lang w:val="en-US" w:eastAsia="zh-CN"/>
        </w:rPr>
        <w:t>1091.23万元，比去年下降2.1%，原因是退休4人，调出2人，增加人员为6名新进人员，工资福利支出减少；对个人和家庭的补助60.68万元，比去年增长5.82%，原因是退休人员增多，遗属补助提高标准；商品和服务支出14.24万元，比去年</w:t>
      </w:r>
      <w:r>
        <w:rPr>
          <w:rFonts w:hint="eastAsia" w:ascii="仿宋_GB2312" w:hAnsi="仿宋_GB2312" w:eastAsia="仿宋_GB2312" w:cs="仿宋_GB2312"/>
          <w:bCs/>
          <w:sz w:val="24"/>
          <w:szCs w:val="24"/>
          <w:lang w:eastAsia="zh-CN"/>
        </w:rPr>
        <w:t>下降</w:t>
      </w:r>
      <w:r>
        <w:rPr>
          <w:rFonts w:hint="eastAsia" w:ascii="仿宋_GB2312" w:hAnsi="仿宋_GB2312" w:eastAsia="仿宋_GB2312" w:cs="仿宋_GB2312"/>
          <w:bCs/>
          <w:sz w:val="24"/>
          <w:szCs w:val="24"/>
          <w:lang w:val="en-US" w:eastAsia="zh-CN"/>
        </w:rPr>
        <w:t>86.9%，原因是</w:t>
      </w:r>
      <w:r>
        <w:rPr>
          <w:rFonts w:hint="eastAsia" w:ascii="仿宋_GB2312" w:hAnsi="仿宋_GB2312" w:eastAsia="仿宋_GB2312" w:cs="仿宋_GB2312"/>
          <w:sz w:val="24"/>
          <w:szCs w:val="24"/>
          <w:lang w:val="en-US" w:eastAsia="zh-CN"/>
        </w:rPr>
        <w:t>部门经济分类科目调整</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项目支出</w:t>
      </w:r>
      <w:r>
        <w:rPr>
          <w:rFonts w:hint="eastAsia" w:ascii="仿宋_GB2312" w:hAnsi="仿宋_GB2312" w:eastAsia="仿宋_GB2312" w:cs="仿宋_GB2312"/>
          <w:sz w:val="24"/>
          <w:szCs w:val="24"/>
          <w:lang w:val="en-US" w:eastAsia="zh-CN"/>
        </w:rPr>
        <w:t>155.38万元，比去年增长100%，原因是部门经济分类科目调整。</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黑体" w:hAnsi="黑体" w:eastAsia="黑体" w:cs="黑体"/>
          <w:sz w:val="24"/>
          <w:szCs w:val="24"/>
        </w:rPr>
      </w:pPr>
      <w:r>
        <w:rPr>
          <w:rFonts w:hint="eastAsia" w:ascii="黑体" w:hAnsi="黑体" w:eastAsia="黑体" w:cs="黑体"/>
          <w:sz w:val="24"/>
          <w:szCs w:val="24"/>
        </w:rPr>
        <w:t>四、机关运行经费安排情况说明</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21</w:t>
      </w:r>
      <w:r>
        <w:rPr>
          <w:rFonts w:hint="eastAsia" w:ascii="仿宋_GB2312" w:hAnsi="仿宋_GB2312" w:eastAsia="仿宋_GB2312" w:cs="仿宋_GB2312"/>
          <w:sz w:val="24"/>
          <w:szCs w:val="24"/>
        </w:rPr>
        <w:t>年我单位</w:t>
      </w:r>
      <w:r>
        <w:rPr>
          <w:rFonts w:hint="eastAsia" w:ascii="仿宋_GB2312" w:hAnsi="仿宋_GB2312" w:eastAsia="仿宋_GB2312" w:cs="仿宋_GB2312"/>
          <w:bCs/>
          <w:sz w:val="24"/>
          <w:szCs w:val="24"/>
        </w:rPr>
        <w:t>机关运行经费安排为</w:t>
      </w:r>
      <w:r>
        <w:rPr>
          <w:rFonts w:hint="eastAsia" w:ascii="仿宋_GB2312" w:hAnsi="仿宋_GB2312" w:eastAsia="仿宋_GB2312" w:cs="仿宋_GB2312"/>
          <w:sz w:val="24"/>
          <w:szCs w:val="24"/>
          <w:lang w:val="en-US" w:eastAsia="zh-CN"/>
        </w:rPr>
        <w:t>14.24万元</w:t>
      </w:r>
      <w:r>
        <w:rPr>
          <w:rFonts w:hint="eastAsia" w:ascii="仿宋_GB2312" w:hAnsi="仿宋_GB2312" w:eastAsia="仿宋_GB2312" w:cs="仿宋_GB2312"/>
          <w:bCs/>
          <w:sz w:val="24"/>
          <w:szCs w:val="24"/>
        </w:rPr>
        <w:t>，</w:t>
      </w:r>
      <w:r>
        <w:rPr>
          <w:rFonts w:hint="eastAsia" w:ascii="仿宋_GB2312" w:hAnsi="仿宋_GB2312" w:eastAsia="仿宋_GB2312" w:cs="仿宋_GB2312"/>
          <w:bCs/>
          <w:sz w:val="24"/>
          <w:szCs w:val="24"/>
          <w:lang w:eastAsia="zh-CN"/>
        </w:rPr>
        <w:t>比去年下降</w:t>
      </w:r>
      <w:r>
        <w:rPr>
          <w:rFonts w:hint="eastAsia" w:ascii="仿宋_GB2312" w:hAnsi="仿宋_GB2312" w:eastAsia="仿宋_GB2312" w:cs="仿宋_GB2312"/>
          <w:bCs/>
          <w:sz w:val="24"/>
          <w:szCs w:val="24"/>
          <w:lang w:val="en-US" w:eastAsia="zh-CN"/>
        </w:rPr>
        <w:t>86.9%，原因是</w:t>
      </w:r>
      <w:r>
        <w:rPr>
          <w:rFonts w:hint="eastAsia" w:ascii="仿宋_GB2312" w:hAnsi="仿宋_GB2312" w:eastAsia="仿宋_GB2312" w:cs="仿宋_GB2312"/>
          <w:sz w:val="24"/>
          <w:szCs w:val="24"/>
          <w:lang w:val="en-US" w:eastAsia="zh-CN"/>
        </w:rPr>
        <w:t>部门经济分类科目调整</w:t>
      </w:r>
      <w:r>
        <w:rPr>
          <w:rFonts w:hint="eastAsia" w:ascii="仿宋_GB2312" w:hAnsi="仿宋_GB2312" w:eastAsia="仿宋_GB2312" w:cs="仿宋_GB2312"/>
          <w:sz w:val="24"/>
          <w:szCs w:val="24"/>
        </w:rPr>
        <w:t>。</w:t>
      </w:r>
    </w:p>
    <w:p>
      <w:pPr>
        <w:pStyle w:val="9"/>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黑体" w:hAnsi="黑体" w:eastAsia="黑体" w:cs="黑体"/>
          <w:sz w:val="24"/>
          <w:szCs w:val="24"/>
        </w:rPr>
      </w:pPr>
      <w:r>
        <w:rPr>
          <w:rFonts w:hint="eastAsia" w:ascii="黑体" w:hAnsi="黑体" w:eastAsia="黑体" w:cs="黑体"/>
          <w:sz w:val="24"/>
          <w:szCs w:val="24"/>
        </w:rPr>
        <w:t>五、政府采购安排情况说明</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21</w:t>
      </w:r>
      <w:r>
        <w:rPr>
          <w:rFonts w:hint="eastAsia" w:ascii="仿宋_GB2312" w:hAnsi="仿宋_GB2312" w:eastAsia="仿宋_GB2312" w:cs="仿宋_GB2312"/>
          <w:sz w:val="24"/>
          <w:szCs w:val="24"/>
        </w:rPr>
        <w:t>年我单位政府采购预算安排为</w:t>
      </w:r>
      <w:r>
        <w:rPr>
          <w:rFonts w:hint="eastAsia" w:ascii="仿宋_GB2312" w:hAnsi="仿宋_GB2312" w:eastAsia="仿宋_GB2312" w:cs="仿宋_GB2312"/>
          <w:sz w:val="24"/>
          <w:szCs w:val="24"/>
          <w:lang w:val="en-US" w:eastAsia="zh-CN"/>
        </w:rPr>
        <w:t>10.9万</w:t>
      </w:r>
      <w:r>
        <w:rPr>
          <w:rFonts w:hint="eastAsia" w:ascii="仿宋_GB2312" w:hAnsi="仿宋_GB2312" w:eastAsia="仿宋_GB2312" w:cs="仿宋_GB2312"/>
          <w:sz w:val="24"/>
          <w:szCs w:val="24"/>
        </w:rPr>
        <w:t>元，其中A4纸张</w:t>
      </w:r>
      <w:r>
        <w:rPr>
          <w:rFonts w:hint="eastAsia" w:ascii="仿宋_GB2312" w:hAnsi="仿宋_GB2312" w:eastAsia="仿宋_GB2312" w:cs="仿宋_GB2312"/>
          <w:sz w:val="24"/>
          <w:szCs w:val="24"/>
          <w:lang w:val="en-US" w:eastAsia="zh-CN"/>
        </w:rPr>
        <w:t>1.18万</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空调</w:t>
      </w:r>
      <w:r>
        <w:rPr>
          <w:rFonts w:hint="eastAsia" w:ascii="仿宋_GB2312" w:hAnsi="仿宋_GB2312" w:eastAsia="仿宋_GB2312" w:cs="仿宋_GB2312"/>
          <w:sz w:val="24"/>
          <w:szCs w:val="24"/>
          <w:lang w:val="en-US" w:eastAsia="zh-CN"/>
        </w:rPr>
        <w:t>8.5万元，沙发0.15万元，冰箱和冰柜0.52万元，文件柜0.55万。</w:t>
      </w:r>
    </w:p>
    <w:p>
      <w:pPr>
        <w:keepNext w:val="0"/>
        <w:keepLines w:val="0"/>
        <w:pageBreakBefore w:val="0"/>
        <w:widowControl w:val="0"/>
        <w:tabs>
          <w:tab w:val="left" w:pos="763"/>
        </w:tabs>
        <w:kinsoku/>
        <w:wordWrap/>
        <w:overflowPunct/>
        <w:topLinePunct w:val="0"/>
        <w:autoSpaceDE/>
        <w:autoSpaceDN/>
        <w:bidi w:val="0"/>
        <w:adjustRightInd/>
        <w:snapToGrid w:val="0"/>
        <w:spacing w:line="460" w:lineRule="exact"/>
        <w:ind w:left="0" w:leftChars="0" w:right="0" w:rightChars="0" w:firstLine="480" w:firstLineChars="200"/>
        <w:outlineLvl w:val="9"/>
        <w:rPr>
          <w:rFonts w:hint="eastAsia" w:ascii="黑体" w:hAnsi="黑体" w:eastAsia="黑体" w:cs="黑体"/>
          <w:bCs/>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、专业性较强的</w:t>
      </w:r>
      <w:r>
        <w:rPr>
          <w:rFonts w:hint="eastAsia" w:ascii="黑体" w:hAnsi="黑体" w:eastAsia="黑体" w:cs="黑体"/>
          <w:bCs/>
          <w:sz w:val="24"/>
          <w:szCs w:val="24"/>
        </w:rPr>
        <w:t>名词解释</w:t>
      </w:r>
    </w:p>
    <w:p>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幼儿生活补助是在教育行政部门审批设立的各级各类幼儿园就读的家庭经济困难儿童、孤儿和残疾儿童发放生活补助。</w:t>
      </w:r>
    </w:p>
    <w:p>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普惠性民办幼儿园生均财政补助制度：从</w:t>
      </w:r>
      <w:r>
        <w:rPr>
          <w:rFonts w:hint="eastAsia" w:ascii="仿宋_GB2312" w:hAnsi="仿宋_GB2312" w:eastAsia="仿宋_GB2312" w:cs="仿宋_GB2312"/>
          <w:sz w:val="24"/>
          <w:szCs w:val="24"/>
          <w:lang w:val="en-US" w:eastAsia="zh-CN"/>
        </w:rPr>
        <w:t>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义务教育“两免一补”：“两免”指免除学杂费、免费提供教科书。 “一补”指我省农村义务教育阶段家庭经济困难</w:t>
      </w:r>
      <w:r>
        <w:rPr>
          <w:rFonts w:hint="eastAsia" w:ascii="仿宋_GB2312" w:hAnsi="仿宋_GB2312" w:eastAsia="仿宋_GB2312" w:cs="仿宋_GB2312"/>
          <w:sz w:val="24"/>
          <w:szCs w:val="24"/>
          <w:lang w:eastAsia="zh-CN"/>
        </w:rPr>
        <w:t>学生</w:t>
      </w:r>
      <w:r>
        <w:rPr>
          <w:rFonts w:hint="eastAsia" w:ascii="仿宋_GB2312" w:hAnsi="仿宋_GB2312" w:eastAsia="仿宋_GB2312" w:cs="仿宋_GB2312"/>
          <w:sz w:val="24"/>
          <w:szCs w:val="24"/>
        </w:rPr>
        <w:t>的生活补助。</w:t>
      </w:r>
    </w:p>
    <w:p>
      <w:pPr>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outlineLvl w:val="9"/>
        <w:rPr>
          <w:rFonts w:hint="eastAsia" w:ascii="仿宋_GB2312" w:hAnsi="仿宋_GB2312" w:eastAsia="仿宋_GB2312" w:cs="仿宋_GB2312"/>
          <w:spacing w:val="-1"/>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城乡义务教育阶段中小学公用经费是对城乡义务教育学校（含民办学校）按照不低于基准定额的标准补助公用经费。</w:t>
      </w:r>
    </w:p>
    <w:p>
      <w:pPr>
        <w:keepNext w:val="0"/>
        <w:keepLines w:val="0"/>
        <w:pageBreakBefore w:val="0"/>
        <w:widowControl w:val="0"/>
        <w:tabs>
          <w:tab w:val="left" w:pos="763"/>
        </w:tabs>
        <w:kinsoku/>
        <w:wordWrap/>
        <w:overflowPunct/>
        <w:topLinePunct w:val="0"/>
        <w:autoSpaceDE/>
        <w:autoSpaceDN/>
        <w:bidi w:val="0"/>
        <w:adjustRightInd/>
        <w:snapToGrid w:val="0"/>
        <w:spacing w:line="460" w:lineRule="exact"/>
        <w:ind w:left="0" w:leftChars="0" w:right="0" w:rightChars="0" w:firstLine="480" w:firstLineChars="200"/>
        <w:outlineLvl w:val="9"/>
        <w:rPr>
          <w:rFonts w:hint="eastAsia" w:ascii="黑体" w:hAnsi="黑体" w:eastAsia="黑体" w:cs="黑体"/>
          <w:sz w:val="24"/>
          <w:szCs w:val="24"/>
          <w:lang w:eastAsia="zh-CN"/>
        </w:rPr>
      </w:pPr>
      <w:r>
        <w:rPr>
          <w:rFonts w:hint="eastAsia" w:ascii="黑体" w:hAnsi="黑体" w:eastAsia="黑体" w:cs="黑体"/>
          <w:sz w:val="24"/>
          <w:szCs w:val="24"/>
          <w:lang w:eastAsia="zh-CN"/>
        </w:rPr>
        <w:t>七、“三公”经费增减变化情况</w:t>
      </w:r>
    </w:p>
    <w:p>
      <w:pPr>
        <w:pStyle w:val="5"/>
        <w:keepNext w:val="0"/>
        <w:keepLines w:val="0"/>
        <w:pageBreakBefore w:val="0"/>
        <w:widowControl w:val="0"/>
        <w:shd w:val="clear" w:color="auto" w:fill="FFFFFF"/>
        <w:kinsoku/>
        <w:wordWrap/>
        <w:overflowPunct/>
        <w:topLinePunct w:val="0"/>
        <w:autoSpaceDE/>
        <w:autoSpaceDN/>
        <w:bidi w:val="0"/>
        <w:adjustRightInd/>
        <w:spacing w:line="460" w:lineRule="exact"/>
        <w:ind w:left="0" w:leftChars="0" w:right="0" w:rightChars="0" w:firstLine="480" w:firstLineChars="200"/>
        <w:outlineLvl w:val="9"/>
        <w:rPr>
          <w:rFonts w:hint="eastAsia" w:ascii="仿宋_GB2312" w:hAnsi="仿宋_GB2312" w:eastAsia="仿宋_GB2312" w:cs="仿宋_GB2312"/>
          <w:color w:val="000000"/>
          <w:sz w:val="24"/>
          <w:szCs w:val="24"/>
        </w:rPr>
      </w:pP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年三公经费预算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元，与</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20</w:t>
      </w:r>
      <w:r>
        <w:rPr>
          <w:rFonts w:hint="eastAsia" w:ascii="仿宋_GB2312" w:hAnsi="仿宋_GB2312" w:eastAsia="仿宋_GB2312" w:cs="仿宋_GB2312"/>
          <w:color w:val="000000"/>
          <w:sz w:val="24"/>
          <w:szCs w:val="24"/>
        </w:rPr>
        <w:t>年预算相比无变化。其中</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年因公出国（境）费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元，原因是本年度我校无此项业务支出预算；</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年公务接待费</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元，原因是我校无公务接待任务；</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年公务用车运行维护费预算</w:t>
      </w:r>
      <w:r>
        <w:rPr>
          <w:rFonts w:ascii="仿宋_GB2312" w:hAnsi="仿宋_GB2312" w:eastAsia="仿宋_GB2312" w:cs="仿宋_GB2312"/>
          <w:color w:val="000000"/>
          <w:sz w:val="24"/>
          <w:szCs w:val="24"/>
        </w:rPr>
        <w:t>0</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元，原因是我校无公车。</w:t>
      </w:r>
    </w:p>
    <w:p>
      <w:pPr>
        <w:pStyle w:val="5"/>
        <w:keepNext w:val="0"/>
        <w:keepLines w:val="0"/>
        <w:pageBreakBefore w:val="0"/>
        <w:widowControl w:val="0"/>
        <w:shd w:val="clear" w:color="auto" w:fill="FFFFFF"/>
        <w:kinsoku/>
        <w:wordWrap/>
        <w:overflowPunct/>
        <w:topLinePunct w:val="0"/>
        <w:autoSpaceDE/>
        <w:autoSpaceDN/>
        <w:bidi w:val="0"/>
        <w:adjustRightInd/>
        <w:spacing w:line="460" w:lineRule="exact"/>
        <w:ind w:left="0" w:leftChars="0" w:right="0" w:rightChars="0" w:firstLine="480" w:firstLineChars="200"/>
        <w:outlineLvl w:val="9"/>
        <w:rPr>
          <w:rFonts w:hint="eastAsia" w:ascii="仿宋_GB2312" w:hAnsi="仿宋_GB2312" w:eastAsia="仿宋_GB2312" w:cs="仿宋_GB2312"/>
          <w:bCs/>
          <w:sz w:val="24"/>
          <w:szCs w:val="24"/>
        </w:rPr>
      </w:pPr>
      <w:r>
        <w:rPr>
          <w:rFonts w:hint="eastAsia" w:ascii="黑体" w:hAnsi="黑体" w:eastAsia="黑体" w:cs="黑体"/>
          <w:kern w:val="2"/>
          <w:sz w:val="24"/>
          <w:szCs w:val="24"/>
          <w:lang w:val="en-US" w:eastAsia="zh-CN" w:bidi="ar-SA"/>
        </w:rPr>
        <w:t>八、国有资产占用情况说明</w:t>
      </w:r>
    </w:p>
    <w:p>
      <w:pPr>
        <w:pStyle w:val="4"/>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firstLine="480" w:firstLineChars="200"/>
        <w:textAlignment w:val="baseline"/>
        <w:outlineLvl w:val="9"/>
        <w:rPr>
          <w:rFonts w:hint="eastAsia" w:ascii="仿宋_GB2312" w:hAnsi="仿宋_GB2312" w:eastAsia="仿宋_GB2312" w:cs="仿宋_GB2312"/>
          <w:kern w:val="44"/>
          <w:sz w:val="24"/>
          <w:szCs w:val="24"/>
          <w:lang w:val="en-US" w:eastAsia="zh-CN"/>
        </w:rPr>
      </w:pPr>
      <w:r>
        <w:rPr>
          <w:rFonts w:hint="eastAsia" w:ascii="仿宋_GB2312" w:hAnsi="仿宋_GB2312" w:eastAsia="仿宋_GB2312" w:cs="仿宋_GB2312"/>
          <w:kern w:val="44"/>
          <w:sz w:val="24"/>
          <w:szCs w:val="24"/>
          <w:lang w:eastAsia="zh-CN"/>
        </w:rPr>
        <w:t>截止</w:t>
      </w:r>
      <w:r>
        <w:rPr>
          <w:rFonts w:hint="eastAsia" w:ascii="仿宋_GB2312" w:hAnsi="仿宋_GB2312" w:eastAsia="仿宋_GB2312" w:cs="仿宋_GB2312"/>
          <w:kern w:val="44"/>
          <w:sz w:val="24"/>
          <w:szCs w:val="24"/>
          <w:lang w:val="en-US" w:eastAsia="zh-CN"/>
        </w:rPr>
        <w:t>2020年12月31日，我单位资产总额819.4万元，其中流动资产143.65万元，占资产总额的17.53%，固定资产净值675.64万元，占资产总额的82.46%，无形资产0.11万元，占资产总额的0.01%，固定资产中房屋及构筑物542.63万元，占资产总额的66.22%，通用设备86.83 万元，占资产总额的10.6%，专用设备8.62 万元，占资产总额的1.05%，图书7.62万元，占资产总额的0.93%，家具用具29.95 万元，占资产总额的3.65%。</w:t>
      </w:r>
    </w:p>
    <w:p>
      <w:pPr>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outlineLvl w:val="9"/>
        <w:rPr>
          <w:rFonts w:hint="eastAsia" w:ascii="仿宋_GB2312" w:hAnsi="仿宋_GB2312" w:eastAsia="仿宋_GB2312" w:cs="仿宋_GB2312"/>
          <w:kern w:val="44"/>
          <w:sz w:val="24"/>
          <w:szCs w:val="24"/>
          <w:lang w:val="en-US" w:eastAsia="zh-CN"/>
        </w:rPr>
      </w:pP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21</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eastAsia="zh-CN"/>
        </w:rPr>
        <w:t>预计</w:t>
      </w:r>
      <w:r>
        <w:rPr>
          <w:rFonts w:hint="eastAsia" w:ascii="仿宋_GB2312" w:hAnsi="仿宋_GB2312" w:eastAsia="仿宋_GB2312" w:cs="仿宋_GB2312"/>
          <w:sz w:val="24"/>
          <w:szCs w:val="24"/>
        </w:rPr>
        <w:t>新增资产</w:t>
      </w:r>
      <w:r>
        <w:rPr>
          <w:rFonts w:hint="eastAsia" w:ascii="仿宋_GB2312" w:hAnsi="仿宋_GB2312" w:eastAsia="仿宋_GB2312" w:cs="仿宋_GB2312"/>
          <w:sz w:val="24"/>
          <w:szCs w:val="24"/>
          <w:lang w:val="en-US" w:eastAsia="zh-CN"/>
        </w:rPr>
        <w:t xml:space="preserve"> 10.62万</w:t>
      </w:r>
      <w:r>
        <w:rPr>
          <w:rFonts w:hint="eastAsia" w:ascii="仿宋_GB2312" w:hAnsi="仿宋_GB2312" w:eastAsia="仿宋_GB2312" w:cs="仿宋_GB2312"/>
          <w:sz w:val="24"/>
          <w:szCs w:val="24"/>
        </w:rPr>
        <w:t>元，其中</w:t>
      </w:r>
      <w:r>
        <w:rPr>
          <w:rFonts w:hint="eastAsia" w:ascii="仿宋_GB2312" w:hAnsi="仿宋_GB2312" w:eastAsia="仿宋_GB2312" w:cs="仿宋_GB2312"/>
          <w:sz w:val="24"/>
          <w:szCs w:val="24"/>
          <w:lang w:eastAsia="zh-CN"/>
        </w:rPr>
        <w:t>柜式空调和挂式空调</w:t>
      </w:r>
      <w:r>
        <w:rPr>
          <w:rFonts w:hint="eastAsia" w:ascii="仿宋_GB2312" w:hAnsi="仿宋_GB2312" w:eastAsia="仿宋_GB2312" w:cs="仿宋_GB2312"/>
          <w:sz w:val="24"/>
          <w:szCs w:val="24"/>
          <w:lang w:val="en-US" w:eastAsia="zh-CN"/>
        </w:rPr>
        <w:t>8.5万元，文件柜0.55万元，沙发0.15万元，冰箱和冰柜0.52万元，图书0.90万元。</w:t>
      </w:r>
    </w:p>
    <w:p>
      <w:pPr>
        <w:pStyle w:val="5"/>
        <w:keepNext w:val="0"/>
        <w:keepLines w:val="0"/>
        <w:pageBreakBefore w:val="0"/>
        <w:widowControl w:val="0"/>
        <w:shd w:val="clear" w:color="auto" w:fill="FFFFFF"/>
        <w:kinsoku/>
        <w:wordWrap/>
        <w:overflowPunct/>
        <w:topLinePunct w:val="0"/>
        <w:autoSpaceDE/>
        <w:autoSpaceDN/>
        <w:bidi w:val="0"/>
        <w:adjustRightInd/>
        <w:spacing w:line="460" w:lineRule="exact"/>
        <w:ind w:left="0" w:leftChars="0" w:right="0" w:rightChars="0" w:firstLine="480" w:firstLineChars="200"/>
        <w:outlineLvl w:val="9"/>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九、重点项目预算的绩效目标情况说明</w:t>
      </w:r>
    </w:p>
    <w:p>
      <w:pPr>
        <w:pStyle w:val="4"/>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firstLine="480" w:firstLineChars="200"/>
        <w:textAlignment w:val="baseline"/>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44"/>
          <w:sz w:val="24"/>
          <w:szCs w:val="24"/>
        </w:rPr>
        <w:t>本年度无</w:t>
      </w:r>
      <w:r>
        <w:rPr>
          <w:rFonts w:hint="eastAsia" w:ascii="仿宋_GB2312" w:hAnsi="仿宋_GB2312" w:eastAsia="仿宋_GB2312" w:cs="仿宋_GB2312"/>
          <w:kern w:val="44"/>
          <w:sz w:val="24"/>
          <w:szCs w:val="24"/>
          <w:lang w:eastAsia="zh-CN"/>
        </w:rPr>
        <w:t>重点</w:t>
      </w:r>
      <w:r>
        <w:rPr>
          <w:rFonts w:hint="eastAsia" w:ascii="仿宋_GB2312" w:hAnsi="仿宋_GB2312" w:eastAsia="仿宋_GB2312" w:cs="仿宋_GB2312"/>
          <w:kern w:val="44"/>
          <w:sz w:val="24"/>
          <w:szCs w:val="24"/>
        </w:rPr>
        <w:t>项目预算的绩效目标。</w:t>
      </w:r>
    </w:p>
    <w:p>
      <w:pPr>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eastAsia="zh-CN"/>
        </w:rPr>
        <w:t>李剑彪</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财务负责人：</w:t>
      </w:r>
      <w:r>
        <w:rPr>
          <w:rFonts w:hint="eastAsia" w:ascii="仿宋_GB2312" w:hAnsi="仿宋_GB2312" w:eastAsia="仿宋_GB2312" w:cs="仿宋_GB2312"/>
          <w:sz w:val="24"/>
          <w:szCs w:val="24"/>
          <w:lang w:eastAsia="zh-CN"/>
        </w:rPr>
        <w:t>耿宁</w:t>
      </w:r>
    </w:p>
    <w:p>
      <w:pPr>
        <w:keepNext w:val="0"/>
        <w:keepLines w:val="0"/>
        <w:pageBreakBefore w:val="0"/>
        <w:widowControl w:val="0"/>
        <w:kinsoku/>
        <w:wordWrap/>
        <w:overflowPunct/>
        <w:topLinePunct w:val="0"/>
        <w:autoSpaceDE/>
        <w:autoSpaceDN/>
        <w:bidi w:val="0"/>
        <w:adjustRightInd/>
        <w:spacing w:line="460" w:lineRule="exact"/>
        <w:ind w:left="0" w:leftChars="0" w:right="0" w:rightChars="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填  报  人：宁红玲</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联 系电</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话：15003591981</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sz w:val="24"/>
          <w:szCs w:val="24"/>
        </w:rPr>
      </w:pPr>
    </w:p>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45C6190"/>
    <w:rsid w:val="0ED3560D"/>
    <w:rsid w:val="0F3E36B6"/>
    <w:rsid w:val="195C6E4A"/>
    <w:rsid w:val="1A694B6A"/>
    <w:rsid w:val="1E001FD1"/>
    <w:rsid w:val="1E2B5508"/>
    <w:rsid w:val="21787965"/>
    <w:rsid w:val="24674A7D"/>
    <w:rsid w:val="2A4A105E"/>
    <w:rsid w:val="2C090686"/>
    <w:rsid w:val="37077D6C"/>
    <w:rsid w:val="3BD317B6"/>
    <w:rsid w:val="4E195985"/>
    <w:rsid w:val="52860B6D"/>
    <w:rsid w:val="529B7A3A"/>
    <w:rsid w:val="56AD65C8"/>
    <w:rsid w:val="5B017F67"/>
    <w:rsid w:val="5D8A3D08"/>
    <w:rsid w:val="63FD3721"/>
    <w:rsid w:val="64064052"/>
    <w:rsid w:val="68354C67"/>
    <w:rsid w:val="6F1063C6"/>
    <w:rsid w:val="70237527"/>
    <w:rsid w:val="71E54B77"/>
    <w:rsid w:val="73B951BB"/>
    <w:rsid w:val="79C16589"/>
    <w:rsid w:val="7EDA0586"/>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iPriority w:val="0"/>
  </w:style>
  <w:style w:type="table" w:default="1" w:styleId="8">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Body Text 2"/>
    <w:basedOn w:val="1"/>
    <w:qFormat/>
    <w:uiPriority w:val="0"/>
    <w:pPr>
      <w:spacing w:after="120" w:line="480" w:lineRule="auto"/>
    </w:pPr>
    <w:rPr>
      <w:rFonts w:ascii="Calibri" w:hAnsi="Calibri" w:cs="黑体"/>
      <w:szCs w:val="22"/>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styleId="7">
    <w:name w:val="page number"/>
    <w:basedOn w:val="6"/>
    <w:qFormat/>
    <w:uiPriority w:val="0"/>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2021-03-24T02:07:00Z</cp:lastPrinted>
  <dcterms:modified xsi:type="dcterms:W3CDTF">2021-04-27T09:16:21Z</dcterms:modified>
  <dc:title>永济市张营镇中心学校</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