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520" w:lineRule="exact"/>
        <w:ind w:left="0" w:leftChars="0" w:right="0" w:firstLine="0" w:firstLineChars="0"/>
        <w:jc w:val="center"/>
        <w:textAlignment w:val="auto"/>
        <w:outlineLvl w:val="9"/>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永济市</w:t>
      </w:r>
      <w:r>
        <w:rPr>
          <w:rFonts w:hint="eastAsia" w:ascii="方正小标宋简体" w:hAnsi="方正小标宋简体" w:eastAsia="方正小标宋简体" w:cs="方正小标宋简体"/>
          <w:sz w:val="36"/>
          <w:szCs w:val="36"/>
          <w:lang w:val="en-US" w:eastAsia="zh-CN"/>
        </w:rPr>
        <w:t>开张</w:t>
      </w:r>
      <w:r>
        <w:rPr>
          <w:rFonts w:hint="eastAsia" w:ascii="方正小标宋简体" w:hAnsi="方正小标宋简体" w:eastAsia="方正小标宋简体" w:cs="方正小标宋简体"/>
          <w:sz w:val="36"/>
          <w:szCs w:val="36"/>
        </w:rPr>
        <w:t>镇中心学校</w:t>
      </w:r>
    </w:p>
    <w:p>
      <w:pPr>
        <w:widowControl w:val="0"/>
        <w:wordWrap/>
        <w:adjustRightInd/>
        <w:snapToGrid/>
        <w:spacing w:line="520" w:lineRule="exact"/>
        <w:ind w:left="0" w:leftChars="0" w:right="0" w:firstLine="0" w:firstLineChars="0"/>
        <w:jc w:val="center"/>
        <w:textAlignment w:val="auto"/>
        <w:outlineLvl w:val="9"/>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sz w:val="36"/>
          <w:szCs w:val="36"/>
        </w:rPr>
        <w:t>20</w:t>
      </w:r>
      <w:r>
        <w:rPr>
          <w:rFonts w:hint="eastAsia" w:ascii="方正小标宋简体" w:hAnsi="方正小标宋简体" w:eastAsia="方正小标宋简体" w:cs="方正小标宋简体"/>
          <w:sz w:val="36"/>
          <w:szCs w:val="36"/>
          <w:lang w:val="en-US" w:eastAsia="zh-CN"/>
        </w:rPr>
        <w:t>21</w:t>
      </w:r>
      <w:r>
        <w:rPr>
          <w:rFonts w:hint="eastAsia" w:ascii="方正小标宋简体" w:hAnsi="方正小标宋简体" w:eastAsia="方正小标宋简体" w:cs="方正小标宋简体"/>
          <w:sz w:val="36"/>
          <w:szCs w:val="36"/>
        </w:rPr>
        <w:t>年</w:t>
      </w:r>
      <w:r>
        <w:rPr>
          <w:rFonts w:hint="eastAsia" w:ascii="方正小标宋简体" w:hAnsi="方正小标宋简体" w:eastAsia="方正小标宋简体" w:cs="方正小标宋简体"/>
          <w:sz w:val="36"/>
          <w:szCs w:val="36"/>
          <w:lang w:eastAsia="zh-CN"/>
        </w:rPr>
        <w:t>度</w:t>
      </w:r>
      <w:r>
        <w:rPr>
          <w:rFonts w:hint="eastAsia" w:ascii="方正小标宋简体" w:hAnsi="方正小标宋简体" w:eastAsia="方正小标宋简体" w:cs="方正小标宋简体"/>
          <w:sz w:val="36"/>
          <w:szCs w:val="36"/>
        </w:rPr>
        <w:t>部门预算</w:t>
      </w:r>
      <w:r>
        <w:rPr>
          <w:rFonts w:hint="eastAsia" w:ascii="方正小标宋简体" w:hAnsi="方正小标宋简体" w:eastAsia="方正小标宋简体" w:cs="方正小标宋简体"/>
          <w:sz w:val="36"/>
          <w:szCs w:val="36"/>
          <w:lang w:val="en-US" w:eastAsia="zh-CN"/>
        </w:rPr>
        <w:t>公开</w:t>
      </w:r>
      <w:r>
        <w:rPr>
          <w:rFonts w:hint="eastAsia" w:ascii="方正小标宋简体" w:hAnsi="方正小标宋简体" w:eastAsia="方正小标宋简体" w:cs="方正小标宋简体"/>
          <w:sz w:val="36"/>
          <w:szCs w:val="36"/>
        </w:rPr>
        <w:t>说明</w:t>
      </w:r>
    </w:p>
    <w:p>
      <w:pPr>
        <w:pStyle w:val="9"/>
        <w:widowControl w:val="0"/>
        <w:numPr>
          <w:ilvl w:val="0"/>
          <w:numId w:val="0"/>
        </w:numPr>
        <w:wordWrap/>
        <w:adjustRightInd/>
        <w:snapToGrid/>
        <w:spacing w:line="520" w:lineRule="exact"/>
        <w:ind w:left="0" w:leftChars="0" w:right="0" w:firstLine="0" w:firstLineChars="0"/>
        <w:textAlignment w:val="auto"/>
        <w:outlineLvl w:val="9"/>
        <w:rPr>
          <w:rFonts w:hint="eastAsia" w:ascii="黑体" w:hAnsi="宋体" w:eastAsia="黑体"/>
          <w:sz w:val="28"/>
          <w:szCs w:val="28"/>
        </w:rPr>
      </w:pPr>
    </w:p>
    <w:p>
      <w:pPr>
        <w:pStyle w:val="9"/>
        <w:widowControl w:val="0"/>
        <w:numPr>
          <w:ilvl w:val="0"/>
          <w:numId w:val="0"/>
        </w:numPr>
        <w:wordWrap/>
        <w:adjustRightInd/>
        <w:spacing w:line="400" w:lineRule="exact"/>
        <w:ind w:left="0" w:leftChars="0" w:right="0"/>
        <w:outlineLvl w:val="9"/>
        <w:rPr>
          <w:rFonts w:hint="eastAsia" w:ascii="黑体" w:hAnsi="宋体" w:eastAsia="黑体"/>
          <w:sz w:val="24"/>
          <w:szCs w:val="24"/>
        </w:rPr>
      </w:pPr>
      <w:r>
        <w:rPr>
          <w:rFonts w:hint="eastAsia" w:ascii="黑体" w:hAnsi="宋体" w:eastAsia="黑体"/>
          <w:sz w:val="28"/>
          <w:szCs w:val="28"/>
          <w:lang w:val="en-US" w:eastAsia="zh-CN"/>
        </w:rPr>
        <w:t xml:space="preserve">   </w:t>
      </w:r>
      <w:r>
        <w:rPr>
          <w:rFonts w:hint="eastAsia" w:ascii="黑体" w:hAnsi="宋体" w:eastAsia="黑体"/>
          <w:sz w:val="24"/>
          <w:szCs w:val="24"/>
          <w:lang w:val="en-US" w:eastAsia="zh-CN"/>
        </w:rPr>
        <w:t xml:space="preserve"> 一、</w:t>
      </w:r>
      <w:r>
        <w:rPr>
          <w:rFonts w:hint="eastAsia" w:ascii="黑体" w:hAnsi="宋体" w:eastAsia="黑体"/>
          <w:sz w:val="24"/>
          <w:szCs w:val="24"/>
        </w:rPr>
        <w:t>单位主要职责</w:t>
      </w:r>
    </w:p>
    <w:p>
      <w:pPr>
        <w:widowControl w:val="0"/>
        <w:wordWrap/>
        <w:adjustRightInd/>
        <w:snapToGrid/>
        <w:spacing w:line="420" w:lineRule="exact"/>
        <w:ind w:left="0" w:leftChars="0" w:right="0"/>
        <w:jc w:val="left"/>
        <w:textAlignment w:val="auto"/>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lang w:val="en-US" w:eastAsia="zh-CN"/>
        </w:rPr>
        <w:t xml:space="preserve">    </w:t>
      </w:r>
      <w:r>
        <w:rPr>
          <w:rFonts w:hint="eastAsia" w:ascii="楷体_GB2312" w:hAnsi="楷体_GB2312" w:eastAsia="楷体_GB2312" w:cs="楷体_GB2312"/>
          <w:sz w:val="24"/>
          <w:szCs w:val="24"/>
        </w:rPr>
        <w:t>（一）基本情况</w:t>
      </w:r>
    </w:p>
    <w:p>
      <w:pPr>
        <w:pStyle w:val="9"/>
        <w:widowControl w:val="0"/>
        <w:tabs>
          <w:tab w:val="left" w:pos="988"/>
          <w:tab w:val="left" w:pos="1093"/>
          <w:tab w:val="left" w:pos="1153"/>
          <w:tab w:val="left" w:pos="1168"/>
        </w:tabs>
        <w:wordWrap/>
        <w:adjustRightInd/>
        <w:snapToGrid/>
        <w:spacing w:line="420" w:lineRule="exact"/>
        <w:ind w:left="0" w:leftChars="0" w:right="0" w:firstLine="560"/>
        <w:textAlignment w:val="auto"/>
        <w:outlineLvl w:val="9"/>
        <w:rPr>
          <w:rFonts w:hint="eastAsia" w:ascii="仿宋_GB2312" w:hAnsi="宋体" w:eastAsia="仿宋_GB2312" w:cs="宋体"/>
          <w:sz w:val="24"/>
          <w:szCs w:val="24"/>
        </w:rPr>
      </w:pPr>
      <w:r>
        <w:rPr>
          <w:rFonts w:hint="eastAsia" w:ascii="仿宋_GB2312" w:hAnsi="宋体" w:eastAsia="仿宋_GB2312" w:cs="宋体"/>
          <w:sz w:val="24"/>
          <w:szCs w:val="24"/>
        </w:rPr>
        <w:t>永济市</w:t>
      </w:r>
      <w:r>
        <w:rPr>
          <w:rFonts w:hint="eastAsia" w:ascii="仿宋_GB2312" w:hAnsi="宋体" w:eastAsia="仿宋_GB2312" w:cs="宋体"/>
          <w:sz w:val="24"/>
          <w:szCs w:val="24"/>
          <w:lang w:val="en-US" w:eastAsia="zh-CN"/>
        </w:rPr>
        <w:t>开张</w:t>
      </w:r>
      <w:r>
        <w:rPr>
          <w:rFonts w:hint="eastAsia" w:ascii="仿宋_GB2312" w:hAnsi="宋体" w:eastAsia="仿宋_GB2312" w:cs="宋体"/>
          <w:sz w:val="24"/>
          <w:szCs w:val="24"/>
        </w:rPr>
        <w:t>镇中心学校位于永济市</w:t>
      </w:r>
      <w:r>
        <w:rPr>
          <w:rFonts w:hint="eastAsia" w:ascii="仿宋_GB2312" w:hAnsi="宋体" w:eastAsia="仿宋_GB2312" w:cs="宋体"/>
          <w:sz w:val="24"/>
          <w:szCs w:val="24"/>
          <w:lang w:val="en-US" w:eastAsia="zh-CN"/>
        </w:rPr>
        <w:t>开张镇工业园区</w:t>
      </w:r>
      <w:r>
        <w:rPr>
          <w:rFonts w:hint="eastAsia" w:ascii="仿宋_GB2312" w:hAnsi="宋体" w:eastAsia="仿宋_GB2312" w:cs="宋体"/>
          <w:sz w:val="24"/>
          <w:szCs w:val="24"/>
        </w:rPr>
        <w:t>，是全额事业单位。我校编制数</w:t>
      </w:r>
      <w:r>
        <w:rPr>
          <w:rFonts w:hint="eastAsia" w:ascii="仿宋_GB2312" w:hAnsi="宋体" w:eastAsia="仿宋_GB2312" w:cs="宋体"/>
          <w:sz w:val="24"/>
          <w:szCs w:val="24"/>
          <w:lang w:val="en-US" w:eastAsia="zh-CN"/>
        </w:rPr>
        <w:t>127</w:t>
      </w:r>
      <w:r>
        <w:rPr>
          <w:rFonts w:hint="eastAsia" w:ascii="仿宋_GB2312" w:hAnsi="宋体" w:eastAsia="仿宋_GB2312" w:cs="宋体"/>
          <w:sz w:val="24"/>
          <w:szCs w:val="24"/>
        </w:rPr>
        <w:t>人，在职教职工</w:t>
      </w:r>
      <w:r>
        <w:rPr>
          <w:rFonts w:hint="eastAsia" w:ascii="仿宋_GB2312" w:hAnsi="宋体" w:eastAsia="仿宋_GB2312" w:cs="宋体"/>
          <w:sz w:val="24"/>
          <w:szCs w:val="24"/>
          <w:lang w:val="en-US" w:eastAsia="zh-CN"/>
        </w:rPr>
        <w:t>109</w:t>
      </w:r>
      <w:r>
        <w:rPr>
          <w:rFonts w:hint="eastAsia" w:ascii="仿宋_GB2312" w:hAnsi="宋体" w:eastAsia="仿宋_GB2312" w:cs="宋体"/>
          <w:sz w:val="24"/>
          <w:szCs w:val="24"/>
        </w:rPr>
        <w:t>人（其中：烹饪班1人），</w:t>
      </w:r>
      <w:r>
        <w:rPr>
          <w:rFonts w:hint="eastAsia" w:ascii="仿宋_GB2312" w:hAnsi="宋体" w:eastAsia="仿宋_GB2312" w:cs="宋体"/>
          <w:sz w:val="24"/>
          <w:szCs w:val="24"/>
          <w:lang w:val="en-US" w:eastAsia="zh-CN"/>
        </w:rPr>
        <w:t>退休人员133人，</w:t>
      </w:r>
      <w:r>
        <w:rPr>
          <w:rFonts w:hint="eastAsia" w:ascii="仿宋_GB2312" w:hAnsi="宋体" w:eastAsia="仿宋_GB2312" w:cs="宋体"/>
          <w:sz w:val="24"/>
          <w:szCs w:val="24"/>
        </w:rPr>
        <w:t>学生</w:t>
      </w:r>
      <w:r>
        <w:rPr>
          <w:rFonts w:hint="eastAsia" w:ascii="仿宋_GB2312" w:hAnsi="宋体" w:eastAsia="仿宋_GB2312" w:cs="宋体"/>
          <w:sz w:val="24"/>
          <w:szCs w:val="24"/>
          <w:lang w:val="en-US" w:eastAsia="zh-CN"/>
        </w:rPr>
        <w:t>1513</w:t>
      </w:r>
      <w:r>
        <w:rPr>
          <w:rFonts w:hint="eastAsia" w:ascii="仿宋_GB2312" w:hAnsi="宋体" w:eastAsia="仿宋_GB2312" w:cs="宋体"/>
          <w:sz w:val="24"/>
          <w:szCs w:val="24"/>
        </w:rPr>
        <w:t>人。</w:t>
      </w:r>
    </w:p>
    <w:p>
      <w:pPr>
        <w:pStyle w:val="9"/>
        <w:widowControl w:val="0"/>
        <w:tabs>
          <w:tab w:val="left" w:pos="988"/>
          <w:tab w:val="left" w:pos="1093"/>
          <w:tab w:val="left" w:pos="1153"/>
          <w:tab w:val="left" w:pos="1168"/>
        </w:tabs>
        <w:wordWrap/>
        <w:adjustRightInd/>
        <w:snapToGrid/>
        <w:spacing w:line="420" w:lineRule="exact"/>
        <w:ind w:left="0" w:leftChars="0" w:right="0" w:firstLine="0" w:firstLineChars="0"/>
        <w:textAlignment w:val="auto"/>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lang w:val="en-US" w:eastAsia="zh-CN"/>
        </w:rPr>
        <w:t xml:space="preserve">    </w:t>
      </w:r>
      <w:r>
        <w:rPr>
          <w:rFonts w:hint="eastAsia" w:ascii="楷体_GB2312" w:hAnsi="楷体_GB2312" w:eastAsia="楷体_GB2312" w:cs="楷体_GB2312"/>
          <w:sz w:val="24"/>
          <w:szCs w:val="24"/>
        </w:rPr>
        <w:t>（二）主要职责</w:t>
      </w:r>
    </w:p>
    <w:p>
      <w:pPr>
        <w:widowControl w:val="0"/>
        <w:wordWrap/>
        <w:adjustRightInd/>
        <w:snapToGrid/>
        <w:spacing w:line="420" w:lineRule="exact"/>
        <w:ind w:left="0" w:leftChars="0" w:right="0" w:firstLine="480" w:firstLineChars="200"/>
        <w:textAlignment w:val="auto"/>
        <w:outlineLvl w:val="9"/>
        <w:rPr>
          <w:rFonts w:hint="eastAsia" w:ascii="仿宋_GB2312" w:hAnsi="宋体" w:eastAsia="仿宋_GB2312" w:cs="宋体"/>
          <w:sz w:val="24"/>
          <w:szCs w:val="24"/>
        </w:rPr>
      </w:pPr>
      <w:r>
        <w:rPr>
          <w:rFonts w:hint="eastAsia" w:ascii="仿宋_GB2312" w:hAnsi="宋体" w:eastAsia="仿宋_GB2312" w:cs="宋体"/>
          <w:sz w:val="24"/>
          <w:szCs w:val="24"/>
        </w:rPr>
        <w:t>为辖区教育教学提供服务，进行教学管理，业务指导。</w:t>
      </w:r>
    </w:p>
    <w:p>
      <w:pPr>
        <w:widowControl w:val="0"/>
        <w:wordWrap/>
        <w:adjustRightInd/>
        <w:snapToGrid/>
        <w:spacing w:line="420" w:lineRule="exact"/>
        <w:ind w:left="0" w:leftChars="0" w:right="0"/>
        <w:jc w:val="left"/>
        <w:textAlignment w:val="auto"/>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lang w:val="en-US" w:eastAsia="zh-CN"/>
        </w:rPr>
        <w:t xml:space="preserve">    </w:t>
      </w:r>
      <w:r>
        <w:rPr>
          <w:rFonts w:hint="eastAsia" w:ascii="楷体_GB2312" w:hAnsi="楷体_GB2312" w:eastAsia="楷体_GB2312" w:cs="楷体_GB2312"/>
          <w:sz w:val="24"/>
          <w:szCs w:val="24"/>
          <w:lang w:eastAsia="zh-CN"/>
        </w:rPr>
        <w:t>（</w:t>
      </w:r>
      <w:r>
        <w:rPr>
          <w:rFonts w:hint="eastAsia" w:ascii="楷体_GB2312" w:hAnsi="楷体_GB2312" w:eastAsia="楷体_GB2312" w:cs="楷体_GB2312"/>
          <w:sz w:val="24"/>
          <w:szCs w:val="24"/>
        </w:rPr>
        <w:t>三）机构设置情况</w:t>
      </w:r>
    </w:p>
    <w:p>
      <w:pPr>
        <w:widowControl w:val="0"/>
        <w:wordWrap/>
        <w:adjustRightInd/>
        <w:snapToGrid/>
        <w:spacing w:line="420" w:lineRule="exact"/>
        <w:ind w:left="0" w:leftChars="0" w:right="0" w:firstLine="480" w:firstLineChars="200"/>
        <w:textAlignment w:val="auto"/>
        <w:outlineLvl w:val="9"/>
        <w:rPr>
          <w:rFonts w:hint="eastAsia" w:ascii="仿宋_GB2312" w:hAnsi="宋体" w:eastAsia="仿宋_GB2312"/>
          <w:sz w:val="24"/>
          <w:szCs w:val="24"/>
          <w:lang w:eastAsia="zh-CN"/>
        </w:rPr>
      </w:pPr>
      <w:r>
        <w:rPr>
          <w:rFonts w:hint="eastAsia" w:ascii="仿宋_GB2312" w:hAnsi="宋体" w:eastAsia="仿宋_GB2312"/>
          <w:sz w:val="24"/>
          <w:szCs w:val="24"/>
        </w:rPr>
        <w:t>我单位机构设为中心校下属6所小学和</w:t>
      </w:r>
      <w:r>
        <w:rPr>
          <w:rFonts w:hint="eastAsia" w:ascii="仿宋_GB2312" w:hAnsi="宋体" w:eastAsia="仿宋_GB2312"/>
          <w:sz w:val="24"/>
          <w:szCs w:val="24"/>
          <w:lang w:val="en-US" w:eastAsia="zh-CN"/>
        </w:rPr>
        <w:t>5</w:t>
      </w:r>
      <w:r>
        <w:rPr>
          <w:rFonts w:hint="eastAsia" w:ascii="仿宋_GB2312" w:hAnsi="宋体" w:eastAsia="仿宋_GB2312"/>
          <w:sz w:val="24"/>
          <w:szCs w:val="24"/>
        </w:rPr>
        <w:t>所幼儿园。为辖区教学管理提供服务，教学管理、业务指导，我中心校办校宗旨，实施农村学前教育和小学教育，培养高素质的学生</w:t>
      </w:r>
      <w:r>
        <w:rPr>
          <w:rFonts w:hint="eastAsia" w:ascii="仿宋_GB2312" w:hAnsi="宋体" w:eastAsia="仿宋_GB2312"/>
          <w:sz w:val="24"/>
          <w:szCs w:val="24"/>
          <w:lang w:eastAsia="zh-CN"/>
        </w:rPr>
        <w:t>。</w:t>
      </w:r>
    </w:p>
    <w:p>
      <w:pPr>
        <w:pStyle w:val="9"/>
        <w:widowControl w:val="0"/>
        <w:wordWrap/>
        <w:adjustRightInd/>
        <w:spacing w:line="400" w:lineRule="exact"/>
        <w:ind w:left="0" w:leftChars="0" w:right="0" w:firstLine="560"/>
        <w:outlineLvl w:val="9"/>
        <w:rPr>
          <w:rFonts w:hint="eastAsia" w:ascii="黑体" w:hAnsi="宋体" w:eastAsia="黑体"/>
          <w:color w:val="0000FF"/>
          <w:sz w:val="24"/>
          <w:szCs w:val="24"/>
        </w:rPr>
      </w:pPr>
      <w:r>
        <w:rPr>
          <w:rFonts w:hint="eastAsia" w:ascii="黑体" w:hAnsi="宋体" w:eastAsia="黑体"/>
          <w:sz w:val="24"/>
          <w:szCs w:val="24"/>
        </w:rPr>
        <w:t>二、本级预算情况</w:t>
      </w:r>
    </w:p>
    <w:p>
      <w:pPr>
        <w:widowControl w:val="0"/>
        <w:wordWrap/>
        <w:adjustRightInd/>
        <w:spacing w:line="400" w:lineRule="exact"/>
        <w:ind w:left="0" w:leftChars="0" w:right="0" w:firstLine="480" w:firstLineChars="200"/>
        <w:outlineLvl w:val="9"/>
        <w:rPr>
          <w:rFonts w:hint="eastAsia" w:ascii="仿宋_GB2312" w:hAnsi="宋体" w:eastAsia="仿宋_GB2312"/>
          <w:color w:val="auto"/>
          <w:sz w:val="24"/>
          <w:szCs w:val="24"/>
        </w:rPr>
      </w:pPr>
      <w:r>
        <w:rPr>
          <w:rFonts w:hint="eastAsia" w:ascii="仿宋_GB2312" w:hAnsi="宋体" w:eastAsia="仿宋_GB2312"/>
          <w:sz w:val="24"/>
          <w:szCs w:val="24"/>
        </w:rPr>
        <w:t>我单位为全额事业单位</w:t>
      </w:r>
      <w:r>
        <w:rPr>
          <w:rFonts w:hint="eastAsia" w:ascii="仿宋_GB2312" w:hAnsi="宋体" w:eastAsia="仿宋_GB2312"/>
          <w:sz w:val="24"/>
          <w:szCs w:val="24"/>
          <w:lang w:eastAsia="zh-CN"/>
        </w:rPr>
        <w:t>，属于永济市教育局的二级核算单位。</w:t>
      </w:r>
      <w:r>
        <w:rPr>
          <w:rFonts w:hint="eastAsia" w:ascii="仿宋_GB2312" w:hAnsi="宋体" w:eastAsia="仿宋_GB2312"/>
          <w:sz w:val="24"/>
          <w:szCs w:val="24"/>
        </w:rPr>
        <w:t>20</w:t>
      </w:r>
      <w:r>
        <w:rPr>
          <w:rFonts w:hint="eastAsia" w:ascii="仿宋_GB2312" w:hAnsi="宋体" w:eastAsia="仿宋_GB2312"/>
          <w:sz w:val="24"/>
          <w:szCs w:val="24"/>
          <w:lang w:val="en-US" w:eastAsia="zh-CN"/>
        </w:rPr>
        <w:t>21</w:t>
      </w:r>
      <w:r>
        <w:rPr>
          <w:rFonts w:hint="eastAsia" w:ascii="仿宋_GB2312" w:hAnsi="宋体" w:eastAsia="仿宋_GB2312"/>
          <w:sz w:val="24"/>
          <w:szCs w:val="24"/>
        </w:rPr>
        <w:t>年我单位预算收入安排为</w:t>
      </w:r>
      <w:r>
        <w:rPr>
          <w:rFonts w:hint="eastAsia" w:ascii="仿宋_GB2312" w:hAnsi="宋体" w:eastAsia="仿宋_GB2312"/>
          <w:sz w:val="24"/>
          <w:szCs w:val="24"/>
          <w:lang w:val="en-US" w:eastAsia="zh-CN"/>
        </w:rPr>
        <w:t>1413.3万</w:t>
      </w:r>
      <w:r>
        <w:rPr>
          <w:rFonts w:hint="eastAsia" w:ascii="仿宋_GB2312" w:hAnsi="宋体" w:eastAsia="仿宋_GB2312"/>
          <w:sz w:val="24"/>
          <w:szCs w:val="24"/>
        </w:rPr>
        <w:t>元，全部为财政拨款。根据收支平衡的原则，预算支出安排为</w:t>
      </w:r>
      <w:r>
        <w:rPr>
          <w:rFonts w:hint="eastAsia" w:ascii="仿宋_GB2312" w:hAnsi="宋体" w:eastAsia="仿宋_GB2312"/>
          <w:sz w:val="24"/>
          <w:szCs w:val="24"/>
          <w:lang w:val="en-US" w:eastAsia="zh-CN"/>
        </w:rPr>
        <w:t>1413.3万</w:t>
      </w:r>
      <w:r>
        <w:rPr>
          <w:rFonts w:hint="eastAsia" w:ascii="仿宋_GB2312" w:hAnsi="宋体" w:eastAsia="仿宋_GB2312"/>
          <w:sz w:val="24"/>
          <w:szCs w:val="24"/>
        </w:rPr>
        <w:t>元（其中工资福利支出为</w:t>
      </w:r>
      <w:r>
        <w:rPr>
          <w:rFonts w:hint="eastAsia" w:ascii="仿宋_GB2312" w:hAnsi="宋体" w:eastAsia="仿宋_GB2312"/>
          <w:sz w:val="24"/>
          <w:szCs w:val="24"/>
          <w:lang w:val="en-US" w:eastAsia="zh-CN"/>
        </w:rPr>
        <w:t>1135.95万</w:t>
      </w:r>
      <w:r>
        <w:rPr>
          <w:rFonts w:hint="eastAsia" w:ascii="仿宋_GB2312" w:hAnsi="宋体" w:eastAsia="仿宋_GB2312"/>
          <w:sz w:val="24"/>
          <w:szCs w:val="24"/>
        </w:rPr>
        <w:t>元，对个人和家庭的补助为</w:t>
      </w:r>
      <w:r>
        <w:rPr>
          <w:rFonts w:hint="eastAsia" w:ascii="仿宋_GB2312" w:hAnsi="宋体" w:eastAsia="仿宋_GB2312"/>
          <w:color w:val="auto"/>
          <w:sz w:val="24"/>
          <w:szCs w:val="24"/>
          <w:lang w:val="en-US" w:eastAsia="zh-CN"/>
        </w:rPr>
        <w:t>90.39万</w:t>
      </w:r>
      <w:r>
        <w:rPr>
          <w:rFonts w:hint="eastAsia" w:ascii="仿宋_GB2312" w:hAnsi="宋体" w:eastAsia="仿宋_GB2312"/>
          <w:color w:val="auto"/>
          <w:sz w:val="24"/>
          <w:szCs w:val="24"/>
        </w:rPr>
        <w:t>元，商品服务支出为</w:t>
      </w:r>
      <w:r>
        <w:rPr>
          <w:rFonts w:hint="eastAsia" w:ascii="仿宋_GB2312" w:hAnsi="宋体" w:eastAsia="仿宋_GB2312"/>
          <w:color w:val="auto"/>
          <w:sz w:val="24"/>
          <w:szCs w:val="24"/>
          <w:lang w:val="en-US" w:eastAsia="zh-CN"/>
        </w:rPr>
        <w:t>14.78万</w:t>
      </w:r>
      <w:r>
        <w:rPr>
          <w:rFonts w:hint="eastAsia" w:ascii="仿宋_GB2312" w:hAnsi="宋体" w:eastAsia="仿宋_GB2312"/>
          <w:color w:val="auto"/>
          <w:sz w:val="24"/>
          <w:szCs w:val="24"/>
        </w:rPr>
        <w:t>元</w:t>
      </w:r>
      <w:r>
        <w:rPr>
          <w:rFonts w:hint="eastAsia" w:ascii="仿宋_GB2312" w:hAnsi="宋体" w:eastAsia="仿宋_GB2312"/>
          <w:color w:val="auto"/>
          <w:sz w:val="24"/>
          <w:szCs w:val="24"/>
          <w:lang w:eastAsia="zh-CN"/>
        </w:rPr>
        <w:t>，</w:t>
      </w:r>
      <w:r>
        <w:rPr>
          <w:rFonts w:hint="eastAsia" w:ascii="仿宋_GB2312" w:hAnsi="宋体" w:eastAsia="仿宋_GB2312"/>
          <w:color w:val="auto"/>
          <w:sz w:val="24"/>
          <w:szCs w:val="24"/>
        </w:rPr>
        <w:t>项目支出为</w:t>
      </w:r>
      <w:r>
        <w:rPr>
          <w:rFonts w:hint="eastAsia" w:ascii="仿宋_GB2312" w:hAnsi="宋体" w:eastAsia="仿宋_GB2312"/>
          <w:color w:val="auto"/>
          <w:sz w:val="24"/>
          <w:szCs w:val="24"/>
          <w:lang w:val="en-US" w:eastAsia="zh-CN"/>
        </w:rPr>
        <w:t>172.18万</w:t>
      </w:r>
      <w:r>
        <w:rPr>
          <w:rFonts w:hint="eastAsia" w:ascii="仿宋_GB2312" w:hAnsi="宋体" w:eastAsia="仿宋_GB2312"/>
          <w:color w:val="auto"/>
          <w:sz w:val="24"/>
          <w:szCs w:val="24"/>
        </w:rPr>
        <w:t>元）。</w:t>
      </w:r>
    </w:p>
    <w:p>
      <w:pPr>
        <w:pStyle w:val="9"/>
        <w:widowControl w:val="0"/>
        <w:wordWrap/>
        <w:adjustRightInd/>
        <w:spacing w:line="400" w:lineRule="exact"/>
        <w:ind w:left="0" w:leftChars="0" w:right="0" w:firstLine="560"/>
        <w:outlineLvl w:val="9"/>
        <w:rPr>
          <w:rFonts w:hint="eastAsia" w:ascii="黑体" w:hAnsi="宋体" w:eastAsia="黑体"/>
          <w:sz w:val="24"/>
          <w:szCs w:val="24"/>
        </w:rPr>
      </w:pPr>
      <w:r>
        <w:rPr>
          <w:rFonts w:hint="eastAsia" w:ascii="黑体" w:hAnsi="宋体" w:eastAsia="黑体"/>
          <w:sz w:val="24"/>
          <w:szCs w:val="24"/>
        </w:rPr>
        <w:t>三、预算收支增减变化及情况说明</w:t>
      </w:r>
    </w:p>
    <w:p>
      <w:pPr>
        <w:widowControl w:val="0"/>
        <w:wordWrap/>
        <w:adjustRightInd/>
        <w:snapToGrid/>
        <w:spacing w:line="420" w:lineRule="exact"/>
        <w:ind w:left="0" w:leftChars="0" w:right="0" w:firstLine="480" w:firstLineChars="200"/>
        <w:jc w:val="both"/>
        <w:textAlignment w:val="auto"/>
        <w:outlineLvl w:val="9"/>
        <w:rPr>
          <w:rFonts w:hint="default" w:ascii="仿宋_GB2312" w:hAnsi="宋体" w:eastAsia="仿宋_GB2312"/>
          <w:sz w:val="24"/>
          <w:szCs w:val="24"/>
          <w:lang w:val="en-US" w:eastAsia="zh-CN"/>
        </w:rPr>
      </w:pPr>
      <w:r>
        <w:rPr>
          <w:rFonts w:hint="eastAsia" w:ascii="仿宋_GB2312" w:hAnsi="宋体" w:eastAsia="仿宋_GB2312"/>
          <w:sz w:val="24"/>
          <w:szCs w:val="24"/>
          <w:lang w:val="en-US" w:eastAsia="zh-CN"/>
        </w:rPr>
        <w:t>2021</w:t>
      </w:r>
      <w:r>
        <w:rPr>
          <w:rFonts w:hint="eastAsia" w:ascii="仿宋_GB2312" w:hAnsi="宋体" w:eastAsia="仿宋_GB2312"/>
          <w:sz w:val="24"/>
          <w:szCs w:val="24"/>
        </w:rPr>
        <w:t>年收入预算为</w:t>
      </w:r>
      <w:r>
        <w:rPr>
          <w:rFonts w:hint="eastAsia" w:ascii="仿宋_GB2312" w:hAnsi="宋体" w:eastAsia="仿宋_GB2312"/>
          <w:sz w:val="24"/>
          <w:szCs w:val="24"/>
          <w:lang w:val="en-US" w:eastAsia="zh-CN"/>
        </w:rPr>
        <w:t>1413.3万</w:t>
      </w:r>
      <w:r>
        <w:rPr>
          <w:rFonts w:hint="eastAsia" w:ascii="仿宋_GB2312" w:hAnsi="宋体" w:eastAsia="仿宋_GB2312"/>
          <w:sz w:val="24"/>
          <w:szCs w:val="24"/>
        </w:rPr>
        <w:t>元，比上年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4.3</w:t>
      </w:r>
      <w:r>
        <w:rPr>
          <w:rFonts w:hint="eastAsia" w:ascii="仿宋_GB2312" w:hAnsi="宋体" w:eastAsia="仿宋_GB2312"/>
          <w:sz w:val="24"/>
          <w:szCs w:val="24"/>
        </w:rPr>
        <w:t>%。支出预算为</w:t>
      </w:r>
      <w:r>
        <w:rPr>
          <w:rFonts w:hint="eastAsia" w:ascii="仿宋_GB2312" w:hAnsi="宋体" w:eastAsia="仿宋_GB2312"/>
          <w:sz w:val="24"/>
          <w:szCs w:val="24"/>
          <w:lang w:val="en-US" w:eastAsia="zh-CN"/>
        </w:rPr>
        <w:t>1413.3万</w:t>
      </w:r>
      <w:r>
        <w:rPr>
          <w:rFonts w:hint="eastAsia" w:ascii="仿宋_GB2312" w:hAnsi="宋体" w:eastAsia="仿宋_GB2312"/>
          <w:sz w:val="24"/>
          <w:szCs w:val="24"/>
        </w:rPr>
        <w:t>元，比上年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4.3</w:t>
      </w:r>
      <w:r>
        <w:rPr>
          <w:rFonts w:hint="eastAsia" w:ascii="仿宋_GB2312" w:hAnsi="宋体" w:eastAsia="仿宋_GB2312"/>
          <w:sz w:val="24"/>
          <w:szCs w:val="24"/>
        </w:rPr>
        <w:t>%，其中工资福利支出为</w:t>
      </w:r>
      <w:r>
        <w:rPr>
          <w:rFonts w:hint="eastAsia" w:ascii="仿宋_GB2312" w:hAnsi="宋体" w:eastAsia="仿宋_GB2312"/>
          <w:sz w:val="24"/>
          <w:szCs w:val="24"/>
          <w:lang w:val="en-US" w:eastAsia="zh-CN"/>
        </w:rPr>
        <w:t>1135.95万</w:t>
      </w:r>
      <w:r>
        <w:rPr>
          <w:rFonts w:hint="eastAsia" w:ascii="仿宋_GB2312" w:hAnsi="宋体" w:eastAsia="仿宋_GB2312"/>
          <w:sz w:val="24"/>
          <w:szCs w:val="24"/>
        </w:rPr>
        <w:t>元，比上年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10.2</w:t>
      </w:r>
      <w:r>
        <w:rPr>
          <w:rFonts w:hint="eastAsia" w:ascii="仿宋_GB2312" w:hAnsi="宋体" w:eastAsia="仿宋_GB2312"/>
          <w:sz w:val="24"/>
          <w:szCs w:val="24"/>
        </w:rPr>
        <w:t>%，原因是</w:t>
      </w:r>
      <w:r>
        <w:rPr>
          <w:rFonts w:hint="eastAsia" w:ascii="仿宋_GB2312" w:hAnsi="宋体" w:eastAsia="仿宋_GB2312"/>
          <w:sz w:val="24"/>
          <w:szCs w:val="24"/>
          <w:lang w:val="en-US" w:eastAsia="zh-CN"/>
        </w:rPr>
        <w:t>人数减少，各项支出减少</w:t>
      </w:r>
      <w:r>
        <w:rPr>
          <w:rFonts w:hint="eastAsia" w:ascii="仿宋_GB2312" w:hAnsi="宋体" w:eastAsia="仿宋_GB2312"/>
          <w:sz w:val="24"/>
          <w:szCs w:val="24"/>
        </w:rPr>
        <w:t>；对个人和家庭的补助为</w:t>
      </w:r>
      <w:r>
        <w:rPr>
          <w:rFonts w:hint="eastAsia" w:ascii="仿宋_GB2312" w:hAnsi="宋体" w:eastAsia="仿宋_GB2312"/>
          <w:color w:val="auto"/>
          <w:sz w:val="24"/>
          <w:szCs w:val="24"/>
          <w:lang w:val="en-US" w:eastAsia="zh-CN"/>
        </w:rPr>
        <w:t>90.39</w:t>
      </w:r>
      <w:r>
        <w:rPr>
          <w:rFonts w:hint="eastAsia" w:ascii="仿宋_GB2312" w:hAnsi="宋体" w:eastAsia="仿宋_GB2312"/>
          <w:sz w:val="24"/>
          <w:szCs w:val="24"/>
          <w:lang w:val="en-US" w:eastAsia="zh-CN"/>
        </w:rPr>
        <w:t>万</w:t>
      </w:r>
      <w:r>
        <w:rPr>
          <w:rFonts w:hint="eastAsia" w:ascii="仿宋_GB2312" w:hAnsi="宋体" w:eastAsia="仿宋_GB2312"/>
          <w:sz w:val="24"/>
          <w:szCs w:val="24"/>
        </w:rPr>
        <w:t>元，比上年</w:t>
      </w:r>
      <w:r>
        <w:rPr>
          <w:rFonts w:hint="eastAsia" w:ascii="仿宋_GB2312" w:hAnsi="宋体" w:eastAsia="仿宋_GB2312"/>
          <w:sz w:val="24"/>
          <w:szCs w:val="24"/>
          <w:lang w:eastAsia="zh-CN"/>
        </w:rPr>
        <w:t>增</w:t>
      </w:r>
      <w:r>
        <w:rPr>
          <w:rFonts w:hint="eastAsia" w:ascii="仿宋_GB2312" w:hAnsi="宋体" w:eastAsia="仿宋_GB2312"/>
          <w:sz w:val="24"/>
          <w:szCs w:val="24"/>
          <w:lang w:val="en-US" w:eastAsia="zh-CN"/>
        </w:rPr>
        <w:t>长4.87</w:t>
      </w:r>
      <w:r>
        <w:rPr>
          <w:rFonts w:hint="eastAsia" w:ascii="仿宋_GB2312" w:hAnsi="宋体" w:eastAsia="仿宋_GB2312"/>
          <w:sz w:val="24"/>
          <w:szCs w:val="24"/>
        </w:rPr>
        <w:t>%，原因是</w:t>
      </w:r>
      <w:r>
        <w:rPr>
          <w:rFonts w:hint="eastAsia" w:ascii="仿宋_GB2312" w:hAnsi="宋体" w:eastAsia="仿宋_GB2312"/>
          <w:sz w:val="24"/>
          <w:szCs w:val="24"/>
          <w:lang w:eastAsia="zh-CN"/>
        </w:rPr>
        <w:t>遗属生活补助提标</w:t>
      </w:r>
      <w:r>
        <w:rPr>
          <w:rFonts w:hint="eastAsia" w:ascii="仿宋_GB2312" w:hAnsi="宋体" w:eastAsia="仿宋_GB2312"/>
          <w:sz w:val="24"/>
          <w:szCs w:val="24"/>
        </w:rPr>
        <w:t>；商品服务支出为</w:t>
      </w:r>
      <w:r>
        <w:rPr>
          <w:rFonts w:hint="eastAsia" w:ascii="仿宋_GB2312" w:hAnsi="宋体" w:eastAsia="仿宋_GB2312"/>
          <w:sz w:val="24"/>
          <w:szCs w:val="24"/>
          <w:lang w:val="en-US" w:eastAsia="zh-CN"/>
        </w:rPr>
        <w:t>14.78万</w:t>
      </w:r>
      <w:r>
        <w:rPr>
          <w:rFonts w:hint="eastAsia" w:ascii="仿宋_GB2312" w:hAnsi="宋体" w:eastAsia="仿宋_GB2312"/>
          <w:sz w:val="24"/>
          <w:szCs w:val="24"/>
        </w:rPr>
        <w:t>元，比上年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88.2%</w:t>
      </w:r>
      <w:r>
        <w:rPr>
          <w:rFonts w:hint="eastAsia" w:ascii="仿宋_GB2312" w:hAnsi="宋体" w:eastAsia="仿宋_GB2312"/>
          <w:sz w:val="24"/>
          <w:szCs w:val="24"/>
        </w:rPr>
        <w:t>，原因是</w:t>
      </w:r>
      <w:r>
        <w:rPr>
          <w:rFonts w:hint="eastAsia" w:ascii="仿宋_GB2312" w:hAnsi="宋体" w:eastAsia="仿宋_GB2312"/>
          <w:sz w:val="24"/>
          <w:szCs w:val="24"/>
          <w:lang w:val="en-US" w:eastAsia="zh-CN"/>
        </w:rPr>
        <w:t>部门经济分类科目调整</w:t>
      </w:r>
      <w:r>
        <w:rPr>
          <w:rFonts w:hint="eastAsia" w:ascii="仿宋_GB2312" w:hAnsi="宋体" w:eastAsia="仿宋_GB2312"/>
          <w:sz w:val="24"/>
          <w:szCs w:val="24"/>
          <w:lang w:eastAsia="zh-CN"/>
        </w:rPr>
        <w:t>。</w:t>
      </w:r>
      <w:r>
        <w:rPr>
          <w:rFonts w:hint="eastAsia" w:ascii="仿宋_GB2312" w:hAnsi="宋体" w:eastAsia="仿宋_GB2312"/>
          <w:sz w:val="24"/>
          <w:szCs w:val="24"/>
        </w:rPr>
        <w:t>项目支出为</w:t>
      </w:r>
      <w:r>
        <w:rPr>
          <w:rFonts w:hint="eastAsia" w:ascii="仿宋_GB2312" w:hAnsi="宋体" w:eastAsia="仿宋_GB2312"/>
          <w:sz w:val="24"/>
          <w:szCs w:val="24"/>
          <w:lang w:val="en-US" w:eastAsia="zh-CN"/>
        </w:rPr>
        <w:t>172.18万</w:t>
      </w:r>
      <w:r>
        <w:rPr>
          <w:rFonts w:hint="eastAsia" w:ascii="仿宋_GB2312" w:hAnsi="宋体" w:eastAsia="仿宋_GB2312"/>
          <w:sz w:val="24"/>
          <w:szCs w:val="24"/>
        </w:rPr>
        <w:t>元</w:t>
      </w:r>
      <w:r>
        <w:rPr>
          <w:rFonts w:hint="eastAsia" w:ascii="仿宋_GB2312" w:hAnsi="宋体" w:eastAsia="仿宋_GB2312"/>
          <w:sz w:val="24"/>
          <w:szCs w:val="24"/>
          <w:lang w:eastAsia="zh-CN"/>
        </w:rPr>
        <w:t>，</w:t>
      </w:r>
      <w:r>
        <w:rPr>
          <w:rFonts w:hint="eastAsia" w:ascii="仿宋_GB2312" w:hAnsi="宋体" w:eastAsia="仿宋_GB2312"/>
          <w:sz w:val="24"/>
          <w:szCs w:val="24"/>
          <w:lang w:val="en-US" w:eastAsia="zh-CN"/>
        </w:rPr>
        <w:t>比去年增长100%，原因是部门经济分类科目调整。</w:t>
      </w:r>
    </w:p>
    <w:p>
      <w:pPr>
        <w:widowControl w:val="0"/>
        <w:wordWrap/>
        <w:adjustRightInd/>
        <w:snapToGrid/>
        <w:spacing w:line="420" w:lineRule="exact"/>
        <w:ind w:left="0" w:leftChars="0" w:right="0" w:firstLine="480" w:firstLineChars="200"/>
        <w:jc w:val="both"/>
        <w:textAlignment w:val="auto"/>
        <w:outlineLvl w:val="9"/>
        <w:rPr>
          <w:rFonts w:hint="eastAsia" w:ascii="黑体" w:hAnsi="宋体" w:eastAsia="黑体"/>
          <w:sz w:val="24"/>
          <w:szCs w:val="24"/>
        </w:rPr>
      </w:pPr>
      <w:r>
        <w:rPr>
          <w:rFonts w:hint="eastAsia" w:ascii="黑体" w:hAnsi="宋体" w:eastAsia="黑体"/>
          <w:sz w:val="24"/>
          <w:szCs w:val="24"/>
        </w:rPr>
        <w:t>四、机关运行经费安排情况说明</w:t>
      </w:r>
    </w:p>
    <w:p>
      <w:pPr>
        <w:widowControl w:val="0"/>
        <w:wordWrap/>
        <w:adjustRightInd/>
        <w:snapToGrid/>
        <w:spacing w:line="420" w:lineRule="exact"/>
        <w:ind w:left="0" w:leftChars="0" w:right="0" w:firstLine="480" w:firstLineChars="200"/>
        <w:jc w:val="both"/>
        <w:textAlignment w:val="auto"/>
        <w:outlineLvl w:val="9"/>
        <w:rPr>
          <w:rFonts w:hint="default" w:ascii="仿宋_GB2312" w:hAnsi="宋体" w:eastAsia="仿宋_GB2312"/>
          <w:sz w:val="24"/>
          <w:szCs w:val="24"/>
          <w:lang w:val="en-US"/>
        </w:rPr>
      </w:pPr>
      <w:r>
        <w:rPr>
          <w:rFonts w:hint="eastAsia" w:ascii="仿宋_GB2312" w:hAnsi="宋体" w:eastAsia="仿宋_GB2312"/>
          <w:sz w:val="24"/>
          <w:szCs w:val="24"/>
        </w:rPr>
        <w:t>20</w:t>
      </w:r>
      <w:r>
        <w:rPr>
          <w:rFonts w:hint="eastAsia" w:ascii="仿宋_GB2312" w:hAnsi="宋体" w:eastAsia="仿宋_GB2312"/>
          <w:sz w:val="24"/>
          <w:szCs w:val="24"/>
          <w:lang w:val="en-US" w:eastAsia="zh-CN"/>
        </w:rPr>
        <w:t>21</w:t>
      </w:r>
      <w:r>
        <w:rPr>
          <w:rFonts w:hint="eastAsia" w:ascii="仿宋_GB2312" w:hAnsi="宋体" w:eastAsia="仿宋_GB2312"/>
          <w:sz w:val="24"/>
          <w:szCs w:val="24"/>
        </w:rPr>
        <w:t>年我单位</w:t>
      </w:r>
      <w:r>
        <w:rPr>
          <w:rFonts w:hint="eastAsia" w:ascii="仿宋_GB2312" w:hAnsi="宋体" w:eastAsia="仿宋_GB2312"/>
          <w:bCs/>
          <w:sz w:val="24"/>
          <w:szCs w:val="24"/>
        </w:rPr>
        <w:t>机关运行经费安排为</w:t>
      </w:r>
      <w:r>
        <w:rPr>
          <w:rFonts w:hint="eastAsia" w:ascii="仿宋_GB2312" w:hAnsi="宋体" w:eastAsia="仿宋_GB2312"/>
          <w:bCs/>
          <w:sz w:val="24"/>
          <w:szCs w:val="24"/>
          <w:lang w:val="en-US" w:eastAsia="zh-CN"/>
        </w:rPr>
        <w:t>14.78万</w:t>
      </w:r>
      <w:r>
        <w:rPr>
          <w:rFonts w:hint="eastAsia" w:ascii="仿宋_GB2312" w:hAnsi="宋体" w:eastAsia="仿宋_GB2312"/>
          <w:bCs/>
          <w:sz w:val="24"/>
          <w:szCs w:val="24"/>
        </w:rPr>
        <w:t>元，</w:t>
      </w:r>
      <w:r>
        <w:rPr>
          <w:rFonts w:hint="eastAsia" w:ascii="仿宋_GB2312" w:hAnsi="宋体" w:eastAsia="仿宋_GB2312"/>
          <w:sz w:val="24"/>
          <w:szCs w:val="24"/>
        </w:rPr>
        <w:t>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88.2%</w:t>
      </w:r>
      <w:r>
        <w:rPr>
          <w:rFonts w:hint="eastAsia" w:ascii="仿宋_GB2312" w:hAnsi="宋体" w:eastAsia="仿宋_GB2312"/>
          <w:sz w:val="24"/>
          <w:szCs w:val="24"/>
        </w:rPr>
        <w:t>，原因是</w:t>
      </w:r>
      <w:r>
        <w:rPr>
          <w:rFonts w:hint="eastAsia" w:ascii="仿宋_GB2312" w:hAnsi="宋体" w:eastAsia="仿宋_GB2312"/>
          <w:sz w:val="24"/>
          <w:szCs w:val="24"/>
          <w:lang w:val="en-US" w:eastAsia="zh-CN"/>
        </w:rPr>
        <w:t>部门经济分类科目调整。</w:t>
      </w:r>
    </w:p>
    <w:p>
      <w:pPr>
        <w:pStyle w:val="9"/>
        <w:widowControl w:val="0"/>
        <w:wordWrap/>
        <w:adjustRightInd/>
        <w:snapToGrid/>
        <w:spacing w:line="420" w:lineRule="exact"/>
        <w:ind w:left="0" w:leftChars="0" w:right="0" w:firstLine="480" w:firstLineChars="200"/>
        <w:jc w:val="both"/>
        <w:textAlignment w:val="auto"/>
        <w:outlineLvl w:val="9"/>
        <w:rPr>
          <w:rFonts w:hint="eastAsia" w:ascii="黑体" w:hAnsi="宋体" w:eastAsia="黑体"/>
          <w:sz w:val="24"/>
          <w:szCs w:val="24"/>
        </w:rPr>
      </w:pPr>
      <w:r>
        <w:rPr>
          <w:rFonts w:hint="eastAsia" w:ascii="黑体" w:hAnsi="宋体" w:eastAsia="黑体"/>
          <w:sz w:val="24"/>
          <w:szCs w:val="24"/>
        </w:rPr>
        <w:t>五、政府采购安排情况说明</w:t>
      </w:r>
    </w:p>
    <w:p>
      <w:pPr>
        <w:widowControl w:val="0"/>
        <w:wordWrap/>
        <w:adjustRightInd/>
        <w:snapToGrid/>
        <w:spacing w:line="420" w:lineRule="exact"/>
        <w:ind w:left="0" w:leftChars="0" w:right="0" w:firstLine="480" w:firstLineChars="200"/>
        <w:jc w:val="both"/>
        <w:textAlignment w:val="auto"/>
        <w:outlineLvl w:val="9"/>
        <w:rPr>
          <w:rFonts w:hint="default" w:ascii="仿宋_GB2312" w:hAnsi="宋体" w:eastAsia="仿宋_GB2312"/>
          <w:sz w:val="24"/>
          <w:szCs w:val="24"/>
          <w:highlight w:val="none"/>
          <w:lang w:val="en-US" w:eastAsia="zh-CN"/>
        </w:rPr>
      </w:pPr>
      <w:r>
        <w:rPr>
          <w:rFonts w:hint="eastAsia" w:ascii="仿宋_GB2312" w:hAnsi="宋体" w:eastAsia="仿宋_GB2312"/>
          <w:sz w:val="24"/>
          <w:szCs w:val="24"/>
          <w:highlight w:val="none"/>
        </w:rPr>
        <w:t>20</w:t>
      </w:r>
      <w:r>
        <w:rPr>
          <w:rFonts w:hint="eastAsia" w:ascii="仿宋_GB2312" w:hAnsi="宋体" w:eastAsia="仿宋_GB2312"/>
          <w:sz w:val="24"/>
          <w:szCs w:val="24"/>
          <w:highlight w:val="none"/>
          <w:lang w:val="en-US" w:eastAsia="zh-CN"/>
        </w:rPr>
        <w:t>21</w:t>
      </w:r>
      <w:r>
        <w:rPr>
          <w:rFonts w:hint="eastAsia" w:ascii="仿宋_GB2312" w:hAnsi="宋体" w:eastAsia="仿宋_GB2312"/>
          <w:sz w:val="24"/>
          <w:szCs w:val="24"/>
          <w:highlight w:val="none"/>
        </w:rPr>
        <w:t>年我单位政府采购预算安排为</w:t>
      </w:r>
      <w:r>
        <w:rPr>
          <w:rFonts w:hint="eastAsia" w:ascii="仿宋_GB2312" w:hAnsi="宋体" w:eastAsia="仿宋_GB2312"/>
          <w:sz w:val="24"/>
          <w:szCs w:val="24"/>
          <w:highlight w:val="none"/>
          <w:lang w:val="en-US" w:eastAsia="zh-CN"/>
        </w:rPr>
        <w:t>22.1万</w:t>
      </w:r>
      <w:r>
        <w:rPr>
          <w:rFonts w:hint="eastAsia" w:ascii="仿宋_GB2312" w:hAnsi="宋体" w:eastAsia="仿宋_GB2312"/>
          <w:sz w:val="24"/>
          <w:szCs w:val="24"/>
          <w:highlight w:val="none"/>
        </w:rPr>
        <w:t>元，其中</w:t>
      </w:r>
      <w:r>
        <w:rPr>
          <w:rFonts w:hint="eastAsia" w:ascii="仿宋_GB2312" w:hAnsi="宋体" w:eastAsia="仿宋_GB2312"/>
          <w:sz w:val="24"/>
          <w:szCs w:val="24"/>
          <w:highlight w:val="none"/>
          <w:lang w:val="en-US" w:eastAsia="zh-CN"/>
        </w:rPr>
        <w:t>空气能3万元，空调类4.35万元，台桌类1.2万元，音响类1.1万元，办公设备类6.4万元，沙发类0.34万元，计算机类0.5万元，A4纸1.08万元，印刷费0.51万元，电视类2.1万元，安全设备类0.72万元，校园广播0.8万元。</w:t>
      </w:r>
    </w:p>
    <w:p>
      <w:pPr>
        <w:widowControl w:val="0"/>
        <w:tabs>
          <w:tab w:val="left" w:pos="763"/>
        </w:tabs>
        <w:wordWrap/>
        <w:adjustRightInd/>
        <w:snapToGrid w:val="0"/>
        <w:spacing w:line="400" w:lineRule="exact"/>
        <w:ind w:left="0" w:leftChars="0" w:right="0" w:firstLine="480" w:firstLineChars="200"/>
        <w:outlineLvl w:val="9"/>
        <w:rPr>
          <w:rFonts w:hint="eastAsia" w:ascii="黑体" w:hAnsi="宋体" w:eastAsia="黑体" w:cs="宋体"/>
          <w:bCs/>
          <w:sz w:val="24"/>
          <w:szCs w:val="24"/>
        </w:rPr>
      </w:pPr>
      <w:r>
        <w:rPr>
          <w:rFonts w:hint="eastAsia" w:ascii="黑体" w:hAnsi="宋体" w:eastAsia="黑体"/>
          <w:sz w:val="24"/>
          <w:szCs w:val="24"/>
          <w:lang w:val="en-US" w:eastAsia="zh-CN"/>
        </w:rPr>
        <w:t>六、</w:t>
      </w:r>
      <w:r>
        <w:rPr>
          <w:rFonts w:hint="eastAsia" w:ascii="黑体" w:hAnsi="宋体" w:eastAsia="黑体"/>
          <w:sz w:val="24"/>
          <w:szCs w:val="24"/>
        </w:rPr>
        <w:t>专业性较强的</w:t>
      </w:r>
      <w:r>
        <w:rPr>
          <w:rFonts w:hint="eastAsia" w:ascii="黑体" w:hAnsi="宋体" w:eastAsia="黑体" w:cs="宋体"/>
          <w:bCs/>
          <w:sz w:val="24"/>
          <w:szCs w:val="24"/>
        </w:rPr>
        <w:t>名词解释</w:t>
      </w:r>
    </w:p>
    <w:p>
      <w:pPr>
        <w:widowControl w:val="0"/>
        <w:wordWrap/>
        <w:adjustRightInd/>
        <w:snapToGrid w:val="0"/>
        <w:spacing w:line="40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幼儿生活补助是在教育行政部门审批设立的各级各类幼儿园就读的家庭经济困难儿童、孤儿和残疾儿童发放生活补助。</w:t>
      </w:r>
    </w:p>
    <w:p>
      <w:pPr>
        <w:widowControl w:val="0"/>
        <w:wordWrap/>
        <w:adjustRightInd/>
        <w:snapToGrid w:val="0"/>
        <w:spacing w:line="40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widowControl w:val="0"/>
        <w:wordWrap/>
        <w:adjustRightInd/>
        <w:snapToGrid w:val="0"/>
        <w:spacing w:line="400" w:lineRule="exact"/>
        <w:ind w:left="0" w:leftChars="0" w:right="0" w:firstLine="480" w:firstLineChars="200"/>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普惠性民办幼儿园生均财政补助制度：从</w:t>
      </w:r>
      <w:r>
        <w:rPr>
          <w:rFonts w:hint="eastAsia" w:ascii="仿宋_GB2312" w:hAnsi="仿宋_GB2312" w:eastAsia="仿宋_GB2312" w:cs="仿宋_GB2312"/>
          <w:sz w:val="24"/>
          <w:szCs w:val="24"/>
          <w:lang w:val="en-US" w:eastAsia="zh-CN"/>
        </w:rPr>
        <w:t>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widowControl w:val="0"/>
        <w:wordWrap/>
        <w:adjustRightInd/>
        <w:snapToGrid w:val="0"/>
        <w:spacing w:line="40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义务教育“两免一补”：“两免”指免除学杂费、免费提供</w:t>
      </w:r>
      <w:r>
        <w:rPr>
          <w:rFonts w:hint="eastAsia" w:ascii="仿宋_GB2312" w:hAnsi="仿宋_GB2312" w:eastAsia="仿宋_GB2312" w:cs="仿宋_GB2312"/>
          <w:sz w:val="24"/>
          <w:szCs w:val="24"/>
          <w:lang w:eastAsia="zh-CN"/>
        </w:rPr>
        <w:t>教育</w:t>
      </w:r>
      <w:r>
        <w:rPr>
          <w:rFonts w:hint="eastAsia" w:ascii="仿宋_GB2312" w:hAnsi="仿宋_GB2312" w:eastAsia="仿宋_GB2312" w:cs="仿宋_GB2312"/>
          <w:sz w:val="24"/>
          <w:szCs w:val="24"/>
        </w:rPr>
        <w:t>书。 “一补”指我省农村义务教育阶段家庭经济困难</w:t>
      </w:r>
      <w:r>
        <w:rPr>
          <w:rFonts w:hint="eastAsia" w:ascii="仿宋_GB2312" w:hAnsi="仿宋_GB2312" w:eastAsia="仿宋_GB2312" w:cs="仿宋_GB2312"/>
          <w:sz w:val="24"/>
          <w:szCs w:val="24"/>
          <w:lang w:eastAsia="zh-CN"/>
        </w:rPr>
        <w:t>学生</w:t>
      </w:r>
      <w:r>
        <w:rPr>
          <w:rFonts w:hint="eastAsia" w:ascii="仿宋_GB2312" w:hAnsi="仿宋_GB2312" w:eastAsia="仿宋_GB2312" w:cs="仿宋_GB2312"/>
          <w:sz w:val="24"/>
          <w:szCs w:val="24"/>
        </w:rPr>
        <w:t>的生活补助。</w:t>
      </w:r>
    </w:p>
    <w:p>
      <w:pPr>
        <w:pStyle w:val="5"/>
        <w:widowControl w:val="0"/>
        <w:shd w:val="clear" w:color="auto" w:fill="FFFFFF"/>
        <w:wordWrap/>
        <w:adjustRightInd/>
        <w:spacing w:line="40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城乡义务教育阶段中小学公用经费是对城乡义务教育学校（含民办学校）按照不低于基准定额的标准补助公用经费。</w:t>
      </w:r>
    </w:p>
    <w:p>
      <w:pPr>
        <w:pStyle w:val="5"/>
        <w:widowControl w:val="0"/>
        <w:shd w:val="clear" w:color="auto" w:fill="FFFFFF"/>
        <w:wordWrap/>
        <w:adjustRightInd/>
        <w:spacing w:line="400" w:lineRule="exact"/>
        <w:ind w:left="0" w:leftChars="0" w:right="0" w:firstLine="480" w:firstLineChars="200"/>
        <w:outlineLvl w:val="9"/>
        <w:rPr>
          <w:rFonts w:hint="eastAsia" w:ascii="黑体" w:eastAsia="黑体"/>
          <w:sz w:val="24"/>
          <w:szCs w:val="24"/>
        </w:rPr>
      </w:pPr>
      <w:r>
        <w:rPr>
          <w:rFonts w:hint="eastAsia" w:ascii="黑体" w:eastAsia="黑体"/>
          <w:bCs/>
          <w:sz w:val="24"/>
          <w:szCs w:val="24"/>
          <w:lang w:val="en-US" w:eastAsia="zh-CN"/>
        </w:rPr>
        <w:t>七</w:t>
      </w:r>
      <w:r>
        <w:rPr>
          <w:rFonts w:hint="eastAsia" w:ascii="黑体" w:eastAsia="黑体"/>
          <w:bCs/>
          <w:sz w:val="24"/>
          <w:szCs w:val="24"/>
        </w:rPr>
        <w:t>、</w:t>
      </w:r>
      <w:r>
        <w:rPr>
          <w:rFonts w:hint="eastAsia" w:ascii="黑体" w:eastAsia="黑体"/>
          <w:sz w:val="24"/>
          <w:szCs w:val="24"/>
        </w:rPr>
        <w:t>“三公”经费增减变化情况</w:t>
      </w:r>
    </w:p>
    <w:p>
      <w:pPr>
        <w:pStyle w:val="5"/>
        <w:widowControl w:val="0"/>
        <w:shd w:val="clear" w:color="auto" w:fill="FFFFFF"/>
        <w:wordWrap/>
        <w:adjustRightInd/>
        <w:spacing w:line="400" w:lineRule="exact"/>
        <w:ind w:left="0" w:leftChars="0" w:right="0" w:firstLine="480" w:firstLineChars="200"/>
        <w:outlineLvl w:val="9"/>
        <w:rPr>
          <w:rFonts w:hint="eastAsia" w:ascii="仿宋_GB2312" w:hAnsi="仿宋_GB2312" w:eastAsia="仿宋_GB2312" w:cs="仿宋_GB2312"/>
          <w:color w:val="000000"/>
          <w:sz w:val="24"/>
          <w:szCs w:val="24"/>
        </w:rPr>
      </w:pP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年三公经费预算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元，与</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20</w:t>
      </w:r>
      <w:r>
        <w:rPr>
          <w:rFonts w:hint="eastAsia" w:ascii="仿宋_GB2312" w:hAnsi="仿宋_GB2312" w:eastAsia="仿宋_GB2312" w:cs="仿宋_GB2312"/>
          <w:color w:val="000000"/>
          <w:sz w:val="24"/>
          <w:szCs w:val="24"/>
        </w:rPr>
        <w:t>年预算相比无变化。其中</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年因公出国（境）费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元，原因是本年度我校无此项业务支出预算；</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年公务接待费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元，原因是我校无公务接待任务；</w:t>
      </w:r>
      <w:r>
        <w:rPr>
          <w:rFonts w:hint="eastAsia" w:ascii="仿宋_GB2312" w:hAnsi="仿宋_GB2312" w:eastAsia="仿宋_GB2312" w:cs="仿宋_GB2312"/>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年公务用车运行维护费预算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元，原因是我校无公车。</w:t>
      </w:r>
    </w:p>
    <w:p>
      <w:pPr>
        <w:pStyle w:val="5"/>
        <w:widowControl w:val="0"/>
        <w:shd w:val="clear" w:color="auto" w:fill="FFFFFF"/>
        <w:wordWrap/>
        <w:adjustRightInd/>
        <w:spacing w:line="400" w:lineRule="exact"/>
        <w:ind w:left="0" w:leftChars="0" w:right="0" w:firstLine="480" w:firstLineChars="200"/>
        <w:outlineLvl w:val="9"/>
        <w:rPr>
          <w:rFonts w:hint="eastAsia" w:ascii="黑体" w:eastAsia="黑体"/>
          <w:bCs/>
          <w:sz w:val="24"/>
          <w:szCs w:val="24"/>
          <w:lang w:val="en-US" w:eastAsia="zh-CN"/>
        </w:rPr>
      </w:pPr>
      <w:bookmarkStart w:id="0" w:name="_GoBack"/>
      <w:bookmarkEnd w:id="0"/>
      <w:r>
        <w:rPr>
          <w:rFonts w:hint="eastAsia" w:ascii="黑体" w:eastAsia="黑体"/>
          <w:bCs/>
          <w:sz w:val="24"/>
          <w:szCs w:val="24"/>
          <w:lang w:val="en-US" w:eastAsia="zh-CN"/>
        </w:rPr>
        <w:t>八、国有资产占用情况说明</w:t>
      </w:r>
    </w:p>
    <w:p>
      <w:pPr>
        <w:widowControl w:val="0"/>
        <w:wordWrap/>
        <w:adjustRightInd/>
        <w:spacing w:line="40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截止20</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年12月31日，我单位资产总额</w:t>
      </w:r>
      <w:r>
        <w:rPr>
          <w:rFonts w:hint="eastAsia" w:ascii="仿宋_GB2312" w:hAnsi="仿宋_GB2312" w:eastAsia="仿宋_GB2312" w:cs="仿宋_GB2312"/>
          <w:sz w:val="24"/>
          <w:szCs w:val="24"/>
          <w:lang w:val="en-US" w:eastAsia="zh-CN"/>
        </w:rPr>
        <w:t>1366.54</w:t>
      </w:r>
      <w:r>
        <w:rPr>
          <w:rFonts w:hint="eastAsia" w:ascii="仿宋_GB2312" w:hAnsi="仿宋_GB2312" w:eastAsia="仿宋_GB2312" w:cs="仿宋_GB2312"/>
          <w:sz w:val="24"/>
          <w:szCs w:val="24"/>
          <w:lang w:eastAsia="zh-CN"/>
        </w:rPr>
        <w:t>万元</w:t>
      </w:r>
      <w:r>
        <w:rPr>
          <w:rFonts w:hint="eastAsia" w:ascii="仿宋_GB2312" w:hAnsi="仿宋_GB2312" w:eastAsia="仿宋_GB2312" w:cs="仿宋_GB2312"/>
          <w:sz w:val="24"/>
          <w:szCs w:val="24"/>
        </w:rPr>
        <w:t>，其中流动资产</w:t>
      </w:r>
      <w:r>
        <w:rPr>
          <w:rFonts w:hint="eastAsia" w:ascii="仿宋_GB2312" w:hAnsi="仿宋_GB2312" w:eastAsia="仿宋_GB2312" w:cs="仿宋_GB2312"/>
          <w:sz w:val="24"/>
          <w:szCs w:val="24"/>
          <w:lang w:val="en-US" w:eastAsia="zh-CN"/>
        </w:rPr>
        <w:t>43.23</w:t>
      </w:r>
      <w:r>
        <w:rPr>
          <w:rFonts w:hint="eastAsia" w:ascii="仿宋_GB2312" w:hAnsi="仿宋_GB2312" w:eastAsia="仿宋_GB2312" w:cs="仿宋_GB2312"/>
          <w:sz w:val="24"/>
          <w:szCs w:val="24"/>
          <w:lang w:eastAsia="zh-CN"/>
        </w:rPr>
        <w:t>万元</w:t>
      </w:r>
      <w:r>
        <w:rPr>
          <w:rFonts w:hint="eastAsia" w:ascii="仿宋_GB2312" w:hAnsi="仿宋_GB2312" w:eastAsia="仿宋_GB2312" w:cs="仿宋_GB2312"/>
          <w:sz w:val="24"/>
          <w:szCs w:val="24"/>
        </w:rPr>
        <w:t>；固定资产原值</w:t>
      </w:r>
      <w:r>
        <w:rPr>
          <w:rFonts w:hint="eastAsia" w:ascii="仿宋_GB2312" w:hAnsi="仿宋_GB2312" w:eastAsia="仿宋_GB2312" w:cs="仿宋_GB2312"/>
          <w:sz w:val="24"/>
          <w:szCs w:val="24"/>
          <w:lang w:val="en-US" w:eastAsia="zh-CN"/>
        </w:rPr>
        <w:t>2008.47</w:t>
      </w:r>
      <w:r>
        <w:rPr>
          <w:rFonts w:hint="eastAsia" w:ascii="仿宋_GB2312" w:hAnsi="仿宋_GB2312" w:eastAsia="仿宋_GB2312" w:cs="仿宋_GB2312"/>
          <w:sz w:val="24"/>
          <w:szCs w:val="24"/>
          <w:lang w:eastAsia="zh-CN"/>
        </w:rPr>
        <w:t>万元</w:t>
      </w:r>
      <w:r>
        <w:rPr>
          <w:rFonts w:hint="eastAsia" w:ascii="仿宋_GB2312" w:hAnsi="仿宋_GB2312" w:eastAsia="仿宋_GB2312" w:cs="仿宋_GB2312"/>
          <w:sz w:val="24"/>
          <w:szCs w:val="24"/>
        </w:rPr>
        <w:t>，累计折旧</w:t>
      </w:r>
      <w:r>
        <w:rPr>
          <w:rFonts w:hint="eastAsia" w:ascii="仿宋_GB2312" w:hAnsi="仿宋_GB2312" w:eastAsia="仿宋_GB2312" w:cs="仿宋_GB2312"/>
          <w:sz w:val="24"/>
          <w:szCs w:val="24"/>
          <w:lang w:val="en-US" w:eastAsia="zh-CN"/>
        </w:rPr>
        <w:t>685.15</w:t>
      </w:r>
      <w:r>
        <w:rPr>
          <w:rFonts w:hint="eastAsia" w:ascii="仿宋_GB2312" w:hAnsi="仿宋_GB2312" w:eastAsia="仿宋_GB2312" w:cs="仿宋_GB2312"/>
          <w:sz w:val="24"/>
          <w:szCs w:val="24"/>
          <w:lang w:eastAsia="zh-CN"/>
        </w:rPr>
        <w:t>万元</w:t>
      </w:r>
      <w:r>
        <w:rPr>
          <w:rFonts w:hint="eastAsia" w:ascii="仿宋_GB2312" w:hAnsi="仿宋_GB2312" w:eastAsia="仿宋_GB2312" w:cs="仿宋_GB2312"/>
          <w:sz w:val="24"/>
          <w:szCs w:val="24"/>
        </w:rPr>
        <w:t>，固定资产净值为</w:t>
      </w:r>
      <w:r>
        <w:rPr>
          <w:rFonts w:hint="eastAsia" w:ascii="仿宋_GB2312" w:hAnsi="仿宋_GB2312" w:eastAsia="仿宋_GB2312" w:cs="仿宋_GB2312"/>
          <w:sz w:val="24"/>
          <w:szCs w:val="24"/>
          <w:lang w:val="en-US" w:eastAsia="zh-CN"/>
        </w:rPr>
        <w:t>1323.31</w:t>
      </w:r>
      <w:r>
        <w:rPr>
          <w:rFonts w:hint="eastAsia" w:ascii="仿宋_GB2312" w:hAnsi="仿宋_GB2312" w:eastAsia="仿宋_GB2312" w:cs="仿宋_GB2312"/>
          <w:sz w:val="24"/>
          <w:szCs w:val="24"/>
          <w:lang w:eastAsia="zh-CN"/>
        </w:rPr>
        <w:t>万元</w:t>
      </w:r>
      <w:r>
        <w:rPr>
          <w:rFonts w:hint="eastAsia" w:ascii="仿宋_GB2312" w:hAnsi="仿宋_GB2312" w:eastAsia="仿宋_GB2312" w:cs="仿宋_GB2312"/>
          <w:sz w:val="24"/>
          <w:szCs w:val="24"/>
        </w:rPr>
        <w:t>。固定资产当中，房屋构筑物</w:t>
      </w:r>
      <w:r>
        <w:rPr>
          <w:rFonts w:hint="eastAsia" w:ascii="仿宋_GB2312" w:hAnsi="仿宋_GB2312" w:eastAsia="仿宋_GB2312" w:cs="仿宋_GB2312"/>
          <w:sz w:val="24"/>
          <w:szCs w:val="24"/>
          <w:lang w:val="en-US" w:eastAsia="zh-CN"/>
        </w:rPr>
        <w:t>1274.15</w:t>
      </w:r>
      <w:r>
        <w:rPr>
          <w:rFonts w:hint="eastAsia" w:ascii="仿宋_GB2312" w:hAnsi="仿宋_GB2312" w:eastAsia="仿宋_GB2312" w:cs="仿宋_GB2312"/>
          <w:sz w:val="24"/>
          <w:szCs w:val="24"/>
          <w:lang w:eastAsia="zh-CN"/>
        </w:rPr>
        <w:t>万元</w:t>
      </w:r>
      <w:r>
        <w:rPr>
          <w:rFonts w:hint="eastAsia" w:ascii="仿宋_GB2312" w:hAnsi="仿宋_GB2312" w:eastAsia="仿宋_GB2312" w:cs="仿宋_GB2312"/>
          <w:sz w:val="24"/>
          <w:szCs w:val="24"/>
        </w:rPr>
        <w:t>，其他固定资产</w:t>
      </w:r>
      <w:r>
        <w:rPr>
          <w:rFonts w:hint="eastAsia" w:ascii="仿宋_GB2312" w:hAnsi="仿宋_GB2312" w:eastAsia="仿宋_GB2312" w:cs="仿宋_GB2312"/>
          <w:sz w:val="24"/>
          <w:szCs w:val="24"/>
          <w:lang w:val="en-US" w:eastAsia="zh-CN"/>
        </w:rPr>
        <w:t>734.32</w:t>
      </w:r>
      <w:r>
        <w:rPr>
          <w:rFonts w:hint="eastAsia" w:ascii="仿宋_GB2312" w:hAnsi="仿宋_GB2312" w:eastAsia="仿宋_GB2312" w:cs="仿宋_GB2312"/>
          <w:sz w:val="24"/>
          <w:szCs w:val="24"/>
          <w:lang w:eastAsia="zh-CN"/>
        </w:rPr>
        <w:t>万元。</w:t>
      </w:r>
      <w:r>
        <w:rPr>
          <w:rFonts w:hint="eastAsia" w:ascii="仿宋_GB2312" w:hAnsi="仿宋_GB2312" w:eastAsia="仿宋_GB2312" w:cs="仿宋_GB2312"/>
          <w:sz w:val="24"/>
          <w:szCs w:val="24"/>
        </w:rPr>
        <w:t>与上年相比，本年固定资产原值</w:t>
      </w:r>
      <w:r>
        <w:rPr>
          <w:rFonts w:hint="eastAsia" w:ascii="仿宋_GB2312" w:hAnsi="仿宋_GB2312" w:eastAsia="仿宋_GB2312" w:cs="仿宋_GB2312"/>
          <w:sz w:val="24"/>
          <w:szCs w:val="24"/>
          <w:lang w:eastAsia="zh-CN"/>
        </w:rPr>
        <w:t>增长</w:t>
      </w:r>
      <w:r>
        <w:rPr>
          <w:rFonts w:hint="eastAsia" w:ascii="仿宋_GB2312" w:hAnsi="仿宋_GB2312" w:eastAsia="仿宋_GB2312" w:cs="仿宋_GB2312"/>
          <w:sz w:val="24"/>
          <w:szCs w:val="24"/>
          <w:lang w:val="en-US" w:eastAsia="zh-CN"/>
        </w:rPr>
        <w:t xml:space="preserve"> 107.95万元</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val="en-US" w:eastAsia="zh-CN"/>
        </w:rPr>
        <w:t>房屋建筑物及设备购置</w:t>
      </w:r>
      <w:r>
        <w:rPr>
          <w:rFonts w:hint="eastAsia" w:ascii="仿宋_GB2312" w:hAnsi="仿宋_GB2312" w:eastAsia="仿宋_GB2312" w:cs="仿宋_GB2312"/>
          <w:sz w:val="24"/>
          <w:szCs w:val="24"/>
        </w:rPr>
        <w:t>。</w:t>
      </w:r>
    </w:p>
    <w:p>
      <w:pPr>
        <w:widowControl w:val="0"/>
        <w:wordWrap/>
        <w:adjustRightInd/>
        <w:spacing w:line="40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年预计新增采购固定资产</w:t>
      </w:r>
      <w:r>
        <w:rPr>
          <w:rFonts w:hint="eastAsia" w:ascii="仿宋_GB2312" w:hAnsi="宋体" w:eastAsia="仿宋_GB2312"/>
          <w:sz w:val="24"/>
          <w:szCs w:val="24"/>
          <w:highlight w:val="none"/>
          <w:lang w:val="en-US" w:eastAsia="zh-CN"/>
        </w:rPr>
        <w:t>20.46万</w:t>
      </w:r>
      <w:r>
        <w:rPr>
          <w:rFonts w:hint="eastAsia" w:ascii="仿宋_GB2312" w:hAnsi="宋体" w:eastAsia="仿宋_GB2312"/>
          <w:sz w:val="24"/>
          <w:szCs w:val="24"/>
          <w:highlight w:val="none"/>
        </w:rPr>
        <w:t>元，其中</w:t>
      </w:r>
      <w:r>
        <w:rPr>
          <w:rFonts w:hint="eastAsia" w:ascii="仿宋_GB2312" w:hAnsi="宋体" w:eastAsia="仿宋_GB2312"/>
          <w:sz w:val="24"/>
          <w:szCs w:val="24"/>
          <w:highlight w:val="none"/>
          <w:lang w:val="en-US" w:eastAsia="zh-CN"/>
        </w:rPr>
        <w:t>空气能3万元，空调类4.35万元，台桌类1.2万元，音响类1.1万元，办公设备类6.35万元，沙发类0.34万元，计算机类0.5万元，电视类2.1万元，安全设备类0.72万元，校园广播0.8万元。</w:t>
      </w:r>
    </w:p>
    <w:p>
      <w:pPr>
        <w:pStyle w:val="5"/>
        <w:widowControl w:val="0"/>
        <w:shd w:val="clear" w:color="auto" w:fill="FFFFFF"/>
        <w:wordWrap/>
        <w:adjustRightInd/>
        <w:spacing w:line="400" w:lineRule="exact"/>
        <w:ind w:left="0" w:leftChars="0" w:right="0" w:firstLine="480" w:firstLineChars="200"/>
        <w:outlineLvl w:val="9"/>
        <w:rPr>
          <w:rFonts w:hint="eastAsia" w:ascii="黑体" w:eastAsia="黑体"/>
          <w:bCs/>
          <w:sz w:val="24"/>
          <w:szCs w:val="24"/>
          <w:lang w:val="en-US" w:eastAsia="zh-CN"/>
        </w:rPr>
      </w:pPr>
      <w:r>
        <w:rPr>
          <w:rFonts w:hint="eastAsia" w:ascii="黑体" w:eastAsia="黑体"/>
          <w:bCs/>
          <w:sz w:val="24"/>
          <w:szCs w:val="24"/>
          <w:lang w:val="en-US" w:eastAsia="zh-CN"/>
        </w:rPr>
        <w:t>九、重点项目预算的绩效目标情况说明</w:t>
      </w:r>
    </w:p>
    <w:p>
      <w:pPr>
        <w:pStyle w:val="4"/>
        <w:widowControl w:val="0"/>
        <w:wordWrap/>
        <w:adjustRightInd/>
        <w:snapToGrid w:val="0"/>
        <w:spacing w:line="400" w:lineRule="exact"/>
        <w:ind w:left="0" w:leftChars="0" w:right="0" w:firstLine="480" w:firstLineChars="200"/>
        <w:textAlignment w:val="baseline"/>
        <w:outlineLvl w:val="9"/>
        <w:rPr>
          <w:rFonts w:hint="eastAsia" w:ascii="仿宋_GB2312" w:hAnsi="宋体" w:eastAsia="仿宋_GB2312" w:cs="宋体"/>
          <w:kern w:val="44"/>
          <w:sz w:val="24"/>
          <w:szCs w:val="24"/>
        </w:rPr>
      </w:pPr>
      <w:r>
        <w:rPr>
          <w:rFonts w:hint="eastAsia" w:ascii="仿宋_GB2312" w:hAnsi="宋体" w:eastAsia="仿宋_GB2312" w:cs="宋体"/>
          <w:kern w:val="44"/>
          <w:sz w:val="24"/>
          <w:szCs w:val="24"/>
        </w:rPr>
        <w:t>本年度无重点项目预算的绩效目标。</w:t>
      </w:r>
    </w:p>
    <w:p>
      <w:pPr>
        <w:pStyle w:val="4"/>
        <w:widowControl w:val="0"/>
        <w:wordWrap/>
        <w:adjustRightInd/>
        <w:snapToGrid w:val="0"/>
        <w:spacing w:line="400" w:lineRule="exact"/>
        <w:ind w:left="0" w:leftChars="0" w:right="0" w:firstLine="480" w:firstLineChars="200"/>
        <w:textAlignment w:val="baseline"/>
        <w:outlineLvl w:val="9"/>
        <w:rPr>
          <w:rFonts w:hint="eastAsia" w:ascii="仿宋_GB2312" w:hAnsi="宋体" w:eastAsia="仿宋_GB2312" w:cs="宋体"/>
          <w:kern w:val="44"/>
          <w:sz w:val="24"/>
          <w:szCs w:val="24"/>
        </w:rPr>
      </w:pPr>
    </w:p>
    <w:p>
      <w:pPr>
        <w:widowControl w:val="0"/>
        <w:wordWrap/>
        <w:adjustRightInd/>
        <w:spacing w:line="400" w:lineRule="exact"/>
        <w:ind w:left="0" w:leftChars="0" w:right="0" w:firstLine="480" w:firstLineChars="200"/>
        <w:outlineLvl w:val="9"/>
        <w:rPr>
          <w:rFonts w:hint="eastAsia" w:ascii="仿宋_GB2312" w:hAnsi="宋体" w:eastAsia="仿宋_GB2312" w:cs="宋体"/>
          <w:sz w:val="24"/>
          <w:szCs w:val="24"/>
          <w:lang w:val="en-US" w:eastAsia="zh-CN"/>
        </w:rPr>
      </w:pPr>
      <w:r>
        <w:rPr>
          <w:rFonts w:hint="eastAsia" w:ascii="仿宋_GB2312" w:hAnsi="宋体" w:eastAsia="仿宋_GB2312" w:cs="宋体"/>
          <w:sz w:val="24"/>
          <w:szCs w:val="24"/>
        </w:rPr>
        <w:t>单位负责人：</w:t>
      </w:r>
      <w:r>
        <w:rPr>
          <w:rFonts w:hint="eastAsia" w:ascii="仿宋_GB2312" w:hAnsi="宋体" w:eastAsia="仿宋_GB2312" w:cs="宋体"/>
          <w:sz w:val="24"/>
          <w:szCs w:val="24"/>
          <w:lang w:val="en-US" w:eastAsia="zh-CN"/>
        </w:rPr>
        <w:t xml:space="preserve">杨红星    </w:t>
      </w:r>
      <w:r>
        <w:rPr>
          <w:rFonts w:hint="eastAsia" w:ascii="仿宋_GB2312" w:hAnsi="宋体" w:eastAsia="仿宋_GB2312" w:cs="宋体"/>
          <w:sz w:val="24"/>
          <w:szCs w:val="24"/>
        </w:rPr>
        <w:t>财务负责人：</w:t>
      </w:r>
      <w:r>
        <w:rPr>
          <w:rFonts w:hint="eastAsia" w:ascii="仿宋_GB2312" w:hAnsi="宋体" w:eastAsia="仿宋_GB2312" w:cs="宋体"/>
          <w:sz w:val="24"/>
          <w:szCs w:val="24"/>
          <w:lang w:val="en-US" w:eastAsia="zh-CN"/>
        </w:rPr>
        <w:t>寇  强</w:t>
      </w:r>
    </w:p>
    <w:p>
      <w:pPr>
        <w:widowControl w:val="0"/>
        <w:wordWrap/>
        <w:adjustRightInd/>
        <w:spacing w:line="400" w:lineRule="exact"/>
        <w:ind w:left="0" w:leftChars="0" w:right="0" w:firstLine="480" w:firstLineChars="200"/>
        <w:outlineLvl w:val="9"/>
        <w:rPr>
          <w:b/>
          <w:bCs/>
        </w:rPr>
      </w:pPr>
      <w:r>
        <w:rPr>
          <w:rFonts w:hint="eastAsia" w:ascii="仿宋_GB2312" w:hAnsi="宋体" w:eastAsia="仿宋_GB2312" w:cs="宋体"/>
          <w:sz w:val="24"/>
          <w:szCs w:val="24"/>
        </w:rPr>
        <w:t>填  报  人：</w:t>
      </w:r>
      <w:r>
        <w:rPr>
          <w:rFonts w:hint="eastAsia" w:ascii="仿宋_GB2312" w:hAnsi="宋体" w:eastAsia="仿宋_GB2312" w:cs="宋体"/>
          <w:sz w:val="24"/>
          <w:szCs w:val="24"/>
          <w:lang w:val="en-US" w:eastAsia="zh-CN"/>
        </w:rPr>
        <w:t xml:space="preserve">杨建龙    </w:t>
      </w:r>
      <w:r>
        <w:rPr>
          <w:rFonts w:hint="eastAsia" w:ascii="仿宋_GB2312" w:hAnsi="宋体" w:eastAsia="仿宋_GB2312" w:cs="宋体"/>
          <w:sz w:val="24"/>
          <w:szCs w:val="24"/>
        </w:rPr>
        <w:t>联 系 电话：</w:t>
      </w:r>
      <w:r>
        <w:rPr>
          <w:rFonts w:hint="eastAsia" w:ascii="仿宋_GB2312" w:hAnsi="宋体" w:eastAsia="仿宋_GB2312" w:cs="宋体"/>
          <w:sz w:val="24"/>
          <w:szCs w:val="24"/>
          <w:lang w:val="en-US" w:eastAsia="zh-CN"/>
        </w:rPr>
        <w:t>1873599952</w:t>
      </w:r>
    </w:p>
    <w:sectPr>
      <w:pgSz w:w="16840" w:h="11915" w:orient="landscape"/>
      <w:pgMar w:top="1361" w:right="1587" w:bottom="1361"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234169"/>
    <w:rsid w:val="00246DC4"/>
    <w:rsid w:val="06876E31"/>
    <w:rsid w:val="07F6399B"/>
    <w:rsid w:val="0A4A3D4A"/>
    <w:rsid w:val="0B212CDB"/>
    <w:rsid w:val="0ED3560D"/>
    <w:rsid w:val="0F3E36B6"/>
    <w:rsid w:val="195C6E4A"/>
    <w:rsid w:val="1A694B6A"/>
    <w:rsid w:val="1CF578BB"/>
    <w:rsid w:val="1E2B5508"/>
    <w:rsid w:val="21787965"/>
    <w:rsid w:val="24674A7D"/>
    <w:rsid w:val="2A4A105E"/>
    <w:rsid w:val="2AA77BD6"/>
    <w:rsid w:val="2C090686"/>
    <w:rsid w:val="2C5959A5"/>
    <w:rsid w:val="2C5968B4"/>
    <w:rsid w:val="37077D6C"/>
    <w:rsid w:val="39C715D8"/>
    <w:rsid w:val="3BD317B6"/>
    <w:rsid w:val="4E195985"/>
    <w:rsid w:val="52795AC7"/>
    <w:rsid w:val="529B7A3A"/>
    <w:rsid w:val="56AD65C8"/>
    <w:rsid w:val="5B017F67"/>
    <w:rsid w:val="5D8A3D08"/>
    <w:rsid w:val="62332C7B"/>
    <w:rsid w:val="70237527"/>
    <w:rsid w:val="71E54B77"/>
    <w:rsid w:val="739606F5"/>
    <w:rsid w:val="7ED1278A"/>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2"/>
    <w:basedOn w:val="1"/>
    <w:qFormat/>
    <w:uiPriority w:val="0"/>
    <w:pPr>
      <w:spacing w:after="120" w:line="480" w:lineRule="auto"/>
    </w:pPr>
    <w:rPr>
      <w:rFonts w:ascii="Calibri" w:hAnsi="Calibri" w:cs="黑体"/>
      <w:szCs w:val="22"/>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styleId="7">
    <w:name w:val="page number"/>
    <w:basedOn w:val="6"/>
    <w:uiPriority w:val="0"/>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6104</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2021-03-24T02:07:00Z</cp:lastPrinted>
  <dcterms:modified xsi:type="dcterms:W3CDTF">2021-04-27T09:05:46Z</dcterms:modified>
  <dc:title>基 本 情 况 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379D092D34DF425C9D753B8EE31C19AF</vt:lpwstr>
  </property>
</Properties>
</file>