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80" w:lineRule="exact"/>
        <w:ind w:left="0" w:leftChars="0" w:right="0"/>
        <w:jc w:val="center"/>
        <w:textAlignment w:val="auto"/>
        <w:outlineLvl w:val="9"/>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lang w:eastAsia="zh-CN"/>
        </w:rPr>
        <w:t>永济市惠民幼儿园</w:t>
      </w:r>
    </w:p>
    <w:p>
      <w:pPr>
        <w:pStyle w:val="6"/>
        <w:widowControl w:val="0"/>
        <w:wordWrap/>
        <w:adjustRightInd/>
        <w:snapToGrid/>
        <w:spacing w:line="480" w:lineRule="exact"/>
        <w:ind w:left="864" w:leftChars="0" w:right="0" w:hanging="864" w:hangingChars="240"/>
        <w:jc w:val="center"/>
        <w:textAlignment w:val="auto"/>
        <w:outlineLvl w:val="9"/>
        <w:rPr>
          <w:rFonts w:hint="eastAsia"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ascii="方正小标宋简体" w:hAnsi="宋体" w:eastAsia="方正小标宋简体"/>
          <w:sz w:val="36"/>
          <w:szCs w:val="36"/>
          <w:lang w:eastAsia="zh-CN"/>
        </w:rPr>
        <w:t>公开</w:t>
      </w:r>
      <w:r>
        <w:rPr>
          <w:rFonts w:hint="eastAsia" w:ascii="方正小标宋简体" w:hAnsi="宋体" w:eastAsia="方正小标宋简体"/>
          <w:sz w:val="36"/>
          <w:szCs w:val="36"/>
        </w:rPr>
        <w:t>说明</w:t>
      </w:r>
    </w:p>
    <w:p>
      <w:pPr>
        <w:pStyle w:val="6"/>
        <w:widowControl w:val="0"/>
        <w:wordWrap/>
        <w:adjustRightInd/>
        <w:snapToGrid/>
        <w:spacing w:line="480" w:lineRule="exact"/>
        <w:ind w:left="672" w:leftChars="0" w:right="0" w:hanging="672" w:hangingChars="240"/>
        <w:textAlignment w:val="auto"/>
        <w:outlineLvl w:val="9"/>
        <w:rPr>
          <w:rFonts w:hint="eastAsia" w:ascii="黑体" w:hAnsi="黑体" w:eastAsia="黑体"/>
          <w:bCs/>
          <w:sz w:val="28"/>
          <w:szCs w:val="28"/>
        </w:rPr>
      </w:pPr>
    </w:p>
    <w:p>
      <w:pPr>
        <w:pStyle w:val="6"/>
        <w:widowControl w:val="0"/>
        <w:wordWrap/>
        <w:adjustRightInd/>
        <w:snapToGrid/>
        <w:spacing w:line="48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一、单位主要职责及机构设置情况</w:t>
      </w:r>
    </w:p>
    <w:p>
      <w:pPr>
        <w:widowControl w:val="0"/>
        <w:numPr>
          <w:ilvl w:val="0"/>
          <w:numId w:val="1"/>
        </w:numPr>
        <w:wordWrap/>
        <w:adjustRightInd/>
        <w:snapToGrid/>
        <w:spacing w:line="48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pacing w:line="360" w:lineRule="auto"/>
        <w:ind w:left="0" w:leftChars="0" w:right="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惠民幼儿园隶属永济市教科局的</w:t>
      </w:r>
      <w:r>
        <w:rPr>
          <w:rFonts w:hint="eastAsia" w:ascii="仿宋_GB2312" w:hAnsi="仿宋_GB2312" w:eastAsia="仿宋_GB2312" w:cs="仿宋_GB2312"/>
          <w:sz w:val="24"/>
          <w:szCs w:val="24"/>
        </w:rPr>
        <w:t>全额事业单位，位于</w:t>
      </w:r>
      <w:r>
        <w:rPr>
          <w:rFonts w:hint="eastAsia" w:ascii="仿宋_GB2312" w:hAnsi="仿宋_GB2312" w:eastAsia="仿宋_GB2312" w:cs="仿宋_GB2312"/>
          <w:sz w:val="24"/>
          <w:szCs w:val="24"/>
          <w:lang w:eastAsia="zh-CN"/>
        </w:rPr>
        <w:t>蒲惠路东侧</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教职工</w:t>
      </w:r>
      <w:r>
        <w:rPr>
          <w:rFonts w:hint="eastAsia" w:ascii="仿宋_GB2312" w:hAnsi="仿宋_GB2312" w:eastAsia="仿宋_GB2312" w:cs="仿宋_GB2312"/>
          <w:sz w:val="24"/>
          <w:szCs w:val="24"/>
        </w:rPr>
        <w:t>编制</w:t>
      </w:r>
      <w:r>
        <w:rPr>
          <w:rFonts w:hint="eastAsia" w:ascii="仿宋_GB2312" w:hAnsi="仿宋_GB2312" w:eastAsia="仿宋_GB2312" w:cs="仿宋_GB2312"/>
          <w:sz w:val="24"/>
          <w:szCs w:val="24"/>
          <w:lang w:val="en-US" w:eastAsia="zh-CN"/>
        </w:rPr>
        <w:t>30</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实有人数</w:t>
      </w:r>
      <w:r>
        <w:rPr>
          <w:rFonts w:hint="eastAsia" w:ascii="仿宋_GB2312" w:hAnsi="仿宋_GB2312" w:eastAsia="仿宋_GB2312" w:cs="仿宋_GB2312"/>
          <w:sz w:val="24"/>
          <w:szCs w:val="24"/>
          <w:lang w:val="en-US" w:eastAsia="zh-CN"/>
        </w:rPr>
        <w:t>27人。</w:t>
      </w:r>
    </w:p>
    <w:p>
      <w:pPr>
        <w:pStyle w:val="6"/>
        <w:widowControl w:val="0"/>
        <w:numPr>
          <w:ilvl w:val="0"/>
          <w:numId w:val="1"/>
        </w:numPr>
        <w:tabs>
          <w:tab w:val="left" w:pos="988"/>
          <w:tab w:val="left" w:pos="1093"/>
          <w:tab w:val="left" w:pos="1153"/>
          <w:tab w:val="left" w:pos="1168"/>
        </w:tabs>
        <w:wordWrap/>
        <w:adjustRightInd/>
        <w:spacing w:line="360" w:lineRule="auto"/>
        <w:ind w:left="0" w:leftChars="0" w:right="0" w:firstLine="480" w:firstLineChars="200"/>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pStyle w:val="6"/>
        <w:widowControl w:val="0"/>
        <w:numPr>
          <w:ilvl w:val="0"/>
          <w:numId w:val="0"/>
        </w:numPr>
        <w:tabs>
          <w:tab w:val="left" w:pos="988"/>
          <w:tab w:val="left" w:pos="1093"/>
          <w:tab w:val="left" w:pos="1153"/>
          <w:tab w:val="left" w:pos="1168"/>
        </w:tabs>
        <w:wordWrap/>
        <w:adjustRightInd/>
        <w:spacing w:line="360" w:lineRule="auto"/>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我园</w:t>
      </w:r>
      <w:r>
        <w:rPr>
          <w:rFonts w:hint="eastAsia" w:ascii="仿宋_GB2312" w:hAnsi="仿宋_GB2312" w:eastAsia="仿宋_GB2312" w:cs="仿宋_GB2312"/>
          <w:sz w:val="24"/>
          <w:szCs w:val="24"/>
        </w:rPr>
        <w:t>贯彻国家的教育方针，按照保育与教育相结合的原则，为三至六岁的适龄幼儿提供全面发展的学前教育环境。</w:t>
      </w:r>
    </w:p>
    <w:p>
      <w:pPr>
        <w:widowControl w:val="0"/>
        <w:numPr>
          <w:ilvl w:val="0"/>
          <w:numId w:val="2"/>
        </w:numPr>
        <w:wordWrap/>
        <w:adjustRightInd/>
        <w:spacing w:line="360" w:lineRule="auto"/>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idowControl w:val="0"/>
        <w:wordWrap/>
        <w:adjustRightInd/>
        <w:spacing w:line="360" w:lineRule="auto"/>
        <w:ind w:left="0" w:leftChars="0"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我单位机构设为：办公室、</w:t>
      </w:r>
      <w:r>
        <w:rPr>
          <w:rFonts w:hint="eastAsia" w:ascii="仿宋_GB2312" w:hAnsi="仿宋_GB2312" w:eastAsia="仿宋_GB2312" w:cs="仿宋_GB2312"/>
          <w:sz w:val="24"/>
          <w:szCs w:val="24"/>
          <w:lang w:eastAsia="zh-CN"/>
        </w:rPr>
        <w:t>财务室、卫生保健室、教研室。</w:t>
      </w:r>
    </w:p>
    <w:p>
      <w:pPr>
        <w:pStyle w:val="7"/>
        <w:widowControl w:val="0"/>
        <w:wordWrap/>
        <w:adjustRightInd/>
        <w:spacing w:line="360" w:lineRule="auto"/>
        <w:ind w:left="0" w:leftChars="0"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rPr>
        <w:t>二、本级预算情况</w:t>
      </w:r>
    </w:p>
    <w:p>
      <w:pPr>
        <w:pStyle w:val="6"/>
        <w:widowControl w:val="0"/>
        <w:wordWrap/>
        <w:adjustRightInd/>
        <w:spacing w:line="360" w:lineRule="auto"/>
        <w:ind w:left="0" w:leftChars="0" w:right="0" w:firstLine="480" w:firstLineChars="200"/>
        <w:textAlignment w:val="auto"/>
        <w:outlineLvl w:val="9"/>
        <w:rPr>
          <w:rFonts w:ascii="仿宋_GB2312" w:eastAsia="仿宋_GB2312"/>
          <w:sz w:val="24"/>
          <w:szCs w:val="24"/>
        </w:rPr>
      </w:pPr>
      <w:r>
        <w:rPr>
          <w:rFonts w:hint="eastAsia" w:ascii="仿宋_GB2312" w:hAnsi="宋体" w:eastAsia="仿宋_GB2312"/>
          <w:sz w:val="24"/>
          <w:szCs w:val="24"/>
        </w:rPr>
        <w:t>我单位为全额事业单位，属于</w:t>
      </w:r>
      <w:r>
        <w:rPr>
          <w:rFonts w:hint="eastAsia" w:ascii="仿宋_GB2312" w:hAnsi="宋体" w:eastAsia="仿宋_GB2312"/>
          <w:sz w:val="24"/>
          <w:szCs w:val="24"/>
          <w:lang w:val="en-US" w:eastAsia="zh-CN"/>
        </w:rPr>
        <w:t>二</w:t>
      </w:r>
      <w:r>
        <w:rPr>
          <w:rFonts w:hint="eastAsia" w:ascii="仿宋_GB2312" w:hAnsi="宋体" w:eastAsia="仿宋_GB2312"/>
          <w:sz w:val="24"/>
          <w:szCs w:val="24"/>
        </w:rPr>
        <w:t>级独立核算单位。</w:t>
      </w: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年我单位预算收入安排为</w:t>
      </w:r>
      <w:r>
        <w:rPr>
          <w:rFonts w:hint="eastAsia" w:ascii="仿宋_GB2312" w:hAnsi="宋体" w:eastAsia="仿宋_GB2312"/>
          <w:sz w:val="24"/>
          <w:szCs w:val="24"/>
          <w:lang w:val="en-US" w:eastAsia="zh-CN"/>
        </w:rPr>
        <w:t>380.39万</w:t>
      </w:r>
      <w:r>
        <w:rPr>
          <w:rFonts w:hint="eastAsia" w:ascii="仿宋_GB2312" w:hAnsi="宋体" w:eastAsia="仿宋_GB2312"/>
          <w:sz w:val="24"/>
          <w:szCs w:val="24"/>
        </w:rPr>
        <w:t>元，全部为财政拨款。根据收支平衡的原则，预算支出安排为</w:t>
      </w:r>
      <w:r>
        <w:rPr>
          <w:rFonts w:hint="eastAsia" w:ascii="仿宋_GB2312" w:hAnsi="宋体" w:eastAsia="仿宋_GB2312"/>
          <w:sz w:val="24"/>
          <w:szCs w:val="24"/>
          <w:lang w:val="en-US" w:eastAsia="zh-CN"/>
        </w:rPr>
        <w:t>380.39万</w:t>
      </w:r>
      <w:r>
        <w:rPr>
          <w:rFonts w:hint="eastAsia" w:ascii="仿宋_GB2312" w:hAnsi="宋体" w:eastAsia="仿宋_GB2312"/>
          <w:sz w:val="24"/>
          <w:szCs w:val="24"/>
        </w:rPr>
        <w:t>元（其中工资福利支出为</w:t>
      </w:r>
      <w:r>
        <w:rPr>
          <w:rFonts w:hint="eastAsia" w:ascii="仿宋_GB2312" w:hAnsi="宋体" w:eastAsia="仿宋_GB2312"/>
          <w:sz w:val="24"/>
          <w:szCs w:val="24"/>
          <w:lang w:val="en-US" w:eastAsia="zh-CN"/>
        </w:rPr>
        <w:t>305.78万</w:t>
      </w:r>
      <w:r>
        <w:rPr>
          <w:rFonts w:hint="eastAsia" w:ascii="仿宋_GB2312" w:hAnsi="宋体" w:eastAsia="仿宋_GB2312"/>
          <w:sz w:val="24"/>
          <w:szCs w:val="24"/>
        </w:rPr>
        <w:t>元，对个人和家庭的补助为</w:t>
      </w:r>
      <w:r>
        <w:rPr>
          <w:rFonts w:hint="eastAsia" w:ascii="仿宋_GB2312" w:hAnsi="宋体" w:eastAsia="仿宋_GB2312"/>
          <w:sz w:val="24"/>
          <w:szCs w:val="24"/>
          <w:lang w:val="en-US" w:eastAsia="zh-CN"/>
        </w:rPr>
        <w:t>0万</w:t>
      </w:r>
      <w:r>
        <w:rPr>
          <w:rFonts w:hint="eastAsia" w:ascii="仿宋_GB2312" w:hAnsi="宋体" w:eastAsia="仿宋_GB2312"/>
          <w:sz w:val="24"/>
          <w:szCs w:val="24"/>
        </w:rPr>
        <w:t>元，商品服务支出为</w:t>
      </w:r>
      <w:r>
        <w:rPr>
          <w:rFonts w:hint="eastAsia" w:ascii="仿宋_GB2312" w:hAnsi="宋体" w:eastAsia="仿宋_GB2312"/>
          <w:sz w:val="24"/>
          <w:szCs w:val="24"/>
          <w:lang w:val="en-US" w:eastAsia="zh-CN"/>
        </w:rPr>
        <w:t>53.82万</w:t>
      </w:r>
      <w:r>
        <w:rPr>
          <w:rFonts w:hint="eastAsia" w:ascii="仿宋_GB2312" w:hAnsi="宋体" w:eastAsia="仿宋_GB2312"/>
          <w:sz w:val="24"/>
          <w:szCs w:val="24"/>
        </w:rPr>
        <w:t>元，项目支出为</w:t>
      </w:r>
      <w:r>
        <w:rPr>
          <w:rFonts w:hint="eastAsia" w:ascii="仿宋_GB2312" w:hAnsi="宋体" w:eastAsia="仿宋_GB2312"/>
          <w:sz w:val="24"/>
          <w:szCs w:val="24"/>
          <w:lang w:val="en-US" w:eastAsia="zh-CN"/>
        </w:rPr>
        <w:t>20.79万</w:t>
      </w:r>
      <w:r>
        <w:rPr>
          <w:rFonts w:hint="eastAsia" w:ascii="仿宋_GB2312" w:hAnsi="宋体" w:eastAsia="仿宋_GB2312"/>
          <w:sz w:val="24"/>
          <w:szCs w:val="24"/>
        </w:rPr>
        <w:t>元</w:t>
      </w:r>
      <w:r>
        <w:rPr>
          <w:rFonts w:hint="eastAsia" w:ascii="仿宋_GB2312" w:hAnsi="宋体" w:eastAsia="仿宋_GB2312"/>
          <w:sz w:val="24"/>
          <w:szCs w:val="24"/>
          <w:lang w:eastAsia="zh-CN"/>
        </w:rPr>
        <w:t>）</w:t>
      </w:r>
      <w:r>
        <w:rPr>
          <w:rFonts w:hint="eastAsia" w:ascii="仿宋_GB2312" w:hAnsi="宋体" w:eastAsia="仿宋_GB2312"/>
          <w:sz w:val="24"/>
          <w:szCs w:val="24"/>
        </w:rPr>
        <w:t>。</w:t>
      </w:r>
    </w:p>
    <w:p>
      <w:pPr>
        <w:pStyle w:val="6"/>
        <w:widowControl w:val="0"/>
        <w:wordWrap/>
        <w:adjustRightIn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三、预算收支增减变化及情况说明</w:t>
      </w:r>
    </w:p>
    <w:p>
      <w:pPr>
        <w:widowControl w:val="0"/>
        <w:wordWrap/>
        <w:adjustRightInd/>
        <w:spacing w:line="360" w:lineRule="auto"/>
        <w:ind w:left="0" w:leftChars="0" w:right="0" w:firstLine="480" w:firstLineChars="200"/>
        <w:textAlignment w:val="auto"/>
        <w:outlineLvl w:val="9"/>
        <w:rPr>
          <w:rFonts w:ascii="宋体" w:hAnsi="宋体" w:eastAsia="仿宋_GB2312"/>
          <w:b/>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年收入预算为</w:t>
      </w:r>
      <w:r>
        <w:rPr>
          <w:rFonts w:hint="eastAsia" w:ascii="仿宋_GB2312" w:hAnsi="宋体" w:eastAsia="仿宋_GB2312"/>
          <w:sz w:val="24"/>
          <w:szCs w:val="24"/>
          <w:lang w:val="en-US" w:eastAsia="zh-CN"/>
        </w:rPr>
        <w:t>380.39万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41%</w:t>
      </w:r>
      <w:r>
        <w:rPr>
          <w:rFonts w:hint="eastAsia" w:ascii="仿宋_GB2312" w:hAnsi="宋体" w:eastAsia="仿宋_GB2312"/>
          <w:sz w:val="24"/>
          <w:szCs w:val="24"/>
        </w:rPr>
        <w:t>。支出预算为</w:t>
      </w:r>
      <w:r>
        <w:rPr>
          <w:rFonts w:hint="eastAsia" w:ascii="仿宋_GB2312" w:hAnsi="宋体" w:eastAsia="仿宋_GB2312"/>
          <w:sz w:val="24"/>
          <w:szCs w:val="24"/>
          <w:lang w:val="en-US" w:eastAsia="zh-CN"/>
        </w:rPr>
        <w:t>380.39万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41%</w:t>
      </w:r>
      <w:r>
        <w:rPr>
          <w:rFonts w:hint="eastAsia" w:ascii="仿宋_GB2312" w:hAnsi="宋体" w:eastAsia="仿宋_GB2312"/>
          <w:sz w:val="24"/>
          <w:szCs w:val="24"/>
        </w:rPr>
        <w:t>，其中工资福利支出为</w:t>
      </w:r>
      <w:r>
        <w:rPr>
          <w:rFonts w:hint="eastAsia" w:ascii="仿宋_GB2312" w:hAnsi="宋体" w:eastAsia="仿宋_GB2312"/>
          <w:sz w:val="24"/>
          <w:szCs w:val="24"/>
          <w:lang w:val="en-US" w:eastAsia="zh-CN"/>
        </w:rPr>
        <w:t>305.78万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357%</w:t>
      </w:r>
      <w:r>
        <w:rPr>
          <w:rFonts w:hint="eastAsia" w:ascii="仿宋_GB2312" w:hAnsi="宋体" w:eastAsia="仿宋_GB2312"/>
          <w:sz w:val="24"/>
          <w:szCs w:val="24"/>
        </w:rPr>
        <w:t>，原因是</w:t>
      </w:r>
      <w:r>
        <w:rPr>
          <w:rFonts w:hint="eastAsia" w:ascii="仿宋_GB2312" w:hAnsi="宋体" w:eastAsia="仿宋_GB2312"/>
          <w:sz w:val="24"/>
          <w:szCs w:val="24"/>
          <w:lang w:val="en-US" w:eastAsia="zh-CN"/>
        </w:rPr>
        <w:t>人员增加</w:t>
      </w:r>
      <w:r>
        <w:rPr>
          <w:rFonts w:hint="eastAsia" w:ascii="仿宋_GB2312" w:hAnsi="宋体" w:eastAsia="仿宋_GB2312"/>
          <w:sz w:val="24"/>
          <w:szCs w:val="24"/>
        </w:rPr>
        <w:t>；对个人和家庭的补助为</w:t>
      </w:r>
      <w:r>
        <w:rPr>
          <w:rFonts w:hint="eastAsia" w:ascii="仿宋_GB2312" w:hAnsi="宋体" w:eastAsia="仿宋_GB2312"/>
          <w:sz w:val="24"/>
          <w:szCs w:val="24"/>
          <w:lang w:val="en-US" w:eastAsia="zh-CN"/>
        </w:rPr>
        <w:t>0万</w:t>
      </w:r>
      <w:r>
        <w:rPr>
          <w:rFonts w:hint="eastAsia" w:ascii="仿宋_GB2312" w:hAnsi="宋体" w:eastAsia="仿宋_GB2312"/>
          <w:sz w:val="24"/>
          <w:szCs w:val="24"/>
        </w:rPr>
        <w:t>元，</w:t>
      </w:r>
      <w:r>
        <w:rPr>
          <w:rFonts w:hint="eastAsia" w:ascii="仿宋_GB2312" w:hAnsi="宋体" w:eastAsia="仿宋_GB2312"/>
          <w:sz w:val="24"/>
          <w:szCs w:val="24"/>
          <w:lang w:eastAsia="zh-CN"/>
        </w:rPr>
        <w:t>与上年预算持平；</w:t>
      </w:r>
      <w:r>
        <w:rPr>
          <w:rFonts w:hint="eastAsia" w:ascii="仿宋_GB2312" w:hAnsi="宋体" w:eastAsia="仿宋_GB2312"/>
          <w:sz w:val="24"/>
          <w:szCs w:val="24"/>
        </w:rPr>
        <w:t>商品服务支出为</w:t>
      </w:r>
      <w:r>
        <w:rPr>
          <w:rFonts w:hint="eastAsia" w:ascii="仿宋_GB2312" w:hAnsi="宋体" w:eastAsia="仿宋_GB2312"/>
          <w:sz w:val="24"/>
          <w:szCs w:val="24"/>
          <w:lang w:val="en-US" w:eastAsia="zh-CN"/>
        </w:rPr>
        <w:t>53.82万</w:t>
      </w:r>
      <w:r>
        <w:rPr>
          <w:rFonts w:hint="eastAsia" w:ascii="仿宋_GB2312" w:hAnsi="宋体" w:eastAsia="仿宋_GB2312"/>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53%</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部门经济分类科目</w:t>
      </w:r>
      <w:r>
        <w:rPr>
          <w:rFonts w:hint="eastAsia" w:ascii="仿宋_GB2312" w:hAnsi="宋体" w:eastAsia="仿宋_GB2312"/>
          <w:sz w:val="24"/>
          <w:szCs w:val="24"/>
          <w:lang w:val="en-US" w:eastAsia="zh-CN"/>
        </w:rPr>
        <w:t>调整</w:t>
      </w:r>
      <w:r>
        <w:rPr>
          <w:rFonts w:hint="eastAsia" w:ascii="仿宋_GB2312" w:hAnsi="宋体" w:eastAsia="仿宋_GB2312"/>
          <w:sz w:val="24"/>
          <w:szCs w:val="24"/>
        </w:rPr>
        <w:t>；项目支出为</w:t>
      </w:r>
      <w:r>
        <w:rPr>
          <w:rFonts w:hint="eastAsia" w:ascii="仿宋_GB2312" w:hAnsi="宋体" w:eastAsia="仿宋_GB2312"/>
          <w:sz w:val="24"/>
          <w:szCs w:val="24"/>
          <w:lang w:val="en-US" w:eastAsia="zh-CN"/>
        </w:rPr>
        <w:t>20.79万</w:t>
      </w:r>
      <w:r>
        <w:rPr>
          <w:rFonts w:hint="eastAsia" w:ascii="仿宋_GB2312" w:hAnsi="宋体" w:eastAsia="仿宋_GB2312"/>
          <w:sz w:val="24"/>
          <w:szCs w:val="24"/>
        </w:rPr>
        <w:t>元，比上年增</w:t>
      </w:r>
      <w:r>
        <w:rPr>
          <w:rFonts w:hint="eastAsia" w:ascii="仿宋_GB2312" w:hAnsi="宋体" w:eastAsia="仿宋_GB2312"/>
          <w:sz w:val="24"/>
          <w:szCs w:val="24"/>
          <w:lang w:eastAsia="zh-CN"/>
        </w:rPr>
        <w:t>长</w:t>
      </w:r>
      <w:r>
        <w:rPr>
          <w:rFonts w:hint="eastAsia" w:ascii="仿宋_GB2312" w:hAnsi="宋体" w:eastAsia="仿宋_GB2312"/>
          <w:sz w:val="24"/>
          <w:szCs w:val="24"/>
          <w:lang w:val="en-US" w:eastAsia="zh-CN"/>
        </w:rPr>
        <w:t>100%</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部门经济分类科目</w:t>
      </w:r>
      <w:r>
        <w:rPr>
          <w:rFonts w:hint="eastAsia" w:ascii="仿宋_GB2312" w:hAnsi="宋体" w:eastAsia="仿宋_GB2312"/>
          <w:sz w:val="24"/>
          <w:szCs w:val="24"/>
          <w:lang w:val="en-US" w:eastAsia="zh-CN"/>
        </w:rPr>
        <w:t>调整</w:t>
      </w:r>
      <w:r>
        <w:rPr>
          <w:rFonts w:hint="eastAsia" w:ascii="仿宋_GB2312" w:hAnsi="宋体" w:eastAsia="仿宋_GB2312"/>
          <w:sz w:val="24"/>
          <w:szCs w:val="24"/>
        </w:rPr>
        <w:t>。</w:t>
      </w:r>
    </w:p>
    <w:p>
      <w:pPr>
        <w:widowControl w:val="0"/>
        <w:wordWrap/>
        <w:adjustRightIn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四、机关运行经费安排情况说明</w:t>
      </w:r>
    </w:p>
    <w:p>
      <w:pPr>
        <w:widowControl w:val="0"/>
        <w:wordWrap/>
        <w:adjustRightInd/>
        <w:spacing w:line="360" w:lineRule="auto"/>
        <w:ind w:left="0" w:leftChars="0" w:right="0" w:firstLine="480" w:firstLineChars="200"/>
        <w:textAlignment w:val="auto"/>
        <w:outlineLvl w:val="9"/>
        <w:rPr>
          <w:rFonts w:hint="default" w:ascii="仿宋_GB2312" w:eastAsia="仿宋_GB2312"/>
          <w:sz w:val="24"/>
          <w:szCs w:val="24"/>
          <w:lang w:val="en-US"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宋体" w:eastAsia="仿宋_GB2312"/>
          <w:sz w:val="24"/>
          <w:szCs w:val="24"/>
          <w:lang w:val="en-US" w:eastAsia="zh-CN"/>
        </w:rPr>
        <w:t>53.82</w:t>
      </w:r>
      <w:r>
        <w:rPr>
          <w:rFonts w:hint="eastAsia" w:ascii="仿宋_GB2312" w:hAnsi="宋体" w:eastAsia="仿宋_GB2312"/>
          <w:bCs/>
          <w:sz w:val="24"/>
          <w:szCs w:val="24"/>
          <w:lang w:val="en-US" w:eastAsia="zh-CN"/>
        </w:rPr>
        <w:t>万</w:t>
      </w:r>
      <w:r>
        <w:rPr>
          <w:rFonts w:hint="eastAsia" w:ascii="仿宋_GB2312" w:hAnsi="宋体" w:eastAsia="仿宋_GB2312"/>
          <w:bCs/>
          <w:sz w:val="24"/>
          <w:szCs w:val="24"/>
        </w:rPr>
        <w:t>元，</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53%，</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部门经济分类科目</w:t>
      </w:r>
      <w:r>
        <w:rPr>
          <w:rFonts w:hint="eastAsia" w:ascii="仿宋_GB2312" w:hAnsi="宋体" w:eastAsia="仿宋_GB2312"/>
          <w:sz w:val="24"/>
          <w:szCs w:val="24"/>
          <w:lang w:val="en-US" w:eastAsia="zh-CN"/>
        </w:rPr>
        <w:t>调整。</w:t>
      </w:r>
    </w:p>
    <w:p>
      <w:pPr>
        <w:pStyle w:val="6"/>
        <w:widowControl w:val="0"/>
        <w:wordWrap/>
        <w:adjustRightIn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五、政府采购安排情况说明</w:t>
      </w:r>
    </w:p>
    <w:p>
      <w:pPr>
        <w:widowControl w:val="0"/>
        <w:wordWrap/>
        <w:adjustRightInd/>
        <w:spacing w:line="360" w:lineRule="auto"/>
        <w:ind w:left="0" w:leftChars="0" w:right="0" w:firstLine="480" w:firstLineChars="200"/>
        <w:textAlignment w:val="auto"/>
        <w:outlineLvl w:val="9"/>
        <w:rPr>
          <w:rFonts w:hint="eastAsia" w:ascii="仿宋_GB2312" w:hAnsi="宋体" w:eastAsia="仿宋_GB2312"/>
          <w:sz w:val="24"/>
          <w:szCs w:val="24"/>
          <w:lang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年我单位政府采购预算安排为</w:t>
      </w:r>
      <w:r>
        <w:rPr>
          <w:rFonts w:hint="eastAsia" w:ascii="仿宋_GB2312" w:hAnsi="宋体" w:eastAsia="仿宋_GB2312"/>
          <w:sz w:val="24"/>
          <w:szCs w:val="24"/>
          <w:lang w:val="en-US" w:eastAsia="zh-CN"/>
        </w:rPr>
        <w:t>0万</w:t>
      </w:r>
      <w:r>
        <w:rPr>
          <w:rFonts w:hint="eastAsia" w:ascii="仿宋_GB2312" w:hAnsi="宋体" w:eastAsia="仿宋_GB2312"/>
          <w:sz w:val="24"/>
          <w:szCs w:val="24"/>
        </w:rPr>
        <w:t>元</w:t>
      </w:r>
      <w:r>
        <w:rPr>
          <w:rFonts w:hint="eastAsia" w:ascii="仿宋_GB2312" w:hAnsi="宋体" w:eastAsia="仿宋_GB2312"/>
          <w:sz w:val="24"/>
          <w:szCs w:val="24"/>
          <w:lang w:eastAsia="zh-CN"/>
        </w:rPr>
        <w:t>。</w:t>
      </w:r>
    </w:p>
    <w:p>
      <w:pPr>
        <w:pStyle w:val="6"/>
        <w:widowControl w:val="0"/>
        <w:wordWrap/>
        <w:adjustRightInd/>
        <w:spacing w:line="360" w:lineRule="auto"/>
        <w:ind w:left="0" w:leftChars="0" w:right="0" w:firstLine="480" w:firstLineChars="200"/>
        <w:jc w:val="left"/>
        <w:textAlignment w:val="auto"/>
        <w:outlineLvl w:val="9"/>
        <w:rPr>
          <w:rFonts w:ascii="黑体" w:hAnsi="黑体" w:eastAsia="黑体"/>
          <w:bCs/>
          <w:sz w:val="24"/>
          <w:szCs w:val="24"/>
        </w:rPr>
      </w:pPr>
      <w:r>
        <w:rPr>
          <w:rFonts w:hint="eastAsia" w:ascii="黑体" w:hAnsi="黑体" w:eastAsia="黑体"/>
          <w:bCs/>
          <w:sz w:val="24"/>
          <w:szCs w:val="24"/>
        </w:rPr>
        <w:t>六、专业性较强的名词解释</w:t>
      </w:r>
    </w:p>
    <w:p>
      <w:pPr>
        <w:widowControl w:val="0"/>
        <w:wordWrap/>
        <w:adjustRightInd/>
        <w:snapToGrid w:val="0"/>
        <w:spacing w:line="360" w:lineRule="auto"/>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widowControl w:val="0"/>
        <w:wordWrap/>
        <w:adjustRightInd/>
        <w:snapToGrid w:val="0"/>
        <w:spacing w:line="360" w:lineRule="auto"/>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pacing w:line="360" w:lineRule="auto"/>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七、“三公”经费增减变化情况</w:t>
      </w:r>
    </w:p>
    <w:p>
      <w:pPr>
        <w:wordWrap/>
        <w:adjustRightInd/>
        <w:snapToGrid/>
        <w:spacing w:line="440" w:lineRule="exact"/>
        <w:ind w:left="0" w:leftChars="0" w:right="0" w:firstLine="480" w:firstLineChars="200"/>
        <w:outlineLvl w:val="9"/>
        <w:rPr>
          <w:rFonts w:ascii="仿宋_GB2312" w:eastAsia="仿宋_GB2312"/>
          <w:sz w:val="24"/>
          <w:szCs w:val="24"/>
        </w:rPr>
      </w:pPr>
      <w:r>
        <w:rPr>
          <w:rFonts w:hint="eastAsia" w:ascii="仿宋_GB2312" w:hAnsi="仿宋_GB2312" w:eastAsia="仿宋_GB2312" w:cs="仿宋_GB2312"/>
          <w:sz w:val="24"/>
          <w:szCs w:val="24"/>
        </w:rPr>
        <w:t>2021年“三公经费”预算0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元，与上年预算持平。其中2021年因公出国（境）费0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元，原因是本年度没有出国（境）安排；2021年公务接待费0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原因是无接待任务</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2021年公务用车运行维护费0</w:t>
      </w:r>
      <w:r>
        <w:rPr>
          <w:rFonts w:hint="eastAsia" w:ascii="仿宋_GB2312" w:hAnsi="仿宋_GB2312" w:eastAsia="仿宋_GB2312" w:cs="仿宋_GB2312"/>
          <w:sz w:val="24"/>
          <w:szCs w:val="24"/>
          <w:lang w:eastAsia="zh-CN"/>
        </w:rPr>
        <w:t>万</w:t>
      </w:r>
      <w:bookmarkStart w:id="0" w:name="_GoBack"/>
      <w:bookmarkEnd w:id="0"/>
      <w:r>
        <w:rPr>
          <w:rFonts w:hint="eastAsia" w:ascii="仿宋_GB2312" w:hAnsi="仿宋_GB2312" w:eastAsia="仿宋_GB2312" w:cs="仿宋_GB2312"/>
          <w:sz w:val="24"/>
          <w:szCs w:val="24"/>
        </w:rPr>
        <w:t>元，本年度没有公务用车。</w:t>
      </w:r>
    </w:p>
    <w:p>
      <w:pPr>
        <w:widowControl w:val="0"/>
        <w:wordWrap/>
        <w:adjustRightInd/>
        <w:spacing w:line="360" w:lineRule="auto"/>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八、国有资产占用情况说明</w:t>
      </w:r>
    </w:p>
    <w:p>
      <w:pPr>
        <w:widowControl w:val="0"/>
        <w:wordWrap/>
        <w:adjustRightInd/>
        <w:spacing w:line="360" w:lineRule="auto"/>
        <w:ind w:left="0" w:leftChars="0" w:right="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748.29万</w:t>
      </w:r>
      <w:r>
        <w:rPr>
          <w:rFonts w:hint="eastAsia" w:ascii="仿宋_GB2312" w:hAnsi="仿宋_GB2312" w:eastAsia="仿宋_GB2312" w:cs="仿宋_GB2312"/>
          <w:sz w:val="24"/>
          <w:szCs w:val="24"/>
        </w:rPr>
        <w:t>元，其中流动资产</w:t>
      </w:r>
      <w:r>
        <w:rPr>
          <w:rFonts w:hint="eastAsia" w:ascii="仿宋_GB2312" w:hAnsi="仿宋_GB2312" w:eastAsia="仿宋_GB2312" w:cs="仿宋_GB2312"/>
          <w:sz w:val="24"/>
          <w:szCs w:val="24"/>
          <w:lang w:val="en-US" w:eastAsia="zh-CN"/>
        </w:rPr>
        <w:t>52.63万</w:t>
      </w:r>
      <w:r>
        <w:rPr>
          <w:rFonts w:hint="eastAsia" w:ascii="仿宋_GB2312" w:hAnsi="仿宋_GB2312" w:eastAsia="仿宋_GB2312" w:cs="仿宋_GB2312"/>
          <w:sz w:val="24"/>
          <w:szCs w:val="24"/>
        </w:rPr>
        <w:t>元；固定资产原值</w:t>
      </w:r>
      <w:r>
        <w:rPr>
          <w:rFonts w:hint="eastAsia" w:ascii="仿宋_GB2312" w:hAnsi="仿宋_GB2312" w:eastAsia="仿宋_GB2312" w:cs="仿宋_GB2312"/>
          <w:sz w:val="24"/>
          <w:szCs w:val="24"/>
          <w:lang w:val="en-US" w:eastAsia="zh-CN"/>
        </w:rPr>
        <w:t>709.79万</w:t>
      </w:r>
      <w:r>
        <w:rPr>
          <w:rFonts w:hint="eastAsia" w:ascii="仿宋_GB2312" w:hAnsi="仿宋_GB2312" w:eastAsia="仿宋_GB2312" w:cs="仿宋_GB2312"/>
          <w:sz w:val="24"/>
          <w:szCs w:val="24"/>
        </w:rPr>
        <w:t>元，累计折旧</w:t>
      </w:r>
      <w:r>
        <w:rPr>
          <w:rFonts w:hint="eastAsia" w:ascii="仿宋_GB2312" w:hAnsi="仿宋_GB2312" w:eastAsia="仿宋_GB2312" w:cs="仿宋_GB2312"/>
          <w:sz w:val="24"/>
          <w:szCs w:val="24"/>
          <w:lang w:val="en-US" w:eastAsia="zh-CN"/>
        </w:rPr>
        <w:t>14.13万</w:t>
      </w:r>
      <w:r>
        <w:rPr>
          <w:rFonts w:hint="eastAsia" w:ascii="仿宋_GB2312" w:hAnsi="仿宋_GB2312" w:eastAsia="仿宋_GB2312" w:cs="仿宋_GB2312"/>
          <w:sz w:val="24"/>
          <w:szCs w:val="24"/>
        </w:rPr>
        <w:t>元，固定资产净值为</w:t>
      </w:r>
      <w:r>
        <w:rPr>
          <w:rFonts w:hint="eastAsia" w:ascii="仿宋_GB2312" w:hAnsi="仿宋_GB2312" w:eastAsia="仿宋_GB2312" w:cs="仿宋_GB2312"/>
          <w:sz w:val="24"/>
          <w:szCs w:val="24"/>
          <w:lang w:val="en-US" w:eastAsia="zh-CN"/>
        </w:rPr>
        <w:t>695.66万</w:t>
      </w:r>
      <w:r>
        <w:rPr>
          <w:rFonts w:hint="eastAsia" w:ascii="仿宋_GB2312" w:hAnsi="仿宋_GB2312" w:eastAsia="仿宋_GB2312" w:cs="仿宋_GB2312"/>
          <w:sz w:val="24"/>
          <w:szCs w:val="24"/>
        </w:rPr>
        <w:t>元，固定资产当中，房屋构筑物</w:t>
      </w:r>
      <w:r>
        <w:rPr>
          <w:rFonts w:hint="eastAsia" w:ascii="仿宋_GB2312" w:hAnsi="仿宋_GB2312" w:eastAsia="仿宋_GB2312" w:cs="仿宋_GB2312"/>
          <w:sz w:val="24"/>
          <w:szCs w:val="24"/>
          <w:lang w:val="en-US" w:eastAsia="zh-CN"/>
        </w:rPr>
        <w:t>658.71万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p>
    <w:p>
      <w:pPr>
        <w:widowControl w:val="0"/>
        <w:wordWrap/>
        <w:adjustRightInd/>
        <w:spacing w:line="360" w:lineRule="auto"/>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0万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p>
    <w:p>
      <w:pPr>
        <w:widowControl w:val="0"/>
        <w:wordWrap/>
        <w:adjustRightInd/>
        <w:spacing w:line="480" w:lineRule="exact"/>
        <w:ind w:left="0" w:leftChars="0" w:right="0" w:firstLine="480" w:firstLineChars="200"/>
        <w:outlineLvl w:val="9"/>
        <w:rPr>
          <w:rFonts w:ascii="黑体" w:hAnsi="黑体" w:eastAsia="黑体"/>
          <w:color w:val="000000"/>
          <w:sz w:val="24"/>
          <w:szCs w:val="24"/>
        </w:rPr>
      </w:pPr>
      <w:r>
        <w:rPr>
          <w:rFonts w:hint="eastAsia" w:ascii="黑体" w:hAnsi="黑体" w:eastAsia="黑体"/>
          <w:color w:val="000000"/>
          <w:sz w:val="24"/>
          <w:szCs w:val="24"/>
        </w:rPr>
        <w:t>九、重点项目预算的绩效目标情况说明</w:t>
      </w:r>
    </w:p>
    <w:p>
      <w:pPr>
        <w:pStyle w:val="3"/>
        <w:widowControl w:val="0"/>
        <w:wordWrap/>
        <w:adjustRightInd/>
        <w:snapToGrid w:val="0"/>
        <w:spacing w:line="480" w:lineRule="exact"/>
        <w:ind w:left="0" w:leftChars="0" w:right="0" w:firstLine="480" w:firstLineChars="200"/>
        <w:textAlignment w:val="baseline"/>
        <w:outlineLvl w:val="9"/>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本年度无重点项目预算的绩效目标。</w:t>
      </w:r>
    </w:p>
    <w:p>
      <w:pPr>
        <w:widowControl w:val="0"/>
        <w:wordWrap/>
        <w:adjustRightInd/>
        <w:spacing w:line="360" w:lineRule="auto"/>
        <w:ind w:left="0" w:leftChars="0" w:right="0" w:firstLine="480" w:firstLineChars="200"/>
        <w:jc w:val="left"/>
        <w:textAlignment w:val="auto"/>
        <w:outlineLvl w:val="9"/>
        <w:rPr>
          <w:rFonts w:hint="eastAsia" w:ascii="仿宋_GB2312" w:hAnsi="仿宋_GB2312" w:eastAsia="仿宋_GB2312" w:cs="仿宋_GB2312"/>
          <w:sz w:val="24"/>
          <w:szCs w:val="24"/>
        </w:rPr>
      </w:pPr>
    </w:p>
    <w:p>
      <w:pPr>
        <w:widowControl w:val="0"/>
        <w:wordWrap/>
        <w:adjustRightInd/>
        <w:spacing w:line="360" w:lineRule="auto"/>
        <w:ind w:left="0" w:leftChars="0" w:right="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付继霞</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付继霞</w:t>
      </w:r>
    </w:p>
    <w:p>
      <w:pPr>
        <w:widowControl w:val="0"/>
        <w:wordWrap/>
        <w:adjustRightInd/>
        <w:spacing w:line="360" w:lineRule="auto"/>
        <w:ind w:left="0" w:leftChars="0" w:right="0" w:firstLine="480" w:firstLineChars="200"/>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sz w:val="24"/>
          <w:szCs w:val="24"/>
        </w:rPr>
        <w:t>填</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报</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晶</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电话：</w:t>
      </w:r>
      <w:r>
        <w:rPr>
          <w:rFonts w:hint="eastAsia" w:ascii="仿宋_GB2312" w:hAnsi="仿宋_GB2312" w:eastAsia="仿宋_GB2312" w:cs="仿宋_GB2312"/>
          <w:sz w:val="24"/>
          <w:szCs w:val="24"/>
          <w:lang w:val="en-US" w:eastAsia="zh-CN"/>
        </w:rPr>
        <w:t>13546581388</w:t>
      </w:r>
    </w:p>
    <w:p>
      <w:pPr>
        <w:widowControl w:val="0"/>
        <w:wordWrap/>
        <w:adjustRightInd/>
        <w:snapToGrid/>
        <w:spacing w:line="40" w:lineRule="exact"/>
        <w:ind w:left="0" w:leftChars="0" w:right="0" w:firstLine="0" w:firstLineChars="0"/>
        <w:jc w:val="both"/>
        <w:textAlignment w:val="auto"/>
        <w:outlineLvl w:val="9"/>
        <w:rPr>
          <w:b/>
          <w:bCs/>
        </w:rPr>
      </w:pP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5A93742C"/>
    <w:multiLevelType w:val="singleLevel"/>
    <w:tmpl w:val="5A93742C"/>
    <w:lvl w:ilvl="0" w:tentative="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7492E65"/>
    <w:rsid w:val="0ED3560D"/>
    <w:rsid w:val="0F3E36B6"/>
    <w:rsid w:val="195C6E4A"/>
    <w:rsid w:val="1A694B6A"/>
    <w:rsid w:val="1E2B5508"/>
    <w:rsid w:val="21787965"/>
    <w:rsid w:val="24674A7D"/>
    <w:rsid w:val="2A4A105E"/>
    <w:rsid w:val="2C090686"/>
    <w:rsid w:val="3199627C"/>
    <w:rsid w:val="37077D6C"/>
    <w:rsid w:val="39C715D8"/>
    <w:rsid w:val="3B7B5634"/>
    <w:rsid w:val="3BD317B6"/>
    <w:rsid w:val="4103523E"/>
    <w:rsid w:val="4E195985"/>
    <w:rsid w:val="4EB62CD1"/>
    <w:rsid w:val="529B7A3A"/>
    <w:rsid w:val="56AD65C8"/>
    <w:rsid w:val="5B017F67"/>
    <w:rsid w:val="5D8A3D08"/>
    <w:rsid w:val="5F0078F3"/>
    <w:rsid w:val="613F1997"/>
    <w:rsid w:val="70237527"/>
    <w:rsid w:val="71D45DF9"/>
    <w:rsid w:val="71E54B77"/>
    <w:rsid w:val="73C720C0"/>
    <w:rsid w:val="75913A2B"/>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2"/>
    <w:basedOn w:val="1"/>
    <w:qFormat/>
    <w:uiPriority w:val="0"/>
    <w:pPr>
      <w:spacing w:after="120" w:line="480" w:lineRule="auto"/>
    </w:pPr>
  </w:style>
  <w:style w:type="paragraph" w:customStyle="1" w:styleId="6">
    <w:name w:val="列出段落1"/>
    <w:basedOn w:val="1"/>
    <w:qFormat/>
    <w:uiPriority w:val="34"/>
    <w:pPr>
      <w:ind w:firstLine="420" w:firstLineChars="200"/>
    </w:pPr>
  </w:style>
  <w:style w:type="paragraph" w:customStyle="1" w:styleId="7">
    <w:name w:val="List Paragraph"/>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2021-03-27T09:09:00Z</cp:lastPrinted>
  <dcterms:modified xsi:type="dcterms:W3CDTF">2021-04-27T08:42:19Z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5BE2597D03FA474F9AEECC6A9DEC6EF0</vt:lpwstr>
  </property>
</Properties>
</file>