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永济市城西第二初级中学校</w:t>
      </w:r>
    </w:p>
    <w:p>
      <w:pPr>
        <w:spacing w:line="48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1年部门预算</w:t>
      </w:r>
      <w:r>
        <w:rPr>
          <w:rFonts w:hint="eastAsia" w:eastAsia="方正小标宋简体"/>
          <w:color w:val="000000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说明</w:t>
      </w: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一、单位主要职责及机构设置情况</w:t>
      </w:r>
    </w:p>
    <w:p>
      <w:pPr>
        <w:numPr>
          <w:ilvl w:val="0"/>
          <w:numId w:val="1"/>
        </w:numPr>
        <w:spacing w:line="480" w:lineRule="exact"/>
        <w:ind w:firstLine="480" w:firstLineChars="200"/>
        <w:jc w:val="left"/>
        <w:rPr>
          <w:rFonts w:ascii="楷体_GB2312" w:hAnsi="楷体_GB2312" w:eastAsia="楷体_GB2312" w:cs="楷体_GB2312"/>
          <w:color w:val="000000"/>
          <w:sz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</w:rPr>
        <w:t>基本情况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永济市城西第二初级中学校属全额事业单位，位于永济市城西街道任阳街，目前现有</w:t>
      </w:r>
      <w:r>
        <w:rPr>
          <w:rFonts w:ascii="仿宋_GB2312" w:hAnsi="仿宋_GB2312" w:eastAsia="仿宋_GB2312" w:cs="仿宋_GB2312"/>
          <w:color w:val="000000"/>
          <w:sz w:val="24"/>
        </w:rPr>
        <w:t>6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个教学班,在校学生215人,教职工编制人数</w:t>
      </w:r>
      <w:r>
        <w:rPr>
          <w:rFonts w:ascii="仿宋_GB2312" w:hAnsi="仿宋_GB2312" w:eastAsia="仿宋_GB2312" w:cs="仿宋_GB2312"/>
          <w:color w:val="000000"/>
          <w:sz w:val="24"/>
        </w:rPr>
        <w:t>67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人，实有人数</w:t>
      </w:r>
      <w:r>
        <w:rPr>
          <w:rFonts w:ascii="仿宋_GB2312" w:hAnsi="仿宋_GB2312" w:eastAsia="仿宋_GB2312" w:cs="仿宋_GB2312"/>
          <w:color w:val="000000"/>
          <w:sz w:val="24"/>
        </w:rPr>
        <w:t>6</w:t>
      </w:r>
      <w:r>
        <w:rPr>
          <w:rFonts w:hint="eastAsia" w:ascii="仿宋_GB2312" w:hAnsi="仿宋_GB2312" w:eastAsia="仿宋_GB2312" w:cs="仿宋_GB2312"/>
          <w:color w:val="000000"/>
          <w:sz w:val="24"/>
        </w:rPr>
        <w:t>2人,退休人员19人。</w:t>
      </w:r>
    </w:p>
    <w:p>
      <w:pPr>
        <w:pStyle w:val="7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480" w:lineRule="exact"/>
        <w:ind w:firstLine="480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主要职责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我单位主要职责是实施初中义务教育，促进基础教育发展，为高一级学府输送人才。</w:t>
      </w:r>
    </w:p>
    <w:p>
      <w:pPr>
        <w:numPr>
          <w:ilvl w:val="0"/>
          <w:numId w:val="2"/>
        </w:numPr>
        <w:spacing w:line="480" w:lineRule="exact"/>
        <w:ind w:firstLine="480" w:firstLineChars="200"/>
        <w:jc w:val="left"/>
        <w:rPr>
          <w:rFonts w:ascii="楷体_GB2312" w:hAnsi="楷体_GB2312" w:eastAsia="楷体_GB2312" w:cs="楷体_GB2312"/>
          <w:color w:val="000000"/>
          <w:sz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</w:rPr>
        <w:t>机构设置情况</w:t>
      </w:r>
    </w:p>
    <w:p>
      <w:pPr>
        <w:spacing w:line="480" w:lineRule="exact"/>
        <w:ind w:firstLine="480" w:firstLineChars="200"/>
        <w:jc w:val="left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我单位设有办公室、财务室、政教处、教务处、后勤处。</w:t>
      </w:r>
    </w:p>
    <w:p>
      <w:pPr>
        <w:pStyle w:val="9"/>
        <w:spacing w:line="480" w:lineRule="exact"/>
        <w:ind w:firstLine="480"/>
        <w:rPr>
          <w:rFonts w:ascii="宋体" w:hAnsi="宋体"/>
          <w:b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二、本级预算情况</w:t>
      </w:r>
    </w:p>
    <w:p>
      <w:pPr>
        <w:pStyle w:val="7"/>
        <w:spacing w:line="460" w:lineRule="exact"/>
        <w:ind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我单位为全额事业单位，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属于永济市教育局二级独立核算单位。</w:t>
      </w:r>
      <w:r>
        <w:rPr>
          <w:rFonts w:ascii="仿宋_GB2312" w:hAnsi="宋体" w:eastAsia="仿宋_GB2312"/>
          <w:color w:val="000000"/>
          <w:sz w:val="24"/>
          <w:szCs w:val="24"/>
        </w:rPr>
        <w:t>20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21年我单位预算收入安排为664.57万元，全部为财政拨款。根据收支平衡的原则，预算支出安排为664.57万元（其中工资福利支出为604.66万元，对个人和家庭的补助为14.81万元，商品服务支出为8.84万元，项目支出为36.26万元）。</w:t>
      </w: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三、预算收支增减变化及情况说明</w:t>
      </w:r>
    </w:p>
    <w:p>
      <w:pPr>
        <w:spacing w:line="460" w:lineRule="exact"/>
        <w:ind w:firstLine="480" w:firstLineChars="200"/>
        <w:rPr>
          <w:rFonts w:ascii="宋体" w:hAnsi="宋体" w:eastAsia="仿宋_GB2312"/>
          <w:b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20</w:t>
      </w:r>
      <w:r>
        <w:rPr>
          <w:rFonts w:hint="eastAsia" w:ascii="仿宋_GB2312" w:hAnsi="宋体" w:eastAsia="仿宋_GB2312"/>
          <w:color w:val="000000"/>
          <w:sz w:val="24"/>
        </w:rPr>
        <w:t>21年收入预算为664.57万元，比上年增长3.5%。支出预算为664.57万元，比上年增长3.5%，其中工资福利支出为604.66万元，比上年增长1.1%，原因是工资普调及住房公积金百分比提高；对个人和家庭的补助为14.81万元，比上年增长2.2%，原因是遗属补助标准增加；商品服务支出为8.84万元,比上年下降70.1%,原因是部门经济分类科目调整；项目支出为36.26万元，比上年增长100%，原因是部门经济分类科目调整。</w:t>
      </w:r>
    </w:p>
    <w:p>
      <w:pPr>
        <w:spacing w:line="460" w:lineRule="exact"/>
        <w:ind w:firstLine="480" w:firstLineChars="200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四、机关运行经费安排情况说明</w:t>
      </w:r>
    </w:p>
    <w:p>
      <w:pPr>
        <w:spacing w:line="460" w:lineRule="exact"/>
        <w:ind w:firstLine="480" w:firstLineChars="200"/>
        <w:rPr>
          <w:rFonts w:ascii="仿宋_GB2312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20</w:t>
      </w:r>
      <w:r>
        <w:rPr>
          <w:rFonts w:hint="eastAsia" w:ascii="仿宋_GB2312" w:hAnsi="宋体" w:eastAsia="仿宋_GB2312"/>
          <w:color w:val="000000"/>
          <w:sz w:val="24"/>
        </w:rPr>
        <w:t>21年我单位</w:t>
      </w:r>
      <w:r>
        <w:rPr>
          <w:rFonts w:hint="eastAsia" w:ascii="仿宋_GB2312" w:hAnsi="宋体" w:eastAsia="仿宋_GB2312"/>
          <w:bCs/>
          <w:color w:val="000000"/>
          <w:sz w:val="24"/>
        </w:rPr>
        <w:t>机关运行经费安排为8.84万元，</w:t>
      </w:r>
      <w:r>
        <w:rPr>
          <w:rFonts w:hint="eastAsia" w:ascii="仿宋_GB2312" w:hAnsi="宋体" w:eastAsia="仿宋_GB2312"/>
          <w:color w:val="000000"/>
          <w:sz w:val="24"/>
        </w:rPr>
        <w:t>比上年下降70.1%，原因是部门经济分类科目调整。</w:t>
      </w:r>
    </w:p>
    <w:p>
      <w:pPr>
        <w:pStyle w:val="7"/>
        <w:spacing w:line="460" w:lineRule="exact"/>
        <w:ind w:firstLine="480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五、政府采购安排情况说明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20</w:t>
      </w:r>
      <w:r>
        <w:rPr>
          <w:rFonts w:hint="eastAsia" w:ascii="仿宋_GB2312" w:hAnsi="宋体" w:eastAsia="仿宋_GB2312"/>
          <w:color w:val="000000"/>
          <w:sz w:val="24"/>
        </w:rPr>
        <w:t>21年我单位政府采购预算安排为4.49万元，其中：空调2台0.6万元，文件柜5个0.27万元，LED电子屏1个1.3万元，床31张1.2万元，复印纸5件0.1万元，印刷业务1万元。</w:t>
      </w:r>
    </w:p>
    <w:p>
      <w:pPr>
        <w:pStyle w:val="7"/>
        <w:spacing w:line="480" w:lineRule="exact"/>
        <w:ind w:firstLine="480"/>
        <w:jc w:val="left"/>
        <w:rPr>
          <w:rFonts w:ascii="黑体" w:hAnsi="黑体" w:eastAsia="黑体"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 w:val="24"/>
          <w:szCs w:val="24"/>
        </w:rPr>
        <w:t>六、专业性较强的名词解释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义务教育“两免一补”：“两免”：免除学杂费、免费提供教科书。“一补”：我省农村义务教育阶段家庭经济困难寄宿生的生活补助。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pacing w:line="480" w:lineRule="exact"/>
        <w:ind w:firstLine="480" w:firstLineChars="200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万元，与</w:t>
      </w:r>
      <w:r>
        <w:rPr>
          <w:rFonts w:ascii="仿宋_GB2312" w:hAnsi="仿宋_GB2312" w:eastAsia="仿宋_GB2312" w:cs="仿宋_GB2312"/>
          <w:color w:val="000000"/>
          <w:sz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</w:rPr>
        <w:t>20年预算相比无变化。其中2021年因公出国（境）费</w:t>
      </w:r>
      <w:r>
        <w:rPr>
          <w:rFonts w:ascii="仿宋_GB2312" w:hAnsi="仿宋_GB2312" w:eastAsia="仿宋_GB2312" w:cs="仿宋_GB2312"/>
          <w:color w:val="000000"/>
          <w:sz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万元，原因是本年度我校无此项业务支出预算；2021年公务接待费</w:t>
      </w:r>
      <w:r>
        <w:rPr>
          <w:rFonts w:ascii="仿宋_GB2312" w:hAnsi="仿宋_GB2312" w:eastAsia="仿宋_GB2312" w:cs="仿宋_GB2312"/>
          <w:color w:val="000000"/>
          <w:sz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万元，原因是我校没有接待任务；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24"/>
        </w:rPr>
        <w:t>2021年公务用车运行维护费预算</w:t>
      </w:r>
      <w:r>
        <w:rPr>
          <w:rFonts w:ascii="仿宋_GB2312" w:hAnsi="仿宋_GB2312" w:eastAsia="仿宋_GB2312" w:cs="仿宋_GB2312"/>
          <w:color w:val="000000"/>
          <w:sz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万元，原因是我校无公车。</w:t>
      </w:r>
    </w:p>
    <w:p>
      <w:pPr>
        <w:spacing w:line="480" w:lineRule="exact"/>
        <w:ind w:firstLine="480" w:firstLineChars="200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八、国有资产占用情况说明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截止2020年12月31日，我单位资产总额241.48万元，其中流动资产10.28万元；固定资产原值556.5万元，累计折旧318.9万元，固定资产净值为237.6万元，在建工程0万元，无形资产0.51万元。固定资产当中，房屋构筑物209.79万元，单价200万元以上大型设备价值0万元，其他固定资产27.81万元。与上年相比，本年固定资产原值增加0.5%，原因主要是新购固定资产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2021年预计新增采购固定资产3.39万元，其中：空调2台0.6万元，LED电子屏1个1.3万元，文件柜5个0.27万元，单人床6张0.22万元，高低床25张1万元。</w:t>
      </w:r>
    </w:p>
    <w:p>
      <w:pPr>
        <w:spacing w:line="480" w:lineRule="exact"/>
        <w:ind w:firstLine="480" w:firstLineChars="200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九、重点项目预算的绩效目标情况说明</w:t>
      </w:r>
    </w:p>
    <w:p>
      <w:pPr>
        <w:pStyle w:val="4"/>
        <w:snapToGrid w:val="0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本年度无重点项目预算的绩效目标。</w:t>
      </w:r>
    </w:p>
    <w:p>
      <w:pPr>
        <w:spacing w:line="480" w:lineRule="exact"/>
        <w:ind w:firstLine="480" w:firstLineChars="200"/>
        <w:rPr>
          <w:rFonts w:ascii="仿宋_GB2312" w:eastAsia="仿宋_GB2312"/>
          <w:color w:val="000000"/>
          <w:sz w:val="24"/>
        </w:rPr>
      </w:pPr>
    </w:p>
    <w:p>
      <w:pPr>
        <w:spacing w:line="480" w:lineRule="exact"/>
        <w:ind w:firstLine="480" w:firstLineChars="200"/>
        <w:jc w:val="left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单位负责人：任璞林 财务负责人：李琳君 </w:t>
      </w:r>
    </w:p>
    <w:p>
      <w:pPr>
        <w:spacing w:line="480" w:lineRule="exact"/>
        <w:ind w:firstLine="480" w:firstLineChars="200"/>
        <w:rPr>
          <w:rFonts w:ascii="宋体" w:hAnsi="宋体" w:cs="Times New Roman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填  报  人：王文军    联 系电 话：13834101683</w:t>
      </w:r>
    </w:p>
    <w:p>
      <w:pPr>
        <w:spacing w:line="40" w:lineRule="exact"/>
        <w:rPr>
          <w:b/>
          <w:bCs/>
          <w:color w:val="000000"/>
        </w:rPr>
      </w:pPr>
    </w:p>
    <w:sectPr>
      <w:pgSz w:w="11915" w:h="16840"/>
      <w:pgMar w:top="1587" w:right="1361" w:bottom="1587" w:left="1361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HorizontalSpacing w:val="105"/>
  <w:drawingGridVerticalSpacing w:val="317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0455304"/>
    <w:rsid w:val="008D29A1"/>
    <w:rsid w:val="00AB4D4D"/>
    <w:rsid w:val="05120665"/>
    <w:rsid w:val="0A3751CF"/>
    <w:rsid w:val="0F3E36B6"/>
    <w:rsid w:val="125A7A8D"/>
    <w:rsid w:val="195C6E4A"/>
    <w:rsid w:val="1A694B6A"/>
    <w:rsid w:val="1E2B5508"/>
    <w:rsid w:val="21787965"/>
    <w:rsid w:val="24674A7D"/>
    <w:rsid w:val="2A4A105E"/>
    <w:rsid w:val="2C090686"/>
    <w:rsid w:val="2D222731"/>
    <w:rsid w:val="35E87D4C"/>
    <w:rsid w:val="37077D6C"/>
    <w:rsid w:val="371133D5"/>
    <w:rsid w:val="3BD317B6"/>
    <w:rsid w:val="3FE11FC7"/>
    <w:rsid w:val="47F531FD"/>
    <w:rsid w:val="4E195985"/>
    <w:rsid w:val="529B7A3A"/>
    <w:rsid w:val="56AD65C8"/>
    <w:rsid w:val="5B017F67"/>
    <w:rsid w:val="5D530128"/>
    <w:rsid w:val="5D8A3D08"/>
    <w:rsid w:val="64A4332E"/>
    <w:rsid w:val="70237527"/>
    <w:rsid w:val="71E54B77"/>
    <w:rsid w:val="731746C4"/>
    <w:rsid w:val="73543568"/>
    <w:rsid w:val="7A441C66"/>
    <w:rsid w:val="7A602B60"/>
    <w:rsid w:val="7C80694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8">
    <w:name w:val="List Paragraph1"/>
    <w:basedOn w:val="1"/>
    <w:qFormat/>
    <w:uiPriority w:val="0"/>
    <w:pPr>
      <w:ind w:firstLine="420" w:firstLineChars="200"/>
    </w:pPr>
    <w:rPr>
      <w:rFonts w:cs="Times New Roman"/>
      <w:szCs w:val="22"/>
    </w:r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5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  <w:style w:type="character" w:customStyle="1" w:styleId="11">
    <w:name w:val="页眉 Char"/>
    <w:basedOn w:val="5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城西二中</Company>
  <Pages>2</Pages>
  <Words>210</Words>
  <Characters>1203</Characters>
  <Lines>10</Lines>
  <Paragraphs>2</Paragraphs>
  <ScaleCrop>false</ScaleCrop>
  <LinksUpToDate>false</LinksUpToDate>
  <CharactersWithSpaces>1411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2021-03-27T07:44:00Z</cp:lastPrinted>
  <dcterms:modified xsi:type="dcterms:W3CDTF">2021-04-27T08:34:32Z</dcterms:modified>
  <dc:title>基 本 情 况 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