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pacing w:line="400" w:lineRule="exact"/>
        <w:ind w:right="0"/>
        <w:jc w:val="center"/>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永济市</w:t>
      </w:r>
      <w:r>
        <w:rPr>
          <w:rFonts w:hint="eastAsia" w:ascii="方正小标宋_GBK" w:hAnsi="方正小标宋_GBK" w:eastAsia="方正小标宋_GBK" w:cs="方正小标宋_GBK"/>
          <w:sz w:val="36"/>
          <w:szCs w:val="36"/>
          <w:lang w:eastAsia="zh-CN"/>
        </w:rPr>
        <w:t>虞乡</w:t>
      </w:r>
      <w:r>
        <w:rPr>
          <w:rFonts w:hint="eastAsia" w:ascii="方正小标宋_GBK" w:hAnsi="方正小标宋_GBK" w:eastAsia="方正小标宋_GBK" w:cs="方正小标宋_GBK"/>
          <w:sz w:val="36"/>
          <w:szCs w:val="36"/>
        </w:rPr>
        <w:t>镇中心学校</w:t>
      </w:r>
    </w:p>
    <w:p>
      <w:pPr>
        <w:widowControl w:val="0"/>
        <w:wordWrap/>
        <w:adjustRightInd/>
        <w:spacing w:line="400" w:lineRule="exact"/>
        <w:ind w:right="0"/>
        <w:jc w:val="center"/>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w:t>
      </w:r>
      <w:r>
        <w:rPr>
          <w:rFonts w:hint="eastAsia" w:ascii="方正小标宋_GBK" w:hAnsi="方正小标宋_GBK" w:eastAsia="方正小标宋_GBK" w:cs="方正小标宋_GBK"/>
          <w:sz w:val="36"/>
          <w:szCs w:val="36"/>
          <w:lang w:val="en-US" w:eastAsia="zh-CN"/>
        </w:rPr>
        <w:t>21</w:t>
      </w:r>
      <w:r>
        <w:rPr>
          <w:rFonts w:hint="eastAsia" w:ascii="方正小标宋_GBK" w:hAnsi="方正小标宋_GBK" w:eastAsia="方正小标宋_GBK" w:cs="方正小标宋_GBK"/>
          <w:sz w:val="36"/>
          <w:szCs w:val="36"/>
        </w:rPr>
        <w:t>年部门预算</w:t>
      </w:r>
      <w:r>
        <w:rPr>
          <w:rFonts w:hint="eastAsia" w:ascii="方正小标宋_GBK" w:hAnsi="方正小标宋_GBK" w:eastAsia="方正小标宋_GBK" w:cs="方正小标宋_GBK"/>
          <w:sz w:val="36"/>
          <w:szCs w:val="36"/>
          <w:lang w:eastAsia="zh-CN"/>
        </w:rPr>
        <w:t>公开</w:t>
      </w:r>
      <w:r>
        <w:rPr>
          <w:rFonts w:hint="eastAsia" w:ascii="方正小标宋_GBK" w:hAnsi="方正小标宋_GBK" w:eastAsia="方正小标宋_GBK" w:cs="方正小标宋_GBK"/>
          <w:sz w:val="36"/>
          <w:szCs w:val="36"/>
        </w:rPr>
        <w:t>说明</w:t>
      </w:r>
    </w:p>
    <w:p>
      <w:pPr>
        <w:pStyle w:val="9"/>
        <w:widowControl w:val="0"/>
        <w:wordWrap/>
        <w:adjustRightInd/>
        <w:spacing w:line="400" w:lineRule="exact"/>
        <w:ind w:left="600" w:right="0" w:firstLine="0" w:firstLineChars="0"/>
        <w:jc w:val="both"/>
        <w:outlineLvl w:val="9"/>
        <w:rPr>
          <w:rFonts w:hint="eastAsia" w:ascii="黑体" w:hAnsi="宋体" w:eastAsia="黑体"/>
          <w:sz w:val="28"/>
          <w:szCs w:val="28"/>
        </w:rPr>
      </w:pPr>
    </w:p>
    <w:p>
      <w:pPr>
        <w:pStyle w:val="9"/>
        <w:widowControl w:val="0"/>
        <w:wordWrap/>
        <w:adjustRightInd/>
        <w:spacing w:line="400" w:lineRule="exact"/>
        <w:ind w:left="600" w:right="0" w:firstLine="0" w:firstLineChars="0"/>
        <w:jc w:val="both"/>
        <w:outlineLvl w:val="9"/>
        <w:rPr>
          <w:rFonts w:hint="eastAsia" w:ascii="黑体" w:hAnsi="黑体" w:eastAsia="黑体" w:cs="黑体"/>
          <w:sz w:val="24"/>
          <w:szCs w:val="24"/>
          <w:lang w:eastAsia="zh-CN"/>
        </w:rPr>
      </w:pPr>
      <w:r>
        <w:rPr>
          <w:rFonts w:hint="eastAsia" w:ascii="黑体" w:hAnsi="黑体" w:eastAsia="黑体" w:cs="黑体"/>
          <w:sz w:val="24"/>
          <w:szCs w:val="24"/>
        </w:rPr>
        <w:t>一、单位主要职责</w:t>
      </w:r>
      <w:r>
        <w:rPr>
          <w:rFonts w:hint="eastAsia" w:ascii="黑体" w:hAnsi="黑体" w:eastAsia="黑体" w:cs="黑体"/>
          <w:sz w:val="24"/>
          <w:szCs w:val="24"/>
          <w:lang w:eastAsia="zh-CN"/>
        </w:rPr>
        <w:t>及机构设置情况</w:t>
      </w:r>
    </w:p>
    <w:p>
      <w:pPr>
        <w:widowControl w:val="0"/>
        <w:wordWrap/>
        <w:adjustRightInd/>
        <w:spacing w:line="400" w:lineRule="exact"/>
        <w:ind w:right="0" w:firstLine="480" w:firstLineChars="200"/>
        <w:jc w:val="both"/>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（一）基本情况</w:t>
      </w:r>
    </w:p>
    <w:p>
      <w:pPr>
        <w:pStyle w:val="9"/>
        <w:widowControl w:val="0"/>
        <w:tabs>
          <w:tab w:val="left" w:pos="988"/>
          <w:tab w:val="left" w:pos="1093"/>
          <w:tab w:val="left" w:pos="1153"/>
          <w:tab w:val="left" w:pos="1168"/>
        </w:tabs>
        <w:wordWrap/>
        <w:adjustRightInd/>
        <w:spacing w:line="400" w:lineRule="exact"/>
        <w:ind w:right="0" w:firstLine="560"/>
        <w:jc w:val="both"/>
        <w:outlineLvl w:val="9"/>
        <w:rPr>
          <w:rFonts w:hint="eastAsia" w:ascii="仿宋_GB2312" w:hAnsi="宋体" w:eastAsia="仿宋_GB2312"/>
          <w:sz w:val="24"/>
          <w:szCs w:val="24"/>
        </w:rPr>
      </w:pPr>
      <w:r>
        <w:rPr>
          <w:rFonts w:hint="eastAsia" w:ascii="仿宋_GB2312" w:hAnsi="仿宋_GB2312" w:eastAsia="仿宋_GB2312" w:cs="仿宋_GB2312"/>
          <w:sz w:val="24"/>
          <w:szCs w:val="24"/>
        </w:rPr>
        <w:t>永济市</w:t>
      </w:r>
      <w:r>
        <w:rPr>
          <w:rFonts w:hint="eastAsia" w:ascii="仿宋_GB2312" w:hAnsi="仿宋_GB2312" w:eastAsia="仿宋_GB2312" w:cs="仿宋_GB2312"/>
          <w:sz w:val="24"/>
          <w:szCs w:val="24"/>
          <w:lang w:eastAsia="zh-CN"/>
        </w:rPr>
        <w:t>虞乡</w:t>
      </w:r>
      <w:r>
        <w:rPr>
          <w:rFonts w:hint="eastAsia" w:ascii="仿宋_GB2312" w:hAnsi="仿宋_GB2312" w:eastAsia="仿宋_GB2312" w:cs="仿宋_GB2312"/>
          <w:sz w:val="24"/>
          <w:szCs w:val="24"/>
        </w:rPr>
        <w:t>镇中心学校位于永济市</w:t>
      </w:r>
      <w:r>
        <w:rPr>
          <w:rFonts w:hint="eastAsia" w:ascii="仿宋_GB2312" w:hAnsi="仿宋_GB2312" w:eastAsia="仿宋_GB2312" w:cs="仿宋_GB2312"/>
          <w:sz w:val="24"/>
          <w:szCs w:val="24"/>
          <w:lang w:eastAsia="zh-CN"/>
        </w:rPr>
        <w:t>虞乡镇东街</w:t>
      </w:r>
      <w:r>
        <w:rPr>
          <w:rFonts w:hint="eastAsia" w:ascii="仿宋_GB2312" w:hAnsi="仿宋_GB2312" w:eastAsia="仿宋_GB2312" w:cs="仿宋_GB2312"/>
          <w:sz w:val="24"/>
          <w:szCs w:val="24"/>
          <w:lang w:val="en-US" w:eastAsia="zh-CN"/>
        </w:rPr>
        <w:t>6号</w:t>
      </w:r>
      <w:r>
        <w:rPr>
          <w:rFonts w:hint="eastAsia" w:ascii="仿宋_GB2312" w:hAnsi="仿宋_GB2312" w:eastAsia="仿宋_GB2312" w:cs="仿宋_GB2312"/>
          <w:sz w:val="24"/>
          <w:szCs w:val="24"/>
        </w:rPr>
        <w:t>，是全额事业单位。</w:t>
      </w:r>
      <w:r>
        <w:rPr>
          <w:rFonts w:hint="eastAsia" w:ascii="仿宋_GB2312" w:hAnsi="宋体" w:eastAsia="仿宋_GB2312"/>
          <w:sz w:val="24"/>
          <w:szCs w:val="24"/>
        </w:rPr>
        <w:t>编制</w:t>
      </w:r>
      <w:r>
        <w:rPr>
          <w:rFonts w:hint="eastAsia" w:ascii="仿宋_GB2312" w:hAnsi="宋体" w:eastAsia="仿宋_GB2312"/>
          <w:sz w:val="24"/>
          <w:szCs w:val="24"/>
          <w:lang w:val="en-US" w:eastAsia="zh-CN"/>
        </w:rPr>
        <w:t>人数</w:t>
      </w:r>
      <w:r>
        <w:rPr>
          <w:rFonts w:hint="eastAsia" w:ascii="仿宋_GB2312" w:hAnsi="仿宋_GB2312" w:eastAsia="仿宋_GB2312" w:cs="仿宋_GB2312"/>
          <w:sz w:val="24"/>
          <w:szCs w:val="24"/>
          <w:lang w:val="en-US" w:eastAsia="zh-CN"/>
        </w:rPr>
        <w:t>161</w:t>
      </w:r>
      <w:r>
        <w:rPr>
          <w:rFonts w:hint="eastAsia" w:ascii="仿宋_GB2312" w:hAnsi="宋体" w:eastAsia="仿宋_GB2312"/>
          <w:sz w:val="24"/>
          <w:szCs w:val="24"/>
        </w:rPr>
        <w:t>人，实有人数</w:t>
      </w:r>
      <w:r>
        <w:rPr>
          <w:rFonts w:hint="eastAsia" w:ascii="仿宋_GB2312" w:hAnsi="宋体" w:eastAsia="仿宋_GB2312"/>
          <w:sz w:val="24"/>
          <w:szCs w:val="24"/>
          <w:lang w:val="en-US" w:eastAsia="zh-CN"/>
        </w:rPr>
        <w:t>145</w:t>
      </w:r>
      <w:r>
        <w:rPr>
          <w:rFonts w:hint="eastAsia" w:ascii="仿宋_GB2312" w:hAnsi="宋体" w:eastAsia="仿宋_GB2312"/>
          <w:sz w:val="24"/>
          <w:szCs w:val="24"/>
        </w:rPr>
        <w:t>人，退休人员</w:t>
      </w:r>
      <w:r>
        <w:rPr>
          <w:rFonts w:hint="eastAsia" w:ascii="仿宋_GB2312" w:hAnsi="宋体" w:eastAsia="仿宋_GB2312"/>
          <w:sz w:val="24"/>
          <w:szCs w:val="24"/>
          <w:lang w:val="en-US" w:eastAsia="zh-CN"/>
        </w:rPr>
        <w:t>168</w:t>
      </w:r>
      <w:r>
        <w:rPr>
          <w:rFonts w:hint="eastAsia" w:ascii="仿宋_GB2312" w:hAnsi="宋体" w:eastAsia="仿宋_GB2312"/>
          <w:sz w:val="24"/>
          <w:szCs w:val="24"/>
        </w:rPr>
        <w:t>人</w:t>
      </w:r>
      <w:r>
        <w:rPr>
          <w:rFonts w:hint="eastAsia" w:ascii="仿宋_GB2312" w:hAnsi="宋体" w:eastAsia="仿宋_GB2312"/>
          <w:sz w:val="24"/>
          <w:szCs w:val="24"/>
          <w:lang w:eastAsia="zh-CN"/>
        </w:rPr>
        <w:t>，</w:t>
      </w:r>
      <w:r>
        <w:rPr>
          <w:rFonts w:hint="eastAsia" w:ascii="仿宋_GB2312" w:hAnsi="仿宋_GB2312" w:eastAsia="仿宋_GB2312" w:cs="仿宋_GB2312"/>
          <w:sz w:val="24"/>
          <w:szCs w:val="24"/>
        </w:rPr>
        <w:t>学生</w:t>
      </w:r>
      <w:r>
        <w:rPr>
          <w:rFonts w:hint="eastAsia" w:ascii="仿宋_GB2312" w:hAnsi="仿宋_GB2312" w:eastAsia="仿宋_GB2312" w:cs="仿宋_GB2312"/>
          <w:sz w:val="24"/>
          <w:szCs w:val="24"/>
          <w:lang w:val="en-US" w:eastAsia="zh-CN"/>
        </w:rPr>
        <w:t>1192</w:t>
      </w:r>
      <w:r>
        <w:rPr>
          <w:rFonts w:hint="eastAsia" w:ascii="仿宋_GB2312" w:hAnsi="仿宋_GB2312" w:eastAsia="仿宋_GB2312" w:cs="仿宋_GB2312"/>
          <w:sz w:val="24"/>
          <w:szCs w:val="24"/>
        </w:rPr>
        <w:t>人</w:t>
      </w:r>
      <w:r>
        <w:rPr>
          <w:rFonts w:hint="eastAsia" w:ascii="仿宋_GB2312" w:hAnsi="宋体" w:eastAsia="仿宋_GB2312"/>
          <w:sz w:val="24"/>
          <w:szCs w:val="24"/>
        </w:rPr>
        <w:t>。</w:t>
      </w:r>
    </w:p>
    <w:p>
      <w:pPr>
        <w:pStyle w:val="9"/>
        <w:widowControl w:val="0"/>
        <w:tabs>
          <w:tab w:val="left" w:pos="988"/>
          <w:tab w:val="left" w:pos="1093"/>
          <w:tab w:val="left" w:pos="1153"/>
          <w:tab w:val="left" w:pos="1168"/>
        </w:tabs>
        <w:wordWrap/>
        <w:adjustRightInd/>
        <w:spacing w:line="400" w:lineRule="exact"/>
        <w:ind w:right="0" w:firstLine="560"/>
        <w:jc w:val="both"/>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（二）主要职责</w:t>
      </w:r>
    </w:p>
    <w:p>
      <w:pPr>
        <w:widowControl w:val="0"/>
        <w:wordWrap/>
        <w:adjustRightInd/>
        <w:spacing w:line="400" w:lineRule="exact"/>
        <w:ind w:right="0" w:firstLine="480" w:firstLineChars="200"/>
        <w:jc w:val="both"/>
        <w:outlineLvl w:val="9"/>
        <w:rPr>
          <w:rFonts w:hint="eastAsia" w:ascii="楷体_GB2312" w:hAnsi="楷体_GB2312" w:eastAsia="楷体_GB2312" w:cs="楷体_GB2312"/>
          <w:sz w:val="24"/>
          <w:szCs w:val="24"/>
        </w:rPr>
      </w:pPr>
      <w:r>
        <w:rPr>
          <w:rFonts w:hint="eastAsia" w:ascii="仿宋_GB2312" w:hAnsi="仿宋_GB2312" w:eastAsia="仿宋_GB2312" w:cs="仿宋_GB2312"/>
          <w:sz w:val="24"/>
          <w:szCs w:val="24"/>
        </w:rPr>
        <w:t>为辖区教育教学提供服务，进行教学管理，业务指导。我中心校办校宗旨是实施农村学前教育和小学教育，培养高素质的学生。</w:t>
      </w:r>
    </w:p>
    <w:p>
      <w:pPr>
        <w:widowControl w:val="0"/>
        <w:wordWrap/>
        <w:adjustRightInd/>
        <w:spacing w:line="400" w:lineRule="exact"/>
        <w:ind w:right="0" w:firstLine="480" w:firstLineChars="200"/>
        <w:jc w:val="both"/>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（三）机构设置情况</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我单位机构设为中心校下属</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所小学和</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所幼儿园。</w:t>
      </w:r>
    </w:p>
    <w:p>
      <w:pPr>
        <w:pStyle w:val="9"/>
        <w:widowControl w:val="0"/>
        <w:wordWrap/>
        <w:adjustRightInd/>
        <w:spacing w:line="400" w:lineRule="exact"/>
        <w:ind w:right="0" w:firstLine="560"/>
        <w:jc w:val="both"/>
        <w:outlineLvl w:val="9"/>
        <w:rPr>
          <w:rFonts w:hint="eastAsia" w:ascii="黑体" w:hAnsi="黑体" w:eastAsia="黑体" w:cs="黑体"/>
          <w:color w:val="0000FF"/>
          <w:sz w:val="24"/>
          <w:szCs w:val="24"/>
        </w:rPr>
      </w:pPr>
      <w:r>
        <w:rPr>
          <w:rFonts w:hint="eastAsia" w:ascii="黑体" w:hAnsi="黑体" w:eastAsia="黑体" w:cs="黑体"/>
          <w:sz w:val="24"/>
          <w:szCs w:val="24"/>
        </w:rPr>
        <w:t>二、本级预算情况</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我单位为全额事业单位，属于</w:t>
      </w: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级独立核算单位。2021年我单位预算收入安排为1741.21</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元，全部为财政拨款。根据收支平衡的原则，预算支出安排为1741.21</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元（其中工资福利支出为1445.22</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元，对个人和家庭的补助为98.80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元，商品服务支出为</w:t>
      </w:r>
      <w:r>
        <w:rPr>
          <w:rFonts w:hint="eastAsia" w:ascii="仿宋_GB2312" w:hAnsi="仿宋_GB2312" w:eastAsia="仿宋_GB2312" w:cs="仿宋_GB2312"/>
          <w:sz w:val="24"/>
          <w:szCs w:val="24"/>
          <w:lang w:val="en-US" w:eastAsia="zh-CN"/>
        </w:rPr>
        <w:t>23.22万</w:t>
      </w:r>
      <w:r>
        <w:rPr>
          <w:rFonts w:hint="eastAsia" w:ascii="仿宋_GB2312" w:hAnsi="仿宋_GB2312" w:eastAsia="仿宋_GB2312" w:cs="仿宋_GB2312"/>
          <w:sz w:val="24"/>
          <w:szCs w:val="24"/>
        </w:rPr>
        <w:t>元，项目支出为173.97</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w:t>
      </w:r>
    </w:p>
    <w:p>
      <w:pPr>
        <w:pStyle w:val="9"/>
        <w:widowControl w:val="0"/>
        <w:wordWrap/>
        <w:adjustRightInd/>
        <w:spacing w:line="400" w:lineRule="exact"/>
        <w:ind w:right="0" w:firstLine="560"/>
        <w:jc w:val="both"/>
        <w:outlineLvl w:val="9"/>
        <w:rPr>
          <w:rFonts w:hint="eastAsia" w:ascii="黑体" w:hAnsi="黑体" w:eastAsia="黑体" w:cs="黑体"/>
          <w:sz w:val="24"/>
          <w:szCs w:val="24"/>
        </w:rPr>
      </w:pPr>
      <w:r>
        <w:rPr>
          <w:rFonts w:hint="eastAsia" w:ascii="黑体" w:hAnsi="黑体" w:eastAsia="黑体" w:cs="黑体"/>
          <w:sz w:val="24"/>
          <w:szCs w:val="24"/>
        </w:rPr>
        <w:t>三、预算收支增减变化及情况说明</w:t>
      </w:r>
    </w:p>
    <w:p>
      <w:pPr>
        <w:widowControl w:val="0"/>
        <w:wordWrap/>
        <w:adjustRightInd/>
        <w:spacing w:line="400" w:lineRule="exact"/>
        <w:ind w:right="0" w:firstLine="480" w:firstLineChars="200"/>
        <w:jc w:val="both"/>
        <w:outlineLvl w:val="9"/>
        <w:rPr>
          <w:rFonts w:ascii="宋体" w:hAnsi="宋体" w:eastAsia="仿宋_GB2312"/>
          <w:b/>
          <w:sz w:val="24"/>
          <w:szCs w:val="24"/>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年收入预算为</w:t>
      </w:r>
      <w:r>
        <w:rPr>
          <w:rFonts w:hint="eastAsia" w:ascii="仿宋_GB2312" w:hAnsi="仿宋_GB2312" w:eastAsia="仿宋_GB2312" w:cs="仿宋_GB2312"/>
          <w:sz w:val="24"/>
          <w:szCs w:val="24"/>
          <w:lang w:val="en-US" w:eastAsia="zh-CN"/>
        </w:rPr>
        <w:t>1741.21万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2.04</w:t>
      </w:r>
      <w:r>
        <w:rPr>
          <w:rFonts w:hint="eastAsia" w:ascii="仿宋_GB2312" w:hAnsi="仿宋_GB2312" w:eastAsia="仿宋_GB2312" w:cs="仿宋_GB2312"/>
          <w:sz w:val="24"/>
          <w:szCs w:val="24"/>
        </w:rPr>
        <w:t>%。支出预算为</w:t>
      </w:r>
      <w:r>
        <w:rPr>
          <w:rFonts w:hint="eastAsia" w:ascii="仿宋_GB2312" w:hAnsi="仿宋_GB2312" w:eastAsia="仿宋_GB2312" w:cs="仿宋_GB2312"/>
          <w:sz w:val="24"/>
          <w:szCs w:val="24"/>
          <w:lang w:val="en-US" w:eastAsia="zh-CN"/>
        </w:rPr>
        <w:t>1741.21万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2.04</w:t>
      </w:r>
      <w:r>
        <w:rPr>
          <w:rFonts w:hint="eastAsia" w:ascii="仿宋_GB2312" w:hAnsi="仿宋_GB2312" w:eastAsia="仿宋_GB2312" w:cs="仿宋_GB2312"/>
          <w:sz w:val="24"/>
          <w:szCs w:val="24"/>
        </w:rPr>
        <w:t>%，其中工资福利支出为1445.22万元，比上年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3.10</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在职教职工减少</w:t>
      </w:r>
      <w:r>
        <w:rPr>
          <w:rFonts w:hint="eastAsia" w:ascii="仿宋_GB2312" w:hAnsi="仿宋_GB2312" w:eastAsia="仿宋_GB2312" w:cs="仿宋_GB2312"/>
          <w:sz w:val="24"/>
          <w:szCs w:val="24"/>
        </w:rPr>
        <w:t>；对个人和家庭的补助为</w:t>
      </w:r>
      <w:r>
        <w:rPr>
          <w:rFonts w:hint="eastAsia" w:ascii="仿宋_GB2312" w:hAnsi="仿宋_GB2312" w:eastAsia="仿宋_GB2312" w:cs="仿宋_GB2312"/>
          <w:sz w:val="24"/>
          <w:szCs w:val="24"/>
          <w:lang w:val="en-US" w:eastAsia="zh-CN"/>
        </w:rPr>
        <w:t>98.8万</w:t>
      </w:r>
      <w:r>
        <w:rPr>
          <w:rFonts w:hint="eastAsia" w:ascii="仿宋_GB2312" w:hAnsi="仿宋_GB2312" w:eastAsia="仿宋_GB2312" w:cs="仿宋_GB2312"/>
          <w:sz w:val="24"/>
          <w:szCs w:val="24"/>
        </w:rPr>
        <w:t>元，比上年增</w:t>
      </w:r>
      <w:r>
        <w:rPr>
          <w:rFonts w:hint="eastAsia" w:ascii="仿宋_GB2312" w:hAnsi="仿宋_GB2312" w:eastAsia="仿宋_GB2312" w:cs="仿宋_GB2312"/>
          <w:sz w:val="24"/>
          <w:szCs w:val="24"/>
          <w:lang w:eastAsia="zh-CN"/>
        </w:rPr>
        <w:t>长</w:t>
      </w:r>
      <w:r>
        <w:rPr>
          <w:rFonts w:hint="eastAsia" w:ascii="仿宋_GB2312" w:hAnsi="仿宋_GB2312" w:eastAsia="仿宋_GB2312" w:cs="仿宋_GB2312"/>
          <w:sz w:val="24"/>
          <w:szCs w:val="24"/>
          <w:lang w:val="en-US" w:eastAsia="zh-CN"/>
        </w:rPr>
        <w:t>3.52</w:t>
      </w:r>
      <w:r>
        <w:rPr>
          <w:rFonts w:hint="eastAsia" w:ascii="仿宋_GB2312" w:hAnsi="仿宋_GB2312" w:eastAsia="仿宋_GB2312" w:cs="仿宋_GB2312"/>
          <w:sz w:val="24"/>
          <w:szCs w:val="24"/>
        </w:rPr>
        <w:t>%，原因是遗属生活补助标准提高；商品服务支出为</w:t>
      </w:r>
      <w:r>
        <w:rPr>
          <w:rFonts w:hint="eastAsia" w:ascii="仿宋_GB2312" w:hAnsi="仿宋_GB2312" w:eastAsia="仿宋_GB2312" w:cs="仿宋_GB2312"/>
          <w:sz w:val="24"/>
          <w:szCs w:val="24"/>
          <w:lang w:val="en-US" w:eastAsia="zh-CN"/>
        </w:rPr>
        <w:t>23.22万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80.57</w:t>
      </w:r>
      <w:r>
        <w:rPr>
          <w:rFonts w:hint="eastAsia" w:ascii="仿宋_GB2312" w:hAnsi="仿宋_GB2312" w:eastAsia="仿宋_GB2312" w:cs="仿宋_GB2312"/>
          <w:sz w:val="24"/>
          <w:szCs w:val="24"/>
        </w:rPr>
        <w:t>%，</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w:t>
      </w:r>
      <w:r>
        <w:rPr>
          <w:rFonts w:hint="eastAsia" w:ascii="仿宋_GB2312" w:hAnsi="仿宋_GB2312" w:eastAsia="仿宋_GB2312" w:cs="仿宋_GB2312"/>
          <w:sz w:val="24"/>
          <w:szCs w:val="24"/>
          <w:lang w:eastAsia="zh-CN"/>
        </w:rPr>
        <w:t>经济分类科目调整；</w:t>
      </w:r>
      <w:r>
        <w:rPr>
          <w:rFonts w:hint="eastAsia" w:ascii="仿宋_GB2312" w:hAnsi="宋体" w:eastAsia="仿宋_GB2312"/>
          <w:sz w:val="24"/>
          <w:szCs w:val="24"/>
        </w:rPr>
        <w:t>项目支出为173.97万元，</w:t>
      </w:r>
      <w:r>
        <w:rPr>
          <w:rFonts w:hint="eastAsia" w:ascii="仿宋_GB2312" w:hAnsi="仿宋_GB2312" w:eastAsia="仿宋_GB2312" w:cs="仿宋_GB2312"/>
          <w:sz w:val="24"/>
          <w:szCs w:val="24"/>
          <w:lang w:eastAsia="zh-CN"/>
        </w:rPr>
        <w:t>比上年增长</w:t>
      </w:r>
      <w:r>
        <w:rPr>
          <w:rFonts w:hint="eastAsia" w:ascii="仿宋_GB2312" w:hAnsi="仿宋_GB2312" w:eastAsia="仿宋_GB2312" w:cs="仿宋_GB2312"/>
          <w:sz w:val="24"/>
          <w:szCs w:val="24"/>
          <w:lang w:val="en-US" w:eastAsia="zh-CN"/>
        </w:rPr>
        <w:t>100</w:t>
      </w:r>
      <w:r>
        <w:rPr>
          <w:rFonts w:hint="eastAsia" w:ascii="仿宋_GB2312" w:hAnsi="仿宋_GB2312" w:eastAsia="仿宋_GB2312" w:cs="仿宋_GB2312"/>
          <w:sz w:val="24"/>
          <w:szCs w:val="24"/>
          <w:lang w:eastAsia="zh-CN"/>
        </w:rPr>
        <w:t>%，原因是部门经济分类科目调整</w:t>
      </w:r>
      <w:r>
        <w:rPr>
          <w:rFonts w:hint="eastAsia" w:ascii="仿宋_GB2312" w:hAnsi="仿宋_GB2312" w:eastAsia="仿宋_GB2312" w:cs="仿宋_GB2312"/>
          <w:sz w:val="24"/>
          <w:szCs w:val="24"/>
        </w:rPr>
        <w:t>。</w:t>
      </w:r>
    </w:p>
    <w:p>
      <w:pPr>
        <w:widowControl w:val="0"/>
        <w:wordWrap/>
        <w:adjustRightInd/>
        <w:spacing w:line="400" w:lineRule="exact"/>
        <w:ind w:right="0" w:firstLine="480" w:firstLineChars="200"/>
        <w:jc w:val="both"/>
        <w:outlineLvl w:val="9"/>
        <w:rPr>
          <w:rFonts w:hint="eastAsia" w:ascii="黑体" w:hAnsi="黑体" w:eastAsia="黑体" w:cs="黑体"/>
          <w:sz w:val="24"/>
          <w:szCs w:val="24"/>
        </w:rPr>
      </w:pPr>
      <w:r>
        <w:rPr>
          <w:rFonts w:hint="eastAsia" w:ascii="黑体" w:hAnsi="黑体" w:eastAsia="黑体" w:cs="黑体"/>
          <w:sz w:val="24"/>
          <w:szCs w:val="24"/>
        </w:rPr>
        <w:t>四、机关运行经费安排情况说明</w:t>
      </w:r>
    </w:p>
    <w:p>
      <w:pPr>
        <w:widowControl w:val="0"/>
        <w:wordWrap/>
        <w:adjustRightInd/>
        <w:spacing w:line="400" w:lineRule="exact"/>
        <w:ind w:right="0" w:firstLine="480" w:firstLineChars="200"/>
        <w:jc w:val="both"/>
        <w:outlineLvl w:val="9"/>
        <w:rPr>
          <w:rFonts w:ascii="宋体" w:hAnsi="宋体" w:eastAsia="仿宋_GB2312"/>
          <w:b/>
          <w:sz w:val="24"/>
          <w:szCs w:val="24"/>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年我单位</w:t>
      </w:r>
      <w:r>
        <w:rPr>
          <w:rFonts w:hint="eastAsia" w:ascii="仿宋_GB2312" w:hAnsi="仿宋_GB2312" w:eastAsia="仿宋_GB2312" w:cs="仿宋_GB2312"/>
          <w:bCs/>
          <w:sz w:val="24"/>
          <w:szCs w:val="24"/>
        </w:rPr>
        <w:t>机关运行经费安排为</w:t>
      </w:r>
      <w:r>
        <w:rPr>
          <w:rFonts w:hint="eastAsia" w:ascii="仿宋_GB2312" w:hAnsi="仿宋_GB2312" w:eastAsia="仿宋_GB2312" w:cs="仿宋_GB2312"/>
          <w:sz w:val="24"/>
          <w:szCs w:val="24"/>
          <w:lang w:val="en-US" w:eastAsia="zh-CN"/>
        </w:rPr>
        <w:t>23.22万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80.57</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原因是部门经济分类科目调整</w:t>
      </w:r>
      <w:r>
        <w:rPr>
          <w:rFonts w:hint="eastAsia" w:ascii="仿宋_GB2312" w:hAnsi="仿宋_GB2312" w:eastAsia="仿宋_GB2312" w:cs="仿宋_GB2312"/>
          <w:sz w:val="24"/>
          <w:szCs w:val="24"/>
        </w:rPr>
        <w:t>。</w:t>
      </w:r>
    </w:p>
    <w:p>
      <w:pPr>
        <w:pStyle w:val="9"/>
        <w:widowControl w:val="0"/>
        <w:wordWrap/>
        <w:adjustRightInd/>
        <w:spacing w:line="400" w:lineRule="exact"/>
        <w:ind w:right="0" w:firstLine="560"/>
        <w:jc w:val="both"/>
        <w:outlineLvl w:val="9"/>
        <w:rPr>
          <w:rFonts w:hint="eastAsia" w:ascii="黑体" w:hAnsi="黑体" w:eastAsia="黑体" w:cs="黑体"/>
          <w:sz w:val="24"/>
          <w:szCs w:val="24"/>
        </w:rPr>
      </w:pPr>
      <w:r>
        <w:rPr>
          <w:rFonts w:hint="eastAsia" w:ascii="黑体" w:hAnsi="黑体" w:eastAsia="黑体" w:cs="黑体"/>
          <w:sz w:val="24"/>
          <w:szCs w:val="24"/>
        </w:rPr>
        <w:t>五、政府采购安排情况说明</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年我单位政府采购预算安排为</w:t>
      </w:r>
      <w:r>
        <w:rPr>
          <w:rFonts w:hint="eastAsia" w:ascii="仿宋_GB2312" w:hAnsi="仿宋_GB2312" w:eastAsia="仿宋_GB2312" w:cs="仿宋_GB2312"/>
          <w:sz w:val="24"/>
          <w:szCs w:val="24"/>
          <w:lang w:val="en-US" w:eastAsia="zh-CN"/>
        </w:rPr>
        <w:t>17.97万</w:t>
      </w:r>
      <w:r>
        <w:rPr>
          <w:rFonts w:hint="eastAsia" w:ascii="仿宋_GB2312" w:hAnsi="仿宋_GB2312" w:eastAsia="仿宋_GB2312" w:cs="仿宋_GB2312"/>
          <w:sz w:val="24"/>
          <w:szCs w:val="24"/>
        </w:rPr>
        <w:t>元，其中A4纸张</w:t>
      </w:r>
      <w:r>
        <w:rPr>
          <w:rFonts w:hint="eastAsia" w:ascii="仿宋_GB2312" w:hAnsi="仿宋_GB2312" w:eastAsia="仿宋_GB2312" w:cs="仿宋_GB2312"/>
          <w:sz w:val="24"/>
          <w:szCs w:val="24"/>
          <w:lang w:val="en-US" w:eastAsia="zh-CN"/>
        </w:rPr>
        <w:t>1.35万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val="en-US" w:eastAsia="zh-CN"/>
        </w:rPr>
        <w:t>LED显示屏0.45万元，办公桌椅1.85万元，厨卫电器1.55万元，床0.42万元，打印机0.94万元，黑板0.48万元，监控0.44万元，课桌椅凳4.57万元，空调1.25万元，图书1.24万元，网络设备0.09万元,文件柜1.49万元,音响0.9万元，心理咨询室设备0.95万元。</w:t>
      </w:r>
    </w:p>
    <w:p>
      <w:pPr>
        <w:widowControl w:val="0"/>
        <w:tabs>
          <w:tab w:val="left" w:pos="763"/>
        </w:tabs>
        <w:wordWrap/>
        <w:adjustRightInd/>
        <w:snapToGrid w:val="0"/>
        <w:spacing w:line="400" w:lineRule="exact"/>
        <w:ind w:right="0" w:firstLine="480" w:firstLineChars="200"/>
        <w:jc w:val="both"/>
        <w:outlineLvl w:val="9"/>
        <w:rPr>
          <w:rFonts w:hint="eastAsia" w:ascii="黑体" w:hAnsi="黑体" w:eastAsia="黑体" w:cs="黑体"/>
          <w:bCs/>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、专业性较强的</w:t>
      </w:r>
      <w:r>
        <w:rPr>
          <w:rFonts w:hint="eastAsia" w:ascii="黑体" w:hAnsi="黑体" w:eastAsia="黑体" w:cs="黑体"/>
          <w:bCs/>
          <w:sz w:val="24"/>
          <w:szCs w:val="24"/>
        </w:rPr>
        <w:t>名词解释</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义务教育“两免一补”：“两免”指免除学杂费、免费提供</w:t>
      </w:r>
      <w:r>
        <w:rPr>
          <w:rFonts w:hint="eastAsia" w:ascii="仿宋_GB2312" w:hAnsi="仿宋_GB2312" w:eastAsia="仿宋_GB2312" w:cs="仿宋_GB2312"/>
          <w:sz w:val="24"/>
          <w:szCs w:val="24"/>
          <w:lang w:eastAsia="zh-CN"/>
        </w:rPr>
        <w:t>教育</w:t>
      </w:r>
      <w:r>
        <w:rPr>
          <w:rFonts w:hint="eastAsia" w:ascii="仿宋_GB2312" w:hAnsi="仿宋_GB2312" w:eastAsia="仿宋_GB2312" w:cs="仿宋_GB2312"/>
          <w:sz w:val="24"/>
          <w:szCs w:val="24"/>
        </w:rPr>
        <w:t>书。 “一补”指我省农村义务教育阶段家庭经济困难学生的生活补助。</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pacing w:val="-1"/>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pStyle w:val="5"/>
        <w:widowControl w:val="0"/>
        <w:shd w:val="clear" w:color="auto" w:fill="FFFFFF"/>
        <w:wordWrap/>
        <w:adjustRightInd/>
        <w:spacing w:line="400" w:lineRule="exact"/>
        <w:ind w:right="0" w:firstLine="480" w:firstLineChars="200"/>
        <w:jc w:val="both"/>
        <w:outlineLvl w:val="9"/>
        <w:rPr>
          <w:rFonts w:hint="eastAsia" w:ascii="黑体" w:hAnsi="黑体" w:eastAsia="黑体" w:cs="黑体"/>
          <w:sz w:val="24"/>
          <w:szCs w:val="24"/>
        </w:rPr>
      </w:pPr>
      <w:r>
        <w:rPr>
          <w:rFonts w:hint="eastAsia" w:ascii="黑体" w:hAnsi="黑体" w:eastAsia="黑体" w:cs="黑体"/>
          <w:bCs/>
          <w:sz w:val="24"/>
          <w:szCs w:val="24"/>
          <w:lang w:eastAsia="zh-CN"/>
        </w:rPr>
        <w:t>七</w:t>
      </w:r>
      <w:r>
        <w:rPr>
          <w:rFonts w:hint="eastAsia" w:ascii="黑体" w:hAnsi="黑体" w:eastAsia="黑体" w:cs="黑体"/>
          <w:bCs/>
          <w:sz w:val="24"/>
          <w:szCs w:val="24"/>
        </w:rPr>
        <w:t>、</w:t>
      </w:r>
      <w:r>
        <w:rPr>
          <w:rFonts w:hint="eastAsia" w:ascii="黑体" w:hAnsi="黑体" w:eastAsia="黑体" w:cs="黑体"/>
          <w:sz w:val="24"/>
          <w:szCs w:val="24"/>
        </w:rPr>
        <w:t>“三公”经费增减变化情况</w:t>
      </w:r>
    </w:p>
    <w:p>
      <w:pPr>
        <w:pStyle w:val="5"/>
        <w:widowControl w:val="0"/>
        <w:shd w:val="clear" w:color="auto" w:fill="FFFFFF"/>
        <w:wordWrap/>
        <w:adjustRightInd/>
        <w:spacing w:line="400" w:lineRule="exact"/>
        <w:ind w:right="0" w:firstLine="480" w:firstLineChars="200"/>
        <w:jc w:val="both"/>
        <w:outlineLvl w:val="9"/>
        <w:rPr>
          <w:rFonts w:hint="eastAsia"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pStyle w:val="5"/>
        <w:widowControl w:val="0"/>
        <w:shd w:val="clear" w:color="auto" w:fill="FFFFFF"/>
        <w:wordWrap/>
        <w:adjustRightInd/>
        <w:spacing w:line="400" w:lineRule="exact"/>
        <w:ind w:right="0" w:firstLine="480" w:firstLineChars="200"/>
        <w:jc w:val="both"/>
        <w:outlineLvl w:val="9"/>
        <w:rPr>
          <w:rFonts w:hint="eastAsia" w:ascii="黑体" w:hAnsi="黑体" w:eastAsia="黑体" w:cs="黑体"/>
          <w:bCs/>
          <w:sz w:val="24"/>
          <w:szCs w:val="24"/>
        </w:rPr>
      </w:pPr>
      <w:bookmarkStart w:id="0" w:name="_GoBack"/>
      <w:bookmarkEnd w:id="0"/>
      <w:r>
        <w:rPr>
          <w:rFonts w:hint="eastAsia" w:ascii="黑体" w:hAnsi="黑体" w:eastAsia="黑体" w:cs="黑体"/>
          <w:bCs/>
          <w:sz w:val="24"/>
          <w:szCs w:val="24"/>
          <w:lang w:eastAsia="zh-CN"/>
        </w:rPr>
        <w:t>八</w:t>
      </w:r>
      <w:r>
        <w:rPr>
          <w:rFonts w:hint="eastAsia" w:ascii="黑体" w:hAnsi="黑体" w:eastAsia="黑体" w:cs="黑体"/>
          <w:bCs/>
          <w:sz w:val="24"/>
          <w:szCs w:val="24"/>
        </w:rPr>
        <w:t>、国有资产占用情况说明</w:t>
      </w:r>
    </w:p>
    <w:p>
      <w:pPr>
        <w:pStyle w:val="4"/>
        <w:widowControl w:val="0"/>
        <w:wordWrap/>
        <w:adjustRightInd/>
        <w:snapToGrid w:val="0"/>
        <w:spacing w:after="0" w:line="400" w:lineRule="exact"/>
        <w:ind w:right="0" w:firstLine="480" w:firstLineChars="200"/>
        <w:jc w:val="both"/>
        <w:textAlignment w:val="baseline"/>
        <w:outlineLvl w:val="9"/>
        <w:rPr>
          <w:rFonts w:hint="default" w:ascii="仿宋_GB2312" w:hAnsi="仿宋_GB2312" w:eastAsia="仿宋_GB2312" w:cs="仿宋_GB2312"/>
          <w:kern w:val="44"/>
          <w:sz w:val="24"/>
          <w:szCs w:val="24"/>
          <w:lang w:val="en-US" w:eastAsia="zh-CN"/>
        </w:rPr>
      </w:pPr>
      <w:r>
        <w:rPr>
          <w:rFonts w:hint="eastAsia" w:ascii="仿宋_GB2312" w:hAnsi="仿宋_GB2312" w:eastAsia="仿宋_GB2312" w:cs="仿宋_GB2312"/>
          <w:kern w:val="44"/>
          <w:sz w:val="24"/>
          <w:szCs w:val="24"/>
          <w:lang w:eastAsia="zh-CN"/>
        </w:rPr>
        <w:t>截止</w:t>
      </w:r>
      <w:r>
        <w:rPr>
          <w:rFonts w:hint="eastAsia" w:ascii="仿宋_GB2312" w:hAnsi="仿宋_GB2312" w:eastAsia="仿宋_GB2312" w:cs="仿宋_GB2312"/>
          <w:kern w:val="44"/>
          <w:sz w:val="24"/>
          <w:szCs w:val="24"/>
          <w:lang w:val="en-US" w:eastAsia="zh-CN"/>
        </w:rPr>
        <w:t>2020年12月31日，我单位资产总额727.81万元，其中流动资产157.95万元，占资产总额的21.70%，固定资产净值569.85万元，占资产总额的78.30%，其中房屋及构筑物351.27万元，占资产总额的48.26%，通用设备139.45万元，占资产总额的19.16%，专用设备8.51万元，占资产总额的1.17%，图书15.57万元，占资产总额的2.14%，家具用具55.05万元，占资产总额的7.56%。</w:t>
      </w:r>
    </w:p>
    <w:p>
      <w:pPr>
        <w:pStyle w:val="5"/>
        <w:widowControl w:val="0"/>
        <w:shd w:val="clear" w:color="auto" w:fill="FFFFFF"/>
        <w:wordWrap/>
        <w:adjustRightInd/>
        <w:spacing w:line="400" w:lineRule="exact"/>
        <w:ind w:right="0" w:firstLine="480" w:firstLineChars="200"/>
        <w:jc w:val="both"/>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2021年我单位预计新增资产</w:t>
      </w:r>
      <w:r>
        <w:rPr>
          <w:rFonts w:hint="eastAsia" w:ascii="仿宋_GB2312" w:hAnsi="仿宋_GB2312" w:eastAsia="仿宋_GB2312" w:cs="仿宋_GB2312"/>
          <w:sz w:val="24"/>
          <w:szCs w:val="24"/>
          <w:lang w:val="en-US" w:eastAsia="zh-CN"/>
        </w:rPr>
        <w:t>16.62万元</w:t>
      </w:r>
      <w:r>
        <w:rPr>
          <w:rFonts w:hint="eastAsia" w:ascii="仿宋_GB2312" w:hAnsi="仿宋_GB2312" w:eastAsia="仿宋_GB2312" w:cs="仿宋_GB2312"/>
          <w:sz w:val="24"/>
          <w:szCs w:val="24"/>
        </w:rPr>
        <w:t>，其中LED显示屏0.45万元，办公桌椅1.85万元，厨卫电器1.55万元，床0.42万元，打印机0.94万元，黑板0.48万元，监控0.44万元，课桌椅凳4.57万元，空调1.25万元，图书1.24万元，网络设备0.09万元，文件柜1.49万元，音响0.9万元，心理咨询室设备0.95万元。</w:t>
      </w:r>
    </w:p>
    <w:p>
      <w:pPr>
        <w:pStyle w:val="5"/>
        <w:widowControl w:val="0"/>
        <w:shd w:val="clear" w:color="auto" w:fill="FFFFFF"/>
        <w:wordWrap/>
        <w:adjustRightInd/>
        <w:spacing w:line="400" w:lineRule="exact"/>
        <w:ind w:right="0" w:firstLine="480" w:firstLineChars="200"/>
        <w:jc w:val="both"/>
        <w:outlineLvl w:val="9"/>
        <w:rPr>
          <w:rFonts w:hint="eastAsia" w:ascii="黑体" w:hAnsi="黑体" w:eastAsia="黑体" w:cs="黑体"/>
          <w:bCs/>
          <w:sz w:val="24"/>
          <w:szCs w:val="24"/>
        </w:rPr>
      </w:pPr>
      <w:r>
        <w:rPr>
          <w:rFonts w:hint="eastAsia" w:ascii="黑体" w:hAnsi="黑体" w:eastAsia="黑体" w:cs="黑体"/>
          <w:bCs/>
          <w:sz w:val="24"/>
          <w:szCs w:val="24"/>
          <w:lang w:eastAsia="zh-CN"/>
        </w:rPr>
        <w:t>九</w:t>
      </w:r>
      <w:r>
        <w:rPr>
          <w:rFonts w:hint="eastAsia" w:ascii="黑体" w:hAnsi="黑体" w:eastAsia="黑体" w:cs="黑体"/>
          <w:bCs/>
          <w:sz w:val="24"/>
          <w:szCs w:val="24"/>
        </w:rPr>
        <w:t>、</w:t>
      </w:r>
      <w:r>
        <w:rPr>
          <w:rFonts w:hint="eastAsia" w:ascii="黑体" w:hAnsi="黑体" w:eastAsia="黑体" w:cs="黑体"/>
          <w:bCs/>
          <w:sz w:val="24"/>
          <w:szCs w:val="24"/>
          <w:lang w:eastAsia="zh-CN"/>
        </w:rPr>
        <w:t>重点</w:t>
      </w:r>
      <w:r>
        <w:rPr>
          <w:rFonts w:hint="eastAsia" w:ascii="黑体" w:hAnsi="黑体" w:eastAsia="黑体" w:cs="黑体"/>
          <w:bCs/>
          <w:sz w:val="24"/>
          <w:szCs w:val="24"/>
        </w:rPr>
        <w:t>项目预算的绩效目标情况说明</w:t>
      </w:r>
    </w:p>
    <w:p>
      <w:pPr>
        <w:pStyle w:val="4"/>
        <w:widowControl w:val="0"/>
        <w:wordWrap/>
        <w:adjustRightInd/>
        <w:snapToGrid w:val="0"/>
        <w:spacing w:after="0" w:line="400" w:lineRule="exact"/>
        <w:ind w:right="0" w:firstLine="480" w:firstLineChars="200"/>
        <w:jc w:val="both"/>
        <w:textAlignment w:val="baseline"/>
        <w:outlineLvl w:val="9"/>
        <w:rPr>
          <w:rFonts w:hint="eastAsia" w:ascii="仿宋_GB2312" w:hAnsi="仿宋_GB2312" w:eastAsia="仿宋_GB2312" w:cs="仿宋_GB2312"/>
          <w:kern w:val="44"/>
          <w:sz w:val="24"/>
          <w:szCs w:val="24"/>
        </w:rPr>
      </w:pPr>
      <w:r>
        <w:rPr>
          <w:rFonts w:hint="eastAsia" w:ascii="仿宋_GB2312" w:hAnsi="仿宋_GB2312" w:eastAsia="仿宋_GB2312" w:cs="仿宋_GB2312"/>
          <w:kern w:val="44"/>
          <w:sz w:val="24"/>
          <w:szCs w:val="24"/>
        </w:rPr>
        <w:t>本年度无</w:t>
      </w:r>
      <w:r>
        <w:rPr>
          <w:rFonts w:hint="eastAsia" w:ascii="仿宋_GB2312" w:hAnsi="仿宋_GB2312" w:eastAsia="仿宋_GB2312" w:cs="仿宋_GB2312"/>
          <w:kern w:val="44"/>
          <w:sz w:val="24"/>
          <w:szCs w:val="24"/>
          <w:lang w:eastAsia="zh-CN"/>
        </w:rPr>
        <w:t>重点</w:t>
      </w:r>
      <w:r>
        <w:rPr>
          <w:rFonts w:hint="eastAsia" w:ascii="仿宋_GB2312" w:hAnsi="仿宋_GB2312" w:eastAsia="仿宋_GB2312" w:cs="仿宋_GB2312"/>
          <w:kern w:val="44"/>
          <w:sz w:val="24"/>
          <w:szCs w:val="24"/>
        </w:rPr>
        <w:t>项目预算的绩效目标。</w:t>
      </w:r>
    </w:p>
    <w:p>
      <w:pPr>
        <w:pStyle w:val="4"/>
        <w:widowControl w:val="0"/>
        <w:wordWrap/>
        <w:adjustRightInd/>
        <w:snapToGrid w:val="0"/>
        <w:spacing w:after="0" w:line="400" w:lineRule="exact"/>
        <w:ind w:right="0" w:firstLine="480" w:firstLineChars="200"/>
        <w:jc w:val="both"/>
        <w:textAlignment w:val="baseline"/>
        <w:outlineLvl w:val="9"/>
        <w:rPr>
          <w:rFonts w:hint="eastAsia" w:ascii="仿宋_GB2312" w:hAnsi="仿宋_GB2312" w:eastAsia="仿宋_GB2312" w:cs="仿宋_GB2312"/>
          <w:kern w:val="44"/>
          <w:sz w:val="24"/>
          <w:szCs w:val="24"/>
        </w:rPr>
      </w:pP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王立国</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杜占家</w:t>
      </w:r>
    </w:p>
    <w:p>
      <w:pPr>
        <w:widowControl w:val="0"/>
        <w:wordWrap/>
        <w:adjustRightInd/>
        <w:spacing w:line="400" w:lineRule="exact"/>
        <w:ind w:right="0" w:firstLine="480" w:firstLineChars="200"/>
        <w:jc w:val="both"/>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eastAsia="zh-CN"/>
        </w:rPr>
        <w:t>程武学</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联 系电</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话：</w:t>
      </w:r>
      <w:r>
        <w:rPr>
          <w:rFonts w:hint="eastAsia" w:ascii="仿宋_GB2312" w:hAnsi="仿宋_GB2312" w:eastAsia="仿宋_GB2312" w:cs="仿宋_GB2312"/>
          <w:sz w:val="24"/>
          <w:szCs w:val="24"/>
          <w:lang w:val="en-US" w:eastAsia="zh-CN"/>
        </w:rPr>
        <w:t>15903487761</w:t>
      </w: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52977BE"/>
    <w:rsid w:val="09277354"/>
    <w:rsid w:val="0ED3560D"/>
    <w:rsid w:val="0F3E36B6"/>
    <w:rsid w:val="195C6E4A"/>
    <w:rsid w:val="1A694B6A"/>
    <w:rsid w:val="1E2B5508"/>
    <w:rsid w:val="21787965"/>
    <w:rsid w:val="24674A7D"/>
    <w:rsid w:val="2A4A105E"/>
    <w:rsid w:val="2C090686"/>
    <w:rsid w:val="2CBF18FC"/>
    <w:rsid w:val="33B73CD5"/>
    <w:rsid w:val="37077D6C"/>
    <w:rsid w:val="3BD317B6"/>
    <w:rsid w:val="49022CDA"/>
    <w:rsid w:val="4B9819E7"/>
    <w:rsid w:val="4DA645D3"/>
    <w:rsid w:val="4E195985"/>
    <w:rsid w:val="51DB76CD"/>
    <w:rsid w:val="529B7A3A"/>
    <w:rsid w:val="56AD65C8"/>
    <w:rsid w:val="5B017F67"/>
    <w:rsid w:val="5D8A3D08"/>
    <w:rsid w:val="70237527"/>
    <w:rsid w:val="70F83CE8"/>
    <w:rsid w:val="71E54B77"/>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pacing w:after="120" w:line="480" w:lineRule="auto"/>
    </w:pPr>
    <w:rPr>
      <w:rFonts w:ascii="Calibri" w:hAnsi="Calibri" w:cs="黑体"/>
      <w:szCs w:val="22"/>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7">
    <w:name w:val="page number"/>
    <w:basedOn w:val="6"/>
    <w:qFormat/>
    <w:uiPriority w:val="0"/>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5670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2021-03-30T05:31:00Z</cp:lastPrinted>
  <dcterms:modified xsi:type="dcterms:W3CDTF">2021-04-27T09:13:19Z</dcterms:modified>
  <dc:title>永济市虞乡镇中心学校</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