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/>
          <w:spacing w:val="-20"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/>
          <w:spacing w:val="-20"/>
          <w:sz w:val="44"/>
          <w:szCs w:val="44"/>
        </w:rPr>
      </w:pPr>
      <w:r>
        <w:rPr>
          <w:rFonts w:hint="eastAsia" w:ascii="黑体" w:hAnsi="黑体" w:eastAsia="黑体"/>
          <w:spacing w:val="-20"/>
          <w:sz w:val="44"/>
          <w:szCs w:val="44"/>
        </w:rPr>
        <w:t>永济市教</w:t>
      </w:r>
      <w:r>
        <w:rPr>
          <w:rFonts w:hint="eastAsia" w:ascii="黑体" w:hAnsi="黑体" w:eastAsia="黑体"/>
          <w:spacing w:val="-20"/>
          <w:sz w:val="44"/>
          <w:szCs w:val="44"/>
          <w:lang w:eastAsia="zh-CN"/>
        </w:rPr>
        <w:t>育</w:t>
      </w:r>
      <w:r>
        <w:rPr>
          <w:rFonts w:hint="eastAsia" w:ascii="黑体" w:hAnsi="黑体" w:eastAsia="黑体"/>
          <w:spacing w:val="-20"/>
          <w:sz w:val="44"/>
          <w:szCs w:val="44"/>
        </w:rPr>
        <w:t>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0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pacing w:val="-20"/>
          <w:sz w:val="44"/>
          <w:szCs w:val="44"/>
        </w:rPr>
        <w:t>柳宗元小学</w:t>
      </w:r>
      <w:r>
        <w:rPr>
          <w:rFonts w:hint="eastAsia" w:ascii="黑体" w:hAnsi="黑体" w:eastAsia="黑体"/>
          <w:spacing w:val="-20"/>
          <w:sz w:val="44"/>
          <w:szCs w:val="44"/>
          <w:lang w:eastAsia="zh-CN"/>
        </w:rPr>
        <w:t>建设</w:t>
      </w:r>
      <w:r>
        <w:rPr>
          <w:rFonts w:hint="eastAsia" w:ascii="黑体" w:hAnsi="黑体" w:eastAsia="黑体"/>
          <w:spacing w:val="-20"/>
          <w:sz w:val="44"/>
          <w:szCs w:val="44"/>
        </w:rPr>
        <w:t>项</w:t>
      </w:r>
      <w:r>
        <w:rPr>
          <w:rFonts w:hint="eastAsia" w:ascii="黑体" w:hAnsi="黑体" w:eastAsia="黑体"/>
          <w:sz w:val="44"/>
          <w:szCs w:val="44"/>
        </w:rPr>
        <w:t>目支出绩效自评报告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/>
        <w:textAlignment w:val="auto"/>
        <w:rPr>
          <w:rFonts w:asciiTheme="majorEastAsia" w:hAnsiTheme="majorEastAsia" w:eastAsiaTheme="major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30"/>
        <w:textAlignment w:val="auto"/>
        <w:rPr>
          <w:rFonts w:ascii="仿宋_GB2312" w:eastAsia="仿宋_GB2312" w:hAnsiTheme="majorEastAsia"/>
          <w:sz w:val="32"/>
          <w:szCs w:val="32"/>
        </w:rPr>
      </w:pPr>
      <w:r>
        <w:rPr>
          <w:rFonts w:hint="eastAsia" w:ascii="仿宋_GB2312" w:eastAsia="仿宋_GB2312" w:hAnsiTheme="majorEastAsia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教育局的职责是全面贯彻国家的教育方针，实施素质教育，提高教育质量，使学生在德、智、体、美、劳等方面全面发展，为培养有理想、有道德、有文化、有纪律的社会主义建设者和接班人奠定基础。2021年</w:t>
      </w:r>
      <w:r>
        <w:rPr>
          <w:rFonts w:hint="eastAsia" w:ascii="仿宋" w:hAnsi="仿宋" w:eastAsia="仿宋" w:cs="仿宋"/>
          <w:sz w:val="32"/>
          <w:szCs w:val="32"/>
        </w:rPr>
        <w:t>永济市教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育</w:t>
      </w:r>
      <w:r>
        <w:rPr>
          <w:rFonts w:hint="eastAsia" w:ascii="仿宋" w:hAnsi="仿宋" w:eastAsia="仿宋" w:cs="仿宋"/>
          <w:sz w:val="32"/>
          <w:szCs w:val="32"/>
        </w:rPr>
        <w:t>系统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共有</w:t>
      </w: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个单位，其中局机关1个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、教学研究室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1个、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幼儿园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5个、</w:t>
      </w:r>
      <w:r>
        <w:rPr>
          <w:rFonts w:hint="eastAsia" w:ascii="仿宋" w:hAnsi="仿宋" w:eastAsia="仿宋" w:cs="仿宋"/>
          <w:sz w:val="32"/>
          <w:szCs w:val="32"/>
        </w:rPr>
        <w:t>中心校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10个、市直小学7个、初中13个、高中3个、中职2个、特教学校1个、九年一贯制学校1个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ascii="仿宋_GB2312" w:eastAsia="仿宋_GB2312"/>
          <w:sz w:val="32"/>
          <w:szCs w:val="32"/>
          <w:lang w:val="zh-CN"/>
        </w:rPr>
      </w:pPr>
      <w:r>
        <w:rPr>
          <w:rFonts w:hint="eastAsia" w:ascii="仿宋_GB2312" w:eastAsia="仿宋_GB2312"/>
          <w:sz w:val="32"/>
          <w:szCs w:val="32"/>
          <w:lang w:val="zh-CN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柳宗元小学建设项目地点位于</w:t>
      </w:r>
      <w:r>
        <w:rPr>
          <w:rFonts w:hint="eastAsia" w:ascii="仿宋_GB2312" w:hAnsi="仿宋" w:eastAsia="仿宋_GB2312" w:cs="仿宋_GB2312"/>
          <w:bCs/>
          <w:kern w:val="2"/>
          <w:sz w:val="32"/>
          <w:szCs w:val="32"/>
        </w:rPr>
        <w:t>电机支路柳岸丽景小区西边，</w:t>
      </w:r>
      <w:r>
        <w:rPr>
          <w:rFonts w:hint="eastAsia" w:ascii="仿宋" w:hAnsi="仿宋" w:eastAsia="仿宋" w:cs="仿宋"/>
          <w:sz w:val="32"/>
          <w:szCs w:val="32"/>
        </w:rPr>
        <w:t>占地面积约60亩，规划设计为8轨制，48个教学班，可容纳学生2160名，预计总投资</w:t>
      </w:r>
      <w:r>
        <w:rPr>
          <w:rFonts w:ascii="仿宋" w:hAnsi="仿宋" w:eastAsia="仿宋" w:cs="仿宋"/>
          <w:sz w:val="32"/>
          <w:szCs w:val="32"/>
        </w:rPr>
        <w:t>8980</w:t>
      </w:r>
      <w:r>
        <w:rPr>
          <w:rFonts w:hint="eastAsia" w:ascii="仿宋" w:hAnsi="仿宋" w:eastAsia="仿宋" w:cs="仿宋"/>
          <w:sz w:val="32"/>
          <w:szCs w:val="32"/>
        </w:rPr>
        <w:t>万元，</w:t>
      </w:r>
      <w:r>
        <w:rPr>
          <w:rFonts w:hint="eastAsia" w:ascii="仿宋_GB2312" w:hAnsi="仿宋" w:eastAsia="仿宋_GB2312"/>
          <w:sz w:val="32"/>
          <w:szCs w:val="32"/>
        </w:rPr>
        <w:t>总建筑面积</w:t>
      </w:r>
      <w:r>
        <w:rPr>
          <w:rFonts w:hint="eastAsia" w:ascii="仿宋_GB2312" w:hAnsi="黑体" w:eastAsia="仿宋_GB2312"/>
          <w:sz w:val="32"/>
          <w:szCs w:val="32"/>
        </w:rPr>
        <w:t>25599.82</w:t>
      </w:r>
      <w:r>
        <w:rPr>
          <w:rFonts w:hint="eastAsia" w:ascii="仿宋_GB2312" w:hAnsi="仿宋" w:eastAsia="仿宋" w:cs="宋体"/>
          <w:sz w:val="32"/>
          <w:szCs w:val="32"/>
        </w:rPr>
        <w:t>平方米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项目新建4层教学楼2栋（东、西教学楼）、4层综合楼1栋、2层食堂（风雨操场）1栋、300米标准运动场、活动场地以及相应的围墙</w:t>
      </w:r>
      <w:r>
        <w:rPr>
          <w:rFonts w:hint="eastAsia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大门、校园道路、室外综合管网、绿化等相关配套设施。按照年初预定目标，年底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主体完工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。资金主要用于支付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工程资金及手续费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数量指标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</w:rPr>
        <w:t>涉及前期手续费的学校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涉及工程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建筑面积</w:t>
      </w:r>
      <w:r>
        <w:rPr>
          <w:rFonts w:hint="eastAsia" w:ascii="仿宋_GB2312" w:hAnsi="仿宋_GB2312" w:eastAsia="仿宋_GB2312" w:cs="仿宋_GB2312"/>
          <w:sz w:val="32"/>
          <w:szCs w:val="32"/>
        </w:rPr>
        <w:t>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25000平方米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时效指标：工程资金拨付及时率</w:t>
      </w:r>
      <w:r>
        <w:rPr>
          <w:rFonts w:hint="eastAsia" w:ascii="仿宋_GB2312" w:hAnsi="仿宋_GB2312" w:eastAsia="仿宋_GB2312" w:cs="仿宋_GB2312"/>
          <w:sz w:val="32"/>
          <w:szCs w:val="32"/>
        </w:rPr>
        <w:t>100%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质量指标：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工程质量合格</w:t>
      </w:r>
      <w:r>
        <w:rPr>
          <w:rFonts w:hint="eastAsia" w:ascii="仿宋_GB2312" w:hAnsi="仿宋_GB2312" w:eastAsia="仿宋_GB2312" w:cs="仿宋_GB2312"/>
          <w:sz w:val="32"/>
          <w:szCs w:val="32"/>
        </w:rPr>
        <w:t>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成本指标：</w:t>
      </w:r>
      <w:r>
        <w:rPr>
          <w:rFonts w:hint="eastAsia" w:ascii="仿宋_GB2312" w:hAnsi="仿宋_GB2312" w:eastAsia="仿宋_GB2312" w:cs="仿宋_GB2312"/>
          <w:sz w:val="32"/>
          <w:szCs w:val="32"/>
        </w:rPr>
        <w:t>本年度工程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投资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5000万元。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社会效益指标：</w:t>
      </w:r>
      <w:r>
        <w:rPr>
          <w:rFonts w:hint="eastAsia" w:ascii="仿宋_GB2312" w:hAnsi="仿宋_GB2312" w:eastAsia="仿宋_GB2312" w:cs="仿宋_GB2312"/>
          <w:sz w:val="32"/>
          <w:szCs w:val="32"/>
        </w:rPr>
        <w:t>惠及学生数≥2160人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服务对象满意度指标：片区群众满意度≥98%。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新建宗元小学工程手续费及工程款</w:t>
      </w:r>
      <w:r>
        <w:rPr>
          <w:rFonts w:hint="default" w:ascii="仿宋_GB2312" w:hAnsi="仿宋" w:eastAsia="仿宋_GB2312" w:cs="仿宋_GB2312"/>
          <w:color w:val="000000"/>
          <w:kern w:val="0"/>
          <w:sz w:val="32"/>
          <w:szCs w:val="32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eastAsia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eastAsia="仿宋_GB2312"/>
          <w:sz w:val="30"/>
          <w:szCs w:val="30"/>
        </w:rPr>
        <w:t xml:space="preserve"> 该项目的实施是落实《国家中长期教育改革和发展规划纲要》和《山西省中长期教育改革和发展规划纲要》的具体措施，具有强有力的政策支持。项目符合永济市教育事业发展规划要求，校舍建筑面积符合《城市普通中小学校校舍建设标准》（建标〔2002〕102号）要求</w:t>
      </w:r>
      <w:r>
        <w:rPr>
          <w:rFonts w:hint="eastAsia" w:eastAsia="仿宋_GB2312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00" w:firstLineChars="200"/>
        <w:textAlignment w:val="auto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2.项目符合申报条件，经市委市政府研究同意，并经发改部门根据政府投资项目管理办法，进行了立项批复（永发改审批发【2019】69号）。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00" w:firstLineChars="200"/>
        <w:textAlignment w:val="auto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00" w:firstLineChars="200"/>
        <w:textAlignment w:val="auto"/>
        <w:rPr>
          <w:rFonts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项目资金根据项目规模、前期手续、工程进度进行分配，全面合理。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80" w:firstLineChars="150"/>
        <w:textAlignment w:val="auto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年度预算资金到位率：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资金到位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5000万元，到位率100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资金到位时效：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资金到位时效率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100%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480" w:firstLineChars="15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资金使用：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存在支出依据不合规、虚列项目支出的情况，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存在截留、挤占、挪用项目资金的情况，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财务管理：会</w:t>
      </w:r>
      <w:r>
        <w:rPr>
          <w:rFonts w:hint="eastAsia" w:ascii="仿宋_GB2312" w:hAnsi="仿宋" w:eastAsia="仿宋_GB2312"/>
          <w:sz w:val="32"/>
          <w:szCs w:val="32"/>
        </w:rPr>
        <w:t>计核算符合有关财务制度，资金管理、费用支出等制度健全、严格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按照财务规章制度</w:t>
      </w:r>
      <w:r>
        <w:rPr>
          <w:rFonts w:hint="eastAsia" w:ascii="仿宋_GB2312" w:hAnsi="仿宋" w:eastAsia="仿宋_GB2312"/>
          <w:sz w:val="32"/>
          <w:szCs w:val="32"/>
        </w:rPr>
        <w:t>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480" w:firstLineChars="15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项目完成程度：</w:t>
      </w:r>
      <w:r>
        <w:rPr>
          <w:rFonts w:hint="eastAsia" w:eastAsia="仿宋_GB2312"/>
          <w:sz w:val="30"/>
          <w:szCs w:val="30"/>
        </w:rPr>
        <w:t>项目按计划完成，机构健全，分工明确，并严格执行项目管理制度。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组织机构：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Hans"/>
        </w:rPr>
        <w:t>目前</w:t>
      </w:r>
      <w:r>
        <w:rPr>
          <w:rFonts w:hint="default" w:ascii="仿宋_GB2312" w:hAnsi="仿宋" w:eastAsia="仿宋_GB2312"/>
          <w:b w:val="0"/>
          <w:bCs/>
          <w:sz w:val="32"/>
          <w:szCs w:val="32"/>
          <w:lang w:eastAsia="zh-Hans"/>
        </w:rPr>
        <w:t>，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Hans"/>
        </w:rPr>
        <w:t>项目已成立专项领导小组</w:t>
      </w:r>
      <w:r>
        <w:rPr>
          <w:rFonts w:hint="default" w:ascii="仿宋_GB2312" w:hAnsi="仿宋" w:eastAsia="仿宋_GB2312"/>
          <w:b w:val="0"/>
          <w:bCs/>
          <w:sz w:val="32"/>
          <w:szCs w:val="32"/>
          <w:lang w:eastAsia="zh-Hans"/>
        </w:rPr>
        <w:t>，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480" w:firstLineChars="150"/>
        <w:textAlignment w:val="auto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jc w:val="both"/>
        <w:textAlignment w:val="auto"/>
        <w:rPr>
          <w:rFonts w:hint="eastAsia" w:ascii="仿宋_GB2312" w:hAnsi="仿宋" w:eastAsia="仿宋_GB2312"/>
          <w:sz w:val="32"/>
          <w:szCs w:val="32"/>
          <w:lang w:val="en-US" w:eastAsia="zh-Hans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产出数量：</w:t>
      </w:r>
      <w:r>
        <w:rPr>
          <w:rFonts w:hint="eastAsia" w:ascii="仿宋_GB2312" w:hAnsi="仿宋" w:eastAsia="仿宋_GB2312"/>
          <w:sz w:val="32"/>
          <w:szCs w:val="32"/>
        </w:rPr>
        <w:t>项目产出数量达到年初设定的数量绩效目标。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完成工程建设面积。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Hans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产出质量：</w:t>
      </w:r>
      <w:r>
        <w:rPr>
          <w:rFonts w:hint="eastAsia" w:ascii="仿宋_GB2312" w:hAnsi="仿宋" w:eastAsia="仿宋_GB2312"/>
          <w:sz w:val="32"/>
          <w:szCs w:val="32"/>
        </w:rPr>
        <w:t>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Hans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产出时效：</w:t>
      </w:r>
      <w:r>
        <w:rPr>
          <w:rFonts w:hint="eastAsia" w:ascii="仿宋_GB2312" w:hAnsi="仿宋" w:eastAsia="仿宋_GB2312"/>
          <w:sz w:val="32"/>
          <w:szCs w:val="32"/>
        </w:rPr>
        <w:t>项目产出达到年初设定的时效绩效目标。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Hans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4.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产出成本：</w:t>
      </w:r>
      <w:r>
        <w:rPr>
          <w:rFonts w:hint="eastAsia" w:ascii="仿宋_GB2312" w:hAnsi="仿宋" w:eastAsia="仿宋_GB2312"/>
          <w:sz w:val="32"/>
          <w:szCs w:val="32"/>
        </w:rPr>
        <w:t>项目产出控制在年初设定的成本绩效目标范围。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480" w:firstLineChars="150"/>
        <w:textAlignment w:val="auto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社会效益：惠及学生数2680名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.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可持续影响：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年度项目实施后确保项目正常开展，并长期保持。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服务对象满意度：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项目服务对象对项目的满意程度达到98%。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五、存在问题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outlineLvl w:val="9"/>
        <w:rPr>
          <w:rFonts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00" w:firstLineChars="200"/>
        <w:textAlignment w:val="auto"/>
        <w:rPr>
          <w:rFonts w:hint="eastAsia" w:eastAsia="仿宋_GB2312"/>
          <w:sz w:val="30"/>
          <w:szCs w:val="30"/>
          <w:lang w:eastAsia="zh-CN"/>
        </w:rPr>
      </w:pPr>
      <w:r>
        <w:rPr>
          <w:rFonts w:hint="eastAsia" w:eastAsia="仿宋_GB2312"/>
          <w:sz w:val="30"/>
          <w:szCs w:val="30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00" w:firstLineChars="200"/>
        <w:textAlignment w:val="auto"/>
        <w:rPr>
          <w:rFonts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00" w:firstLineChars="200"/>
        <w:textAlignment w:val="auto"/>
        <w:rPr>
          <w:rFonts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 w:val="0"/>
        <w:spacing w:after="0" w:line="360" w:lineRule="auto"/>
        <w:ind w:left="0" w:leftChars="0" w:right="0" w:rightChars="0"/>
        <w:textAlignment w:val="auto"/>
        <w:rPr>
          <w:rFonts w:ascii="黑体" w:hAnsi="黑体" w:eastAsia="黑体"/>
          <w:sz w:val="44"/>
          <w:szCs w:val="44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ZWFjYTE2YTQ4ZTFlMzVmNzBjMjM5N2FjNzUzOTg4MjMifQ=="/>
  </w:docVars>
  <w:rsids>
    <w:rsidRoot w:val="00D31D50"/>
    <w:rsid w:val="00323B43"/>
    <w:rsid w:val="003D37D8"/>
    <w:rsid w:val="00426133"/>
    <w:rsid w:val="004358AB"/>
    <w:rsid w:val="00562767"/>
    <w:rsid w:val="006D2FE7"/>
    <w:rsid w:val="00727BB3"/>
    <w:rsid w:val="00805E01"/>
    <w:rsid w:val="008B7726"/>
    <w:rsid w:val="00B21AC3"/>
    <w:rsid w:val="00C053D9"/>
    <w:rsid w:val="00D31D50"/>
    <w:rsid w:val="04066659"/>
    <w:rsid w:val="093C37EF"/>
    <w:rsid w:val="0DD31315"/>
    <w:rsid w:val="15074415"/>
    <w:rsid w:val="288768A6"/>
    <w:rsid w:val="2A1C5032"/>
    <w:rsid w:val="2E3B27EC"/>
    <w:rsid w:val="63231F25"/>
    <w:rsid w:val="6B192D4B"/>
    <w:rsid w:val="7B26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p0"/>
    <w:basedOn w:val="1"/>
    <w:qFormat/>
    <w:uiPriority w:val="0"/>
    <w:pPr>
      <w:adjustRightInd/>
      <w:snapToGrid/>
      <w:spacing w:after="0"/>
      <w:ind w:firstLine="420"/>
    </w:pPr>
    <w:rPr>
      <w:rFonts w:ascii="Times New Roman" w:hAnsi="Times New Roman" w:eastAsia="宋体" w:cs="Times New Roman"/>
      <w:sz w:val="20"/>
      <w:szCs w:val="20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1233</Words>
  <Characters>1314</Characters>
  <Lines>7</Lines>
  <Paragraphs>2</Paragraphs>
  <TotalTime>0</TotalTime>
  <ScaleCrop>false</ScaleCrop>
  <LinksUpToDate>false</LinksUpToDate>
  <CharactersWithSpaces>1315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lenovo</cp:lastModifiedBy>
  <cp:lastPrinted>2021-01-28T03:35:00Z</cp:lastPrinted>
  <dcterms:modified xsi:type="dcterms:W3CDTF">2022-09-29T18:09:52Z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89B6834D16D9466AA0E6A204AE00DCA7</vt:lpwstr>
  </property>
</Properties>
</file>