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市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城西二中</w:t>
      </w:r>
    </w:p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城乡义务教育阶段家庭经济困难学生生活补助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财政项目支出绩效自评报告</w:t>
      </w:r>
    </w:p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spacing w:line="400" w:lineRule="exact"/>
        <w:ind w:firstLine="56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永济市城西第二初级中学校属全额事业单位，位于永济市城西街道任阳街，目前现有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个教学班，在校学生215人，教职工人数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2人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学校依据党的教育方针，遵照《教育法》《义务教育法》《教师法》等法律法规的要求，开展初中教育教学活动。</w:t>
      </w:r>
    </w:p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widowControl w:val="0"/>
        <w:wordWrap/>
        <w:adjustRightInd/>
        <w:snapToGrid w:val="0"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计划资助家庭经济困难子女76人次9.5万元，其中脱贫户子女62人次7.75万元，占资助学生的81.58%，进一步缓解困难家庭的教育负担。 </w:t>
      </w:r>
    </w:p>
    <w:p>
      <w:pPr>
        <w:widowControl w:val="0"/>
        <w:numPr>
          <w:ilvl w:val="0"/>
          <w:numId w:val="1"/>
        </w:numPr>
        <w:wordWrap/>
        <w:autoSpaceDE w:val="0"/>
        <w:autoSpaceDN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widowControl w:val="0"/>
        <w:wordWrap/>
        <w:adjustRightInd/>
        <w:snapToGrid w:val="0"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年初预计资助脱贫户子女人数≥62人次；资助标准年初预计初中寄宿生1250元/年。</w:t>
      </w:r>
    </w:p>
    <w:p>
      <w:pPr>
        <w:widowControl w:val="0"/>
        <w:wordWrap/>
        <w:adjustRightInd/>
        <w:snapToGrid w:val="0"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年初预计接受资助的学生中脱贫户子女占比≥81.58%；应受助学生覆盖率100%。</w:t>
      </w:r>
    </w:p>
    <w:p>
      <w:pPr>
        <w:widowControl w:val="0"/>
        <w:wordWrap/>
        <w:adjustRightInd/>
        <w:snapToGrid w:val="0"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年初预计完成资助资金拨付到位率100%。</w:t>
      </w:r>
    </w:p>
    <w:p>
      <w:pPr>
        <w:widowControl w:val="0"/>
        <w:wordWrap/>
        <w:adjustRightInd/>
        <w:snapToGrid w:val="0"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（4）成本指标。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年初预计完成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资助资金金额9.5万元。</w:t>
      </w:r>
    </w:p>
    <w:p>
      <w:pPr>
        <w:widowControl w:val="0"/>
        <w:wordWrap/>
        <w:adjustRightInd/>
        <w:snapToGrid w:val="0"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年初预计改善家庭经济困难学生的生活水平。</w:t>
      </w:r>
    </w:p>
    <w:p>
      <w:pPr>
        <w:widowControl w:val="0"/>
        <w:wordWrap/>
        <w:adjustRightInd/>
        <w:snapToGrid w:val="0"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（6）可持续影响指标：年初预计项目实施后缓解困难学生的家庭经济负担。</w:t>
      </w:r>
    </w:p>
    <w:p>
      <w:pPr>
        <w:widowControl w:val="0"/>
        <w:wordWrap/>
        <w:adjustRightInd/>
        <w:snapToGrid w:val="0"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（7）</w:t>
      </w:r>
      <w:r>
        <w:rPr>
          <w:rFonts w:hint="eastAsia" w:ascii="仿宋" w:hAnsi="仿宋" w:eastAsia="仿宋" w:cs="仿宋"/>
          <w:sz w:val="32"/>
          <w:szCs w:val="32"/>
        </w:rPr>
        <w:t>满意度指标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年初预计受助学生及家长满意度≥98%。</w:t>
      </w:r>
    </w:p>
    <w:p>
      <w:pPr>
        <w:widowControl w:val="0"/>
        <w:numPr>
          <w:ilvl w:val="0"/>
          <w:numId w:val="1"/>
        </w:numPr>
        <w:wordWrap/>
        <w:autoSpaceDE w:val="0"/>
        <w:autoSpaceDN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widowControl w:val="0"/>
        <w:numPr>
          <w:numId w:val="0"/>
        </w:numPr>
        <w:wordWrap/>
        <w:autoSpaceDE w:val="0"/>
        <w:autoSpaceDN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家庭经济困难学生。</w:t>
      </w:r>
    </w:p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1.决策依据：项目符合经济社会发展规划和部门年度计划。</w:t>
      </w:r>
    </w:p>
    <w:p>
      <w:pPr>
        <w:widowControl w:val="0"/>
        <w:wordWrap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widowControl w:val="0"/>
        <w:wordWrap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1.分配办法：资金管理办法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《山西省教育厅六部门关于家庭经济困难学生认定办法》，分配办法为寄宿制</w:t>
      </w:r>
      <w:r>
        <w:rPr>
          <w:rFonts w:hint="eastAsia" w:ascii="仿宋" w:hAnsi="仿宋" w:eastAsia="仿宋" w:cs="仿宋"/>
          <w:b w:val="0"/>
          <w:bCs/>
          <w:color w:val="111111"/>
          <w:spacing w:val="12"/>
          <w:kern w:val="0"/>
          <w:sz w:val="32"/>
          <w:szCs w:val="32"/>
          <w:shd w:val="clear" w:color="auto" w:fill="FFFFFF"/>
          <w:lang w:val="en-US" w:eastAsia="zh-CN"/>
        </w:rPr>
        <w:t>家庭经济困难初中学生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资助标准每生每年1250元。</w:t>
      </w:r>
    </w:p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2.分配结果：资金分配符合相关管理办法，分配结果合理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%</w:t>
      </w:r>
    </w:p>
    <w:p>
      <w:pPr>
        <w:widowControl w:val="0"/>
        <w:wordWrap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2.资金到位时效：资金及时到位。</w:t>
      </w:r>
    </w:p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widowControl w:val="0"/>
        <w:wordWrap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widowControl w:val="0"/>
        <w:wordWrap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widowControl w:val="0"/>
        <w:wordWrap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widowControl w:val="0"/>
        <w:wordWrap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widowControl w:val="0"/>
        <w:wordWrap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widowControl w:val="0"/>
        <w:wordWrap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widowControl w:val="0"/>
        <w:wordWrap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年度完成76人次；资助标准初中寄宿生1250元/年，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项目产出数量达到年初设定的数量绩效目标。</w:t>
      </w:r>
    </w:p>
    <w:p>
      <w:pPr>
        <w:widowControl w:val="0"/>
        <w:wordWrap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年度接受资助的学生中脱贫户子女占比达90.9%；应受助学生覆盖率100%，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项目产出质量达到年初设定的质量绩效目标。</w:t>
      </w:r>
    </w:p>
    <w:p>
      <w:pPr>
        <w:widowControl w:val="0"/>
        <w:wordWrap/>
        <w:adjustRightInd/>
        <w:snapToGrid w:val="0"/>
        <w:spacing w:line="560" w:lineRule="exact"/>
        <w:ind w:left="0" w:leftChars="0" w:right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年度完成资助资金拨付到位率100%，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项目产出达到年初设定的时效绩效目标。</w:t>
      </w:r>
    </w:p>
    <w:p>
      <w:pPr>
        <w:widowControl w:val="0"/>
        <w:wordWrap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年度完成资助资金金额9.5万元。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widowControl w:val="0"/>
        <w:wordWrap/>
        <w:autoSpaceDE w:val="0"/>
        <w:autoSpaceDN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widowControl w:val="0"/>
        <w:wordWrap/>
        <w:adjustRightInd/>
        <w:snapToGrid w:val="0"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年度完成改善家庭经济困难学生的生活水平。</w:t>
      </w:r>
    </w:p>
    <w:p>
      <w:pPr>
        <w:widowControl w:val="0"/>
        <w:wordWrap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年度项目实施后缓解困难学生的家庭经济负担，并长期保持。</w:t>
      </w:r>
    </w:p>
    <w:p>
      <w:pPr>
        <w:widowControl w:val="0"/>
        <w:numPr>
          <w:numId w:val="0"/>
        </w:numPr>
        <w:wordWrap/>
        <w:adjustRightInd/>
        <w:snapToGrid w:val="0"/>
        <w:spacing w:line="560" w:lineRule="exact"/>
        <w:ind w:left="0" w:leftChars="0" w:right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年度受助学生及家长满意度99%。</w:t>
      </w:r>
    </w:p>
    <w:p>
      <w:pPr>
        <w:widowControl w:val="0"/>
        <w:wordWrap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widowControl w:val="0"/>
        <w:wordWrap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widowControl w:val="0"/>
        <w:wordWrap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widowControl w:val="0"/>
        <w:wordWrap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widowControl w:val="0"/>
        <w:wordWrap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4" w:type="default"/>
      <w:pgSz w:w="11906" w:h="16838"/>
      <w:pgMar w:top="2098" w:right="1417" w:bottom="1644" w:left="1587" w:header="851" w:footer="1417" w:gutter="0"/>
      <w:pgNumType w:fmt="numberInDash" w:start="5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w:pict>
        <v:shape id="Quad Arrow 3073" o:spid="_x0000_s1025" type="#_x0000_t202" style="position:absolute;left:0;margin-top:0pt;height:144pt;width:144pt;mso-position-horizontal:center;mso-position-horizontal-relative:margin;mso-wrap-style:none;rotation:0f;z-index:251658240;" o:ole="f" fillcolor="#FFFFFF" filled="f" o:preferrelative="t" stroked="f" coordorigin="0,0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63904810">
    <w:nsid w:val="632D2C2A"/>
    <w:multiLevelType w:val="singleLevel"/>
    <w:tmpl w:val="632D2C2A"/>
    <w:lvl w:ilvl="0" w:tentative="1">
      <w:start w:val="2"/>
      <w:numFmt w:val="decimal"/>
      <w:suff w:val="nothing"/>
      <w:lvlText w:val="%1."/>
      <w:lvlJc w:val="left"/>
    </w:lvl>
  </w:abstractNum>
  <w:num w:numId="1">
    <w:abstractNumId w:val="16639048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character" w:customStyle="1" w:styleId="6">
    <w:name w:val="Header Char"/>
    <w:basedOn w:val="4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4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167</Words>
  <Characters>952</Characters>
  <Lines>0</Lines>
  <Paragraphs>0</Paragraphs>
  <ScaleCrop>false</ScaleCrop>
  <LinksUpToDate>false</LinksUpToDate>
  <CharactersWithSpaces>0</CharactersWithSpaces>
  <Application>WPS Office 个人版_9.1.0.4793_{F1E327BC-269C-435d-A152-05C5408002CA}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2019-01-03T00:52:00Z</cp:lastPrinted>
  <dcterms:modified xsi:type="dcterms:W3CDTF">2022-09-26T12:45:47Z</dcterms:modified>
  <dc:title>永济市城西二中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2052-9.1.0.4793</vt:lpwstr>
  </property>
</Properties>
</file>