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20" w:lineRule="exact"/>
        <w:rPr>
          <w:rFonts w:ascii="仿宋_GB2312" w:hAnsi="黑体" w:eastAsia="仿宋_GB2312" w:cs="方正小标宋简体"/>
          <w:color w:val="000000"/>
          <w:kern w:val="0"/>
          <w:szCs w:val="21"/>
        </w:rPr>
      </w:pPr>
    </w:p>
    <w:p>
      <w:pPr>
        <w:autoSpaceDE w:val="0"/>
        <w:autoSpaceDN w:val="0"/>
        <w:adjustRightInd w:val="0"/>
        <w:snapToGrid w:val="0"/>
        <w:spacing w:line="288" w:lineRule="auto"/>
        <w:jc w:val="center"/>
        <w:rPr>
          <w:rFonts w:ascii="方正小标宋简体" w:hAnsi="黑体" w:eastAsia="方正小标宋简体" w:cs="方正小标宋简体"/>
          <w:color w:val="000000"/>
          <w:kern w:val="0"/>
          <w:sz w:val="44"/>
          <w:szCs w:val="44"/>
        </w:rPr>
      </w:pPr>
      <w:r>
        <w:rPr>
          <w:rFonts w:hint="eastAsia" w:ascii="方正小标宋简体" w:hAnsi="黑体" w:eastAsia="方正小标宋简体" w:cs="方正小标宋简体"/>
          <w:color w:val="000000"/>
          <w:kern w:val="0"/>
          <w:sz w:val="44"/>
          <w:szCs w:val="44"/>
        </w:rPr>
        <w:t>永济市职业中专学校</w:t>
      </w:r>
    </w:p>
    <w:p>
      <w:pPr>
        <w:autoSpaceDE w:val="0"/>
        <w:autoSpaceDN w:val="0"/>
        <w:adjustRightInd w:val="0"/>
        <w:snapToGrid w:val="0"/>
        <w:spacing w:line="288" w:lineRule="auto"/>
        <w:jc w:val="center"/>
        <w:rPr>
          <w:rFonts w:ascii="方正小标宋简体" w:hAnsi="黑体" w:eastAsia="方正小标宋简体" w:cs="方正小标宋简体"/>
          <w:color w:val="000000"/>
          <w:kern w:val="0"/>
          <w:sz w:val="44"/>
          <w:szCs w:val="44"/>
        </w:rPr>
      </w:pPr>
      <w:r>
        <w:rPr>
          <w:rFonts w:hint="eastAsia" w:ascii="方正小标宋简体" w:hAnsi="黑体" w:eastAsia="方正小标宋简体" w:cs="方正小标宋简体"/>
          <w:color w:val="000000"/>
          <w:kern w:val="0"/>
          <w:sz w:val="44"/>
          <w:szCs w:val="44"/>
        </w:rPr>
        <w:t>中等职业教育免学费补助项目支出绩效</w:t>
      </w:r>
    </w:p>
    <w:p>
      <w:pPr>
        <w:autoSpaceDE w:val="0"/>
        <w:autoSpaceDN w:val="0"/>
        <w:adjustRightInd w:val="0"/>
        <w:snapToGrid w:val="0"/>
        <w:spacing w:line="288" w:lineRule="auto"/>
        <w:jc w:val="center"/>
        <w:rPr>
          <w:rFonts w:ascii="方正小标宋简体" w:hAnsi="黑体" w:eastAsia="方正小标宋简体" w:cs="方正小标宋简体"/>
          <w:color w:val="000000"/>
          <w:kern w:val="0"/>
          <w:sz w:val="44"/>
          <w:szCs w:val="44"/>
        </w:rPr>
      </w:pPr>
      <w:r>
        <w:rPr>
          <w:rFonts w:hint="eastAsia" w:ascii="方正小标宋简体" w:hAnsi="黑体" w:eastAsia="方正小标宋简体" w:cs="方正小标宋简体"/>
          <w:color w:val="000000"/>
          <w:kern w:val="0"/>
          <w:sz w:val="44"/>
          <w:szCs w:val="44"/>
        </w:rPr>
        <w:t>自评报告</w:t>
      </w:r>
    </w:p>
    <w:p>
      <w:pPr>
        <w:autoSpaceDE w:val="0"/>
        <w:autoSpaceDN w:val="0"/>
        <w:adjustRightInd w:val="0"/>
        <w:spacing w:line="520" w:lineRule="exact"/>
        <w:jc w:val="left"/>
        <w:rPr>
          <w:rFonts w:ascii="仿宋_GB2312" w:hAnsi="黑体" w:eastAsia="仿宋_GB2312" w:cs="黑体"/>
          <w:color w:val="000000"/>
          <w:kern w:val="0"/>
          <w:sz w:val="32"/>
          <w:szCs w:val="32"/>
        </w:rPr>
      </w:pPr>
    </w:p>
    <w:p>
      <w:pPr>
        <w:autoSpaceDE w:val="0"/>
        <w:autoSpaceDN w:val="0"/>
        <w:adjustRightInd w:val="0"/>
        <w:snapToGrid w:val="0"/>
        <w:spacing w:line="360" w:lineRule="auto"/>
        <w:ind w:firstLine="600" w:firstLineChars="200"/>
        <w:jc w:val="left"/>
        <w:rPr>
          <w:rFonts w:ascii="黑体" w:hAnsi="黑体" w:eastAsia="黑体" w:cs="黑体"/>
          <w:color w:val="000000"/>
          <w:kern w:val="0"/>
          <w:sz w:val="30"/>
          <w:szCs w:val="30"/>
        </w:rPr>
      </w:pPr>
      <w:r>
        <w:rPr>
          <w:rFonts w:hint="eastAsia" w:ascii="黑体" w:hAnsi="黑体" w:eastAsia="黑体" w:cs="黑体"/>
          <w:color w:val="000000"/>
          <w:kern w:val="0"/>
          <w:sz w:val="30"/>
          <w:szCs w:val="30"/>
        </w:rPr>
        <w:t>一、项目概况</w:t>
      </w:r>
      <w:r>
        <w:rPr>
          <w:rFonts w:ascii="黑体" w:hAnsi="黑体" w:eastAsia="黑体" w:cs="黑体"/>
          <w:color w:val="000000"/>
          <w:kern w:val="0"/>
          <w:sz w:val="30"/>
          <w:szCs w:val="30"/>
        </w:rPr>
        <w:t xml:space="preserve"> </w:t>
      </w:r>
    </w:p>
    <w:p>
      <w:pPr>
        <w:autoSpaceDE w:val="0"/>
        <w:autoSpaceDN w:val="0"/>
        <w:adjustRightInd w:val="0"/>
        <w:snapToGrid w:val="0"/>
        <w:spacing w:line="360" w:lineRule="auto"/>
        <w:ind w:firstLine="450" w:firstLineChars="150"/>
        <w:jc w:val="left"/>
        <w:rPr>
          <w:rFonts w:ascii="楷体" w:hAnsi="楷体" w:eastAsia="楷体" w:cs="仿宋_GB2312"/>
          <w:color w:val="000000"/>
          <w:kern w:val="0"/>
          <w:sz w:val="30"/>
          <w:szCs w:val="30"/>
        </w:rPr>
      </w:pPr>
      <w:r>
        <w:rPr>
          <w:rFonts w:hint="eastAsia" w:ascii="楷体" w:hAnsi="楷体" w:eastAsia="楷体" w:cs="仿宋_GB2312"/>
          <w:color w:val="000000"/>
          <w:kern w:val="0"/>
          <w:sz w:val="30"/>
          <w:szCs w:val="30"/>
        </w:rPr>
        <w:t>（一）项目单位基本情况</w:t>
      </w:r>
    </w:p>
    <w:p>
      <w:pPr>
        <w:snapToGrid w:val="0"/>
        <w:spacing w:line="360" w:lineRule="auto"/>
        <w:ind w:firstLine="600" w:firstLineChars="200"/>
        <w:jc w:val="left"/>
        <w:rPr>
          <w:rFonts w:ascii="楷体" w:hAnsi="楷体" w:eastAsia="楷体" w:cs="仿宋_GB2312"/>
          <w:color w:val="000000"/>
          <w:kern w:val="0"/>
          <w:sz w:val="30"/>
          <w:szCs w:val="30"/>
        </w:rPr>
      </w:pPr>
      <w:r>
        <w:rPr>
          <w:rFonts w:hint="eastAsia" w:ascii="仿宋_GB2312" w:hAnsi="宋体" w:eastAsia="仿宋_GB2312"/>
          <w:sz w:val="30"/>
          <w:szCs w:val="30"/>
        </w:rPr>
        <w:t>永济市职业中专学校是全额事业单位，位于涑水西街235号。主要职责是</w:t>
      </w:r>
      <w:r>
        <w:rPr>
          <w:rFonts w:hint="eastAsia" w:ascii="仿宋_GB2312" w:hAnsi="宋体" w:eastAsia="仿宋_GB2312" w:cs="黑体"/>
          <w:sz w:val="30"/>
          <w:szCs w:val="30"/>
        </w:rPr>
        <w:t>认真贯彻党和国家的教育方针政策，根据教育法规，依法治校，全面完成中职教育任务。</w:t>
      </w:r>
    </w:p>
    <w:p>
      <w:pPr>
        <w:autoSpaceDE w:val="0"/>
        <w:autoSpaceDN w:val="0"/>
        <w:adjustRightInd w:val="0"/>
        <w:snapToGrid w:val="0"/>
        <w:spacing w:line="360" w:lineRule="auto"/>
        <w:ind w:firstLine="450" w:firstLineChars="150"/>
        <w:rPr>
          <w:rFonts w:ascii="楷体" w:hAnsi="楷体" w:eastAsia="楷体" w:cs="仿宋_GB2312"/>
          <w:color w:val="000000"/>
          <w:kern w:val="0"/>
          <w:sz w:val="30"/>
          <w:szCs w:val="30"/>
        </w:rPr>
      </w:pPr>
      <w:r>
        <w:rPr>
          <w:rFonts w:hint="eastAsia" w:ascii="楷体" w:hAnsi="楷体" w:eastAsia="楷体" w:cs="仿宋_GB2312"/>
          <w:color w:val="000000"/>
          <w:kern w:val="0"/>
          <w:sz w:val="30"/>
          <w:szCs w:val="30"/>
        </w:rPr>
        <w:t>（二）项目概况</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ascii="仿宋_GB2312" w:hAnsi="仿宋" w:eastAsia="仿宋_GB2312" w:cs="仿宋_GB2312"/>
          <w:color w:val="000000"/>
          <w:kern w:val="0"/>
          <w:sz w:val="30"/>
          <w:szCs w:val="30"/>
        </w:rPr>
        <w:t>1.</w:t>
      </w:r>
      <w:r>
        <w:rPr>
          <w:rFonts w:hint="eastAsia" w:ascii="仿宋_GB2312" w:hAnsi="仿宋" w:eastAsia="仿宋_GB2312" w:cs="仿宋_GB2312"/>
          <w:color w:val="000000"/>
          <w:kern w:val="0"/>
          <w:sz w:val="30"/>
          <w:szCs w:val="30"/>
        </w:rPr>
        <w:t>年初设定的项目支出绩效目标</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该项目年初设定的绩效目标是科学编制预算，合理分配资金，加强制度管理，保证学校正常运转。</w:t>
      </w:r>
    </w:p>
    <w:p>
      <w:pPr>
        <w:numPr>
          <w:ilvl w:val="0"/>
          <w:numId w:val="1"/>
        </w:num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主要绩效指标及指标值</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数量指标:补助中职免学费所数1所，补助免学费补助人数1523人。</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时效指标：补助资金使用年限2021年1月1日—12月31日。</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质量指标：公用经费补助及时拨付率100%。</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成本指标：生均公用经费拨款标准中职2500元/生/年，职高2000元/生/年。</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社会效益指标：合理使用财政资金，提高资金使用效益，为中职学校教育教学开展提供经费保证。</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服务对象满意度指标：补助经费学校满意度≥99%。</w:t>
      </w:r>
    </w:p>
    <w:p>
      <w:pPr>
        <w:numPr>
          <w:ilvl w:val="0"/>
          <w:numId w:val="1"/>
        </w:num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cs="仿宋_GB2312"/>
          <w:color w:val="000000"/>
          <w:kern w:val="0"/>
          <w:sz w:val="30"/>
          <w:szCs w:val="30"/>
        </w:rPr>
        <w:t>资金使用范围</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hint="eastAsia" w:ascii="仿宋_GB2312" w:hAnsi="仿宋" w:eastAsia="仿宋_GB2312" w:cs="仿宋_GB2312"/>
          <w:bCs/>
          <w:color w:val="000000"/>
          <w:kern w:val="0"/>
          <w:sz w:val="30"/>
          <w:szCs w:val="30"/>
        </w:rPr>
        <w:t>中等职业教育经费根据学校有正式学籍的全日制中职在校生人数拨付。市县学校由市县财政分级负责落实，公用经费的开支主要用于学校日常运转支出，包括教学业务费、实验费、老师培训费、文体活动费、水电费、取暖费、办公费、邮电费、劳务费、交通差旅费、仪器设备及图书资料购置费、校舍及仪器设备的日常维修维护等。不得用于人员经费、基本建设等支出。</w:t>
      </w:r>
    </w:p>
    <w:p>
      <w:pPr>
        <w:autoSpaceDE w:val="0"/>
        <w:autoSpaceDN w:val="0"/>
        <w:adjustRightInd w:val="0"/>
        <w:snapToGrid w:val="0"/>
        <w:spacing w:line="360" w:lineRule="auto"/>
        <w:ind w:firstLine="600" w:firstLineChars="200"/>
        <w:rPr>
          <w:rFonts w:ascii="黑体" w:hAnsi="黑体" w:eastAsia="黑体" w:cs="仿宋_GB2312"/>
          <w:color w:val="000000"/>
          <w:kern w:val="0"/>
          <w:sz w:val="30"/>
          <w:szCs w:val="30"/>
        </w:rPr>
      </w:pPr>
      <w:r>
        <w:rPr>
          <w:rFonts w:hint="eastAsia" w:ascii="黑体" w:hAnsi="黑体" w:eastAsia="黑体" w:cs="仿宋_GB2312"/>
          <w:color w:val="000000"/>
          <w:kern w:val="0"/>
          <w:sz w:val="30"/>
          <w:szCs w:val="30"/>
        </w:rPr>
        <w:t>二、项目决策</w:t>
      </w:r>
    </w:p>
    <w:p>
      <w:pPr>
        <w:autoSpaceDE w:val="0"/>
        <w:autoSpaceDN w:val="0"/>
        <w:adjustRightInd w:val="0"/>
        <w:snapToGrid w:val="0"/>
        <w:spacing w:line="360" w:lineRule="auto"/>
        <w:ind w:firstLine="450" w:firstLineChars="150"/>
        <w:rPr>
          <w:rFonts w:ascii="楷体" w:hAnsi="楷体" w:eastAsia="楷体" w:cs="仿宋_GB2312"/>
          <w:color w:val="000000"/>
          <w:kern w:val="0"/>
          <w:sz w:val="30"/>
          <w:szCs w:val="30"/>
        </w:rPr>
      </w:pPr>
      <w:r>
        <w:rPr>
          <w:rFonts w:hint="eastAsia" w:ascii="楷体" w:hAnsi="楷体" w:eastAsia="楷体" w:cs="仿宋_GB2312"/>
          <w:color w:val="000000"/>
          <w:kern w:val="0"/>
          <w:sz w:val="30"/>
          <w:szCs w:val="30"/>
        </w:rPr>
        <w:t>（一）决策过程</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ascii="仿宋_GB2312" w:hAnsi="仿宋" w:eastAsia="仿宋_GB2312" w:cs="仿宋_GB2312"/>
          <w:bCs/>
          <w:color w:val="000000"/>
          <w:kern w:val="0"/>
          <w:sz w:val="30"/>
          <w:szCs w:val="30"/>
        </w:rPr>
        <w:t>1.</w:t>
      </w:r>
      <w:r>
        <w:rPr>
          <w:rFonts w:hint="eastAsia" w:ascii="仿宋_GB2312" w:hAnsi="仿宋" w:eastAsia="仿宋_GB2312" w:cs="仿宋_GB2312"/>
          <w:bCs/>
          <w:color w:val="000000"/>
          <w:kern w:val="0"/>
          <w:sz w:val="30"/>
          <w:szCs w:val="30"/>
        </w:rPr>
        <w:t>决策依据：该项目依据《运城市财政局、运城市教育局、运城市人力资源和社会保障局关于下达2012年秋季中等职业学校第二批免学费补助资金的通知》运财教〔2012〕93号文件执行，符合经济社会发展规划和部门年度计划。</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ascii="仿宋_GB2312" w:hAnsi="仿宋" w:eastAsia="仿宋_GB2312" w:cs="仿宋_GB2312"/>
          <w:bCs/>
          <w:color w:val="000000"/>
          <w:kern w:val="0"/>
          <w:sz w:val="30"/>
          <w:szCs w:val="30"/>
        </w:rPr>
        <w:t>2.</w:t>
      </w:r>
      <w:r>
        <w:rPr>
          <w:rFonts w:hint="eastAsia" w:ascii="仿宋_GB2312" w:hAnsi="仿宋" w:eastAsia="仿宋_GB2312" w:cs="仿宋_GB2312"/>
          <w:bCs/>
          <w:color w:val="000000"/>
          <w:kern w:val="0"/>
          <w:sz w:val="30"/>
          <w:szCs w:val="30"/>
        </w:rPr>
        <w:t>决策程序：项目符合申报条件；申报、批复程序符合《运城市财政局、运城市教育局、运城市人力资源和社会保障局关于下达2012年秋季中等职业学校第二批免学费补助资金的通知》运财教〔2012〕93号规定</w:t>
      </w:r>
      <w:r>
        <w:rPr>
          <w:rFonts w:hint="eastAsia" w:ascii="仿宋_GB2312" w:hAnsi="仿宋" w:eastAsia="仿宋_GB2312" w:cs="仿宋_GB2312"/>
          <w:color w:val="000000"/>
          <w:kern w:val="0"/>
          <w:sz w:val="30"/>
          <w:szCs w:val="30"/>
        </w:rPr>
        <w:t>。</w:t>
      </w:r>
    </w:p>
    <w:p>
      <w:pPr>
        <w:autoSpaceDE w:val="0"/>
        <w:autoSpaceDN w:val="0"/>
        <w:adjustRightInd w:val="0"/>
        <w:snapToGrid w:val="0"/>
        <w:spacing w:line="360" w:lineRule="auto"/>
        <w:ind w:firstLine="450" w:firstLineChars="150"/>
        <w:rPr>
          <w:rFonts w:ascii="楷体" w:hAnsi="楷体" w:eastAsia="楷体" w:cs="仿宋_GB2312"/>
          <w:color w:val="000000"/>
          <w:kern w:val="0"/>
          <w:sz w:val="30"/>
          <w:szCs w:val="30"/>
        </w:rPr>
      </w:pPr>
      <w:r>
        <w:rPr>
          <w:rFonts w:hint="eastAsia" w:ascii="楷体" w:hAnsi="楷体" w:eastAsia="楷体" w:cs="仿宋_GB2312"/>
          <w:color w:val="000000"/>
          <w:kern w:val="0"/>
          <w:sz w:val="30"/>
          <w:szCs w:val="30"/>
        </w:rPr>
        <w:t>（二）资金分配</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ascii="仿宋_GB2312" w:hAnsi="仿宋" w:eastAsia="仿宋_GB2312" w:cs="仿宋_GB2312"/>
          <w:bCs/>
          <w:color w:val="000000"/>
          <w:kern w:val="0"/>
          <w:sz w:val="30"/>
          <w:szCs w:val="30"/>
        </w:rPr>
        <w:t>1.</w:t>
      </w:r>
      <w:r>
        <w:rPr>
          <w:rFonts w:hint="eastAsia" w:ascii="仿宋_GB2312" w:hAnsi="仿宋" w:eastAsia="仿宋_GB2312" w:cs="仿宋_GB2312"/>
          <w:bCs/>
          <w:color w:val="000000"/>
          <w:kern w:val="0"/>
          <w:sz w:val="30"/>
          <w:szCs w:val="30"/>
        </w:rPr>
        <w:t>分配办法：根据运财教〔2012〕93号文件，全省建立中职学校生均公用经费拨款制度。从2012年秋季起，财政拨款标准为中职2500元/生/年，职高2000元/生/年。</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ascii="仿宋_GB2312" w:hAnsi="仿宋" w:eastAsia="仿宋_GB2312" w:cs="仿宋_GB2312"/>
          <w:bCs/>
          <w:color w:val="000000"/>
          <w:kern w:val="0"/>
          <w:sz w:val="30"/>
          <w:szCs w:val="30"/>
        </w:rPr>
        <w:t>2.</w:t>
      </w:r>
      <w:r>
        <w:rPr>
          <w:rFonts w:hint="eastAsia" w:ascii="仿宋_GB2312" w:hAnsi="仿宋" w:eastAsia="仿宋_GB2312" w:cs="仿宋_GB2312"/>
          <w:bCs/>
          <w:color w:val="000000"/>
          <w:kern w:val="0"/>
          <w:sz w:val="30"/>
          <w:szCs w:val="30"/>
        </w:rPr>
        <w:t>分配结果：资金分配符合相关管理办法，共</w:t>
      </w:r>
      <w:r>
        <w:rPr>
          <w:rFonts w:hint="eastAsia" w:ascii="仿宋_GB2312" w:hAnsi="仿宋" w:eastAsia="仿宋_GB2312" w:cs="仿宋_GB2312"/>
          <w:color w:val="000000"/>
          <w:kern w:val="0"/>
          <w:sz w:val="30"/>
          <w:szCs w:val="30"/>
        </w:rPr>
        <w:t>补助中职免学费所数1所</w:t>
      </w:r>
      <w:r>
        <w:rPr>
          <w:rFonts w:hint="eastAsia" w:ascii="仿宋_GB2312" w:hAnsi="仿宋" w:eastAsia="仿宋_GB2312" w:cs="仿宋_GB2312"/>
          <w:bCs/>
          <w:color w:val="000000"/>
          <w:kern w:val="0"/>
          <w:sz w:val="30"/>
          <w:szCs w:val="30"/>
        </w:rPr>
        <w:t>，分配结果合理。</w:t>
      </w:r>
    </w:p>
    <w:p>
      <w:pPr>
        <w:autoSpaceDE w:val="0"/>
        <w:autoSpaceDN w:val="0"/>
        <w:adjustRightInd w:val="0"/>
        <w:snapToGrid w:val="0"/>
        <w:spacing w:line="360" w:lineRule="auto"/>
        <w:ind w:firstLine="600" w:firstLineChars="200"/>
        <w:rPr>
          <w:rFonts w:ascii="黑体" w:hAnsi="黑体" w:eastAsia="黑体" w:cs="仿宋_GB2312"/>
          <w:color w:val="000000"/>
          <w:kern w:val="0"/>
          <w:sz w:val="30"/>
          <w:szCs w:val="30"/>
        </w:rPr>
      </w:pPr>
      <w:r>
        <w:rPr>
          <w:rFonts w:hint="eastAsia" w:ascii="黑体" w:hAnsi="黑体" w:eastAsia="黑体" w:cs="仿宋_GB2312"/>
          <w:color w:val="000000"/>
          <w:kern w:val="0"/>
          <w:sz w:val="30"/>
          <w:szCs w:val="30"/>
        </w:rPr>
        <w:t>三、项目管理</w:t>
      </w:r>
    </w:p>
    <w:p>
      <w:pPr>
        <w:autoSpaceDE w:val="0"/>
        <w:autoSpaceDN w:val="0"/>
        <w:adjustRightInd w:val="0"/>
        <w:snapToGrid w:val="0"/>
        <w:spacing w:line="360" w:lineRule="auto"/>
        <w:ind w:firstLine="450" w:firstLineChars="150"/>
        <w:rPr>
          <w:rFonts w:ascii="楷体" w:hAnsi="楷体" w:eastAsia="楷体" w:cs="仿宋_GB2312"/>
          <w:color w:val="000000"/>
          <w:kern w:val="0"/>
          <w:sz w:val="30"/>
          <w:szCs w:val="30"/>
        </w:rPr>
      </w:pPr>
      <w:r>
        <w:rPr>
          <w:rFonts w:hint="eastAsia" w:ascii="楷体" w:hAnsi="楷体" w:eastAsia="楷体" w:cs="仿宋_GB2312"/>
          <w:color w:val="000000"/>
          <w:kern w:val="0"/>
          <w:sz w:val="30"/>
          <w:szCs w:val="30"/>
        </w:rPr>
        <w:t>（一）资金到位</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hint="eastAsia" w:ascii="仿宋_GB2312" w:hAnsi="仿宋" w:eastAsia="仿宋_GB2312" w:cs="仿宋_GB2312"/>
          <w:bCs/>
          <w:color w:val="000000"/>
          <w:kern w:val="0"/>
          <w:sz w:val="30"/>
          <w:szCs w:val="30"/>
        </w:rPr>
        <w:t>1.年度预算资金到位率：本年度学生为1523人，其中：中等职业教育1523人，共计380.75万元，项目资金到位380.75万元，到位率100%。</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hint="eastAsia" w:ascii="仿宋_GB2312" w:hAnsi="仿宋" w:eastAsia="仿宋_GB2312" w:cs="仿宋_GB2312"/>
          <w:bCs/>
          <w:color w:val="000000"/>
          <w:kern w:val="0"/>
          <w:sz w:val="30"/>
          <w:szCs w:val="30"/>
        </w:rPr>
        <w:t>2.资金到位时效：资金分春秋两个学期进行拨付，到位率100%。</w:t>
      </w:r>
    </w:p>
    <w:p>
      <w:pPr>
        <w:snapToGrid w:val="0"/>
        <w:spacing w:line="360" w:lineRule="auto"/>
        <w:ind w:firstLine="450" w:firstLineChars="150"/>
        <w:rPr>
          <w:rFonts w:ascii="楷体" w:hAnsi="楷体" w:eastAsia="楷体"/>
          <w:sz w:val="30"/>
          <w:szCs w:val="30"/>
        </w:rPr>
      </w:pPr>
      <w:r>
        <w:rPr>
          <w:rFonts w:hint="eastAsia" w:ascii="楷体" w:hAnsi="楷体" w:eastAsia="楷体"/>
          <w:sz w:val="30"/>
          <w:szCs w:val="30"/>
        </w:rPr>
        <w:t>（二）资金管理</w:t>
      </w:r>
    </w:p>
    <w:p>
      <w:pPr>
        <w:snapToGrid w:val="0"/>
        <w:spacing w:line="360" w:lineRule="auto"/>
        <w:ind w:firstLine="600" w:firstLineChars="200"/>
        <w:rPr>
          <w:rFonts w:ascii="仿宋_GB2312" w:hAnsi="仿宋" w:eastAsia="仿宋_GB2312"/>
          <w:sz w:val="30"/>
          <w:szCs w:val="30"/>
        </w:rPr>
      </w:pPr>
      <w:r>
        <w:rPr>
          <w:rFonts w:ascii="仿宋_GB2312" w:hAnsi="仿宋" w:eastAsia="仿宋_GB2312"/>
          <w:bCs/>
          <w:sz w:val="30"/>
          <w:szCs w:val="30"/>
        </w:rPr>
        <w:t>1.</w:t>
      </w:r>
      <w:r>
        <w:rPr>
          <w:rFonts w:hint="eastAsia" w:ascii="仿宋_GB2312" w:hAnsi="仿宋" w:eastAsia="仿宋_GB2312"/>
          <w:bCs/>
          <w:sz w:val="30"/>
          <w:szCs w:val="30"/>
        </w:rPr>
        <w:t>资金使用：不</w:t>
      </w:r>
      <w:r>
        <w:rPr>
          <w:rFonts w:hint="eastAsia" w:ascii="仿宋_GB2312" w:hAnsi="仿宋" w:eastAsia="仿宋_GB2312"/>
          <w:sz w:val="30"/>
          <w:szCs w:val="30"/>
        </w:rPr>
        <w:t>存在支出依据不合规、虚列项目支出的情况，不存在截留、挤占、挪用项目资金的情况，不存在超标准开支的情况。</w:t>
      </w:r>
    </w:p>
    <w:p>
      <w:pPr>
        <w:snapToGrid w:val="0"/>
        <w:spacing w:line="360" w:lineRule="auto"/>
        <w:ind w:firstLine="600" w:firstLineChars="200"/>
        <w:rPr>
          <w:rFonts w:ascii="仿宋_GB2312" w:hAnsi="仿宋" w:eastAsia="仿宋_GB2312"/>
          <w:sz w:val="30"/>
          <w:szCs w:val="30"/>
        </w:rPr>
      </w:pPr>
      <w:r>
        <w:rPr>
          <w:rFonts w:ascii="仿宋_GB2312" w:hAnsi="仿宋" w:eastAsia="仿宋_GB2312"/>
          <w:bCs/>
          <w:sz w:val="30"/>
          <w:szCs w:val="30"/>
        </w:rPr>
        <w:t>2.</w:t>
      </w:r>
      <w:r>
        <w:rPr>
          <w:rFonts w:hint="eastAsia" w:ascii="仿宋_GB2312" w:hAnsi="仿宋" w:eastAsia="仿宋_GB2312"/>
          <w:bCs/>
          <w:sz w:val="30"/>
          <w:szCs w:val="30"/>
        </w:rPr>
        <w:t>财务管理：</w:t>
      </w:r>
      <w:r>
        <w:rPr>
          <w:rFonts w:hint="eastAsia" w:ascii="仿宋_GB2312" w:hAnsi="仿宋" w:eastAsia="仿宋_GB2312"/>
          <w:sz w:val="30"/>
          <w:szCs w:val="30"/>
        </w:rPr>
        <w:t>会计核算符合有关财务制度，资金管理、费用支出等制度健全、严格按照财务规章制度执行。</w:t>
      </w:r>
    </w:p>
    <w:p>
      <w:pPr>
        <w:snapToGrid w:val="0"/>
        <w:spacing w:line="360" w:lineRule="auto"/>
        <w:ind w:firstLine="450" w:firstLineChars="150"/>
        <w:rPr>
          <w:rFonts w:ascii="楷体" w:hAnsi="楷体" w:eastAsia="楷体"/>
          <w:sz w:val="30"/>
          <w:szCs w:val="30"/>
        </w:rPr>
      </w:pPr>
      <w:r>
        <w:rPr>
          <w:rFonts w:hint="eastAsia" w:ascii="楷体" w:hAnsi="楷体" w:eastAsia="楷体"/>
          <w:sz w:val="30"/>
          <w:szCs w:val="30"/>
        </w:rPr>
        <w:t>（三）组织实施</w:t>
      </w:r>
    </w:p>
    <w:p>
      <w:pPr>
        <w:snapToGrid w:val="0"/>
        <w:spacing w:line="360" w:lineRule="auto"/>
        <w:ind w:firstLine="600" w:firstLineChars="200"/>
        <w:rPr>
          <w:rFonts w:ascii="仿宋_GB2312" w:hAnsi="仿宋" w:eastAsia="仿宋_GB2312"/>
          <w:bCs/>
          <w:sz w:val="30"/>
          <w:szCs w:val="30"/>
        </w:rPr>
      </w:pPr>
      <w:r>
        <w:rPr>
          <w:rFonts w:ascii="仿宋_GB2312" w:hAnsi="仿宋" w:eastAsia="仿宋_GB2312"/>
          <w:bCs/>
          <w:sz w:val="30"/>
          <w:szCs w:val="30"/>
        </w:rPr>
        <w:t>1.</w:t>
      </w:r>
      <w:r>
        <w:rPr>
          <w:rFonts w:hint="eastAsia" w:ascii="仿宋_GB2312" w:hAnsi="仿宋" w:eastAsia="仿宋_GB2312"/>
          <w:bCs/>
          <w:sz w:val="30"/>
          <w:szCs w:val="30"/>
        </w:rPr>
        <w:t>项目完成程度：项目按照计划完成。</w:t>
      </w:r>
    </w:p>
    <w:p>
      <w:pPr>
        <w:snapToGrid w:val="0"/>
        <w:spacing w:line="360" w:lineRule="auto"/>
        <w:ind w:firstLine="600" w:firstLineChars="200"/>
        <w:rPr>
          <w:rFonts w:ascii="仿宋_GB2312" w:hAnsi="仿宋" w:eastAsia="仿宋_GB2312"/>
          <w:bCs/>
          <w:sz w:val="30"/>
          <w:szCs w:val="30"/>
        </w:rPr>
      </w:pPr>
      <w:r>
        <w:rPr>
          <w:rFonts w:ascii="仿宋_GB2312" w:hAnsi="仿宋" w:eastAsia="仿宋_GB2312"/>
          <w:bCs/>
          <w:sz w:val="30"/>
          <w:szCs w:val="30"/>
        </w:rPr>
        <w:t>2.</w:t>
      </w:r>
      <w:r>
        <w:rPr>
          <w:rFonts w:hint="eastAsia" w:ascii="仿宋_GB2312" w:hAnsi="仿宋" w:eastAsia="仿宋_GB2312"/>
          <w:bCs/>
          <w:sz w:val="30"/>
          <w:szCs w:val="30"/>
        </w:rPr>
        <w:t>组织机构：机构健全、分工明确。</w:t>
      </w:r>
    </w:p>
    <w:p>
      <w:pPr>
        <w:snapToGrid w:val="0"/>
        <w:spacing w:line="360" w:lineRule="auto"/>
        <w:ind w:firstLine="600" w:firstLineChars="200"/>
        <w:rPr>
          <w:rFonts w:ascii="仿宋_GB2312" w:hAnsi="仿宋" w:eastAsia="仿宋_GB2312"/>
          <w:sz w:val="30"/>
          <w:szCs w:val="30"/>
        </w:rPr>
      </w:pPr>
      <w:r>
        <w:rPr>
          <w:rFonts w:ascii="仿宋_GB2312" w:hAnsi="仿宋" w:eastAsia="仿宋_GB2312"/>
          <w:bCs/>
          <w:sz w:val="30"/>
          <w:szCs w:val="30"/>
        </w:rPr>
        <w:t>3.</w:t>
      </w:r>
      <w:r>
        <w:rPr>
          <w:rFonts w:hint="eastAsia" w:ascii="仿宋_GB2312" w:hAnsi="仿宋" w:eastAsia="仿宋_GB2312"/>
          <w:bCs/>
          <w:sz w:val="30"/>
          <w:szCs w:val="30"/>
        </w:rPr>
        <w:t>管理制度：建立</w:t>
      </w:r>
      <w:r>
        <w:rPr>
          <w:rFonts w:hint="eastAsia" w:ascii="仿宋_GB2312" w:hAnsi="仿宋" w:eastAsia="仿宋_GB2312"/>
          <w:sz w:val="30"/>
          <w:szCs w:val="30"/>
        </w:rPr>
        <w:t>健全了项目管理制度，并严格执行相关项目管理制度。</w:t>
      </w:r>
    </w:p>
    <w:p>
      <w:pPr>
        <w:snapToGrid w:val="0"/>
        <w:spacing w:line="360" w:lineRule="auto"/>
        <w:ind w:firstLine="600" w:firstLineChars="200"/>
        <w:rPr>
          <w:rFonts w:ascii="黑体" w:hAnsi="黑体" w:eastAsia="黑体"/>
          <w:sz w:val="30"/>
          <w:szCs w:val="30"/>
        </w:rPr>
      </w:pPr>
      <w:r>
        <w:rPr>
          <w:rFonts w:hint="eastAsia" w:ascii="黑体" w:hAnsi="黑体" w:eastAsia="黑体"/>
          <w:sz w:val="30"/>
          <w:szCs w:val="30"/>
        </w:rPr>
        <w:t>四、项目绩效</w:t>
      </w:r>
    </w:p>
    <w:p>
      <w:pPr>
        <w:snapToGrid w:val="0"/>
        <w:spacing w:line="360" w:lineRule="auto"/>
        <w:ind w:firstLine="450" w:firstLineChars="150"/>
        <w:rPr>
          <w:rFonts w:ascii="楷体" w:hAnsi="楷体" w:eastAsia="楷体"/>
          <w:sz w:val="30"/>
          <w:szCs w:val="30"/>
        </w:rPr>
      </w:pPr>
      <w:r>
        <w:rPr>
          <w:rFonts w:hint="eastAsia" w:ascii="楷体" w:hAnsi="楷体" w:eastAsia="楷体"/>
          <w:sz w:val="30"/>
          <w:szCs w:val="30"/>
        </w:rPr>
        <w:t>（一）项目产出</w:t>
      </w:r>
    </w:p>
    <w:p>
      <w:pPr>
        <w:snapToGrid w:val="0"/>
        <w:spacing w:line="360" w:lineRule="auto"/>
        <w:ind w:firstLine="600" w:firstLineChars="200"/>
        <w:rPr>
          <w:rFonts w:ascii="仿宋_GB2312" w:hAnsi="仿宋" w:eastAsia="仿宋_GB2312"/>
          <w:bCs/>
          <w:sz w:val="30"/>
          <w:szCs w:val="30"/>
        </w:rPr>
      </w:pPr>
      <w:r>
        <w:rPr>
          <w:rFonts w:ascii="仿宋_GB2312" w:hAnsi="仿宋" w:eastAsia="仿宋_GB2312"/>
          <w:bCs/>
          <w:sz w:val="30"/>
          <w:szCs w:val="30"/>
        </w:rPr>
        <w:t>1.</w:t>
      </w:r>
      <w:r>
        <w:rPr>
          <w:rFonts w:hint="eastAsia" w:ascii="仿宋_GB2312" w:hAnsi="仿宋" w:eastAsia="仿宋_GB2312"/>
          <w:bCs/>
          <w:sz w:val="30"/>
          <w:szCs w:val="30"/>
        </w:rPr>
        <w:t>产出数量：项目产出数量达到年初设定的数量绩效目标。</w:t>
      </w:r>
    </w:p>
    <w:p>
      <w:pPr>
        <w:autoSpaceDE w:val="0"/>
        <w:autoSpaceDN w:val="0"/>
        <w:adjustRightInd w:val="0"/>
        <w:snapToGrid w:val="0"/>
        <w:spacing w:line="360" w:lineRule="auto"/>
        <w:ind w:firstLine="600" w:firstLineChars="200"/>
        <w:rPr>
          <w:rFonts w:ascii="仿宋_GB2312" w:hAnsi="仿宋" w:eastAsia="仿宋_GB2312" w:cs="仿宋_GB2312"/>
          <w:bCs/>
          <w:color w:val="000000"/>
          <w:kern w:val="0"/>
          <w:sz w:val="30"/>
          <w:szCs w:val="30"/>
        </w:rPr>
      </w:pPr>
      <w:r>
        <w:rPr>
          <w:rFonts w:hint="eastAsia" w:ascii="仿宋_GB2312" w:hAnsi="仿宋" w:eastAsia="仿宋_GB2312" w:cs="仿宋_GB2312"/>
          <w:bCs/>
          <w:color w:val="000000"/>
          <w:kern w:val="0"/>
          <w:sz w:val="30"/>
          <w:szCs w:val="30"/>
        </w:rPr>
        <w:t>年终</w:t>
      </w:r>
      <w:r>
        <w:rPr>
          <w:rFonts w:hint="eastAsia" w:ascii="仿宋_GB2312" w:hAnsi="仿宋" w:eastAsia="仿宋_GB2312" w:cs="仿宋_GB2312"/>
          <w:color w:val="000000"/>
          <w:kern w:val="0"/>
          <w:sz w:val="30"/>
          <w:szCs w:val="30"/>
        </w:rPr>
        <w:t>中等职业教育免学费经费所数1所，补助中等职业教育免学费经费经费学生人数1523人。</w:t>
      </w:r>
    </w:p>
    <w:p>
      <w:pPr>
        <w:snapToGrid w:val="0"/>
        <w:spacing w:line="360" w:lineRule="auto"/>
        <w:ind w:firstLine="600" w:firstLineChars="200"/>
        <w:rPr>
          <w:rFonts w:ascii="仿宋_GB2312" w:hAnsi="仿宋" w:eastAsia="仿宋_GB2312"/>
          <w:bCs/>
          <w:sz w:val="30"/>
          <w:szCs w:val="30"/>
        </w:rPr>
      </w:pPr>
      <w:r>
        <w:rPr>
          <w:rFonts w:ascii="仿宋_GB2312" w:hAnsi="仿宋" w:eastAsia="仿宋_GB2312"/>
          <w:bCs/>
          <w:sz w:val="30"/>
          <w:szCs w:val="30"/>
        </w:rPr>
        <w:t>2.</w:t>
      </w:r>
      <w:r>
        <w:rPr>
          <w:rFonts w:hint="eastAsia" w:ascii="仿宋_GB2312" w:hAnsi="仿宋" w:eastAsia="仿宋_GB2312"/>
          <w:bCs/>
          <w:sz w:val="30"/>
          <w:szCs w:val="30"/>
        </w:rPr>
        <w:t>产出质量：项目产出质量达到年初设定的质量绩效目标。</w:t>
      </w:r>
    </w:p>
    <w:p>
      <w:pPr>
        <w:snapToGrid w:val="0"/>
        <w:spacing w:line="360" w:lineRule="auto"/>
        <w:rPr>
          <w:rFonts w:ascii="仿宋_GB2312" w:hAnsi="仿宋" w:eastAsia="仿宋_GB2312"/>
          <w:bCs/>
          <w:sz w:val="30"/>
          <w:szCs w:val="30"/>
        </w:rPr>
      </w:pPr>
      <w:r>
        <w:rPr>
          <w:rFonts w:hint="eastAsia" w:ascii="仿宋_GB2312" w:hAnsi="仿宋" w:eastAsia="仿宋_GB2312" w:cs="仿宋_GB2312"/>
          <w:bCs/>
          <w:color w:val="000000"/>
          <w:kern w:val="0"/>
          <w:sz w:val="30"/>
          <w:szCs w:val="30"/>
        </w:rPr>
        <w:t>公用经费补助及时拨付率达到100%。</w:t>
      </w:r>
    </w:p>
    <w:p>
      <w:pPr>
        <w:snapToGrid w:val="0"/>
        <w:spacing w:line="360" w:lineRule="auto"/>
        <w:ind w:firstLine="600" w:firstLineChars="200"/>
        <w:rPr>
          <w:rFonts w:ascii="仿宋_GB2312" w:hAnsi="仿宋" w:eastAsia="仿宋_GB2312" w:cs="仿宋_GB2312"/>
          <w:bCs/>
          <w:color w:val="000000"/>
          <w:kern w:val="0"/>
          <w:sz w:val="30"/>
          <w:szCs w:val="30"/>
        </w:rPr>
      </w:pPr>
      <w:r>
        <w:rPr>
          <w:rFonts w:ascii="仿宋_GB2312" w:hAnsi="仿宋" w:eastAsia="仿宋_GB2312"/>
          <w:bCs/>
          <w:sz w:val="30"/>
          <w:szCs w:val="30"/>
        </w:rPr>
        <w:t>3.</w:t>
      </w:r>
      <w:r>
        <w:rPr>
          <w:rFonts w:hint="eastAsia" w:ascii="仿宋_GB2312" w:hAnsi="仿宋" w:eastAsia="仿宋_GB2312"/>
          <w:bCs/>
          <w:sz w:val="30"/>
          <w:szCs w:val="30"/>
        </w:rPr>
        <w:t>产出时效：项目产出达到年初设定的时效绩效目标。</w:t>
      </w:r>
      <w:r>
        <w:rPr>
          <w:rFonts w:hint="eastAsia" w:ascii="仿宋_GB2312" w:hAnsi="仿宋" w:eastAsia="仿宋_GB2312" w:cs="仿宋_GB2312"/>
          <w:bCs/>
          <w:color w:val="000000"/>
          <w:kern w:val="0"/>
          <w:sz w:val="30"/>
          <w:szCs w:val="30"/>
        </w:rPr>
        <w:t>补助资金使用年限从2021年1月1日—12月31日。</w:t>
      </w:r>
    </w:p>
    <w:p>
      <w:pPr>
        <w:snapToGrid w:val="0"/>
        <w:spacing w:line="360" w:lineRule="auto"/>
        <w:ind w:firstLine="600" w:firstLineChars="200"/>
        <w:rPr>
          <w:rFonts w:ascii="仿宋_GB2312" w:hAnsi="仿宋" w:eastAsia="仿宋_GB2312"/>
          <w:sz w:val="30"/>
          <w:szCs w:val="30"/>
        </w:rPr>
      </w:pPr>
      <w:r>
        <w:rPr>
          <w:rFonts w:ascii="仿宋_GB2312" w:hAnsi="仿宋" w:eastAsia="仿宋_GB2312"/>
          <w:bCs/>
          <w:sz w:val="30"/>
          <w:szCs w:val="30"/>
        </w:rPr>
        <w:t>4.</w:t>
      </w:r>
      <w:r>
        <w:rPr>
          <w:rFonts w:hint="eastAsia" w:ascii="仿宋_GB2312" w:hAnsi="仿宋" w:eastAsia="仿宋_GB2312"/>
          <w:bCs/>
          <w:sz w:val="30"/>
          <w:szCs w:val="30"/>
        </w:rPr>
        <w:t>产出成本：项目产</w:t>
      </w:r>
      <w:r>
        <w:rPr>
          <w:rFonts w:hint="eastAsia" w:ascii="仿宋_GB2312" w:hAnsi="仿宋" w:eastAsia="仿宋_GB2312"/>
          <w:sz w:val="30"/>
          <w:szCs w:val="30"/>
        </w:rPr>
        <w:t>出控制在年初设定的成本绩效目标范围。</w:t>
      </w:r>
    </w:p>
    <w:p>
      <w:pPr>
        <w:snapToGrid w:val="0"/>
        <w:spacing w:line="360" w:lineRule="auto"/>
        <w:ind w:firstLine="450" w:firstLineChars="150"/>
        <w:rPr>
          <w:rFonts w:ascii="楷体" w:hAnsi="楷体" w:eastAsia="楷体"/>
          <w:sz w:val="30"/>
          <w:szCs w:val="30"/>
        </w:rPr>
      </w:pPr>
      <w:r>
        <w:rPr>
          <w:rFonts w:hint="eastAsia" w:ascii="楷体" w:hAnsi="楷体" w:eastAsia="楷体"/>
          <w:sz w:val="30"/>
          <w:szCs w:val="30"/>
        </w:rPr>
        <w:t>（二）项目效益</w:t>
      </w:r>
    </w:p>
    <w:p>
      <w:pPr>
        <w:autoSpaceDE w:val="0"/>
        <w:autoSpaceDN w:val="0"/>
        <w:adjustRightInd w:val="0"/>
        <w:snapToGrid w:val="0"/>
        <w:spacing w:line="360" w:lineRule="auto"/>
        <w:ind w:firstLine="600" w:firstLineChars="200"/>
        <w:rPr>
          <w:rFonts w:ascii="仿宋_GB2312" w:hAnsi="仿宋" w:eastAsia="仿宋_GB2312" w:cs="仿宋_GB2312"/>
          <w:color w:val="000000"/>
          <w:kern w:val="0"/>
          <w:sz w:val="30"/>
          <w:szCs w:val="30"/>
        </w:rPr>
      </w:pPr>
      <w:r>
        <w:rPr>
          <w:rFonts w:hint="eastAsia" w:ascii="仿宋_GB2312" w:hAnsi="仿宋" w:eastAsia="仿宋_GB2312"/>
          <w:bCs/>
          <w:sz w:val="30"/>
          <w:szCs w:val="30"/>
        </w:rPr>
        <w:t>1.社会效益：项目实施达到了预期社会综合效益。该项目</w:t>
      </w:r>
      <w:r>
        <w:rPr>
          <w:rFonts w:hint="eastAsia" w:ascii="仿宋_GB2312" w:hAnsi="仿宋" w:eastAsia="仿宋_GB2312" w:cs="仿宋_GB2312"/>
          <w:color w:val="000000"/>
          <w:kern w:val="0"/>
          <w:sz w:val="30"/>
          <w:szCs w:val="30"/>
        </w:rPr>
        <w:t>合理使用财政资金，提高资金使用效益，为高中学校教育教学开展提供经费保证。</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lang w:eastAsia="zh-CN"/>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w:t>
      </w:r>
      <w:r>
        <w:rPr>
          <w:rFonts w:hint="eastAsia" w:ascii="仿宋" w:hAnsi="仿宋" w:eastAsia="仿宋" w:cs="仿宋"/>
          <w:b w:val="0"/>
          <w:bCs/>
          <w:sz w:val="32"/>
          <w:szCs w:val="32"/>
          <w:lang w:eastAsia="zh-CN"/>
        </w:rPr>
        <w:t>可持续影响：</w:t>
      </w:r>
      <w:r>
        <w:rPr>
          <w:rFonts w:hint="eastAsia" w:ascii="仿宋" w:hAnsi="仿宋" w:eastAsia="仿宋" w:cs="仿宋"/>
          <w:b w:val="0"/>
          <w:bCs/>
          <w:sz w:val="32"/>
          <w:szCs w:val="32"/>
          <w:lang w:val="en-US" w:eastAsia="zh-CN"/>
        </w:rPr>
        <w:t>年度项目实施后确保学校正常运转</w:t>
      </w:r>
      <w:bookmarkStart w:id="0" w:name="_GoBack"/>
      <w:bookmarkEnd w:id="0"/>
      <w:r>
        <w:rPr>
          <w:rFonts w:hint="eastAsia" w:ascii="仿宋" w:hAnsi="仿宋" w:eastAsia="仿宋" w:cs="仿宋"/>
          <w:b w:val="0"/>
          <w:bCs/>
          <w:sz w:val="32"/>
          <w:szCs w:val="32"/>
          <w:lang w:val="en-US" w:eastAsia="zh-CN"/>
        </w:rPr>
        <w:t>，并长期保持。</w:t>
      </w:r>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服务对象满意度：</w:t>
      </w:r>
      <w:r>
        <w:rPr>
          <w:rFonts w:hint="eastAsia" w:ascii="仿宋" w:hAnsi="仿宋" w:eastAsia="仿宋" w:cs="仿宋"/>
          <w:b w:val="0"/>
          <w:bCs/>
          <w:sz w:val="32"/>
          <w:szCs w:val="32"/>
          <w:lang w:val="en-US" w:eastAsia="zh-CN"/>
        </w:rPr>
        <w:t>项目服务对象对项目的满意程度达到98%。</w:t>
      </w:r>
    </w:p>
    <w:p>
      <w:pPr>
        <w:snapToGrid w:val="0"/>
        <w:spacing w:line="360" w:lineRule="auto"/>
        <w:ind w:firstLine="600" w:firstLineChars="200"/>
        <w:rPr>
          <w:rFonts w:ascii="仿宋_GB2312" w:hAnsi="仿宋" w:eastAsia="仿宋_GB2312"/>
          <w:sz w:val="30"/>
          <w:szCs w:val="30"/>
        </w:rPr>
      </w:pPr>
    </w:p>
    <w:p>
      <w:pPr>
        <w:snapToGrid w:val="0"/>
        <w:spacing w:line="360" w:lineRule="auto"/>
        <w:ind w:firstLine="600" w:firstLineChars="200"/>
        <w:rPr>
          <w:rFonts w:ascii="黑体" w:hAnsi="黑体" w:eastAsia="黑体"/>
          <w:sz w:val="30"/>
          <w:szCs w:val="30"/>
        </w:rPr>
      </w:pPr>
      <w:r>
        <w:rPr>
          <w:rFonts w:hint="eastAsia" w:ascii="黑体" w:hAnsi="黑体" w:eastAsia="黑体"/>
          <w:sz w:val="30"/>
          <w:szCs w:val="30"/>
        </w:rPr>
        <w:t>五、存在问题</w:t>
      </w:r>
    </w:p>
    <w:p>
      <w:pPr>
        <w:snapToGrid w:val="0"/>
        <w:spacing w:line="360" w:lineRule="auto"/>
        <w:ind w:firstLine="600" w:firstLineChars="200"/>
        <w:rPr>
          <w:rFonts w:ascii="仿宋_GB2312" w:hAnsi="仿宋" w:eastAsia="仿宋_GB2312"/>
          <w:sz w:val="30"/>
          <w:szCs w:val="30"/>
        </w:rPr>
      </w:pPr>
      <w:r>
        <w:rPr>
          <w:rFonts w:hint="eastAsia" w:ascii="仿宋_GB2312" w:hAnsi="仿宋" w:eastAsia="仿宋_GB2312"/>
          <w:sz w:val="30"/>
          <w:szCs w:val="30"/>
        </w:rPr>
        <w:t>无</w:t>
      </w:r>
    </w:p>
    <w:p>
      <w:pPr>
        <w:snapToGrid w:val="0"/>
        <w:spacing w:line="360" w:lineRule="auto"/>
        <w:ind w:firstLine="600" w:firstLineChars="200"/>
        <w:rPr>
          <w:rFonts w:ascii="黑体" w:hAnsi="黑体" w:eastAsia="黑体"/>
          <w:sz w:val="30"/>
          <w:szCs w:val="30"/>
        </w:rPr>
      </w:pPr>
      <w:r>
        <w:rPr>
          <w:rFonts w:hint="eastAsia" w:ascii="黑体" w:hAnsi="黑体" w:eastAsia="黑体"/>
          <w:sz w:val="30"/>
          <w:szCs w:val="30"/>
        </w:rPr>
        <w:t>六、改进措施及建议</w:t>
      </w:r>
    </w:p>
    <w:p>
      <w:pPr>
        <w:snapToGrid w:val="0"/>
        <w:spacing w:line="360" w:lineRule="auto"/>
        <w:ind w:firstLine="600" w:firstLineChars="200"/>
        <w:rPr>
          <w:rFonts w:ascii="仿宋_GB2312" w:hAnsi="仿宋" w:eastAsia="仿宋_GB2312"/>
          <w:sz w:val="30"/>
          <w:szCs w:val="30"/>
        </w:rPr>
      </w:pPr>
      <w:r>
        <w:rPr>
          <w:rFonts w:hint="eastAsia" w:ascii="仿宋_GB2312" w:hAnsi="仿宋" w:eastAsia="仿宋_GB2312"/>
          <w:sz w:val="30"/>
          <w:szCs w:val="30"/>
        </w:rPr>
        <w:t>无</w:t>
      </w:r>
    </w:p>
    <w:p>
      <w:pPr>
        <w:snapToGrid w:val="0"/>
        <w:spacing w:line="360" w:lineRule="auto"/>
        <w:ind w:firstLine="600" w:firstLineChars="200"/>
        <w:rPr>
          <w:rFonts w:ascii="仿宋_GB2312" w:hAnsi="仿宋" w:eastAsia="仿宋_GB2312"/>
          <w:sz w:val="30"/>
          <w:szCs w:val="30"/>
        </w:rPr>
      </w:pPr>
    </w:p>
    <w:p>
      <w:pPr>
        <w:snapToGrid w:val="0"/>
        <w:spacing w:line="360" w:lineRule="auto"/>
        <w:ind w:firstLine="600" w:firstLineChars="200"/>
        <w:rPr>
          <w:rFonts w:ascii="仿宋_GB2312" w:hAnsi="仿宋" w:eastAsia="仿宋_GB2312"/>
          <w:sz w:val="30"/>
          <w:szCs w:val="30"/>
        </w:rPr>
      </w:pPr>
    </w:p>
    <w:p>
      <w:pPr>
        <w:spacing w:line="520" w:lineRule="exact"/>
        <w:ind w:firstLine="600" w:firstLineChars="200"/>
        <w:rPr>
          <w:rFonts w:ascii="仿宋_GB2312" w:hAnsi="仿宋" w:eastAsia="仿宋_GB2312"/>
          <w:sz w:val="30"/>
          <w:szCs w:val="30"/>
        </w:rPr>
      </w:pPr>
    </w:p>
    <w:p>
      <w:pPr>
        <w:spacing w:line="520" w:lineRule="exact"/>
        <w:ind w:firstLine="4800" w:firstLineChars="1600"/>
        <w:rPr>
          <w:rFonts w:ascii="仿宋_GB2312" w:hAnsi="仿宋" w:eastAsia="仿宋_GB2312"/>
          <w:sz w:val="30"/>
          <w:szCs w:val="30"/>
        </w:rPr>
      </w:pPr>
    </w:p>
    <w:p>
      <w:pPr>
        <w:spacing w:line="520" w:lineRule="exact"/>
        <w:ind w:firstLine="4800" w:firstLineChars="1600"/>
        <w:rPr>
          <w:rFonts w:ascii="仿宋_GB2312" w:hAnsi="仿宋" w:eastAsia="仿宋_GB2312"/>
          <w:sz w:val="30"/>
          <w:szCs w:val="30"/>
        </w:rPr>
      </w:pPr>
      <w:r>
        <w:rPr>
          <w:rFonts w:hint="eastAsia" w:ascii="仿宋_GB2312" w:hAnsi="仿宋" w:eastAsia="仿宋_GB2312"/>
          <w:sz w:val="30"/>
          <w:szCs w:val="30"/>
        </w:rPr>
        <w:t>永济市职业中专学校</w:t>
      </w:r>
    </w:p>
    <w:p>
      <w:pPr>
        <w:spacing w:line="520" w:lineRule="exact"/>
        <w:ind w:firstLine="4800" w:firstLineChars="1600"/>
        <w:rPr>
          <w:rFonts w:ascii="仿宋_GB2312" w:hAnsi="仿宋" w:eastAsia="仿宋_GB2312"/>
          <w:sz w:val="30"/>
          <w:szCs w:val="30"/>
        </w:rPr>
      </w:pPr>
    </w:p>
    <w:sectPr>
      <w:pgSz w:w="11906" w:h="16838"/>
      <w:pgMar w:top="2098" w:right="1417" w:bottom="1644" w:left="1587" w:header="851" w:footer="1417" w:gutter="0"/>
      <w:pgNumType w:fmt="numberInDash" w:start="5"/>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9922B9"/>
    <w:multiLevelType w:val="singleLevel"/>
    <w:tmpl w:val="5E9922B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FjYTE2YTQ4ZTFlMzVmNzBjMjM5N2FjNzUzOTg4MjMifQ=="/>
  </w:docVars>
  <w:rsids>
    <w:rsidRoot w:val="00973227"/>
    <w:rsid w:val="0000236A"/>
    <w:rsid w:val="00060999"/>
    <w:rsid w:val="00153E61"/>
    <w:rsid w:val="001869C5"/>
    <w:rsid w:val="00192FDA"/>
    <w:rsid w:val="001975BF"/>
    <w:rsid w:val="001B272B"/>
    <w:rsid w:val="001E324D"/>
    <w:rsid w:val="002234A1"/>
    <w:rsid w:val="00233331"/>
    <w:rsid w:val="00246407"/>
    <w:rsid w:val="002C1382"/>
    <w:rsid w:val="003254A1"/>
    <w:rsid w:val="00333660"/>
    <w:rsid w:val="004F3894"/>
    <w:rsid w:val="0050068C"/>
    <w:rsid w:val="00535DB8"/>
    <w:rsid w:val="005A311A"/>
    <w:rsid w:val="005D1825"/>
    <w:rsid w:val="00635911"/>
    <w:rsid w:val="006D390A"/>
    <w:rsid w:val="00726A98"/>
    <w:rsid w:val="00751E54"/>
    <w:rsid w:val="0076548B"/>
    <w:rsid w:val="007E6147"/>
    <w:rsid w:val="00801390"/>
    <w:rsid w:val="00815E99"/>
    <w:rsid w:val="008A5766"/>
    <w:rsid w:val="008B0F2F"/>
    <w:rsid w:val="008E3852"/>
    <w:rsid w:val="009170C2"/>
    <w:rsid w:val="00952F82"/>
    <w:rsid w:val="00973227"/>
    <w:rsid w:val="00A701B5"/>
    <w:rsid w:val="00AB3DB4"/>
    <w:rsid w:val="00B0471F"/>
    <w:rsid w:val="00B60F25"/>
    <w:rsid w:val="00BA7678"/>
    <w:rsid w:val="00BE6296"/>
    <w:rsid w:val="00C103E6"/>
    <w:rsid w:val="00C60FEA"/>
    <w:rsid w:val="00C7306D"/>
    <w:rsid w:val="00DA31A9"/>
    <w:rsid w:val="00DB4DA8"/>
    <w:rsid w:val="00E0759A"/>
    <w:rsid w:val="00EA38B4"/>
    <w:rsid w:val="00EC6089"/>
    <w:rsid w:val="00EE6B56"/>
    <w:rsid w:val="00FA2EA7"/>
    <w:rsid w:val="00FC1D62"/>
    <w:rsid w:val="088D7099"/>
    <w:rsid w:val="0A6A4D49"/>
    <w:rsid w:val="154510C8"/>
    <w:rsid w:val="1B4A3D25"/>
    <w:rsid w:val="1DFA75C1"/>
    <w:rsid w:val="1EC5719A"/>
    <w:rsid w:val="2212027A"/>
    <w:rsid w:val="22E22F76"/>
    <w:rsid w:val="271C1963"/>
    <w:rsid w:val="2D335900"/>
    <w:rsid w:val="39850E19"/>
    <w:rsid w:val="3A47210A"/>
    <w:rsid w:val="3C1813F2"/>
    <w:rsid w:val="3C40140E"/>
    <w:rsid w:val="3F5E36CE"/>
    <w:rsid w:val="42192677"/>
    <w:rsid w:val="488550B4"/>
    <w:rsid w:val="56405BE5"/>
    <w:rsid w:val="61F317FB"/>
    <w:rsid w:val="622769AD"/>
    <w:rsid w:val="7AB91A1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locked/>
    <w:uiPriority w:val="99"/>
    <w:rPr>
      <w:rFonts w:ascii="Times New Roman" w:hAnsi="Times New Roman" w:eastAsia="宋体" w:cs="Times New Roman"/>
      <w:sz w:val="18"/>
      <w:szCs w:val="18"/>
    </w:rPr>
  </w:style>
  <w:style w:type="character" w:customStyle="1" w:styleId="7">
    <w:name w:val="页脚 Char"/>
    <w:basedOn w:val="5"/>
    <w:link w:val="2"/>
    <w:qFormat/>
    <w:locked/>
    <w:uiPriority w:val="99"/>
    <w:rPr>
      <w:rFonts w:ascii="Times New Roman" w:hAnsi="Times New Roman" w:eastAsia="宋体" w:cs="Times New Roman"/>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1438</Words>
  <Characters>1539</Characters>
  <Lines>1</Lines>
  <Paragraphs>3</Paragraphs>
  <TotalTime>0</TotalTime>
  <ScaleCrop>false</ScaleCrop>
  <LinksUpToDate>false</LinksUpToDate>
  <CharactersWithSpaces>1540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2016-12-09T02:56:00Z</dcterms:created>
  <dc:creator>aaa</dc:creator>
  <cp:lastModifiedBy>lenovo</cp:lastModifiedBy>
  <cp:lastPrinted>2004-01-13T09:30:00Z</cp:lastPrinted>
  <dcterms:modified xsi:type="dcterms:W3CDTF">2022-09-29T17:40:38Z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E1E489EDB07A46F69FAFC5B5A4393E77</vt:lpwstr>
  </property>
</Properties>
</file>