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880" w:firstLineChars="200"/>
        <w:jc w:val="center"/>
        <w:textAlignment w:val="auto"/>
        <w:outlineLvl w:val="9"/>
        <w:rPr>
          <w:rFonts w:hint="eastAsia" w:ascii="黑体" w:hAnsi="黑体" w:eastAsia="黑体" w:cs="黑体"/>
          <w:sz w:val="44"/>
          <w:szCs w:val="44"/>
        </w:rPr>
      </w:pPr>
      <w:r>
        <w:rPr>
          <w:rFonts w:hint="eastAsia" w:ascii="黑体" w:hAnsi="黑体" w:eastAsia="黑体" w:cs="黑体"/>
          <w:sz w:val="44"/>
          <w:szCs w:val="44"/>
        </w:rPr>
        <w:t>2021年度部门决算</w:t>
      </w:r>
      <w:r>
        <w:rPr>
          <w:rFonts w:hint="eastAsia" w:ascii="黑体" w:hAnsi="黑体" w:eastAsia="黑体" w:cs="黑体"/>
          <w:sz w:val="44"/>
          <w:szCs w:val="44"/>
          <w:lang w:eastAsia="zh-CN"/>
        </w:rPr>
        <w:t>公开目录</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ascii="黑体" w:hAnsi="黑体" w:eastAsia="黑体"/>
          <w:szCs w:val="32"/>
        </w:rPr>
      </w:pPr>
      <w:r>
        <w:rPr>
          <w:rFonts w:hint="eastAsia" w:ascii="黑体" w:hAnsi="黑体" w:eastAsia="黑体"/>
          <w:szCs w:val="32"/>
        </w:rPr>
        <w:t>第一部分  概况</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hint="eastAsia" w:ascii="仿宋_GB2312" w:hAnsi="楷体"/>
          <w:szCs w:val="32"/>
        </w:rPr>
      </w:pPr>
      <w:r>
        <w:rPr>
          <w:rFonts w:hint="eastAsia" w:ascii="仿宋_GB2312" w:hAnsi="楷体"/>
          <w:szCs w:val="32"/>
        </w:rPr>
        <w:t>一、本部门职责</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hint="eastAsia" w:ascii="仿宋_GB2312" w:hAnsi="楷体"/>
          <w:szCs w:val="32"/>
        </w:rPr>
      </w:pPr>
      <w:r>
        <w:rPr>
          <w:rFonts w:hint="eastAsia" w:ascii="仿宋_GB2312" w:hAnsi="楷体"/>
          <w:szCs w:val="32"/>
        </w:rPr>
        <w:t>二、机构设置情况</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hint="eastAsia" w:ascii="黑体" w:hAnsi="黑体" w:eastAsia="黑体"/>
          <w:szCs w:val="32"/>
        </w:rPr>
      </w:pPr>
      <w:r>
        <w:rPr>
          <w:rFonts w:hint="eastAsia" w:ascii="黑体" w:hAnsi="黑体" w:eastAsia="黑体"/>
          <w:szCs w:val="32"/>
        </w:rPr>
        <w:t>第二部分  2021年度部门决算报表</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hint="eastAsia" w:ascii="仿宋_GB2312" w:hAnsi="楷体"/>
          <w:szCs w:val="32"/>
        </w:rPr>
      </w:pPr>
      <w:r>
        <w:rPr>
          <w:rFonts w:hint="eastAsia" w:ascii="仿宋_GB2312" w:hAnsi="楷体"/>
          <w:szCs w:val="32"/>
        </w:rPr>
        <w:t>一、收入支出决算总表</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hint="eastAsia" w:ascii="仿宋_GB2312" w:hAnsi="楷体"/>
          <w:szCs w:val="32"/>
        </w:rPr>
      </w:pPr>
      <w:r>
        <w:rPr>
          <w:rFonts w:hint="eastAsia" w:ascii="仿宋_GB2312" w:hAnsi="楷体"/>
          <w:szCs w:val="32"/>
        </w:rPr>
        <w:t>二、收入决算表</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hint="eastAsia" w:ascii="仿宋_GB2312" w:hAnsi="楷体"/>
          <w:szCs w:val="32"/>
        </w:rPr>
      </w:pPr>
      <w:r>
        <w:rPr>
          <w:rFonts w:hint="eastAsia" w:ascii="仿宋_GB2312" w:hAnsi="楷体"/>
          <w:szCs w:val="32"/>
        </w:rPr>
        <w:t>三、支出决算表</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hint="eastAsia" w:ascii="仿宋_GB2312" w:hAnsi="楷体"/>
          <w:szCs w:val="32"/>
        </w:rPr>
      </w:pPr>
      <w:r>
        <w:rPr>
          <w:rFonts w:hint="eastAsia" w:ascii="仿宋_GB2312" w:hAnsi="楷体"/>
          <w:szCs w:val="32"/>
        </w:rPr>
        <w:t>四、财政拨款收入支出决算总表</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hint="eastAsia" w:ascii="仿宋_GB2312" w:hAnsi="楷体"/>
          <w:szCs w:val="32"/>
        </w:rPr>
      </w:pPr>
      <w:r>
        <w:rPr>
          <w:rFonts w:hint="eastAsia" w:ascii="仿宋_GB2312" w:hAnsi="楷体"/>
          <w:szCs w:val="32"/>
        </w:rPr>
        <w:t>五、一般公共预算财政拨款支出决算表（一）</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hint="eastAsia" w:ascii="仿宋_GB2312" w:hAnsi="楷体"/>
          <w:szCs w:val="32"/>
        </w:rPr>
      </w:pPr>
      <w:r>
        <w:rPr>
          <w:rFonts w:hint="eastAsia" w:ascii="仿宋_GB2312" w:hAnsi="楷体"/>
          <w:szCs w:val="32"/>
        </w:rPr>
        <w:t>六、一般公共预算财政拨款支出决算表（二）</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hint="eastAsia" w:ascii="仿宋_GB2312" w:hAnsi="楷体"/>
          <w:szCs w:val="32"/>
        </w:rPr>
      </w:pPr>
      <w:r>
        <w:rPr>
          <w:rFonts w:hint="eastAsia" w:ascii="仿宋_GB2312" w:hAnsi="楷体"/>
          <w:szCs w:val="32"/>
        </w:rPr>
        <w:t>七、一般公共预算财政拨款“三公”经费支出决算表</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ascii="仿宋_GB2312" w:hAnsi="楷体"/>
          <w:szCs w:val="32"/>
        </w:rPr>
      </w:pPr>
      <w:r>
        <w:rPr>
          <w:rFonts w:hint="eastAsia" w:ascii="仿宋_GB2312" w:hAnsi="楷体"/>
          <w:szCs w:val="32"/>
        </w:rPr>
        <w:t>八、政府性基金预算财政拨款收入支出决算表</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hint="eastAsia" w:ascii="仿宋_GB2312" w:hAnsi="楷体"/>
          <w:szCs w:val="32"/>
        </w:rPr>
      </w:pPr>
      <w:r>
        <w:rPr>
          <w:rFonts w:hint="eastAsia" w:ascii="仿宋_GB2312" w:hAnsi="楷体"/>
          <w:szCs w:val="32"/>
        </w:rPr>
        <w:t>九、国有资本经营预算财政拨款支出决算表</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hint="eastAsia" w:ascii="仿宋_GB2312" w:hAnsi="楷体"/>
          <w:szCs w:val="32"/>
        </w:rPr>
      </w:pPr>
      <w:r>
        <w:rPr>
          <w:rFonts w:hint="eastAsia" w:ascii="仿宋_GB2312" w:hAnsi="楷体"/>
          <w:szCs w:val="32"/>
        </w:rPr>
        <w:t>十、部门决算公开相关信息统计表</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ascii="黑体" w:hAnsi="黑体" w:eastAsia="黑体"/>
          <w:szCs w:val="32"/>
        </w:rPr>
      </w:pPr>
      <w:r>
        <w:rPr>
          <w:rFonts w:hint="eastAsia" w:ascii="黑体" w:hAnsi="黑体" w:eastAsia="黑体"/>
          <w:szCs w:val="32"/>
        </w:rPr>
        <w:t>第三部分  2021年度部门决算情况说明</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hint="eastAsia" w:ascii="仿宋_GB2312" w:hAnsi="楷体"/>
          <w:szCs w:val="32"/>
          <w:lang w:val="en-US" w:eastAsia="zh-CN"/>
        </w:rPr>
      </w:pPr>
      <w:r>
        <w:rPr>
          <w:rFonts w:hint="eastAsia" w:ascii="仿宋_GB2312" w:hAnsi="楷体"/>
          <w:szCs w:val="32"/>
          <w:lang w:val="en-US" w:eastAsia="zh-CN"/>
        </w:rPr>
        <w:t>一、收入支出决算总体情况说明</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hint="eastAsia" w:ascii="仿宋_GB2312" w:hAnsi="楷体"/>
          <w:szCs w:val="32"/>
          <w:lang w:val="en-US" w:eastAsia="zh-CN"/>
        </w:rPr>
      </w:pPr>
      <w:r>
        <w:rPr>
          <w:rFonts w:hint="eastAsia" w:ascii="仿宋_GB2312" w:hAnsi="楷体"/>
          <w:szCs w:val="32"/>
          <w:lang w:val="en-US" w:eastAsia="zh-CN"/>
        </w:rPr>
        <w:t>二、收入决算情况说明</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hint="eastAsia" w:ascii="仿宋_GB2312" w:hAnsi="楷体"/>
          <w:szCs w:val="32"/>
          <w:lang w:val="en-US" w:eastAsia="zh-CN"/>
        </w:rPr>
      </w:pPr>
      <w:r>
        <w:rPr>
          <w:rFonts w:hint="eastAsia" w:ascii="仿宋_GB2312" w:hAnsi="楷体"/>
          <w:szCs w:val="32"/>
          <w:lang w:val="en-US" w:eastAsia="zh-CN"/>
        </w:rPr>
        <w:t>三、支出决算情况说明</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hint="eastAsia" w:ascii="仿宋_GB2312" w:hAnsi="楷体"/>
          <w:szCs w:val="32"/>
          <w:lang w:val="en-US" w:eastAsia="zh-CN"/>
        </w:rPr>
      </w:pPr>
      <w:r>
        <w:rPr>
          <w:rFonts w:hint="eastAsia" w:ascii="仿宋_GB2312" w:hAnsi="楷体"/>
          <w:szCs w:val="32"/>
          <w:lang w:val="en-US" w:eastAsia="zh-CN"/>
        </w:rPr>
        <w:t>四、财政拨款收入支出决算总体情况说明</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hint="eastAsia" w:ascii="仿宋_GB2312" w:hAnsi="楷体"/>
          <w:szCs w:val="32"/>
          <w:lang w:val="en-US" w:eastAsia="zh-CN"/>
        </w:rPr>
      </w:pPr>
      <w:r>
        <w:rPr>
          <w:rFonts w:hint="eastAsia" w:ascii="仿宋_GB2312" w:hAnsi="楷体"/>
          <w:szCs w:val="32"/>
          <w:lang w:val="en-US" w:eastAsia="zh-CN"/>
        </w:rPr>
        <w:t>五、一般公共预算财政拨款支出决算情况说明</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hint="eastAsia" w:ascii="仿宋_GB2312" w:hAnsi="楷体"/>
          <w:szCs w:val="32"/>
          <w:lang w:val="en-US" w:eastAsia="zh-CN"/>
        </w:rPr>
      </w:pPr>
      <w:r>
        <w:rPr>
          <w:rFonts w:hint="eastAsia" w:ascii="仿宋_GB2312" w:hAnsi="楷体"/>
          <w:szCs w:val="32"/>
          <w:lang w:val="en-US" w:eastAsia="zh-CN"/>
        </w:rPr>
        <w:t>六、一般公共预算财政拨款基本支出决算情况说明</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hint="eastAsia" w:ascii="仿宋_GB2312" w:hAnsi="楷体"/>
          <w:szCs w:val="32"/>
          <w:lang w:val="en-US" w:eastAsia="zh-CN"/>
        </w:rPr>
      </w:pPr>
      <w:r>
        <w:rPr>
          <w:rFonts w:hint="eastAsia" w:ascii="仿宋_GB2312" w:hAnsi="楷体"/>
          <w:szCs w:val="32"/>
          <w:lang w:val="en-US" w:eastAsia="zh-CN"/>
        </w:rPr>
        <w:t>七、一般公共预算财政拨款“三公”经费支出决算说明</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hint="eastAsia" w:ascii="仿宋_GB2312" w:hAnsi="楷体"/>
          <w:szCs w:val="32"/>
          <w:lang w:val="en-US" w:eastAsia="zh-CN"/>
        </w:rPr>
      </w:pPr>
      <w:r>
        <w:rPr>
          <w:rFonts w:hint="eastAsia" w:ascii="仿宋_GB2312" w:hAnsi="楷体"/>
          <w:szCs w:val="32"/>
          <w:lang w:val="en-US" w:eastAsia="zh-CN"/>
        </w:rPr>
        <w:t>八、其他重要事项情况说明</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rPr>
          <w:rFonts w:ascii="黑体" w:hAnsi="黑体" w:eastAsia="黑体"/>
          <w:szCs w:val="32"/>
        </w:rPr>
      </w:pPr>
      <w:r>
        <w:rPr>
          <w:rFonts w:hint="eastAsia" w:ascii="黑体" w:hAnsi="黑体" w:eastAsia="黑体"/>
          <w:szCs w:val="32"/>
        </w:rPr>
        <w:t xml:space="preserve">第四部分 </w:t>
      </w:r>
      <w:r>
        <w:rPr>
          <w:rFonts w:ascii="黑体" w:hAnsi="黑体" w:eastAsia="黑体"/>
          <w:szCs w:val="32"/>
        </w:rPr>
        <w:t xml:space="preserve"> </w:t>
      </w:r>
      <w:r>
        <w:rPr>
          <w:rFonts w:hint="eastAsia" w:ascii="黑体" w:hAnsi="黑体" w:eastAsia="黑体"/>
          <w:szCs w:val="32"/>
        </w:rPr>
        <w:t>名词解释</w:t>
      </w:r>
    </w:p>
    <w:p>
      <w:pPr>
        <w:keepNext w:val="0"/>
        <w:keepLines w:val="0"/>
        <w:pageBreakBefore w:val="0"/>
        <w:widowControl w:val="0"/>
        <w:kinsoku/>
        <w:wordWrap/>
        <w:overflowPunct/>
        <w:topLinePunct w:val="0"/>
        <w:autoSpaceDE/>
        <w:autoSpaceDN/>
        <w:bidi w:val="0"/>
        <w:adjustRightInd/>
        <w:snapToGrid w:val="0"/>
        <w:spacing w:line="480" w:lineRule="exact"/>
        <w:ind w:left="0" w:leftChars="0" w:right="0" w:rightChars="0" w:firstLine="640" w:firstLineChars="200"/>
        <w:textAlignment w:val="auto"/>
        <w:outlineLvl w:val="9"/>
      </w:pPr>
      <w:r>
        <w:rPr>
          <w:rFonts w:hint="eastAsia" w:ascii="黑体" w:hAnsi="黑体" w:eastAsia="黑体"/>
          <w:szCs w:val="32"/>
        </w:rPr>
        <w:t xml:space="preserve">第五部分 </w:t>
      </w:r>
      <w:r>
        <w:rPr>
          <w:rFonts w:ascii="黑体" w:hAnsi="黑体" w:eastAsia="黑体"/>
          <w:szCs w:val="32"/>
        </w:rPr>
        <w:t xml:space="preserve"> </w:t>
      </w:r>
      <w:r>
        <w:rPr>
          <w:rFonts w:hint="eastAsia" w:ascii="黑体" w:hAnsi="黑体" w:eastAsia="黑体"/>
          <w:szCs w:val="32"/>
        </w:rPr>
        <w:t>附件</w:t>
      </w:r>
    </w:p>
    <w:p>
      <w:pPr>
        <w:keepNext w:val="0"/>
        <w:keepLines w:val="0"/>
        <w:pageBreakBefore w:val="0"/>
        <w:widowControl w:val="0"/>
        <w:kinsoku/>
        <w:wordWrap/>
        <w:overflowPunct/>
        <w:topLinePunct w:val="0"/>
        <w:bidi w:val="0"/>
        <w:snapToGrid w:val="0"/>
        <w:spacing w:line="560" w:lineRule="exact"/>
        <w:ind w:left="0" w:leftChars="0" w:right="0" w:rightChars="0" w:firstLine="0" w:firstLineChars="0"/>
        <w:jc w:val="center"/>
        <w:textAlignment w:val="auto"/>
        <w:rPr>
          <w:rFonts w:hint="default" w:ascii="黑体" w:hAnsi="黑体" w:eastAsia="黑体" w:cs="黑体"/>
          <w:sz w:val="44"/>
          <w:szCs w:val="44"/>
          <w:lang w:val="en-US" w:eastAsia="zh-CN"/>
        </w:rPr>
      </w:pPr>
      <w:r>
        <w:rPr>
          <w:rFonts w:hint="eastAsia" w:ascii="黑体" w:hAnsi="黑体" w:eastAsia="黑体" w:cs="黑体"/>
          <w:sz w:val="44"/>
          <w:szCs w:val="44"/>
        </w:rPr>
        <w:t>永济市</w:t>
      </w:r>
      <w:r>
        <w:rPr>
          <w:rFonts w:hint="eastAsia" w:ascii="黑体" w:hAnsi="黑体" w:eastAsia="黑体" w:cs="黑体"/>
          <w:sz w:val="44"/>
          <w:szCs w:val="44"/>
          <w:lang w:val="en-US" w:eastAsia="zh-CN"/>
        </w:rPr>
        <w:t>城北街道中心学校</w:t>
      </w:r>
    </w:p>
    <w:p>
      <w:pPr>
        <w:keepNext w:val="0"/>
        <w:keepLines w:val="0"/>
        <w:pageBreakBefore w:val="0"/>
        <w:widowControl w:val="0"/>
        <w:kinsoku/>
        <w:wordWrap/>
        <w:overflowPunct/>
        <w:topLinePunct w:val="0"/>
        <w:bidi w:val="0"/>
        <w:snapToGrid w:val="0"/>
        <w:spacing w:line="560" w:lineRule="exact"/>
        <w:ind w:left="0" w:leftChars="0" w:right="0" w:rightChars="0" w:firstLine="0" w:firstLineChars="0"/>
        <w:jc w:val="center"/>
        <w:textAlignment w:val="auto"/>
        <w:rPr>
          <w:rFonts w:hint="eastAsia" w:ascii="黑体" w:hAnsi="黑体" w:eastAsia="黑体" w:cs="黑体"/>
          <w:sz w:val="44"/>
          <w:szCs w:val="44"/>
          <w:lang w:eastAsia="zh-CN"/>
        </w:rPr>
      </w:pPr>
      <w:r>
        <w:rPr>
          <w:rFonts w:hint="eastAsia" w:ascii="黑体" w:hAnsi="黑体" w:eastAsia="黑体" w:cs="黑体"/>
          <w:sz w:val="44"/>
          <w:szCs w:val="44"/>
        </w:rPr>
        <w:t>2021年度部门决算</w:t>
      </w:r>
      <w:r>
        <w:rPr>
          <w:rFonts w:hint="eastAsia" w:ascii="黑体" w:hAnsi="黑体" w:eastAsia="黑体" w:cs="黑体"/>
          <w:sz w:val="44"/>
          <w:szCs w:val="44"/>
          <w:lang w:eastAsia="zh-CN"/>
        </w:rPr>
        <w:t>公开情况说明</w:t>
      </w:r>
    </w:p>
    <w:p>
      <w:pPr>
        <w:keepNext w:val="0"/>
        <w:keepLines w:val="0"/>
        <w:pageBreakBefore w:val="0"/>
        <w:widowControl w:val="0"/>
        <w:kinsoku/>
        <w:wordWrap/>
        <w:overflowPunct/>
        <w:topLinePunct w:val="0"/>
        <w:bidi w:val="0"/>
        <w:snapToGrid w:val="0"/>
        <w:spacing w:line="560" w:lineRule="exact"/>
        <w:ind w:left="0" w:leftChars="0" w:right="0" w:rightChars="0" w:firstLine="0" w:firstLineChars="0"/>
        <w:textAlignment w:val="auto"/>
        <w:rPr>
          <w:rFonts w:ascii="黑体" w:hAnsi="黑体" w:eastAsia="黑体"/>
          <w:szCs w:val="32"/>
        </w:rPr>
      </w:pPr>
      <w:r>
        <w:rPr>
          <w:rFonts w:hint="eastAsia" w:ascii="黑体" w:hAnsi="黑体" w:eastAsia="黑体"/>
          <w:szCs w:val="32"/>
          <w:lang w:val="en-US" w:eastAsia="zh-CN"/>
        </w:rPr>
        <w:t xml:space="preserve">    </w:t>
      </w:r>
      <w:r>
        <w:rPr>
          <w:rFonts w:hint="eastAsia" w:ascii="黑体" w:hAnsi="黑体" w:eastAsia="黑体"/>
          <w:szCs w:val="32"/>
        </w:rPr>
        <w:t>第一部分  概况</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hAnsi="楷体"/>
          <w:szCs w:val="32"/>
        </w:rPr>
      </w:pPr>
      <w:r>
        <w:rPr>
          <w:rFonts w:hint="eastAsia" w:ascii="仿宋_GB2312" w:hAnsi="楷体"/>
          <w:szCs w:val="32"/>
        </w:rPr>
        <w:t>一、本部门职责</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hAnsi="楷体"/>
          <w:szCs w:val="32"/>
        </w:rPr>
      </w:pPr>
      <w:r>
        <w:rPr>
          <w:rFonts w:hint="eastAsia" w:ascii="仿宋_GB2312" w:hAnsi="楷体"/>
          <w:szCs w:val="32"/>
        </w:rPr>
        <w:t>二、机构设置情况</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黑体" w:hAnsi="黑体" w:eastAsia="黑体"/>
          <w:szCs w:val="32"/>
        </w:rPr>
      </w:pPr>
      <w:r>
        <w:rPr>
          <w:rFonts w:hint="eastAsia" w:ascii="黑体" w:hAnsi="黑体" w:eastAsia="黑体"/>
          <w:szCs w:val="32"/>
        </w:rPr>
        <w:t>第二部分  2021年度部门决算报表</w:t>
      </w:r>
      <w:r>
        <w:rPr>
          <w:rFonts w:hint="eastAsia" w:ascii="黑体" w:hAnsi="黑体" w:eastAsia="黑体"/>
          <w:szCs w:val="32"/>
          <w:lang w:eastAsia="zh-CN"/>
        </w:rPr>
        <w:t>（见附件</w:t>
      </w:r>
      <w:r>
        <w:rPr>
          <w:rFonts w:hint="eastAsia" w:ascii="黑体" w:hAnsi="黑体" w:eastAsia="黑体"/>
          <w:szCs w:val="32"/>
          <w:lang w:val="en-US" w:eastAsia="zh-CN"/>
        </w:rPr>
        <w:t>1</w:t>
      </w:r>
      <w:r>
        <w:rPr>
          <w:rFonts w:hint="eastAsia" w:ascii="黑体" w:hAnsi="黑体" w:eastAsia="黑体"/>
          <w:szCs w:val="32"/>
          <w:lang w:eastAsia="zh-CN"/>
        </w:rPr>
        <w:t>）</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hAnsi="楷体"/>
          <w:szCs w:val="32"/>
        </w:rPr>
      </w:pPr>
      <w:r>
        <w:rPr>
          <w:rFonts w:hint="eastAsia" w:ascii="仿宋_GB2312" w:hAnsi="楷体"/>
          <w:szCs w:val="32"/>
        </w:rPr>
        <w:t>一、收入支出决算总表</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hAnsi="楷体"/>
          <w:szCs w:val="32"/>
        </w:rPr>
      </w:pPr>
      <w:r>
        <w:rPr>
          <w:rFonts w:hint="eastAsia" w:ascii="仿宋_GB2312" w:hAnsi="楷体"/>
          <w:szCs w:val="32"/>
        </w:rPr>
        <w:t>二、收入决算表</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hAnsi="楷体"/>
          <w:szCs w:val="32"/>
        </w:rPr>
      </w:pPr>
      <w:r>
        <w:rPr>
          <w:rFonts w:hint="eastAsia" w:ascii="仿宋_GB2312" w:hAnsi="楷体"/>
          <w:szCs w:val="32"/>
        </w:rPr>
        <w:t>三、支出决算表</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hAnsi="楷体"/>
          <w:szCs w:val="32"/>
        </w:rPr>
      </w:pPr>
      <w:r>
        <w:rPr>
          <w:rFonts w:hint="eastAsia" w:ascii="仿宋_GB2312" w:hAnsi="楷体"/>
          <w:szCs w:val="32"/>
        </w:rPr>
        <w:t>四、财政拨款收入支出决算总表</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hAnsi="楷体"/>
          <w:szCs w:val="32"/>
        </w:rPr>
      </w:pPr>
      <w:r>
        <w:rPr>
          <w:rFonts w:hint="eastAsia" w:ascii="仿宋_GB2312" w:hAnsi="楷体"/>
          <w:szCs w:val="32"/>
        </w:rPr>
        <w:t>五、一般公共预算财政拨款支出决算表（一）</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hAnsi="楷体"/>
          <w:szCs w:val="32"/>
        </w:rPr>
      </w:pPr>
      <w:r>
        <w:rPr>
          <w:rFonts w:hint="eastAsia" w:ascii="仿宋_GB2312" w:hAnsi="楷体"/>
          <w:szCs w:val="32"/>
        </w:rPr>
        <w:t>六、一般公共预算财政拨款支出决算表（二）</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hAnsi="楷体"/>
          <w:szCs w:val="32"/>
        </w:rPr>
      </w:pPr>
      <w:r>
        <w:rPr>
          <w:rFonts w:hint="eastAsia" w:ascii="仿宋_GB2312" w:hAnsi="楷体"/>
          <w:szCs w:val="32"/>
        </w:rPr>
        <w:t>七、一般公共预算财政拨款“三公”经费支出决算表</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ascii="仿宋_GB2312" w:hAnsi="楷体"/>
          <w:szCs w:val="32"/>
        </w:rPr>
      </w:pPr>
      <w:r>
        <w:rPr>
          <w:rFonts w:hint="eastAsia" w:ascii="仿宋_GB2312" w:hAnsi="楷体"/>
          <w:szCs w:val="32"/>
        </w:rPr>
        <w:t>八、政府性基金预算财政拨款收入支出决算表</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hAnsi="楷体"/>
          <w:szCs w:val="32"/>
        </w:rPr>
      </w:pPr>
      <w:r>
        <w:rPr>
          <w:rFonts w:hint="eastAsia" w:ascii="仿宋_GB2312" w:hAnsi="楷体"/>
          <w:szCs w:val="32"/>
        </w:rPr>
        <w:t>九、国有资本经营预算财政拨款支出决算表</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ascii="仿宋_GB2312" w:hAnsi="楷体"/>
          <w:szCs w:val="32"/>
        </w:rPr>
      </w:pPr>
      <w:r>
        <w:rPr>
          <w:rFonts w:hint="eastAsia" w:ascii="仿宋_GB2312" w:hAnsi="楷体"/>
          <w:szCs w:val="32"/>
        </w:rPr>
        <w:t>十、部门决算公开相关信息统计表</w:t>
      </w:r>
    </w:p>
    <w:p>
      <w:pPr>
        <w:keepNext w:val="0"/>
        <w:keepLines w:val="0"/>
        <w:pageBreakBefore w:val="0"/>
        <w:widowControl w:val="0"/>
        <w:kinsoku/>
        <w:wordWrap/>
        <w:overflowPunct/>
        <w:topLinePunct w:val="0"/>
        <w:bidi w:val="0"/>
        <w:snapToGrid w:val="0"/>
        <w:spacing w:line="560" w:lineRule="exact"/>
        <w:ind w:left="0" w:leftChars="0" w:right="0" w:rightChars="0" w:firstLine="0" w:firstLineChars="0"/>
        <w:textAlignment w:val="auto"/>
        <w:rPr>
          <w:rFonts w:ascii="黑体" w:hAnsi="黑体" w:eastAsia="黑体"/>
          <w:szCs w:val="32"/>
        </w:rPr>
      </w:pPr>
      <w:r>
        <w:rPr>
          <w:rFonts w:hint="eastAsia" w:ascii="黑体" w:hAnsi="黑体" w:eastAsia="黑体"/>
          <w:szCs w:val="32"/>
          <w:lang w:val="en-US" w:eastAsia="zh-CN"/>
        </w:rPr>
        <w:t xml:space="preserve">    </w:t>
      </w:r>
      <w:r>
        <w:rPr>
          <w:rFonts w:hint="eastAsia" w:ascii="黑体" w:hAnsi="黑体" w:eastAsia="黑体"/>
          <w:szCs w:val="32"/>
        </w:rPr>
        <w:t>第三部分  2021年度部门决算情况说明</w:t>
      </w:r>
    </w:p>
    <w:p>
      <w:pPr>
        <w:keepNext w:val="0"/>
        <w:keepLines w:val="0"/>
        <w:pageBreakBefore w:val="0"/>
        <w:widowControl w:val="0"/>
        <w:kinsoku/>
        <w:wordWrap/>
        <w:overflowPunct/>
        <w:topLinePunct w:val="0"/>
        <w:bidi w:val="0"/>
        <w:snapToGrid w:val="0"/>
        <w:spacing w:line="560" w:lineRule="exact"/>
        <w:ind w:right="0" w:rightChars="0" w:firstLine="643"/>
        <w:textAlignment w:val="auto"/>
        <w:outlineLvl w:val="0"/>
        <w:rPr>
          <w:rFonts w:hint="eastAsia" w:ascii="仿宋_GB2312"/>
          <w:b/>
          <w:szCs w:val="32"/>
        </w:rPr>
      </w:pPr>
      <w:r>
        <w:rPr>
          <w:rFonts w:hint="eastAsia" w:ascii="仿宋_GB2312"/>
          <w:b/>
          <w:szCs w:val="32"/>
        </w:rPr>
        <w:t>一、收入支出决算总体情况说明</w:t>
      </w:r>
    </w:p>
    <w:p>
      <w:pPr>
        <w:keepNext w:val="0"/>
        <w:keepLines w:val="0"/>
        <w:pageBreakBefore w:val="0"/>
        <w:widowControl w:val="0"/>
        <w:kinsoku/>
        <w:wordWrap/>
        <w:overflowPunct/>
        <w:topLinePunct w:val="0"/>
        <w:bidi w:val="0"/>
        <w:snapToGrid w:val="0"/>
        <w:spacing w:line="560" w:lineRule="exact"/>
        <w:ind w:right="0" w:rightChars="0" w:firstLine="643"/>
        <w:textAlignment w:val="auto"/>
        <w:outlineLvl w:val="0"/>
        <w:rPr>
          <w:rFonts w:hint="eastAsia" w:ascii="仿宋_GB2312"/>
          <w:szCs w:val="32"/>
        </w:rPr>
      </w:pPr>
      <w:r>
        <w:rPr>
          <w:rFonts w:hint="eastAsia" w:ascii="仿宋_GB2312"/>
          <w:szCs w:val="32"/>
        </w:rPr>
        <w:t>2021年度收入总计2553.25万元、支出总计2587.84万元。与2020年相比，收入总计增加186.05万元，提高7.9%，支出总计增加185.08万元，提高7.7%。主要原因是人员工资普调、退休人员及遗属补助标准提高等。</w:t>
      </w:r>
    </w:p>
    <w:p>
      <w:pPr>
        <w:keepNext w:val="0"/>
        <w:keepLines w:val="0"/>
        <w:pageBreakBefore w:val="0"/>
        <w:widowControl w:val="0"/>
        <w:kinsoku/>
        <w:wordWrap/>
        <w:overflowPunct/>
        <w:topLinePunct w:val="0"/>
        <w:bidi w:val="0"/>
        <w:snapToGrid w:val="0"/>
        <w:spacing w:line="560" w:lineRule="exact"/>
        <w:ind w:right="0" w:rightChars="0" w:firstLine="643"/>
        <w:textAlignment w:val="auto"/>
        <w:outlineLvl w:val="0"/>
        <w:rPr>
          <w:rFonts w:hint="eastAsia" w:ascii="仿宋_GB2312"/>
          <w:b/>
          <w:szCs w:val="32"/>
        </w:rPr>
      </w:pPr>
      <w:r>
        <w:rPr>
          <w:rFonts w:hint="eastAsia" w:ascii="仿宋_GB2312"/>
          <w:b/>
          <w:szCs w:val="32"/>
        </w:rPr>
        <w:t>二、收入决算情况说明</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ascii="仿宋_GB2312"/>
          <w:szCs w:val="32"/>
        </w:rPr>
      </w:pPr>
      <w:r>
        <w:rPr>
          <w:rFonts w:hint="eastAsia" w:ascii="仿宋_GB2312"/>
          <w:szCs w:val="32"/>
        </w:rPr>
        <w:t>2021年度收入合计</w:t>
      </w:r>
      <w:r>
        <w:rPr>
          <w:rFonts w:hint="eastAsia" w:ascii="仿宋_GB2312"/>
          <w:szCs w:val="32"/>
          <w:lang w:val="en-US" w:eastAsia="zh-CN"/>
        </w:rPr>
        <w:t>2553.25</w:t>
      </w:r>
      <w:r>
        <w:rPr>
          <w:rFonts w:hint="eastAsia" w:ascii="仿宋_GB2312"/>
          <w:szCs w:val="32"/>
        </w:rPr>
        <w:t>万元，其中：财政拨款收入</w:t>
      </w:r>
      <w:r>
        <w:rPr>
          <w:rFonts w:hint="eastAsia" w:ascii="仿宋_GB2312"/>
          <w:szCs w:val="32"/>
          <w:lang w:val="en-US" w:eastAsia="zh-CN"/>
        </w:rPr>
        <w:t>2553.25</w:t>
      </w:r>
      <w:r>
        <w:rPr>
          <w:rFonts w:hint="eastAsia" w:ascii="仿宋_GB2312"/>
          <w:szCs w:val="32"/>
        </w:rPr>
        <w:t>万元，占比</w:t>
      </w:r>
      <w:r>
        <w:rPr>
          <w:rFonts w:hint="eastAsia" w:ascii="仿宋_GB2312"/>
          <w:szCs w:val="32"/>
          <w:lang w:val="en-US" w:eastAsia="zh-CN"/>
        </w:rPr>
        <w:t>100</w:t>
      </w:r>
      <w:r>
        <w:rPr>
          <w:rFonts w:hint="eastAsia" w:ascii="仿宋_GB2312"/>
          <w:szCs w:val="32"/>
        </w:rPr>
        <w:t>%。</w:t>
      </w:r>
    </w:p>
    <w:p>
      <w:pPr>
        <w:keepNext w:val="0"/>
        <w:keepLines w:val="0"/>
        <w:pageBreakBefore w:val="0"/>
        <w:widowControl w:val="0"/>
        <w:kinsoku/>
        <w:wordWrap/>
        <w:overflowPunct/>
        <w:topLinePunct w:val="0"/>
        <w:bidi w:val="0"/>
        <w:snapToGrid w:val="0"/>
        <w:spacing w:line="560" w:lineRule="exact"/>
        <w:ind w:right="0" w:rightChars="0" w:firstLine="643"/>
        <w:textAlignment w:val="auto"/>
        <w:rPr>
          <w:rFonts w:hint="eastAsia" w:ascii="仿宋_GB2312"/>
          <w:b/>
          <w:szCs w:val="32"/>
        </w:rPr>
      </w:pPr>
      <w:r>
        <w:rPr>
          <w:rFonts w:hint="eastAsia" w:ascii="仿宋_GB2312"/>
          <w:b/>
          <w:szCs w:val="32"/>
        </w:rPr>
        <w:t>三、支出决算情况说明</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szCs w:val="32"/>
        </w:rPr>
      </w:pPr>
      <w:r>
        <w:rPr>
          <w:rFonts w:hint="eastAsia" w:ascii="仿宋_GB2312"/>
          <w:szCs w:val="32"/>
        </w:rPr>
        <w:t>2021年度支出合计2587.84万元，其中：基本支出</w:t>
      </w:r>
      <w:r>
        <w:rPr>
          <w:rFonts w:hint="eastAsia" w:ascii="仿宋_GB2312"/>
          <w:szCs w:val="32"/>
          <w:lang w:val="en-US" w:eastAsia="zh-CN"/>
        </w:rPr>
        <w:t>2061.3</w:t>
      </w:r>
      <w:r>
        <w:rPr>
          <w:rFonts w:hint="eastAsia" w:ascii="仿宋_GB2312"/>
          <w:szCs w:val="32"/>
        </w:rPr>
        <w:t>万元，占比</w:t>
      </w:r>
      <w:r>
        <w:rPr>
          <w:rFonts w:hint="eastAsia" w:ascii="仿宋_GB2312"/>
          <w:szCs w:val="32"/>
          <w:lang w:val="en-US" w:eastAsia="zh-CN"/>
        </w:rPr>
        <w:t>79.65</w:t>
      </w:r>
      <w:r>
        <w:rPr>
          <w:rFonts w:hint="eastAsia" w:ascii="仿宋_GB2312"/>
          <w:szCs w:val="32"/>
        </w:rPr>
        <w:t>%；项目支出</w:t>
      </w:r>
      <w:r>
        <w:rPr>
          <w:rFonts w:hint="eastAsia" w:ascii="仿宋_GB2312"/>
          <w:szCs w:val="32"/>
          <w:lang w:val="en-US" w:eastAsia="zh-CN"/>
        </w:rPr>
        <w:t>526.54</w:t>
      </w:r>
      <w:r>
        <w:rPr>
          <w:rFonts w:hint="eastAsia" w:ascii="仿宋_GB2312"/>
          <w:szCs w:val="32"/>
        </w:rPr>
        <w:t>万元，占比</w:t>
      </w:r>
      <w:r>
        <w:rPr>
          <w:rFonts w:hint="eastAsia" w:ascii="仿宋_GB2312"/>
          <w:szCs w:val="32"/>
          <w:lang w:val="en-US" w:eastAsia="zh-CN"/>
        </w:rPr>
        <w:t>20.35</w:t>
      </w:r>
      <w:r>
        <w:rPr>
          <w:rFonts w:hint="eastAsia" w:ascii="仿宋_GB2312"/>
          <w:szCs w:val="32"/>
        </w:rPr>
        <w:t>%。</w:t>
      </w:r>
    </w:p>
    <w:p>
      <w:pPr>
        <w:keepNext w:val="0"/>
        <w:keepLines w:val="0"/>
        <w:pageBreakBefore w:val="0"/>
        <w:widowControl w:val="0"/>
        <w:kinsoku/>
        <w:wordWrap/>
        <w:overflowPunct/>
        <w:topLinePunct w:val="0"/>
        <w:bidi w:val="0"/>
        <w:snapToGrid w:val="0"/>
        <w:spacing w:line="560" w:lineRule="exact"/>
        <w:ind w:right="0" w:rightChars="0" w:firstLine="643"/>
        <w:textAlignment w:val="auto"/>
        <w:rPr>
          <w:rFonts w:hint="eastAsia" w:ascii="仿宋_GB2312"/>
          <w:b/>
          <w:szCs w:val="32"/>
        </w:rPr>
      </w:pPr>
      <w:r>
        <w:rPr>
          <w:rFonts w:hint="eastAsia" w:ascii="仿宋_GB2312"/>
          <w:b/>
          <w:szCs w:val="32"/>
        </w:rPr>
        <w:t>四、财政拨款收入支出决算总体情况说明</w:t>
      </w:r>
    </w:p>
    <w:p>
      <w:pPr>
        <w:keepNext w:val="0"/>
        <w:keepLines w:val="0"/>
        <w:pageBreakBefore w:val="0"/>
        <w:widowControl w:val="0"/>
        <w:kinsoku/>
        <w:wordWrap/>
        <w:overflowPunct/>
        <w:topLinePunct w:val="0"/>
        <w:bidi w:val="0"/>
        <w:snapToGrid w:val="0"/>
        <w:spacing w:line="560" w:lineRule="exact"/>
        <w:ind w:right="0" w:rightChars="0" w:firstLine="643"/>
        <w:textAlignment w:val="auto"/>
        <w:outlineLvl w:val="0"/>
        <w:rPr>
          <w:rFonts w:hint="eastAsia" w:ascii="仿宋_GB2312"/>
          <w:szCs w:val="32"/>
        </w:rPr>
      </w:pPr>
      <w:r>
        <w:rPr>
          <w:rFonts w:hint="eastAsia" w:ascii="仿宋_GB2312"/>
          <w:szCs w:val="32"/>
        </w:rPr>
        <w:t>2021年度财政拨款收入总计</w:t>
      </w:r>
      <w:r>
        <w:rPr>
          <w:rFonts w:hint="eastAsia" w:ascii="仿宋_GB2312"/>
          <w:szCs w:val="32"/>
          <w:lang w:val="en-US" w:eastAsia="zh-CN"/>
        </w:rPr>
        <w:t>2553.25</w:t>
      </w:r>
      <w:r>
        <w:rPr>
          <w:rFonts w:hint="eastAsia" w:ascii="仿宋_GB2312"/>
          <w:szCs w:val="32"/>
        </w:rPr>
        <w:t>万元、支出总计</w:t>
      </w:r>
      <w:r>
        <w:rPr>
          <w:rFonts w:hint="eastAsia" w:ascii="仿宋_GB2312"/>
          <w:szCs w:val="32"/>
          <w:lang w:val="en-US" w:eastAsia="zh-CN"/>
        </w:rPr>
        <w:t>2587.84</w:t>
      </w:r>
      <w:r>
        <w:rPr>
          <w:rFonts w:hint="eastAsia" w:ascii="仿宋_GB2312"/>
          <w:szCs w:val="32"/>
        </w:rPr>
        <w:t>万元。与2020年相比，财政拨款收入总计</w:t>
      </w:r>
      <w:r>
        <w:rPr>
          <w:rFonts w:hint="eastAsia" w:ascii="仿宋_GB2312"/>
          <w:szCs w:val="32"/>
          <w:lang w:eastAsia="zh-CN"/>
        </w:rPr>
        <w:t>增加</w:t>
      </w:r>
      <w:r>
        <w:rPr>
          <w:rFonts w:hint="eastAsia" w:ascii="仿宋_GB2312"/>
          <w:szCs w:val="32"/>
        </w:rPr>
        <w:t>186.05万元，</w:t>
      </w:r>
      <w:r>
        <w:rPr>
          <w:rFonts w:hint="eastAsia" w:ascii="仿宋_GB2312"/>
          <w:szCs w:val="32"/>
          <w:lang w:eastAsia="zh-CN"/>
        </w:rPr>
        <w:t>提高</w:t>
      </w:r>
      <w:r>
        <w:rPr>
          <w:rFonts w:hint="eastAsia" w:ascii="仿宋_GB2312"/>
          <w:szCs w:val="32"/>
          <w:lang w:val="en-US" w:eastAsia="zh-CN"/>
        </w:rPr>
        <w:t>7.9</w:t>
      </w:r>
      <w:r>
        <w:rPr>
          <w:rFonts w:hint="eastAsia" w:ascii="仿宋_GB2312"/>
          <w:szCs w:val="32"/>
        </w:rPr>
        <w:t>%，</w:t>
      </w:r>
      <w:r>
        <w:rPr>
          <w:rFonts w:hint="eastAsia" w:ascii="仿宋_GB2312"/>
          <w:szCs w:val="32"/>
          <w:lang w:eastAsia="zh-CN"/>
        </w:rPr>
        <w:t>财政拨款</w:t>
      </w:r>
      <w:r>
        <w:rPr>
          <w:rFonts w:hint="eastAsia" w:ascii="仿宋_GB2312"/>
          <w:szCs w:val="32"/>
        </w:rPr>
        <w:t>支出总计</w:t>
      </w:r>
      <w:r>
        <w:rPr>
          <w:rFonts w:hint="eastAsia" w:ascii="仿宋_GB2312"/>
          <w:szCs w:val="32"/>
          <w:lang w:eastAsia="zh-CN"/>
        </w:rPr>
        <w:t>增加</w:t>
      </w:r>
      <w:r>
        <w:rPr>
          <w:rFonts w:hint="eastAsia" w:ascii="仿宋_GB2312"/>
          <w:szCs w:val="32"/>
        </w:rPr>
        <w:t>185.0</w:t>
      </w:r>
      <w:r>
        <w:rPr>
          <w:rFonts w:hint="eastAsia" w:ascii="仿宋_GB2312"/>
          <w:szCs w:val="32"/>
          <w:lang w:val="en-US" w:eastAsia="zh-CN"/>
        </w:rPr>
        <w:t>8</w:t>
      </w:r>
      <w:r>
        <w:rPr>
          <w:rFonts w:hint="eastAsia" w:ascii="仿宋_GB2312"/>
          <w:szCs w:val="32"/>
        </w:rPr>
        <w:t>万元，</w:t>
      </w:r>
      <w:r>
        <w:rPr>
          <w:rFonts w:hint="eastAsia" w:ascii="仿宋_GB2312"/>
          <w:szCs w:val="32"/>
          <w:lang w:eastAsia="zh-CN"/>
        </w:rPr>
        <w:t>提高</w:t>
      </w:r>
      <w:r>
        <w:rPr>
          <w:rFonts w:hint="eastAsia" w:ascii="仿宋_GB2312"/>
          <w:szCs w:val="32"/>
        </w:rPr>
        <w:t>7.7%。主要原因是人员工资普调、退休人员及遗属补助标准提高等。</w:t>
      </w:r>
    </w:p>
    <w:p>
      <w:pPr>
        <w:keepNext w:val="0"/>
        <w:keepLines w:val="0"/>
        <w:pageBreakBefore w:val="0"/>
        <w:widowControl w:val="0"/>
        <w:kinsoku/>
        <w:wordWrap/>
        <w:overflowPunct/>
        <w:topLinePunct w:val="0"/>
        <w:bidi w:val="0"/>
        <w:snapToGrid w:val="0"/>
        <w:spacing w:line="560" w:lineRule="exact"/>
        <w:ind w:right="0" w:rightChars="0" w:firstLine="643"/>
        <w:textAlignment w:val="auto"/>
        <w:rPr>
          <w:rFonts w:hint="eastAsia" w:ascii="仿宋_GB2312"/>
          <w:b/>
          <w:szCs w:val="32"/>
        </w:rPr>
      </w:pPr>
      <w:r>
        <w:rPr>
          <w:rFonts w:hint="eastAsia" w:ascii="仿宋_GB2312"/>
          <w:b/>
          <w:szCs w:val="32"/>
        </w:rPr>
        <w:t>五、一般公共预算财政拨款支出决算情况说明</w:t>
      </w:r>
    </w:p>
    <w:p>
      <w:pPr>
        <w:keepNext w:val="0"/>
        <w:keepLines w:val="0"/>
        <w:pageBreakBefore w:val="0"/>
        <w:widowControl w:val="0"/>
        <w:kinsoku/>
        <w:wordWrap/>
        <w:overflowPunct/>
        <w:topLinePunct w:val="0"/>
        <w:bidi w:val="0"/>
        <w:snapToGrid w:val="0"/>
        <w:spacing w:line="560" w:lineRule="exact"/>
        <w:ind w:right="0" w:rightChars="0" w:firstLine="643"/>
        <w:textAlignment w:val="auto"/>
        <w:rPr>
          <w:rFonts w:hint="eastAsia" w:ascii="仿宋_GB2312"/>
          <w:b/>
          <w:szCs w:val="32"/>
        </w:rPr>
      </w:pPr>
      <w:r>
        <w:rPr>
          <w:rFonts w:hint="eastAsia" w:ascii="仿宋_GB2312"/>
          <w:b/>
          <w:szCs w:val="32"/>
        </w:rPr>
        <w:t>（一）财政拨款支出决算总体情况</w:t>
      </w:r>
    </w:p>
    <w:p>
      <w:pPr>
        <w:keepNext w:val="0"/>
        <w:keepLines w:val="0"/>
        <w:pageBreakBefore w:val="0"/>
        <w:widowControl w:val="0"/>
        <w:kinsoku/>
        <w:wordWrap/>
        <w:overflowPunct/>
        <w:topLinePunct w:val="0"/>
        <w:bidi w:val="0"/>
        <w:snapToGrid w:val="0"/>
        <w:spacing w:line="560" w:lineRule="exact"/>
        <w:ind w:right="0" w:rightChars="0" w:firstLine="643"/>
        <w:textAlignment w:val="auto"/>
        <w:outlineLvl w:val="0"/>
        <w:rPr>
          <w:rFonts w:hint="eastAsia" w:ascii="仿宋_GB2312"/>
          <w:szCs w:val="32"/>
        </w:rPr>
      </w:pPr>
      <w:r>
        <w:rPr>
          <w:rFonts w:hint="eastAsia" w:ascii="仿宋_GB2312"/>
          <w:szCs w:val="32"/>
        </w:rPr>
        <w:t>2021年度财政拨款支出</w:t>
      </w:r>
      <w:r>
        <w:rPr>
          <w:rFonts w:hint="eastAsia" w:ascii="仿宋_GB2312"/>
          <w:szCs w:val="32"/>
          <w:lang w:val="en-US" w:eastAsia="zh-CN"/>
        </w:rPr>
        <w:t>2587.84</w:t>
      </w:r>
      <w:r>
        <w:rPr>
          <w:rFonts w:hint="eastAsia" w:ascii="仿宋_GB2312"/>
          <w:szCs w:val="32"/>
        </w:rPr>
        <w:t>万元，占本年支出合计的</w:t>
      </w:r>
      <w:r>
        <w:rPr>
          <w:rFonts w:hint="eastAsia" w:ascii="仿宋_GB2312"/>
          <w:szCs w:val="32"/>
          <w:lang w:val="en-US" w:eastAsia="zh-CN"/>
        </w:rPr>
        <w:t>100</w:t>
      </w:r>
      <w:r>
        <w:rPr>
          <w:rFonts w:hint="eastAsia" w:ascii="仿宋_GB2312"/>
          <w:szCs w:val="32"/>
        </w:rPr>
        <w:t>%。与2020年相比，财政拨款支出</w:t>
      </w:r>
      <w:r>
        <w:rPr>
          <w:rFonts w:hint="eastAsia" w:ascii="仿宋_GB2312"/>
          <w:szCs w:val="32"/>
          <w:lang w:eastAsia="zh-CN"/>
        </w:rPr>
        <w:t>增加</w:t>
      </w:r>
      <w:r>
        <w:rPr>
          <w:rFonts w:hint="eastAsia" w:ascii="仿宋_GB2312"/>
          <w:szCs w:val="32"/>
          <w:lang w:val="en-US" w:eastAsia="zh-CN"/>
        </w:rPr>
        <w:t>185.08</w:t>
      </w:r>
      <w:r>
        <w:rPr>
          <w:rFonts w:hint="eastAsia" w:ascii="仿宋_GB2312"/>
          <w:szCs w:val="32"/>
        </w:rPr>
        <w:t>万元，</w:t>
      </w:r>
      <w:r>
        <w:rPr>
          <w:rFonts w:hint="eastAsia" w:ascii="仿宋_GB2312"/>
          <w:szCs w:val="32"/>
          <w:lang w:eastAsia="zh-CN"/>
        </w:rPr>
        <w:t>提高</w:t>
      </w:r>
      <w:r>
        <w:rPr>
          <w:rFonts w:hint="eastAsia" w:ascii="仿宋_GB2312"/>
          <w:szCs w:val="32"/>
          <w:lang w:val="en-US" w:eastAsia="zh-CN"/>
        </w:rPr>
        <w:t>7.7</w:t>
      </w:r>
      <w:r>
        <w:rPr>
          <w:rFonts w:hint="eastAsia" w:ascii="仿宋_GB2312"/>
          <w:szCs w:val="32"/>
        </w:rPr>
        <w:t>%。主要原因是人员工资普调、退休人员及遗属补助标准提高等。其中，人员经费</w:t>
      </w:r>
      <w:r>
        <w:rPr>
          <w:rFonts w:hint="eastAsia" w:ascii="仿宋_GB2312"/>
          <w:szCs w:val="32"/>
          <w:lang w:val="en-US" w:eastAsia="zh-CN"/>
        </w:rPr>
        <w:t>2084.72</w:t>
      </w:r>
      <w:r>
        <w:rPr>
          <w:rFonts w:hint="eastAsia" w:ascii="仿宋_GB2312"/>
          <w:szCs w:val="32"/>
        </w:rPr>
        <w:t>万元，占比</w:t>
      </w:r>
      <w:r>
        <w:rPr>
          <w:rFonts w:hint="eastAsia" w:ascii="仿宋_GB2312"/>
          <w:szCs w:val="32"/>
          <w:lang w:val="en-US" w:eastAsia="zh-CN"/>
        </w:rPr>
        <w:t>80.56</w:t>
      </w:r>
      <w:r>
        <w:rPr>
          <w:rFonts w:hint="eastAsia" w:ascii="仿宋_GB2312"/>
          <w:szCs w:val="32"/>
        </w:rPr>
        <w:t>%，日常公用经费</w:t>
      </w:r>
      <w:r>
        <w:rPr>
          <w:rFonts w:hint="eastAsia" w:ascii="仿宋_GB2312"/>
          <w:szCs w:val="32"/>
          <w:lang w:val="en-US" w:eastAsia="zh-CN"/>
        </w:rPr>
        <w:t>503.12</w:t>
      </w:r>
      <w:r>
        <w:rPr>
          <w:rFonts w:hint="eastAsia" w:ascii="仿宋_GB2312"/>
          <w:szCs w:val="32"/>
        </w:rPr>
        <w:t>万元，占比</w:t>
      </w:r>
      <w:r>
        <w:rPr>
          <w:rFonts w:hint="eastAsia" w:ascii="仿宋_GB2312"/>
          <w:szCs w:val="32"/>
          <w:lang w:val="en-US" w:eastAsia="zh-CN"/>
        </w:rPr>
        <w:t>19.44</w:t>
      </w:r>
      <w:r>
        <w:rPr>
          <w:rFonts w:hint="eastAsia" w:ascii="仿宋_GB2312"/>
          <w:szCs w:val="32"/>
        </w:rPr>
        <w:t>%。</w:t>
      </w:r>
    </w:p>
    <w:p>
      <w:pPr>
        <w:keepNext w:val="0"/>
        <w:keepLines w:val="0"/>
        <w:pageBreakBefore w:val="0"/>
        <w:widowControl w:val="0"/>
        <w:kinsoku/>
        <w:wordWrap/>
        <w:overflowPunct/>
        <w:topLinePunct w:val="0"/>
        <w:bidi w:val="0"/>
        <w:snapToGrid w:val="0"/>
        <w:spacing w:line="560" w:lineRule="exact"/>
        <w:ind w:right="0" w:rightChars="0" w:firstLine="643"/>
        <w:textAlignment w:val="auto"/>
        <w:rPr>
          <w:rFonts w:ascii="仿宋_GB2312"/>
          <w:b/>
          <w:szCs w:val="32"/>
        </w:rPr>
      </w:pPr>
      <w:r>
        <w:rPr>
          <w:rFonts w:hint="eastAsia" w:ascii="仿宋_GB2312"/>
          <w:b/>
          <w:szCs w:val="32"/>
        </w:rPr>
        <w:t>（二）财政拨款</w:t>
      </w:r>
      <w:r>
        <w:rPr>
          <w:rFonts w:ascii="仿宋_GB2312"/>
          <w:b/>
          <w:szCs w:val="32"/>
        </w:rPr>
        <w:t>支出决算结构情况</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szCs w:val="32"/>
          <w:lang w:val="en-US"/>
        </w:rPr>
      </w:pPr>
      <w:r>
        <w:rPr>
          <w:rFonts w:hint="eastAsia" w:ascii="仿宋_GB2312"/>
          <w:szCs w:val="32"/>
        </w:rPr>
        <w:t>2021年度财政拨款支出</w:t>
      </w:r>
      <w:r>
        <w:rPr>
          <w:rFonts w:hint="eastAsia" w:ascii="仿宋_GB2312"/>
          <w:szCs w:val="32"/>
          <w:lang w:val="en-US" w:eastAsia="zh-CN"/>
        </w:rPr>
        <w:t>2587.84</w:t>
      </w:r>
      <w:r>
        <w:rPr>
          <w:rFonts w:hint="eastAsia" w:ascii="仿宋_GB2312"/>
          <w:szCs w:val="32"/>
        </w:rPr>
        <w:t>万元，主要用于教育（类）支出</w:t>
      </w:r>
      <w:r>
        <w:rPr>
          <w:rFonts w:hint="eastAsia" w:ascii="仿宋_GB2312"/>
          <w:szCs w:val="32"/>
          <w:lang w:val="en-US" w:eastAsia="zh-CN"/>
        </w:rPr>
        <w:t>2587.84</w:t>
      </w:r>
      <w:r>
        <w:rPr>
          <w:rFonts w:hint="eastAsia" w:ascii="仿宋_GB2312"/>
          <w:szCs w:val="32"/>
        </w:rPr>
        <w:t>万元，占</w:t>
      </w:r>
      <w:r>
        <w:rPr>
          <w:rFonts w:hint="eastAsia" w:ascii="仿宋_GB2312"/>
          <w:szCs w:val="32"/>
          <w:lang w:val="en-US" w:eastAsia="zh-CN"/>
        </w:rPr>
        <w:t>100</w:t>
      </w:r>
      <w:r>
        <w:rPr>
          <w:rFonts w:hint="eastAsia" w:ascii="仿宋_GB2312"/>
          <w:szCs w:val="32"/>
        </w:rPr>
        <w:t>%</w:t>
      </w:r>
      <w:r>
        <w:rPr>
          <w:rFonts w:hint="eastAsia" w:ascii="仿宋_GB2312"/>
          <w:szCs w:val="32"/>
          <w:lang w:eastAsia="zh-CN"/>
        </w:rPr>
        <w:t>。</w:t>
      </w:r>
    </w:p>
    <w:p>
      <w:pPr>
        <w:keepNext w:val="0"/>
        <w:keepLines w:val="0"/>
        <w:pageBreakBefore w:val="0"/>
        <w:widowControl w:val="0"/>
        <w:kinsoku/>
        <w:wordWrap/>
        <w:overflowPunct/>
        <w:topLinePunct w:val="0"/>
        <w:bidi w:val="0"/>
        <w:snapToGrid w:val="0"/>
        <w:spacing w:line="560" w:lineRule="exact"/>
        <w:ind w:right="0" w:rightChars="0" w:firstLine="643"/>
        <w:textAlignment w:val="auto"/>
        <w:rPr>
          <w:rFonts w:hint="eastAsia" w:ascii="仿宋_GB2312"/>
          <w:b/>
          <w:szCs w:val="32"/>
        </w:rPr>
      </w:pPr>
      <w:r>
        <w:rPr>
          <w:rFonts w:hint="eastAsia" w:ascii="仿宋_GB2312"/>
          <w:b/>
          <w:szCs w:val="32"/>
        </w:rPr>
        <w:t>（三）财政拨款支出决算具体情况</w:t>
      </w:r>
    </w:p>
    <w:p>
      <w:pPr>
        <w:keepNext w:val="0"/>
        <w:keepLines w:val="0"/>
        <w:pageBreakBefore w:val="0"/>
        <w:widowControl w:val="0"/>
        <w:kinsoku/>
        <w:wordWrap/>
        <w:overflowPunct/>
        <w:topLinePunct w:val="0"/>
        <w:bidi w:val="0"/>
        <w:snapToGrid w:val="0"/>
        <w:spacing w:line="560" w:lineRule="exact"/>
        <w:ind w:right="0" w:rightChars="0" w:firstLine="643"/>
        <w:textAlignment w:val="auto"/>
        <w:outlineLvl w:val="0"/>
        <w:rPr>
          <w:szCs w:val="32"/>
        </w:rPr>
      </w:pPr>
      <w:r>
        <w:rPr>
          <w:rFonts w:hint="eastAsia" w:ascii="仿宋_GB2312"/>
          <w:szCs w:val="32"/>
        </w:rPr>
        <w:t>2021年度财政拨款支出年初预算</w:t>
      </w:r>
      <w:r>
        <w:rPr>
          <w:rFonts w:hint="eastAsia" w:ascii="仿宋_GB2312"/>
          <w:szCs w:val="32"/>
          <w:lang w:val="en-US" w:eastAsia="zh-CN"/>
        </w:rPr>
        <w:t>2254.22</w:t>
      </w:r>
      <w:r>
        <w:rPr>
          <w:rFonts w:hint="eastAsia" w:ascii="仿宋_GB2312"/>
          <w:szCs w:val="32"/>
        </w:rPr>
        <w:t>万元，支出决算</w:t>
      </w:r>
      <w:r>
        <w:rPr>
          <w:rFonts w:hint="eastAsia" w:ascii="仿宋_GB2312"/>
          <w:szCs w:val="32"/>
          <w:lang w:val="en-US" w:eastAsia="zh-CN"/>
        </w:rPr>
        <w:t>2587.84</w:t>
      </w:r>
      <w:r>
        <w:rPr>
          <w:rFonts w:hint="eastAsia" w:ascii="仿宋_GB2312"/>
          <w:szCs w:val="32"/>
        </w:rPr>
        <w:t>万元，完成年初预算的</w:t>
      </w:r>
      <w:r>
        <w:rPr>
          <w:rFonts w:hint="eastAsia" w:ascii="仿宋_GB2312"/>
          <w:szCs w:val="32"/>
          <w:lang w:val="en-US" w:eastAsia="zh-CN"/>
        </w:rPr>
        <w:t>114.8</w:t>
      </w:r>
      <w:r>
        <w:rPr>
          <w:rFonts w:hint="eastAsia" w:ascii="仿宋_GB2312"/>
          <w:szCs w:val="32"/>
        </w:rPr>
        <w:t>%。其中：教育（类）支出年初预算</w:t>
      </w:r>
      <w:r>
        <w:rPr>
          <w:rFonts w:hint="eastAsia" w:ascii="仿宋_GB2312"/>
          <w:szCs w:val="32"/>
          <w:lang w:val="en-US" w:eastAsia="zh-CN"/>
        </w:rPr>
        <w:t>2254.22</w:t>
      </w:r>
      <w:r>
        <w:rPr>
          <w:rFonts w:hint="eastAsia" w:ascii="仿宋_GB2312"/>
          <w:szCs w:val="32"/>
        </w:rPr>
        <w:t>万元，支出决算</w:t>
      </w:r>
      <w:r>
        <w:rPr>
          <w:rFonts w:hint="eastAsia" w:ascii="仿宋_GB2312"/>
          <w:szCs w:val="32"/>
          <w:lang w:val="en-US" w:eastAsia="zh-CN"/>
        </w:rPr>
        <w:t>2587.84</w:t>
      </w:r>
      <w:r>
        <w:rPr>
          <w:rFonts w:hint="eastAsia" w:ascii="仿宋_GB2312"/>
          <w:szCs w:val="32"/>
        </w:rPr>
        <w:t>万元，完成年初预算的</w:t>
      </w:r>
      <w:r>
        <w:rPr>
          <w:rFonts w:hint="eastAsia" w:ascii="仿宋_GB2312"/>
          <w:szCs w:val="32"/>
          <w:lang w:val="en-US" w:eastAsia="zh-CN"/>
        </w:rPr>
        <w:t>114.8</w:t>
      </w:r>
      <w:r>
        <w:rPr>
          <w:rFonts w:hint="eastAsia" w:ascii="仿宋_GB2312"/>
          <w:szCs w:val="32"/>
        </w:rPr>
        <w:t>%</w:t>
      </w:r>
      <w:r>
        <w:rPr>
          <w:rFonts w:hint="eastAsia" w:ascii="仿宋_GB2312"/>
          <w:szCs w:val="32"/>
          <w:lang w:eastAsia="zh-CN"/>
        </w:rPr>
        <w:t>，用于学校人员工资、日常办公经费</w:t>
      </w:r>
      <w:r>
        <w:rPr>
          <w:rFonts w:hint="eastAsia" w:ascii="仿宋_GB2312"/>
          <w:szCs w:val="32"/>
          <w:lang w:val="en-US" w:eastAsia="zh-CN"/>
        </w:rPr>
        <w:t>及项目支出。</w:t>
      </w:r>
      <w:r>
        <w:rPr>
          <w:rFonts w:hint="eastAsia" w:ascii="仿宋_GB2312"/>
          <w:szCs w:val="32"/>
        </w:rPr>
        <w:t>较2020年决算</w:t>
      </w:r>
      <w:r>
        <w:rPr>
          <w:rFonts w:hint="eastAsia" w:ascii="仿宋_GB2312"/>
          <w:szCs w:val="32"/>
          <w:lang w:eastAsia="zh-CN"/>
        </w:rPr>
        <w:t>增加</w:t>
      </w:r>
      <w:r>
        <w:rPr>
          <w:rFonts w:hint="eastAsia" w:ascii="仿宋_GB2312"/>
          <w:szCs w:val="32"/>
        </w:rPr>
        <w:t>185.08万元，</w:t>
      </w:r>
      <w:r>
        <w:rPr>
          <w:rFonts w:hint="eastAsia" w:ascii="仿宋_GB2312"/>
          <w:szCs w:val="32"/>
          <w:lang w:eastAsia="zh-CN"/>
        </w:rPr>
        <w:t>提高</w:t>
      </w:r>
      <w:r>
        <w:rPr>
          <w:rFonts w:hint="eastAsia" w:ascii="仿宋_GB2312"/>
          <w:szCs w:val="32"/>
          <w:lang w:val="en-US" w:eastAsia="zh-CN"/>
        </w:rPr>
        <w:t>7.7</w:t>
      </w:r>
      <w:r>
        <w:rPr>
          <w:rFonts w:hint="eastAsia" w:ascii="仿宋_GB2312"/>
          <w:szCs w:val="32"/>
        </w:rPr>
        <w:t>%</w:t>
      </w:r>
      <w:r>
        <w:rPr>
          <w:rFonts w:hint="eastAsia" w:ascii="仿宋_GB2312"/>
          <w:szCs w:val="32"/>
          <w:lang w:eastAsia="zh-CN"/>
        </w:rPr>
        <w:t>，</w:t>
      </w:r>
      <w:r>
        <w:rPr>
          <w:rFonts w:hint="eastAsia" w:ascii="仿宋_GB2312"/>
          <w:szCs w:val="32"/>
        </w:rPr>
        <w:t>主要原因是人员工资普调、退休人员及遗属补助标准提高等。</w:t>
      </w:r>
    </w:p>
    <w:p>
      <w:pPr>
        <w:keepNext w:val="0"/>
        <w:keepLines w:val="0"/>
        <w:pageBreakBefore w:val="0"/>
        <w:widowControl w:val="0"/>
        <w:kinsoku/>
        <w:wordWrap/>
        <w:overflowPunct/>
        <w:topLinePunct w:val="0"/>
        <w:bidi w:val="0"/>
        <w:snapToGrid w:val="0"/>
        <w:spacing w:line="560" w:lineRule="exact"/>
        <w:ind w:right="0" w:rightChars="0" w:firstLine="643"/>
        <w:textAlignment w:val="auto"/>
        <w:rPr>
          <w:b/>
          <w:szCs w:val="32"/>
        </w:rPr>
      </w:pPr>
      <w:r>
        <w:rPr>
          <w:rFonts w:hint="eastAsia"/>
          <w:b/>
          <w:szCs w:val="32"/>
        </w:rPr>
        <w:t>六、一般公共预算</w:t>
      </w:r>
      <w:r>
        <w:rPr>
          <w:b/>
          <w:szCs w:val="32"/>
        </w:rPr>
        <w:t>财政拨款基本支出决算情况说明</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szCs w:val="32"/>
        </w:rPr>
      </w:pPr>
      <w:r>
        <w:rPr>
          <w:rFonts w:hint="eastAsia" w:ascii="仿宋_GB2312"/>
          <w:szCs w:val="32"/>
        </w:rPr>
        <w:t>2021年度财政拨款基本支出</w:t>
      </w:r>
      <w:r>
        <w:rPr>
          <w:rFonts w:hint="eastAsia" w:ascii="仿宋_GB2312"/>
          <w:szCs w:val="32"/>
          <w:lang w:val="en-US" w:eastAsia="zh-CN"/>
        </w:rPr>
        <w:t>2061.3</w:t>
      </w:r>
      <w:r>
        <w:rPr>
          <w:rFonts w:hint="eastAsia" w:ascii="仿宋_GB2312"/>
          <w:szCs w:val="32"/>
        </w:rPr>
        <w:t>万元，其中：人员经费</w:t>
      </w:r>
      <w:r>
        <w:rPr>
          <w:rFonts w:hint="eastAsia" w:ascii="仿宋_GB2312"/>
          <w:szCs w:val="32"/>
          <w:lang w:val="en-US" w:eastAsia="zh-CN"/>
        </w:rPr>
        <w:t>2004.31</w:t>
      </w:r>
      <w:r>
        <w:rPr>
          <w:rFonts w:hint="eastAsia" w:ascii="仿宋_GB2312"/>
          <w:szCs w:val="32"/>
        </w:rPr>
        <w:t>万元，主要包括</w:t>
      </w:r>
      <w:r>
        <w:rPr>
          <w:rFonts w:hint="eastAsia" w:ascii="仿宋_GB2312"/>
          <w:szCs w:val="32"/>
          <w:lang w:val="en-US" w:eastAsia="zh-CN"/>
        </w:rPr>
        <w:t>工资福利支出、对个人和家庭的补助</w:t>
      </w:r>
      <w:r>
        <w:rPr>
          <w:rFonts w:hint="eastAsia" w:ascii="仿宋_GB2312"/>
          <w:szCs w:val="32"/>
        </w:rPr>
        <w:t>；公用经费</w:t>
      </w:r>
      <w:r>
        <w:rPr>
          <w:rFonts w:hint="eastAsia" w:ascii="仿宋_GB2312"/>
          <w:szCs w:val="32"/>
          <w:lang w:val="en-US" w:eastAsia="zh-CN"/>
        </w:rPr>
        <w:t>56.99</w:t>
      </w:r>
      <w:r>
        <w:rPr>
          <w:rFonts w:hint="eastAsia" w:ascii="仿宋_GB2312"/>
          <w:szCs w:val="32"/>
        </w:rPr>
        <w:t>万元，主要包括</w:t>
      </w:r>
      <w:r>
        <w:rPr>
          <w:rFonts w:hint="eastAsia" w:ascii="仿宋_GB2312"/>
          <w:szCs w:val="32"/>
          <w:lang w:val="en-US" w:eastAsia="zh-CN"/>
        </w:rPr>
        <w:t>商品服务支出和资本性支出等</w:t>
      </w:r>
      <w:r>
        <w:rPr>
          <w:rFonts w:hint="eastAsia" w:ascii="仿宋_GB2312"/>
          <w:szCs w:val="32"/>
        </w:rPr>
        <w:t>。</w:t>
      </w:r>
    </w:p>
    <w:p>
      <w:pPr>
        <w:keepNext w:val="0"/>
        <w:keepLines w:val="0"/>
        <w:pageBreakBefore w:val="0"/>
        <w:widowControl w:val="0"/>
        <w:kinsoku/>
        <w:wordWrap/>
        <w:overflowPunct/>
        <w:topLinePunct w:val="0"/>
        <w:bidi w:val="0"/>
        <w:snapToGrid w:val="0"/>
        <w:spacing w:line="560" w:lineRule="exact"/>
        <w:ind w:right="0" w:rightChars="0" w:firstLine="643"/>
        <w:textAlignment w:val="auto"/>
        <w:outlineLvl w:val="0"/>
        <w:rPr>
          <w:rFonts w:hint="eastAsia" w:ascii="仿宋_GB2312"/>
          <w:b/>
          <w:szCs w:val="32"/>
        </w:rPr>
      </w:pPr>
      <w:r>
        <w:rPr>
          <w:rFonts w:hint="eastAsia" w:ascii="仿宋_GB2312"/>
          <w:b/>
          <w:szCs w:val="32"/>
        </w:rPr>
        <w:t>七、一般公共预算财政拨款“三公”经费支出决算情况说明</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b/>
          <w:bCs/>
          <w:szCs w:val="32"/>
        </w:rPr>
      </w:pPr>
      <w:r>
        <w:rPr>
          <w:rFonts w:hint="eastAsia" w:ascii="仿宋_GB2312"/>
          <w:b/>
          <w:bCs/>
          <w:szCs w:val="32"/>
        </w:rPr>
        <w:t>（一）“三公”经费财政拨款支出决算总体情况说明</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szCs w:val="32"/>
        </w:rPr>
      </w:pPr>
      <w:r>
        <w:rPr>
          <w:rFonts w:hint="eastAsia" w:ascii="仿宋_GB2312"/>
          <w:szCs w:val="32"/>
        </w:rPr>
        <w:t>2021年度“三公”经费财政拨款支出预算</w:t>
      </w:r>
      <w:r>
        <w:rPr>
          <w:rFonts w:hint="eastAsia" w:ascii="仿宋_GB2312"/>
          <w:szCs w:val="32"/>
          <w:lang w:val="en-US" w:eastAsia="zh-CN"/>
        </w:rPr>
        <w:t>0</w:t>
      </w:r>
      <w:r>
        <w:rPr>
          <w:rFonts w:hint="eastAsia" w:ascii="仿宋_GB2312"/>
          <w:szCs w:val="32"/>
        </w:rPr>
        <w:t>万元，支出决算</w:t>
      </w:r>
      <w:r>
        <w:rPr>
          <w:rFonts w:hint="eastAsia" w:ascii="仿宋_GB2312"/>
          <w:szCs w:val="32"/>
          <w:lang w:val="en-US" w:eastAsia="zh-CN"/>
        </w:rPr>
        <w:t>0</w:t>
      </w:r>
      <w:r>
        <w:rPr>
          <w:rFonts w:hint="eastAsia" w:ascii="仿宋_GB2312"/>
          <w:szCs w:val="32"/>
        </w:rPr>
        <w:t>万元，完成预算的</w:t>
      </w:r>
      <w:r>
        <w:rPr>
          <w:rFonts w:hint="eastAsia" w:ascii="仿宋_GB2312"/>
          <w:szCs w:val="32"/>
          <w:lang w:val="en-US" w:eastAsia="zh-CN"/>
        </w:rPr>
        <w:t>0</w:t>
      </w:r>
      <w:r>
        <w:rPr>
          <w:rFonts w:hint="eastAsia" w:ascii="仿宋_GB2312"/>
          <w:szCs w:val="32"/>
        </w:rPr>
        <w:t>%，</w:t>
      </w:r>
      <w:r>
        <w:rPr>
          <w:rFonts w:hint="eastAsia" w:ascii="仿宋_GB2312"/>
          <w:szCs w:val="32"/>
          <w:lang w:eastAsia="zh-CN"/>
        </w:rPr>
        <w:t>与上</w:t>
      </w:r>
      <w:r>
        <w:rPr>
          <w:rFonts w:hint="eastAsia" w:ascii="仿宋_GB2312"/>
          <w:szCs w:val="32"/>
        </w:rPr>
        <w:t>年</w:t>
      </w:r>
      <w:r>
        <w:rPr>
          <w:rFonts w:hint="eastAsia" w:ascii="仿宋_GB2312"/>
          <w:szCs w:val="32"/>
          <w:lang w:eastAsia="zh-CN"/>
        </w:rPr>
        <w:t>持平</w:t>
      </w:r>
      <w:r>
        <w:rPr>
          <w:rFonts w:hint="eastAsia" w:ascii="仿宋_GB2312"/>
          <w:szCs w:val="32"/>
        </w:rPr>
        <w:t>，主要原因是：</w:t>
      </w:r>
      <w:r>
        <w:rPr>
          <w:rFonts w:hint="eastAsia" w:ascii="仿宋_GB2312"/>
          <w:szCs w:val="32"/>
          <w:lang w:eastAsia="zh-CN"/>
        </w:rPr>
        <w:t>我校厉行节俭，无此项业务支出</w:t>
      </w:r>
      <w:r>
        <w:rPr>
          <w:rFonts w:hint="eastAsia" w:ascii="仿宋_GB2312"/>
          <w:szCs w:val="32"/>
        </w:rPr>
        <w:t>。</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b/>
          <w:bCs/>
          <w:szCs w:val="32"/>
        </w:rPr>
      </w:pPr>
      <w:r>
        <w:rPr>
          <w:rFonts w:hint="eastAsia" w:ascii="仿宋_GB2312"/>
          <w:b/>
          <w:bCs/>
          <w:szCs w:val="32"/>
        </w:rPr>
        <w:t>（二）“三公”经费财政拨款支出决算具体情况说明</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szCs w:val="32"/>
          <w:lang w:eastAsia="zh-CN"/>
        </w:rPr>
      </w:pPr>
      <w:r>
        <w:rPr>
          <w:rFonts w:hint="eastAsia" w:ascii="仿宋_GB2312"/>
          <w:szCs w:val="32"/>
          <w:lang w:val="en-US" w:eastAsia="zh-CN"/>
        </w:rPr>
        <w:t>2021年度</w:t>
      </w:r>
      <w:r>
        <w:rPr>
          <w:rFonts w:hint="eastAsia" w:ascii="仿宋_GB2312"/>
          <w:szCs w:val="32"/>
        </w:rPr>
        <w:t>“三公”经费</w:t>
      </w:r>
      <w:r>
        <w:rPr>
          <w:rFonts w:hint="eastAsia" w:ascii="仿宋_GB2312"/>
          <w:szCs w:val="32"/>
          <w:lang w:eastAsia="zh-CN"/>
        </w:rPr>
        <w:t>中因公出国（境）费支出预算为</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，决算</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，完成预算的</w:t>
      </w:r>
      <w:r>
        <w:rPr>
          <w:rFonts w:hint="eastAsia" w:ascii="仿宋_GB2312"/>
          <w:szCs w:val="32"/>
          <w:lang w:val="en-US" w:eastAsia="zh-CN"/>
        </w:rPr>
        <w:t>0%，</w:t>
      </w:r>
      <w:r>
        <w:rPr>
          <w:rFonts w:hint="eastAsia" w:ascii="仿宋_GB2312"/>
          <w:szCs w:val="32"/>
          <w:lang w:eastAsia="zh-CN"/>
        </w:rPr>
        <w:t>与上</w:t>
      </w:r>
      <w:r>
        <w:rPr>
          <w:rFonts w:hint="eastAsia" w:ascii="仿宋_GB2312"/>
          <w:szCs w:val="32"/>
        </w:rPr>
        <w:t>年</w:t>
      </w:r>
      <w:r>
        <w:rPr>
          <w:rFonts w:hint="eastAsia" w:ascii="仿宋_GB2312"/>
          <w:szCs w:val="32"/>
          <w:lang w:eastAsia="zh-CN"/>
        </w:rPr>
        <w:t>持平</w:t>
      </w:r>
      <w:r>
        <w:rPr>
          <w:rFonts w:hint="eastAsia" w:ascii="仿宋_GB2312"/>
          <w:szCs w:val="32"/>
        </w:rPr>
        <w:t>，主要原因是：</w:t>
      </w:r>
      <w:r>
        <w:rPr>
          <w:rFonts w:hint="eastAsia" w:ascii="仿宋_GB2312"/>
          <w:szCs w:val="32"/>
          <w:lang w:eastAsia="zh-CN"/>
        </w:rPr>
        <w:t>我校厉行节俭，无此项业务支出；公务用车运行费支出预算为</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，决算</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，完成预算的</w:t>
      </w:r>
      <w:r>
        <w:rPr>
          <w:rFonts w:hint="eastAsia" w:ascii="仿宋_GB2312"/>
          <w:szCs w:val="32"/>
          <w:lang w:val="en-US" w:eastAsia="zh-CN"/>
        </w:rPr>
        <w:t>0%，</w:t>
      </w:r>
      <w:r>
        <w:rPr>
          <w:rFonts w:hint="eastAsia" w:ascii="仿宋_GB2312"/>
          <w:szCs w:val="32"/>
          <w:lang w:eastAsia="zh-CN"/>
        </w:rPr>
        <w:t>与上</w:t>
      </w:r>
      <w:r>
        <w:rPr>
          <w:rFonts w:hint="eastAsia" w:ascii="仿宋_GB2312"/>
          <w:szCs w:val="32"/>
        </w:rPr>
        <w:t>年</w:t>
      </w:r>
      <w:r>
        <w:rPr>
          <w:rFonts w:hint="eastAsia" w:ascii="仿宋_GB2312"/>
          <w:szCs w:val="32"/>
          <w:lang w:eastAsia="zh-CN"/>
        </w:rPr>
        <w:t>持平</w:t>
      </w:r>
      <w:r>
        <w:rPr>
          <w:rFonts w:hint="eastAsia" w:ascii="仿宋_GB2312"/>
          <w:szCs w:val="32"/>
        </w:rPr>
        <w:t>，主要原因是：</w:t>
      </w:r>
      <w:r>
        <w:rPr>
          <w:rFonts w:hint="eastAsia" w:ascii="仿宋_GB2312"/>
          <w:szCs w:val="32"/>
          <w:lang w:eastAsia="zh-CN"/>
        </w:rPr>
        <w:t>我校厉行节俭，无此项业务支出；公务用车购置费支出预算为</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，决算</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，完成预算的</w:t>
      </w:r>
      <w:r>
        <w:rPr>
          <w:rFonts w:hint="eastAsia" w:ascii="仿宋_GB2312"/>
          <w:szCs w:val="32"/>
          <w:lang w:val="en-US" w:eastAsia="zh-CN"/>
        </w:rPr>
        <w:t>0%，</w:t>
      </w:r>
      <w:r>
        <w:rPr>
          <w:rFonts w:hint="eastAsia" w:ascii="仿宋_GB2312"/>
          <w:szCs w:val="32"/>
          <w:lang w:eastAsia="zh-CN"/>
        </w:rPr>
        <w:t>与上</w:t>
      </w:r>
      <w:r>
        <w:rPr>
          <w:rFonts w:hint="eastAsia" w:ascii="仿宋_GB2312"/>
          <w:szCs w:val="32"/>
        </w:rPr>
        <w:t>年</w:t>
      </w:r>
      <w:r>
        <w:rPr>
          <w:rFonts w:hint="eastAsia" w:ascii="仿宋_GB2312"/>
          <w:szCs w:val="32"/>
          <w:lang w:eastAsia="zh-CN"/>
        </w:rPr>
        <w:t>持平</w:t>
      </w:r>
      <w:r>
        <w:rPr>
          <w:rFonts w:hint="eastAsia" w:ascii="仿宋_GB2312"/>
          <w:szCs w:val="32"/>
        </w:rPr>
        <w:t>，主要原因是：</w:t>
      </w:r>
      <w:r>
        <w:rPr>
          <w:rFonts w:hint="eastAsia" w:ascii="仿宋_GB2312"/>
          <w:szCs w:val="32"/>
          <w:lang w:eastAsia="zh-CN"/>
        </w:rPr>
        <w:t>我校厉行节俭，无此项业务支出；公务接待费支出预算为</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，决算</w:t>
      </w:r>
      <w:r>
        <w:rPr>
          <w:rFonts w:hint="eastAsia" w:ascii="仿宋_GB2312"/>
          <w:szCs w:val="32"/>
          <w:lang w:val="en-US" w:eastAsia="zh-CN"/>
        </w:rPr>
        <w:t>0</w:t>
      </w:r>
      <w:r>
        <w:rPr>
          <w:rFonts w:hint="eastAsia" w:ascii="仿宋_GB2312"/>
          <w:szCs w:val="32"/>
        </w:rPr>
        <w:t>万元</w:t>
      </w:r>
      <w:r>
        <w:rPr>
          <w:rFonts w:hint="eastAsia" w:ascii="仿宋_GB2312"/>
          <w:szCs w:val="32"/>
          <w:lang w:eastAsia="zh-CN"/>
        </w:rPr>
        <w:t>，完成预算的</w:t>
      </w:r>
      <w:r>
        <w:rPr>
          <w:rFonts w:hint="eastAsia" w:ascii="仿宋_GB2312"/>
          <w:szCs w:val="32"/>
          <w:lang w:val="en-US" w:eastAsia="zh-CN"/>
        </w:rPr>
        <w:t>0%，</w:t>
      </w:r>
      <w:r>
        <w:rPr>
          <w:rFonts w:hint="eastAsia" w:ascii="仿宋_GB2312"/>
          <w:szCs w:val="32"/>
          <w:lang w:eastAsia="zh-CN"/>
        </w:rPr>
        <w:t>与上</w:t>
      </w:r>
      <w:r>
        <w:rPr>
          <w:rFonts w:hint="eastAsia" w:ascii="仿宋_GB2312"/>
          <w:szCs w:val="32"/>
        </w:rPr>
        <w:t>年</w:t>
      </w:r>
      <w:r>
        <w:rPr>
          <w:rFonts w:hint="eastAsia" w:ascii="仿宋_GB2312"/>
          <w:szCs w:val="32"/>
          <w:lang w:eastAsia="zh-CN"/>
        </w:rPr>
        <w:t>持平</w:t>
      </w:r>
      <w:r>
        <w:rPr>
          <w:rFonts w:hint="eastAsia" w:ascii="仿宋_GB2312"/>
          <w:szCs w:val="32"/>
        </w:rPr>
        <w:t>，主要原因是：</w:t>
      </w:r>
      <w:r>
        <w:rPr>
          <w:rFonts w:hint="eastAsia" w:ascii="仿宋_GB2312"/>
          <w:szCs w:val="32"/>
          <w:lang w:eastAsia="zh-CN"/>
        </w:rPr>
        <w:t>我校厉行节俭，无此项业务支出。</w:t>
      </w:r>
    </w:p>
    <w:p>
      <w:pPr>
        <w:keepNext w:val="0"/>
        <w:keepLines w:val="0"/>
        <w:pageBreakBefore w:val="0"/>
        <w:widowControl w:val="0"/>
        <w:kinsoku/>
        <w:wordWrap/>
        <w:overflowPunct/>
        <w:topLinePunct w:val="0"/>
        <w:bidi w:val="0"/>
        <w:snapToGrid w:val="0"/>
        <w:spacing w:line="560" w:lineRule="exact"/>
        <w:ind w:right="0" w:rightChars="0" w:firstLine="643"/>
        <w:textAlignment w:val="auto"/>
        <w:rPr>
          <w:rFonts w:hint="eastAsia"/>
          <w:b/>
          <w:szCs w:val="32"/>
        </w:rPr>
      </w:pPr>
      <w:r>
        <w:rPr>
          <w:rFonts w:hint="eastAsia"/>
          <w:b/>
          <w:szCs w:val="32"/>
        </w:rPr>
        <w:t>八、其他重要事项情况说明</w:t>
      </w:r>
    </w:p>
    <w:p>
      <w:pPr>
        <w:keepNext w:val="0"/>
        <w:keepLines w:val="0"/>
        <w:pageBreakBefore w:val="0"/>
        <w:widowControl w:val="0"/>
        <w:kinsoku/>
        <w:wordWrap/>
        <w:overflowPunct/>
        <w:topLinePunct w:val="0"/>
        <w:bidi w:val="0"/>
        <w:snapToGrid w:val="0"/>
        <w:spacing w:line="560" w:lineRule="exact"/>
        <w:ind w:right="0" w:rightChars="0" w:firstLine="643"/>
        <w:textAlignment w:val="auto"/>
        <w:outlineLvl w:val="0"/>
        <w:rPr>
          <w:rFonts w:hint="eastAsia" w:ascii="仿宋_GB2312"/>
          <w:szCs w:val="32"/>
        </w:rPr>
      </w:pPr>
      <w:r>
        <w:rPr>
          <w:rFonts w:hint="eastAsia" w:ascii="仿宋_GB2312"/>
          <w:b/>
          <w:szCs w:val="32"/>
        </w:rPr>
        <w:t>（一）机关运行经费支出情况说明</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szCs w:val="32"/>
        </w:rPr>
      </w:pPr>
      <w:r>
        <w:rPr>
          <w:rFonts w:hint="eastAsia" w:ascii="仿宋_GB2312"/>
          <w:szCs w:val="32"/>
          <w:lang w:eastAsia="zh-CN"/>
        </w:rPr>
        <w:t>我校无</w:t>
      </w:r>
      <w:r>
        <w:rPr>
          <w:rFonts w:hint="eastAsia" w:ascii="仿宋_GB2312"/>
          <w:szCs w:val="32"/>
        </w:rPr>
        <w:t>机关运行经费</w:t>
      </w:r>
      <w:r>
        <w:rPr>
          <w:rFonts w:hint="eastAsia" w:ascii="仿宋_GB2312"/>
          <w:szCs w:val="32"/>
          <w:lang w:eastAsia="zh-CN"/>
        </w:rPr>
        <w:t>。</w:t>
      </w:r>
    </w:p>
    <w:p>
      <w:pPr>
        <w:keepNext w:val="0"/>
        <w:keepLines w:val="0"/>
        <w:pageBreakBefore w:val="0"/>
        <w:widowControl w:val="0"/>
        <w:kinsoku/>
        <w:wordWrap/>
        <w:overflowPunct/>
        <w:topLinePunct w:val="0"/>
        <w:bidi w:val="0"/>
        <w:snapToGrid w:val="0"/>
        <w:spacing w:line="560" w:lineRule="exact"/>
        <w:ind w:right="0" w:rightChars="0" w:firstLine="643"/>
        <w:textAlignment w:val="auto"/>
        <w:outlineLvl w:val="0"/>
        <w:rPr>
          <w:rFonts w:hint="eastAsia" w:ascii="仿宋_GB2312"/>
          <w:b/>
          <w:szCs w:val="32"/>
        </w:rPr>
      </w:pPr>
      <w:r>
        <w:rPr>
          <w:rFonts w:hint="eastAsia" w:ascii="仿宋_GB2312"/>
          <w:b/>
          <w:szCs w:val="32"/>
        </w:rPr>
        <w:t>（二）政府采购情况说明</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szCs w:val="32"/>
          <w:lang w:val="en-US" w:eastAsia="zh-CN"/>
        </w:rPr>
      </w:pPr>
      <w:r>
        <w:rPr>
          <w:rFonts w:hint="eastAsia" w:ascii="仿宋_GB2312"/>
          <w:szCs w:val="32"/>
          <w:lang w:eastAsia="zh-CN"/>
        </w:rPr>
        <w:t>2021年度政府采购支出总额</w:t>
      </w:r>
      <w:r>
        <w:rPr>
          <w:rFonts w:hint="eastAsia" w:ascii="仿宋_GB2312"/>
          <w:szCs w:val="32"/>
          <w:lang w:val="en-US" w:eastAsia="zh-CN"/>
        </w:rPr>
        <w:t>41.57</w:t>
      </w:r>
      <w:r>
        <w:rPr>
          <w:rFonts w:hint="eastAsia" w:ascii="仿宋_GB2312"/>
          <w:szCs w:val="32"/>
          <w:lang w:eastAsia="zh-CN"/>
        </w:rPr>
        <w:t>万元，其中：政府采购货物支出</w:t>
      </w:r>
      <w:r>
        <w:rPr>
          <w:rFonts w:hint="eastAsia" w:ascii="仿宋_GB2312"/>
          <w:szCs w:val="32"/>
          <w:lang w:val="en-US" w:eastAsia="zh-CN"/>
        </w:rPr>
        <w:t>41.57</w:t>
      </w:r>
      <w:r>
        <w:rPr>
          <w:rFonts w:hint="eastAsia" w:ascii="仿宋_GB2312"/>
          <w:szCs w:val="32"/>
          <w:lang w:eastAsia="zh-CN"/>
        </w:rPr>
        <w:t>万元、政府采购工程支出</w:t>
      </w:r>
      <w:r>
        <w:rPr>
          <w:rFonts w:hint="eastAsia" w:ascii="仿宋_GB2312"/>
          <w:szCs w:val="32"/>
          <w:lang w:val="en-US" w:eastAsia="zh-CN"/>
        </w:rPr>
        <w:t>0</w:t>
      </w:r>
      <w:r>
        <w:rPr>
          <w:rFonts w:hint="eastAsia" w:ascii="仿宋_GB2312"/>
          <w:szCs w:val="32"/>
          <w:lang w:eastAsia="zh-CN"/>
        </w:rPr>
        <w:t>万元、政府采购服务支出</w:t>
      </w:r>
      <w:r>
        <w:rPr>
          <w:rFonts w:hint="eastAsia" w:ascii="仿宋_GB2312"/>
          <w:szCs w:val="32"/>
          <w:lang w:val="en-US" w:eastAsia="zh-CN"/>
        </w:rPr>
        <w:t>0</w:t>
      </w:r>
      <w:r>
        <w:rPr>
          <w:rFonts w:hint="eastAsia" w:ascii="仿宋_GB2312"/>
          <w:szCs w:val="32"/>
          <w:lang w:eastAsia="zh-CN"/>
        </w:rPr>
        <w:t>万元。政府采购授予中小企业合同金额</w:t>
      </w:r>
      <w:r>
        <w:rPr>
          <w:rFonts w:hint="eastAsia" w:ascii="仿宋_GB2312"/>
          <w:szCs w:val="32"/>
          <w:lang w:val="en-US" w:eastAsia="zh-CN"/>
        </w:rPr>
        <w:t>41.57</w:t>
      </w:r>
      <w:r>
        <w:rPr>
          <w:rFonts w:hint="eastAsia" w:ascii="仿宋_GB2312"/>
          <w:szCs w:val="32"/>
          <w:lang w:eastAsia="zh-CN"/>
        </w:rPr>
        <w:t>万元，占政府采购支出总额的</w:t>
      </w:r>
      <w:r>
        <w:rPr>
          <w:rFonts w:hint="eastAsia" w:ascii="仿宋_GB2312"/>
          <w:szCs w:val="32"/>
          <w:lang w:val="en-US" w:eastAsia="zh-CN"/>
        </w:rPr>
        <w:t>100</w:t>
      </w:r>
      <w:r>
        <w:rPr>
          <w:rFonts w:hint="eastAsia" w:ascii="仿宋_GB2312"/>
          <w:szCs w:val="32"/>
          <w:lang w:eastAsia="zh-CN"/>
        </w:rPr>
        <w:t>%。其中：授予小微企业合同金额</w:t>
      </w:r>
      <w:r>
        <w:rPr>
          <w:rFonts w:hint="eastAsia" w:ascii="仿宋_GB2312"/>
          <w:szCs w:val="32"/>
          <w:lang w:val="en-US" w:eastAsia="zh-CN"/>
        </w:rPr>
        <w:t>41.57</w:t>
      </w:r>
      <w:r>
        <w:rPr>
          <w:rFonts w:hint="eastAsia" w:ascii="仿宋_GB2312"/>
          <w:szCs w:val="32"/>
          <w:lang w:eastAsia="zh-CN"/>
        </w:rPr>
        <w:t>万元，占政府采购支出总额的</w:t>
      </w:r>
      <w:r>
        <w:rPr>
          <w:rFonts w:hint="eastAsia" w:ascii="仿宋_GB2312"/>
          <w:szCs w:val="32"/>
          <w:lang w:val="en-US" w:eastAsia="zh-CN"/>
        </w:rPr>
        <w:t>100</w:t>
      </w:r>
      <w:r>
        <w:rPr>
          <w:rFonts w:hint="eastAsia" w:ascii="仿宋_GB2312"/>
          <w:szCs w:val="32"/>
          <w:lang w:eastAsia="zh-CN"/>
        </w:rPr>
        <w:t>%。</w:t>
      </w:r>
    </w:p>
    <w:p>
      <w:pPr>
        <w:keepNext w:val="0"/>
        <w:keepLines w:val="0"/>
        <w:pageBreakBefore w:val="0"/>
        <w:widowControl w:val="0"/>
        <w:kinsoku/>
        <w:wordWrap/>
        <w:overflowPunct/>
        <w:topLinePunct w:val="0"/>
        <w:bidi w:val="0"/>
        <w:snapToGrid w:val="0"/>
        <w:spacing w:line="560" w:lineRule="exact"/>
        <w:ind w:right="0" w:rightChars="0" w:firstLine="517" w:firstLineChars="161"/>
        <w:textAlignment w:val="auto"/>
        <w:outlineLvl w:val="0"/>
        <w:rPr>
          <w:rFonts w:hint="eastAsia" w:ascii="仿宋_GB2312"/>
          <w:szCs w:val="32"/>
        </w:rPr>
      </w:pPr>
      <w:r>
        <w:rPr>
          <w:rFonts w:hint="eastAsia" w:ascii="仿宋_GB2312"/>
          <w:b/>
          <w:szCs w:val="32"/>
        </w:rPr>
        <w:t>（三）国有资产占用情况说明</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default" w:ascii="仿宋_GB2312"/>
          <w:szCs w:val="32"/>
          <w:lang w:val="en-US" w:eastAsia="zh-CN"/>
        </w:rPr>
      </w:pPr>
      <w:r>
        <w:rPr>
          <w:rFonts w:hint="eastAsia" w:ascii="仿宋_GB2312"/>
          <w:szCs w:val="32"/>
          <w:lang w:eastAsia="zh-CN"/>
        </w:rPr>
        <w:t>截至2021年12月31日，本部门共有车辆</w:t>
      </w:r>
      <w:r>
        <w:rPr>
          <w:rFonts w:hint="eastAsia" w:ascii="仿宋_GB2312"/>
          <w:szCs w:val="32"/>
          <w:lang w:val="en-US" w:eastAsia="zh-CN"/>
        </w:rPr>
        <w:t>0</w:t>
      </w:r>
      <w:r>
        <w:rPr>
          <w:rFonts w:hint="eastAsia" w:ascii="仿宋_GB2312"/>
          <w:szCs w:val="32"/>
          <w:lang w:eastAsia="zh-CN"/>
        </w:rPr>
        <w:t>辆。单价50万元（含）以上的通用设备</w:t>
      </w:r>
      <w:r>
        <w:rPr>
          <w:rFonts w:hint="eastAsia" w:ascii="仿宋_GB2312"/>
          <w:szCs w:val="32"/>
          <w:lang w:val="en-US" w:eastAsia="zh-CN"/>
        </w:rPr>
        <w:t>0</w:t>
      </w:r>
      <w:r>
        <w:rPr>
          <w:rFonts w:hint="eastAsia" w:ascii="仿宋_GB2312"/>
          <w:szCs w:val="32"/>
          <w:lang w:eastAsia="zh-CN"/>
        </w:rPr>
        <w:t>台（套），单价100万元（含）以上专用设备</w:t>
      </w:r>
      <w:r>
        <w:rPr>
          <w:rFonts w:hint="eastAsia" w:ascii="仿宋_GB2312"/>
          <w:szCs w:val="32"/>
          <w:lang w:val="en-US" w:eastAsia="zh-CN"/>
        </w:rPr>
        <w:t>0</w:t>
      </w:r>
      <w:r>
        <w:rPr>
          <w:rFonts w:hint="eastAsia" w:ascii="仿宋_GB2312"/>
          <w:szCs w:val="32"/>
          <w:lang w:eastAsia="zh-CN"/>
        </w:rPr>
        <w:t>台（套）。</w:t>
      </w:r>
    </w:p>
    <w:p>
      <w:pPr>
        <w:keepNext w:val="0"/>
        <w:keepLines w:val="0"/>
        <w:pageBreakBefore w:val="0"/>
        <w:widowControl w:val="0"/>
        <w:kinsoku/>
        <w:wordWrap/>
        <w:overflowPunct/>
        <w:topLinePunct w:val="0"/>
        <w:bidi w:val="0"/>
        <w:snapToGrid w:val="0"/>
        <w:spacing w:line="560" w:lineRule="exact"/>
        <w:ind w:right="0" w:rightChars="0" w:firstLine="517" w:firstLineChars="161"/>
        <w:textAlignment w:val="auto"/>
        <w:outlineLvl w:val="0"/>
        <w:rPr>
          <w:rFonts w:hint="eastAsia" w:ascii="仿宋_GB2312"/>
          <w:b/>
          <w:szCs w:val="32"/>
        </w:rPr>
      </w:pPr>
      <w:r>
        <w:rPr>
          <w:rFonts w:hint="eastAsia" w:ascii="仿宋_GB2312"/>
          <w:b/>
          <w:szCs w:val="32"/>
        </w:rPr>
        <w:t>（四）预算绩效情况说明</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szCs w:val="32"/>
          <w:lang w:eastAsia="zh-CN"/>
        </w:rPr>
      </w:pPr>
      <w:r>
        <w:rPr>
          <w:rFonts w:hint="eastAsia" w:ascii="仿宋_GB2312"/>
          <w:szCs w:val="32"/>
          <w:lang w:eastAsia="zh-CN"/>
        </w:rPr>
        <w:t>(1) 绩效管理评价工作开展情况。</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szCs w:val="32"/>
          <w:lang w:eastAsia="zh-CN"/>
        </w:rPr>
      </w:pPr>
      <w:r>
        <w:rPr>
          <w:rFonts w:hint="eastAsia" w:ascii="仿宋_GB2312"/>
          <w:szCs w:val="32"/>
          <w:lang w:eastAsia="zh-CN"/>
        </w:rPr>
        <w:t xml:space="preserve">根据预算绩效管理要求，我单位组织对2021年度部门预算项目支出中其他运转类项目和特定目标类项目开展绩效自评。其中，一级项目 </w:t>
      </w:r>
      <w:r>
        <w:rPr>
          <w:rFonts w:hint="eastAsia" w:ascii="仿宋_GB2312"/>
          <w:szCs w:val="32"/>
          <w:lang w:val="en-US" w:eastAsia="zh-CN"/>
        </w:rPr>
        <w:t>0</w:t>
      </w:r>
      <w:r>
        <w:rPr>
          <w:rFonts w:hint="eastAsia" w:ascii="仿宋_GB2312"/>
          <w:szCs w:val="32"/>
          <w:lang w:eastAsia="zh-CN"/>
        </w:rPr>
        <w:t xml:space="preserve"> 个，二级项目 </w:t>
      </w:r>
      <w:r>
        <w:rPr>
          <w:rFonts w:hint="eastAsia" w:ascii="仿宋_GB2312"/>
          <w:szCs w:val="32"/>
          <w:lang w:val="en-US" w:eastAsia="zh-CN"/>
        </w:rPr>
        <w:t>3</w:t>
      </w:r>
      <w:r>
        <w:rPr>
          <w:rFonts w:hint="eastAsia" w:ascii="仿宋_GB2312"/>
          <w:szCs w:val="32"/>
          <w:lang w:eastAsia="zh-CN"/>
        </w:rPr>
        <w:t>个，共涉及资金</w:t>
      </w:r>
      <w:r>
        <w:rPr>
          <w:rFonts w:hint="eastAsia" w:ascii="仿宋_GB2312"/>
          <w:szCs w:val="32"/>
          <w:lang w:val="en-US" w:eastAsia="zh-CN"/>
        </w:rPr>
        <w:t>526.54</w:t>
      </w:r>
      <w:r>
        <w:rPr>
          <w:rFonts w:hint="eastAsia" w:ascii="仿宋_GB2312"/>
          <w:szCs w:val="32"/>
          <w:lang w:eastAsia="zh-CN"/>
        </w:rPr>
        <w:t>万元，占一般公共预算项目支出总额的</w:t>
      </w:r>
      <w:r>
        <w:rPr>
          <w:rFonts w:hint="eastAsia" w:ascii="仿宋_GB2312"/>
          <w:szCs w:val="32"/>
          <w:lang w:val="en-US" w:eastAsia="zh-CN"/>
        </w:rPr>
        <w:t>100</w:t>
      </w:r>
      <w:r>
        <w:rPr>
          <w:rFonts w:hint="eastAsia" w:ascii="仿宋_GB2312"/>
          <w:szCs w:val="32"/>
          <w:lang w:eastAsia="zh-CN"/>
        </w:rPr>
        <w:t>%。</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szCs w:val="32"/>
          <w:lang w:eastAsia="zh-CN"/>
        </w:rPr>
      </w:pPr>
      <w:r>
        <w:rPr>
          <w:rFonts w:hint="eastAsia" w:ascii="仿宋_GB2312"/>
          <w:szCs w:val="32"/>
          <w:lang w:eastAsia="zh-CN"/>
        </w:rPr>
        <w:t>(2) 部门决算中重点项目绩效自评结果。</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szCs w:val="32"/>
          <w:lang w:eastAsia="zh-CN"/>
        </w:rPr>
      </w:pPr>
      <w:r>
        <w:rPr>
          <w:rFonts w:hint="eastAsia" w:ascii="仿宋_GB2312"/>
          <w:szCs w:val="32"/>
          <w:lang w:val="en-US" w:eastAsia="zh-CN"/>
        </w:rPr>
        <w:t>安保工作经费</w:t>
      </w:r>
      <w:r>
        <w:rPr>
          <w:rFonts w:hint="eastAsia" w:ascii="仿宋_GB2312"/>
          <w:szCs w:val="32"/>
          <w:lang w:eastAsia="zh-CN"/>
        </w:rPr>
        <w:t>项目绩效自评综述：根据年初设定的绩效目标，项目绩效自评得分为</w:t>
      </w:r>
      <w:r>
        <w:rPr>
          <w:rFonts w:hint="eastAsia" w:ascii="仿宋_GB2312"/>
          <w:szCs w:val="32"/>
          <w:lang w:val="en-US" w:eastAsia="zh-CN"/>
        </w:rPr>
        <w:t>94</w:t>
      </w:r>
      <w:bookmarkStart w:id="0" w:name="_GoBack"/>
      <w:bookmarkEnd w:id="0"/>
      <w:r>
        <w:rPr>
          <w:rFonts w:hint="eastAsia" w:ascii="仿宋_GB2312"/>
          <w:szCs w:val="32"/>
          <w:lang w:eastAsia="zh-CN"/>
        </w:rPr>
        <w:t>分。项目全年预算数为</w:t>
      </w:r>
      <w:r>
        <w:rPr>
          <w:rFonts w:hint="eastAsia" w:ascii="仿宋_GB2312"/>
          <w:szCs w:val="32"/>
          <w:lang w:val="en-US" w:eastAsia="zh-CN"/>
        </w:rPr>
        <w:t>16.69</w:t>
      </w:r>
      <w:r>
        <w:rPr>
          <w:rFonts w:hint="eastAsia" w:ascii="仿宋_GB2312"/>
          <w:szCs w:val="32"/>
          <w:lang w:eastAsia="zh-CN"/>
        </w:rPr>
        <w:t>万元，执行数为</w:t>
      </w:r>
      <w:r>
        <w:rPr>
          <w:rFonts w:hint="eastAsia" w:ascii="仿宋_GB2312"/>
          <w:szCs w:val="32"/>
          <w:lang w:val="en-US" w:eastAsia="zh-CN"/>
        </w:rPr>
        <w:t>16.69</w:t>
      </w:r>
      <w:r>
        <w:rPr>
          <w:rFonts w:hint="eastAsia" w:ascii="仿宋_GB2312"/>
          <w:szCs w:val="32"/>
          <w:lang w:eastAsia="zh-CN"/>
        </w:rPr>
        <w:t>万元，完成预算的</w:t>
      </w:r>
      <w:r>
        <w:rPr>
          <w:rFonts w:hint="eastAsia" w:ascii="仿宋_GB2312"/>
          <w:szCs w:val="32"/>
          <w:lang w:val="en-US" w:eastAsia="zh-CN"/>
        </w:rPr>
        <w:t>100</w:t>
      </w:r>
      <w:r>
        <w:rPr>
          <w:rFonts w:hint="eastAsia" w:ascii="仿宋_GB2312"/>
          <w:szCs w:val="32"/>
          <w:lang w:eastAsia="zh-CN"/>
        </w:rPr>
        <w:t>%。项目绩效目标完成情况：一是项目产出数量达到年初设定的数量绩效目标；二是项目产出质量达到年初设定的质量绩效目标；三是项目实施达到了预期社会综合效益。该项目</w:t>
      </w:r>
      <w:r>
        <w:rPr>
          <w:rFonts w:hint="eastAsia" w:ascii="仿宋_GB2312"/>
          <w:szCs w:val="32"/>
          <w:lang w:val="en-US" w:eastAsia="zh-CN"/>
        </w:rPr>
        <w:t>合理使用财政资金，提高资金使用效益，进一步</w:t>
      </w:r>
      <w:r>
        <w:rPr>
          <w:rFonts w:hint="eastAsia" w:ascii="仿宋_GB2312" w:hAnsi="仿宋" w:cs="仿宋_GB2312"/>
          <w:color w:val="000000"/>
          <w:kern w:val="0"/>
          <w:sz w:val="32"/>
          <w:szCs w:val="32"/>
          <w:lang w:val="en-US" w:eastAsia="zh-CN"/>
        </w:rPr>
        <w:t>加强校园安保人员力量，</w:t>
      </w:r>
      <w:r>
        <w:rPr>
          <w:rFonts w:hint="eastAsia" w:ascii="仿宋_GB2312" w:hAnsi="仿宋" w:eastAsia="仿宋_GB2312" w:cs="仿宋_GB2312"/>
          <w:color w:val="000000"/>
          <w:kern w:val="0"/>
          <w:sz w:val="32"/>
          <w:szCs w:val="32"/>
          <w:lang w:eastAsia="zh-CN"/>
        </w:rPr>
        <w:t>维护</w:t>
      </w:r>
      <w:r>
        <w:rPr>
          <w:rFonts w:hint="eastAsia" w:ascii="仿宋_GB2312" w:hAnsi="仿宋" w:cs="仿宋_GB2312"/>
          <w:color w:val="000000"/>
          <w:kern w:val="0"/>
          <w:sz w:val="32"/>
          <w:szCs w:val="32"/>
          <w:lang w:val="en-US" w:eastAsia="zh-CN"/>
        </w:rPr>
        <w:t>学校</w:t>
      </w:r>
      <w:r>
        <w:rPr>
          <w:rFonts w:hint="eastAsia" w:ascii="仿宋_GB2312" w:hAnsi="仿宋" w:eastAsia="仿宋_GB2312" w:cs="仿宋_GB2312"/>
          <w:color w:val="000000"/>
          <w:kern w:val="0"/>
          <w:sz w:val="32"/>
          <w:szCs w:val="32"/>
          <w:lang w:eastAsia="zh-CN"/>
        </w:rPr>
        <w:t>师生安全</w:t>
      </w:r>
      <w:r>
        <w:rPr>
          <w:rFonts w:hint="eastAsia" w:ascii="仿宋_GB2312"/>
          <w:szCs w:val="32"/>
          <w:lang w:val="en-US" w:eastAsia="zh-CN"/>
        </w:rPr>
        <w:t>。</w:t>
      </w:r>
      <w:r>
        <w:rPr>
          <w:rFonts w:hint="eastAsia" w:ascii="仿宋_GB2312"/>
          <w:szCs w:val="32"/>
          <w:lang w:eastAsia="zh-CN"/>
        </w:rPr>
        <w:t>（项目自评表见附件</w:t>
      </w:r>
      <w:r>
        <w:rPr>
          <w:rFonts w:hint="eastAsia" w:ascii="仿宋_GB2312"/>
          <w:szCs w:val="32"/>
          <w:lang w:val="en-US" w:eastAsia="zh-CN"/>
        </w:rPr>
        <w:t>2</w:t>
      </w:r>
      <w:r>
        <w:rPr>
          <w:rFonts w:hint="eastAsia" w:ascii="仿宋_GB2312"/>
          <w:szCs w:val="32"/>
          <w:lang w:eastAsia="zh-CN"/>
        </w:rPr>
        <w:t>）。</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szCs w:val="32"/>
          <w:lang w:eastAsia="zh-CN"/>
        </w:rPr>
      </w:pPr>
      <w:r>
        <w:rPr>
          <w:rFonts w:hint="eastAsia" w:ascii="仿宋_GB2312"/>
          <w:szCs w:val="32"/>
          <w:lang w:val="en-US" w:eastAsia="zh-CN"/>
        </w:rPr>
        <w:t xml:space="preserve"> </w:t>
      </w:r>
      <w:r>
        <w:rPr>
          <w:rFonts w:hint="eastAsia" w:ascii="仿宋_GB2312"/>
          <w:szCs w:val="32"/>
          <w:lang w:eastAsia="zh-CN"/>
        </w:rPr>
        <w:t>(3) 部门评价项目绩效评价结果。</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szCs w:val="32"/>
          <w:lang w:eastAsia="zh-CN"/>
        </w:rPr>
      </w:pPr>
      <w:r>
        <w:rPr>
          <w:rFonts w:hint="eastAsia" w:ascii="仿宋_GB2312"/>
          <w:szCs w:val="32"/>
          <w:lang w:eastAsia="zh-CN"/>
        </w:rPr>
        <w:t>《</w:t>
      </w:r>
      <w:r>
        <w:rPr>
          <w:rFonts w:hint="eastAsia" w:ascii="仿宋_GB2312"/>
          <w:szCs w:val="32"/>
          <w:lang w:val="en-US" w:eastAsia="zh-CN"/>
        </w:rPr>
        <w:t>安保工作经费</w:t>
      </w:r>
      <w:r>
        <w:rPr>
          <w:rFonts w:hint="eastAsia" w:ascii="仿宋_GB2312"/>
          <w:szCs w:val="32"/>
          <w:lang w:eastAsia="zh-CN"/>
        </w:rPr>
        <w:t>项目绩效评价报告》（详见附件</w:t>
      </w:r>
      <w:r>
        <w:rPr>
          <w:rFonts w:hint="eastAsia" w:ascii="仿宋_GB2312"/>
          <w:szCs w:val="32"/>
          <w:lang w:val="en-US" w:eastAsia="zh-CN"/>
        </w:rPr>
        <w:t>3</w:t>
      </w:r>
      <w:r>
        <w:rPr>
          <w:rFonts w:hint="eastAsia" w:ascii="仿宋_GB2312"/>
          <w:szCs w:val="32"/>
          <w:lang w:eastAsia="zh-CN"/>
        </w:rPr>
        <w:t>）。</w:t>
      </w:r>
    </w:p>
    <w:p>
      <w:pPr>
        <w:keepNext w:val="0"/>
        <w:keepLines w:val="0"/>
        <w:pageBreakBefore w:val="0"/>
        <w:widowControl w:val="0"/>
        <w:kinsoku/>
        <w:wordWrap/>
        <w:overflowPunct/>
        <w:topLinePunct w:val="0"/>
        <w:bidi w:val="0"/>
        <w:snapToGrid w:val="0"/>
        <w:spacing w:line="560" w:lineRule="exact"/>
        <w:ind w:left="0" w:leftChars="0" w:right="0" w:rightChars="0" w:firstLine="0" w:firstLineChars="0"/>
        <w:textAlignment w:val="auto"/>
        <w:outlineLvl w:val="0"/>
        <w:rPr>
          <w:rFonts w:hint="eastAsia" w:ascii="仿宋_GB2312"/>
          <w:b/>
          <w:szCs w:val="32"/>
        </w:rPr>
      </w:pPr>
      <w:r>
        <w:rPr>
          <w:rFonts w:hint="eastAsia" w:ascii="仿宋_GB2312"/>
          <w:b/>
          <w:szCs w:val="32"/>
          <w:lang w:val="en-US" w:eastAsia="zh-CN"/>
        </w:rPr>
        <w:t xml:space="preserve">   </w:t>
      </w:r>
      <w:r>
        <w:rPr>
          <w:rFonts w:hint="eastAsia" w:ascii="仿宋_GB2312"/>
          <w:b/>
          <w:szCs w:val="32"/>
        </w:rPr>
        <w:t>（五）其他需要说明的事项</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仿宋_GB2312"/>
          <w:szCs w:val="32"/>
          <w:lang w:eastAsia="zh-CN"/>
        </w:rPr>
      </w:pPr>
      <w:r>
        <w:rPr>
          <w:rFonts w:hint="eastAsia" w:ascii="仿宋_GB2312"/>
          <w:szCs w:val="32"/>
          <w:lang w:eastAsia="zh-CN"/>
        </w:rPr>
        <w:t>无</w:t>
      </w:r>
    </w:p>
    <w:p>
      <w:pPr>
        <w:keepNext w:val="0"/>
        <w:keepLines w:val="0"/>
        <w:pageBreakBefore w:val="0"/>
        <w:widowControl w:val="0"/>
        <w:kinsoku/>
        <w:wordWrap/>
        <w:overflowPunct/>
        <w:topLinePunct w:val="0"/>
        <w:bidi w:val="0"/>
        <w:snapToGrid w:val="0"/>
        <w:spacing w:line="560" w:lineRule="exact"/>
        <w:ind w:right="0" w:rightChars="0" w:firstLine="640"/>
        <w:textAlignment w:val="auto"/>
        <w:rPr>
          <w:rFonts w:hint="eastAsia" w:ascii="黑体" w:hAnsi="黑体" w:eastAsia="黑体"/>
          <w:szCs w:val="32"/>
        </w:rPr>
      </w:pPr>
      <w:r>
        <w:rPr>
          <w:rFonts w:hint="eastAsia" w:ascii="黑体" w:hAnsi="黑体" w:eastAsia="黑体"/>
          <w:szCs w:val="32"/>
        </w:rPr>
        <w:t>第四部分  名词解释</w:t>
      </w:r>
    </w:p>
    <w:p>
      <w:pPr>
        <w:keepNext w:val="0"/>
        <w:keepLines w:val="0"/>
        <w:pageBreakBefore w:val="0"/>
        <w:widowControl w:val="0"/>
        <w:numPr>
          <w:ilvl w:val="0"/>
          <w:numId w:val="1"/>
        </w:numPr>
        <w:kinsoku/>
        <w:wordWrap/>
        <w:overflowPunct/>
        <w:topLinePunct w:val="0"/>
        <w:bidi w:val="0"/>
        <w:snapToGrid w:val="0"/>
        <w:spacing w:line="560" w:lineRule="exact"/>
        <w:ind w:right="0" w:rightChars="0" w:firstLineChars="0"/>
        <w:textAlignment w:val="auto"/>
        <w:rPr>
          <w:rFonts w:hint="eastAsia" w:ascii="仿宋_GB2312"/>
          <w:szCs w:val="32"/>
        </w:rPr>
      </w:pPr>
      <w:r>
        <w:rPr>
          <w:rFonts w:hint="eastAsia" w:ascii="仿宋_GB2312"/>
          <w:b/>
          <w:szCs w:val="32"/>
        </w:rPr>
        <w:t>财政拨款收入：</w:t>
      </w:r>
      <w:r>
        <w:rPr>
          <w:rFonts w:hint="eastAsia" w:ascii="仿宋_GB2312"/>
          <w:szCs w:val="32"/>
        </w:rPr>
        <w:t>指单位从同级财政部门取得的财政预</w:t>
      </w:r>
    </w:p>
    <w:p>
      <w:pPr>
        <w:keepNext w:val="0"/>
        <w:keepLines w:val="0"/>
        <w:pageBreakBefore w:val="0"/>
        <w:widowControl w:val="0"/>
        <w:kinsoku/>
        <w:wordWrap/>
        <w:overflowPunct/>
        <w:topLinePunct w:val="0"/>
        <w:bidi w:val="0"/>
        <w:snapToGrid w:val="0"/>
        <w:spacing w:line="560" w:lineRule="exact"/>
        <w:ind w:right="0" w:rightChars="0" w:firstLineChars="0"/>
        <w:textAlignment w:val="auto"/>
        <w:rPr>
          <w:rFonts w:hint="eastAsia" w:ascii="仿宋_GB2312"/>
          <w:szCs w:val="32"/>
        </w:rPr>
      </w:pPr>
      <w:r>
        <w:rPr>
          <w:rFonts w:hint="eastAsia" w:ascii="仿宋_GB2312"/>
          <w:szCs w:val="32"/>
        </w:rPr>
        <w:t>算资金。</w:t>
      </w:r>
    </w:p>
    <w:p>
      <w:pPr>
        <w:keepNext w:val="0"/>
        <w:keepLines w:val="0"/>
        <w:pageBreakBefore w:val="0"/>
        <w:widowControl w:val="0"/>
        <w:numPr>
          <w:ilvl w:val="0"/>
          <w:numId w:val="1"/>
        </w:numPr>
        <w:kinsoku/>
        <w:wordWrap/>
        <w:overflowPunct/>
        <w:topLinePunct w:val="0"/>
        <w:bidi w:val="0"/>
        <w:snapToGrid w:val="0"/>
        <w:spacing w:line="560" w:lineRule="exact"/>
        <w:ind w:right="0" w:rightChars="0" w:firstLineChars="0"/>
        <w:textAlignment w:val="auto"/>
        <w:rPr>
          <w:rFonts w:hint="eastAsia" w:ascii="仿宋_GB2312"/>
          <w:szCs w:val="32"/>
        </w:rPr>
      </w:pPr>
      <w:r>
        <w:rPr>
          <w:rFonts w:hint="eastAsia" w:ascii="仿宋_GB2312"/>
          <w:b/>
          <w:szCs w:val="32"/>
        </w:rPr>
        <w:t>事业收入：</w:t>
      </w:r>
      <w:r>
        <w:rPr>
          <w:rFonts w:hint="eastAsia" w:ascii="仿宋_GB2312"/>
          <w:szCs w:val="32"/>
        </w:rPr>
        <w:t>指事业单位开展专业业务活动及辅助活动</w:t>
      </w:r>
    </w:p>
    <w:p>
      <w:pPr>
        <w:keepNext w:val="0"/>
        <w:keepLines w:val="0"/>
        <w:pageBreakBefore w:val="0"/>
        <w:widowControl w:val="0"/>
        <w:kinsoku/>
        <w:wordWrap/>
        <w:overflowPunct/>
        <w:topLinePunct w:val="0"/>
        <w:bidi w:val="0"/>
        <w:snapToGrid w:val="0"/>
        <w:spacing w:line="560" w:lineRule="exact"/>
        <w:ind w:right="0" w:rightChars="0" w:firstLineChars="0"/>
        <w:textAlignment w:val="auto"/>
        <w:rPr>
          <w:rFonts w:hint="eastAsia" w:ascii="仿宋_GB2312"/>
          <w:szCs w:val="32"/>
        </w:rPr>
      </w:pPr>
      <w:r>
        <w:rPr>
          <w:rFonts w:hint="eastAsia" w:ascii="仿宋_GB2312"/>
          <w:szCs w:val="32"/>
        </w:rPr>
        <w:t>取得的收入。</w:t>
      </w:r>
    </w:p>
    <w:p>
      <w:pPr>
        <w:keepNext w:val="0"/>
        <w:keepLines w:val="0"/>
        <w:pageBreakBefore w:val="0"/>
        <w:widowControl w:val="0"/>
        <w:numPr>
          <w:ilvl w:val="0"/>
          <w:numId w:val="1"/>
        </w:numPr>
        <w:kinsoku/>
        <w:wordWrap/>
        <w:overflowPunct/>
        <w:topLinePunct w:val="0"/>
        <w:bidi w:val="0"/>
        <w:snapToGrid w:val="0"/>
        <w:spacing w:line="560" w:lineRule="exact"/>
        <w:ind w:right="0" w:rightChars="0" w:firstLineChars="0"/>
        <w:textAlignment w:val="auto"/>
        <w:rPr>
          <w:rFonts w:hint="eastAsia" w:ascii="仿宋_GB2312"/>
          <w:szCs w:val="32"/>
        </w:rPr>
      </w:pPr>
      <w:r>
        <w:rPr>
          <w:rFonts w:hint="eastAsia" w:ascii="仿宋_GB2312"/>
          <w:b/>
          <w:szCs w:val="32"/>
        </w:rPr>
        <w:t>经营收入：</w:t>
      </w:r>
      <w:r>
        <w:rPr>
          <w:rFonts w:hint="eastAsia" w:ascii="仿宋_GB2312"/>
          <w:szCs w:val="32"/>
        </w:rPr>
        <w:t>指事业单位在专业业务活动及其辅助活动</w:t>
      </w:r>
    </w:p>
    <w:p>
      <w:pPr>
        <w:keepNext w:val="0"/>
        <w:keepLines w:val="0"/>
        <w:pageBreakBefore w:val="0"/>
        <w:widowControl w:val="0"/>
        <w:kinsoku/>
        <w:wordWrap/>
        <w:overflowPunct/>
        <w:topLinePunct w:val="0"/>
        <w:bidi w:val="0"/>
        <w:snapToGrid w:val="0"/>
        <w:spacing w:line="560" w:lineRule="exact"/>
        <w:ind w:right="0" w:rightChars="0" w:firstLineChars="0"/>
        <w:textAlignment w:val="auto"/>
        <w:rPr>
          <w:rFonts w:hint="eastAsia" w:ascii="仿宋_GB2312"/>
          <w:szCs w:val="32"/>
        </w:rPr>
      </w:pPr>
      <w:r>
        <w:rPr>
          <w:rFonts w:hint="eastAsia" w:ascii="仿宋_GB2312"/>
          <w:szCs w:val="32"/>
        </w:rPr>
        <w:t>之外开展非独立核算经营活动取得的收入。</w:t>
      </w:r>
    </w:p>
    <w:p>
      <w:pPr>
        <w:keepNext w:val="0"/>
        <w:keepLines w:val="0"/>
        <w:pageBreakBefore w:val="0"/>
        <w:widowControl w:val="0"/>
        <w:numPr>
          <w:ilvl w:val="0"/>
          <w:numId w:val="1"/>
        </w:numPr>
        <w:kinsoku/>
        <w:wordWrap/>
        <w:overflowPunct/>
        <w:topLinePunct w:val="0"/>
        <w:bidi w:val="0"/>
        <w:snapToGrid w:val="0"/>
        <w:spacing w:line="560" w:lineRule="exact"/>
        <w:ind w:right="0" w:rightChars="0" w:firstLineChars="0"/>
        <w:textAlignment w:val="auto"/>
        <w:rPr>
          <w:rFonts w:hint="eastAsia" w:ascii="仿宋_GB2312"/>
          <w:szCs w:val="32"/>
        </w:rPr>
      </w:pPr>
      <w:r>
        <w:rPr>
          <w:rFonts w:hint="eastAsia" w:ascii="仿宋_GB2312"/>
          <w:b/>
          <w:szCs w:val="32"/>
        </w:rPr>
        <w:t>其他收入：</w:t>
      </w:r>
      <w:r>
        <w:rPr>
          <w:rFonts w:hint="eastAsia" w:ascii="仿宋_GB2312"/>
          <w:szCs w:val="32"/>
        </w:rPr>
        <w:t>指单位取得的除上述收入以外的各项收</w:t>
      </w:r>
    </w:p>
    <w:p>
      <w:pPr>
        <w:keepNext w:val="0"/>
        <w:keepLines w:val="0"/>
        <w:pageBreakBefore w:val="0"/>
        <w:widowControl w:val="0"/>
        <w:kinsoku/>
        <w:wordWrap/>
        <w:overflowPunct/>
        <w:topLinePunct w:val="0"/>
        <w:bidi w:val="0"/>
        <w:snapToGrid w:val="0"/>
        <w:spacing w:line="560" w:lineRule="exact"/>
        <w:ind w:right="0" w:rightChars="0" w:firstLineChars="0"/>
        <w:textAlignment w:val="auto"/>
        <w:rPr>
          <w:rFonts w:ascii="仿宋_GB2312"/>
          <w:szCs w:val="32"/>
        </w:rPr>
      </w:pPr>
      <w:r>
        <w:rPr>
          <w:rFonts w:hint="eastAsia" w:ascii="仿宋_GB2312"/>
          <w:szCs w:val="32"/>
        </w:rPr>
        <w:t>入。主要是事业单位固定资产出租收入、存款利息收入等。</w:t>
      </w:r>
    </w:p>
    <w:p>
      <w:pPr>
        <w:keepNext w:val="0"/>
        <w:keepLines w:val="0"/>
        <w:pageBreakBefore w:val="0"/>
        <w:widowControl w:val="0"/>
        <w:kinsoku/>
        <w:wordWrap/>
        <w:overflowPunct/>
        <w:topLinePunct w:val="0"/>
        <w:bidi w:val="0"/>
        <w:snapToGrid w:val="0"/>
        <w:spacing w:line="560" w:lineRule="exact"/>
        <w:ind w:right="0" w:rightChars="0" w:firstLineChars="0"/>
        <w:textAlignment w:val="auto"/>
        <w:rPr>
          <w:rFonts w:hint="eastAsia" w:ascii="仿宋_GB2312"/>
          <w:szCs w:val="32"/>
        </w:rPr>
      </w:pPr>
      <w:r>
        <w:rPr>
          <w:rFonts w:ascii="仿宋_GB2312"/>
          <w:szCs w:val="32"/>
        </w:rPr>
        <w:t xml:space="preserve">   </w:t>
      </w:r>
      <w:r>
        <w:rPr>
          <w:rFonts w:hint="eastAsia" w:ascii="仿宋_GB2312"/>
          <w:b/>
          <w:bCs/>
          <w:szCs w:val="32"/>
        </w:rPr>
        <w:t>五、使用非财政拨款结余：</w:t>
      </w:r>
      <w:r>
        <w:rPr>
          <w:rFonts w:hint="eastAsia" w:ascii="仿宋_GB2312"/>
          <w:szCs w:val="32"/>
        </w:rPr>
        <w:t>指事业单位使用以前年度积累的非财政拨款结余弥补当年收支差额的金额。</w:t>
      </w:r>
    </w:p>
    <w:p>
      <w:pPr>
        <w:keepNext w:val="0"/>
        <w:keepLines w:val="0"/>
        <w:pageBreakBefore w:val="0"/>
        <w:widowControl w:val="0"/>
        <w:numPr>
          <w:ilvl w:val="0"/>
          <w:numId w:val="2"/>
        </w:numPr>
        <w:kinsoku/>
        <w:wordWrap/>
        <w:overflowPunct/>
        <w:topLinePunct w:val="0"/>
        <w:bidi w:val="0"/>
        <w:snapToGrid w:val="0"/>
        <w:spacing w:line="560" w:lineRule="exact"/>
        <w:ind w:right="0" w:rightChars="0" w:firstLineChars="0"/>
        <w:textAlignment w:val="auto"/>
        <w:rPr>
          <w:rFonts w:hint="eastAsia" w:ascii="仿宋_GB2312"/>
          <w:szCs w:val="32"/>
        </w:rPr>
      </w:pPr>
      <w:r>
        <w:rPr>
          <w:rFonts w:hint="eastAsia" w:ascii="仿宋_GB2312"/>
          <w:b/>
          <w:szCs w:val="32"/>
        </w:rPr>
        <w:t>年初结转和结余：</w:t>
      </w:r>
      <w:r>
        <w:rPr>
          <w:rFonts w:hint="eastAsia" w:ascii="仿宋_GB2312"/>
          <w:szCs w:val="32"/>
        </w:rPr>
        <w:t>指单位以前年度尚未完成、结转到</w:t>
      </w:r>
    </w:p>
    <w:p>
      <w:pPr>
        <w:keepNext w:val="0"/>
        <w:keepLines w:val="0"/>
        <w:pageBreakBefore w:val="0"/>
        <w:widowControl w:val="0"/>
        <w:kinsoku/>
        <w:wordWrap/>
        <w:overflowPunct/>
        <w:topLinePunct w:val="0"/>
        <w:bidi w:val="0"/>
        <w:snapToGrid w:val="0"/>
        <w:spacing w:line="560" w:lineRule="exact"/>
        <w:ind w:right="0" w:rightChars="0" w:firstLineChars="0"/>
        <w:textAlignment w:val="auto"/>
        <w:rPr>
          <w:rFonts w:ascii="仿宋_GB2312"/>
          <w:szCs w:val="32"/>
        </w:rPr>
      </w:pPr>
      <w:r>
        <w:rPr>
          <w:rFonts w:hint="eastAsia" w:ascii="仿宋_GB2312"/>
          <w:szCs w:val="32"/>
        </w:rPr>
        <w:t>本年仍按原规定用途继续使用的资金，或项目已完成等产生的结余资金。</w:t>
      </w:r>
    </w:p>
    <w:p>
      <w:pPr>
        <w:keepNext w:val="0"/>
        <w:keepLines w:val="0"/>
        <w:pageBreakBefore w:val="0"/>
        <w:widowControl w:val="0"/>
        <w:numPr>
          <w:ilvl w:val="0"/>
          <w:numId w:val="2"/>
        </w:numPr>
        <w:kinsoku/>
        <w:wordWrap/>
        <w:overflowPunct/>
        <w:topLinePunct w:val="0"/>
        <w:bidi w:val="0"/>
        <w:snapToGrid w:val="0"/>
        <w:spacing w:line="560" w:lineRule="exact"/>
        <w:ind w:right="0" w:rightChars="0" w:firstLineChars="0"/>
        <w:textAlignment w:val="auto"/>
        <w:rPr>
          <w:rFonts w:ascii="仿宋_GB2312"/>
          <w:szCs w:val="32"/>
        </w:rPr>
      </w:pPr>
      <w:r>
        <w:rPr>
          <w:rFonts w:hint="eastAsia" w:ascii="仿宋_GB2312"/>
          <w:b/>
          <w:bCs/>
          <w:szCs w:val="32"/>
        </w:rPr>
        <w:t>结余分配：</w:t>
      </w:r>
      <w:r>
        <w:rPr>
          <w:rFonts w:hint="eastAsia" w:ascii="仿宋_GB2312"/>
          <w:szCs w:val="32"/>
        </w:rPr>
        <w:t>指事业单位按照会计制度规定缴纳的所得</w:t>
      </w:r>
    </w:p>
    <w:p>
      <w:pPr>
        <w:keepNext w:val="0"/>
        <w:keepLines w:val="0"/>
        <w:pageBreakBefore w:val="0"/>
        <w:widowControl w:val="0"/>
        <w:kinsoku/>
        <w:wordWrap/>
        <w:overflowPunct/>
        <w:topLinePunct w:val="0"/>
        <w:bidi w:val="0"/>
        <w:snapToGrid w:val="0"/>
        <w:spacing w:line="560" w:lineRule="exact"/>
        <w:ind w:right="0" w:rightChars="0" w:firstLine="0" w:firstLineChars="0"/>
        <w:textAlignment w:val="auto"/>
        <w:rPr>
          <w:rFonts w:ascii="仿宋_GB2312"/>
          <w:szCs w:val="32"/>
        </w:rPr>
      </w:pPr>
      <w:r>
        <w:rPr>
          <w:rFonts w:hint="eastAsia" w:ascii="仿宋_GB2312"/>
          <w:szCs w:val="32"/>
        </w:rPr>
        <w:t>税、提取的专用结余以及转入非财政拨款结余的金额等。</w:t>
      </w:r>
    </w:p>
    <w:p>
      <w:pPr>
        <w:keepNext w:val="0"/>
        <w:keepLines w:val="0"/>
        <w:pageBreakBefore w:val="0"/>
        <w:widowControl w:val="0"/>
        <w:numPr>
          <w:ilvl w:val="0"/>
          <w:numId w:val="2"/>
        </w:numPr>
        <w:kinsoku/>
        <w:wordWrap/>
        <w:overflowPunct/>
        <w:topLinePunct w:val="0"/>
        <w:bidi w:val="0"/>
        <w:snapToGrid w:val="0"/>
        <w:spacing w:line="560" w:lineRule="exact"/>
        <w:ind w:right="0" w:rightChars="0" w:firstLineChars="0"/>
        <w:textAlignment w:val="auto"/>
        <w:rPr>
          <w:rFonts w:ascii="仿宋_GB2312"/>
          <w:szCs w:val="32"/>
        </w:rPr>
      </w:pPr>
      <w:r>
        <w:rPr>
          <w:rFonts w:hint="eastAsia" w:ascii="仿宋_GB2312"/>
          <w:b/>
          <w:bCs/>
          <w:szCs w:val="32"/>
        </w:rPr>
        <w:t>年末结转和结余：</w:t>
      </w:r>
      <w:r>
        <w:rPr>
          <w:rFonts w:hint="eastAsia" w:ascii="仿宋_GB2312"/>
          <w:szCs w:val="32"/>
        </w:rPr>
        <w:t>指单位按有关规定结转到下年或以</w:t>
      </w:r>
    </w:p>
    <w:p>
      <w:pPr>
        <w:keepNext w:val="0"/>
        <w:keepLines w:val="0"/>
        <w:pageBreakBefore w:val="0"/>
        <w:widowControl w:val="0"/>
        <w:kinsoku/>
        <w:wordWrap/>
        <w:overflowPunct/>
        <w:topLinePunct w:val="0"/>
        <w:bidi w:val="0"/>
        <w:snapToGrid w:val="0"/>
        <w:spacing w:line="560" w:lineRule="exact"/>
        <w:ind w:right="0" w:rightChars="0" w:firstLine="0" w:firstLineChars="0"/>
        <w:textAlignment w:val="auto"/>
        <w:rPr>
          <w:rFonts w:hint="eastAsia" w:ascii="仿宋_GB2312"/>
          <w:szCs w:val="32"/>
        </w:rPr>
      </w:pPr>
      <w:r>
        <w:rPr>
          <w:rFonts w:hint="eastAsia" w:ascii="仿宋_GB2312"/>
          <w:szCs w:val="32"/>
        </w:rPr>
        <w:t>后年度继续使用的资金，或项目已完成等产生的结余资金。</w:t>
      </w:r>
    </w:p>
    <w:p>
      <w:pPr>
        <w:keepNext w:val="0"/>
        <w:keepLines w:val="0"/>
        <w:pageBreakBefore w:val="0"/>
        <w:widowControl w:val="0"/>
        <w:numPr>
          <w:ilvl w:val="0"/>
          <w:numId w:val="2"/>
        </w:numPr>
        <w:kinsoku/>
        <w:wordWrap/>
        <w:overflowPunct/>
        <w:topLinePunct w:val="0"/>
        <w:bidi w:val="0"/>
        <w:snapToGrid w:val="0"/>
        <w:spacing w:line="560" w:lineRule="exact"/>
        <w:ind w:right="0" w:rightChars="0" w:firstLineChars="0"/>
        <w:textAlignment w:val="auto"/>
        <w:rPr>
          <w:rFonts w:hint="eastAsia" w:ascii="仿宋_GB2312"/>
          <w:b/>
          <w:szCs w:val="32"/>
        </w:rPr>
      </w:pPr>
      <w:r>
        <w:rPr>
          <w:rFonts w:hint="eastAsia" w:ascii="仿宋_GB2312"/>
          <w:b/>
          <w:szCs w:val="32"/>
        </w:rPr>
        <w:t>基本支出：</w:t>
      </w:r>
      <w:r>
        <w:rPr>
          <w:rFonts w:hint="eastAsia" w:ascii="仿宋_GB2312"/>
          <w:szCs w:val="32"/>
        </w:rPr>
        <w:t>指为保障机构正常运转、完成日常工作任</w:t>
      </w:r>
    </w:p>
    <w:p>
      <w:pPr>
        <w:keepNext w:val="0"/>
        <w:keepLines w:val="0"/>
        <w:pageBreakBefore w:val="0"/>
        <w:widowControl w:val="0"/>
        <w:kinsoku/>
        <w:wordWrap/>
        <w:overflowPunct/>
        <w:topLinePunct w:val="0"/>
        <w:bidi w:val="0"/>
        <w:snapToGrid w:val="0"/>
        <w:spacing w:line="560" w:lineRule="exact"/>
        <w:ind w:right="0" w:rightChars="0" w:firstLineChars="0"/>
        <w:textAlignment w:val="auto"/>
        <w:rPr>
          <w:rFonts w:ascii="仿宋_GB2312"/>
          <w:b/>
          <w:szCs w:val="32"/>
        </w:rPr>
      </w:pPr>
      <w:r>
        <w:rPr>
          <w:rFonts w:hint="eastAsia" w:ascii="仿宋_GB2312"/>
          <w:szCs w:val="32"/>
        </w:rPr>
        <w:t>务而发生的人员支出和公用支出。</w:t>
      </w:r>
    </w:p>
    <w:p>
      <w:pPr>
        <w:keepNext w:val="0"/>
        <w:keepLines w:val="0"/>
        <w:pageBreakBefore w:val="0"/>
        <w:widowControl w:val="0"/>
        <w:kinsoku/>
        <w:wordWrap/>
        <w:overflowPunct/>
        <w:topLinePunct w:val="0"/>
        <w:autoSpaceDE w:val="0"/>
        <w:autoSpaceDN w:val="0"/>
        <w:bidi w:val="0"/>
        <w:adjustRightInd w:val="0"/>
        <w:snapToGrid w:val="0"/>
        <w:spacing w:line="560" w:lineRule="exact"/>
        <w:ind w:right="0" w:rightChars="0" w:firstLine="630" w:firstLineChars="196"/>
        <w:textAlignment w:val="auto"/>
        <w:rPr>
          <w:rFonts w:ascii="仿宋_GB2312"/>
          <w:szCs w:val="32"/>
        </w:rPr>
      </w:pPr>
      <w:r>
        <w:rPr>
          <w:rFonts w:hint="eastAsia" w:ascii="仿宋_GB2312"/>
          <w:b/>
          <w:szCs w:val="32"/>
          <w:lang w:eastAsia="zh-CN"/>
        </w:rPr>
        <w:t>十</w:t>
      </w:r>
      <w:r>
        <w:rPr>
          <w:rFonts w:hint="eastAsia" w:ascii="仿宋_GB2312"/>
          <w:b/>
          <w:szCs w:val="32"/>
        </w:rPr>
        <w:t>、项目支出：</w:t>
      </w:r>
      <w:r>
        <w:rPr>
          <w:rFonts w:hint="eastAsia" w:ascii="仿宋_GB2312"/>
          <w:szCs w:val="32"/>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val="0"/>
        <w:snapToGrid w:val="0"/>
        <w:spacing w:line="560" w:lineRule="exact"/>
        <w:ind w:right="0" w:rightChars="0" w:firstLine="630" w:firstLineChars="196"/>
        <w:textAlignment w:val="auto"/>
        <w:rPr>
          <w:rFonts w:ascii="仿宋_GB2312"/>
          <w:szCs w:val="32"/>
        </w:rPr>
      </w:pPr>
      <w:r>
        <w:rPr>
          <w:rFonts w:hint="eastAsia" w:ascii="仿宋_GB2312"/>
          <w:b/>
          <w:szCs w:val="32"/>
          <w:lang w:eastAsia="zh-CN"/>
        </w:rPr>
        <w:t>十一</w:t>
      </w:r>
      <w:r>
        <w:rPr>
          <w:rFonts w:hint="eastAsia" w:ascii="仿宋_GB2312"/>
          <w:b/>
          <w:szCs w:val="32"/>
        </w:rPr>
        <w:t>、“三公”经费：</w:t>
      </w:r>
      <w:r>
        <w:rPr>
          <w:rFonts w:hint="eastAsia" w:ascii="仿宋_GB2312"/>
          <w:szCs w:val="32"/>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val="0"/>
        <w:autoSpaceDN w:val="0"/>
        <w:bidi w:val="0"/>
        <w:adjustRightInd w:val="0"/>
        <w:snapToGrid w:val="0"/>
        <w:spacing w:line="560" w:lineRule="exact"/>
        <w:ind w:right="0" w:rightChars="0" w:firstLine="643"/>
        <w:textAlignment w:val="auto"/>
        <w:rPr>
          <w:rFonts w:hint="eastAsia" w:ascii="仿宋_GB2312"/>
          <w:szCs w:val="32"/>
        </w:rPr>
      </w:pPr>
      <w:r>
        <w:rPr>
          <w:rFonts w:hint="eastAsia" w:ascii="仿宋_GB2312"/>
          <w:b/>
          <w:szCs w:val="32"/>
          <w:lang w:eastAsia="zh-CN"/>
        </w:rPr>
        <w:t>十二</w:t>
      </w:r>
      <w:r>
        <w:rPr>
          <w:rFonts w:hint="eastAsia" w:ascii="仿宋_GB2312"/>
          <w:b/>
          <w:szCs w:val="32"/>
        </w:rPr>
        <w:t>、机关运行经费：</w:t>
      </w:r>
      <w:r>
        <w:rPr>
          <w:rFonts w:hint="eastAsia" w:ascii="仿宋_GB2312"/>
          <w:szCs w:val="32"/>
        </w:rPr>
        <w:t>指行政单位和参照公务员法管理的事业单位使用一般公共预算安排的基本支出中的日常公用经费支出。</w:t>
      </w:r>
    </w:p>
    <w:p>
      <w:pPr>
        <w:keepNext w:val="0"/>
        <w:keepLines w:val="0"/>
        <w:pageBreakBefore w:val="0"/>
        <w:widowControl w:val="0"/>
        <w:kinsoku/>
        <w:wordWrap/>
        <w:overflowPunct/>
        <w:topLinePunct w:val="0"/>
        <w:autoSpaceDE w:val="0"/>
        <w:autoSpaceDN w:val="0"/>
        <w:bidi w:val="0"/>
        <w:adjustRightInd w:val="0"/>
        <w:snapToGrid w:val="0"/>
        <w:spacing w:line="560" w:lineRule="exact"/>
        <w:ind w:right="0" w:rightChars="0" w:firstLine="643"/>
        <w:textAlignment w:val="auto"/>
        <w:rPr>
          <w:rFonts w:hint="eastAsia" w:ascii="仿宋_GB2312"/>
          <w:szCs w:val="32"/>
          <w:lang w:eastAsia="zh-CN"/>
        </w:rPr>
      </w:pPr>
      <w:r>
        <w:rPr>
          <w:rFonts w:hint="eastAsia" w:ascii="仿宋_GB2312"/>
          <w:b/>
          <w:szCs w:val="32"/>
          <w:lang w:eastAsia="zh-CN"/>
        </w:rPr>
        <w:t>十三、教育（类）支出：</w:t>
      </w:r>
      <w:r>
        <w:rPr>
          <w:rFonts w:hint="eastAsia" w:ascii="仿宋_GB2312"/>
          <w:szCs w:val="32"/>
          <w:lang w:eastAsia="zh-CN"/>
        </w:rPr>
        <w:t>指政府教育事务支出。</w:t>
      </w:r>
    </w:p>
    <w:p>
      <w:pPr>
        <w:keepNext w:val="0"/>
        <w:keepLines w:val="0"/>
        <w:pageBreakBefore w:val="0"/>
        <w:widowControl w:val="0"/>
        <w:kinsoku/>
        <w:wordWrap/>
        <w:overflowPunct/>
        <w:topLinePunct w:val="0"/>
        <w:autoSpaceDE w:val="0"/>
        <w:autoSpaceDN w:val="0"/>
        <w:bidi w:val="0"/>
        <w:adjustRightInd w:val="0"/>
        <w:snapToGrid w:val="0"/>
        <w:spacing w:line="560" w:lineRule="exact"/>
        <w:ind w:right="0" w:rightChars="0" w:firstLine="640"/>
        <w:textAlignment w:val="auto"/>
        <w:rPr>
          <w:rFonts w:hint="eastAsia" w:ascii="黑体" w:hAnsi="黑体" w:eastAsia="黑体" w:cs="黑体"/>
          <w:szCs w:val="32"/>
        </w:rPr>
      </w:pPr>
      <w:r>
        <w:rPr>
          <w:rFonts w:hint="eastAsia" w:ascii="黑体" w:hAnsi="黑体" w:eastAsia="黑体" w:cs="黑体"/>
          <w:szCs w:val="32"/>
        </w:rPr>
        <w:t>第五部分  附件</w:t>
      </w:r>
    </w:p>
    <w:p>
      <w:pPr>
        <w:autoSpaceDE w:val="0"/>
        <w:autoSpaceDN w:val="0"/>
        <w:adjustRightInd w:val="0"/>
        <w:ind w:firstLine="640"/>
      </w:pPr>
    </w:p>
    <w:sectPr>
      <w:headerReference r:id="rId5" w:type="first"/>
      <w:footerReference r:id="rId8" w:type="first"/>
      <w:headerReference r:id="rId3" w:type="default"/>
      <w:footerReference r:id="rId6" w:type="default"/>
      <w:headerReference r:id="rId4" w:type="even"/>
      <w:footerReference r:id="rId7" w:type="even"/>
      <w:pgSz w:w="12240" w:h="15840"/>
      <w:pgMar w:top="1440" w:right="1800" w:bottom="1440" w:left="1800" w:header="567" w:footer="992" w:gutter="0"/>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6A544E"/>
    <w:multiLevelType w:val="multilevel"/>
    <w:tmpl w:val="486A544E"/>
    <w:lvl w:ilvl="0" w:tentative="0">
      <w:start w:val="6"/>
      <w:numFmt w:val="japaneseCounting"/>
      <w:lvlText w:val="%1、"/>
      <w:lvlJc w:val="left"/>
      <w:pPr>
        <w:ind w:left="1360" w:hanging="720"/>
      </w:pPr>
      <w:rPr>
        <w:rFonts w:hint="default"/>
        <w:b/>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53D25D65"/>
    <w:multiLevelType w:val="multilevel"/>
    <w:tmpl w:val="53D25D65"/>
    <w:lvl w:ilvl="0" w:tentative="0">
      <w:start w:val="1"/>
      <w:numFmt w:val="japaneseCounting"/>
      <w:lvlText w:val="%1、"/>
      <w:lvlJc w:val="left"/>
      <w:pPr>
        <w:tabs>
          <w:tab w:val="left" w:pos="1395"/>
        </w:tabs>
        <w:ind w:left="1395" w:hanging="720"/>
      </w:pPr>
      <w:rPr>
        <w:rFonts w:hint="default"/>
        <w:b/>
      </w:rPr>
    </w:lvl>
    <w:lvl w:ilvl="1" w:tentative="0">
      <w:start w:val="1"/>
      <w:numFmt w:val="lowerLetter"/>
      <w:lvlText w:val="%2)"/>
      <w:lvlJc w:val="left"/>
      <w:pPr>
        <w:tabs>
          <w:tab w:val="left" w:pos="1515"/>
        </w:tabs>
        <w:ind w:left="1515" w:hanging="420"/>
      </w:pPr>
    </w:lvl>
    <w:lvl w:ilvl="2" w:tentative="0">
      <w:start w:val="1"/>
      <w:numFmt w:val="lowerRoman"/>
      <w:lvlText w:val="%3."/>
      <w:lvlJc w:val="right"/>
      <w:pPr>
        <w:tabs>
          <w:tab w:val="left" w:pos="1935"/>
        </w:tabs>
        <w:ind w:left="1935" w:hanging="420"/>
      </w:pPr>
    </w:lvl>
    <w:lvl w:ilvl="3" w:tentative="0">
      <w:start w:val="1"/>
      <w:numFmt w:val="decimal"/>
      <w:lvlText w:val="%4."/>
      <w:lvlJc w:val="left"/>
      <w:pPr>
        <w:tabs>
          <w:tab w:val="left" w:pos="2355"/>
        </w:tabs>
        <w:ind w:left="2355" w:hanging="420"/>
      </w:pPr>
    </w:lvl>
    <w:lvl w:ilvl="4" w:tentative="0">
      <w:start w:val="1"/>
      <w:numFmt w:val="lowerLetter"/>
      <w:lvlText w:val="%5)"/>
      <w:lvlJc w:val="left"/>
      <w:pPr>
        <w:tabs>
          <w:tab w:val="left" w:pos="2775"/>
        </w:tabs>
        <w:ind w:left="2775" w:hanging="420"/>
      </w:pPr>
    </w:lvl>
    <w:lvl w:ilvl="5" w:tentative="0">
      <w:start w:val="1"/>
      <w:numFmt w:val="lowerRoman"/>
      <w:lvlText w:val="%6."/>
      <w:lvlJc w:val="right"/>
      <w:pPr>
        <w:tabs>
          <w:tab w:val="left" w:pos="3195"/>
        </w:tabs>
        <w:ind w:left="3195" w:hanging="420"/>
      </w:pPr>
    </w:lvl>
    <w:lvl w:ilvl="6" w:tentative="0">
      <w:start w:val="1"/>
      <w:numFmt w:val="decimal"/>
      <w:lvlText w:val="%7."/>
      <w:lvlJc w:val="left"/>
      <w:pPr>
        <w:tabs>
          <w:tab w:val="left" w:pos="3615"/>
        </w:tabs>
        <w:ind w:left="3615" w:hanging="420"/>
      </w:pPr>
    </w:lvl>
    <w:lvl w:ilvl="7" w:tentative="0">
      <w:start w:val="1"/>
      <w:numFmt w:val="lowerLetter"/>
      <w:lvlText w:val="%8)"/>
      <w:lvlJc w:val="left"/>
      <w:pPr>
        <w:tabs>
          <w:tab w:val="left" w:pos="4035"/>
        </w:tabs>
        <w:ind w:left="4035" w:hanging="420"/>
      </w:pPr>
    </w:lvl>
    <w:lvl w:ilvl="8" w:tentative="0">
      <w:start w:val="1"/>
      <w:numFmt w:val="lowerRoman"/>
      <w:lvlText w:val="%9."/>
      <w:lvlJc w:val="right"/>
      <w:pPr>
        <w:tabs>
          <w:tab w:val="left" w:pos="4455"/>
        </w:tabs>
        <w:ind w:left="445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60"/>
  <w:drawingGridVerticalSpacing w:val="435"/>
  <w:displayHorizontalDrawingGridEvery w:val="0"/>
  <w:displayVerticalDrawingGridEvery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wZGFiMmU4NTUxMzg3OGZiNWY0Y2JkZGMxMzYzYzAifQ=="/>
  </w:docVars>
  <w:rsids>
    <w:rsidRoot w:val="00172A27"/>
    <w:rsid w:val="00007A48"/>
    <w:rsid w:val="0002537E"/>
    <w:rsid w:val="00091BC2"/>
    <w:rsid w:val="000D51B9"/>
    <w:rsid w:val="000F7E23"/>
    <w:rsid w:val="001021AC"/>
    <w:rsid w:val="001102F9"/>
    <w:rsid w:val="001122B3"/>
    <w:rsid w:val="001676FC"/>
    <w:rsid w:val="001E08B1"/>
    <w:rsid w:val="001F1905"/>
    <w:rsid w:val="00215331"/>
    <w:rsid w:val="002906A9"/>
    <w:rsid w:val="002A0BC3"/>
    <w:rsid w:val="002D2DF7"/>
    <w:rsid w:val="002D51A9"/>
    <w:rsid w:val="002E0C28"/>
    <w:rsid w:val="00331277"/>
    <w:rsid w:val="003B30E1"/>
    <w:rsid w:val="00431034"/>
    <w:rsid w:val="004634E2"/>
    <w:rsid w:val="00493632"/>
    <w:rsid w:val="00493A36"/>
    <w:rsid w:val="004F1052"/>
    <w:rsid w:val="004F4E08"/>
    <w:rsid w:val="00504C26"/>
    <w:rsid w:val="00562A59"/>
    <w:rsid w:val="005656C1"/>
    <w:rsid w:val="00596252"/>
    <w:rsid w:val="005B7303"/>
    <w:rsid w:val="005D0681"/>
    <w:rsid w:val="00630C43"/>
    <w:rsid w:val="00646CD4"/>
    <w:rsid w:val="006525F9"/>
    <w:rsid w:val="00672F67"/>
    <w:rsid w:val="006B7B2C"/>
    <w:rsid w:val="006D41F5"/>
    <w:rsid w:val="007015A6"/>
    <w:rsid w:val="00732828"/>
    <w:rsid w:val="00740ADC"/>
    <w:rsid w:val="007A79C8"/>
    <w:rsid w:val="007C1DD7"/>
    <w:rsid w:val="008159CB"/>
    <w:rsid w:val="00840C64"/>
    <w:rsid w:val="008460A0"/>
    <w:rsid w:val="00863E5C"/>
    <w:rsid w:val="008B3080"/>
    <w:rsid w:val="008C2196"/>
    <w:rsid w:val="008E2202"/>
    <w:rsid w:val="00965494"/>
    <w:rsid w:val="009953B4"/>
    <w:rsid w:val="009D09D2"/>
    <w:rsid w:val="009D4716"/>
    <w:rsid w:val="009E39DA"/>
    <w:rsid w:val="00A4795E"/>
    <w:rsid w:val="00A536B7"/>
    <w:rsid w:val="00A74AD6"/>
    <w:rsid w:val="00AD0613"/>
    <w:rsid w:val="00AD7988"/>
    <w:rsid w:val="00B4591F"/>
    <w:rsid w:val="00B673D5"/>
    <w:rsid w:val="00B90D66"/>
    <w:rsid w:val="00BB4161"/>
    <w:rsid w:val="00BB4E18"/>
    <w:rsid w:val="00BE3714"/>
    <w:rsid w:val="00C00DC6"/>
    <w:rsid w:val="00C07D6B"/>
    <w:rsid w:val="00C7781F"/>
    <w:rsid w:val="00CB349D"/>
    <w:rsid w:val="00CE4C5E"/>
    <w:rsid w:val="00D22B09"/>
    <w:rsid w:val="00D32B12"/>
    <w:rsid w:val="00D74B8F"/>
    <w:rsid w:val="00D950FF"/>
    <w:rsid w:val="00E47C6D"/>
    <w:rsid w:val="00E9504E"/>
    <w:rsid w:val="00F03500"/>
    <w:rsid w:val="00F062E5"/>
    <w:rsid w:val="00F10D21"/>
    <w:rsid w:val="00F31D3A"/>
    <w:rsid w:val="00F3354C"/>
    <w:rsid w:val="00F574BD"/>
    <w:rsid w:val="00F848BE"/>
    <w:rsid w:val="00FD36C7"/>
    <w:rsid w:val="0779172D"/>
    <w:rsid w:val="09074DEE"/>
    <w:rsid w:val="0AAC61FB"/>
    <w:rsid w:val="0DD24371"/>
    <w:rsid w:val="0E0C6184"/>
    <w:rsid w:val="1088276F"/>
    <w:rsid w:val="12546777"/>
    <w:rsid w:val="17477418"/>
    <w:rsid w:val="1B2B269E"/>
    <w:rsid w:val="1BCF4DB5"/>
    <w:rsid w:val="1D630755"/>
    <w:rsid w:val="1FAA1548"/>
    <w:rsid w:val="20905635"/>
    <w:rsid w:val="24F265BF"/>
    <w:rsid w:val="27280D58"/>
    <w:rsid w:val="2ADE23B1"/>
    <w:rsid w:val="2EB471DE"/>
    <w:rsid w:val="305422AF"/>
    <w:rsid w:val="34E6782B"/>
    <w:rsid w:val="35073044"/>
    <w:rsid w:val="35646591"/>
    <w:rsid w:val="3C670E2E"/>
    <w:rsid w:val="3D246FA7"/>
    <w:rsid w:val="3DAA3A83"/>
    <w:rsid w:val="3E480519"/>
    <w:rsid w:val="3EBE3F21"/>
    <w:rsid w:val="400C220D"/>
    <w:rsid w:val="42250BF3"/>
    <w:rsid w:val="42BE5AF3"/>
    <w:rsid w:val="4C515A12"/>
    <w:rsid w:val="4C6515E4"/>
    <w:rsid w:val="4CD02AE2"/>
    <w:rsid w:val="4E103521"/>
    <w:rsid w:val="4EA704A4"/>
    <w:rsid w:val="52F14517"/>
    <w:rsid w:val="5C4135AF"/>
    <w:rsid w:val="5F516770"/>
    <w:rsid w:val="61C93738"/>
    <w:rsid w:val="6204151B"/>
    <w:rsid w:val="62B322B2"/>
    <w:rsid w:val="66C875E5"/>
    <w:rsid w:val="67833ACB"/>
    <w:rsid w:val="69DF1217"/>
    <w:rsid w:val="6BCC02D2"/>
    <w:rsid w:val="73BE0A45"/>
    <w:rsid w:val="74E86BE0"/>
    <w:rsid w:val="7A7D375A"/>
    <w:rsid w:val="7C0A2C4D"/>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200" w:firstLineChars="200"/>
      <w:jc w:val="both"/>
    </w:pPr>
    <w:rPr>
      <w:rFonts w:ascii="Times New Roman" w:hAnsi="Times New Roman" w:eastAsia="仿宋_GB2312" w:cs="Times New Roman"/>
      <w:kern w:val="2"/>
      <w:sz w:val="32"/>
      <w:szCs w:val="22"/>
      <w:lang w:val="en-US" w:eastAsia="zh-CN" w:bidi="ar-SA"/>
    </w:rPr>
  </w:style>
  <w:style w:type="character" w:default="1" w:styleId="6">
    <w:name w:val="Default Paragraph Font"/>
    <w:uiPriority w:val="0"/>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Document Map"/>
    <w:basedOn w:val="1"/>
    <w:semiHidden/>
    <w:qFormat/>
    <w:uiPriority w:val="0"/>
    <w:pPr>
      <w:shd w:val="clear" w:color="auto" w:fill="000080"/>
    </w:pPr>
  </w:style>
  <w:style w:type="paragraph" w:styleId="3">
    <w:name w:val="Balloon Text"/>
    <w:basedOn w:val="1"/>
    <w:link w:val="10"/>
    <w:qFormat/>
    <w:uiPriority w:val="0"/>
    <w:pPr>
      <w:spacing w:line="240" w:lineRule="auto"/>
    </w:pPr>
    <w:rPr>
      <w:sz w:val="18"/>
      <w:szCs w:val="18"/>
    </w:rPr>
  </w:style>
  <w:style w:type="paragraph" w:styleId="4">
    <w:name w:val="footer"/>
    <w:basedOn w:val="1"/>
    <w:link w:val="9"/>
    <w:qFormat/>
    <w:uiPriority w:val="0"/>
    <w:pPr>
      <w:tabs>
        <w:tab w:val="center" w:pos="4153"/>
        <w:tab w:val="right" w:pos="8306"/>
      </w:tabs>
      <w:snapToGrid w:val="0"/>
      <w:spacing w:line="240" w:lineRule="atLeast"/>
      <w:jc w:val="left"/>
    </w:pPr>
    <w:rPr>
      <w:sz w:val="18"/>
      <w:szCs w:val="18"/>
    </w:rPr>
  </w:style>
  <w:style w:type="paragraph" w:styleId="5">
    <w:name w:val="header"/>
    <w:basedOn w:val="1"/>
    <w:link w:val="8"/>
    <w:qFormat/>
    <w:uiPriority w:val="0"/>
    <w:pPr>
      <w:tabs>
        <w:tab w:val="center" w:pos="4153"/>
        <w:tab w:val="right" w:pos="8306"/>
      </w:tabs>
      <w:snapToGrid w:val="0"/>
      <w:spacing w:line="240" w:lineRule="atLeast"/>
      <w:jc w:val="center"/>
    </w:pPr>
    <w:rPr>
      <w:sz w:val="18"/>
      <w:szCs w:val="18"/>
    </w:rPr>
  </w:style>
  <w:style w:type="character" w:customStyle="1" w:styleId="8">
    <w:name w:val="页眉 Char"/>
    <w:link w:val="5"/>
    <w:qFormat/>
    <w:uiPriority w:val="0"/>
    <w:rPr>
      <w:rFonts w:ascii="Times New Roman" w:hAnsi="Times New Roman" w:eastAsia="仿宋_GB2312"/>
      <w:kern w:val="2"/>
      <w:sz w:val="18"/>
      <w:szCs w:val="18"/>
    </w:rPr>
  </w:style>
  <w:style w:type="character" w:customStyle="1" w:styleId="9">
    <w:name w:val="页脚 Char"/>
    <w:link w:val="4"/>
    <w:uiPriority w:val="0"/>
    <w:rPr>
      <w:rFonts w:ascii="Times New Roman" w:hAnsi="Times New Roman" w:eastAsia="仿宋_GB2312"/>
      <w:kern w:val="2"/>
      <w:sz w:val="18"/>
      <w:szCs w:val="18"/>
    </w:rPr>
  </w:style>
  <w:style w:type="character" w:customStyle="1" w:styleId="10">
    <w:name w:val="批注框文本 Char"/>
    <w:link w:val="3"/>
    <w:qFormat/>
    <w:uiPriority w:val="0"/>
    <w:rPr>
      <w:rFonts w:ascii="Times New Roman" w:hAnsi="Times New Roman"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3017</Words>
  <Characters>3354</Characters>
  <Lines>33</Lines>
  <Paragraphs>9</Paragraphs>
  <ScaleCrop>false</ScaleCrop>
  <LinksUpToDate>false</LinksUpToDate>
  <CharactersWithSpaces>3396</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2017-07-13T16:36:00Z</dcterms:created>
  <dc:creator>1</dc:creator>
  <cp:lastModifiedBy>Administrator</cp:lastModifiedBy>
  <cp:lastPrinted>2022-07-27T08:45:00Z</cp:lastPrinted>
  <dcterms:modified xsi:type="dcterms:W3CDTF">2022-09-29T01:32:29Z</dcterms:modified>
  <dc:title>附件1</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E0F21DE6CB53416B959E5DA6C65DD7C8</vt:lpwstr>
  </property>
</Properties>
</file>