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20" w:lineRule="exact"/>
        <w:rPr>
          <w:rFonts w:ascii="仿宋_GB2312" w:hAnsi="黑体" w:eastAsia="仿宋_GB2312" w:cs="方正小标宋简体"/>
          <w:color w:val="000000"/>
          <w:kern w:val="0"/>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lang w:val="en-US" w:eastAsia="zh-CN"/>
        </w:rPr>
        <w:t>永济</w:t>
      </w:r>
      <w:r>
        <w:rPr>
          <w:rFonts w:hint="eastAsia" w:ascii="方正小标宋简体" w:hAnsi="黑体" w:eastAsia="方正小标宋简体" w:cs="方正小标宋简体"/>
          <w:color w:val="000000"/>
          <w:kern w:val="0"/>
          <w:sz w:val="44"/>
          <w:szCs w:val="44"/>
          <w:lang w:eastAsia="zh-CN"/>
        </w:rPr>
        <w:t>中学生均公用经费财政项目支出</w:t>
      </w:r>
      <w:r>
        <w:rPr>
          <w:rFonts w:hint="eastAsia" w:ascii="方正小标宋简体" w:hAnsi="黑体" w:eastAsia="方正小标宋简体" w:cs="方正小标宋简体"/>
          <w:color w:val="000000"/>
          <w:kern w:val="0"/>
          <w:sz w:val="44"/>
          <w:szCs w:val="44"/>
        </w:rPr>
        <w:t>绩效</w:t>
      </w: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自</w:t>
      </w:r>
      <w:r>
        <w:rPr>
          <w:rFonts w:hint="eastAsia" w:ascii="方正小标宋简体" w:hAnsi="黑体" w:eastAsia="方正小标宋简体" w:cs="方正小标宋简体"/>
          <w:color w:val="000000"/>
          <w:kern w:val="0"/>
          <w:sz w:val="44"/>
          <w:szCs w:val="44"/>
          <w:lang w:val="en-US" w:eastAsia="zh-CN"/>
        </w:rPr>
        <w:t xml:space="preserve"> </w:t>
      </w:r>
      <w:r>
        <w:rPr>
          <w:rFonts w:hint="eastAsia" w:ascii="方正小标宋简体" w:hAnsi="黑体" w:eastAsia="方正小标宋简体" w:cs="方正小标宋简体"/>
          <w:color w:val="000000"/>
          <w:kern w:val="0"/>
          <w:sz w:val="44"/>
          <w:szCs w:val="44"/>
        </w:rPr>
        <w:t>评</w:t>
      </w:r>
      <w:r>
        <w:rPr>
          <w:rFonts w:hint="eastAsia" w:ascii="方正小标宋简体" w:hAnsi="黑体" w:eastAsia="方正小标宋简体" w:cs="方正小标宋简体"/>
          <w:color w:val="000000"/>
          <w:kern w:val="0"/>
          <w:sz w:val="44"/>
          <w:szCs w:val="44"/>
          <w:lang w:val="en-US" w:eastAsia="zh-CN"/>
        </w:rPr>
        <w:t xml:space="preserve"> </w:t>
      </w:r>
      <w:r>
        <w:rPr>
          <w:rFonts w:hint="eastAsia" w:ascii="方正小标宋简体" w:hAnsi="黑体" w:eastAsia="方正小标宋简体" w:cs="方正小标宋简体"/>
          <w:color w:val="000000"/>
          <w:kern w:val="0"/>
          <w:sz w:val="44"/>
          <w:szCs w:val="44"/>
        </w:rPr>
        <w:t>报</w:t>
      </w:r>
      <w:r>
        <w:rPr>
          <w:rFonts w:hint="eastAsia" w:ascii="方正小标宋简体" w:hAnsi="黑体" w:eastAsia="方正小标宋简体" w:cs="方正小标宋简体"/>
          <w:color w:val="000000"/>
          <w:kern w:val="0"/>
          <w:sz w:val="44"/>
          <w:szCs w:val="44"/>
          <w:lang w:val="en-US" w:eastAsia="zh-CN"/>
        </w:rPr>
        <w:t xml:space="preserve"> </w:t>
      </w:r>
      <w:r>
        <w:rPr>
          <w:rFonts w:hint="eastAsia" w:ascii="方正小标宋简体" w:hAnsi="黑体" w:eastAsia="方正小标宋简体" w:cs="方正小标宋简体"/>
          <w:color w:val="000000"/>
          <w:kern w:val="0"/>
          <w:sz w:val="44"/>
          <w:szCs w:val="44"/>
        </w:rPr>
        <w:t>告</w:t>
      </w:r>
    </w:p>
    <w:p>
      <w:pPr>
        <w:autoSpaceDE w:val="0"/>
        <w:autoSpaceDN w:val="0"/>
        <w:adjustRightInd w:val="0"/>
        <w:spacing w:line="520" w:lineRule="exact"/>
        <w:jc w:val="left"/>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jc w:val="left"/>
        <w:textAlignment w:val="auto"/>
        <w:outlineLvl w:val="9"/>
        <w:rPr>
          <w:rFonts w:ascii="黑体" w:hAnsi="黑体" w:eastAsia="黑体" w:cs="黑体"/>
          <w:color w:val="000000"/>
          <w:kern w:val="0"/>
          <w:sz w:val="32"/>
          <w:szCs w:val="32"/>
        </w:rPr>
      </w:pPr>
      <w:r>
        <w:rPr>
          <w:rFonts w:hint="eastAsia" w:ascii="黑体" w:hAnsi="黑体" w:eastAsia="黑体" w:cs="黑体"/>
          <w:color w:val="000000"/>
          <w:kern w:val="0"/>
          <w:sz w:val="32"/>
          <w:szCs w:val="32"/>
        </w:rPr>
        <w:t>一、项目概况</w:t>
      </w:r>
      <w:r>
        <w:rPr>
          <w:rFonts w:ascii="黑体" w:hAnsi="黑体" w:eastAsia="黑体" w:cs="黑体"/>
          <w:color w:val="000000"/>
          <w:kern w:val="0"/>
          <w:sz w:val="32"/>
          <w:szCs w:val="32"/>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jc w:val="left"/>
        <w:textAlignment w:val="auto"/>
        <w:outlineLvl w:val="9"/>
        <w:rPr>
          <w:rFonts w:hint="eastAsia" w:ascii="楷体" w:hAnsi="楷体" w:eastAsia="楷体" w:cs="仿宋_GB2312"/>
          <w:color w:val="000000"/>
          <w:kern w:val="0"/>
          <w:sz w:val="32"/>
          <w:szCs w:val="32"/>
        </w:rPr>
      </w:pPr>
      <w:r>
        <w:rPr>
          <w:rFonts w:hint="eastAsia" w:ascii="楷体" w:hAnsi="楷体" w:eastAsia="楷体" w:cs="仿宋_GB2312"/>
          <w:color w:val="000000"/>
          <w:kern w:val="0"/>
          <w:sz w:val="32"/>
          <w:szCs w:val="32"/>
        </w:rPr>
        <w:t>（一）项目单位基本情况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jc w:val="left"/>
        <w:textAlignment w:val="auto"/>
        <w:outlineLvl w:val="9"/>
        <w:rPr>
          <w:rFonts w:hint="default" w:ascii="仿宋_GB2312" w:hAnsi="宋体" w:eastAsia="仿宋_GB2312"/>
          <w:sz w:val="32"/>
          <w:szCs w:val="32"/>
          <w:lang w:val="en-US" w:eastAsia="zh-CN"/>
        </w:rPr>
      </w:pPr>
      <w:r>
        <w:rPr>
          <w:rFonts w:hint="eastAsia" w:ascii="仿宋_GB2312" w:hAnsi="宋体" w:eastAsia="仿宋_GB2312"/>
          <w:sz w:val="32"/>
          <w:szCs w:val="32"/>
        </w:rPr>
        <w:t>永济</w:t>
      </w:r>
      <w:r>
        <w:rPr>
          <w:rFonts w:hint="eastAsia" w:ascii="仿宋_GB2312" w:hAnsi="宋体" w:eastAsia="仿宋_GB2312"/>
          <w:sz w:val="32"/>
          <w:szCs w:val="32"/>
          <w:lang w:eastAsia="zh-CN"/>
        </w:rPr>
        <w:t>中学是全民事业单位，位于永济市市府西街</w:t>
      </w:r>
      <w:r>
        <w:rPr>
          <w:rFonts w:hint="eastAsia" w:ascii="仿宋_GB2312" w:hAnsi="宋体" w:eastAsia="仿宋_GB2312"/>
          <w:sz w:val="32"/>
          <w:szCs w:val="32"/>
          <w:lang w:val="en-US" w:eastAsia="zh-CN"/>
        </w:rPr>
        <w:t>165号。主要职责是认真贯彻党和国家的教育方针、政策，根据教育法规依法治校，全面完成高中教育教学任务。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1.</w:t>
      </w:r>
      <w:r>
        <w:rPr>
          <w:rFonts w:hint="eastAsia" w:ascii="仿宋_GB2312" w:hAnsi="仿宋" w:eastAsia="仿宋_GB2312" w:cs="仿宋_GB2312"/>
          <w:color w:val="000000"/>
          <w:kern w:val="0"/>
          <w:sz w:val="32"/>
          <w:szCs w:val="32"/>
        </w:rPr>
        <w:t>年初设定的项目支出绩效目标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default"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该项目年初设定的绩效目标是科学编制预算，合理分配资金，加强制度管理，提高公用经费使用效率，为高中学校教育教学开展提供经费保证。生均公用经费拨款人数：</w:t>
      </w:r>
      <w:r>
        <w:rPr>
          <w:rFonts w:hint="eastAsia" w:ascii="仿宋_GB2312" w:hAnsi="仿宋" w:eastAsia="仿宋_GB2312" w:cs="仿宋_GB2312"/>
          <w:color w:val="000000"/>
          <w:kern w:val="0"/>
          <w:sz w:val="32"/>
          <w:szCs w:val="32"/>
          <w:lang w:val="en-US" w:eastAsia="zh-CN"/>
        </w:rPr>
        <w:t>2900人，拨款金额319万元。</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rPr>
        <w:t>主要绩效指标及指标值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数量指标</w:t>
      </w:r>
      <w:r>
        <w:rPr>
          <w:rFonts w:hint="eastAsia" w:ascii="仿宋_GB2312" w:hAnsi="仿宋" w:eastAsia="仿宋_GB2312" w:cs="仿宋_GB2312"/>
          <w:color w:val="000000"/>
          <w:kern w:val="0"/>
          <w:sz w:val="32"/>
          <w:szCs w:val="32"/>
          <w:lang w:val="en-US" w:eastAsia="zh-CN"/>
        </w:rPr>
        <w:t>:涉及学生人数2900人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时效指标：补助资金使用年限2020年1月1日—12月31日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质量指标：生均公用经费及时拨付率100%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成本指标：每学生1100元/人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服务对象满意度指标：师生满意度≥99%</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rPr>
        <w:t>资金使用范围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eastAsia="zh-CN"/>
        </w:rPr>
      </w:pPr>
      <w:r>
        <w:rPr>
          <w:rFonts w:hint="eastAsia" w:ascii="仿宋_GB2312" w:hAnsi="仿宋" w:eastAsia="仿宋_GB2312" w:cs="仿宋_GB2312"/>
          <w:color w:val="000000"/>
          <w:kern w:val="0"/>
          <w:sz w:val="32"/>
          <w:szCs w:val="32"/>
          <w:lang w:eastAsia="zh-CN"/>
        </w:rPr>
        <w:t>全校学生</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决策依据：</w:t>
      </w:r>
      <w:r>
        <w:rPr>
          <w:rFonts w:hint="eastAsia" w:ascii="仿宋_GB2312" w:hAnsi="仿宋" w:eastAsia="仿宋_GB2312" w:cs="仿宋_GB2312"/>
          <w:b w:val="0"/>
          <w:bCs/>
          <w:color w:val="000000"/>
          <w:kern w:val="0"/>
          <w:sz w:val="32"/>
          <w:szCs w:val="32"/>
          <w:lang w:eastAsia="zh-CN"/>
        </w:rPr>
        <w:t>该项目依据《全省建立普通高中学校生均公用经费拨款制度的通知》晋财教</w:t>
      </w:r>
      <w:r>
        <w:rPr>
          <w:rFonts w:hint="eastAsia" w:ascii="仿宋_GB2312" w:hAnsi="仿宋" w:eastAsia="仿宋_GB2312" w:cs="仿宋_GB2312"/>
          <w:b w:val="0"/>
          <w:bCs/>
          <w:color w:val="000000"/>
          <w:kern w:val="0"/>
          <w:sz w:val="32"/>
          <w:szCs w:val="32"/>
          <w:lang w:val="en-US" w:eastAsia="zh-CN"/>
        </w:rPr>
        <w:t>[2017]69号，</w:t>
      </w:r>
      <w:r>
        <w:rPr>
          <w:rFonts w:hint="eastAsia" w:ascii="仿宋_GB2312" w:hAnsi="仿宋" w:eastAsia="仿宋_GB2312" w:cs="仿宋_GB2312"/>
          <w:b w:val="0"/>
          <w:bCs/>
          <w:color w:val="000000"/>
          <w:kern w:val="0"/>
          <w:sz w:val="32"/>
          <w:szCs w:val="32"/>
        </w:rPr>
        <w:t>符合</w:t>
      </w:r>
      <w:r>
        <w:rPr>
          <w:rFonts w:hint="eastAsia" w:ascii="仿宋_GB2312" w:hAnsi="仿宋" w:eastAsia="仿宋_GB2312" w:cs="仿宋_GB2312"/>
          <w:b w:val="0"/>
          <w:bCs/>
          <w:color w:val="000000"/>
          <w:kern w:val="0"/>
          <w:sz w:val="32"/>
          <w:szCs w:val="32"/>
          <w:lang w:eastAsia="zh-CN"/>
        </w:rPr>
        <w:t>学校</w:t>
      </w:r>
      <w:r>
        <w:rPr>
          <w:rFonts w:hint="eastAsia" w:ascii="仿宋_GB2312" w:hAnsi="仿宋" w:eastAsia="仿宋_GB2312" w:cs="仿宋_GB2312"/>
          <w:b w:val="0"/>
          <w:bCs/>
          <w:color w:val="000000"/>
          <w:kern w:val="0"/>
          <w:sz w:val="32"/>
          <w:szCs w:val="32"/>
        </w:rPr>
        <w:t>发展规划和部门年度计划。</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eastAsia="zh-CN"/>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决策程序：项目符合申报条件</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（二）资金分配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分配办法：根据晋财教〔2017〕69号、晋财教〔2018〕116号、运财教〔2019〕39号文件，全省建立普通高中学校生均公用经费拨款制度。从2020年春季起，财政拨款标准各县市不低于1100元/生/年，其中省级负担300元，县级负担800元。普通高中生均公用经费根据学校有正式学籍的全日制高中在校生人数拨付。市县学校由市县财政分级负责落实，公用经费的开支主要用于学校日常运转支出，包括教学业务费、实验费、老师培训费、文体活动费、水电费、取暖费、办公费、邮电费、劳务费、交通差旅费、仪器设备及图书资料购置费、校舍及仪器设备的日常维修维护等。不得用于人员经费、基本建设、偿还债务等支出。</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分配结果：资金分配符合相关管理办法，分配结果合理。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黑体" w:hAnsi="黑体" w:eastAsia="黑体" w:cs="仿宋_GB2312"/>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hint="eastAsia" w:ascii="仿宋_GB2312" w:hAnsi="仿宋" w:eastAsia="仿宋_GB2312" w:cs="仿宋_GB2312"/>
          <w:b w:val="0"/>
          <w:bCs/>
          <w:color w:val="000000"/>
          <w:kern w:val="0"/>
          <w:sz w:val="32"/>
          <w:szCs w:val="32"/>
        </w:rPr>
        <w:t>1.年度预算资金到位率：</w:t>
      </w:r>
      <w:r>
        <w:rPr>
          <w:rFonts w:hint="eastAsia" w:ascii="仿宋_GB2312" w:hAnsi="仿宋" w:eastAsia="仿宋_GB2312" w:cs="仿宋_GB2312"/>
          <w:b w:val="0"/>
          <w:bCs/>
          <w:color w:val="000000"/>
          <w:kern w:val="0"/>
          <w:sz w:val="32"/>
          <w:szCs w:val="32"/>
          <w:lang w:eastAsia="zh-CN"/>
        </w:rPr>
        <w:t>项目已完成，资金到位</w:t>
      </w:r>
      <w:r>
        <w:rPr>
          <w:rFonts w:hint="eastAsia" w:ascii="仿宋_GB2312" w:hAnsi="仿宋" w:eastAsia="仿宋_GB2312" w:cs="仿宋_GB2312"/>
          <w:b w:val="0"/>
          <w:bCs/>
          <w:color w:val="000000"/>
          <w:kern w:val="0"/>
          <w:sz w:val="32"/>
          <w:szCs w:val="32"/>
          <w:lang w:val="en-US" w:eastAsia="zh-CN"/>
        </w:rPr>
        <w:t>319万元，到位率100</w:t>
      </w:r>
      <w:r>
        <w:rPr>
          <w:rFonts w:hint="eastAsia" w:ascii="仿宋_GB2312" w:hAnsi="仿宋" w:eastAsia="仿宋_GB2312" w:cs="仿宋_GB2312"/>
          <w:b w:val="0"/>
          <w:bCs/>
          <w:color w:val="000000"/>
          <w:kern w:val="0"/>
          <w:sz w:val="32"/>
          <w:szCs w:val="32"/>
        </w:rPr>
        <w:t>%</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hint="eastAsia" w:ascii="仿宋_GB2312" w:hAnsi="仿宋" w:eastAsia="仿宋_GB2312" w:cs="仿宋_GB2312"/>
          <w:b w:val="0"/>
          <w:bCs/>
          <w:color w:val="000000"/>
          <w:kern w:val="0"/>
          <w:sz w:val="32"/>
          <w:szCs w:val="32"/>
        </w:rPr>
        <w:t>2.资金到位时效：</w:t>
      </w:r>
      <w:r>
        <w:rPr>
          <w:rFonts w:hint="eastAsia" w:ascii="仿宋_GB2312" w:hAnsi="仿宋" w:eastAsia="仿宋_GB2312" w:cs="仿宋_GB2312"/>
          <w:b w:val="0"/>
          <w:bCs/>
          <w:color w:val="000000"/>
          <w:kern w:val="0"/>
          <w:sz w:val="32"/>
          <w:szCs w:val="32"/>
          <w:lang w:eastAsia="zh-CN"/>
        </w:rPr>
        <w:t>资金到位时效率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（二）资金管理</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资金使用：</w:t>
      </w:r>
      <w:r>
        <w:rPr>
          <w:rFonts w:hint="eastAsia" w:ascii="仿宋_GB2312" w:hAnsi="仿宋" w:eastAsia="仿宋_GB2312"/>
          <w:b w:val="0"/>
          <w:bCs/>
          <w:sz w:val="32"/>
          <w:szCs w:val="32"/>
          <w:lang w:eastAsia="zh-CN"/>
        </w:rPr>
        <w:t>不</w:t>
      </w:r>
      <w:r>
        <w:rPr>
          <w:rFonts w:hint="eastAsia" w:ascii="仿宋_GB2312" w:hAnsi="仿宋" w:eastAsia="仿宋_GB2312"/>
          <w:sz w:val="32"/>
          <w:szCs w:val="32"/>
        </w:rPr>
        <w:t>存在支出依据不合规、虚列项目支出的情况，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存在截留、挤占、挪用项目资金的情况，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存在超标准开支的情况。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财务管理：</w:t>
      </w:r>
      <w:r>
        <w:rPr>
          <w:rFonts w:hint="eastAsia" w:ascii="仿宋_GB2312" w:hAnsi="仿宋" w:eastAsia="仿宋_GB2312"/>
          <w:sz w:val="32"/>
          <w:szCs w:val="32"/>
        </w:rPr>
        <w:t>会计核算符合有关财务制度，资金管理、费用支出等制度健全、严格</w:t>
      </w:r>
      <w:r>
        <w:rPr>
          <w:rFonts w:hint="eastAsia" w:ascii="仿宋_GB2312" w:hAnsi="仿宋" w:eastAsia="仿宋_GB2312"/>
          <w:sz w:val="32"/>
          <w:szCs w:val="32"/>
          <w:lang w:eastAsia="zh-CN"/>
        </w:rPr>
        <w:t>按照财务规章制度</w:t>
      </w:r>
      <w:r>
        <w:rPr>
          <w:rFonts w:hint="eastAsia" w:ascii="仿宋_GB2312" w:hAnsi="仿宋" w:eastAsia="仿宋_GB2312"/>
          <w:sz w:val="32"/>
          <w:szCs w:val="32"/>
        </w:rPr>
        <w:t>执行。</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（三）组织实施</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项目完成程度：项目按照计划完成。</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组织机构：机构健全、分工明确。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3.</w:t>
      </w:r>
      <w:r>
        <w:rPr>
          <w:rFonts w:hint="eastAsia" w:ascii="仿宋_GB2312" w:hAnsi="仿宋" w:eastAsia="仿宋_GB2312"/>
          <w:b w:val="0"/>
          <w:bCs/>
          <w:sz w:val="32"/>
          <w:szCs w:val="32"/>
        </w:rPr>
        <w:t>管理制度：建立</w:t>
      </w:r>
      <w:r>
        <w:rPr>
          <w:rFonts w:hint="eastAsia" w:ascii="仿宋_GB2312" w:hAnsi="仿宋" w:eastAsia="仿宋_GB2312"/>
          <w:sz w:val="32"/>
          <w:szCs w:val="32"/>
        </w:rPr>
        <w:t>健全</w:t>
      </w:r>
      <w:r>
        <w:rPr>
          <w:rFonts w:hint="eastAsia" w:ascii="仿宋_GB2312" w:hAnsi="仿宋" w:eastAsia="仿宋_GB2312"/>
          <w:sz w:val="32"/>
          <w:szCs w:val="32"/>
          <w:lang w:eastAsia="zh-CN"/>
        </w:rPr>
        <w:t>了</w:t>
      </w:r>
      <w:r>
        <w:rPr>
          <w:rFonts w:hint="eastAsia" w:ascii="仿宋_GB2312" w:hAnsi="仿宋" w:eastAsia="仿宋_GB2312"/>
          <w:sz w:val="32"/>
          <w:szCs w:val="32"/>
        </w:rPr>
        <w:t>项目管理制度，</w:t>
      </w:r>
      <w:r>
        <w:rPr>
          <w:rFonts w:hint="eastAsia" w:ascii="仿宋_GB2312" w:hAnsi="仿宋" w:eastAsia="仿宋_GB2312"/>
          <w:sz w:val="32"/>
          <w:szCs w:val="32"/>
          <w:lang w:eastAsia="zh-CN"/>
        </w:rPr>
        <w:t>并</w:t>
      </w:r>
      <w:r>
        <w:rPr>
          <w:rFonts w:hint="eastAsia" w:ascii="仿宋_GB2312" w:hAnsi="仿宋" w:eastAsia="仿宋_GB2312"/>
          <w:sz w:val="32"/>
          <w:szCs w:val="32"/>
        </w:rPr>
        <w:t>严格执行相关项目管理制度。</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四、项目绩效</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（一）项目产出</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产出数量：项目产出数量</w:t>
      </w:r>
      <w:r>
        <w:rPr>
          <w:rFonts w:hint="eastAsia" w:ascii="仿宋_GB2312" w:hAnsi="仿宋" w:eastAsia="仿宋_GB2312"/>
          <w:b w:val="0"/>
          <w:bCs/>
          <w:sz w:val="32"/>
          <w:szCs w:val="32"/>
          <w:lang w:eastAsia="zh-CN"/>
        </w:rPr>
        <w:t>达到</w:t>
      </w:r>
      <w:r>
        <w:rPr>
          <w:rFonts w:hint="eastAsia" w:ascii="仿宋_GB2312" w:hAnsi="仿宋" w:eastAsia="仿宋_GB2312"/>
          <w:b w:val="0"/>
          <w:bCs/>
          <w:sz w:val="32"/>
          <w:szCs w:val="32"/>
        </w:rPr>
        <w:t>年初设定的数量绩效目标。</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right="0" w:rightChars="0"/>
        <w:textAlignment w:val="auto"/>
        <w:outlineLvl w:val="9"/>
        <w:rPr>
          <w:rFonts w:hint="eastAsia" w:ascii="仿宋_GB2312" w:hAnsi="仿宋" w:eastAsia="仿宋_GB2312" w:cs="仿宋_GB2312"/>
          <w:b w:val="0"/>
          <w:bCs/>
          <w:color w:val="000000"/>
          <w:kern w:val="0"/>
          <w:sz w:val="32"/>
          <w:szCs w:val="32"/>
          <w:lang w:val="en-US" w:eastAsia="zh-CN"/>
        </w:rPr>
      </w:pPr>
      <w:r>
        <w:rPr>
          <w:rFonts w:hint="eastAsia" w:ascii="仿宋_GB2312" w:hAnsi="仿宋" w:eastAsia="仿宋_GB2312" w:cs="仿宋_GB2312"/>
          <w:b w:val="0"/>
          <w:bCs/>
          <w:color w:val="000000"/>
          <w:kern w:val="0"/>
          <w:sz w:val="32"/>
          <w:szCs w:val="32"/>
          <w:lang w:val="en-US" w:eastAsia="zh-CN"/>
        </w:rPr>
        <w:t>年终补助学生人数2900人。</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产出质量：项目产出质量达到年初设定的质量绩效目标。</w:t>
      </w:r>
    </w:p>
    <w:p>
      <w:pPr>
        <w:keepNext w:val="0"/>
        <w:keepLines w:val="0"/>
        <w:pageBreakBefore w:val="0"/>
        <w:widowControl w:val="0"/>
        <w:kinsoku/>
        <w:wordWrap/>
        <w:overflowPunct/>
        <w:topLinePunct w:val="0"/>
        <w:bidi w:val="0"/>
        <w:snapToGrid w:val="0"/>
        <w:spacing w:line="360" w:lineRule="auto"/>
        <w:ind w:left="0" w:leftChars="0" w:right="0" w:rightChars="0"/>
        <w:textAlignment w:val="auto"/>
        <w:outlineLvl w:val="9"/>
        <w:rPr>
          <w:rFonts w:ascii="仿宋_GB2312" w:hAnsi="仿宋" w:eastAsia="仿宋_GB2312"/>
          <w:b w:val="0"/>
          <w:bCs/>
          <w:sz w:val="32"/>
          <w:szCs w:val="32"/>
        </w:rPr>
      </w:pPr>
      <w:r>
        <w:rPr>
          <w:rFonts w:hint="eastAsia" w:ascii="仿宋_GB2312" w:hAnsi="仿宋" w:eastAsia="仿宋_GB2312" w:cs="仿宋_GB2312"/>
          <w:b w:val="0"/>
          <w:bCs/>
          <w:color w:val="000000"/>
          <w:kern w:val="0"/>
          <w:sz w:val="32"/>
          <w:szCs w:val="32"/>
          <w:lang w:val="en-US" w:eastAsia="zh-CN"/>
        </w:rPr>
        <w:t>生均公用经费补助及时拨付率达到100%。</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ascii="仿宋_GB2312" w:hAnsi="仿宋" w:eastAsia="仿宋_GB2312"/>
          <w:b w:val="0"/>
          <w:bCs/>
          <w:sz w:val="32"/>
          <w:szCs w:val="32"/>
        </w:rPr>
        <w:t>3.</w:t>
      </w:r>
      <w:r>
        <w:rPr>
          <w:rFonts w:hint="eastAsia" w:ascii="仿宋_GB2312" w:hAnsi="仿宋" w:eastAsia="仿宋_GB2312"/>
          <w:b w:val="0"/>
          <w:bCs/>
          <w:sz w:val="32"/>
          <w:szCs w:val="32"/>
        </w:rPr>
        <w:t>产出时效：项目产出达到年初设定的时效绩效目标。</w:t>
      </w:r>
      <w:r>
        <w:rPr>
          <w:rFonts w:hint="eastAsia" w:ascii="仿宋_GB2312" w:hAnsi="仿宋" w:eastAsia="仿宋_GB2312" w:cs="仿宋_GB2312"/>
          <w:b w:val="0"/>
          <w:bCs/>
          <w:color w:val="000000"/>
          <w:kern w:val="0"/>
          <w:sz w:val="32"/>
          <w:szCs w:val="32"/>
          <w:lang w:val="en-US" w:eastAsia="zh-CN"/>
        </w:rPr>
        <w:t>补助资金使用年限从2020年1月1日—12月31日。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4.</w:t>
      </w:r>
      <w:r>
        <w:rPr>
          <w:rFonts w:hint="eastAsia" w:ascii="仿宋_GB2312" w:hAnsi="仿宋" w:eastAsia="仿宋_GB2312"/>
          <w:b w:val="0"/>
          <w:bCs/>
          <w:sz w:val="32"/>
          <w:szCs w:val="32"/>
        </w:rPr>
        <w:t>产出成本：项目产</w:t>
      </w:r>
      <w:r>
        <w:rPr>
          <w:rFonts w:hint="eastAsia" w:ascii="仿宋_GB2312" w:hAnsi="仿宋" w:eastAsia="仿宋_GB2312"/>
          <w:sz w:val="32"/>
          <w:szCs w:val="32"/>
        </w:rPr>
        <w:t>出在年初设定的成本绩效目标范围。</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（二）项目效益</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hint="eastAsia" w:ascii="仿宋_GB2312" w:hAnsi="仿宋" w:eastAsia="仿宋_GB2312"/>
          <w:b w:val="0"/>
          <w:bCs/>
          <w:sz w:val="32"/>
          <w:szCs w:val="32"/>
          <w:lang w:val="en-US" w:eastAsia="zh-CN"/>
        </w:rPr>
        <w:t>1.</w:t>
      </w:r>
      <w:r>
        <w:rPr>
          <w:rFonts w:hint="eastAsia" w:ascii="仿宋_GB2312" w:hAnsi="仿宋" w:eastAsia="仿宋_GB2312"/>
          <w:b w:val="0"/>
          <w:bCs/>
          <w:sz w:val="32"/>
          <w:szCs w:val="32"/>
        </w:rPr>
        <w:t>社会效益：项目实施</w:t>
      </w:r>
      <w:r>
        <w:rPr>
          <w:rFonts w:hint="eastAsia" w:ascii="仿宋_GB2312" w:hAnsi="仿宋" w:eastAsia="仿宋_GB2312"/>
          <w:b w:val="0"/>
          <w:bCs/>
          <w:sz w:val="32"/>
          <w:szCs w:val="32"/>
          <w:lang w:eastAsia="zh-CN"/>
        </w:rPr>
        <w:t>达到了预期</w:t>
      </w:r>
      <w:r>
        <w:rPr>
          <w:rFonts w:hint="eastAsia" w:ascii="仿宋_GB2312" w:hAnsi="仿宋" w:eastAsia="仿宋_GB2312"/>
          <w:b w:val="0"/>
          <w:bCs/>
          <w:sz w:val="32"/>
          <w:szCs w:val="32"/>
        </w:rPr>
        <w:t>社会综合效益。</w:t>
      </w:r>
      <w:r>
        <w:rPr>
          <w:rFonts w:hint="eastAsia" w:ascii="仿宋_GB2312" w:hAnsi="仿宋" w:eastAsia="仿宋_GB2312"/>
          <w:b w:val="0"/>
          <w:bCs/>
          <w:sz w:val="32"/>
          <w:szCs w:val="32"/>
          <w:lang w:eastAsia="zh-CN"/>
        </w:rPr>
        <w:t>该项目</w:t>
      </w:r>
      <w:r>
        <w:rPr>
          <w:rFonts w:hint="eastAsia" w:ascii="仿宋_GB2312" w:hAnsi="仿宋" w:eastAsia="仿宋_GB2312" w:cs="仿宋_GB2312"/>
          <w:b w:val="0"/>
          <w:bCs/>
          <w:color w:val="000000"/>
          <w:kern w:val="0"/>
          <w:sz w:val="32"/>
          <w:szCs w:val="32"/>
          <w:lang w:val="en-US" w:eastAsia="zh-CN"/>
        </w:rPr>
        <w:t>合理使用财政资金，提高资金使用效益</w:t>
      </w:r>
      <w:r>
        <w:rPr>
          <w:rFonts w:hint="eastAsia" w:ascii="仿宋_GB2312" w:hAnsi="仿宋" w:eastAsia="仿宋_GB2312" w:cs="仿宋_GB2312"/>
          <w:color w:val="000000"/>
          <w:kern w:val="0"/>
          <w:sz w:val="32"/>
          <w:szCs w:val="32"/>
          <w:lang w:val="en-US" w:eastAsia="zh-CN"/>
        </w:rPr>
        <w:t>等达标率100%</w:t>
      </w:r>
      <w:r>
        <w:rPr>
          <w:rFonts w:hint="eastAsia" w:ascii="仿宋_GB2312" w:hAnsi="仿宋" w:eastAsia="仿宋_GB2312" w:cs="仿宋_GB2312"/>
          <w:b w:val="0"/>
          <w:bCs/>
          <w:color w:val="000000"/>
          <w:kern w:val="0"/>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b w:val="0"/>
          <w:bCs/>
          <w:sz w:val="32"/>
          <w:szCs w:val="32"/>
          <w:lang w:val="en-US" w:eastAsia="zh-CN"/>
        </w:rPr>
        <w:t>2</w:t>
      </w:r>
      <w:r>
        <w:rPr>
          <w:rFonts w:ascii="仿宋_GB2312" w:hAnsi="仿宋" w:eastAsia="仿宋_GB2312"/>
          <w:b w:val="0"/>
          <w:bCs/>
          <w:sz w:val="32"/>
          <w:szCs w:val="32"/>
        </w:rPr>
        <w:t>.</w:t>
      </w:r>
      <w:r>
        <w:rPr>
          <w:rFonts w:hint="eastAsia" w:ascii="仿宋_GB2312" w:hAnsi="仿宋" w:eastAsia="仿宋_GB2312"/>
          <w:b w:val="0"/>
          <w:bCs/>
          <w:sz w:val="32"/>
          <w:szCs w:val="32"/>
        </w:rPr>
        <w:t>服务对象满意度：项目</w:t>
      </w:r>
      <w:r>
        <w:rPr>
          <w:rFonts w:hint="eastAsia" w:ascii="仿宋_GB2312" w:hAnsi="仿宋" w:eastAsia="仿宋_GB2312"/>
          <w:sz w:val="32"/>
          <w:szCs w:val="32"/>
        </w:rPr>
        <w:t>服务对象对项目的满意程度</w:t>
      </w:r>
      <w:r>
        <w:rPr>
          <w:rFonts w:hint="eastAsia" w:ascii="仿宋_GB2312" w:hAnsi="仿宋" w:eastAsia="仿宋_GB2312" w:cs="仿宋_GB2312"/>
          <w:color w:val="000000"/>
          <w:kern w:val="0"/>
          <w:sz w:val="32"/>
          <w:szCs w:val="32"/>
          <w:lang w:val="en-US" w:eastAsia="zh-CN"/>
        </w:rPr>
        <w:t>达到100%。</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五、存在问题</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六、改进措施及建议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bookmarkStart w:id="0" w:name="_GoBack"/>
      <w:bookmarkEnd w:id="0"/>
    </w:p>
    <w:p>
      <w:pPr>
        <w:spacing w:line="520" w:lineRule="exact"/>
        <w:ind w:firstLine="640" w:firstLineChars="200"/>
        <w:rPr>
          <w:rFonts w:hint="eastAsia" w:ascii="仿宋_GB2312" w:hAnsi="仿宋" w:eastAsia="仿宋_GB2312"/>
          <w:sz w:val="32"/>
          <w:szCs w:val="32"/>
          <w:lang w:eastAsia="zh-CN"/>
        </w:rPr>
      </w:pPr>
    </w:p>
    <w:p>
      <w:pPr>
        <w:spacing w:line="520" w:lineRule="exact"/>
        <w:ind w:firstLine="5120" w:firstLineChars="1600"/>
        <w:rPr>
          <w:rFonts w:hint="eastAsia" w:ascii="仿宋_GB2312" w:hAnsi="仿宋" w:eastAsia="仿宋_GB2312"/>
          <w:sz w:val="32"/>
          <w:szCs w:val="32"/>
          <w:lang w:eastAsia="zh-CN"/>
        </w:rPr>
      </w:pPr>
    </w:p>
    <w:p>
      <w:pPr>
        <w:spacing w:line="520" w:lineRule="exact"/>
        <w:ind w:firstLine="5760" w:firstLineChars="1800"/>
        <w:rPr>
          <w:rFonts w:hint="eastAsia" w:ascii="仿宋_GB2312" w:hAnsi="仿宋" w:eastAsia="仿宋_GB2312"/>
          <w:sz w:val="32"/>
          <w:szCs w:val="32"/>
          <w:lang w:eastAsia="zh-CN"/>
        </w:rPr>
      </w:pPr>
      <w:r>
        <w:rPr>
          <w:rFonts w:hint="eastAsia" w:ascii="仿宋_GB2312" w:hAnsi="仿宋" w:eastAsia="仿宋_GB2312"/>
          <w:sz w:val="32"/>
          <w:szCs w:val="32"/>
          <w:lang w:eastAsia="zh-CN"/>
        </w:rPr>
        <w:t>永济中学</w:t>
      </w:r>
    </w:p>
    <w:p>
      <w:pPr>
        <w:spacing w:line="520" w:lineRule="exact"/>
        <w:ind w:firstLine="5120" w:firstLineChars="16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2021年1月25日</w:t>
      </w:r>
    </w:p>
    <w:p>
      <w:pPr>
        <w:spacing w:line="520" w:lineRule="exact"/>
        <w:ind w:firstLine="640" w:firstLineChars="200"/>
        <w:rPr>
          <w:rFonts w:ascii="仿宋_GB2312" w:hAnsi="仿宋" w:eastAsia="仿宋_GB2312"/>
          <w:sz w:val="32"/>
          <w:szCs w:val="32"/>
        </w:rPr>
      </w:pP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wiss"/>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1pt;width:28.4pt;mso-position-horizontal:center;mso-position-horizontal-relative:margin;z-index:251658240;mso-width-relative:page;mso-height-relative:page;" filled="f" stroked="f" coordsize="21600,21600">
          <v:path/>
          <v:fill on="f" focussize="0,0"/>
          <v:stroke on="f"/>
          <v:imagedata o:title=""/>
          <o:lock v:ext="edit" aspectratio="f"/>
          <v:textbox inset="0mm,0mm,0mm,0mm">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- 5 -</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922B9"/>
    <w:multiLevelType w:val="singleLevel"/>
    <w:tmpl w:val="5E9922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0D8E3A6F"/>
    <w:rsid w:val="154510C8"/>
    <w:rsid w:val="1B4A3D25"/>
    <w:rsid w:val="1DFA75C1"/>
    <w:rsid w:val="1EC5719A"/>
    <w:rsid w:val="22E22F76"/>
    <w:rsid w:val="271C1963"/>
    <w:rsid w:val="2CC75685"/>
    <w:rsid w:val="2D335900"/>
    <w:rsid w:val="3A47210A"/>
    <w:rsid w:val="3C1813F2"/>
    <w:rsid w:val="3C40140E"/>
    <w:rsid w:val="3F5E36CE"/>
    <w:rsid w:val="42192677"/>
    <w:rsid w:val="488550B4"/>
    <w:rsid w:val="48BA2A42"/>
    <w:rsid w:val="56405BE5"/>
    <w:rsid w:val="574779D0"/>
    <w:rsid w:val="578A6022"/>
    <w:rsid w:val="591E758A"/>
    <w:rsid w:val="5BA9253B"/>
    <w:rsid w:val="61F317FB"/>
    <w:rsid w:val="622769AD"/>
    <w:rsid w:val="64397960"/>
    <w:rsid w:val="6AE35A66"/>
    <w:rsid w:val="6EB64F74"/>
    <w:rsid w:val="6F4A4080"/>
    <w:rsid w:val="7AB91A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ascii="Times New Roman" w:hAnsi="Times New Roman" w:eastAsia="宋体" w:cs="Times New Roman"/>
      <w:sz w:val="18"/>
      <w:szCs w:val="18"/>
    </w:rPr>
  </w:style>
  <w:style w:type="character" w:customStyle="1" w:styleId="7">
    <w:name w:val="Footer Char"/>
    <w:basedOn w:val="5"/>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167</Words>
  <Characters>952</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Administrator</cp:lastModifiedBy>
  <cp:lastPrinted>2021-01-28T09:09:00Z</cp:lastPrinted>
  <dcterms:modified xsi:type="dcterms:W3CDTF">2021-10-15T02:20:55Z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