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2" w:rsidRDefault="002C1382">
      <w:pPr>
        <w:autoSpaceDE w:val="0"/>
        <w:autoSpaceDN w:val="0"/>
        <w:adjustRightInd w:val="0"/>
        <w:spacing w:line="520" w:lineRule="exact"/>
        <w:rPr>
          <w:rFonts w:ascii="仿宋_GB2312" w:eastAsia="仿宋_GB2312" w:hAnsi="黑体" w:cs="方正小标宋简体"/>
          <w:color w:val="000000"/>
          <w:kern w:val="0"/>
          <w:szCs w:val="21"/>
        </w:rPr>
      </w:pPr>
    </w:p>
    <w:p w:rsidR="002C1382" w:rsidRDefault="005A311A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永济市职业中专学校</w:t>
      </w:r>
    </w:p>
    <w:p w:rsidR="002C1382" w:rsidRDefault="005A311A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中等职业教育免学费补助</w:t>
      </w:r>
      <w:r w:rsidR="00153E61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项目支出绩效</w:t>
      </w:r>
    </w:p>
    <w:p w:rsidR="002C1382" w:rsidRDefault="00153E61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自评报告</w:t>
      </w:r>
    </w:p>
    <w:p w:rsidR="002C1382" w:rsidRDefault="002C1382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hAnsi="黑体" w:cs="黑体"/>
          <w:color w:val="000000"/>
          <w:kern w:val="0"/>
          <w:sz w:val="32"/>
          <w:szCs w:val="32"/>
        </w:rPr>
      </w:pP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jc w:val="left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一、项目概况</w:t>
      </w:r>
      <w:r>
        <w:rPr>
          <w:rFonts w:ascii="黑体" w:eastAsia="黑体" w:hAnsi="黑体" w:cs="黑体"/>
          <w:color w:val="000000"/>
          <w:kern w:val="0"/>
          <w:sz w:val="30"/>
          <w:szCs w:val="30"/>
        </w:rPr>
        <w:t xml:space="preserve"> 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jc w:val="left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（一）项目单位基本情况</w:t>
      </w:r>
    </w:p>
    <w:p w:rsidR="002C1382" w:rsidRDefault="00153E61">
      <w:pPr>
        <w:snapToGrid w:val="0"/>
        <w:spacing w:line="360" w:lineRule="auto"/>
        <w:ind w:firstLineChars="200" w:firstLine="600"/>
        <w:jc w:val="left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永济市</w:t>
      </w:r>
      <w:r w:rsidR="005A311A">
        <w:rPr>
          <w:rFonts w:ascii="仿宋_GB2312" w:eastAsia="仿宋_GB2312" w:hAnsi="宋体" w:hint="eastAsia"/>
          <w:sz w:val="30"/>
          <w:szCs w:val="30"/>
        </w:rPr>
        <w:t>职业中专</w:t>
      </w:r>
      <w:r>
        <w:rPr>
          <w:rFonts w:ascii="仿宋_GB2312" w:eastAsia="仿宋_GB2312" w:hAnsi="宋体" w:hint="eastAsia"/>
          <w:sz w:val="30"/>
          <w:szCs w:val="30"/>
        </w:rPr>
        <w:t>学校是</w:t>
      </w:r>
      <w:r w:rsidR="005A311A">
        <w:rPr>
          <w:rFonts w:ascii="仿宋_GB2312" w:eastAsia="仿宋_GB2312" w:hAnsi="宋体" w:hint="eastAsia"/>
          <w:sz w:val="30"/>
          <w:szCs w:val="30"/>
        </w:rPr>
        <w:t>全额</w:t>
      </w:r>
      <w:r>
        <w:rPr>
          <w:rFonts w:ascii="仿宋_GB2312" w:eastAsia="仿宋_GB2312" w:hAnsi="宋体" w:hint="eastAsia"/>
          <w:sz w:val="30"/>
          <w:szCs w:val="30"/>
        </w:rPr>
        <w:t>事业单位，位于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涑</w:t>
      </w:r>
      <w:proofErr w:type="gramEnd"/>
      <w:r>
        <w:rPr>
          <w:rFonts w:ascii="仿宋_GB2312" w:eastAsia="仿宋_GB2312" w:hAnsi="宋体" w:hint="eastAsia"/>
          <w:sz w:val="30"/>
          <w:szCs w:val="30"/>
        </w:rPr>
        <w:t>水西街2</w:t>
      </w:r>
      <w:r w:rsidR="005A311A">
        <w:rPr>
          <w:rFonts w:ascii="仿宋_GB2312" w:eastAsia="仿宋_GB2312" w:hAnsi="宋体" w:hint="eastAsia"/>
          <w:sz w:val="30"/>
          <w:szCs w:val="30"/>
        </w:rPr>
        <w:t>35</w:t>
      </w:r>
      <w:r>
        <w:rPr>
          <w:rFonts w:ascii="仿宋_GB2312" w:eastAsia="仿宋_GB2312" w:hAnsi="宋体" w:hint="eastAsia"/>
          <w:sz w:val="30"/>
          <w:szCs w:val="30"/>
        </w:rPr>
        <w:t>号。主要职责是</w:t>
      </w:r>
      <w:r>
        <w:rPr>
          <w:rFonts w:ascii="仿宋_GB2312" w:eastAsia="仿宋_GB2312" w:hAnsi="宋体" w:cs="黑体" w:hint="eastAsia"/>
          <w:sz w:val="30"/>
          <w:szCs w:val="30"/>
        </w:rPr>
        <w:t>认真</w:t>
      </w:r>
      <w:r w:rsidR="005A311A">
        <w:rPr>
          <w:rFonts w:ascii="仿宋_GB2312" w:eastAsia="仿宋_GB2312" w:hAnsi="宋体" w:cs="黑体" w:hint="eastAsia"/>
          <w:sz w:val="30"/>
          <w:szCs w:val="30"/>
        </w:rPr>
        <w:t>贯彻党和国家的教育方针政策，根据教育法规，依法治校，全面完成中职</w:t>
      </w:r>
      <w:r>
        <w:rPr>
          <w:rFonts w:ascii="仿宋_GB2312" w:eastAsia="仿宋_GB2312" w:hAnsi="宋体" w:cs="黑体" w:hint="eastAsia"/>
          <w:sz w:val="30"/>
          <w:szCs w:val="30"/>
        </w:rPr>
        <w:t>教育任务。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（二）项目概况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年初设定的项目支出绩效目标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该项目年初设定的绩效目标是科学编制预算，合理分配资金，加强制度管理，保证学校正常运转。</w:t>
      </w:r>
    </w:p>
    <w:p w:rsidR="002C1382" w:rsidRDefault="00153E61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主要绩效指标及指标值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数量指标:补助</w:t>
      </w:r>
      <w:proofErr w:type="gramStart"/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中职免学费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所数1所，补助</w:t>
      </w:r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免学费补助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人数</w:t>
      </w:r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13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24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时效指标：补助资金使用年限2020年1月1日—12月31日。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质量指标：公用经费补助及时拨付率100%。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成本指标：生均公用经费拨款标准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</w:t>
      </w:r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25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00元/生/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年，职高2000元/生/年。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社会效益指标：合理使用财政资金，提高资金使用效益，为</w:t>
      </w:r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lastRenderedPageBreak/>
        <w:t>学校教育教学开展提供经费保证。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服务对象满意度指标：补助经费学校满意度≥99%。</w:t>
      </w:r>
    </w:p>
    <w:p w:rsidR="002C1382" w:rsidRDefault="00153E61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资金使用范围</w:t>
      </w:r>
    </w:p>
    <w:p w:rsidR="002C1382" w:rsidRDefault="005A311A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中等职业教育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经费根据学校有正式学籍的全日制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在校生人数拨付。市县学校由市县财政分级负责落实，公用经费的开支主要用于学校日常运转支出，包括教学业务费、实验费、老师培训费、文体活动费、水电费、取暖费、办公费、邮电费、劳务费、交通差旅费、仪器设备及图书资料购置</w:t>
      </w:r>
      <w:r w:rsidR="0050068C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费、校舍及仪器设备的日常维修维护等。不得用于人员经费、基本建设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等支出。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黑体" w:eastAsia="黑体" w:hAnsi="黑体" w:cs="仿宋_GB2312"/>
          <w:color w:val="000000"/>
          <w:kern w:val="0"/>
          <w:sz w:val="30"/>
          <w:szCs w:val="30"/>
        </w:rPr>
      </w:pPr>
      <w:r>
        <w:rPr>
          <w:rFonts w:ascii="黑体" w:eastAsia="黑体" w:hAnsi="黑体" w:cs="仿宋_GB2312" w:hint="eastAsia"/>
          <w:color w:val="000000"/>
          <w:kern w:val="0"/>
          <w:sz w:val="30"/>
          <w:szCs w:val="30"/>
        </w:rPr>
        <w:t>二、项目决策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（一）决策过程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决策依据：该项目依据《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运城市财政局、运城市教育局、运城市人力资源和社会保障局关于下达2012年秋季中等职业学校第二批免学费补助资金的通知》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财教〔20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12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号文件执行，符合经济社会发展规划和部门年度计划。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2.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决策程序：项目符合申报条件；申报、批复程序符合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《运城市财政局、运城市教育局、运城市人力资源和社会保障局关于下达2012年秋季中等职业学校第二批免学费补助资金的通知》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运财教〔2012〕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93号规定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（二）资金分配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分配办法：根据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运财教〔2012〕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93号文件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，全省建立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学校生均公用经费拨款制度。从20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12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年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秋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季起，财政拨款标准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为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25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00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lastRenderedPageBreak/>
        <w:t>元/生/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年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，职高2000元/生/年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2.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分配结果：资金分配符合相关管理办法，共</w:t>
      </w:r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补助</w:t>
      </w:r>
      <w:proofErr w:type="gramStart"/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中职免学费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所数1所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，分配结果合理。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黑体" w:eastAsia="黑体" w:hAnsi="黑体" w:cs="仿宋_GB2312"/>
          <w:color w:val="000000"/>
          <w:kern w:val="0"/>
          <w:sz w:val="30"/>
          <w:szCs w:val="30"/>
        </w:rPr>
      </w:pPr>
      <w:r>
        <w:rPr>
          <w:rFonts w:ascii="黑体" w:eastAsia="黑体" w:hAnsi="黑体" w:cs="仿宋_GB2312" w:hint="eastAsia"/>
          <w:color w:val="000000"/>
          <w:kern w:val="0"/>
          <w:sz w:val="30"/>
          <w:szCs w:val="30"/>
        </w:rPr>
        <w:t>三、项目管理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（一）资金到位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1.年度预算资金到位率：</w:t>
      </w:r>
      <w:r w:rsidR="0063591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本年度学生为1324人，其中：中等职业教育1214人，职业高中教育110人，共计325.5万元，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项目资金到位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325.5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万元，到位率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100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%。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2.资金到位时效：资金分春秋两个学期进行拨付，到位率100%。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（二）资金管理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资金使用：不</w:t>
      </w:r>
      <w:r>
        <w:rPr>
          <w:rFonts w:ascii="仿宋_GB2312" w:eastAsia="仿宋_GB2312" w:hAnsi="仿宋" w:hint="eastAsia"/>
          <w:sz w:val="30"/>
          <w:szCs w:val="30"/>
        </w:rPr>
        <w:t>存在支出依据不合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规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、虚列项目支出的情况，不存在截留、挤占、挪用项目资金的情况，不存在超标准开支的情况。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财务管理：</w:t>
      </w:r>
      <w:r>
        <w:rPr>
          <w:rFonts w:ascii="仿宋_GB2312" w:eastAsia="仿宋_GB2312" w:hAnsi="仿宋" w:hint="eastAsia"/>
          <w:sz w:val="30"/>
          <w:szCs w:val="30"/>
        </w:rPr>
        <w:t>会计核算符合有关财务制度，资金管理、费用支出等制度健全、严格按照财务规章制度执行。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（三）组织实施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项目完成程度：项目按照计划完成。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组织机构：机构健全、分工明确。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3.</w:t>
      </w:r>
      <w:r>
        <w:rPr>
          <w:rFonts w:ascii="仿宋_GB2312" w:eastAsia="仿宋_GB2312" w:hAnsi="仿宋" w:hint="eastAsia"/>
          <w:bCs/>
          <w:sz w:val="30"/>
          <w:szCs w:val="30"/>
        </w:rPr>
        <w:t>管理制度：建立</w:t>
      </w:r>
      <w:r>
        <w:rPr>
          <w:rFonts w:ascii="仿宋_GB2312" w:eastAsia="仿宋_GB2312" w:hAnsi="仿宋" w:hint="eastAsia"/>
          <w:sz w:val="30"/>
          <w:szCs w:val="30"/>
        </w:rPr>
        <w:t>健全了项目管理制度，并严格执行相关项目管理制度。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四、项目绩效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（一）项目产出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产出数量：项目产出数量达到年初设定的数量绩效目标。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lastRenderedPageBreak/>
        <w:t>年终</w:t>
      </w:r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中等职业教育免学费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经费所数1所，补助</w:t>
      </w:r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中等职业教育免学费</w:t>
      </w:r>
      <w:proofErr w:type="gramStart"/>
      <w:r w:rsidR="0050068C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经费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经费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学生人数13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24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产出质量：项目产出质量达到年初设定的质量绩效目标。</w:t>
      </w:r>
    </w:p>
    <w:p w:rsidR="002C1382" w:rsidRDefault="00153E61">
      <w:pPr>
        <w:snapToGrid w:val="0"/>
        <w:spacing w:line="360" w:lineRule="auto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公用经费补助及时拨付率达到100%。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3.</w:t>
      </w:r>
      <w:r>
        <w:rPr>
          <w:rFonts w:ascii="仿宋_GB2312" w:eastAsia="仿宋_GB2312" w:hAnsi="仿宋" w:hint="eastAsia"/>
          <w:bCs/>
          <w:sz w:val="30"/>
          <w:szCs w:val="30"/>
        </w:rPr>
        <w:t>产出时效：项目产出达到年初设定的时效绩效目标。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补助资金使用年限从2020年1月1日—12月31日。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4.</w:t>
      </w:r>
      <w:r>
        <w:rPr>
          <w:rFonts w:ascii="仿宋_GB2312" w:eastAsia="仿宋_GB2312" w:hAnsi="仿宋" w:hint="eastAsia"/>
          <w:bCs/>
          <w:sz w:val="30"/>
          <w:szCs w:val="30"/>
        </w:rPr>
        <w:t>产出成本：项目产</w:t>
      </w:r>
      <w:r>
        <w:rPr>
          <w:rFonts w:ascii="仿宋_GB2312" w:eastAsia="仿宋_GB2312" w:hAnsi="仿宋" w:hint="eastAsia"/>
          <w:sz w:val="30"/>
          <w:szCs w:val="30"/>
        </w:rPr>
        <w:t>出控制在年初设定的成本绩效目标范围。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（二）项目效益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1.社会效益：项目实施达到了预期社会综合效益。该项目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合理使用财政资金，提高资金使用效益，为高中学校教育教学开展提供经费保证。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2</w:t>
      </w:r>
      <w:r>
        <w:rPr>
          <w:rFonts w:ascii="仿宋_GB2312" w:eastAsia="仿宋_GB2312" w:hAnsi="仿宋"/>
          <w:bCs/>
          <w:sz w:val="30"/>
          <w:szCs w:val="30"/>
        </w:rPr>
        <w:t>.</w:t>
      </w:r>
      <w:r>
        <w:rPr>
          <w:rFonts w:ascii="仿宋_GB2312" w:eastAsia="仿宋_GB2312" w:hAnsi="仿宋" w:hint="eastAsia"/>
          <w:bCs/>
          <w:sz w:val="30"/>
          <w:szCs w:val="30"/>
        </w:rPr>
        <w:t>服务对象满意度：项目</w:t>
      </w:r>
      <w:r>
        <w:rPr>
          <w:rFonts w:ascii="仿宋_GB2312" w:eastAsia="仿宋_GB2312" w:hAnsi="仿宋" w:hint="eastAsia"/>
          <w:sz w:val="30"/>
          <w:szCs w:val="30"/>
        </w:rPr>
        <w:t>服务对象对项目的满意程度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达到99%。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五、存在问题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无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六、改进措施及建议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无</w:t>
      </w:r>
    </w:p>
    <w:p w:rsidR="002C1382" w:rsidRDefault="002C1382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2C1382" w:rsidRDefault="002C1382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bookmarkStart w:id="0" w:name="_GoBack"/>
      <w:bookmarkEnd w:id="0"/>
    </w:p>
    <w:p w:rsidR="002C1382" w:rsidRDefault="002C1382">
      <w:pPr>
        <w:spacing w:line="5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2C1382" w:rsidRDefault="002C1382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</w:p>
    <w:p w:rsidR="002C1382" w:rsidRDefault="00153E61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永济市职业中专学校</w:t>
      </w:r>
    </w:p>
    <w:p w:rsidR="002C1382" w:rsidRPr="0050068C" w:rsidRDefault="00153E61" w:rsidP="0050068C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2021年1月18日</w:t>
      </w:r>
    </w:p>
    <w:sectPr w:rsidR="002C1382" w:rsidRPr="0050068C" w:rsidSect="002C1382">
      <w:pgSz w:w="11906" w:h="16838"/>
      <w:pgMar w:top="2098" w:right="1417" w:bottom="1644" w:left="1587" w:header="851" w:footer="1417" w:gutter="0"/>
      <w:pgNumType w:fmt="numberInDash" w:start="5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382" w:rsidRDefault="002C1382" w:rsidP="002C1382">
      <w:r>
        <w:separator/>
      </w:r>
    </w:p>
  </w:endnote>
  <w:endnote w:type="continuationSeparator" w:id="0">
    <w:p w:rsidR="002C1382" w:rsidRDefault="002C1382" w:rsidP="002C1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wiss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382" w:rsidRDefault="002C1382" w:rsidP="002C1382">
      <w:r>
        <w:separator/>
      </w:r>
    </w:p>
  </w:footnote>
  <w:footnote w:type="continuationSeparator" w:id="0">
    <w:p w:rsidR="002C1382" w:rsidRDefault="002C1382" w:rsidP="002C1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922B9"/>
    <w:multiLevelType w:val="singleLevel"/>
    <w:tmpl w:val="5E9922B9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227"/>
    <w:rsid w:val="0000236A"/>
    <w:rsid w:val="00060999"/>
    <w:rsid w:val="00153E61"/>
    <w:rsid w:val="001869C5"/>
    <w:rsid w:val="001975BF"/>
    <w:rsid w:val="001B272B"/>
    <w:rsid w:val="001E324D"/>
    <w:rsid w:val="002234A1"/>
    <w:rsid w:val="00233331"/>
    <w:rsid w:val="00246407"/>
    <w:rsid w:val="002C1382"/>
    <w:rsid w:val="003254A1"/>
    <w:rsid w:val="00333660"/>
    <w:rsid w:val="004F3894"/>
    <w:rsid w:val="0050068C"/>
    <w:rsid w:val="00535DB8"/>
    <w:rsid w:val="005A311A"/>
    <w:rsid w:val="005D1825"/>
    <w:rsid w:val="00635911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AB3DB4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0A6A4D49"/>
    <w:rsid w:val="154510C8"/>
    <w:rsid w:val="1B4A3D25"/>
    <w:rsid w:val="1DFA75C1"/>
    <w:rsid w:val="1EC5719A"/>
    <w:rsid w:val="22E22F76"/>
    <w:rsid w:val="271C1963"/>
    <w:rsid w:val="2D335900"/>
    <w:rsid w:val="39850E19"/>
    <w:rsid w:val="3A47210A"/>
    <w:rsid w:val="3C1813F2"/>
    <w:rsid w:val="3C40140E"/>
    <w:rsid w:val="3F5E36CE"/>
    <w:rsid w:val="42192677"/>
    <w:rsid w:val="488550B4"/>
    <w:rsid w:val="56405BE5"/>
    <w:rsid w:val="61F317FB"/>
    <w:rsid w:val="622769AD"/>
    <w:rsid w:val="7AB9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C13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2C13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2C138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2C1382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2C13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1453</Words>
  <Characters>165</Characters>
  <Application>Microsoft Office Word</Application>
  <DocSecurity>0</DocSecurity>
  <Lines>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Microsoft</cp:lastModifiedBy>
  <cp:revision>27</cp:revision>
  <cp:lastPrinted>2004-01-13T09:30:00Z</cp:lastPrinted>
  <dcterms:created xsi:type="dcterms:W3CDTF">2016-12-09T02:56:00Z</dcterms:created>
  <dcterms:modified xsi:type="dcterms:W3CDTF">2021-01-21T09:13:00Z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