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DB" w:rsidRDefault="008B1A23">
      <w:pPr>
        <w:widowControl w:val="0"/>
        <w:spacing w:after="0" w:line="440" w:lineRule="exact"/>
        <w:jc w:val="both"/>
        <w:rPr>
          <w:rFonts w:ascii="黑体" w:eastAsia="黑体" w:hAnsi="黑体" w:cs="微软雅黑"/>
          <w:color w:val="000000"/>
          <w:shd w:val="clear" w:color="auto" w:fill="FFFFFF"/>
        </w:rPr>
      </w:pPr>
      <w:r>
        <w:rPr>
          <w:rFonts w:ascii="黑体" w:eastAsia="黑体" w:hAnsi="黑体" w:cs="微软雅黑" w:hint="eastAsia"/>
          <w:color w:val="000000"/>
          <w:shd w:val="clear" w:color="auto" w:fill="FFFFFF"/>
        </w:rPr>
        <w:t>永济市七届人大二次会议文件（17）</w:t>
      </w:r>
    </w:p>
    <w:p w:rsidR="00B355DB" w:rsidRDefault="00B355DB">
      <w:pPr>
        <w:widowControl w:val="0"/>
        <w:spacing w:after="0" w:line="520" w:lineRule="exact"/>
        <w:jc w:val="both"/>
        <w:rPr>
          <w:rFonts w:ascii="黑体" w:eastAsia="黑体" w:hAnsi="黑体" w:cs="微软雅黑"/>
          <w:color w:val="000000"/>
          <w:shd w:val="clear" w:color="auto" w:fill="FFFFFF"/>
        </w:rPr>
      </w:pPr>
    </w:p>
    <w:p w:rsidR="00B355DB" w:rsidRDefault="008B1A23">
      <w:pPr>
        <w:pStyle w:val="1"/>
        <w:shd w:val="clear" w:color="auto" w:fill="FFFFFF"/>
        <w:spacing w:beforeAutospacing="0" w:afterAutospacing="0" w:line="620" w:lineRule="exact"/>
        <w:jc w:val="center"/>
        <w:rPr>
          <w:rFonts w:ascii="方正小标宋简体" w:eastAsia="方正小标宋简体" w:hAnsi="方正小标宋简体" w:cs="方正小标宋简体" w:hint="default"/>
          <w:b w:val="0"/>
          <w:sz w:val="40"/>
          <w:szCs w:val="40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sz w:val="40"/>
          <w:szCs w:val="40"/>
          <w:shd w:val="clear" w:color="auto" w:fill="FFFFFF"/>
        </w:rPr>
        <w:t>关于永济市2021年财政</w:t>
      </w:r>
    </w:p>
    <w:p w:rsidR="00B355DB" w:rsidRDefault="008B1A23">
      <w:pPr>
        <w:pStyle w:val="1"/>
        <w:shd w:val="clear" w:color="auto" w:fill="FFFFFF"/>
        <w:spacing w:beforeAutospacing="0" w:afterAutospacing="0" w:line="620" w:lineRule="exact"/>
        <w:jc w:val="center"/>
        <w:rPr>
          <w:rFonts w:ascii="方正小标宋简体" w:eastAsia="方正小标宋简体" w:hAnsi="方正小标宋简体" w:cs="方正小标宋简体" w:hint="default"/>
          <w:b w:val="0"/>
          <w:sz w:val="40"/>
          <w:szCs w:val="40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sz w:val="40"/>
          <w:szCs w:val="40"/>
          <w:shd w:val="clear" w:color="auto" w:fill="FFFFFF"/>
        </w:rPr>
        <w:t>预算执行情况和2022年财政预算草案的</w:t>
      </w:r>
    </w:p>
    <w:p w:rsidR="00B355DB" w:rsidRDefault="008B1A23">
      <w:pPr>
        <w:pStyle w:val="1"/>
        <w:shd w:val="clear" w:color="auto" w:fill="FFFFFF"/>
        <w:spacing w:beforeAutospacing="0" w:afterAutospacing="0" w:line="620" w:lineRule="exact"/>
        <w:jc w:val="center"/>
        <w:rPr>
          <w:rFonts w:ascii="仿宋" w:eastAsia="仿宋" w:hAnsi="仿宋" w:cs="微软雅黑" w:hint="default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b w:val="0"/>
          <w:sz w:val="40"/>
          <w:szCs w:val="40"/>
          <w:shd w:val="clear" w:color="auto" w:fill="FFFFFF"/>
        </w:rPr>
        <w:t>报            告</w:t>
      </w:r>
    </w:p>
    <w:p w:rsidR="00B355DB" w:rsidRDefault="00B355DB">
      <w:pPr>
        <w:widowControl w:val="0"/>
        <w:shd w:val="clear" w:color="auto" w:fill="FFFFFF"/>
        <w:spacing w:after="0" w:line="480" w:lineRule="exact"/>
        <w:jc w:val="center"/>
        <w:rPr>
          <w:rFonts w:ascii="宋体" w:eastAsia="宋体" w:hAnsi="宋体" w:cs="宋体"/>
          <w:sz w:val="24"/>
          <w:szCs w:val="24"/>
          <w:shd w:val="clear" w:color="auto" w:fill="FFFFFF"/>
        </w:rPr>
      </w:pPr>
    </w:p>
    <w:p w:rsidR="00B355DB" w:rsidRDefault="008B1A23">
      <w:pPr>
        <w:widowControl w:val="0"/>
        <w:shd w:val="clear" w:color="auto" w:fill="FFFFFF"/>
        <w:spacing w:after="0" w:line="480" w:lineRule="exact"/>
        <w:jc w:val="center"/>
        <w:rPr>
          <w:rFonts w:ascii="仿宋" w:eastAsia="仿宋" w:hAnsi="仿宋" w:cs="微软雅黑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（2022年1月25日在永济市第七届人民代表大会第二次会议上）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</w:r>
    </w:p>
    <w:p w:rsidR="00B355DB" w:rsidRDefault="008B1A23">
      <w:pPr>
        <w:widowControl w:val="0"/>
        <w:shd w:val="clear" w:color="auto" w:fill="FFFFFF"/>
        <w:spacing w:after="0" w:line="560" w:lineRule="exact"/>
        <w:jc w:val="center"/>
        <w:rPr>
          <w:rFonts w:ascii="楷体" w:eastAsia="楷体" w:hAnsi="楷体" w:cs="微软雅黑"/>
          <w:sz w:val="30"/>
          <w:szCs w:val="30"/>
          <w:shd w:val="clear" w:color="auto" w:fill="FFFFFF"/>
        </w:rPr>
      </w:pPr>
      <w:r>
        <w:rPr>
          <w:rFonts w:ascii="楷体" w:eastAsia="楷体" w:hAnsi="楷体" w:cs="微软雅黑" w:hint="eastAsia"/>
          <w:sz w:val="30"/>
          <w:szCs w:val="30"/>
          <w:shd w:val="clear" w:color="auto" w:fill="FFFFFF"/>
        </w:rPr>
        <w:t>永济市财政局局长  李兴园</w:t>
      </w:r>
    </w:p>
    <w:p w:rsidR="00B355DB" w:rsidRDefault="00B355DB">
      <w:pPr>
        <w:widowControl w:val="0"/>
        <w:shd w:val="clear" w:color="auto" w:fill="FFFFFF"/>
        <w:spacing w:after="0" w:line="440" w:lineRule="exact"/>
        <w:jc w:val="both"/>
        <w:rPr>
          <w:rFonts w:ascii="仿宋" w:eastAsia="仿宋" w:hAnsi="仿宋" w:cs="微软雅黑"/>
          <w:sz w:val="30"/>
          <w:szCs w:val="30"/>
        </w:rPr>
      </w:pPr>
    </w:p>
    <w:p w:rsidR="00B355DB" w:rsidRPr="001C49DB" w:rsidRDefault="008B1A23">
      <w:pPr>
        <w:widowControl w:val="0"/>
        <w:spacing w:after="0" w:line="590" w:lineRule="exact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各位代表：</w:t>
      </w:r>
      <w:r w:rsidRPr="001C49DB">
        <w:rPr>
          <w:rFonts w:ascii="仿宋_GB2312" w:eastAsia="仿宋" w:hAnsi="仿宋_GB2312" w:cs="仿宋_GB2312" w:hint="eastAsia"/>
          <w:sz w:val="32"/>
          <w:szCs w:val="32"/>
          <w:shd w:val="clear" w:color="auto" w:fill="FFFFFF"/>
        </w:rPr>
        <w:t> </w:t>
      </w:r>
    </w:p>
    <w:p w:rsidR="00B355DB" w:rsidRPr="001C49DB" w:rsidRDefault="008B1A23" w:rsidP="001C49DB">
      <w:pPr>
        <w:widowControl w:val="0"/>
        <w:spacing w:after="0" w:line="59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受市人民政府委托，现将我市2021年财政预算执行情况和2022年财政预算草案提请市七届人大二次会议审议，并请市政协各位委员和列席人员提出意见。</w:t>
      </w:r>
    </w:p>
    <w:p w:rsidR="00B355DB" w:rsidRPr="001C49DB" w:rsidRDefault="008B1A23" w:rsidP="001C49DB">
      <w:pPr>
        <w:widowControl w:val="0"/>
        <w:spacing w:after="0" w:line="590" w:lineRule="exact"/>
        <w:ind w:firstLineChars="200" w:firstLine="640"/>
        <w:jc w:val="both"/>
        <w:rPr>
          <w:rFonts w:ascii="黑体" w:eastAsia="黑体" w:hAnsi="黑体" w:cs="微软雅黑"/>
          <w:sz w:val="32"/>
          <w:szCs w:val="32"/>
          <w:shd w:val="clear" w:color="auto" w:fill="FFFFFF"/>
        </w:rPr>
      </w:pPr>
      <w:r w:rsidRPr="001C49DB">
        <w:rPr>
          <w:rFonts w:ascii="黑体" w:eastAsia="黑体" w:hAnsi="黑体" w:cs="微软雅黑" w:hint="eastAsia"/>
          <w:sz w:val="32"/>
          <w:szCs w:val="32"/>
          <w:shd w:val="clear" w:color="auto" w:fill="FFFFFF"/>
        </w:rPr>
        <w:t>一、2021年财政预算执行情况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2021年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在市委的正确领导和市人大、市政协的监督支持下，财税部门</w:t>
      </w:r>
      <w:r w:rsidRPr="001C49DB">
        <w:rPr>
          <w:rFonts w:ascii="仿宋" w:eastAsia="仿宋" w:hAnsi="仿宋" w:cs="仿宋_GB2312" w:hint="eastAsia"/>
          <w:sz w:val="32"/>
          <w:szCs w:val="32"/>
        </w:rPr>
        <w:t>积极面对经济下行压力、新冠疫情、自然灾害带来的挑战，紧紧围绕中心工作，勇于开拓创新，狠抓增收节支，坚持深化财政改革，全面落实“六稳、六保”各项政策，</w:t>
      </w:r>
      <w:r w:rsidRPr="001C49DB">
        <w:rPr>
          <w:rStyle w:val="NormalCharacter"/>
          <w:rFonts w:ascii="仿宋" w:eastAsia="仿宋" w:hAnsi="仿宋" w:cs="仿宋_GB2312" w:hint="eastAsia"/>
          <w:sz w:val="32"/>
          <w:szCs w:val="32"/>
        </w:rPr>
        <w:t>完成了年度目标任务，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有力地支持了全市经济发展。</w:t>
      </w:r>
      <w:r w:rsidRPr="001C49DB">
        <w:rPr>
          <w:rFonts w:ascii="仿宋_GB2312" w:eastAsia="仿宋" w:hAnsi="仿宋_GB2312" w:cs="仿宋_GB2312" w:hint="eastAsia"/>
          <w:sz w:val="32"/>
          <w:szCs w:val="32"/>
          <w:shd w:val="clear" w:color="auto" w:fill="FFFFFF"/>
        </w:rPr>
        <w:t> </w:t>
      </w:r>
    </w:p>
    <w:p w:rsidR="00B355DB" w:rsidRPr="001C49DB" w:rsidRDefault="008B1A23">
      <w:pPr>
        <w:widowControl w:val="0"/>
        <w:spacing w:after="0" w:line="590" w:lineRule="exact"/>
        <w:jc w:val="both"/>
        <w:rPr>
          <w:rFonts w:ascii="仿宋" w:eastAsia="仿宋" w:hAnsi="仿宋" w:cs="楷体_GB2312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楷体_GB2312" w:hint="eastAsia"/>
          <w:sz w:val="32"/>
          <w:szCs w:val="32"/>
          <w:shd w:val="clear" w:color="auto" w:fill="FFFFFF"/>
        </w:rPr>
        <w:t xml:space="preserve">    </w:t>
      </w:r>
      <w:r w:rsidRPr="001C49DB">
        <w:rPr>
          <w:rFonts w:ascii="仿宋" w:eastAsia="仿宋" w:hAnsi="仿宋" w:cs="楷体_GB2312" w:hint="eastAsia"/>
          <w:sz w:val="32"/>
          <w:szCs w:val="32"/>
        </w:rPr>
        <w:t>（一）</w:t>
      </w:r>
      <w:r w:rsidRPr="001C49DB">
        <w:rPr>
          <w:rFonts w:ascii="仿宋" w:eastAsia="仿宋" w:hAnsi="仿宋" w:cs="楷体_GB2312" w:hint="eastAsia"/>
          <w:sz w:val="32"/>
          <w:szCs w:val="32"/>
          <w:shd w:val="clear" w:color="auto" w:fill="FFFFFF"/>
        </w:rPr>
        <w:t>一般公共预算执行情况</w:t>
      </w:r>
    </w:p>
    <w:p w:rsidR="00B355DB" w:rsidRPr="001C49DB" w:rsidRDefault="008B1A23" w:rsidP="001C49DB">
      <w:pPr>
        <w:widowControl w:val="0"/>
        <w:numPr>
          <w:ilvl w:val="0"/>
          <w:numId w:val="1"/>
        </w:numPr>
        <w:spacing w:after="0" w:line="590" w:lineRule="exact"/>
        <w:ind w:firstLineChars="200" w:firstLine="643"/>
        <w:jc w:val="both"/>
        <w:rPr>
          <w:rFonts w:ascii="仿宋" w:eastAsia="仿宋" w:hAnsi="仿宋" w:cs="仿宋_GB2312"/>
          <w:b/>
          <w:bCs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预算调整变动情况</w:t>
      </w:r>
    </w:p>
    <w:p w:rsidR="00B355DB" w:rsidRPr="001C49DB" w:rsidRDefault="008B1A23" w:rsidP="001C49DB">
      <w:pPr>
        <w:widowControl w:val="0"/>
        <w:spacing w:after="0" w:line="590" w:lineRule="exact"/>
        <w:ind w:firstLineChars="200" w:firstLine="640"/>
        <w:jc w:val="both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市七届人大一次会议批准的一般公共预算收入为53162万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lastRenderedPageBreak/>
        <w:t>元，支出预算为226478万元，争取均衡性转移支付财力、县级基本财力保障奖补资金增加10564万元，上级补助和专项转移支付、调入资金、各类结算事项等增加49205万元，新增地方政府债券收入14000万元，总支出预算调整为300247万元。</w:t>
      </w:r>
    </w:p>
    <w:p w:rsidR="00B355DB" w:rsidRPr="001C49DB" w:rsidRDefault="008B1A23" w:rsidP="001C49DB">
      <w:pPr>
        <w:widowControl w:val="0"/>
        <w:numPr>
          <w:ilvl w:val="0"/>
          <w:numId w:val="1"/>
        </w:numPr>
        <w:spacing w:after="0" w:line="580" w:lineRule="exact"/>
        <w:ind w:firstLineChars="200" w:firstLine="643"/>
        <w:jc w:val="both"/>
        <w:rPr>
          <w:rFonts w:ascii="仿宋" w:eastAsia="仿宋" w:hAnsi="仿宋" w:cs="仿宋_GB2312"/>
          <w:b/>
          <w:bCs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预算执行情况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2021年全市财政总收入完成82609万元,比上年增长0.9%。其中一般公共预算收入53754万元,占预算101.1%，比上年增长7.2%。分部门完成情况是：税务部门30025万元,比上年下降1.6%；财政部门23729万元，比上年增长20.8%。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2021年一般公共预算支出275624万元，占调整预算91.8%,比上年下降7.5%，主要原因是2020年上级下达特殊转移支付资金1.6亿元及2021年取消权责发生制列支。主要项目执行情况是：一般公共服务30702万元,占调整预算99.8%，比上年增长18.2%；公共安全支出8461万元，占调整预算95.3%,比上年下降14.9%；教育支出68255万元,占调整预算95.7%,比上年增长6.2%；科学技术支出1883万元,占调整预算100%,比上年增长52.7%；文化旅游体育与传媒11288万元,占调整预算96.9%，比上年下降41.1%；社会保障和就业42465万元,占调整预算98.8%,比上年增长15.8%；卫生健康支出24516万元,占调整预算96.3%,比上年增长2.7%;节能环保支出8439万元，占调整预算71.9%，比上年下降58.1%；城乡社区事务15555万元，占调整预算99.6%，比上年下降32.4%；农林水支出35314万元，占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lastRenderedPageBreak/>
        <w:t>调整预算74.7%，比上年下降14.9%；交通运输支出12563万元，占调整预算84.5%，比上年下降7%；资源勘探信息等支出4011万元，占调整预算98.6%，比上年下降53.3%；住房保障支出2596万元，占调整预算72.9%，比上年增长131.6%；债务付息支出2093万元，占调整预算100%，比上年增长11.6%。</w:t>
      </w:r>
    </w:p>
    <w:p w:rsidR="00B355DB" w:rsidRPr="001C49DB" w:rsidRDefault="008B1A23" w:rsidP="001C49DB">
      <w:pPr>
        <w:widowControl w:val="0"/>
        <w:numPr>
          <w:ilvl w:val="0"/>
          <w:numId w:val="1"/>
        </w:numPr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bCs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预算执行结果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color w:val="FF0000"/>
          <w:sz w:val="32"/>
          <w:szCs w:val="32"/>
          <w:shd w:val="clear" w:color="FFFFFF" w:fill="D9D9D9"/>
        </w:rPr>
      </w:pP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2021年预算执行结果为：(1)市级收入财力53754万元;(2)返还性收入1604万元</w:t>
      </w:r>
      <w:r w:rsidRPr="001C49DB">
        <w:rPr>
          <w:rFonts w:ascii="仿宋" w:eastAsia="仿宋" w:hAnsi="仿宋" w:cs="仿宋_GB2312" w:hint="eastAsia"/>
          <w:sz w:val="32"/>
          <w:szCs w:val="32"/>
        </w:rPr>
        <w:t>；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(3)均衡性转移支付补助99883万元；(4)县级基本财力保障奖补资金18660万元;(5)重点生态功能区转移支付558万元；(6)产粮（油）大县奖励2296万元；(7)政府债券收入21600万元（其中：新增一般债券14000万元，再融资债券7600万元）；(8)调入资金9067万元（国有资本经营调入3万元，其他调入9064万元）；(9)动用预算稳定调节基金7269万元；(10)上级专项补助81539万元（其中：一般转移支付57526万元，专项转移支付24013万元）；(11)各项结算补助4809万元；(12)固定数额补助17232万元；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(13)上解上级支出13248万元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（省直管县基数上解10064万元、出口退税上解3万元、对口援疆上解75万元、法检两院上划1893万元、企业职工基本养老保险基金清算扣减220万元、医疗卫生领域财政事权和支出责任划分上解301万元、 2019-2020年环境空气质量奖80</w:t>
      </w:r>
      <w:r w:rsidR="000D7784">
        <w:rPr>
          <w:rFonts w:ascii="仿宋" w:eastAsia="仿宋" w:hAnsi="仿宋" w:cs="仿宋_GB2312" w:hint="eastAsia"/>
          <w:color w:val="000000"/>
          <w:sz w:val="32"/>
          <w:szCs w:val="32"/>
        </w:rPr>
        <w:t>万元、增值税留抵退税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县级分担20%计428万元、可再生能源电价附加增值税返还资金地方扣款23万元、公共文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lastRenderedPageBreak/>
        <w:t>化基数划转22万元、其他划转299万元）。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(14)上年结转3631万</w:t>
      </w:r>
      <w:bookmarkStart w:id="0" w:name="_GoBack"/>
      <w:bookmarkEnd w:id="0"/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元。(15)债务还本支出7600万元。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以上总财力301054万元，支出执行275624万元，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结转下年支出24623万元，安排预算稳定调节基金807万元。</w:t>
      </w:r>
    </w:p>
    <w:p w:rsidR="00B355DB" w:rsidRPr="001C49DB" w:rsidRDefault="008B1A23">
      <w:pPr>
        <w:widowControl w:val="0"/>
        <w:spacing w:after="0" w:line="560" w:lineRule="exact"/>
        <w:jc w:val="both"/>
        <w:rPr>
          <w:rFonts w:ascii="仿宋" w:eastAsia="仿宋" w:hAnsi="仿宋" w:cs="楷体_GB2312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楷体_GB2312" w:hint="eastAsia"/>
          <w:sz w:val="32"/>
          <w:szCs w:val="32"/>
          <w:shd w:val="clear" w:color="auto" w:fill="FFFFFF"/>
        </w:rPr>
        <w:t xml:space="preserve">    （二）政府性基金执行情况</w:t>
      </w:r>
    </w:p>
    <w:p w:rsidR="00B355DB" w:rsidRPr="001C49DB" w:rsidRDefault="008B1A23" w:rsidP="001C49DB">
      <w:pPr>
        <w:widowControl w:val="0"/>
        <w:numPr>
          <w:ilvl w:val="0"/>
          <w:numId w:val="2"/>
        </w:numPr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bCs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政府性基金收入完成情况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政府性基金收入完成23055万元，占预算66.3%，比上年下降46.5%。其中：国有土地使用权出让收入18994万元,占预算63.3%，比上年下降45.3%；国有土地收益基金收入1025万元，占预算51.3%，比上年下降75.8%；农业土地开发资金收入174万元，占预算108.8%，比上年下降70.9%；城市基础设施配套费收入1836万元，占预算91.8%，比上年下降36%；污水处理费收入756万元，占预算126%，比上年增长15.4%;其他政府性基金收入270万元，主要是蒲坂城市建设投资集团有限公司偿还专项债券利息。</w:t>
      </w:r>
    </w:p>
    <w:p w:rsidR="00B355DB" w:rsidRPr="001C49DB" w:rsidRDefault="008B1A23" w:rsidP="001C49DB">
      <w:pPr>
        <w:widowControl w:val="0"/>
        <w:numPr>
          <w:ilvl w:val="0"/>
          <w:numId w:val="2"/>
        </w:numPr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bCs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政府性基金预算支出执行情况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政府性基金预算支出52954万元，占调整预算86.8%，比上年增长13.6%。主要支出项目是：文化旅游与体育传媒支出-19万元，比上年下降138.8%，主要是上级扣回以前年度指标。社会保障和就业支出2326万元，比上年增长13.5%。城乡社区支出27315万元，比上年下降3.8%，其中：国有土地使用权出让收入安排的支出21768万元，比上年下降5.7%；农业土地开发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lastRenderedPageBreak/>
        <w:t>资金支出318万元，比上年增长114.9%；国有土地收益基金支出2079万元，比上年下降34.3%；城市基础设施配套费支出2574万元，比上年增长100.5%；污水处理费支出576万元，比上年下降20.8%。农林水支出932万元，占预算调整30.2%。其他支出20499万元，比上年增长116.4%。债务付息支出1881万元，比上年增长14.5%。</w:t>
      </w:r>
    </w:p>
    <w:p w:rsidR="00B355DB" w:rsidRPr="001C49DB" w:rsidRDefault="008B1A23" w:rsidP="001C49DB">
      <w:pPr>
        <w:widowControl w:val="0"/>
        <w:numPr>
          <w:ilvl w:val="0"/>
          <w:numId w:val="2"/>
        </w:numPr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bCs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政府性基金预算执行结果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政府性基金收入23055万元，上年结余12742万元，上级专项补助8645万元，地方政府专项债务转贷收入24600万元（其中：新增专项债券23600万元、再融资债券1000万元），政府性基金支出52954万元，债务还本支出8000万元，结转下年8088万元。</w:t>
      </w:r>
    </w:p>
    <w:p w:rsidR="00B355DB" w:rsidRPr="001C49DB" w:rsidRDefault="008B1A23">
      <w:pPr>
        <w:widowControl w:val="0"/>
        <w:spacing w:after="0" w:line="560" w:lineRule="exact"/>
        <w:jc w:val="both"/>
        <w:rPr>
          <w:rFonts w:ascii="仿宋" w:eastAsia="仿宋" w:hAnsi="仿宋" w:cs="楷体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 xml:space="preserve">   </w:t>
      </w:r>
      <w:r w:rsidRPr="001C49DB">
        <w:rPr>
          <w:rFonts w:ascii="仿宋" w:eastAsia="仿宋" w:hAnsi="仿宋" w:cs="楷体" w:hint="eastAsia"/>
          <w:sz w:val="32"/>
          <w:szCs w:val="32"/>
          <w:shd w:val="clear" w:color="auto" w:fill="FFFFFF"/>
        </w:rPr>
        <w:t xml:space="preserve"> （三）社保基金预算执行情况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2021社保基金上年结余36673万元，收入54609万元，支出42050万元，结余49232万元。其中：机关事业单位基本养老保险基金上年结余2140万元，收入31686万元，支出 31045万元，结余2781万元；城乡居民基本养老保险基金上年结余34533万元，收入17013万元，支出 9763万元，结余 41783万元；城乡居民补充养老保险基金收入5910万元，支出1242万元，结余4668万元。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微软雅黑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楷体_GB2312" w:hint="eastAsia"/>
          <w:sz w:val="32"/>
          <w:szCs w:val="32"/>
          <w:shd w:val="clear" w:color="auto" w:fill="FFFFFF"/>
        </w:rPr>
        <w:t>（四）国有资本经营情况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bCs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1、国有资本经营收支情况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52"/>
        <w:jc w:val="both"/>
        <w:rPr>
          <w:rFonts w:ascii="仿宋" w:eastAsia="仿宋" w:hAnsi="仿宋" w:cs="仿宋_GB2312"/>
          <w:spacing w:val="6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spacing w:val="6"/>
          <w:sz w:val="32"/>
          <w:szCs w:val="32"/>
          <w:shd w:val="clear" w:color="auto" w:fill="FFFFFF"/>
        </w:rPr>
        <w:t>2021年国有资本经营预算收入3万元，上级补助收入-</w:t>
      </w:r>
      <w:r w:rsidRPr="001C49DB">
        <w:rPr>
          <w:rFonts w:ascii="仿宋" w:eastAsia="仿宋" w:hAnsi="仿宋" w:cs="仿宋_GB2312" w:hint="eastAsia"/>
          <w:spacing w:val="6"/>
          <w:sz w:val="32"/>
          <w:szCs w:val="32"/>
          <w:shd w:val="clear" w:color="auto" w:fill="FFFFFF"/>
        </w:rPr>
        <w:lastRenderedPageBreak/>
        <w:t>2312万元（主要是2021年12月31日上级“三供一业”资金清算扣回3056万元），支出-2827万元，调入一般公共预算3万元，结转下年515万元。</w:t>
      </w:r>
    </w:p>
    <w:p w:rsidR="00B355DB" w:rsidRPr="001C49DB" w:rsidRDefault="008B1A23" w:rsidP="001C49DB">
      <w:pPr>
        <w:widowControl w:val="0"/>
        <w:numPr>
          <w:ilvl w:val="0"/>
          <w:numId w:val="3"/>
        </w:numPr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bCs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国有及国有控股企业盈亏情况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经过企业改制,2021年末,我市政府职能部门出资且正常运营的国有及国有控股企业共11户,其中：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盈利企业</w:t>
      </w:r>
      <w:r w:rsidRPr="001C49DB">
        <w:rPr>
          <w:rFonts w:ascii="仿宋" w:eastAsia="仿宋" w:hAnsi="仿宋" w:cs="仿宋_GB2312" w:hint="eastAsia"/>
          <w:bCs/>
          <w:sz w:val="32"/>
          <w:szCs w:val="32"/>
        </w:rPr>
        <w:t>3</w:t>
      </w:r>
      <w:r w:rsidRPr="001C49DB">
        <w:rPr>
          <w:rFonts w:ascii="仿宋" w:eastAsia="仿宋" w:hAnsi="仿宋" w:cs="仿宋_GB2312" w:hint="eastAsia"/>
          <w:sz w:val="32"/>
          <w:szCs w:val="32"/>
        </w:rPr>
        <w:t>户,盈利额1049.49万元，主要是蒲坂城市建设投资集团有限公司846.54万元，市政工程公司44.42万元，视佳广播电视网络</w:t>
      </w:r>
      <w:r w:rsidRPr="001C49DB">
        <w:rPr>
          <w:rFonts w:ascii="仿宋" w:eastAsia="仿宋" w:hAnsi="仿宋" w:cs="仿宋_GB2312" w:hint="eastAsia"/>
          <w:spacing w:val="1"/>
          <w:sz w:val="32"/>
          <w:szCs w:val="32"/>
        </w:rPr>
        <w:t>传输有限公司158.53万元；</w:t>
      </w:r>
      <w:r w:rsidRPr="001C49DB">
        <w:rPr>
          <w:rFonts w:ascii="仿宋" w:eastAsia="仿宋" w:hAnsi="仿宋" w:cs="仿宋_GB2312" w:hint="eastAsia"/>
          <w:b/>
          <w:spacing w:val="1"/>
          <w:sz w:val="32"/>
          <w:szCs w:val="32"/>
        </w:rPr>
        <w:t>亏损企业</w:t>
      </w:r>
      <w:r w:rsidRPr="001C49DB">
        <w:rPr>
          <w:rFonts w:ascii="仿宋" w:eastAsia="仿宋" w:hAnsi="仿宋" w:cs="仿宋_GB2312" w:hint="eastAsia"/>
          <w:bCs/>
          <w:spacing w:val="1"/>
          <w:sz w:val="32"/>
          <w:szCs w:val="32"/>
        </w:rPr>
        <w:t>8</w:t>
      </w:r>
      <w:r w:rsidRPr="001C49DB">
        <w:rPr>
          <w:rFonts w:ascii="仿宋" w:eastAsia="仿宋" w:hAnsi="仿宋" w:cs="仿宋_GB2312" w:hint="eastAsia"/>
          <w:spacing w:val="1"/>
          <w:sz w:val="32"/>
          <w:szCs w:val="32"/>
        </w:rPr>
        <w:t>户,亏损额1731.01万元,主要是新纪元商业集团有限公司-242.42万元，粟济储备粮有限公司-0.17万</w:t>
      </w:r>
      <w:r w:rsidRPr="001C49DB">
        <w:rPr>
          <w:rFonts w:ascii="仿宋" w:eastAsia="仿宋" w:hAnsi="仿宋" w:cs="仿宋_GB2312" w:hint="eastAsia"/>
          <w:spacing w:val="5"/>
          <w:sz w:val="32"/>
          <w:szCs w:val="32"/>
        </w:rPr>
        <w:t>元，军粮供应有限公司-0.48万元，山西鹳雀楼旅游集团有限公司</w:t>
      </w:r>
      <w:r w:rsidRPr="001C49DB">
        <w:rPr>
          <w:rFonts w:ascii="仿宋" w:eastAsia="仿宋" w:hAnsi="仿宋" w:cs="仿宋_GB2312" w:hint="eastAsia"/>
          <w:sz w:val="32"/>
          <w:szCs w:val="32"/>
        </w:rPr>
        <w:t>-35.8万元,山西鹳雀楼集团永济五老峰旅游有限公司-322.31万元，普救寺旅游有限公司-747.16万元，供热服务中心-204.46万元，经济技术开发区实业发展有限责任公司-178.21万元。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各位代表，2021年面对复杂经济形势、疫情持续影响及其他突发事件，财税部门多措并举</w:t>
      </w:r>
      <w:r w:rsidRPr="001C49DB">
        <w:rPr>
          <w:rFonts w:ascii="仿宋" w:eastAsia="仿宋" w:hAnsi="仿宋" w:cs="仿宋_GB2312" w:hint="eastAsia"/>
          <w:sz w:val="32"/>
          <w:szCs w:val="32"/>
        </w:rPr>
        <w:t>抓收入，积极向上争资金，严格管理控支出，统筹财力保民生，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为全市各项工作任务圆满完成提供了有力的资金保障。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color w:val="000000"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bCs/>
          <w:sz w:val="32"/>
          <w:szCs w:val="32"/>
        </w:rPr>
        <w:t>——积极争取资金，提升财政保障能力。</w:t>
      </w:r>
      <w:r w:rsidRPr="001C49DB">
        <w:rPr>
          <w:rFonts w:ascii="仿宋" w:eastAsia="仿宋" w:hAnsi="仿宋" w:cs="仿宋_GB2312" w:hint="eastAsia"/>
          <w:sz w:val="32"/>
          <w:szCs w:val="32"/>
        </w:rPr>
        <w:t>一是多次向省财政厅</w:t>
      </w:r>
      <w:r w:rsidRPr="001C49DB">
        <w:rPr>
          <w:rFonts w:ascii="仿宋" w:eastAsia="仿宋" w:hAnsi="仿宋" w:cs="仿宋_GB2312" w:hint="eastAsia"/>
          <w:spacing w:val="-12"/>
          <w:sz w:val="32"/>
          <w:szCs w:val="32"/>
        </w:rPr>
        <w:t>汇报了我市财政运行及面临的困难，取得了上级的大力支持。</w:t>
      </w:r>
      <w:r w:rsidRPr="001C49DB">
        <w:rPr>
          <w:rFonts w:ascii="仿宋" w:eastAsia="仿宋" w:hAnsi="仿宋" w:cs="仿宋_GB2312" w:hint="eastAsia"/>
          <w:sz w:val="32"/>
          <w:szCs w:val="32"/>
        </w:rPr>
        <w:t>下达我市均衡性转移支付92036万元，比年初增加6245万元；县级基本财力保障机制奖补资金18660万元，比年初增加4319</w:t>
      </w:r>
      <w:r w:rsidRPr="001C49DB">
        <w:rPr>
          <w:rFonts w:ascii="仿宋" w:eastAsia="仿宋" w:hAnsi="仿宋" w:cs="仿宋_GB2312" w:hint="eastAsia"/>
          <w:sz w:val="32"/>
          <w:szCs w:val="32"/>
        </w:rPr>
        <w:lastRenderedPageBreak/>
        <w:t>万元；县级增收返还奖励资金及其他财力增加4594万元；新增政府债券资金37600万元，为我市经济良好运行提供了财力保障。二是根据向上争取资金考核方案，对相关单位全年的项目申报及上级资金到位情况进行统计，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35个被考核单位共向上争取资金111302.48万元，完成年度任务120.4%。 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——关注三农工作，大力支持乡村振兴。</w:t>
      </w:r>
      <w:r w:rsidRPr="001C49DB">
        <w:rPr>
          <w:rFonts w:ascii="仿宋" w:eastAsia="仿宋" w:hAnsi="仿宋" w:cs="仿宋_GB2312" w:hint="eastAsia"/>
          <w:sz w:val="32"/>
          <w:szCs w:val="32"/>
        </w:rPr>
        <w:t>财政加大支持脱贫攻坚同乡村振兴有效衔接，积极整合基层设施建设、产业发展等农业类资金，在乡村振兴方面投入71430万元，比上年增长19.09%。因地制宜发展农业产业，有效激发乡村振兴的内生动力，不断推进农村人居环境整治，形成绿色生产生活方式，让农民精神文化层面越来越丰盈、农业生产越来越发展、农村环境越来越美丽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bCs/>
          <w:sz w:val="32"/>
          <w:szCs w:val="32"/>
        </w:rPr>
        <w:t>——增进民生福祉，不断提升幸福质感。</w:t>
      </w:r>
      <w:r w:rsidRPr="001C49DB">
        <w:rPr>
          <w:rFonts w:ascii="仿宋" w:eastAsia="仿宋" w:hAnsi="仿宋" w:cs="仿宋_GB2312" w:hint="eastAsia"/>
          <w:sz w:val="32"/>
          <w:szCs w:val="32"/>
        </w:rPr>
        <w:t>一是优先保证个人部分支出，全年个人部分达11.1亿元，比上年增长5.7%；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二是支持教育事业发展。认真落实各项教育优惠政策，全年教育投入68255万元，重点安排宗元小学和幼儿园建设、智慧教育等民生工程；</w:t>
      </w:r>
      <w:r w:rsidRPr="001C49DB">
        <w:rPr>
          <w:rFonts w:ascii="仿宋" w:eastAsia="仿宋" w:hAnsi="仿宋" w:cs="仿宋_GB2312" w:hint="eastAsia"/>
          <w:sz w:val="32"/>
          <w:szCs w:val="32"/>
        </w:rPr>
        <w:t xml:space="preserve">三是不断提升医疗卫生水平及社会保障能力。积极筹集资金，拨付疫苗接种费用、核酸检测材料储备等资金2258万元；四是加大应急经费投入。拨付雨涝灾害、民兵应急队伍装备购置等1016万元；五是注重保障群众精神文化方面的需求。全年文化旅游体育支出11288万元，完善基层文化服务体系，加强全面健身基础设施方面的投入，推进我市全域旅游高质量发展。 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color w:val="000000"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bCs/>
          <w:sz w:val="32"/>
          <w:szCs w:val="32"/>
        </w:rPr>
        <w:lastRenderedPageBreak/>
        <w:t>——深化财政改革</w:t>
      </w:r>
      <w:r w:rsidRPr="001C49DB">
        <w:rPr>
          <w:rFonts w:ascii="仿宋" w:eastAsia="仿宋" w:hAnsi="仿宋" w:cs="仿宋_GB2312" w:hint="eastAsia"/>
          <w:b/>
          <w:bCs/>
          <w:kern w:val="2"/>
          <w:sz w:val="32"/>
          <w:szCs w:val="32"/>
        </w:rPr>
        <w:t>，提升财政管理水平。</w:t>
      </w:r>
      <w:r w:rsidRPr="001C49DB">
        <w:rPr>
          <w:rFonts w:ascii="仿宋" w:eastAsia="仿宋" w:hAnsi="仿宋" w:cs="仿宋_GB2312" w:hint="eastAsia"/>
          <w:sz w:val="32"/>
          <w:szCs w:val="32"/>
        </w:rPr>
        <w:t>一是通过预算管理一体化系统，强化项目储备、细化预算编制，不断推进预算科学化、精细化管理；二是充分发挥部门监督管理职能，稳步推进政府采购工作。全年共完成政府采购1442 笔，采购资金10.3亿元，节约资金6897.3万元；三是发挥财政评审职能，提高资金使用效益。全年共评审265个项目，送审金额12.97亿元，审定金额10.9亿元，审减金额2.07亿元，审减率15.96%；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  <w:lang w:val="zh-CN"/>
        </w:rPr>
        <w:t>四是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全面实施预算绩效管理。全年纳入绩效目标管理的项目共811个金额20.2亿元，其中财政重点绩效项目16个金额4.2亿元。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——加强债务管理，严控财政资金风险。</w:t>
      </w:r>
      <w:r w:rsidRPr="001C49DB">
        <w:rPr>
          <w:rFonts w:ascii="仿宋" w:eastAsia="仿宋" w:hAnsi="仿宋" w:cs="仿宋_GB2312" w:hint="eastAsia"/>
          <w:bCs/>
          <w:color w:val="000000"/>
          <w:sz w:val="32"/>
          <w:szCs w:val="32"/>
          <w:lang w:val="zh-CN"/>
        </w:rPr>
        <w:t>一</w:t>
      </w:r>
      <w:r w:rsidRPr="001C49DB">
        <w:rPr>
          <w:rFonts w:ascii="仿宋" w:eastAsia="仿宋" w:hAnsi="仿宋" w:cs="仿宋_GB2312" w:hint="eastAsia"/>
          <w:bCs/>
          <w:color w:val="000000"/>
          <w:kern w:val="2"/>
          <w:sz w:val="32"/>
          <w:szCs w:val="32"/>
        </w:rPr>
        <w:t>是防范化解政府债务风险，强化底线思维，做好政府债务管理工作。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我市政府性债务</w:t>
      </w:r>
      <w:r w:rsidRPr="001C49DB">
        <w:rPr>
          <w:rFonts w:ascii="仿宋" w:eastAsia="仿宋" w:hAnsi="仿宋" w:cs="仿宋_GB2312" w:hint="eastAsia"/>
          <w:sz w:val="32"/>
          <w:szCs w:val="32"/>
        </w:rPr>
        <w:t>余额14.19亿元，未超政府债务限额15.74亿元。按期偿还到期的政府性债务本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息，偿还地方政府债券本金15600万元，利息3973.3万元，合计19573.3万元；</w:t>
      </w:r>
      <w:r w:rsidRPr="001C49DB">
        <w:rPr>
          <w:rFonts w:ascii="仿宋" w:eastAsia="仿宋" w:hAnsi="仿宋" w:cs="仿宋_GB2312" w:hint="eastAsia"/>
          <w:sz w:val="32"/>
          <w:szCs w:val="32"/>
        </w:rPr>
        <w:t>二是及时对政府债务及隐性债务进行监测，加强风险监控及预警；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三是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严格财政暂付款管理，消化财政暂付款1004万元，完成年度化解任务。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2021年，我们在争取资金、保障民生、支持经济发展等方面取得了成绩，</w:t>
      </w:r>
      <w:r w:rsidRPr="001C49DB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但还存在一些困难和问题：</w:t>
      </w:r>
      <w:r w:rsidRPr="001C49DB">
        <w:rPr>
          <w:rFonts w:ascii="仿宋" w:eastAsia="仿宋" w:hAnsi="仿宋" w:cs="仿宋_GB2312" w:hint="eastAsia"/>
          <w:spacing w:val="4"/>
          <w:sz w:val="32"/>
          <w:szCs w:val="32"/>
        </w:rPr>
        <w:t>一是重点税源企业增收乏力，新招商企业短期内不能达产增效，非税收入在一般公共预算收入中占比较大；二是保工资、保运转、保民生等刚性支出需求不断增加，财政平衡压力很大；三是</w:t>
      </w:r>
      <w:r w:rsidRPr="001C49DB">
        <w:rPr>
          <w:rFonts w:ascii="仿宋" w:eastAsia="仿宋" w:hAnsi="仿宋" w:cs="仿宋_GB2312" w:hint="eastAsia"/>
          <w:sz w:val="32"/>
          <w:szCs w:val="32"/>
        </w:rPr>
        <w:t>地方政府性债务已到还贷高峰期，财政还款压力逐年增加；四是部分</w:t>
      </w:r>
      <w:r w:rsidRPr="001C49DB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部门过</w:t>
      </w:r>
      <w:r w:rsidRPr="001C49DB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lastRenderedPageBreak/>
        <w:t>“紧日子”意识不强，绩效管理理念不够深入。</w:t>
      </w:r>
      <w:r w:rsidRPr="001C49DB">
        <w:rPr>
          <w:rFonts w:ascii="仿宋" w:eastAsia="仿宋" w:hAnsi="仿宋" w:cs="仿宋_GB2312" w:hint="eastAsia"/>
          <w:sz w:val="32"/>
          <w:szCs w:val="32"/>
        </w:rPr>
        <w:t>对此，我们高度重视，积极应对，切实采取有效措施加以解决。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1C49DB">
        <w:rPr>
          <w:rFonts w:ascii="黑体" w:eastAsia="黑体" w:hAnsi="黑体" w:hint="eastAsia"/>
          <w:sz w:val="32"/>
          <w:szCs w:val="32"/>
        </w:rPr>
        <w:t>二、2022年财政预算草案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2022年是迎接党的二十大召开之年，是实施“十四五”规划的关键之年，编制好今年的财政收支预算，对促进全市经济发展和各项事业进步，具有十分重要的意义。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楷体"/>
          <w:sz w:val="32"/>
          <w:szCs w:val="32"/>
        </w:rPr>
      </w:pPr>
      <w:r w:rsidRPr="001C49DB">
        <w:rPr>
          <w:rFonts w:ascii="仿宋" w:eastAsia="仿宋" w:hAnsi="仿宋" w:cs="楷体" w:hint="eastAsia"/>
          <w:sz w:val="32"/>
          <w:szCs w:val="32"/>
        </w:rPr>
        <w:t>（一）一般公共收支预算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1、收入预算预测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根据省市财政部门初步测算的收入预算并考虑我市实际情况，一般公共预算收入按56980万元预测，比上年增长6%。分征收部门收入预测:税务部门34500万元，比上年增长14.9%；财政部门22480万元，比上年下降5.3%。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2、财力测算情况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根据运城市下达的收入计划及已明确的财政体制，财力测算情况是：(1)市级收入财力56980万元;(2)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返还性收入1604万元；</w:t>
      </w:r>
      <w:r w:rsidRPr="001C49DB">
        <w:rPr>
          <w:rFonts w:ascii="仿宋" w:eastAsia="仿宋" w:hAnsi="仿宋" w:cs="仿宋_GB2312" w:hint="eastAsia"/>
          <w:sz w:val="32"/>
          <w:szCs w:val="32"/>
        </w:rPr>
        <w:t>(3)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均衡性转移支付奖补资金98415万元；</w:t>
      </w:r>
      <w:r w:rsidRPr="001C49DB">
        <w:rPr>
          <w:rFonts w:ascii="仿宋" w:eastAsia="仿宋" w:hAnsi="仿宋" w:cs="仿宋_GB2312" w:hint="eastAsia"/>
          <w:sz w:val="32"/>
          <w:szCs w:val="32"/>
        </w:rPr>
        <w:t>(4)县级基本财力保障奖补资金16634万元;(5)中央重点生态功能区转移支付298万元；(6)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固定数额补助16995万元；</w:t>
      </w:r>
      <w:r w:rsidRPr="001C49DB">
        <w:rPr>
          <w:rFonts w:ascii="仿宋" w:eastAsia="仿宋" w:hAnsi="仿宋" w:cs="仿宋_GB2312" w:hint="eastAsia"/>
          <w:sz w:val="32"/>
          <w:szCs w:val="32"/>
        </w:rPr>
        <w:t>(7)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各项结算扣减5321万元（其中定额上解390万元、法检两院上划1893万元、生态环境局上划2264万元、清算2020年北方地区冬季取暖试点城市专项扣减2960.05万元、税务经费下划673万元、其他结算1513万元）；</w:t>
      </w:r>
      <w:r w:rsidRPr="001C49DB">
        <w:rPr>
          <w:rFonts w:ascii="仿宋" w:eastAsia="仿宋" w:hAnsi="仿宋" w:cs="仿宋_GB2312" w:hint="eastAsia"/>
          <w:sz w:val="32"/>
          <w:szCs w:val="32"/>
        </w:rPr>
        <w:t>(8)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各项上解10753万元（其中：体制直管县基数上解10064万元、出口退税上解3万元、对口援疆上解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lastRenderedPageBreak/>
        <w:t>80万元、医疗卫生领域财政事权和支出责任划分上解301万元、公共文化基数划转11万元、其他划转294万元）；</w:t>
      </w:r>
      <w:r w:rsidRPr="001C49DB">
        <w:rPr>
          <w:rFonts w:ascii="仿宋" w:eastAsia="仿宋" w:hAnsi="仿宋" w:cs="仿宋_GB2312" w:hint="eastAsia"/>
          <w:sz w:val="32"/>
          <w:szCs w:val="32"/>
        </w:rPr>
        <w:t>(9)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调入稳定调节基金807万元；(10)提前下达公安、教育、社保、卫生等一般转移支付55083万元，专项转移支付补助3608万元，共计58691万元；(11)上年结转24623万元；(12)新增政府债券收入5600万元；(13)地方政府债务还本支出2000万元，拟通过再融资解决。以上总财力264573万元，其中：上级资金58691万元，上年结转24623万元，新增政府债券收入5600万元，可用财力为175659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bCs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bCs/>
          <w:sz w:val="32"/>
          <w:szCs w:val="32"/>
        </w:rPr>
        <w:t>3、支出预算安排意见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2022年财政工作指导思想：</w:t>
      </w:r>
      <w:r w:rsidRPr="001C49DB">
        <w:rPr>
          <w:rFonts w:ascii="仿宋" w:eastAsia="仿宋" w:hAnsi="仿宋" w:hint="eastAsia"/>
          <w:sz w:val="32"/>
          <w:szCs w:val="32"/>
        </w:rPr>
        <w:t>根据中央、省、市财政工作会议精神，准确把握稳字当头、稳中求进的要求，落实好积极的财政政策。收入预算坚持实事求是、科学预测。支出预算要优化支出重点和结构，坚持有保有压，强化大事要事财力保障。全面实施零基预算，打破基数概念和支出固化格局，加强预算管理，加快支出进度。统筹疫情防控和经济社会发展，统筹发展和安全，继续做好“六稳”、“六保”工作，持续改善民生。</w:t>
      </w:r>
    </w:p>
    <w:p w:rsidR="00B355DB" w:rsidRPr="001C49DB" w:rsidRDefault="008B1A23" w:rsidP="001C49DB">
      <w:pPr>
        <w:pStyle w:val="a4"/>
        <w:adjustRightInd w:val="0"/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预算编制原则：</w:t>
      </w:r>
      <w:r w:rsidRPr="001C49DB">
        <w:rPr>
          <w:rFonts w:ascii="仿宋" w:eastAsia="仿宋" w:hAnsi="仿宋" w:cs="黑体" w:hint="eastAsia"/>
          <w:sz w:val="32"/>
          <w:szCs w:val="32"/>
        </w:rPr>
        <w:t>“统筹兼顾、勤俭节约、量力而行、讲求绩效和收支平衡”的原则。一是兜牢“三保”底线的基础上，优先安排还本付息、暂付款及中长期支出事项等其他刚性支出；二是加大对教育、社会保障、卫生健康、文化体育事业等方面投入；三是保障农业农村优先发展，加快推进农业农村现代化；四是政府带头过“紧日子”，继续压减非急需、非刚性支出和</w:t>
      </w:r>
      <w:r w:rsidRPr="001C49DB">
        <w:rPr>
          <w:rFonts w:ascii="仿宋" w:eastAsia="仿宋" w:hAnsi="仿宋" w:cs="黑体" w:hint="eastAsia"/>
          <w:sz w:val="32"/>
          <w:szCs w:val="32"/>
        </w:rPr>
        <w:lastRenderedPageBreak/>
        <w:t>“三公”经费等一般性支出；五是强化预算约束和绩效管理，提高财政支出的精准性有效性；六是防范化解地方政府债务风险、坚决遏制隐性债务新增。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根据初步测算的财力情况，今年支出预算拟按264573万元安排，比上年预算增加38095万元，主要是上级提前下达转移支付资金增加11699万元，新增政府债券增加5600万元以及上年结转资金增加。其中：工资福利、对个人家庭补助等个人部分支出111411万元，基本运转经费20301万元，民生及重点项目支出43447万元，预备费500万元，提前下达转移支付58691万元，上年结转24623万元，新增政府债券5600万元。</w:t>
      </w:r>
    </w:p>
    <w:p w:rsidR="00B355DB" w:rsidRPr="001C49DB" w:rsidRDefault="008B1A23" w:rsidP="001C49DB">
      <w:pPr>
        <w:pStyle w:val="11"/>
        <w:widowControl w:val="0"/>
        <w:adjustRightInd/>
        <w:snapToGrid/>
        <w:spacing w:after="0" w:line="560" w:lineRule="exact"/>
        <w:ind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Times New Roman"/>
          <w:sz w:val="32"/>
          <w:szCs w:val="32"/>
        </w:rPr>
        <w:t>（1）</w:t>
      </w:r>
      <w:r w:rsidRPr="001C49DB">
        <w:rPr>
          <w:rFonts w:ascii="仿宋" w:eastAsia="仿宋" w:hAnsi="仿宋" w:cs="仿宋_GB2312" w:hint="eastAsia"/>
          <w:sz w:val="32"/>
          <w:szCs w:val="32"/>
        </w:rPr>
        <w:t>工资福利、对个人家庭补助等个人部分支出111411万元，比上年预算增加1322万元。其中工资福利支出87069万元，比上年预算增加863万元，主要是人员工资、社会保险缴费及乡镇工作补贴等增加。</w:t>
      </w:r>
    </w:p>
    <w:p w:rsidR="00B355DB" w:rsidRPr="001C49DB" w:rsidRDefault="008B1A23" w:rsidP="001C49DB">
      <w:pPr>
        <w:pStyle w:val="11"/>
        <w:widowControl w:val="0"/>
        <w:adjustRightInd/>
        <w:snapToGrid/>
        <w:spacing w:after="0" w:line="560" w:lineRule="exact"/>
        <w:ind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对个人和家庭补助支出24342万元，比上年预算增加459万元，主要是城乡居民医疗保险财政补助标准提高增加171万元、城乡居民最低生活保障增加146万元、义务兵优待金增加101万元。</w:t>
      </w:r>
    </w:p>
    <w:p w:rsidR="00B355DB" w:rsidRPr="001C49DB" w:rsidRDefault="008B1A23" w:rsidP="001C49DB">
      <w:pPr>
        <w:pStyle w:val="11"/>
        <w:widowControl w:val="0"/>
        <w:adjustRightInd/>
        <w:snapToGrid/>
        <w:spacing w:after="0" w:line="560" w:lineRule="exact"/>
        <w:ind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（2）基本运转经费20301万元，比上年预算增加1047万元，主要是机关事务局、行政审批局经费由民生重点项目经费转入基本运转经费、乡镇事业人员增加公车补贴等。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（3）民生及重点项目拟安排43447万元。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1）一般公共服务支出10596.06万元。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lastRenderedPageBreak/>
        <w:t>①“有事好商量”协商议事平台建设及工作经费35万元，“书香政协”建设及宣传费用25万元，颜真卿《祭侄文稿》暨全国书法大赛活动经费40万元。共计100万元。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②人大更新办公家具及完善多功能会议室经费28万元，优秀人大代表宣传经费15万元，七届二次人代会经费25.9万元，各镇街人大办公设备购置20万元。共计88.9万元。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③机关事务服务中心周转房建设500万元，车辆购置36万元，办公室改造及测绘费80万元，原周转房改造办公用房经费95万元，房屋修缮资金100万元。共计811万元。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④“雪亮工程”二期项目建设前期费用160万元。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u w:val="single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⑤共青团改革试点经费10万元，《中国共产党永济历史》第二卷印刷出版费用15万元，《永济市“十四五”转型综改重大改革规划》专项经费28万元，《中文域名注册》经费3万元,档案数字化目标考核专项资金30万元,宗教活动场所建筑安全评估费22万元，总工会职工服务中心运行经费10万元。共计118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⑥文明城市创建经费500万元，志愿服务活动场所装修费20万元，创建办第三方测评机构服务指导经费57万元，文明办运行经费20万元。共计597万元。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⑦党报党刊征订330万元，《永济优秀传统文化丛书》编著费80万元，“永济元素”文艺作品奖励经费2.5万元，“扫黄打非”专项经费5万元，网络舆情监测宣传费15万元，三晋文化研究会办公经费5万元。共计437.5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lastRenderedPageBreak/>
        <w:t>⑧统计人口抽样调查、报表基础核查及法制建设经费15万元，第七次全国人口普查经费25万元，城乡住户调查大样本轮换和劳动力调查经费20万元。共计60万元。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⑨原现代学校行政诉讼案法律服务费12万元，县级预算一体化资金100万元。共计112万元。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⑩税务改革地方保障金834.4万元，税费征收经费150万元，教育费附加手续费43.7万元。共计1028.1万元。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 xml:space="preserve"> ⑪纪检委更新公务用车经费45万元，廉政主题公园建设资金105万元。共计150万元。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 xml:space="preserve"> ⑫市政务服务中心及人防工程建设资金4100万元。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 xml:space="preserve"> ⑬“五面红旗”创建经费30万元，干部激励帮扶慰问金10万元，干部教育培训经费150万元，城市党建工作经费100万元，人才资源开发专项经费500万元（含运才兴运经费），村级活动场所提升500万元，农村（社区）党员培训配套经费13万元，非公和社会组织联合党组织工作及党建指导员经费48万元，非公和社会组织工委工作经费10万元，中共虞临永支部党史教育馆建设及周边环境改造提升经费100万元,年度目标责任考核工作及专项奖励经费315万元。共计1776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 xml:space="preserve"> ⑭信访化解救助资金50万元,虞乡镇政府信访维稳专项经费10万元。共计60万元。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 xml:space="preserve"> ⑮食品监督抽检专项经费120万元，工业产品、日用消耗品质量监督抽查专项经费40万元，开张、卿头市场监督管理所修缮经费10万元。共计170万元。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lastRenderedPageBreak/>
        <w:t xml:space="preserve"> ⑯经济技术开发区2021年加倍绩效工资63.56万元,园区运行管理费500万元。共计563.56万元。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 xml:space="preserve"> ⑰“十四五”专项规划编制经费130万元，救灾物资采购经费10万元，应急成品粮油储备经费37.6万元，黄河流域生态保护和高质量发展促进中心运转经费7万元，项目推进中心专项经费15万元,汽车消费补贴8.4万元，春节供应经费35万元，社会信用体系建设经费3万元，原粮食局遗留问题维稳经费8万元，粮食安全责任制考核经费10万元。共计264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2）公共安全701万元。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①红绿灯、黄闪灯等交通设施安装费用150万元，市区标牌建设项目前期费用52万元，拘留所房屋维修、食堂设备购置费8万元，扫黑除恶斗争经费30万元。共计240万元。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②行政复议机构专项经费15万元，处置永鑫房地产非法集资工作经费10万元，维护蒲津公司运营秩序工作经费及法律服务费8万元。共计33万元。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③检察院办案用房和专业技术用房项目缺口资金400万元，法院特邀调解员经费28万元。共计428万元。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3）教育科技2764.3万元。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①智慧教育二期工程1208.1万元，全市统考工作经费70万元，教师节经费15万元，校园安保经费257.2万元，教室照明卫生达标84万元，城区小学“放心午餐工程”劳务报酬20万元，中小学课后服务费用100万元，中小学教师继续教育经费160万元。共计1914.3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lastRenderedPageBreak/>
        <w:t>②改善高中办学条件经费190万元，党校学员宿舍提升改造费用20万元。共计210万元。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③科学技术项目资金640万元。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4）文化旅游体育与传媒4332.79万元。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①文化中心公共区域运行经费100万元，政府会议中心运行及改造经费95万元，图书馆运行维护费57万元。共计252万元。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②文旅产业发展基金1000万元，唐尧民宿项目规划设计费142.3万元，万固寺至鹳雀楼旅游复合廊道项目设计及地质勘探费25.09万元，文化市场综合行政执法队装备费2.2万元。共计1169.59万元。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③博物馆安全应急预案制作经费2万元，文物保护抢险加固费50万元，解决万固寺遗留问题150万元，《蒲津渡与蒲州故城考古遗址公园建设规划》编制费29.2万元，蒲州故城文物保护所运行经费80万元，文物保护专项经费280万元。共计591.2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④体育中心可行性缺口资金2040万元，融媒体中心运行维护费80万元，电视台运行维护费200万元。共计2320万元。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5）社会保障和就业1245.53万元。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①就业中心及餐饮办运行经费76万元，事业单位公开招聘费用80万元，“技能运城”建设及劳动力建档立卡工作经费30万元，全民技能培训、企业薪酬调查、城镇居民人均可支配收入调查和就业招聘会经费10万元，劳动人事文书档案电子化经</w:t>
      </w:r>
      <w:r w:rsidRPr="001C49DB">
        <w:rPr>
          <w:rFonts w:ascii="仿宋" w:eastAsia="仿宋" w:hAnsi="仿宋" w:cs="仿宋_GB2312" w:hint="eastAsia"/>
          <w:sz w:val="32"/>
          <w:szCs w:val="32"/>
        </w:rPr>
        <w:lastRenderedPageBreak/>
        <w:t>费30万元，劳动监察根治欠薪宣传、培训及审计经费20万元。共计246万元。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②婚姻档案电子化经费98.16万元，殡仪馆建设项目前期费用100万元。共计198.16万元。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③驻永部队和退役人员慰问经费170万元，退役军人帮扶援助经费30万元，失业下岗退役军人购买服务岗位127.3万元，双拥褒扬工作经费15万元，退役军人服务保障体系经费5万元，残疾军人住房补助11.57万元。共计358.87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④残疾人培训、就业和康复支出44万元，残疾人就业、服务、建设、运行费用212万元，贫困残疾人救助等支出86.5万元，托养中心建设100万元。共计442.5万元。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6）卫生健康1056.1万元。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①疫情防控卡点费用30万元，疫情防控应急经费470万元，医疗救护车辆购置费175.2万元。共计675.2万元。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②90周岁以上高龄老人生活补贴58万元，计生家庭意外伤害保险18.9万元，从业人员预防性健康体检经费50万元，城乡居民基本医疗保险征缴经费10万元。共计136.9万元。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③公立医院公开招聘经费40万元，村卫生室业务用房建设204万元。共计244万元。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7）节能环保439.5万元。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①新能源汽车充电桩建设项目工作经费5万元，光伏试点建设项目工作经费5万元，煤改电专项工作经费8万元，冬季供热补贴300万元。共计318万元。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lastRenderedPageBreak/>
        <w:t>②伍姓湖生态修复保护治理工程附属设施费用111.5万元，伍姓湖湿地公园管理运行设施费及宣传经费10万元。共计121.5万元。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8）城乡社区及住房保障6694.77万元。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①城市维护费5174.24万元，主要用于环卫、绿化、公园中心及市政设施服务中心人员经费及维护费等。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②永济收费站入口拓宽车道费用300万元，印染厂沿街危房拆除费用17.4万元。共计317.4万元。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③人防工作经费10万元，人防方案编制和电台采购经费50万元，焚烧发电垃圾处理费、村镇16个垃圾中转站垃圾箱体和餐厨粪便工程建设项目资金600万元，部分重点工程和民生实事工程款262万元，创建国家文明城市重点整治费用15万元，体育中心市政供热管网建设费212.03万元，舜帝山森林公园铁路沿线垃圾整治及清运费用14.1万元，运风高速、石白路沿线改造提升费用40万元。共计1203.13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9）农林水5372.37万元，主要用于三农及乡村振兴建设。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①村集体经济发展配套资金100万元，农业生产托管服务试点配套资金6万元，“一村四社”试点经费40万元，宅基地改革工作经费10万元，“农村土地承包经营权流转交易和集体工程建设招投标服务窗口”运行经费10万元，农民合作社质量提升整县推进试点配套资金12万元。共计178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②农村人居环境整治资金405万元，乡村环境治理县级配套资金438万元，城乡一体化领导组工作经费10万元。共计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lastRenderedPageBreak/>
        <w:t>853万元。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③防汛抗旱经费20万元，农村饮水安全维修养护配套资金81.6万元，涑水河入黄口人工湿地运行管理费50万元，水利基础设施空间布局规划编制费42万元，水利工程质量监督经费5万元，《永济市河流生态流量保障方案》编制费20万元，农村供水保障规划编制费3万元，水峪口沟道中段治理工程500万元。共计721.6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④乡村振兴配套资金200万元，脱贫攻坚档案整理工作经费50万元，“1+N”扶贫保险110万元，乡村振兴宣传费18.5万元，乡村振兴督导、预警、审计等工作经费25万元。共计403.5万元。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⑤伍姓湖管护费100万元，伍姓湖大门LED屏安装费用29万元，创建国家森林城市工作经费25万元，高铁引道及黄河一号公路绿化工程前期费用152万元，森林消防队经费250万元，干果经济林技术指导服务、培训费用5万元，地方公益林补偿资金28万元，鹳雀楼景区农田大地绿化工程前期费用126万元，全省国土绿化现场会费用15万元，食用林产品质量安全监测及退耕还林工作经费3万元，森林草原火灾综合风险普查费用28.47万元，冯营村至尊村引黄一级站道路绿化工程费用240万元，五老峰森林公园管理及林场基础设施建设经费10万元。共计1011.47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⑥重大动物疫病防控经费30万元，重大动物疾病疫苗款15万元。共计45万元。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lastRenderedPageBreak/>
        <w:t>⑦“全科网格”管理经费624万元，主要是农村及社区网格员、网格辅助员、网格长、计划生育管理员、民政协管员、扶贫信息员、养老保险协办员等人员进行整合后的“全科网络”管理人员工资保险及镇村综治中心网格运行费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⑧省级现代农业产业园项目建设及现代农业发展资金600万元，《永济农业合作化史》出版费4.8万元，国家农产品质量安全县创建经费50万元，农村居民人均可支配收入调查经费5万元，蔬菜产业发展资金25万元，果业产业提升发展资金50万元，国家级渔业健康养殖示范县巩固提升资金100万元，废旧农膜回收项目资金30万元，农机安全监理经费5万元，畜牧兽医与农垦渔政监管工作经费5万元，全域旅游沿线公厕建设资金25万元，2021年厕所革命配套资金193万元，七个美丽乡村示范村提升设计费205万元。共计1297.8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⑨发电厂排水渠绿化工程113万元，虞乡镇村级党群服务中心示范点提升改造资金65万元。共计178万元。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⑩产品质量安全检验监测经费60万元。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10）交通运输1068万元。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①农村公路养护经费320万元，城市公交“四种”人群乘车减免及政策性补贴330万元，新能源公交购置补贴300万元，《永济市综合交通运输“十四五”发展规划》编制费用18万元，黄河一号旅游公路永卿、于黄工程管理费20万元。共计988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lastRenderedPageBreak/>
        <w:t>②源头治超经费80万元。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11）资源勘探信息及商业服务2950万元。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①产业扶持发展基金2000万元（包含中小企业发展专项资金），招商引资经费500万元，传统企业改造经费200万元，永济市大地民基生态环境科技有限公司注册资金200万元，服务小微企业工作经费10万元。共计2910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②综合改革及信访维稳经费30万元，消费扶贫及电商运营办公经费10万元。共计40万元。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12）自然资源海洋气象300.41万元。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①耕地后备资源调查评价费40万元，基础测绘“十四五”规划编制费29万元，国土空间生态修复规划编制费124.65万元。共计193.65万元。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②地方气象事业费106.76万元，主要用于人工影响天气、气象业务费及运行经费等。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13）灾害防治及应急管理490.5万元。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①消防队公务用车购置18万元。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②应急装备物资购置10万元，自然灾害综合风险普查250万元，驻企专家经费15万元，防灾减灾和安全宣传培训费15万元，民兵应急队伍装备及民兵抢险救灾误工专项经费182.5万元。共计472.5万元。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14）其他支出2805万元。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①运城机场二期建设运营部补贴县级承担部分1590万元。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lastRenderedPageBreak/>
        <w:t>②按要求消化以前年度挂账1215万元。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15）债务类2630.79万元。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一般债券到期利息及兑付费2560.79万元，专项债券财务评价费、法律服务费及债券发行服务费、兑付费70万元。共计2630.79万元。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（4）预备费500万元。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（5）新增一般政府债券支出5600万元。其中：伍姓湖岸坡与湿地生态修复工程800万元，鹳雀楼景区农田大地绿化工程1100万元，高铁引道及黄河一号公路绿化工程2700万元，人民医院全员核酸检测能力提升项目建设1000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根据上述安排，2022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年一般公共预算支出264573万元，比上年增长16.8%。主要项目安排情况是：一般公共服务支出30634万元，增长1.6%；公共安全支出9019万元，增长4.3%；教育支出63067万元，与上年持平；科学技术支出1004万元，增长4.1%；文化旅游体育与传媒支出9860万元，增长24.6%；社会保障和就业支出37993万元，增长8.4%；卫生健康支出19920万元，下降5.9%，主要是上年安排人民医院整体搬迁资金3000万元；节能环保支出6442万元，增长97.4%；城乡社区支出9722万元，下降2.9%；农林水支出54315万元，增长77.8%；交通运输支出8764万元，增长65.8%；灾害防治及应急管理支出1753万元，增长39.6%；预备费500元，增长66.7%；其他支出2805万元，增长74.3%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经汇总，2022年“三公经费”预算1230万元，比上年预算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lastRenderedPageBreak/>
        <w:t>减少30万元，其中，因公出国经费20万元、公务接待费420万元，公务用车购置245万元、公务用车运行维护费545万元。</w:t>
      </w:r>
    </w:p>
    <w:p w:rsidR="00B355DB" w:rsidRPr="001C49DB" w:rsidRDefault="008B1A23" w:rsidP="001C49DB">
      <w:pPr>
        <w:pStyle w:val="a3"/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楷体"/>
          <w:sz w:val="32"/>
          <w:szCs w:val="32"/>
        </w:rPr>
      </w:pPr>
      <w:r w:rsidRPr="001C49DB">
        <w:rPr>
          <w:rFonts w:ascii="仿宋" w:eastAsia="仿宋" w:hAnsi="仿宋" w:cs="楷体" w:hint="eastAsia"/>
          <w:sz w:val="32"/>
          <w:szCs w:val="32"/>
        </w:rPr>
        <w:t>（二）政府性基金收支预算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1、政府性基金收入预算57064万元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（1）当年政府性基金收入预算34960万元。其中：国有土地使用权出让收入30000万元，国有土地收益基金收入2000万元，农业土地开发资金收入160万元，城市基础设施配套费收入2000万元，污水处理费收入800万元。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（2）上年结余8088万元。其中：大中型水库移民后期扶持基金961万元，国有土地使用权出让657万元，国有土地收益基金204万元，农业土地开发28万元，城市基础设施配套费109万元，污水处理运行费240万元，国家重大水利工程建设基金2152万元，其他地方自行试点项目收益专项债券收入安排的支出3444万元，彩票公益金安排的支出293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（3）上级提前下达转移支付5716万元。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（4）新增专项债券收入8300万元。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2、政府性基金支出预算拟安排57064万元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主要项目是：大中型水库移民后期扶持基金支出2866万元，国有土地使用权出让支出30657万元（含专项债券付息及兑付费2430万元），国有土地收益基金支出2204万元，农业土地开发支出188万元，城市基础设施配套费安排的城市公共设施维护维修、城市环境卫生、城市防护等方面的支出2109万元，污水处理设施建设和运营方面的支出1040万元，国家重大水利</w:t>
      </w:r>
      <w:r w:rsidRPr="001C49DB">
        <w:rPr>
          <w:rFonts w:ascii="仿宋" w:eastAsia="仿宋" w:hAnsi="仿宋" w:cs="仿宋_GB2312" w:hint="eastAsia"/>
          <w:sz w:val="32"/>
          <w:szCs w:val="32"/>
        </w:rPr>
        <w:lastRenderedPageBreak/>
        <w:t>工程建设基金支出5551万元，其他政府性基金及对应专项债务收入安排的支出11744万元（含新增专项债券8300万元，其中：建制镇生活污水处理设施建设项目工程1300万元、人民医院整体搬迁7000万元），彩票公益金安排支出705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3、收支平衡情况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56"/>
        <w:jc w:val="both"/>
        <w:rPr>
          <w:rFonts w:ascii="仿宋" w:eastAsia="仿宋" w:hAnsi="仿宋" w:cs="仿宋_GB2312"/>
          <w:spacing w:val="8"/>
          <w:sz w:val="32"/>
          <w:szCs w:val="32"/>
        </w:rPr>
      </w:pPr>
      <w:r w:rsidRPr="001C49DB">
        <w:rPr>
          <w:rFonts w:ascii="仿宋" w:eastAsia="仿宋" w:hAnsi="仿宋" w:cs="仿宋_GB2312" w:hint="eastAsia"/>
          <w:spacing w:val="8"/>
          <w:sz w:val="32"/>
          <w:szCs w:val="32"/>
        </w:rPr>
        <w:t>上年结余8088万元，政府性基金收入34960万元，上级补助5716万元，新增专项债券收入8300万元，支出按相应的科目安排57064万元。地方政府专项债务还本16600万元拟用再融资债券解决。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楷体"/>
          <w:sz w:val="32"/>
          <w:szCs w:val="32"/>
        </w:rPr>
      </w:pPr>
      <w:r w:rsidRPr="001C49DB">
        <w:rPr>
          <w:rFonts w:ascii="仿宋" w:eastAsia="仿宋" w:hAnsi="仿宋" w:cs="楷体" w:hint="eastAsia"/>
          <w:sz w:val="32"/>
          <w:szCs w:val="32"/>
        </w:rPr>
        <w:t>（三）社保基金预算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社保基金上年结余46518万元，收入预算55617万元，支出拟安排45701万元，预计结余56434万元。其中:机关事业单位基本养老保险基金收入预算34178万元，支出预算34178万元;城乡居民基本养老保险基金上年结余41904万元，收入预算16070万元，支出预算10193万元，预计结余47781万元；城乡居民补充养老保险基金上年结余4614万元，收入预算5369万元，支出预算1330万元，预计结余8653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楷体"/>
          <w:sz w:val="32"/>
          <w:szCs w:val="32"/>
        </w:rPr>
      </w:pPr>
      <w:r w:rsidRPr="001C49DB">
        <w:rPr>
          <w:rFonts w:ascii="仿宋" w:eastAsia="仿宋" w:hAnsi="仿宋" w:cs="楷体" w:hint="eastAsia"/>
          <w:sz w:val="32"/>
          <w:szCs w:val="32"/>
        </w:rPr>
        <w:t>（四）国有资本经营预算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2021年末，我市政府职能部门出资且正常运营的国有及国有控股企业共11户，其中：盈利企业3户,1户盈利企业净利润需弥补以前年度亏损，2户企业可上交国有资本收益。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2022年国有资本经营预算收入按7.38万元编制，上年结转515万元，上级补助收入295万元，国有资本经营预算支出拟安</w:t>
      </w:r>
      <w:r w:rsidRPr="001C49DB">
        <w:rPr>
          <w:rFonts w:ascii="仿宋" w:eastAsia="仿宋" w:hAnsi="仿宋" w:cs="仿宋_GB2312" w:hint="eastAsia"/>
          <w:sz w:val="32"/>
          <w:szCs w:val="32"/>
        </w:rPr>
        <w:lastRenderedPageBreak/>
        <w:t>排817.38万元。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需要说明的是，根据《预算法》第五十四条，预算草案在本级人民代表大会批准前，财政部门安排了行政事业单位工资及基本运转经费2764万元。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1C49DB">
        <w:rPr>
          <w:rFonts w:ascii="黑体" w:eastAsia="黑体" w:hAnsi="黑体" w:hint="eastAsia"/>
          <w:sz w:val="32"/>
          <w:szCs w:val="32"/>
        </w:rPr>
        <w:t>三、坚定信心，努力完成2022年财政预算任务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做好2022年财政工作，要准确把握“稳字当头、稳中求进”的工作总基调，坚决执行财政支出“小钱小气、大钱大方”的工作要求，着力提升财政保大事要事能力，加快构建与高质量发展相适应的财政工作矩阵，高质量高标准完成工作任务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楷体" w:hint="eastAsia"/>
          <w:sz w:val="32"/>
          <w:szCs w:val="32"/>
        </w:rPr>
        <w:t>1、强化税费征管保收入。</w:t>
      </w:r>
      <w:r w:rsidRPr="001C49DB">
        <w:rPr>
          <w:rFonts w:ascii="仿宋" w:eastAsia="仿宋" w:hAnsi="仿宋" w:cs="仿宋_GB2312" w:hint="eastAsia"/>
          <w:sz w:val="32"/>
          <w:szCs w:val="32"/>
        </w:rPr>
        <w:t>一方面严格落实制度性、结构性减税政策，另一方面加强对宏观经济形势和财政收入结构的分析研判，密切关注财税改革动态，及时掌握和应对国家财税政策调整对收入的影响，牢牢把握组织收入工作的主动权，确保税源不流失。加强对重点行业、重点税源的管理，强化收入征管，做到依法征收、应收尽收。规范非税收入管理，加大征缴、监管力度，挖掘增收潜力，确保完成全年收入计划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36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楷体" w:hint="eastAsia"/>
          <w:spacing w:val="-2"/>
          <w:sz w:val="32"/>
          <w:szCs w:val="32"/>
        </w:rPr>
        <w:t>2、积极争取资金促发展。</w:t>
      </w:r>
      <w:r w:rsidRPr="001C49DB">
        <w:rPr>
          <w:rFonts w:ascii="仿宋" w:eastAsia="仿宋" w:hAnsi="仿宋" w:cs="仿宋_GB2312" w:hint="eastAsia"/>
          <w:sz w:val="32"/>
          <w:szCs w:val="32"/>
        </w:rPr>
        <w:t>认真研究国家、省支持经济发展的各项政策，及时摸准政策导向，围绕全市经济发展战略目标，主动做好对接，准确把握投资方向和投资重点，争取更多转移支付和各类专项资金，为全市经济发展提供财力保障。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楷体" w:hint="eastAsia"/>
          <w:sz w:val="32"/>
          <w:szCs w:val="32"/>
        </w:rPr>
        <w:t>3、优化支出结构惠民生。</w:t>
      </w:r>
      <w:r w:rsidRPr="001C49DB">
        <w:rPr>
          <w:rFonts w:ascii="仿宋" w:eastAsia="仿宋" w:hAnsi="仿宋" w:cs="仿宋_GB2312" w:hint="eastAsia"/>
          <w:sz w:val="32"/>
          <w:szCs w:val="32"/>
        </w:rPr>
        <w:t>以保障和改善民生为导向，将政策支持和财力保障的重点向民生领域倾斜。用好财政资金直达机制，对政策性规定的刚性支出和民生保障支出，确保不折不</w:t>
      </w:r>
      <w:r w:rsidRPr="001C49DB">
        <w:rPr>
          <w:rFonts w:ascii="仿宋" w:eastAsia="仿宋" w:hAnsi="仿宋" w:cs="仿宋_GB2312" w:hint="eastAsia"/>
          <w:sz w:val="32"/>
          <w:szCs w:val="32"/>
        </w:rPr>
        <w:lastRenderedPageBreak/>
        <w:t>扣落实到位。继续压减一般性支出，严控“三公”经费支出，坚持勤俭办一切事业，严格控制行政运行成本，把有限的资金用在刀刃上。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楷体" w:hint="eastAsia"/>
          <w:sz w:val="32"/>
          <w:szCs w:val="32"/>
        </w:rPr>
        <w:t>4、加强预算管理重绩效。</w:t>
      </w:r>
      <w:r w:rsidRPr="001C49DB">
        <w:rPr>
          <w:rFonts w:ascii="仿宋" w:eastAsia="仿宋" w:hAnsi="仿宋" w:cs="仿宋_GB2312" w:hint="eastAsia"/>
          <w:sz w:val="32"/>
          <w:szCs w:val="32"/>
        </w:rPr>
        <w:t>要强化预算管理，硬化预算约束，通过预算管理一体化建设，建立财政项目库，做好政府投资计划与财政预算衔接，单位提前完成项目前期手续，科学编制预算，提高项目管理水平。强化财政绩效管理，实现绩效评价结果与预算编制、预算调整的衔接，提高财政预算执行效率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pacing w:val="-17"/>
          <w:sz w:val="32"/>
          <w:szCs w:val="32"/>
        </w:rPr>
      </w:pPr>
      <w:r w:rsidRPr="001C49DB">
        <w:rPr>
          <w:rFonts w:ascii="仿宋" w:eastAsia="仿宋" w:hAnsi="仿宋" w:cs="楷体" w:hint="eastAsia"/>
          <w:sz w:val="32"/>
          <w:szCs w:val="32"/>
        </w:rPr>
        <w:t>5、强化债务管理控风险。</w:t>
      </w:r>
      <w:r w:rsidRPr="001C49DB">
        <w:rPr>
          <w:rFonts w:ascii="仿宋" w:eastAsia="仿宋" w:hAnsi="仿宋" w:cs="仿宋_GB2312" w:hint="eastAsia"/>
          <w:sz w:val="32"/>
          <w:szCs w:val="32"/>
        </w:rPr>
        <w:t>统筹做好政府债券促发展和防风险两方面工作，积极用好政府债券资金，充分发挥政府债券资金的使用效益。加强隐性债务风险管理，坚决遏制隐性债务新增，并做好化解存量工作。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各位代表，做好2022年财政工作，财政部门倍感任务艰巨，责任重大。我们决心在市委的正确领导下，在市人大、政协的监督支持下，埋头苦干，勇毅前行，以优异成绩迎接党的二十大胜利召开！</w:t>
      </w:r>
    </w:p>
    <w:tbl>
      <w:tblPr>
        <w:tblStyle w:val="a7"/>
        <w:tblpPr w:leftFromText="181" w:rightFromText="181" w:vertAnchor="text" w:horzAnchor="page" w:tblpX="1713" w:tblpY="4844"/>
        <w:tblOverlap w:val="never"/>
        <w:tblW w:w="867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674"/>
      </w:tblGrid>
      <w:tr w:rsidR="00B355DB">
        <w:tc>
          <w:tcPr>
            <w:tcW w:w="8674" w:type="dxa"/>
            <w:tcBorders>
              <w:tl2br w:val="nil"/>
              <w:tr2bl w:val="nil"/>
            </w:tcBorders>
            <w:vAlign w:val="center"/>
          </w:tcPr>
          <w:p w:rsidR="00B355DB" w:rsidRDefault="008B1A23" w:rsidP="000D7784">
            <w:pPr>
              <w:adjustRightInd/>
              <w:snapToGrid/>
              <w:spacing w:afterLines="30" w:line="580" w:lineRule="exact"/>
              <w:ind w:leftChars="-50" w:left="-110" w:rightChars="-50" w:right="-110"/>
              <w:rPr>
                <w:rFonts w:ascii="Times New Roman" w:eastAsia="方正行楷简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行楷简体" w:hAnsi="Times New Roman" w:cs="Times New Roman"/>
                <w:color w:val="000000"/>
                <w:sz w:val="30"/>
                <w:szCs w:val="30"/>
              </w:rPr>
              <w:t>永济市七届人大二次会议秘书处</w:t>
            </w:r>
            <w:r>
              <w:rPr>
                <w:rFonts w:ascii="Times New Roman" w:eastAsia="方正行楷简体" w:hAnsi="Times New Roman" w:cs="Times New Roman"/>
                <w:color w:val="000000"/>
                <w:sz w:val="30"/>
                <w:szCs w:val="30"/>
              </w:rPr>
              <w:t xml:space="preserve">         </w:t>
            </w:r>
            <w:r>
              <w:rPr>
                <w:rFonts w:ascii="Times New Roman" w:eastAsia="方正行楷简体" w:hAnsi="Times New Roman" w:cs="Times New Roman" w:hint="eastAsia"/>
                <w:color w:val="000000"/>
                <w:sz w:val="30"/>
                <w:szCs w:val="30"/>
              </w:rPr>
              <w:t xml:space="preserve">            </w:t>
            </w:r>
            <w:r>
              <w:rPr>
                <w:rFonts w:ascii="Times New Roman" w:eastAsia="方正行楷简体" w:hAnsi="Times New Roman" w:cs="Times New Roman"/>
                <w:color w:val="000000"/>
                <w:sz w:val="30"/>
                <w:szCs w:val="30"/>
              </w:rPr>
              <w:t xml:space="preserve">    2022</w:t>
            </w:r>
            <w:r>
              <w:rPr>
                <w:rFonts w:ascii="Times New Roman" w:eastAsia="方正行楷简体" w:hAnsi="Times New Roman" w:cs="Times New Roman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eastAsia="方正行楷简体" w:hAnsi="Times New Roman" w:cs="Times New Roman"/>
                <w:color w:val="000000"/>
                <w:sz w:val="30"/>
                <w:szCs w:val="30"/>
              </w:rPr>
              <w:t>1</w:t>
            </w:r>
            <w:r>
              <w:rPr>
                <w:rFonts w:ascii="Times New Roman" w:eastAsia="方正行楷简体" w:hAnsi="Times New Roman" w:cs="Times New Roman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方正行楷简体" w:hAnsi="Times New Roman" w:cs="Times New Roman" w:hint="eastAsia"/>
                <w:color w:val="000000"/>
                <w:sz w:val="30"/>
                <w:szCs w:val="30"/>
              </w:rPr>
              <w:t>24</w:t>
            </w:r>
            <w:r>
              <w:rPr>
                <w:rFonts w:ascii="Times New Roman" w:eastAsia="方正行楷简体" w:hAnsi="Times New Roman" w:cs="Times New Roman"/>
                <w:color w:val="000000"/>
                <w:sz w:val="30"/>
                <w:szCs w:val="30"/>
              </w:rPr>
              <w:t>日印</w:t>
            </w:r>
          </w:p>
        </w:tc>
      </w:tr>
    </w:tbl>
    <w:p w:rsidR="00B355DB" w:rsidRDefault="008B1A23" w:rsidP="001C49DB">
      <w:pPr>
        <w:widowControl w:val="0"/>
        <w:spacing w:after="0" w:line="56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</w:t>
      </w:r>
    </w:p>
    <w:p w:rsidR="00B355DB" w:rsidRDefault="00B355DB">
      <w:pPr>
        <w:widowControl w:val="0"/>
        <w:spacing w:after="0" w:line="610" w:lineRule="exact"/>
        <w:jc w:val="both"/>
        <w:rPr>
          <w:sz w:val="30"/>
          <w:szCs w:val="30"/>
        </w:rPr>
      </w:pPr>
    </w:p>
    <w:sectPr w:rsidR="00B355DB" w:rsidSect="00B355DB">
      <w:headerReference w:type="default" r:id="rId8"/>
      <w:footerReference w:type="default" r:id="rId9"/>
      <w:pgSz w:w="11906" w:h="16838"/>
      <w:pgMar w:top="2098" w:right="1502" w:bottom="1814" w:left="1502" w:header="708" w:footer="13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CA8" w:rsidRDefault="00130CA8" w:rsidP="00B355DB">
      <w:pPr>
        <w:spacing w:after="0"/>
      </w:pPr>
      <w:r>
        <w:separator/>
      </w:r>
    </w:p>
  </w:endnote>
  <w:endnote w:type="continuationSeparator" w:id="0">
    <w:p w:rsidR="00130CA8" w:rsidRDefault="00130CA8" w:rsidP="00B355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方正行楷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DB" w:rsidRDefault="0022527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08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:rsidR="00B355DB" w:rsidRDefault="008B1A23">
                <w:pPr>
                  <w:rPr>
                    <w:rFonts w:ascii="宋体" w:eastAsia="宋体" w:hAnsi="宋体" w:cs="宋体"/>
                    <w:sz w:val="24"/>
                    <w:szCs w:val="24"/>
                  </w:rPr>
                </w:pP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>·</w:t>
                </w:r>
                <w:r w:rsidR="00225273"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 w:rsidR="00225273"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separate"/>
                </w:r>
                <w:r w:rsidR="000D7784" w:rsidRPr="000D7784">
                  <w:rPr>
                    <w:noProof/>
                  </w:rPr>
                  <w:t>3</w:t>
                </w:r>
                <w:r w:rsidR="00225273"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>·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CA8" w:rsidRDefault="00130CA8" w:rsidP="00B355DB">
      <w:pPr>
        <w:spacing w:after="0"/>
      </w:pPr>
      <w:r>
        <w:separator/>
      </w:r>
    </w:p>
  </w:footnote>
  <w:footnote w:type="continuationSeparator" w:id="0">
    <w:p w:rsidR="00130CA8" w:rsidRDefault="00130CA8" w:rsidP="00B355D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DB" w:rsidRDefault="00B355DB">
    <w:pPr>
      <w:pStyle w:val="a6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AB299"/>
    <w:multiLevelType w:val="singleLevel"/>
    <w:tmpl w:val="5E9AB299"/>
    <w:lvl w:ilvl="0">
      <w:start w:val="1"/>
      <w:numFmt w:val="decimal"/>
      <w:suff w:val="nothing"/>
      <w:lvlText w:val="%1、"/>
      <w:lvlJc w:val="left"/>
    </w:lvl>
  </w:abstractNum>
  <w:abstractNum w:abstractNumId="1">
    <w:nsid w:val="5E9AB330"/>
    <w:multiLevelType w:val="singleLevel"/>
    <w:tmpl w:val="5E9AB330"/>
    <w:lvl w:ilvl="0">
      <w:start w:val="1"/>
      <w:numFmt w:val="decimal"/>
      <w:suff w:val="nothing"/>
      <w:lvlText w:val="%1、"/>
      <w:lvlJc w:val="left"/>
    </w:lvl>
  </w:abstractNum>
  <w:abstractNum w:abstractNumId="2">
    <w:nsid w:val="5E9AB3E5"/>
    <w:multiLevelType w:val="singleLevel"/>
    <w:tmpl w:val="5E9AB3E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062498"/>
    <w:rsid w:val="000B0E51"/>
    <w:rsid w:val="000B6DFD"/>
    <w:rsid w:val="000D7784"/>
    <w:rsid w:val="000F0432"/>
    <w:rsid w:val="000F1611"/>
    <w:rsid w:val="000F6284"/>
    <w:rsid w:val="00130CA8"/>
    <w:rsid w:val="00154F1F"/>
    <w:rsid w:val="001B5A8F"/>
    <w:rsid w:val="001B7C12"/>
    <w:rsid w:val="001C49DB"/>
    <w:rsid w:val="001F16B6"/>
    <w:rsid w:val="001F5E3A"/>
    <w:rsid w:val="00204373"/>
    <w:rsid w:val="00221CB6"/>
    <w:rsid w:val="00225273"/>
    <w:rsid w:val="002B315F"/>
    <w:rsid w:val="002F3CBC"/>
    <w:rsid w:val="003213A6"/>
    <w:rsid w:val="00323B43"/>
    <w:rsid w:val="00345054"/>
    <w:rsid w:val="00386B11"/>
    <w:rsid w:val="00390021"/>
    <w:rsid w:val="003A1581"/>
    <w:rsid w:val="003A4B88"/>
    <w:rsid w:val="003D37D8"/>
    <w:rsid w:val="0040346A"/>
    <w:rsid w:val="004236BE"/>
    <w:rsid w:val="00426133"/>
    <w:rsid w:val="004358AB"/>
    <w:rsid w:val="0044047E"/>
    <w:rsid w:val="004613DE"/>
    <w:rsid w:val="00470D58"/>
    <w:rsid w:val="0047114D"/>
    <w:rsid w:val="00473EF9"/>
    <w:rsid w:val="00474A72"/>
    <w:rsid w:val="004C70C7"/>
    <w:rsid w:val="00507F38"/>
    <w:rsid w:val="00512537"/>
    <w:rsid w:val="00522C73"/>
    <w:rsid w:val="0052792B"/>
    <w:rsid w:val="00547968"/>
    <w:rsid w:val="00553638"/>
    <w:rsid w:val="00595633"/>
    <w:rsid w:val="005D1098"/>
    <w:rsid w:val="0060339D"/>
    <w:rsid w:val="006143CA"/>
    <w:rsid w:val="006168C5"/>
    <w:rsid w:val="00650F9B"/>
    <w:rsid w:val="006617C7"/>
    <w:rsid w:val="00663E8A"/>
    <w:rsid w:val="00682072"/>
    <w:rsid w:val="00692B63"/>
    <w:rsid w:val="006C14B0"/>
    <w:rsid w:val="006E482B"/>
    <w:rsid w:val="006E5D53"/>
    <w:rsid w:val="007251A5"/>
    <w:rsid w:val="00767BFA"/>
    <w:rsid w:val="007B3D11"/>
    <w:rsid w:val="007F20C5"/>
    <w:rsid w:val="007F76EA"/>
    <w:rsid w:val="0080162E"/>
    <w:rsid w:val="0081183E"/>
    <w:rsid w:val="00831343"/>
    <w:rsid w:val="00834433"/>
    <w:rsid w:val="008516FF"/>
    <w:rsid w:val="00852E79"/>
    <w:rsid w:val="00866BC6"/>
    <w:rsid w:val="00890B03"/>
    <w:rsid w:val="008B1A23"/>
    <w:rsid w:val="008B7726"/>
    <w:rsid w:val="008F7195"/>
    <w:rsid w:val="00907580"/>
    <w:rsid w:val="009619C6"/>
    <w:rsid w:val="0096351D"/>
    <w:rsid w:val="0097335F"/>
    <w:rsid w:val="009B28E0"/>
    <w:rsid w:val="009C70B9"/>
    <w:rsid w:val="009D540D"/>
    <w:rsid w:val="009E0127"/>
    <w:rsid w:val="009F5C8B"/>
    <w:rsid w:val="00A018AE"/>
    <w:rsid w:val="00A853CA"/>
    <w:rsid w:val="00A91164"/>
    <w:rsid w:val="00AA22A4"/>
    <w:rsid w:val="00AD7167"/>
    <w:rsid w:val="00AF4200"/>
    <w:rsid w:val="00B01F92"/>
    <w:rsid w:val="00B17862"/>
    <w:rsid w:val="00B355DB"/>
    <w:rsid w:val="00B37B12"/>
    <w:rsid w:val="00B95291"/>
    <w:rsid w:val="00B97695"/>
    <w:rsid w:val="00C14AAF"/>
    <w:rsid w:val="00C24951"/>
    <w:rsid w:val="00CF2C47"/>
    <w:rsid w:val="00D31D50"/>
    <w:rsid w:val="00D8482A"/>
    <w:rsid w:val="00DA5255"/>
    <w:rsid w:val="00DA7229"/>
    <w:rsid w:val="00E00724"/>
    <w:rsid w:val="00E444CB"/>
    <w:rsid w:val="00E77049"/>
    <w:rsid w:val="00EB3164"/>
    <w:rsid w:val="00EB516B"/>
    <w:rsid w:val="00EC0D65"/>
    <w:rsid w:val="00EE6167"/>
    <w:rsid w:val="00F21FD4"/>
    <w:rsid w:val="00F2389D"/>
    <w:rsid w:val="00F720B7"/>
    <w:rsid w:val="00F94160"/>
    <w:rsid w:val="00F97DB9"/>
    <w:rsid w:val="04706D71"/>
    <w:rsid w:val="04B824F2"/>
    <w:rsid w:val="09AE6D8E"/>
    <w:rsid w:val="13836F59"/>
    <w:rsid w:val="14847F85"/>
    <w:rsid w:val="178F299E"/>
    <w:rsid w:val="18374295"/>
    <w:rsid w:val="1ED80D74"/>
    <w:rsid w:val="271D54A5"/>
    <w:rsid w:val="278A5ACB"/>
    <w:rsid w:val="2CEF688B"/>
    <w:rsid w:val="32012F42"/>
    <w:rsid w:val="34526303"/>
    <w:rsid w:val="37E02BD6"/>
    <w:rsid w:val="3D2C7A1D"/>
    <w:rsid w:val="3E315FCD"/>
    <w:rsid w:val="404F54E6"/>
    <w:rsid w:val="405235BF"/>
    <w:rsid w:val="41BC31A1"/>
    <w:rsid w:val="43D05CBF"/>
    <w:rsid w:val="4D2A5F6C"/>
    <w:rsid w:val="508E116E"/>
    <w:rsid w:val="55145BCB"/>
    <w:rsid w:val="70980C32"/>
    <w:rsid w:val="7E7E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semiHidden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DB"/>
    <w:pPr>
      <w:adjustRightInd w:val="0"/>
      <w:snapToGrid w:val="0"/>
      <w:spacing w:after="200"/>
    </w:pPr>
    <w:rPr>
      <w:rFonts w:ascii="Tahoma" w:hAnsi="Tahoma" w:cs="黑体"/>
      <w:sz w:val="22"/>
      <w:szCs w:val="22"/>
    </w:rPr>
  </w:style>
  <w:style w:type="paragraph" w:styleId="1">
    <w:name w:val="heading 1"/>
    <w:basedOn w:val="a"/>
    <w:next w:val="a"/>
    <w:link w:val="1Char"/>
    <w:qFormat/>
    <w:rsid w:val="00B355DB"/>
    <w:pPr>
      <w:widowControl w:val="0"/>
      <w:adjustRightInd/>
      <w:snapToGrid/>
      <w:spacing w:beforeAutospacing="1" w:after="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unhideWhenUsed/>
    <w:rsid w:val="00B355DB"/>
    <w:pPr>
      <w:ind w:left="2940"/>
    </w:pPr>
  </w:style>
  <w:style w:type="paragraph" w:styleId="a3">
    <w:name w:val="Body Text"/>
    <w:basedOn w:val="a"/>
    <w:next w:val="8"/>
    <w:link w:val="Char"/>
    <w:rsid w:val="00B355DB"/>
    <w:pPr>
      <w:spacing w:after="120"/>
    </w:pPr>
  </w:style>
  <w:style w:type="paragraph" w:styleId="a4">
    <w:name w:val="Plain Text"/>
    <w:basedOn w:val="a"/>
    <w:link w:val="Char0"/>
    <w:rsid w:val="00B355DB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paragraph" w:styleId="a5">
    <w:name w:val="footer"/>
    <w:basedOn w:val="a"/>
    <w:link w:val="Char1"/>
    <w:uiPriority w:val="99"/>
    <w:unhideWhenUsed/>
    <w:rsid w:val="00B355D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next w:val="a3"/>
    <w:link w:val="Char2"/>
    <w:uiPriority w:val="99"/>
    <w:unhideWhenUsed/>
    <w:rsid w:val="00B355D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B355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99"/>
    <w:unhideWhenUsed/>
    <w:rsid w:val="00B355DB"/>
    <w:pPr>
      <w:ind w:firstLineChars="200" w:firstLine="420"/>
    </w:pPr>
  </w:style>
  <w:style w:type="paragraph" w:customStyle="1" w:styleId="11">
    <w:name w:val="列出段落1"/>
    <w:basedOn w:val="a"/>
    <w:uiPriority w:val="34"/>
    <w:qFormat/>
    <w:rsid w:val="00B355DB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rsid w:val="00B355DB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355DB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B355DB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NormalCharacter">
    <w:name w:val="NormalCharacter"/>
    <w:semiHidden/>
    <w:qFormat/>
    <w:rsid w:val="00B355DB"/>
  </w:style>
  <w:style w:type="character" w:customStyle="1" w:styleId="Char0">
    <w:name w:val="纯文本 Char"/>
    <w:basedOn w:val="a0"/>
    <w:link w:val="a4"/>
    <w:rsid w:val="00B355DB"/>
    <w:rPr>
      <w:rFonts w:ascii="宋体" w:eastAsia="宋体" w:hAnsi="Courier New" w:cs="Times New Roman"/>
      <w:kern w:val="2"/>
      <w:sz w:val="21"/>
      <w:szCs w:val="20"/>
    </w:rPr>
  </w:style>
  <w:style w:type="character" w:customStyle="1" w:styleId="Char">
    <w:name w:val="正文文本 Char"/>
    <w:basedOn w:val="a0"/>
    <w:link w:val="a3"/>
    <w:rsid w:val="00B355DB"/>
    <w:rPr>
      <w:rFonts w:ascii="Tahoma" w:hAnsi="Tahoma" w:cs="黑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2172</Words>
  <Characters>12381</Characters>
  <Application>Microsoft Office Word</Application>
  <DocSecurity>0</DocSecurity>
  <Lines>103</Lines>
  <Paragraphs>29</Paragraphs>
  <ScaleCrop>false</ScaleCrop>
  <Company/>
  <LinksUpToDate>false</LinksUpToDate>
  <CharactersWithSpaces>14524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永济市七届人大二次会议文件（）</dc:title>
  <dc:creator>Administrator</dc:creator>
  <cp:lastModifiedBy>Administrator</cp:lastModifiedBy>
  <cp:revision>2</cp:revision>
  <cp:lastPrinted>2022-01-24T08:17:00Z</cp:lastPrinted>
  <dcterms:created xsi:type="dcterms:W3CDTF">2023-10-20T06:39:00Z</dcterms:created>
  <dcterms:modified xsi:type="dcterms:W3CDTF">2023-10-20T06:39:00Z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