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pacing w:beforeAutospacing="0" w:afterAutospacing="0" w:line="62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永济市人民政府</w:t>
      </w:r>
    </w:p>
    <w:p>
      <w:pPr>
        <w:widowControl w:val="0"/>
        <w:wordWrap/>
        <w:spacing w:line="62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  <w:t>年财政决算及202</w:t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  <w:t>年上半年</w:t>
      </w:r>
    </w:p>
    <w:p>
      <w:pPr>
        <w:widowControl w:val="0"/>
        <w:wordWrap/>
        <w:spacing w:line="620" w:lineRule="exact"/>
        <w:ind w:left="0" w:leftChars="0" w:right="0"/>
        <w:jc w:val="center"/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</w:rPr>
        <w:t>财政预算执行情况的</w:t>
      </w:r>
      <w:r>
        <w:rPr>
          <w:rFonts w:hint="eastAsia" w:ascii="方正小标宋简体" w:hAnsi="方正小标宋简体" w:eastAsia="方正小标宋简体" w:cs="方正小标宋简体"/>
          <w:spacing w:val="2"/>
          <w:sz w:val="44"/>
          <w:szCs w:val="44"/>
          <w:lang w:eastAsia="zh-CN"/>
        </w:rPr>
        <w:t>报告</w:t>
      </w:r>
    </w:p>
    <w:p>
      <w:pPr>
        <w:pStyle w:val="2"/>
        <w:widowControl w:val="0"/>
        <w:wordWrap/>
        <w:spacing w:before="0" w:after="0" w:line="620" w:lineRule="exact"/>
        <w:ind w:left="0" w:leftChars="0" w:right="0" w:firstLine="0" w:firstLineChars="0"/>
        <w:jc w:val="center"/>
        <w:textAlignment w:val="auto"/>
        <w:rPr>
          <w:rFonts w:hint="eastAsia" w:ascii="楷体" w:hAnsi="楷体" w:eastAsia="楷体" w:cs="楷体"/>
          <w:b w:val="0"/>
          <w:bCs w:val="0"/>
          <w:spacing w:val="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beforeAutospacing="0" w:afterAutospacing="0" w:line="62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color w:val="auto"/>
          <w:spacing w:val="-6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pacing w:val="-6"/>
          <w:sz w:val="28"/>
          <w:szCs w:val="28"/>
        </w:rPr>
        <w:t>——202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</w:rPr>
        <w:t>年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</w:rPr>
        <w:t>月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</w:rPr>
        <w:t>日在永济市第七届人大常委会第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color w:val="auto"/>
          <w:spacing w:val="-6"/>
          <w:sz w:val="28"/>
          <w:szCs w:val="28"/>
        </w:rPr>
        <w:t>次会议上</w:t>
      </w:r>
    </w:p>
    <w:p>
      <w:pPr>
        <w:widowControl w:val="0"/>
        <w:wordWrap/>
        <w:adjustRightInd/>
        <w:snapToGrid/>
        <w:spacing w:beforeAutospacing="0" w:afterAutospacing="0" w:line="620" w:lineRule="exact"/>
        <w:ind w:left="0" w:leftChars="0" w:right="0"/>
        <w:jc w:val="center"/>
        <w:textAlignment w:val="auto"/>
        <w:outlineLvl w:val="9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市财政局局长  李兴园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仿宋_GB2312" w:hAnsi="仿宋_GB2312" w:eastAsia="仿宋_GB2312" w:cs="仿宋_GB2312"/>
          <w:spacing w:val="2"/>
          <w:sz w:val="32"/>
          <w:szCs w:val="32"/>
        </w:rPr>
      </w:pPr>
    </w:p>
    <w:p>
      <w:pPr>
        <w:widowControl w:val="0"/>
        <w:wordWrap/>
        <w:adjustRightInd/>
        <w:snapToGrid/>
        <w:spacing w:beforeAutospacing="0" w:afterAutospacing="0" w:line="620" w:lineRule="exact"/>
        <w:ind w:left="0" w:leftChars="0" w:right="0"/>
        <w:textAlignment w:val="auto"/>
        <w:outlineLvl w:val="9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主任、副主任、各位委员：</w:t>
      </w:r>
    </w:p>
    <w:p>
      <w:pPr>
        <w:widowControl w:val="0"/>
        <w:wordWrap/>
        <w:adjustRightInd/>
        <w:snapToGrid/>
        <w:spacing w:beforeAutospacing="0" w:afterAutospacing="0" w:line="620" w:lineRule="exact"/>
        <w:ind w:left="0" w:leftChars="0" w:right="0" w:firstLine="640" w:firstLineChars="200"/>
        <w:textAlignment w:val="auto"/>
        <w:outlineLvl w:val="9"/>
        <w:rPr>
          <w:rFonts w:hint="eastAsia"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>我受市人民政府委托，向市人大常委会作关于202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年财政决算及202</w:t>
      </w:r>
      <w:r>
        <w:rPr>
          <w:rFonts w:hint="eastAsia" w:ascii="仿宋_GB2312" w:hAnsi="仿宋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年上半年财政预算执行情况的报告，请予审议。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2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2022年财政决算情况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仿宋_GB2312" w:eastAsia="仿宋_GB2312"/>
          <w:spacing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在市委的正确领导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和市人大的监督支持下，全市上下紧紧围绕经济发展总体目标，</w:t>
      </w:r>
      <w:r>
        <w:rPr>
          <w:rFonts w:hint="eastAsia" w:ascii="仿宋_GB2312" w:hAnsi="仿宋_GB2312" w:eastAsia="仿宋_GB2312" w:cs="仿宋_GB2312"/>
          <w:sz w:val="32"/>
          <w:szCs w:val="32"/>
        </w:rPr>
        <w:t>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税部门努力克服经济增速放缓、财政运行紧张的困难，积极落实退税减税降费政策，努力向上争取资金，强化支出惠及民生，不断增强财政保障能力。严格执行人代会批准的收支预算，较好地完成了年度目标任务，有力地支持了全市经济发展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决算在预算单位编制、财政部门审核汇总的基础上，完成了编报工作。决算情况是：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（一）一般公共预算决算情况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财政收入决算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仿宋_GB2312" w:eastAsia="仿宋_GB2312"/>
          <w:color w:val="FF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年全市财政总收入完成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50137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万元,比上年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39.3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%。其中一般公共预算收入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40153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万元,占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105.7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%，比上年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25.3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仿宋_GB2312" w:hAnsi="宋体" w:eastAsia="仿宋_GB2312" w:cs="宋体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分部门完成情况是：税务部门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30579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万元,比上年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%；财政部门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9574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万元，比上年下降59.7%。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决算财力情况</w:t>
      </w:r>
    </w:p>
    <w:p>
      <w:pPr>
        <w:widowControl w:val="0"/>
        <w:wordWrap/>
        <w:adjustRightInd w:val="0"/>
        <w:snapToGrid w:val="0"/>
        <w:spacing w:line="62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spacing w:val="2"/>
          <w:sz w:val="32"/>
          <w:szCs w:val="32"/>
          <w:highlight w:val="none"/>
        </w:rPr>
        <w:t>决算总财力</w:t>
      </w:r>
      <w:r>
        <w:rPr>
          <w:rFonts w:hint="eastAsia" w:ascii="仿宋_GB2312" w:eastAsia="仿宋_GB2312"/>
          <w:spacing w:val="2"/>
          <w:sz w:val="32"/>
          <w:szCs w:val="32"/>
          <w:highlight w:val="none"/>
          <w:lang w:val="en-US" w:eastAsia="zh-CN"/>
        </w:rPr>
        <w:t>331245</w:t>
      </w:r>
      <w:r>
        <w:rPr>
          <w:rFonts w:hint="eastAsia" w:ascii="仿宋_GB2312" w:eastAsia="仿宋_GB2312"/>
          <w:spacing w:val="2"/>
          <w:sz w:val="32"/>
          <w:szCs w:val="32"/>
          <w:highlight w:val="none"/>
        </w:rPr>
        <w:t>万元，其中：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(1)市级收入财力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40153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万元;(2)返还性收入1604万元；(3)均衡性转移支付补助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106216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万元；(4)县级基本财力保障奖补资金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21518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万元;(5)重点生态功能区转移支付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319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万元；(6)产粮（油）大县奖励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2299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万元；(7)政府债券收入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11200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其中：新增一般债券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9200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万元，再融资债券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万元；(8)调入资金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3429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，其中：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政府性基金调入2214万元，国有资本经营调入7万元，其他调入1208万元；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）动用预算稳定调节基金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807万元；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(10)上级专项补助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97339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其中：一般转移支付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77578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万元，专项转移支付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19761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万元；(11)各项结算补助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2679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万元；(12)固定数额补助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16058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万元；(13)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留抵退税及补充县区财力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20693万元；（14）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上解上级支出15692万元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(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)上年结转24623万元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(1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)债务还本支出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2000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万元。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一般公共预算支出决算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8" w:firstLineChars="200"/>
        <w:jc w:val="both"/>
        <w:textAlignment w:val="auto"/>
        <w:outlineLvl w:val="9"/>
        <w:rPr>
          <w:rFonts w:ascii="仿宋_GB2312" w:eastAsia="仿宋_GB2312"/>
          <w:spacing w:val="2"/>
          <w:sz w:val="32"/>
          <w:szCs w:val="32"/>
          <w:highlight w:val="yellow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年一般公共预算支出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312252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万元，占调整预算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95.3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%,比上年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增长13.3%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，主要项目执行情况是：一般公共服务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35855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万元,占调整预算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99.8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%，比上年增长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shd w:val="clear" w:color="auto" w:fill="FFFFFF"/>
        </w:rPr>
        <w:t>16.8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公共安全支出9152万元，占调整预算92.1%,比上年增长8.2%；教育支出69934万元,占调整预算99.1%,比上年增长2.5%；科学技术支出704万元,占调整预算99.9%,比上年下降62.6%,主要是上年包括新动能专项资金；文化旅游体育与传媒13009万元,占调整预算99.1%，比上年增长15.2%；社会保障和就业44788万元,占调整预算98.9%,比上年增长5.5%；卫生健康支出26198万元,占调整预算98.6%,比上年增长6.9%;节能环保支出10485万元，占调整预算98.2%，比上年增长24.2%；城乡社区事务11689万元，占调整预算100%，比上年下降24.9%；农林水支出51785万元，占调整预算86.4%，比上年增长46.6%；交通运输支出11777万元，占调整预算73.4%，比上年下降6.3%；资源勘探信息等支出13444万元，占调整预算100%，比上年增长235.2%；住房保障支出1652万元，占调整预算99.2%，比上年下降36.4%；债务付息支出2561万元，占调整预算100%，比上年增长22.4%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"/>
          <w:sz w:val="32"/>
          <w:szCs w:val="32"/>
          <w:highlight w:val="none"/>
        </w:rPr>
        <w:t>4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2"/>
          <w:sz w:val="32"/>
          <w:szCs w:val="32"/>
          <w:highlight w:val="none"/>
        </w:rPr>
        <w:t>收支平衡情况</w:t>
      </w:r>
    </w:p>
    <w:p>
      <w:pPr>
        <w:widowControl w:val="0"/>
        <w:wordWrap/>
        <w:adjustRightInd/>
        <w:snapToGrid/>
        <w:spacing w:line="58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202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年预算执行结果为：总财力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331245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万元，支出执行312252万元，结转下年支出15327万元，安排预算稳定调节基金3666万元。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（二）政府性基金决算情况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政府性基金收入决算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政府性基金收入完成34832万元，占预算99.6%，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比上年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增长51.1%。其中：国有土地使用权出让收入27153万元,占预算90.5%，比上年增长43%；国有土地收益基金收入3966万元，占预算198.3%，比上年增长286.9%；农业土地开发资金收入877万元，占预算548.1%，比上年增长404%；城市基础设施配套费收入1612万元，占预算80.6%，比上年下降12.2%；污水处理费收入850万元，占预算106.3%，比上年增长12.4%;其他政府性基金收入374万元，比上年增长38.5%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政府性基金支出决算</w:t>
      </w:r>
    </w:p>
    <w:p>
      <w:pPr>
        <w:widowControl w:val="0"/>
        <w:wordWrap/>
        <w:spacing w:line="62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政府性基金预算支出76657万元，占调整预算92.2%，比上年增长44.8%。主要支出项目是：社会保障和就业支出2410万元，比上年增长3.6%。城乡社区支出32872万元，比上年增长20.3%，其中：国有土地使用权出让收入安排的支出28218万元，比上年增长29.6%；农业土地开发资金支出188万元，比上年下降40.9%；国有土地收益基金支出2183万元，比上年增长5%；城市基础设施配套费支出1318万元，比上年下降48.8%；污水处理费支出965万元，比上年增长67.5%。农林水支出2611万元，比上年增长180.2%，主要是上级专项资金增加。其他支出35859万元，比上年增长74.9%。债务付息支出2863万元，比上年增长52.2%。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3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收支平衡情况</w:t>
      </w:r>
    </w:p>
    <w:p>
      <w:pPr>
        <w:widowControl w:val="0"/>
        <w:wordWrap/>
        <w:spacing w:line="62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政府性基金收入34832万元，上年结余8088万元，上级专项补助10640万元，地方政府专项债务转贷收入48400万元（其中：新增专项债券31800万元、再融资债券16600万元），政府性基金支出76657万元，债务还本支出16600万元，调入一般公共预算2214万元，结转下年6489万元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（三）社保基金决算情况</w:t>
      </w: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  <w:lang w:val="en-US" w:eastAsia="zh-CN"/>
        </w:rPr>
        <w:t xml:space="preserve"> </w:t>
      </w:r>
    </w:p>
    <w:p>
      <w:pPr>
        <w:widowControl w:val="0"/>
        <w:wordWrap/>
        <w:spacing w:line="62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社保基金上年结余49438万元，收入67108万元，支出49135万元，结余67411万元。其中:机关事业单位基本养老保险基金上年结余2781万元，收入34517万元，支出 36447万元，结余851万元；城乡居民基本养老保险基金上年结余41989万元，收入27477万元，支出11349万元，结余58117万元；城乡居民补充养老保险上年结余4668万元，收入5114万元，支出1339万元，结余8443万元。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（四）国有资本经营决算情况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国有资本经营收支情况</w:t>
      </w:r>
    </w:p>
    <w:p>
      <w:pPr>
        <w:widowControl w:val="0"/>
        <w:wordWrap/>
        <w:spacing w:line="620" w:lineRule="exact"/>
        <w:ind w:left="0" w:leftChars="0" w:right="0" w:firstLine="648" w:firstLineChars="200"/>
        <w:jc w:val="both"/>
        <w:textAlignment w:val="auto"/>
        <w:outlineLvl w:val="9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国有资本经营预算收入7万元，上级补助收入482万元，上年结转515万元，支出734万元，调入一般公共预算7万元，结转下年263万元。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国有及国有控股企业盈亏情况</w:t>
      </w:r>
    </w:p>
    <w:p>
      <w:pPr>
        <w:pStyle w:val="8"/>
        <w:widowControl w:val="0"/>
        <w:wordWrap/>
        <w:spacing w:line="620" w:lineRule="exact"/>
        <w:ind w:left="0" w:leftChars="0" w:right="0" w:firstLine="600"/>
        <w:jc w:val="both"/>
        <w:rPr>
          <w:rFonts w:hint="eastAsia" w:ascii="仿宋_GB2312" w:eastAsia="仿宋_GB2312"/>
          <w:color w:val="000000"/>
          <w:spacing w:val="2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eastAsia="仿宋_GB2312"/>
          <w:color w:val="000000"/>
          <w:spacing w:val="2"/>
          <w:kern w:val="2"/>
          <w:sz w:val="32"/>
          <w:szCs w:val="32"/>
          <w:highlight w:val="none"/>
          <w:lang w:val="en-US" w:eastAsia="zh-CN" w:bidi="ar-SA"/>
        </w:rPr>
        <w:t>2022年末，我市政府职能部门出资且正常运营的国有及国有控股企业11户，其中：</w:t>
      </w:r>
      <w:r>
        <w:rPr>
          <w:rFonts w:hint="eastAsia" w:ascii="仿宋_GB2312" w:eastAsia="仿宋_GB2312"/>
          <w:b/>
          <w:bCs/>
          <w:color w:val="000000"/>
          <w:spacing w:val="2"/>
          <w:kern w:val="2"/>
          <w:sz w:val="32"/>
          <w:szCs w:val="32"/>
          <w:highlight w:val="none"/>
          <w:lang w:val="en-US" w:eastAsia="zh-CN" w:bidi="ar-SA"/>
        </w:rPr>
        <w:t>盈利企业</w:t>
      </w:r>
      <w:r>
        <w:rPr>
          <w:rFonts w:hint="eastAsia" w:ascii="仿宋_GB2312" w:eastAsia="仿宋_GB2312"/>
          <w:color w:val="000000"/>
          <w:spacing w:val="2"/>
          <w:kern w:val="2"/>
          <w:sz w:val="32"/>
          <w:szCs w:val="32"/>
          <w:highlight w:val="none"/>
          <w:lang w:val="en-US" w:eastAsia="zh-CN" w:bidi="ar-SA"/>
        </w:rPr>
        <w:t>1户为蒲坂城市建设投资集团有限公司103.2万元；</w:t>
      </w:r>
      <w:r>
        <w:rPr>
          <w:rFonts w:hint="eastAsia" w:ascii="仿宋_GB2312" w:eastAsia="仿宋_GB2312"/>
          <w:b/>
          <w:bCs/>
          <w:color w:val="000000"/>
          <w:spacing w:val="2"/>
          <w:kern w:val="2"/>
          <w:sz w:val="32"/>
          <w:szCs w:val="32"/>
          <w:highlight w:val="none"/>
          <w:lang w:val="en-US" w:eastAsia="zh-CN" w:bidi="ar-SA"/>
        </w:rPr>
        <w:t>亏损企业</w:t>
      </w:r>
      <w:r>
        <w:rPr>
          <w:rFonts w:hint="eastAsia" w:ascii="仿宋_GB2312" w:eastAsia="仿宋_GB2312"/>
          <w:color w:val="000000"/>
          <w:spacing w:val="2"/>
          <w:kern w:val="2"/>
          <w:sz w:val="32"/>
          <w:szCs w:val="32"/>
          <w:highlight w:val="none"/>
          <w:lang w:val="en-US" w:eastAsia="zh-CN" w:bidi="ar-SA"/>
        </w:rPr>
        <w:t>10户，亏损额3477.6万元，主要是普救寺旅游有限公司930.5万元，山西鹳雀楼旅游集团有限公司539.6万元，山西鹳雀楼集团永济五老峰旅游有限公司496.2万元，城乡供水有限公司459.5万元，新纪元商业集团有限公司296.1万元，视佳广播电视网络传输有限公司288万元，经济技术开发区实业发展有限责任公司254.8万元，市政工程公司210.3万元，军粮供应有限公司2.5万元，粟济储备粮有限公司0.1万元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（五）其他需要说明的情况</w:t>
      </w:r>
    </w:p>
    <w:p>
      <w:pPr>
        <w:pStyle w:val="9"/>
        <w:widowControl w:val="0"/>
        <w:wordWrap/>
        <w:spacing w:line="620" w:lineRule="exact"/>
        <w:ind w:left="0" w:leftChars="0" w:right="0" w:firstLine="648"/>
        <w:rPr>
          <w:rFonts w:hint="default" w:ascii="仿宋_GB2312" w:hAnsi="仿宋_GB2312" w:eastAsia="仿宋_GB2312" w:cs="仿宋_GB2312"/>
          <w:color w:val="FF0000"/>
          <w:spacing w:val="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shd w:val="clear" w:color="auto" w:fill="FFFFFF"/>
        </w:rPr>
        <w:t>地方政府债务情况。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</w:rPr>
        <w:t>年底我市政府债务余额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182900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</w:rPr>
        <w:t>万元，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eastAsia="zh-CN"/>
        </w:rPr>
        <w:t>未超过政府债务限额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182900万元。按期偿还到期的政府性债务本息，偿还地方政府债券本金18600万元，利息5423.66万元，合计24023.66万元。</w:t>
      </w:r>
    </w:p>
    <w:p>
      <w:pPr>
        <w:widowControl w:val="0"/>
        <w:numPr>
          <w:numId w:val="0"/>
        </w:numPr>
        <w:wordWrap/>
        <w:spacing w:line="620" w:lineRule="exact"/>
        <w:ind w:left="0" w:leftChars="0" w:right="0" w:firstLine="651" w:firstLineChars="200"/>
        <w:jc w:val="both"/>
        <w:textAlignment w:val="auto"/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shd w:val="clear" w:color="auto" w:fill="FFFFFF"/>
        </w:rPr>
        <w:t>“三公”经费支出情况。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</w:rPr>
        <w:t>贯彻厉行勤俭节约，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eastAsia="zh-CN"/>
        </w:rPr>
        <w:t>严格实行“双控”管理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</w:rPr>
        <w:t>，全年“三公”经费支出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631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</w:rPr>
        <w:t>万元，比上年减少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</w:rPr>
        <w:t>万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eastAsia="zh-CN"/>
        </w:rPr>
        <w:t>元。其中：公务用车运行维护费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337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eastAsia="zh-CN"/>
        </w:rPr>
        <w:t>万元，公务用车购置费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144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eastAsia="zh-CN"/>
        </w:rPr>
        <w:t>万元，公务接待费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shd w:val="clear" w:color="auto" w:fill="FFFFFF"/>
          <w:lang w:eastAsia="zh-CN"/>
        </w:rPr>
        <w:t>万元。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黑体" w:hAnsi="黑体" w:eastAsia="黑体" w:cs="黑体"/>
          <w:spacing w:val="2"/>
          <w:sz w:val="32"/>
          <w:szCs w:val="32"/>
        </w:rPr>
      </w:pPr>
      <w:r>
        <w:rPr>
          <w:rFonts w:hint="eastAsia" w:ascii="黑体" w:hAnsi="黑体" w:eastAsia="黑体" w:cs="黑体"/>
          <w:spacing w:val="2"/>
          <w:sz w:val="32"/>
          <w:szCs w:val="32"/>
        </w:rPr>
        <w:t>二、202</w:t>
      </w:r>
      <w:r>
        <w:rPr>
          <w:rFonts w:hint="eastAsia" w:ascii="黑体" w:hAnsi="黑体" w:eastAsia="黑体" w:cs="黑体"/>
          <w:spacing w:val="2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pacing w:val="2"/>
          <w:sz w:val="32"/>
          <w:szCs w:val="32"/>
        </w:rPr>
        <w:t>年上半年财政预算执行情况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</w:rPr>
        <w:t>（一）一般公共预算收支完成情况</w:t>
      </w:r>
    </w:p>
    <w:p>
      <w:pPr>
        <w:widowControl w:val="0"/>
        <w:wordWrap/>
        <w:spacing w:line="620" w:lineRule="exact"/>
        <w:ind w:left="0" w:leftChars="0" w:right="0" w:firstLine="64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一般公共预算收入完成情况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val="en-US" w:eastAsia="zh-CN"/>
        </w:rPr>
        <w:t xml:space="preserve"> </w:t>
      </w:r>
    </w:p>
    <w:p>
      <w:pPr>
        <w:pStyle w:val="10"/>
        <w:widowControl w:val="0"/>
        <w:wordWrap/>
        <w:spacing w:line="620" w:lineRule="exact"/>
        <w:ind w:left="0" w:leftChars="0" w:right="0" w:firstLine="648" w:firstLineChars="200"/>
        <w:rPr>
          <w:rFonts w:hint="default" w:ascii="仿宋_GB2312" w:hAnsi="宋体" w:eastAsia="仿宋_GB2312"/>
          <w:color w:val="000000"/>
          <w:spacing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  <w:lang w:eastAsia="zh-CN"/>
        </w:rPr>
        <w:t>上半年一般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公共预算收入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val="en-US" w:eastAsia="zh-CN"/>
        </w:rPr>
        <w:t>32942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</w:rPr>
        <w:t>，同比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82.5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  <w:lang w:eastAsia="zh-CN"/>
        </w:rPr>
        <w:t>增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</w:rPr>
        <w:t>收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14892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</w:rPr>
        <w:t>万元。</w:t>
      </w:r>
      <w:r>
        <w:rPr>
          <w:rFonts w:hint="eastAsia" w:ascii="仿宋_GB2312" w:hAnsi="宋体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 xml:space="preserve">   </w:t>
      </w:r>
    </w:p>
    <w:p>
      <w:pPr>
        <w:widowControl w:val="0"/>
        <w:wordWrap/>
        <w:spacing w:line="620" w:lineRule="exact"/>
        <w:ind w:left="0" w:leftChars="0" w:right="0" w:firstLine="648" w:firstLineChars="200"/>
        <w:contextualSpacing/>
        <w:rPr>
          <w:rFonts w:hint="eastAsia" w:ascii="仿宋_GB2312" w:hAnsi="宋体" w:eastAsia="仿宋_GB2312"/>
          <w:spacing w:val="2"/>
          <w:sz w:val="32"/>
          <w:szCs w:val="32"/>
          <w:highlight w:val="yellow"/>
          <w:lang w:eastAsia="zh-CN"/>
        </w:rPr>
      </w:pPr>
      <w:r>
        <w:rPr>
          <w:rFonts w:hint="eastAsia" w:ascii="仿宋_GB2312" w:hAnsi="宋体" w:eastAsia="仿宋_GB2312"/>
          <w:color w:val="000000"/>
          <w:spacing w:val="2"/>
          <w:kern w:val="2"/>
          <w:sz w:val="32"/>
          <w:szCs w:val="32"/>
          <w:highlight w:val="none"/>
          <w:lang w:val="en-US" w:eastAsia="zh-CN" w:bidi="ar-SA"/>
        </w:rPr>
        <w:t>分部门征收情况：税务部门完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成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val="en-US" w:eastAsia="zh-CN"/>
        </w:rPr>
        <w:t>25931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val="en-US" w:eastAsia="zh-CN"/>
        </w:rPr>
        <w:t>111.1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eastAsia="zh-CN"/>
        </w:rPr>
        <w:t>增收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val="en-US" w:eastAsia="zh-CN"/>
        </w:rPr>
        <w:t>13649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；财政部门</w:t>
      </w:r>
      <w:r>
        <w:rPr>
          <w:rFonts w:hint="eastAsia" w:ascii="仿宋_GB2312" w:hAnsi="仿宋_GB2312" w:eastAsia="仿宋_GB2312" w:cs="仿宋_GB2312"/>
          <w:bCs/>
          <w:spacing w:val="2"/>
          <w:sz w:val="32"/>
          <w:szCs w:val="32"/>
          <w:highlight w:val="none"/>
        </w:rPr>
        <w:t>完成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val="en-US" w:eastAsia="zh-CN"/>
        </w:rPr>
        <w:t>7011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val="en-US" w:eastAsia="zh-CN"/>
        </w:rPr>
        <w:t>21.5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%，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eastAsia="zh-CN"/>
        </w:rPr>
        <w:t>增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收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val="en-US" w:eastAsia="zh-CN"/>
        </w:rPr>
        <w:t>1243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hAnsi="宋体" w:eastAsia="仿宋_GB2312"/>
          <w:spacing w:val="2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spacing w:line="620" w:lineRule="exact"/>
        <w:ind w:left="0" w:leftChars="0" w:right="0" w:firstLine="651" w:firstLineChars="200"/>
        <w:contextualSpacing/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2"/>
          <w:sz w:val="32"/>
          <w:szCs w:val="32"/>
          <w:highlight w:val="none"/>
        </w:rPr>
        <w:t>主要项目完成情况：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增值税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10626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69.6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%，同比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756.2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企业所得税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2510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77.3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%，同比增长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33.9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个人所得税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301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53.8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%，同比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58.5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城市维护建设税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1730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61.8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%，同比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98.6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房产税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1125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62.5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%，同比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11.7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土地增值税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1515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58.3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%，同比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21.3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环境保护税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63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万元，占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调整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预算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47.4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%，同比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  <w:lang w:val="en-US" w:eastAsia="zh-CN"/>
        </w:rPr>
        <w:t>28.4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highlight w:val="none"/>
        </w:rPr>
        <w:t>%。</w:t>
      </w:r>
    </w:p>
    <w:p>
      <w:pPr>
        <w:widowControl w:val="0"/>
        <w:wordWrap/>
        <w:spacing w:line="620" w:lineRule="exact"/>
        <w:ind w:left="0" w:leftChars="0" w:right="0" w:firstLine="651" w:firstLineChars="200"/>
        <w:contextualSpacing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spacing w:val="2"/>
          <w:sz w:val="32"/>
          <w:szCs w:val="32"/>
          <w:highlight w:val="none"/>
        </w:rPr>
        <w:t>增</w:t>
      </w:r>
      <w:r>
        <w:rPr>
          <w:rFonts w:hint="eastAsia" w:ascii="仿宋_GB2312" w:hAnsi="仿宋_GB2312" w:eastAsia="仿宋_GB2312" w:cs="仿宋_GB2312"/>
          <w:b/>
          <w:spacing w:val="2"/>
          <w:sz w:val="32"/>
          <w:szCs w:val="32"/>
          <w:highlight w:val="none"/>
          <w:lang w:eastAsia="zh-CN"/>
        </w:rPr>
        <w:t>减</w:t>
      </w:r>
      <w:r>
        <w:rPr>
          <w:rFonts w:hint="eastAsia" w:ascii="仿宋_GB2312" w:hAnsi="仿宋_GB2312" w:eastAsia="仿宋_GB2312" w:cs="仿宋_GB2312"/>
          <w:b/>
          <w:spacing w:val="2"/>
          <w:sz w:val="32"/>
          <w:szCs w:val="32"/>
          <w:highlight w:val="none"/>
        </w:rPr>
        <w:t>因素</w:t>
      </w:r>
      <w:r>
        <w:rPr>
          <w:rFonts w:hint="eastAsia" w:ascii="仿宋_GB2312" w:hAnsi="仿宋_GB2312" w:eastAsia="仿宋_GB2312" w:cs="仿宋_GB2312"/>
          <w:b/>
          <w:spacing w:val="2"/>
          <w:sz w:val="32"/>
          <w:szCs w:val="32"/>
          <w:highlight w:val="none"/>
          <w:lang w:eastAsia="zh-CN"/>
        </w:rPr>
        <w:t>分析</w:t>
      </w:r>
      <w:r>
        <w:rPr>
          <w:rFonts w:hint="eastAsia" w:ascii="仿宋_GB2312" w:hAnsi="仿宋_GB2312" w:eastAsia="仿宋_GB2312" w:cs="仿宋_GB2312"/>
          <w:b/>
          <w:spacing w:val="2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</w:rPr>
        <w:t>增值税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增幅较大</w:t>
      </w:r>
      <w:r>
        <w:rPr>
          <w:rFonts w:hint="eastAsia" w:ascii="仿宋_GB2312" w:hAnsi="仿宋_GB2312" w:eastAsia="仿宋_GB2312" w:cs="仿宋_GB2312"/>
          <w:sz w:val="32"/>
          <w:szCs w:val="32"/>
        </w:rPr>
        <w:t>，主要原因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是</w:t>
      </w:r>
      <w:r>
        <w:rPr>
          <w:rFonts w:hint="eastAsia" w:ascii="仿宋_GB2312" w:hAnsi="仿宋_GB2312" w:eastAsia="仿宋_GB2312" w:cs="仿宋_GB2312"/>
          <w:sz w:val="32"/>
          <w:szCs w:val="32"/>
        </w:rPr>
        <w:t>上年同期大规模留抵退税，今年同比增加税款7623万元。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企业所得税增加636万元，主要是山西丰喜化工设备有限公司增加467万元。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三是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个人所得税减少424万元，主要是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</w:t>
      </w:r>
      <w:r>
        <w:rPr>
          <w:rFonts w:hint="eastAsia" w:ascii="仿宋_GB2312" w:hAnsi="仿宋_GB2312" w:eastAsia="仿宋_GB2312" w:cs="仿宋_GB2312"/>
          <w:sz w:val="32"/>
          <w:szCs w:val="32"/>
        </w:rPr>
        <w:t>年同期农商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</w:t>
      </w:r>
      <w:r>
        <w:rPr>
          <w:rFonts w:hint="eastAsia" w:ascii="仿宋_GB2312" w:hAnsi="仿宋_GB2312" w:eastAsia="仿宋_GB2312" w:cs="仿宋_GB2312"/>
          <w:sz w:val="32"/>
          <w:szCs w:val="32"/>
        </w:rPr>
        <w:t>股权转让所得缴纳个人所得税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，今年无此业务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四是</w:t>
      </w:r>
      <w:r>
        <w:rPr>
          <w:rFonts w:hint="eastAsia" w:ascii="仿宋_GB2312" w:hAnsi="仿宋_GB2312" w:eastAsia="仿宋_GB2312" w:cs="仿宋_GB2312"/>
          <w:sz w:val="32"/>
          <w:szCs w:val="32"/>
        </w:rPr>
        <w:t>车船税增加3949万元，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主要是</w:t>
      </w:r>
      <w:r>
        <w:rPr>
          <w:rFonts w:hint="eastAsia" w:ascii="仿宋_GB2312" w:hAnsi="仿宋_GB2312" w:eastAsia="仿宋_GB2312" w:cs="仿宋_GB2312"/>
          <w:sz w:val="32"/>
          <w:szCs w:val="32"/>
        </w:rPr>
        <w:t>保险业务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量</w:t>
      </w:r>
      <w:r>
        <w:rPr>
          <w:rFonts w:hint="eastAsia" w:ascii="仿宋_GB2312" w:hAnsi="仿宋_GB2312" w:eastAsia="仿宋_GB2312" w:cs="仿宋_GB2312"/>
          <w:sz w:val="32"/>
          <w:szCs w:val="32"/>
        </w:rPr>
        <w:t>增加，税款增加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五是</w:t>
      </w:r>
      <w:r>
        <w:rPr>
          <w:rFonts w:hint="eastAsia" w:ascii="仿宋_GB2312" w:hAnsi="仿宋_GB2312" w:eastAsia="仿宋_GB2312" w:cs="仿宋_GB2312"/>
          <w:sz w:val="32"/>
          <w:szCs w:val="32"/>
        </w:rPr>
        <w:t>非税收入增加1243万元，主要是国有资产有偿使用收入增加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spacing w:line="620" w:lineRule="exact"/>
        <w:ind w:left="0" w:leftChars="0" w:right="0" w:firstLine="651" w:firstLineChars="20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一般公共预算支出执行情况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default" w:ascii="仿宋_GB2312" w:eastAsia="仿宋_GB2312"/>
          <w:color w:val="FF0000"/>
          <w:spacing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上半年一般公共预算支出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160624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13.1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%。主要项目支出情况是：一般公共服务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13972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11.7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%；公共安全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4122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%；教育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33595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3.9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%；文化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旅游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体育与传媒支出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9240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71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%；社会保障和就业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41364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35.6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%；卫生健康支出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11658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12.8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%；节能环保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1290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53.1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%;城乡社区支出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5644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20.8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%；农林水支出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21142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9.5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</w:t>
      </w:r>
      <w:r>
        <w:rPr>
          <w:rFonts w:hint="eastAsia" w:ascii="仿宋_GB2312" w:hAnsi="宋体" w:eastAsia="仿宋_GB2312" w:cs="宋体"/>
          <w:color w:val="000000"/>
          <w:spacing w:val="2"/>
          <w:sz w:val="32"/>
          <w:szCs w:val="32"/>
          <w:highlight w:val="none"/>
        </w:rPr>
        <w:t>交通运输支出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8407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108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，主要是上级专项资金增加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；</w:t>
      </w:r>
      <w:r>
        <w:rPr>
          <w:rFonts w:hint="eastAsia" w:ascii="仿宋_GB2312" w:hAnsi="宋体" w:eastAsia="仿宋_GB2312" w:cs="宋体"/>
          <w:color w:val="000000"/>
          <w:spacing w:val="2"/>
          <w:sz w:val="32"/>
          <w:szCs w:val="32"/>
          <w:highlight w:val="none"/>
        </w:rPr>
        <w:t>资源勘探</w:t>
      </w:r>
      <w:r>
        <w:rPr>
          <w:rFonts w:hint="eastAsia" w:ascii="仿宋_GB2312" w:hAnsi="宋体" w:eastAsia="仿宋_GB2312" w:cs="宋体"/>
          <w:color w:val="000000"/>
          <w:spacing w:val="2"/>
          <w:sz w:val="32"/>
          <w:szCs w:val="32"/>
          <w:highlight w:val="none"/>
          <w:lang w:eastAsia="zh-CN"/>
        </w:rPr>
        <w:t>工业</w:t>
      </w:r>
      <w:r>
        <w:rPr>
          <w:rFonts w:hint="eastAsia" w:ascii="仿宋_GB2312" w:hAnsi="宋体" w:eastAsia="仿宋_GB2312" w:cs="宋体"/>
          <w:color w:val="000000"/>
          <w:spacing w:val="2"/>
          <w:sz w:val="32"/>
          <w:szCs w:val="32"/>
          <w:highlight w:val="none"/>
        </w:rPr>
        <w:t>信息等支出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3744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157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，主要是扶持光电产业园资金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1500万元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；自然资源海洋气象等事务支出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793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31.1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%；住房保障支出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95.3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，主要是上级专项资金减少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；债务付息支出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2778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8.5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 xml:space="preserve">  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（二）政府性基金收支预算完成情况</w:t>
      </w:r>
    </w:p>
    <w:p>
      <w:pPr>
        <w:widowControl w:val="0"/>
        <w:wordWrap/>
        <w:spacing w:line="620" w:lineRule="exact"/>
        <w:ind w:left="0" w:leftChars="0" w:right="0" w:firstLine="64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政府性基金预算收入完成情况</w:t>
      </w:r>
    </w:p>
    <w:p>
      <w:pPr>
        <w:widowControl w:val="0"/>
        <w:wordWrap/>
        <w:spacing w:line="620" w:lineRule="exact"/>
        <w:ind w:left="0" w:leftChars="0" w:right="0" w:firstLine="630"/>
        <w:rPr>
          <w:rFonts w:hint="eastAsia" w:ascii="仿宋_GB2312" w:hAnsi="仿宋_GB2312" w:eastAsia="仿宋_GB2312" w:cs="仿宋_GB2312"/>
          <w:color w:val="FF0000"/>
          <w:spacing w:val="2"/>
          <w:sz w:val="32"/>
          <w:szCs w:val="32"/>
          <w:highlight w:val="yellow"/>
        </w:rPr>
      </w:pP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上半年政府性基金收入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10368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.9%。主要项目收入情况是：国有土地收益基金收入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185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90.4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%；农业土地开发基金收入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72.7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%；国有土地使用权出让收入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9311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39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%；城市基础设施配套费收入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264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万元，同比下降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58.7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%；污水处理费收入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501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5.9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</w:rPr>
        <w:t>%。</w:t>
      </w:r>
    </w:p>
    <w:p>
      <w:pPr>
        <w:widowControl w:val="0"/>
        <w:wordWrap/>
        <w:spacing w:line="620" w:lineRule="exact"/>
        <w:ind w:left="0" w:leftChars="0" w:right="0" w:firstLine="64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政府性基金预算支出执行情况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仿宋_GB2312" w:eastAsia="仿宋_GB2312"/>
          <w:color w:val="FF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上半年政府性基金支出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39121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%，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减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支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6879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万元。主要项目支出情况是：大中型水库移民后期扶持基金支出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2250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27.8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%；国有土地使用权出让收入安排的支出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10848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63.1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%；国有土地收益基金安排的支出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1260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31.2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%；城市基础设施配套费安排的支出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644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49.1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%；其他政府性基金支出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19505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94.2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债务付息支出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3282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35.2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（三）社会保险基金收支预算完成情况</w:t>
      </w:r>
    </w:p>
    <w:p>
      <w:pPr>
        <w:widowControl w:val="0"/>
        <w:wordWrap/>
        <w:spacing w:line="620" w:lineRule="exact"/>
        <w:ind w:left="0" w:leftChars="0" w:right="0" w:firstLine="64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1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社会保险基金预算收入完成情况</w:t>
      </w:r>
    </w:p>
    <w:p>
      <w:pPr>
        <w:widowControl w:val="0"/>
        <w:wordWrap/>
        <w:spacing w:line="620" w:lineRule="exact"/>
        <w:ind w:left="0" w:leftChars="0" w:right="0" w:firstLine="630"/>
        <w:rPr>
          <w:rFonts w:hint="default" w:ascii="仿宋_GB2312" w:eastAsia="仿宋_GB2312"/>
          <w:color w:val="000000"/>
          <w:spacing w:val="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上半年社会保险基金收入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48444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5.8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%。主要项目收入情况是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: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机关事业单位养老保险收入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29967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,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47.8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%；城乡居民基本养老保险基金收入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14364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45.4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；城乡居民补充养老保险基金收入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4113万元，同比下降14.9%。</w:t>
      </w:r>
    </w:p>
    <w:p>
      <w:pPr>
        <w:widowControl w:val="0"/>
        <w:wordWrap/>
        <w:spacing w:line="620" w:lineRule="exact"/>
        <w:ind w:left="0" w:leftChars="0" w:right="0" w:firstLine="640"/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2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  <w:lang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pacing w:val="2"/>
          <w:sz w:val="32"/>
          <w:szCs w:val="32"/>
          <w:highlight w:val="none"/>
        </w:rPr>
        <w:t>社会保险基金预算支出执行情况</w:t>
      </w:r>
    </w:p>
    <w:p>
      <w:pPr>
        <w:widowControl w:val="0"/>
        <w:wordWrap/>
        <w:spacing w:line="620" w:lineRule="exact"/>
        <w:ind w:left="0" w:leftChars="0" w:right="0" w:firstLine="630"/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上半年社会保险基金支出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24904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14.5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</w:t>
      </w:r>
    </w:p>
    <w:p>
      <w:pPr>
        <w:widowControl w:val="0"/>
        <w:wordWrap/>
        <w:spacing w:line="620" w:lineRule="exact"/>
        <w:ind w:left="0" w:leftChars="0" w:right="0"/>
        <w:rPr>
          <w:rFonts w:hint="eastAsia" w:ascii="仿宋_GB2312" w:eastAsia="仿宋_GB2312"/>
          <w:color w:val="FF0000"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主要项目支出情况是：机关事业单位养老保险基金支出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17947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13.2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%；城乡居民基本养老保险基金支出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6254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19.2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；城乡居民补充养老保险基金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703万元，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同比增长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9.8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。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Cs/>
          <w:spacing w:val="2"/>
          <w:sz w:val="32"/>
          <w:szCs w:val="32"/>
          <w:highlight w:val="none"/>
        </w:rPr>
        <w:t>（四）国有资本经营预算完成情况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8" w:firstLineChars="200"/>
        <w:textAlignment w:val="auto"/>
        <w:rPr>
          <w:rFonts w:hint="default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上半年我市政府职能部门出资且正常运营的国有及国有控股企业共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11户，</w:t>
      </w:r>
      <w:r>
        <w:rPr>
          <w:rFonts w:hint="eastAsia" w:ascii="仿宋_GB2312" w:eastAsia="仿宋_GB2312"/>
          <w:b/>
          <w:bCs/>
          <w:color w:val="000000"/>
          <w:spacing w:val="2"/>
          <w:sz w:val="32"/>
          <w:szCs w:val="32"/>
          <w:highlight w:val="none"/>
          <w:lang w:val="en-US" w:eastAsia="zh-CN"/>
        </w:rPr>
        <w:t>盈利企业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1户为蒲坂城市建设投资集团有限公司。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上半年国有资本经营收入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万元，同比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42.9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%。国有资本经营支出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</w:rPr>
        <w:t>万元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eastAsia="zh-CN"/>
        </w:rPr>
        <w:t>，同比下降</w:t>
      </w:r>
      <w:r>
        <w:rPr>
          <w:rFonts w:hint="eastAsia" w:ascii="仿宋_GB2312" w:eastAsia="仿宋_GB2312"/>
          <w:color w:val="000000"/>
          <w:spacing w:val="2"/>
          <w:sz w:val="32"/>
          <w:szCs w:val="32"/>
          <w:highlight w:val="none"/>
          <w:lang w:val="en-US" w:eastAsia="zh-CN"/>
        </w:rPr>
        <w:t>66.7%。</w:t>
      </w:r>
    </w:p>
    <w:p>
      <w:pPr>
        <w:widowControl w:val="0"/>
        <w:wordWrap/>
        <w:snapToGrid w:val="0"/>
        <w:spacing w:line="620" w:lineRule="exact"/>
        <w:ind w:left="0" w:leftChars="0" w:right="0" w:firstLine="800" w:firstLineChars="25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三、主要工作措施</w:t>
      </w:r>
    </w:p>
    <w:p>
      <w:pPr>
        <w:widowControl w:val="0"/>
        <w:wordWrap/>
        <w:snapToGrid w:val="0"/>
        <w:spacing w:line="620" w:lineRule="exact"/>
        <w:ind w:left="0" w:leftChars="0" w:right="0"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yellow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（一）多措并举，全力提高财政保障能力。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始终坚持将组织财政收入，提高财政保障能力作为财政部门的首要职责。积极拓展增税渠道，培植财源税源，定期研判收入形势，挖掘增收潜力，及时解决组织收入中疑难问题，实现应收尽收、能收尽收。同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主动加强与省厅的联系和沟通，汇报我市实际情况，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分析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财政投资方向，全力以赴争取上级支持。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争取上级转移支付13.4亿元，其中：均衡性转移支付117921万元，比年初增加12286万元，县级财力保障奖补资金16528万元，为我市经济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平稳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运行提供了财力保障。</w:t>
      </w:r>
    </w:p>
    <w:p>
      <w:pPr>
        <w:widowControl w:val="0"/>
        <w:wordWrap/>
        <w:snapToGrid w:val="0"/>
        <w:spacing w:line="620" w:lineRule="exact"/>
        <w:ind w:left="0" w:leftChars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（二）多点发力，努力提升财政管理水平。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规范财政业务管理。印发了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eastAsia="zh-CN"/>
        </w:rPr>
        <w:t>《永济市财政专项资金管理办法》、《关于财政业务审批流程的通知》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优化业务流程，构建管理规范、标准科学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、约束有力的预算管理体制。</w:t>
      </w:r>
      <w:r>
        <w:rPr>
          <w:rFonts w:hint="eastAsia" w:ascii="仿宋_GB2312" w:hAnsi="仿宋_GB2312" w:eastAsia="仿宋_GB2312" w:cs="仿宋_GB2312"/>
          <w:b/>
          <w:color w:val="auto"/>
          <w:spacing w:val="4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加快预算执行进度。在保障“三保”的基础上加大对重点领域支出保障力度，财政实际支出效果明显。</w:t>
      </w:r>
      <w:r>
        <w:rPr>
          <w:rFonts w:hint="eastAsia" w:ascii="仿宋_GB2312" w:hAnsi="仿宋_GB2312" w:eastAsia="仿宋_GB2312" w:cs="仿宋_GB2312"/>
          <w:color w:val="000000"/>
          <w:spacing w:val="2"/>
          <w:sz w:val="32"/>
          <w:szCs w:val="32"/>
          <w:highlight w:val="none"/>
          <w:lang w:val="en-US" w:eastAsia="zh-CN"/>
        </w:rPr>
        <w:t>5月份一般公共预算支出进度全省排名第五名，6月份全省排名第二名。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稳步推进政府采购工作。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完成政府采购备案手续291笔，节约资金54.65万元。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加大财政评审力度。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完成评审项目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个，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审定金额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18273.14万元，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审减率为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17.25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全面实施预算绩效管理。优化绩效目标管理，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加快一体化系统操作流程，确保资金及时拨付。审核绩效管理项目2131条，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涉及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金额共计29.4亿元。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（三）凝心聚力，兜实兜牢民生保障底线。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优化财政支出结构，加大对社会各项民生事业的投入力度，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提升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民众幸福感和归属感。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提高社保群体待遇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</w:rPr>
        <w:t>社会保障和就业支出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  <w:t>41364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积极落实民生政策，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努力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实现“劳有所得”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“老有所养”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“奉有所优”。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</w:rPr>
        <w:t>卫生健康支出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val="en-US" w:eastAsia="zh-CN"/>
        </w:rPr>
        <w:t>11658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</w:rPr>
        <w:t>万元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  <w:lang w:eastAsia="zh-CN"/>
        </w:rPr>
        <w:t>，不断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提升医疗服务水平，实现“病有所医”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pacing w:val="8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pacing w:val="8"/>
          <w:sz w:val="32"/>
          <w:szCs w:val="32"/>
        </w:rPr>
        <w:t>支持乡村振兴。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通过惠农补贴“一卡通”发放惠农补贴资金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7587.96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争取一事一议财政奖补资金1250万元、城镇保障性安居工程补助资金384万元、彩票公益金345.14万元，全力保障乡村振兴工作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有序开展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助推教育优先发展。加大教育投入力度，推动教育高质量发展。教育支出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33595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万元，同比增长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3.9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%。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四是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支持文旅快速发展。依托“543”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现代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产业矩阵，推进“文化+生态+旅游”融合发展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，为我市文旅事业快速发展提供财力保障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widowControl w:val="0"/>
        <w:wordWrap/>
        <w:adjustRightInd/>
        <w:snapToGrid/>
        <w:spacing w:line="620" w:lineRule="exact"/>
        <w:ind w:left="0" w:leftChars="0" w:right="0"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（四）严控风险，不断强化底线思维。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-SA"/>
        </w:rPr>
        <w:t>加强政府债务管理，在限额内举借政府债务，用好政府债券资金，牢固树立防范债务风险底线思维，通过确定偿还资金来源、按期核对本息金额、准确掌握偿债时间等措施，确保按时偿还本息。已偿还到期本金1200万元，到期利息6060万元。</w:t>
      </w:r>
    </w:p>
    <w:p>
      <w:pPr>
        <w:widowControl w:val="0"/>
        <w:wordWrap/>
        <w:adjustRightInd/>
        <w:snapToGrid w:val="0"/>
        <w:spacing w:line="620" w:lineRule="exact"/>
        <w:ind w:left="0" w:leftChars="0" w:right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yellow"/>
          <w:lang w:val="en-US" w:eastAsia="zh-CN"/>
        </w:rPr>
      </w:pPr>
      <w:r>
        <w:rPr>
          <w:rFonts w:hint="eastAsia" w:ascii="楷体" w:hAnsi="楷体" w:eastAsia="楷体" w:cs="楷体"/>
          <w:color w:val="000000"/>
          <w:sz w:val="32"/>
          <w:szCs w:val="32"/>
          <w:highlight w:val="none"/>
          <w:lang w:eastAsia="zh-CN"/>
        </w:rPr>
        <w:t>（五）依法理财，加强财政监督检查。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完成预决算公开自查自纠工作，针对检查出的问题及时反馈，确保反馈的问题及时整改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是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eastAsia="zh-CN"/>
        </w:rPr>
        <w:t>做好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2023年度财会监督工作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根据上级财政部门统一安排部署，制定检查实施方案，专人负责并成立检查组，细化工作任务，对民政局、经济技术开发区、山西鹳雀楼文化旅游产业发展有限公司进行了检查，将财会监督专项行动工作落到实处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highlight w:val="none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开展公平竞争审查工作，依照“谁制定，谁清理”“谁起草、谁审查”的原则，对上半年印发的文件进行了全面的审查和清理，确保没有违反市场主体经济活动的规章、规范性文件和其他政策文件。</w:t>
      </w:r>
    </w:p>
    <w:p>
      <w:pPr>
        <w:widowControl w:val="0"/>
        <w:wordWrap/>
        <w:adjustRightInd/>
        <w:spacing w:line="640" w:lineRule="exact"/>
        <w:ind w:left="0" w:leftChars="0" w:right="0" w:firstLine="648" w:firstLineChars="200"/>
        <w:jc w:val="both"/>
        <w:outlineLvl w:val="9"/>
        <w:rPr>
          <w:rFonts w:hint="eastAsia" w:ascii="黑体" w:hAnsi="黑体" w:eastAsia="黑体" w:cs="黑体"/>
          <w:spacing w:val="2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pacing w:val="2"/>
          <w:sz w:val="32"/>
          <w:szCs w:val="32"/>
          <w:highlight w:val="none"/>
        </w:rPr>
        <w:t>四、存在的困难和问题</w:t>
      </w:r>
    </w:p>
    <w:p>
      <w:pPr>
        <w:widowControl w:val="0"/>
        <w:wordWrap/>
        <w:adjustRightInd/>
        <w:snapToGrid w:val="0"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上半年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认真贯彻落实各项政策，取得了一定的成绩，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但仍存在一些问题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</w:rPr>
        <w:t>税源基础不稳固，重点税源企业增收乏力，新招商企业短期内不能达产增效，</w:t>
      </w:r>
      <w:r>
        <w:rPr>
          <w:rFonts w:hint="eastAsia" w:ascii="仿宋_GB2312" w:hAnsi="仿宋_GB2312" w:eastAsia="仿宋_GB2312" w:cs="仿宋_GB2312"/>
          <w:color w:val="auto"/>
          <w:spacing w:val="4"/>
          <w:sz w:val="32"/>
          <w:szCs w:val="32"/>
          <w:lang w:eastAsia="zh-CN"/>
        </w:rPr>
        <w:t>财政收入增收依然有压力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新增刚性支出及民生领域需求大，财政平衡难度较大。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eastAsia="zh-CN"/>
        </w:rPr>
        <w:t>三是</w:t>
      </w:r>
      <w:r>
        <w:rPr>
          <w:rFonts w:hint="eastAsia" w:ascii="仿宋_GB2312" w:hAnsi="仿宋_GB2312" w:eastAsia="仿宋_GB2312" w:cs="仿宋_GB2312"/>
          <w:spacing w:val="2"/>
          <w:sz w:val="32"/>
          <w:szCs w:val="40"/>
          <w:highlight w:val="none"/>
          <w:lang w:eastAsia="zh-CN"/>
        </w:rPr>
        <w:t>财政</w:t>
      </w:r>
      <w:r>
        <w:rPr>
          <w:rFonts w:hint="eastAsia" w:ascii="仿宋_GB2312" w:hAnsi="仿宋_GB2312" w:eastAsia="仿宋_GB2312" w:cs="仿宋_GB2312"/>
          <w:spacing w:val="2"/>
          <w:sz w:val="32"/>
          <w:szCs w:val="40"/>
          <w:lang w:eastAsia="zh-CN"/>
        </w:rPr>
        <w:t>还本付息压力大。对此，我们高度重视，积极应对，切实采取有效措施加以解决。</w:t>
      </w:r>
    </w:p>
    <w:p>
      <w:pPr>
        <w:widowControl w:val="0"/>
        <w:wordWrap/>
        <w:adjustRightInd/>
        <w:spacing w:line="640" w:lineRule="exact"/>
        <w:ind w:left="0" w:leftChars="0" w:right="0" w:firstLine="648" w:firstLineChars="200"/>
        <w:jc w:val="both"/>
        <w:outlineLvl w:val="9"/>
        <w:rPr>
          <w:rFonts w:hint="eastAsia" w:ascii="黑体" w:hAnsi="黑体" w:eastAsia="黑体" w:cs="黑体"/>
          <w:spacing w:val="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pacing w:val="2"/>
          <w:sz w:val="32"/>
          <w:szCs w:val="40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spacing w:val="2"/>
          <w:sz w:val="32"/>
          <w:szCs w:val="32"/>
          <w:highlight w:val="none"/>
        </w:rPr>
        <w:t>五、下一步工作措施</w:t>
      </w:r>
    </w:p>
    <w:p>
      <w:pPr>
        <w:pStyle w:val="4"/>
        <w:widowControl w:val="0"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wordWrap/>
        <w:adjustRightInd/>
        <w:snapToGrid w:val="0"/>
        <w:spacing w:line="62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（一）持续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强化财政收支管理。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强化财政收入征管。围绕全年财政收入目标，持续培育税收增长点，积极挖掘收入增长潜力，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确保完成全年收入调整计划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优化支出结构。兜牢兜实“三保”底线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坚持集中财力办大事，加大对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教育、社会保障、医疗卫生、乡村振兴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等重点领域的财力保障。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加强预算执行控制。严格按规定批复下达预算，加强预算执行动态监控，严禁超预算、无预算支出。</w:t>
      </w:r>
    </w:p>
    <w:p>
      <w:pPr>
        <w:widowControl w:val="0"/>
        <w:wordWrap/>
        <w:adjustRightInd/>
        <w:snapToGrid w:val="0"/>
        <w:spacing w:line="640" w:lineRule="exact"/>
        <w:ind w:left="0" w:leftChars="0" w:right="0" w:firstLine="648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kern w:val="2"/>
          <w:sz w:val="32"/>
          <w:szCs w:val="32"/>
          <w:lang w:val="en-US" w:eastAsia="zh-CN" w:bidi="ar-SA"/>
        </w:rPr>
        <w:t>（二）不断加大向上争取资金力度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认真研究国家和省支持经济发展的各项政策措施，及时掌握中央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财政政策，提前摸准政策导向，围绕全市经济发展战略目标，主动搞好对接，为我市争取更多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上级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资金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，有效支持全市经济发展。</w:t>
      </w:r>
    </w:p>
    <w:p>
      <w:pPr>
        <w:widowControl w:val="0"/>
        <w:wordWrap/>
        <w:adjustRightInd/>
        <w:snapToGrid w:val="0"/>
        <w:spacing w:line="660" w:lineRule="exact"/>
        <w:ind w:left="0" w:leftChars="0" w:right="0" w:firstLine="640" w:firstLineChars="200"/>
        <w:jc w:val="both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（三）全力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提升财政</w:t>
      </w:r>
      <w:r>
        <w:rPr>
          <w:rFonts w:hint="eastAsia" w:ascii="楷体" w:hAnsi="楷体" w:eastAsia="楷体" w:cs="楷体"/>
          <w:color w:val="auto"/>
          <w:sz w:val="32"/>
          <w:szCs w:val="32"/>
          <w:lang w:eastAsia="zh-CN"/>
        </w:rPr>
        <w:t>管理水平</w:t>
      </w:r>
      <w:r>
        <w:rPr>
          <w:rFonts w:hint="eastAsia" w:ascii="楷体" w:hAnsi="楷体" w:eastAsia="楷体" w:cs="楷体"/>
          <w:color w:val="auto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一是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继续深化预算管理改革。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依托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预算管理一体化2.0系统，全面提高预算管理规范化、标准化和信息化水平。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二是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提升绩效管理水平。加强绩效评价结果运用，作为完善财政政策、科学安排预算的重要依据，最大限度提升财政资金的使用效益。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三是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强化政府债务管理。统筹做好政府债券资金促发展和防风险两方面工作，尤其是在专项债券资金使用方向上，向重大项目倾斜，发挥部门联动效应，统筹谋划，积极用好政府债券资金。严格落实隐性债务化债方案，坚决遏制新增隐性债务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pacing w:line="640" w:lineRule="exact"/>
        <w:ind w:left="0" w:leftChars="0" w:right="0" w:firstLine="648" w:firstLineChars="200"/>
        <w:jc w:val="both"/>
        <w:outlineLvl w:val="9"/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主任、副主任、各位委员，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下半年我市财政形势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依然严峻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，财政收支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平衡压力很大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，我们决心在市委的正确领导下，在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pacing w:val="2"/>
          <w:sz w:val="32"/>
          <w:szCs w:val="32"/>
        </w:rPr>
        <w:t>人大的监督支持下，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踔厉奋发、笃行不怠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，扎实做好各项工作，为推动我市经济高质量发展贡献财政力量！</w:t>
      </w:r>
    </w:p>
    <w:p>
      <w:pPr>
        <w:widowControl w:val="0"/>
        <w:wordWrap/>
        <w:adjustRightInd/>
        <w:spacing w:beforeAutospacing="0" w:afterAutospacing="0" w:line="620" w:lineRule="exact"/>
        <w:ind w:left="0" w:leftChars="0" w:right="0" w:firstLine="645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pacing w:val="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" w:eastAsia="仿宋_GB2312" w:cs="楷体"/>
          <w:color w:val="auto"/>
          <w:sz w:val="32"/>
          <w:szCs w:val="32"/>
        </w:rPr>
        <w:t>以上报告，请予审议。</w:t>
      </w:r>
      <w:r>
        <w:rPr>
          <w:rFonts w:hint="eastAsia" w:ascii="仿宋_GB2312" w:hAnsi="仿宋_GB2312" w:eastAsia="仿宋_GB2312" w:cs="仿宋_GB2312"/>
          <w:b w:val="0"/>
          <w:bCs w:val="0"/>
          <w:spacing w:val="2"/>
          <w:kern w:val="2"/>
          <w:sz w:val="32"/>
          <w:szCs w:val="32"/>
          <w:lang w:val="en-US" w:eastAsia="zh-CN" w:bidi="ar-SA"/>
        </w:rPr>
        <w:t xml:space="preserve">                          </w:t>
      </w:r>
    </w:p>
    <w:p>
      <w:pPr>
        <w:widowControl w:val="0"/>
        <w:wordWrap/>
        <w:spacing w:line="620" w:lineRule="exact"/>
        <w:ind w:left="0" w:leftChars="0" w:right="0" w:firstLine="648" w:firstLineChars="200"/>
        <w:rPr>
          <w:rFonts w:hint="eastAsia" w:ascii="仿宋_GB2312" w:hAnsi="仿宋_GB2312" w:eastAsia="仿宋_GB2312" w:cs="仿宋_GB2312"/>
          <w:spacing w:val="2"/>
          <w:sz w:val="32"/>
          <w:szCs w:val="32"/>
          <w:highlight w:val="yellow"/>
        </w:rPr>
      </w:pPr>
    </w:p>
    <w:p>
      <w:pPr>
        <w:widowControl w:val="0"/>
        <w:wordWrap/>
        <w:spacing w:line="620" w:lineRule="exact"/>
        <w:ind w:left="0" w:leftChars="0" w:right="0" w:firstLine="5832" w:firstLineChars="1800"/>
        <w:jc w:val="both"/>
        <w:rPr>
          <w:rFonts w:hint="eastAsia" w:ascii="仿宋_GB2312" w:eastAsia="仿宋_GB2312"/>
          <w:spacing w:val="2"/>
          <w:sz w:val="32"/>
          <w:szCs w:val="32"/>
        </w:rPr>
      </w:pPr>
      <w:r>
        <w:rPr>
          <w:rFonts w:hint="eastAsia" w:ascii="仿宋_GB2312" w:eastAsia="仿宋_GB2312"/>
          <w:spacing w:val="2"/>
          <w:sz w:val="32"/>
          <w:szCs w:val="32"/>
        </w:rPr>
        <w:t xml:space="preserve"> </w:t>
      </w:r>
    </w:p>
    <w:p>
      <w:pPr>
        <w:pStyle w:val="2"/>
        <w:widowControl w:val="0"/>
        <w:wordWrap/>
        <w:spacing w:before="0" w:after="0" w:line="620" w:lineRule="exact"/>
        <w:ind w:left="0" w:leftChars="0" w:right="0"/>
        <w:rPr>
          <w:rFonts w:hint="eastAsia"/>
        </w:rPr>
      </w:pPr>
    </w:p>
    <w:p>
      <w:pPr>
        <w:widowControl w:val="0"/>
        <w:wordWrap/>
        <w:spacing w:line="620" w:lineRule="exact"/>
        <w:ind w:left="0" w:leftChars="0" w:right="0"/>
      </w:pPr>
    </w:p>
    <w:sectPr>
      <w:footerReference r:id="rId4" w:type="default"/>
      <w:footerReference r:id="rId5" w:type="even"/>
      <w:pgSz w:w="11906" w:h="16838"/>
      <w:pgMar w:top="2098" w:right="1417" w:bottom="1644" w:left="1587" w:header="851" w:footer="1276" w:gutter="0"/>
      <w:paperSrc w:first="0" w:oth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ind w:right="360"/>
    </w:pPr>
    <w:r>
      <w:rPr>
        <w:rFonts w:ascii="Calibri" w:hAnsi="Calibri" w:eastAsia="微软雅黑" w:cs="Times New Roman"/>
        <w:kern w:val="2"/>
        <w:sz w:val="18"/>
        <w:szCs w:val="18"/>
        <w:lang w:val="en-US" w:eastAsia="zh-CN" w:bidi="ar-SA"/>
      </w:rPr>
      <w:pict>
        <v:rect id="文本框 1" o:spid="_x0000_s1025" style="position:absolute;left:0;margin-top:0pt;height:144pt;width:144pt;mso-position-horizontal:center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/>
                    <w:sz w:val="24"/>
                    <w:szCs w:val="24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separate"/>
                </w:r>
                <w:r>
                  <w:rPr>
                    <w:sz w:val="24"/>
                    <w:szCs w:val="24"/>
                  </w:rPr>
                  <w:t>- 1 -</w:t>
                </w:r>
                <w:r>
                  <w:rPr>
                    <w:rFonts w:hint="eastAsia" w:ascii="仿宋_GB2312" w:hAnsi="仿宋_GB2312" w:eastAsia="仿宋_GB2312" w:cs="仿宋_GB2312"/>
                    <w:sz w:val="24"/>
                    <w:szCs w:val="24"/>
                  </w:rPr>
                  <w:fldChar w:fldCharType="end"/>
                </w:r>
              </w:p>
            </w:txbxContent>
          </v:textbox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0277C1C"/>
    <w:rsid w:val="04211EE4"/>
    <w:rsid w:val="09C079B3"/>
    <w:rsid w:val="0A8872CF"/>
    <w:rsid w:val="0B267E39"/>
    <w:rsid w:val="0D2D3852"/>
    <w:rsid w:val="14D65415"/>
    <w:rsid w:val="16EC2E38"/>
    <w:rsid w:val="17792341"/>
    <w:rsid w:val="184B78DA"/>
    <w:rsid w:val="189E101B"/>
    <w:rsid w:val="1ABE2D58"/>
    <w:rsid w:val="1DD95658"/>
    <w:rsid w:val="1E7C409E"/>
    <w:rsid w:val="28712D7F"/>
    <w:rsid w:val="288D3B5F"/>
    <w:rsid w:val="295E49B8"/>
    <w:rsid w:val="2A297BD6"/>
    <w:rsid w:val="2BBF48FC"/>
    <w:rsid w:val="2C6A42D2"/>
    <w:rsid w:val="2CA47C6C"/>
    <w:rsid w:val="2D95237A"/>
    <w:rsid w:val="2E884D18"/>
    <w:rsid w:val="356517D1"/>
    <w:rsid w:val="383B0D03"/>
    <w:rsid w:val="38760EC0"/>
    <w:rsid w:val="38F34C0E"/>
    <w:rsid w:val="3AE947EC"/>
    <w:rsid w:val="3B37066C"/>
    <w:rsid w:val="42A868D0"/>
    <w:rsid w:val="43510F58"/>
    <w:rsid w:val="45775E42"/>
    <w:rsid w:val="473749C8"/>
    <w:rsid w:val="49B02FDE"/>
    <w:rsid w:val="4BC330DB"/>
    <w:rsid w:val="4DAB14C6"/>
    <w:rsid w:val="538071A3"/>
    <w:rsid w:val="54FF5EEE"/>
    <w:rsid w:val="564B33A1"/>
    <w:rsid w:val="580569EE"/>
    <w:rsid w:val="5D662A7A"/>
    <w:rsid w:val="5F3F09DD"/>
    <w:rsid w:val="60012F71"/>
    <w:rsid w:val="74ED33F3"/>
    <w:rsid w:val="79CE172E"/>
    <w:rsid w:val="7AF466B6"/>
    <w:rsid w:val="7B644978"/>
    <w:rsid w:val="7CF75946"/>
    <w:rsid w:val="7E841970"/>
    <w:rsid w:val="7F0F5E87"/>
    <w:rsid w:val="7F172FE9"/>
    <w:rsid w:val="7F8E6F1A"/>
    <w:rsid w:val="7FB0355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  <w:rPr/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正文 New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2023-08-02T00:22:00Z</dcterms:created>
  <dc:creator>Administrator.JINCHENG</dc:creator>
  <cp:lastModifiedBy>Administrator</cp:lastModifiedBy>
  <cp:lastPrinted>2023-08-03T04:24:00Z</cp:lastPrinted>
  <dcterms:modified xsi:type="dcterms:W3CDTF">2023-08-03T08:37:38Z</dcterms:modified>
  <dc:title>永济市人民政府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