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2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1、一般公共预算转移支付安排情况说明</w:t>
      </w:r>
      <w:bookmarkStart w:id="0" w:name="_GoBack"/>
      <w:bookmarkEnd w:id="0"/>
    </w:p>
    <w:p>
      <w:pPr>
        <w:widowControl w:val="0"/>
        <w:spacing w:after="0" w:line="62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根据运城市下达的收入计划及已明确的财政体制，财力测算情况是：（1）市级收入财力44169万元;（2）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返还性收入1604万元；</w:t>
      </w:r>
      <w:r>
        <w:rPr>
          <w:rFonts w:hint="eastAsia" w:ascii="仿宋_GB2312" w:hAnsi="仿宋_GB2312" w:eastAsia="仿宋_GB2312" w:cs="仿宋_GB2312"/>
          <w:sz w:val="30"/>
          <w:szCs w:val="30"/>
        </w:rPr>
        <w:t>（3）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均衡性转移支付补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助105635万元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（4）县级基本财力保障奖补资金16528万元;（5）重点生态功能区转移支付327万元；（6）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固定数额补助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15099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万元；</w:t>
      </w:r>
      <w:r>
        <w:rPr>
          <w:rFonts w:hint="eastAsia" w:ascii="仿宋_GB2312" w:hAnsi="仿宋_GB2312" w:eastAsia="仿宋_GB2312" w:cs="仿宋_GB2312"/>
          <w:sz w:val="30"/>
          <w:szCs w:val="30"/>
        </w:rPr>
        <w:t>（7）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各项结算扣减552万元（其中定额上解390万元、生态环境局上划2264万元、黄河流域生态保护和高质量发展奖补资金1429万元、税务经费下划673万元）；（8）</w:t>
      </w:r>
      <w:r>
        <w:rPr>
          <w:rFonts w:hint="eastAsia" w:ascii="仿宋_GB2312" w:hAnsi="仿宋_GB2312" w:eastAsia="仿宋_GB2312" w:cs="仿宋_GB2312"/>
          <w:sz w:val="30"/>
          <w:szCs w:val="30"/>
        </w:rPr>
        <w:t>留抵退税及补充县区财力5166万元；（9）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各项上解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16819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万元（其中体制直管县基数上解10064万元、出口退税上解3万元、法检两院上划1893万元、对口援疆上解75万元、医疗卫生领域财政事权和支出责任划分上解301万元、公共文化基数划转22万元、2022年其他企业增值税留抵退税上解4108万元、其他划转353万元）；</w:t>
      </w:r>
      <w:r>
        <w:rPr>
          <w:rFonts w:hint="eastAsia" w:ascii="仿宋_GB2312" w:hAnsi="仿宋_GB2312" w:eastAsia="仿宋_GB2312" w:cs="仿宋_GB2312"/>
          <w:sz w:val="30"/>
          <w:szCs w:val="30"/>
        </w:rPr>
        <w:t>（10）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调入稳定调节基金3666万元；（11）调入资金993万元（从政府性基金调入930万元、从国有资本经营调入63万元）；（12）提前下达公安、教育、社保、农业、交通等一般转移支付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57965万元，专项转移支付2386万元，共60351万元；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（13）上年结转15327万元（其中本级结转12万元）；（14）新增政府债券收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入7900万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元；（15）地方政府债务还本支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出1200万元，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拟通过再融资解决。以上总财力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259394万元，其中：上级资金60351万元，上年上级结转15315万元，新增政府债券收入7900万元，可用财力175828万元。</w:t>
      </w:r>
    </w:p>
    <w:p>
      <w:pPr>
        <w:widowControl w:val="0"/>
        <w:spacing w:after="0" w:line="62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2、政府性基金支出预算69117万元</w:t>
      </w:r>
    </w:p>
    <w:p>
      <w:pPr>
        <w:widowControl w:val="0"/>
        <w:spacing w:after="0" w:line="62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主要项目是：大中型水库库区及移民后期扶持基金支出4710万元，国有土地使用权出让支出30719万元（含专项债券付息3282万元），国有土地出让基金安排支出3380万元，农业土地项目安排支出554万元，城市基础设施配套费安排城市公共设施维护维修、城市环境卫生、城市防护等方面的支出2403万元，污水处理设施建设和运营方面支出925万元，国家重大水利工程建设基金安排支出5071万元，其他政府性基金及对应专项债务收入安排支出20000万元（年初下达的新增专项债券资金，项目是：职业中专学校产教融合基本建设项目2000万元，人民医院整体搬迁项目10000万元，市域建制镇生活污水处理设施建设项目二期工程2000万元，西厢路雨污分流改造工程4000万元，涑水西街雨污分流及道路改造工程2000万元），彩票公益金安排支出1355万元。</w:t>
      </w:r>
    </w:p>
    <w:p>
      <w:pPr>
        <w:widowControl w:val="0"/>
        <w:spacing w:after="0" w:line="620" w:lineRule="exact"/>
        <w:ind w:firstLine="600" w:firstLineChars="200"/>
        <w:jc w:val="both"/>
        <w:rPr>
          <w:rFonts w:hint="default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>国有资本经营支出主要是国有企业退休人员社会化管理补助资金295万元。</w:t>
      </w:r>
    </w:p>
    <w:p>
      <w:pPr>
        <w:widowControl w:val="0"/>
        <w:spacing w:after="0" w:line="62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C3541"/>
    <w:rsid w:val="26956FC5"/>
    <w:rsid w:val="4B0C6D17"/>
    <w:rsid w:val="5DC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2023-03-21T01:18:00Z</dcterms:created>
  <dc:creator>Administrator</dc:creator>
  <cp:lastModifiedBy>Administrator</cp:lastModifiedBy>
  <dcterms:modified xsi:type="dcterms:W3CDTF">2023-03-21T01:22:09Z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