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19" w:rsidRDefault="00687096">
      <w:pPr>
        <w:pStyle w:val="1"/>
        <w:shd w:val="clear" w:color="auto" w:fill="FFFFFF"/>
        <w:spacing w:beforeAutospacing="0" w:after="0" w:afterAutospacing="0"/>
        <w:jc w:val="both"/>
        <w:rPr>
          <w:rFonts w:hint="default"/>
        </w:rPr>
      </w:pPr>
      <w:r>
        <w:rPr>
          <w:rFonts w:ascii="黑体" w:eastAsia="黑体" w:hAnsi="黑体" w:cs="微软雅黑"/>
          <w:b w:val="0"/>
          <w:color w:val="000000"/>
          <w:sz w:val="22"/>
          <w:szCs w:val="22"/>
          <w:shd w:val="clear" w:color="auto" w:fill="FFFFFF"/>
        </w:rPr>
        <w:t>永济市七届人大四次会议文件（17）</w:t>
      </w:r>
    </w:p>
    <w:p w:rsidR="001D6919" w:rsidRDefault="001D6919">
      <w:pPr>
        <w:pStyle w:val="1"/>
        <w:shd w:val="clear" w:color="auto" w:fill="FFFFFF"/>
        <w:spacing w:beforeAutospacing="0" w:after="0" w:afterAutospacing="0"/>
        <w:jc w:val="center"/>
        <w:rPr>
          <w:rFonts w:ascii="方正小标宋简体" w:eastAsia="方正小标宋简体" w:hAnsi="方正小标宋简体" w:cs="方正小标宋简体" w:hint="default"/>
          <w:b w:val="0"/>
          <w:sz w:val="40"/>
          <w:szCs w:val="40"/>
          <w:shd w:val="clear" w:color="auto" w:fill="FFFFFF"/>
        </w:rPr>
      </w:pPr>
    </w:p>
    <w:p w:rsidR="001D6919" w:rsidRDefault="00687096">
      <w:pPr>
        <w:pStyle w:val="1"/>
        <w:shd w:val="clear" w:color="auto" w:fill="FFFFFF"/>
        <w:spacing w:beforeAutospacing="0" w:after="0" w:afterAutospacing="0"/>
        <w:jc w:val="center"/>
        <w:rPr>
          <w:rFonts w:ascii="方正小标宋简体" w:eastAsia="方正小标宋简体" w:hAnsi="方正小标宋简体" w:cs="方正小标宋简体" w:hint="default"/>
          <w:b w:val="0"/>
          <w:sz w:val="40"/>
          <w:szCs w:val="40"/>
          <w:shd w:val="clear" w:color="auto" w:fill="FFFFFF"/>
        </w:rPr>
      </w:pPr>
      <w:r>
        <w:rPr>
          <w:rFonts w:ascii="方正小标宋简体" w:eastAsia="方正小标宋简体" w:hAnsi="方正小标宋简体" w:cs="方正小标宋简体"/>
          <w:b w:val="0"/>
          <w:sz w:val="40"/>
          <w:szCs w:val="40"/>
          <w:shd w:val="clear" w:color="auto" w:fill="FFFFFF"/>
        </w:rPr>
        <w:t>关于永济市2022年财政</w:t>
      </w:r>
    </w:p>
    <w:p w:rsidR="001D6919" w:rsidRDefault="00687096">
      <w:pPr>
        <w:pStyle w:val="1"/>
        <w:shd w:val="clear" w:color="auto" w:fill="FFFFFF"/>
        <w:spacing w:beforeAutospacing="0" w:after="0" w:afterAutospacing="0"/>
        <w:jc w:val="center"/>
        <w:rPr>
          <w:rFonts w:ascii="方正小标宋简体" w:eastAsia="方正小标宋简体" w:hAnsi="方正小标宋简体" w:cs="方正小标宋简体" w:hint="default"/>
          <w:b w:val="0"/>
          <w:sz w:val="40"/>
          <w:szCs w:val="40"/>
          <w:shd w:val="clear" w:color="auto" w:fill="FFFFFF"/>
        </w:rPr>
      </w:pPr>
      <w:r>
        <w:rPr>
          <w:rFonts w:ascii="方正小标宋简体" w:eastAsia="方正小标宋简体" w:hAnsi="方正小标宋简体" w:cs="方正小标宋简体"/>
          <w:b w:val="0"/>
          <w:sz w:val="40"/>
          <w:szCs w:val="40"/>
          <w:shd w:val="clear" w:color="auto" w:fill="FFFFFF"/>
        </w:rPr>
        <w:t>预算执行情况和2023年财政预算草案的</w:t>
      </w:r>
    </w:p>
    <w:p w:rsidR="001D6919" w:rsidRDefault="00687096">
      <w:pPr>
        <w:pStyle w:val="1"/>
        <w:shd w:val="clear" w:color="auto" w:fill="FFFFFF"/>
        <w:spacing w:beforeAutospacing="0" w:after="0" w:afterAutospacing="0"/>
        <w:jc w:val="center"/>
        <w:rPr>
          <w:rFonts w:ascii="方正小标宋简体" w:eastAsia="方正小标宋简体" w:hAnsi="方正小标宋简体" w:cs="方正小标宋简体" w:hint="default"/>
          <w:b w:val="0"/>
          <w:sz w:val="40"/>
          <w:szCs w:val="40"/>
          <w:shd w:val="clear" w:color="auto" w:fill="FFFFFF"/>
        </w:rPr>
      </w:pPr>
      <w:r>
        <w:rPr>
          <w:rFonts w:ascii="方正小标宋简体" w:eastAsia="方正小标宋简体" w:hAnsi="方正小标宋简体" w:cs="方正小标宋简体"/>
          <w:b w:val="0"/>
          <w:sz w:val="40"/>
          <w:szCs w:val="40"/>
          <w:shd w:val="clear" w:color="auto" w:fill="FFFFFF"/>
        </w:rPr>
        <w:t xml:space="preserve">报 </w:t>
      </w:r>
      <w:r>
        <w:rPr>
          <w:rFonts w:ascii="方正小标宋简体" w:eastAsia="方正小标宋简体" w:hAnsi="方正小标宋简体" w:cs="方正小标宋简体" w:hint="default"/>
          <w:b w:val="0"/>
          <w:sz w:val="40"/>
          <w:szCs w:val="40"/>
          <w:shd w:val="clear" w:color="auto" w:fill="FFFFFF"/>
        </w:rPr>
        <w:t xml:space="preserve">  </w:t>
      </w:r>
      <w:r>
        <w:rPr>
          <w:rFonts w:ascii="方正小标宋简体" w:eastAsia="方正小标宋简体" w:hAnsi="方正小标宋简体" w:cs="方正小标宋简体"/>
          <w:b w:val="0"/>
          <w:sz w:val="40"/>
          <w:szCs w:val="40"/>
          <w:shd w:val="clear" w:color="auto" w:fill="FFFFFF"/>
        </w:rPr>
        <w:t xml:space="preserve">   告</w:t>
      </w:r>
    </w:p>
    <w:p w:rsidR="001D6919" w:rsidRDefault="001D6919"/>
    <w:p w:rsidR="001D6919" w:rsidRDefault="00687096">
      <w:pPr>
        <w:widowControl w:val="0"/>
        <w:shd w:val="clear" w:color="auto" w:fill="FFFFFF"/>
        <w:spacing w:after="0"/>
        <w:jc w:val="center"/>
        <w:rPr>
          <w:rFonts w:ascii="仿宋" w:eastAsia="仿宋" w:hAnsi="仿宋" w:cs="微软雅黑"/>
          <w:sz w:val="24"/>
          <w:szCs w:val="24"/>
        </w:rPr>
      </w:pPr>
      <w:r>
        <w:rPr>
          <w:rFonts w:ascii="宋体" w:eastAsia="宋体" w:hAnsi="宋体" w:cs="宋体" w:hint="eastAsia"/>
          <w:spacing w:val="-6"/>
          <w:sz w:val="24"/>
          <w:szCs w:val="24"/>
          <w:shd w:val="clear" w:color="auto" w:fill="FFFFFF"/>
        </w:rPr>
        <w:t>（2023年2月22日在永济市第七届人民代表大会第四次会议上）</w:t>
      </w:r>
    </w:p>
    <w:p w:rsidR="001D6919" w:rsidRDefault="001D6919">
      <w:pPr>
        <w:widowControl w:val="0"/>
        <w:shd w:val="clear" w:color="auto" w:fill="FFFFFF"/>
        <w:spacing w:after="0" w:line="520" w:lineRule="exact"/>
        <w:jc w:val="center"/>
        <w:rPr>
          <w:rFonts w:ascii="楷体" w:eastAsia="楷体" w:hAnsi="楷体" w:cs="楷体"/>
          <w:sz w:val="30"/>
          <w:szCs w:val="30"/>
          <w:shd w:val="clear" w:color="auto" w:fill="FFFFFF"/>
        </w:rPr>
      </w:pPr>
    </w:p>
    <w:p w:rsidR="001D6919" w:rsidRDefault="00687096">
      <w:pPr>
        <w:widowControl w:val="0"/>
        <w:shd w:val="clear" w:color="auto" w:fill="FFFFFF"/>
        <w:spacing w:after="0"/>
        <w:jc w:val="center"/>
        <w:rPr>
          <w:rFonts w:ascii="楷体" w:eastAsia="楷体" w:hAnsi="楷体" w:cs="楷体"/>
          <w:sz w:val="30"/>
          <w:szCs w:val="30"/>
          <w:shd w:val="clear" w:color="auto" w:fill="FFFFFF"/>
        </w:rPr>
      </w:pPr>
      <w:r>
        <w:rPr>
          <w:rFonts w:ascii="楷体" w:eastAsia="楷体" w:hAnsi="楷体" w:cs="楷体" w:hint="eastAsia"/>
          <w:sz w:val="30"/>
          <w:szCs w:val="30"/>
          <w:shd w:val="clear" w:color="auto" w:fill="FFFFFF"/>
        </w:rPr>
        <w:t>永济市财政局局长  李兴园</w:t>
      </w:r>
    </w:p>
    <w:p w:rsidR="001D6919" w:rsidRDefault="001D6919">
      <w:pPr>
        <w:widowControl w:val="0"/>
        <w:shd w:val="clear" w:color="auto" w:fill="FFFFFF"/>
        <w:spacing w:after="0" w:line="440" w:lineRule="exact"/>
        <w:ind w:firstLineChars="200" w:firstLine="600"/>
        <w:jc w:val="both"/>
        <w:rPr>
          <w:rFonts w:ascii="仿宋" w:eastAsia="仿宋" w:hAnsi="仿宋" w:cs="微软雅黑"/>
          <w:sz w:val="30"/>
          <w:szCs w:val="30"/>
        </w:rPr>
      </w:pPr>
    </w:p>
    <w:p w:rsidR="001D6919" w:rsidRDefault="00687096">
      <w:pPr>
        <w:widowControl w:val="0"/>
        <w:spacing w:after="0" w:line="620" w:lineRule="exact"/>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各位代表： </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受市人民政府委托，现将我市2022年财政预算执行情况和2023年财政预算草案提请市七届人大四次会议审议，并请市政协各位委员和列席人员提出意见。</w:t>
      </w:r>
    </w:p>
    <w:p w:rsidR="001D6919" w:rsidRDefault="00687096" w:rsidP="00110C83">
      <w:pPr>
        <w:widowControl w:val="0"/>
        <w:spacing w:after="0" w:line="620" w:lineRule="exact"/>
        <w:ind w:firstLineChars="200" w:firstLine="600"/>
        <w:jc w:val="both"/>
        <w:rPr>
          <w:rFonts w:ascii="黑体" w:eastAsia="黑体" w:hAnsi="黑体"/>
          <w:sz w:val="30"/>
          <w:szCs w:val="30"/>
          <w:shd w:val="clear" w:color="auto" w:fill="FFFFFF"/>
        </w:rPr>
      </w:pPr>
      <w:r>
        <w:rPr>
          <w:rFonts w:ascii="黑体" w:eastAsia="黑体" w:hAnsi="黑体" w:hint="eastAsia"/>
          <w:sz w:val="30"/>
          <w:szCs w:val="30"/>
          <w:shd w:val="clear" w:color="auto" w:fill="FFFFFF"/>
        </w:rPr>
        <w:t>一、2022年财政预算执行情况</w:t>
      </w:r>
    </w:p>
    <w:p w:rsidR="001D6919" w:rsidRDefault="00687096" w:rsidP="00110C83">
      <w:pPr>
        <w:widowControl w:val="0"/>
        <w:spacing w:after="0" w:line="620" w:lineRule="exact"/>
        <w:ind w:firstLineChars="200" w:firstLine="600"/>
        <w:jc w:val="both"/>
        <w:rPr>
          <w:rFonts w:ascii="仿宋_GB2312" w:eastAsia="仿宋_GB2312" w:hAnsi="仿宋_GB2312" w:cs="仿宋_GB2312"/>
          <w:spacing w:val="-6"/>
          <w:sz w:val="30"/>
          <w:szCs w:val="30"/>
        </w:rPr>
      </w:pPr>
      <w:r>
        <w:rPr>
          <w:rFonts w:ascii="仿宋_GB2312" w:eastAsia="仿宋_GB2312" w:hAnsi="仿宋_GB2312" w:cs="仿宋_GB2312" w:hint="eastAsia"/>
          <w:sz w:val="30"/>
          <w:szCs w:val="30"/>
        </w:rPr>
        <w:t>2022年</w:t>
      </w:r>
      <w:r>
        <w:rPr>
          <w:rFonts w:ascii="仿宋_GB2312" w:eastAsia="仿宋_GB2312" w:hAnsi="仿宋_GB2312" w:cs="仿宋_GB2312" w:hint="eastAsia"/>
          <w:sz w:val="30"/>
          <w:szCs w:val="30"/>
          <w:shd w:val="clear" w:color="auto" w:fill="FFFFFF"/>
        </w:rPr>
        <w:t>在市委的正确领导和市人大、市政协的监督支持下，全市上下紧紧围绕经济发展的总体目标，财税部门</w:t>
      </w:r>
      <w:r>
        <w:rPr>
          <w:rFonts w:ascii="仿宋_GB2312" w:eastAsia="仿宋_GB2312" w:hAnsi="仿宋_GB2312" w:cs="仿宋_GB2312" w:hint="eastAsia"/>
          <w:spacing w:val="-6"/>
          <w:sz w:val="30"/>
          <w:szCs w:val="30"/>
        </w:rPr>
        <w:t>主动适应经济发展新常态，积极落实退税减税降费政策，努力向上争取转移支付资金，狠抓增收节支保平衡，着力优化支出改善民生，很好的支持了全市各项社会事业发展。</w:t>
      </w:r>
    </w:p>
    <w:p w:rsidR="001D6919" w:rsidRDefault="00687096" w:rsidP="00110C83">
      <w:pPr>
        <w:widowControl w:val="0"/>
        <w:spacing w:after="0" w:line="620" w:lineRule="exact"/>
        <w:ind w:firstLineChars="200" w:firstLine="600"/>
        <w:jc w:val="both"/>
        <w:rPr>
          <w:rFonts w:ascii="楷体" w:eastAsia="楷体" w:hAnsi="楷体" w:cs="楷体"/>
          <w:sz w:val="30"/>
          <w:szCs w:val="30"/>
          <w:shd w:val="clear" w:color="auto" w:fill="FFFFFF"/>
        </w:rPr>
      </w:pPr>
      <w:r>
        <w:rPr>
          <w:rFonts w:ascii="楷体" w:eastAsia="楷体" w:hAnsi="楷体" w:cs="楷体" w:hint="eastAsia"/>
          <w:sz w:val="30"/>
          <w:szCs w:val="30"/>
        </w:rPr>
        <w:t>（一）</w:t>
      </w:r>
      <w:r>
        <w:rPr>
          <w:rFonts w:ascii="楷体" w:eastAsia="楷体" w:hAnsi="楷体" w:cs="楷体" w:hint="eastAsia"/>
          <w:sz w:val="30"/>
          <w:szCs w:val="30"/>
          <w:shd w:val="clear" w:color="auto" w:fill="FFFFFF"/>
        </w:rPr>
        <w:t>一般公共预算执行情况</w:t>
      </w:r>
    </w:p>
    <w:p w:rsidR="001D6919" w:rsidRDefault="00687096" w:rsidP="00110C83">
      <w:pPr>
        <w:widowControl w:val="0"/>
        <w:numPr>
          <w:ilvl w:val="0"/>
          <w:numId w:val="1"/>
        </w:numPr>
        <w:spacing w:after="0" w:line="620" w:lineRule="exact"/>
        <w:ind w:firstLineChars="200" w:firstLine="602"/>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预算调整变动情况</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市七届人大二次会议批准的一般公共预算收入为56980万元，</w:t>
      </w:r>
      <w:r>
        <w:rPr>
          <w:rFonts w:ascii="仿宋_GB2312" w:eastAsia="仿宋_GB2312" w:hAnsi="仿宋_GB2312" w:cs="仿宋_GB2312" w:hint="eastAsia"/>
          <w:color w:val="000000"/>
          <w:sz w:val="30"/>
          <w:szCs w:val="30"/>
          <w:shd w:val="clear" w:color="auto" w:fill="FFFFFF"/>
        </w:rPr>
        <w:lastRenderedPageBreak/>
        <w:t>支出预算为264573万元，争取均衡性转移支付财力、县级基本财力保障奖补资金、</w:t>
      </w:r>
      <w:r>
        <w:rPr>
          <w:rFonts w:ascii="仿宋_GB2312" w:eastAsia="仿宋_GB2312" w:hAnsi="仿宋_GB2312" w:cs="仿宋_GB2312" w:hint="eastAsia"/>
          <w:sz w:val="30"/>
          <w:szCs w:val="30"/>
        </w:rPr>
        <w:t>支持基层落实减税降费和重点民生转移支付及补助县级财力资金等增加31457</w:t>
      </w:r>
      <w:r>
        <w:rPr>
          <w:rFonts w:ascii="仿宋_GB2312" w:eastAsia="仿宋_GB2312" w:hAnsi="仿宋_GB2312" w:cs="仿宋_GB2312" w:hint="eastAsia"/>
          <w:color w:val="000000"/>
          <w:sz w:val="30"/>
          <w:szCs w:val="30"/>
          <w:shd w:val="clear" w:color="auto" w:fill="FFFFFF"/>
        </w:rPr>
        <w:t>万元，上级补助和专项转移支付、调入资金、各类结算事项等增加44776万元，收入比年初短收16827万元，新增地方政府债券收入3600万元，总支出预算调整为327579万元。</w:t>
      </w:r>
    </w:p>
    <w:p w:rsidR="001D6919" w:rsidRDefault="00687096" w:rsidP="00110C83">
      <w:pPr>
        <w:widowControl w:val="0"/>
        <w:numPr>
          <w:ilvl w:val="0"/>
          <w:numId w:val="1"/>
        </w:numPr>
        <w:spacing w:after="0" w:line="620" w:lineRule="exact"/>
        <w:ind w:firstLineChars="200" w:firstLine="602"/>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预算执行情况</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2022年全市财政总收入完成50137万元,比上年下降</w:t>
      </w:r>
      <w:r>
        <w:rPr>
          <w:rFonts w:ascii="仿宋_GB2312" w:eastAsia="仿宋_GB2312" w:hAnsi="仿宋_GB2312" w:cs="仿宋_GB2312" w:hint="eastAsia"/>
          <w:color w:val="000000"/>
          <w:sz w:val="30"/>
          <w:szCs w:val="30"/>
          <w:shd w:val="clear" w:color="auto" w:fill="FFFFFF"/>
        </w:rPr>
        <w:t>39.3%。其中一般公共预算收入40153万元,占调整预算105.7%，</w:t>
      </w:r>
      <w:r>
        <w:rPr>
          <w:rFonts w:ascii="仿宋_GB2312" w:eastAsia="仿宋_GB2312" w:hAnsi="仿宋_GB2312" w:cs="仿宋_GB2312" w:hint="eastAsia"/>
          <w:sz w:val="30"/>
          <w:szCs w:val="30"/>
          <w:shd w:val="clear" w:color="auto" w:fill="FFFFFF"/>
        </w:rPr>
        <w:t>比上年下降25.3%。分部门完成情况是：税务部门30579万元,比上年增长1.8%；财政部门9574万元，比上年下降59.7%。</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2022年一般公共预算支出312252万元，占调整预算95.3%,比上年增长13.3%。主要项目执行情况是：一般公共服务35855万元,占调整预算99.8%，比上年增长16.8%；公共安全支出9152万元，占调整预算92.1%,比上年增长8.2%；教育支出69934万元,占调整预算99.1%,比上年增长2.5%；科学技术支出704万元,占调整预算99.9%,比上年下降62.6%,主要是上年包括新动能专项资金；文化旅游体育与传媒13009万元,占调整预算99.1%，比上年增长15.2%；社会保障和就业44788万元,占调整预算98.9%,比上年增长5.5%；卫生健康支出26198万元,占调整预算98.6%,比上年增长6.9%;节能环保支出10485万元，占调整预算98.2%，比上年增长24.2%；城乡</w:t>
      </w:r>
      <w:r>
        <w:rPr>
          <w:rFonts w:ascii="仿宋_GB2312" w:eastAsia="仿宋_GB2312" w:hAnsi="仿宋_GB2312" w:cs="仿宋_GB2312" w:hint="eastAsia"/>
          <w:sz w:val="30"/>
          <w:szCs w:val="30"/>
          <w:shd w:val="clear" w:color="auto" w:fill="FFFFFF"/>
        </w:rPr>
        <w:lastRenderedPageBreak/>
        <w:t>社区事务11689万元，占调整预算100%，比上年下降24.9%；农林水支出51785万元，占调整预算86.4%，比上年增长46.6%；交通运输支出11777万元，占调整预算73.4%，比上年下降6.3%；资源勘探信息等支出13444万元，占调整预算100%，比上年增长235.2%；住房保障支出1652万元，占调整预算99.2%，比上年下降36.4%；债务付息支出2561万元，占调整预算100%，比上年增长22.4%。</w:t>
      </w:r>
    </w:p>
    <w:p w:rsidR="001D6919" w:rsidRDefault="00687096" w:rsidP="00110C83">
      <w:pPr>
        <w:widowControl w:val="0"/>
        <w:numPr>
          <w:ilvl w:val="0"/>
          <w:numId w:val="1"/>
        </w:numPr>
        <w:spacing w:after="0" w:line="620" w:lineRule="exact"/>
        <w:ind w:firstLineChars="200" w:firstLine="602"/>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预算执行结果</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FF0000"/>
          <w:sz w:val="30"/>
          <w:szCs w:val="30"/>
          <w:shd w:val="clear" w:color="FFFFFF" w:fill="D9D9D9"/>
        </w:rPr>
      </w:pPr>
      <w:r>
        <w:rPr>
          <w:rFonts w:ascii="仿宋_GB2312" w:eastAsia="仿宋_GB2312" w:hAnsi="仿宋_GB2312" w:cs="仿宋_GB2312" w:hint="eastAsia"/>
          <w:sz w:val="30"/>
          <w:szCs w:val="30"/>
          <w:shd w:val="clear" w:color="auto" w:fill="FFFFFF"/>
        </w:rPr>
        <w:t>2022年预算执行结果为：(1)市级收入财力40153万元;(2)返还性收入1604万元</w:t>
      </w:r>
      <w:r>
        <w:rPr>
          <w:rFonts w:ascii="仿宋_GB2312" w:eastAsia="仿宋_GB2312" w:hAnsi="仿宋_GB2312" w:cs="仿宋_GB2312" w:hint="eastAsia"/>
          <w:sz w:val="30"/>
          <w:szCs w:val="30"/>
        </w:rPr>
        <w:t>；</w:t>
      </w:r>
      <w:r>
        <w:rPr>
          <w:rFonts w:ascii="仿宋_GB2312" w:eastAsia="仿宋_GB2312" w:hAnsi="仿宋_GB2312" w:cs="仿宋_GB2312" w:hint="eastAsia"/>
          <w:color w:val="000000"/>
          <w:sz w:val="30"/>
          <w:szCs w:val="30"/>
        </w:rPr>
        <w:t>(3)均衡性转移支付补助106216万元；(4)县级基本财力保障奖补资金21518万元;(5)重点生态功能区转移支付319万元；(6)产粮（油）大县奖励2299万元；(7)政府债券收入11200万元（其中：新增一般债券9200万元，再融资债券2000万元）；(8)调入资金3429万元（其中：政府性基金调入2214万元，国有资本经营调入7万元，其他调入1208万元）；(9)动用预算稳定调节基金807万元；(10)上级专项补助97339万元（其中：一般转移支付77578万元，专项转移支付19761万元）；(11)各项结算补助2679万元；(12)固定数额补助16058万元；</w:t>
      </w:r>
      <w:r>
        <w:rPr>
          <w:rFonts w:ascii="仿宋_GB2312" w:eastAsia="仿宋_GB2312" w:hAnsi="仿宋_GB2312" w:cs="仿宋_GB2312" w:hint="eastAsia"/>
          <w:color w:val="000000"/>
          <w:sz w:val="30"/>
          <w:szCs w:val="30"/>
          <w:shd w:val="clear" w:color="auto" w:fill="FFFFFF"/>
        </w:rPr>
        <w:t>(13)留抵退税及补充县区财力20693万元；（14）上解上级支出15692万元；（15）</w:t>
      </w:r>
      <w:r>
        <w:rPr>
          <w:rFonts w:ascii="仿宋_GB2312" w:eastAsia="仿宋_GB2312" w:hAnsi="仿宋_GB2312" w:cs="仿宋_GB2312" w:hint="eastAsia"/>
          <w:sz w:val="30"/>
          <w:szCs w:val="30"/>
          <w:shd w:val="clear" w:color="auto" w:fill="FFFFFF"/>
        </w:rPr>
        <w:t>上年结转24623万元；(16) 债务还本支出2000万元。</w:t>
      </w:r>
      <w:r>
        <w:rPr>
          <w:rFonts w:ascii="仿宋_GB2312" w:eastAsia="仿宋_GB2312" w:hAnsi="仿宋_GB2312" w:cs="仿宋_GB2312" w:hint="eastAsia"/>
          <w:color w:val="000000"/>
          <w:sz w:val="30"/>
          <w:szCs w:val="30"/>
        </w:rPr>
        <w:t>以上总财力331245万元，支出执行312252万元，</w:t>
      </w:r>
      <w:r>
        <w:rPr>
          <w:rFonts w:ascii="仿宋_GB2312" w:eastAsia="仿宋_GB2312" w:hAnsi="仿宋_GB2312" w:cs="仿宋_GB2312" w:hint="eastAsia"/>
          <w:sz w:val="30"/>
          <w:szCs w:val="30"/>
          <w:shd w:val="clear" w:color="auto" w:fill="FFFFFF"/>
        </w:rPr>
        <w:t>结转下年支出15327万元，安排预算稳定调节基金3666万元。</w:t>
      </w:r>
    </w:p>
    <w:p w:rsidR="001D6919" w:rsidRDefault="00687096" w:rsidP="00110C83">
      <w:pPr>
        <w:widowControl w:val="0"/>
        <w:spacing w:after="0" w:line="620" w:lineRule="exact"/>
        <w:ind w:firstLineChars="200" w:firstLine="600"/>
        <w:jc w:val="both"/>
        <w:rPr>
          <w:rFonts w:ascii="楷体" w:eastAsia="楷体" w:hAnsi="楷体" w:cs="楷体"/>
          <w:sz w:val="30"/>
          <w:szCs w:val="30"/>
          <w:shd w:val="clear" w:color="auto" w:fill="FFFFFF"/>
        </w:rPr>
      </w:pPr>
      <w:r>
        <w:rPr>
          <w:rFonts w:ascii="楷体" w:eastAsia="楷体" w:hAnsi="楷体" w:cs="楷体" w:hint="eastAsia"/>
          <w:sz w:val="30"/>
          <w:szCs w:val="30"/>
          <w:shd w:val="clear" w:color="auto" w:fill="FFFFFF"/>
        </w:rPr>
        <w:lastRenderedPageBreak/>
        <w:t>（二）政府性基金执行情况</w:t>
      </w:r>
    </w:p>
    <w:p w:rsidR="001D6919" w:rsidRDefault="00687096" w:rsidP="00110C83">
      <w:pPr>
        <w:widowControl w:val="0"/>
        <w:numPr>
          <w:ilvl w:val="0"/>
          <w:numId w:val="2"/>
        </w:numPr>
        <w:spacing w:after="0" w:line="620" w:lineRule="exact"/>
        <w:ind w:firstLineChars="200" w:firstLine="602"/>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政府性基金收入完成情况</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FF0000"/>
          <w:sz w:val="30"/>
          <w:szCs w:val="30"/>
          <w:shd w:val="clear" w:color="auto" w:fill="FFFFFF"/>
        </w:rPr>
      </w:pPr>
      <w:r>
        <w:rPr>
          <w:rFonts w:ascii="仿宋_GB2312" w:eastAsia="仿宋_GB2312" w:hAnsi="仿宋_GB2312" w:cs="仿宋_GB2312" w:hint="eastAsia"/>
          <w:sz w:val="30"/>
          <w:szCs w:val="30"/>
          <w:shd w:val="clear" w:color="auto" w:fill="FFFFFF"/>
        </w:rPr>
        <w:t>政府性基金收入完成34832万元，占预算99.6%，比上年增长51.1%。其中：国有土地使用权出让收入27153万元,占预算90.5%，比上年增长43%；国有土地收益基金收入3966万元，占预算198.3%，比上年增长286.9%；农业土地开发资金收入877万元，占预算548.1%，比上年增长404%；城市基础设施配套费收入1612万元，占预算80.6%，比上年下降12.2%；污水处理费收入850万元，占预算106.3%，比上年增长12.4%;其他政府性基金收入374万元，比上年增长38.5%，主要是</w:t>
      </w:r>
      <w:r>
        <w:rPr>
          <w:rFonts w:ascii="仿宋_GB2312" w:eastAsia="仿宋_GB2312" w:hAnsi="仿宋_GB2312" w:cs="仿宋_GB2312" w:hint="eastAsia"/>
          <w:sz w:val="30"/>
          <w:szCs w:val="30"/>
        </w:rPr>
        <w:t>蒲坂城市建设投资集团有限公司、中医院、职业中专学校偿还专项债券利息</w:t>
      </w:r>
      <w:r>
        <w:rPr>
          <w:rFonts w:ascii="仿宋_GB2312" w:eastAsia="仿宋_GB2312" w:hAnsi="仿宋_GB2312" w:cs="仿宋_GB2312" w:hint="eastAsia"/>
          <w:color w:val="000000"/>
          <w:sz w:val="30"/>
          <w:szCs w:val="30"/>
          <w:shd w:val="clear" w:color="auto" w:fill="FFFFFF"/>
        </w:rPr>
        <w:t>。</w:t>
      </w:r>
    </w:p>
    <w:p w:rsidR="001D6919" w:rsidRDefault="00687096" w:rsidP="00110C83">
      <w:pPr>
        <w:widowControl w:val="0"/>
        <w:numPr>
          <w:ilvl w:val="0"/>
          <w:numId w:val="2"/>
        </w:numPr>
        <w:spacing w:after="0" w:line="620" w:lineRule="exact"/>
        <w:ind w:firstLineChars="200" w:firstLine="602"/>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政府性基金预算支出执行情况</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政府性基金预算支出76657万元，占调整预算92.2%，比上年增长44.8%。主要支出项目是：社会保障和就业支出2410万元，比上年增长3.6%。城乡社区支出32872万元，比上年增长20.3%，其中：国有土地使用权出让收入安排的支出28218万元，比上年增长29.6%；农业土地开发资金支出188万元，比上年下降40.9%；国有土地收益基金支出2183万元，比上年增长5%；城市基础设施配套费支出1318万元，比上年下降48.8%；污水处理费支出965万元，比上年增长67.5%。农林水支出2611万元，比上年增长180.2%，主要是上级专项资金增加。其他支出35859万元，比上年增长74.9%。</w:t>
      </w:r>
      <w:r>
        <w:rPr>
          <w:rFonts w:ascii="仿宋_GB2312" w:eastAsia="仿宋_GB2312" w:hAnsi="仿宋_GB2312" w:cs="仿宋_GB2312" w:hint="eastAsia"/>
          <w:sz w:val="30"/>
          <w:szCs w:val="30"/>
          <w:shd w:val="clear" w:color="auto" w:fill="FFFFFF"/>
        </w:rPr>
        <w:lastRenderedPageBreak/>
        <w:t>债务付息支出2863万元，比上年增长52.2%。</w:t>
      </w:r>
    </w:p>
    <w:p w:rsidR="001D6919" w:rsidRDefault="00687096" w:rsidP="00110C83">
      <w:pPr>
        <w:widowControl w:val="0"/>
        <w:numPr>
          <w:ilvl w:val="0"/>
          <w:numId w:val="2"/>
        </w:numPr>
        <w:spacing w:after="0" w:line="620" w:lineRule="exact"/>
        <w:ind w:firstLineChars="200" w:firstLine="602"/>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政府性基金预算执行结果</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政府性基金收入34832万元，上年结余8088万元，上级专项补助10640万元，地方政府专项债务转贷收入48400万元（其中：新增专项债券31800万元、再融资债券16600万元），政府性基金支出76657万元，债务还本支出16600万元，调入一般公共预算2214万元，结转下年6489万元。</w:t>
      </w:r>
    </w:p>
    <w:p w:rsidR="001D6919" w:rsidRDefault="00687096" w:rsidP="00110C83">
      <w:pPr>
        <w:widowControl w:val="0"/>
        <w:spacing w:after="0" w:line="620" w:lineRule="exact"/>
        <w:ind w:firstLineChars="200" w:firstLine="600"/>
        <w:jc w:val="both"/>
        <w:rPr>
          <w:rFonts w:ascii="楷体" w:eastAsia="楷体" w:hAnsi="楷体" w:cs="楷体"/>
          <w:sz w:val="30"/>
          <w:szCs w:val="30"/>
          <w:shd w:val="clear" w:color="auto" w:fill="FFFFFF"/>
        </w:rPr>
      </w:pPr>
      <w:r>
        <w:rPr>
          <w:rFonts w:ascii="楷体" w:eastAsia="楷体" w:hAnsi="楷体" w:cs="楷体" w:hint="eastAsia"/>
          <w:sz w:val="30"/>
          <w:szCs w:val="30"/>
          <w:shd w:val="clear" w:color="auto" w:fill="FFFFFF"/>
        </w:rPr>
        <w:t>（三）社保基金预算执行情况</w:t>
      </w:r>
    </w:p>
    <w:p w:rsidR="001D6919" w:rsidRDefault="00687096" w:rsidP="00110C83">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社保基金上年结余49438万元，收入67108万元，支出49135万元，结余67411万元。其中:机关事业单位基本养老保险基金上年结余2781万元，收入34517万元，支出 36447万元，结余851万元；城乡居民基本养老保险基金上年结余41989万元，收入27477万元，支出11349万元，结余58117万元；城乡居民补充养老保险上年结余4668万元，收入5114万元，支出1339万元，结余8443万元。</w:t>
      </w:r>
    </w:p>
    <w:p w:rsidR="001D6919" w:rsidRDefault="00687096" w:rsidP="00110C83">
      <w:pPr>
        <w:widowControl w:val="0"/>
        <w:spacing w:after="0" w:line="620" w:lineRule="exact"/>
        <w:ind w:firstLineChars="200" w:firstLine="600"/>
        <w:jc w:val="both"/>
        <w:rPr>
          <w:rFonts w:ascii="楷体" w:eastAsia="楷体" w:hAnsi="楷体" w:cs="楷体"/>
          <w:sz w:val="30"/>
          <w:szCs w:val="30"/>
          <w:shd w:val="clear" w:color="auto" w:fill="FFFFFF"/>
        </w:rPr>
      </w:pPr>
      <w:r>
        <w:rPr>
          <w:rFonts w:ascii="楷体" w:eastAsia="楷体" w:hAnsi="楷体" w:cs="楷体" w:hint="eastAsia"/>
          <w:sz w:val="30"/>
          <w:szCs w:val="30"/>
          <w:shd w:val="clear" w:color="auto" w:fill="FFFFFF"/>
        </w:rPr>
        <w:t>（四）国有资本经营情况</w:t>
      </w:r>
    </w:p>
    <w:p w:rsidR="001D6919" w:rsidRDefault="00687096" w:rsidP="00110C83">
      <w:pPr>
        <w:widowControl w:val="0"/>
        <w:spacing w:after="0" w:line="620" w:lineRule="exact"/>
        <w:ind w:firstLineChars="200" w:firstLine="602"/>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1、国有资本经营收支情况</w:t>
      </w:r>
    </w:p>
    <w:p w:rsidR="001D6919" w:rsidRDefault="00687096" w:rsidP="00110C83">
      <w:pPr>
        <w:widowControl w:val="0"/>
        <w:spacing w:after="0" w:line="620" w:lineRule="exact"/>
        <w:ind w:firstLineChars="200" w:firstLine="612"/>
        <w:jc w:val="both"/>
        <w:rPr>
          <w:rFonts w:ascii="仿宋_GB2312" w:eastAsia="仿宋_GB2312" w:hAnsi="仿宋_GB2312" w:cs="仿宋_GB2312"/>
          <w:spacing w:val="6"/>
          <w:sz w:val="30"/>
          <w:szCs w:val="30"/>
          <w:shd w:val="clear" w:color="auto" w:fill="FFFFFF"/>
        </w:rPr>
      </w:pPr>
      <w:r>
        <w:rPr>
          <w:rFonts w:ascii="仿宋_GB2312" w:eastAsia="仿宋_GB2312" w:hAnsi="仿宋_GB2312" w:cs="仿宋_GB2312" w:hint="eastAsia"/>
          <w:spacing w:val="6"/>
          <w:sz w:val="30"/>
          <w:szCs w:val="30"/>
          <w:shd w:val="clear" w:color="auto" w:fill="FFFFFF"/>
        </w:rPr>
        <w:t>国有资本经营预算收入7万元，上级补助收入482万元，上年结转515万元，支出734万元，调入一般公共预算7万元，结转下年263万元。</w:t>
      </w:r>
    </w:p>
    <w:p w:rsidR="001D6919" w:rsidRDefault="00687096" w:rsidP="00110C83">
      <w:pPr>
        <w:widowControl w:val="0"/>
        <w:numPr>
          <w:ilvl w:val="0"/>
          <w:numId w:val="3"/>
        </w:numPr>
        <w:spacing w:after="0" w:line="620" w:lineRule="exact"/>
        <w:ind w:firstLineChars="200" w:firstLine="602"/>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shd w:val="clear" w:color="auto" w:fill="FFFFFF"/>
        </w:rPr>
        <w:t>国有及国有控股企业盈亏情况</w:t>
      </w:r>
    </w:p>
    <w:p w:rsidR="001D6919" w:rsidRDefault="00687096" w:rsidP="00110C83">
      <w:pPr>
        <w:pStyle w:val="10"/>
        <w:widowControl w:val="0"/>
        <w:spacing w:after="0" w:line="620" w:lineRule="exact"/>
        <w:ind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2022年末，我市政府职能部门出资且正常运营的国有及国有控股企业11户，其中：</w:t>
      </w:r>
      <w:r>
        <w:rPr>
          <w:rFonts w:ascii="仿宋_GB2312" w:eastAsia="仿宋_GB2312" w:hAnsi="仿宋_GB2312" w:cs="仿宋_GB2312" w:hint="eastAsia"/>
          <w:b/>
          <w:sz w:val="30"/>
          <w:szCs w:val="30"/>
        </w:rPr>
        <w:t>盈利企业</w:t>
      </w:r>
      <w:r>
        <w:rPr>
          <w:rFonts w:ascii="仿宋_GB2312" w:eastAsia="仿宋_GB2312" w:hAnsi="仿宋_GB2312" w:cs="仿宋_GB2312" w:hint="eastAsia"/>
          <w:sz w:val="30"/>
          <w:szCs w:val="30"/>
        </w:rPr>
        <w:t>1户为蒲坂城市建设投资集团有限公司103.2万元；</w:t>
      </w:r>
      <w:r>
        <w:rPr>
          <w:rFonts w:ascii="仿宋_GB2312" w:eastAsia="仿宋_GB2312" w:hAnsi="仿宋_GB2312" w:cs="仿宋_GB2312" w:hint="eastAsia"/>
          <w:b/>
          <w:sz w:val="30"/>
          <w:szCs w:val="30"/>
        </w:rPr>
        <w:t>亏损企业</w:t>
      </w:r>
      <w:r>
        <w:rPr>
          <w:rFonts w:ascii="仿宋_GB2312" w:eastAsia="仿宋_GB2312" w:hAnsi="仿宋_GB2312" w:cs="仿宋_GB2312" w:hint="eastAsia"/>
          <w:sz w:val="30"/>
          <w:szCs w:val="30"/>
        </w:rPr>
        <w:t>10户，亏损额3477.6万元，主要是普救寺旅游有限公司930.5万元，山西鹳雀楼旅游集团有限公司539.6万元，山西鹳雀楼集团永济五老峰旅游有限公司496.2万元，城乡供水有限公司459.5万元，新纪元商业集团有限公司296.1万元，视佳广播电视网络传输有限公司288万元，经济技术开发区实业发展有限责任公司254.8万元，市政工程公司210.3万元，军粮供应有限公司2.5万元，粟济储备粮有限公司0.1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各位代表，2022年面对</w:t>
      </w:r>
      <w:r>
        <w:rPr>
          <w:rFonts w:ascii="仿宋_GB2312" w:eastAsia="仿宋_GB2312" w:hAnsi="仿宋_GB2312" w:cs="仿宋_GB2312" w:hint="eastAsia"/>
          <w:color w:val="000000"/>
          <w:sz w:val="30"/>
          <w:szCs w:val="30"/>
        </w:rPr>
        <w:t>疫情及一系列减税降费政策对收入的影响，</w:t>
      </w:r>
      <w:r>
        <w:rPr>
          <w:rFonts w:ascii="仿宋_GB2312" w:eastAsia="仿宋_GB2312" w:hAnsi="仿宋_GB2312" w:cs="仿宋_GB2312" w:hint="eastAsia"/>
          <w:sz w:val="30"/>
          <w:szCs w:val="30"/>
          <w:shd w:val="clear" w:color="auto" w:fill="FFFFFF"/>
        </w:rPr>
        <w:t>财税部门积极组织</w:t>
      </w:r>
      <w:r>
        <w:rPr>
          <w:rFonts w:ascii="仿宋_GB2312" w:eastAsia="仿宋_GB2312" w:hAnsi="仿宋_GB2312" w:cs="仿宋_GB2312" w:hint="eastAsia"/>
          <w:sz w:val="30"/>
          <w:szCs w:val="30"/>
        </w:rPr>
        <w:t>抓收入，努力向上争资金，严格支出强管理，统筹财力保民生，</w:t>
      </w:r>
      <w:r>
        <w:rPr>
          <w:rFonts w:ascii="仿宋_GB2312" w:eastAsia="仿宋_GB2312" w:hAnsi="仿宋_GB2312" w:cs="仿宋_GB2312" w:hint="eastAsia"/>
          <w:sz w:val="30"/>
          <w:szCs w:val="30"/>
          <w:shd w:val="clear" w:color="auto" w:fill="FFFFFF"/>
        </w:rPr>
        <w:t>为全市各项工作任务圆满完成提供了有力的资金保障。</w:t>
      </w:r>
    </w:p>
    <w:p w:rsidR="001D6919" w:rsidRDefault="00687096" w:rsidP="00110C83">
      <w:pPr>
        <w:widowControl w:val="0"/>
        <w:adjustRightInd/>
        <w:snapToGrid/>
        <w:spacing w:after="0" w:line="620" w:lineRule="exact"/>
        <w:ind w:firstLineChars="200" w:firstLine="602"/>
        <w:jc w:val="both"/>
        <w:rPr>
          <w:rFonts w:ascii="仿宋_GB2312" w:eastAsia="仿宋_GB2312" w:hAnsi="仿宋_GB2312" w:cs="仿宋_GB2312"/>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hint="eastAsia"/>
          <w:b/>
          <w:sz w:val="30"/>
          <w:szCs w:val="30"/>
        </w:rPr>
        <w:t>积极争取资金，不断壮大我市财力。</w:t>
      </w:r>
      <w:r>
        <w:rPr>
          <w:rFonts w:ascii="仿宋_GB2312" w:eastAsia="仿宋_GB2312" w:hAnsi="仿宋_GB2312" w:cs="仿宋_GB2312" w:hint="eastAsia"/>
          <w:sz w:val="30"/>
          <w:szCs w:val="30"/>
          <w:shd w:val="clear" w:color="auto" w:fill="FFFFFF"/>
        </w:rPr>
        <w:t>一是主动加强与省、市财政部门的沟通，多次汇报财政运行情况，上级下达财力性转移支付、留抵退税专项及落实减税降费和重点民生转移支付15.1亿元，比上年增加了3.15亿元，增强了我市财政保障能力。</w:t>
      </w:r>
      <w:r>
        <w:rPr>
          <w:rFonts w:ascii="仿宋_GB2312" w:eastAsia="仿宋_GB2312" w:hAnsi="仿宋_GB2312" w:cs="仿宋_GB2312" w:hint="eastAsia"/>
          <w:sz w:val="30"/>
          <w:szCs w:val="30"/>
        </w:rPr>
        <w:t>新增政府债券资金4.1亿元，为我市项目发展提供了有力保障。二是根据向上争取资金考核方案，对相关单位全年项目申报及上级资金到位情况进行统计，</w:t>
      </w:r>
      <w:r>
        <w:rPr>
          <w:rFonts w:ascii="仿宋_GB2312" w:eastAsia="仿宋_GB2312" w:hAnsi="仿宋_GB2312" w:cs="仿宋_GB2312" w:hint="eastAsia"/>
          <w:color w:val="000000"/>
          <w:sz w:val="30"/>
          <w:szCs w:val="30"/>
        </w:rPr>
        <w:t>31个被考核单位共向上争取资金142157.03万元，完成年度任务124.98%。三是</w:t>
      </w:r>
      <w:r>
        <w:rPr>
          <w:rFonts w:ascii="仿宋_GB2312" w:eastAsia="仿宋_GB2312" w:hAnsi="仿宋_GB2312" w:cs="仿宋_GB2312" w:hint="eastAsia"/>
          <w:sz w:val="30"/>
          <w:szCs w:val="30"/>
        </w:rPr>
        <w:t>比学赶超促提升，奋勇争先亮实绩。省财政</w:t>
      </w:r>
      <w:r>
        <w:rPr>
          <w:rFonts w:ascii="仿宋_GB2312" w:eastAsia="仿宋_GB2312" w:hAnsi="仿宋_GB2312" w:cs="仿宋_GB2312" w:hint="eastAsia"/>
          <w:sz w:val="30"/>
          <w:szCs w:val="30"/>
        </w:rPr>
        <w:lastRenderedPageBreak/>
        <w:t>厅对基层财政部门7项财政管理指标进行考核，我市在全省排名第六，运城市排名第一，获得省奖励500万元；</w:t>
      </w:r>
      <w:r>
        <w:rPr>
          <w:rFonts w:ascii="仿宋_GB2312" w:eastAsia="仿宋_GB2312" w:hAnsi="仿宋_GB2312" w:cs="仿宋_GB2312" w:hint="eastAsia"/>
          <w:bCs/>
          <w:sz w:val="30"/>
          <w:szCs w:val="30"/>
        </w:rPr>
        <w:t>文化服务绩效评价</w:t>
      </w:r>
      <w:r>
        <w:rPr>
          <w:rFonts w:ascii="仿宋_GB2312" w:eastAsia="仿宋_GB2312" w:hAnsi="仿宋_GB2312" w:cs="仿宋_GB2312" w:hint="eastAsia"/>
          <w:sz w:val="30"/>
          <w:szCs w:val="30"/>
        </w:rPr>
        <w:t>结果为“优”，获得省绩效奖励178.35万元；</w:t>
      </w:r>
      <w:r>
        <w:rPr>
          <w:rFonts w:ascii="仿宋_GB2312" w:eastAsia="仿宋_GB2312" w:hAnsi="仿宋_GB2312" w:cs="仿宋_GB2312" w:hint="eastAsia"/>
          <w:bCs/>
          <w:sz w:val="30"/>
          <w:szCs w:val="30"/>
        </w:rPr>
        <w:t>政府性债务化债</w:t>
      </w:r>
      <w:r>
        <w:rPr>
          <w:rFonts w:ascii="仿宋_GB2312" w:eastAsia="仿宋_GB2312" w:hAnsi="仿宋_GB2312" w:cs="仿宋_GB2312" w:hint="eastAsia"/>
          <w:sz w:val="30"/>
          <w:szCs w:val="30"/>
        </w:rPr>
        <w:t>获得省化债奖励325万元。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sz w:val="30"/>
          <w:szCs w:val="30"/>
        </w:rPr>
      </w:pPr>
      <w:r>
        <w:rPr>
          <w:rFonts w:ascii="仿宋_GB2312" w:eastAsia="仿宋_GB2312" w:hAnsi="仿宋_GB2312" w:cs="仿宋_GB2312" w:hint="eastAsia"/>
          <w:b/>
          <w:sz w:val="30"/>
          <w:szCs w:val="30"/>
        </w:rPr>
        <w:t>——加大“三农”投入，深入推进乡村振兴。</w:t>
      </w:r>
      <w:r>
        <w:rPr>
          <w:rFonts w:ascii="仿宋_GB2312" w:eastAsia="仿宋_GB2312" w:hAnsi="仿宋_GB2312" w:cs="仿宋_GB2312" w:hint="eastAsia"/>
          <w:bCs/>
          <w:sz w:val="30"/>
          <w:szCs w:val="30"/>
        </w:rPr>
        <w:t>全年</w:t>
      </w:r>
      <w:r>
        <w:rPr>
          <w:rFonts w:ascii="仿宋_GB2312" w:eastAsia="仿宋_GB2312" w:hAnsi="仿宋_GB2312" w:cs="仿宋_GB2312" w:hint="eastAsia"/>
          <w:sz w:val="30"/>
          <w:szCs w:val="30"/>
        </w:rPr>
        <w:t>投入乡村振兴资金7.9亿元，比上年增长11.3%。巩固拓展脱贫攻坚成果，大力发展产业扶贫，增强脱贫群众内生发展动力。加大河湖治理和生态保护修复力度，复苏河湖生态环境。支持农业新型经营主体和社会化服务体系建设，强化龙头带动，加快发展现代农业。支持做大做强农业“四大板块”，保障粮食、百姓菜篮子安全。扎实开展乡村建设，深入实施农村人居环境整治，推进农村厕所革命、生活垃圾和污水处理，建设宜居宜业和美乡村。</w:t>
      </w:r>
    </w:p>
    <w:p w:rsidR="001D6919" w:rsidRDefault="00687096" w:rsidP="00110C83">
      <w:pPr>
        <w:widowControl w:val="0"/>
        <w:spacing w:after="0" w:line="620" w:lineRule="exact"/>
        <w:ind w:firstLineChars="200" w:firstLine="602"/>
        <w:jc w:val="both"/>
        <w:rPr>
          <w:rFonts w:ascii="仿宋_GB2312" w:eastAsia="仿宋_GB2312" w:hAnsi="仿宋_GB2312" w:cs="仿宋_GB2312"/>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hint="eastAsia"/>
          <w:b/>
          <w:sz w:val="30"/>
          <w:szCs w:val="30"/>
        </w:rPr>
        <w:t>加大民生投入，全力保障民生福祉。</w:t>
      </w:r>
      <w:r>
        <w:rPr>
          <w:rFonts w:ascii="仿宋_GB2312" w:eastAsia="仿宋_GB2312" w:hAnsi="仿宋_GB2312" w:cs="仿宋_GB2312" w:hint="eastAsia"/>
          <w:sz w:val="30"/>
          <w:szCs w:val="30"/>
        </w:rPr>
        <w:t>坚持政府过“紧日子”，人民过“好日子”思想，不断加大对社会各项事业投入力度。一是调整增加人员支出，全年个人部分达12亿元，比上年增长8.1%。二是</w:t>
      </w:r>
      <w:r>
        <w:rPr>
          <w:rFonts w:ascii="仿宋_GB2312" w:eastAsia="仿宋_GB2312" w:hAnsi="仿宋_GB2312" w:cs="仿宋_GB2312" w:hint="eastAsia"/>
          <w:bCs/>
          <w:sz w:val="30"/>
          <w:szCs w:val="30"/>
        </w:rPr>
        <w:t>全面促进教育公平，实现“学有所教”，</w:t>
      </w:r>
      <w:r>
        <w:rPr>
          <w:rFonts w:ascii="仿宋_GB2312" w:eastAsia="仿宋_GB2312" w:hAnsi="仿宋_GB2312" w:cs="仿宋_GB2312" w:hint="eastAsia"/>
          <w:sz w:val="30"/>
          <w:szCs w:val="30"/>
        </w:rPr>
        <w:t>全年教育投入69934万元。坚持教育资源均衡，保障进城务工人员随迁子女、残疾儿童等人群能够平等接受良好义务教育。新建的柳宗元幼儿园和柳宗元小学，有效缓解了学前教育和义务教育入学难问题。三是</w:t>
      </w:r>
      <w:r>
        <w:rPr>
          <w:rFonts w:ascii="仿宋_GB2312" w:eastAsia="仿宋_GB2312" w:hAnsi="仿宋_GB2312" w:cs="仿宋_GB2312" w:hint="eastAsia"/>
          <w:bCs/>
          <w:sz w:val="30"/>
          <w:szCs w:val="30"/>
        </w:rPr>
        <w:t>全力支持疫情防控，</w:t>
      </w:r>
      <w:r>
        <w:rPr>
          <w:rFonts w:ascii="仿宋_GB2312" w:eastAsia="仿宋_GB2312" w:hAnsi="仿宋_GB2312" w:cs="仿宋_GB2312" w:hint="eastAsia"/>
          <w:sz w:val="30"/>
          <w:szCs w:val="30"/>
        </w:rPr>
        <w:t>全年拨付7433万元，为疫情防控提供有力的资金保障。四是不断提升社会保障能力和公共卫生服务水平，持续加大</w:t>
      </w:r>
      <w:r>
        <w:rPr>
          <w:rFonts w:ascii="仿宋_GB2312" w:eastAsia="仿宋_GB2312" w:hAnsi="仿宋_GB2312" w:cs="仿宋_GB2312" w:hint="eastAsia"/>
          <w:sz w:val="30"/>
          <w:szCs w:val="30"/>
        </w:rPr>
        <w:lastRenderedPageBreak/>
        <w:t>困难群众救助、就业工作保障力度，确保各项民生政策落细落实。</w:t>
      </w:r>
    </w:p>
    <w:p w:rsidR="001D6919" w:rsidRDefault="00687096" w:rsidP="00110C83">
      <w:pPr>
        <w:pStyle w:val="10"/>
        <w:widowControl w:val="0"/>
        <w:adjustRightInd/>
        <w:snapToGrid/>
        <w:spacing w:after="0" w:line="620" w:lineRule="exact"/>
        <w:ind w:firstLine="602"/>
        <w:jc w:val="both"/>
        <w:rPr>
          <w:rFonts w:ascii="仿宋_GB2312" w:eastAsia="仿宋_GB2312" w:hAnsi="仿宋_GB2312" w:cs="仿宋_GB2312"/>
          <w:color w:val="000000"/>
          <w:sz w:val="30"/>
          <w:szCs w:val="30"/>
        </w:rPr>
      </w:pPr>
      <w:r>
        <w:rPr>
          <w:rFonts w:ascii="仿宋_GB2312" w:eastAsia="仿宋_GB2312" w:hAnsi="仿宋_GB2312" w:cs="仿宋_GB2312" w:hint="eastAsia"/>
          <w:b/>
          <w:sz w:val="30"/>
          <w:szCs w:val="30"/>
        </w:rPr>
        <w:t>——强化职能管理，持续深化财政改革。</w:t>
      </w:r>
      <w:r>
        <w:rPr>
          <w:rFonts w:ascii="仿宋_GB2312" w:eastAsia="仿宋_GB2312" w:hAnsi="仿宋_GB2312" w:cs="仿宋_GB2312" w:hint="eastAsia"/>
          <w:bCs/>
          <w:sz w:val="30"/>
          <w:szCs w:val="30"/>
        </w:rPr>
        <w:t>一是稳步推进政府采购工作</w:t>
      </w:r>
      <w:r>
        <w:rPr>
          <w:rFonts w:ascii="仿宋_GB2312" w:eastAsia="仿宋_GB2312" w:hAnsi="仿宋_GB2312" w:cs="仿宋_GB2312" w:hint="eastAsia"/>
          <w:sz w:val="30"/>
          <w:szCs w:val="30"/>
        </w:rPr>
        <w:t>，完成政府采购备案2814笔，实际采购资金11.5亿元，节约资金916.2万元。二是</w:t>
      </w:r>
      <w:r>
        <w:rPr>
          <w:rFonts w:ascii="仿宋_GB2312" w:eastAsia="仿宋_GB2312" w:hAnsi="仿宋_GB2312" w:cs="仿宋_GB2312" w:hint="eastAsia"/>
          <w:bCs/>
          <w:sz w:val="30"/>
          <w:szCs w:val="30"/>
        </w:rPr>
        <w:t>发挥财政评审职能，</w:t>
      </w:r>
      <w:r>
        <w:rPr>
          <w:rFonts w:ascii="仿宋_GB2312" w:eastAsia="仿宋_GB2312" w:hAnsi="仿宋_GB2312" w:cs="仿宋_GB2312" w:hint="eastAsia"/>
          <w:sz w:val="30"/>
          <w:szCs w:val="30"/>
        </w:rPr>
        <w:t>完成评审项目211个，审定金额9.6亿元，综合审减率15.5%。三是</w:t>
      </w:r>
      <w:r>
        <w:rPr>
          <w:rFonts w:ascii="仿宋_GB2312" w:eastAsia="仿宋_GB2312" w:hAnsi="仿宋_GB2312" w:cs="仿宋_GB2312" w:hint="eastAsia"/>
          <w:bCs/>
          <w:sz w:val="30"/>
          <w:szCs w:val="30"/>
        </w:rPr>
        <w:t>优化绩效目标管理，</w:t>
      </w:r>
      <w:r>
        <w:rPr>
          <w:rFonts w:ascii="仿宋_GB2312" w:eastAsia="仿宋_GB2312" w:hAnsi="仿宋_GB2312" w:cs="仿宋_GB2312" w:hint="eastAsia"/>
          <w:sz w:val="30"/>
          <w:szCs w:val="30"/>
        </w:rPr>
        <w:t>审核绩效目标3190项金额28.5亿元，其中财政重点绩效项目15个金额5.6亿元。四是</w:t>
      </w:r>
      <w:r>
        <w:rPr>
          <w:rFonts w:ascii="仿宋_GB2312" w:eastAsia="仿宋_GB2312" w:hAnsi="仿宋_GB2312" w:cs="仿宋_GB2312" w:hint="eastAsia"/>
          <w:bCs/>
          <w:sz w:val="30"/>
          <w:szCs w:val="30"/>
        </w:rPr>
        <w:t>严控“三公经费”，</w:t>
      </w:r>
      <w:r>
        <w:rPr>
          <w:rFonts w:ascii="仿宋_GB2312" w:eastAsia="仿宋_GB2312" w:hAnsi="仿宋_GB2312" w:cs="仿宋_GB2312" w:hint="eastAsia"/>
          <w:sz w:val="30"/>
          <w:szCs w:val="30"/>
        </w:rPr>
        <w:t>全年执行631万元，实现了“双控”目标</w:t>
      </w:r>
      <w:r>
        <w:rPr>
          <w:rFonts w:ascii="仿宋_GB2312" w:eastAsia="仿宋_GB2312" w:hAnsi="仿宋_GB2312" w:cs="仿宋_GB2312" w:hint="eastAsia"/>
          <w:color w:val="000000"/>
          <w:sz w:val="30"/>
          <w:szCs w:val="30"/>
        </w:rPr>
        <w:t>。五是落实退税减税降费政策成效明显，全年退税减税降费缓税（费）4.65亿元，切实减轻企业负担，增强了企业发展信心及经营活力。六是稳步推进乡镇财政体制改革，通过中央省市媒体加强宣传报道，打造特色重点镇先行，大力支持招商引资，及时足额兑现奖励资金，充分激发了各镇街发展经济积极性。</w:t>
      </w:r>
    </w:p>
    <w:p w:rsidR="001D6919" w:rsidRDefault="00687096" w:rsidP="00110C83">
      <w:pPr>
        <w:widowControl w:val="0"/>
        <w:adjustRightInd/>
        <w:snapToGrid/>
        <w:spacing w:after="0" w:line="620" w:lineRule="exact"/>
        <w:ind w:firstLineChars="200" w:firstLine="602"/>
        <w:jc w:val="both"/>
        <w:rPr>
          <w:rFonts w:ascii="仿宋_GB2312" w:eastAsia="仿宋_GB2312" w:hAnsi="仿宋_GB2312" w:cs="仿宋_GB2312"/>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hint="eastAsia"/>
          <w:b/>
          <w:sz w:val="30"/>
          <w:szCs w:val="30"/>
        </w:rPr>
        <w:t>坚持底线思维，有效防范重大风险。</w:t>
      </w:r>
      <w:r>
        <w:rPr>
          <w:rFonts w:ascii="仿宋_GB2312" w:eastAsia="仿宋_GB2312" w:hAnsi="仿宋_GB2312" w:cs="仿宋_GB2312" w:hint="eastAsia"/>
          <w:bCs/>
          <w:sz w:val="30"/>
          <w:szCs w:val="30"/>
        </w:rPr>
        <w:t>一是全力保障“三保”，确保“三保”及各类</w:t>
      </w:r>
      <w:r>
        <w:rPr>
          <w:rFonts w:ascii="仿宋_GB2312" w:eastAsia="仿宋_GB2312" w:hAnsi="仿宋_GB2312" w:cs="仿宋_GB2312" w:hint="eastAsia"/>
          <w:sz w:val="30"/>
          <w:szCs w:val="30"/>
        </w:rPr>
        <w:t>刚性支出需求。</w:t>
      </w:r>
      <w:r>
        <w:rPr>
          <w:rFonts w:ascii="仿宋_GB2312" w:eastAsia="仿宋_GB2312" w:hAnsi="仿宋_GB2312" w:cs="仿宋_GB2312" w:hint="eastAsia"/>
          <w:bCs/>
          <w:sz w:val="30"/>
          <w:szCs w:val="30"/>
        </w:rPr>
        <w:t>二是防范化解政府债务风险。</w:t>
      </w:r>
      <w:r>
        <w:rPr>
          <w:rFonts w:ascii="仿宋_GB2312" w:eastAsia="仿宋_GB2312" w:hAnsi="仿宋_GB2312" w:cs="仿宋_GB2312" w:hint="eastAsia"/>
          <w:sz w:val="30"/>
          <w:szCs w:val="30"/>
        </w:rPr>
        <w:t>我市政府债务余额182900万元，未超过法定政府性债务限额。高度重视债券资金使用效益的发挥，新增债券资金41000万元，支付进度100%。</w:t>
      </w:r>
      <w:r>
        <w:rPr>
          <w:rFonts w:ascii="仿宋_GB2312" w:eastAsia="仿宋_GB2312" w:hAnsi="仿宋_GB2312" w:cs="仿宋_GB2312" w:hint="eastAsia"/>
          <w:bCs/>
          <w:sz w:val="30"/>
          <w:szCs w:val="30"/>
        </w:rPr>
        <w:t>三是加强暂付款管理，</w:t>
      </w:r>
      <w:r>
        <w:rPr>
          <w:rFonts w:ascii="仿宋_GB2312" w:eastAsia="仿宋_GB2312" w:hAnsi="仿宋_GB2312" w:cs="仿宋_GB2312" w:hint="eastAsia"/>
          <w:sz w:val="30"/>
          <w:szCs w:val="30"/>
        </w:rPr>
        <w:t>严控新增暂付款规模，消化存量暂付款1606万元，完成年度存量暂付款消化计划。</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2022年，我们在争资金、稳经济、惠民生、促发展等方面取得一定成效，</w:t>
      </w:r>
      <w:r>
        <w:rPr>
          <w:rFonts w:ascii="仿宋_GB2312" w:eastAsia="仿宋_GB2312" w:hAnsi="仿宋_GB2312" w:cs="仿宋_GB2312" w:hint="eastAsia"/>
          <w:color w:val="000000"/>
          <w:kern w:val="2"/>
          <w:sz w:val="30"/>
          <w:szCs w:val="30"/>
        </w:rPr>
        <w:t>但还存在一些困难和问题：</w:t>
      </w:r>
      <w:r>
        <w:rPr>
          <w:rFonts w:ascii="仿宋_GB2312" w:eastAsia="仿宋_GB2312" w:hAnsi="仿宋_GB2312" w:cs="仿宋_GB2312" w:hint="eastAsia"/>
          <w:spacing w:val="4"/>
          <w:sz w:val="30"/>
          <w:szCs w:val="30"/>
        </w:rPr>
        <w:t>一是财政收入增长点不突出，增收乏力。二是</w:t>
      </w:r>
      <w:r>
        <w:rPr>
          <w:rFonts w:ascii="仿宋_GB2312" w:eastAsia="仿宋_GB2312" w:hAnsi="仿宋_GB2312" w:cs="仿宋_GB2312" w:hint="eastAsia"/>
          <w:sz w:val="30"/>
          <w:szCs w:val="30"/>
        </w:rPr>
        <w:t>因新冠疫情、政策性减税降费等影响及各类民生领</w:t>
      </w:r>
      <w:r>
        <w:rPr>
          <w:rFonts w:ascii="仿宋_GB2312" w:eastAsia="仿宋_GB2312" w:hAnsi="仿宋_GB2312" w:cs="仿宋_GB2312" w:hint="eastAsia"/>
          <w:sz w:val="30"/>
          <w:szCs w:val="30"/>
        </w:rPr>
        <w:lastRenderedPageBreak/>
        <w:t>域刚性支出需求加大，财政预算平衡难度增加。</w:t>
      </w:r>
      <w:r>
        <w:rPr>
          <w:rFonts w:ascii="仿宋_GB2312" w:eastAsia="仿宋_GB2312" w:hAnsi="仿宋_GB2312" w:cs="仿宋_GB2312" w:hint="eastAsia"/>
          <w:spacing w:val="4"/>
          <w:sz w:val="30"/>
          <w:szCs w:val="30"/>
        </w:rPr>
        <w:t>三是</w:t>
      </w:r>
      <w:r>
        <w:rPr>
          <w:rFonts w:ascii="仿宋_GB2312" w:eastAsia="仿宋_GB2312" w:hAnsi="仿宋_GB2312" w:cs="仿宋_GB2312" w:hint="eastAsia"/>
          <w:sz w:val="30"/>
          <w:szCs w:val="30"/>
        </w:rPr>
        <w:t>部分</w:t>
      </w:r>
      <w:r>
        <w:rPr>
          <w:rFonts w:ascii="仿宋_GB2312" w:eastAsia="仿宋_GB2312" w:hAnsi="仿宋_GB2312" w:cs="仿宋_GB2312" w:hint="eastAsia"/>
          <w:color w:val="000000"/>
          <w:kern w:val="2"/>
          <w:sz w:val="30"/>
          <w:szCs w:val="30"/>
        </w:rPr>
        <w:t>部门过“紧日子”意识不强，绩效管理理念不够深入。</w:t>
      </w:r>
      <w:r>
        <w:rPr>
          <w:rFonts w:ascii="仿宋_GB2312" w:eastAsia="仿宋_GB2312" w:hAnsi="仿宋_GB2312" w:cs="仿宋_GB2312" w:hint="eastAsia"/>
          <w:sz w:val="30"/>
          <w:szCs w:val="30"/>
        </w:rPr>
        <w:t>对此，我们要高度重视，积极应对，切实采取有效措施加以解决。</w:t>
      </w:r>
    </w:p>
    <w:p w:rsidR="001D6919" w:rsidRDefault="00687096" w:rsidP="00110C83">
      <w:pPr>
        <w:widowControl w:val="0"/>
        <w:spacing w:after="0" w:line="620" w:lineRule="exact"/>
        <w:ind w:firstLineChars="200" w:firstLine="600"/>
        <w:jc w:val="both"/>
        <w:rPr>
          <w:rFonts w:ascii="黑体" w:eastAsia="黑体" w:hAnsi="黑体"/>
          <w:color w:val="000000"/>
          <w:sz w:val="30"/>
          <w:szCs w:val="30"/>
        </w:rPr>
      </w:pPr>
      <w:r>
        <w:rPr>
          <w:rFonts w:ascii="黑体" w:eastAsia="黑体" w:hAnsi="黑体" w:hint="eastAsia"/>
          <w:color w:val="000000"/>
          <w:sz w:val="30"/>
          <w:szCs w:val="30"/>
        </w:rPr>
        <w:t>二、2023年财政预算草案</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2023年是全面贯彻落实党的二十大精神的开局之年，是实施“十四五”规划的关键之年，做好财政收支预算编制工作，对促进全市经济发展及各项事业进步，具有十分重要的意义。</w:t>
      </w:r>
    </w:p>
    <w:p w:rsidR="001D6919" w:rsidRDefault="00687096" w:rsidP="00110C83">
      <w:pPr>
        <w:widowControl w:val="0"/>
        <w:spacing w:after="0" w:line="620" w:lineRule="exact"/>
        <w:ind w:firstLineChars="200" w:firstLine="600"/>
        <w:jc w:val="both"/>
        <w:rPr>
          <w:rFonts w:ascii="楷体" w:eastAsia="楷体" w:hAnsi="楷体" w:cs="楷体"/>
          <w:color w:val="000000"/>
          <w:sz w:val="30"/>
          <w:szCs w:val="30"/>
        </w:rPr>
      </w:pPr>
      <w:r>
        <w:rPr>
          <w:rFonts w:ascii="楷体" w:eastAsia="楷体" w:hAnsi="楷体" w:cs="楷体" w:hint="eastAsia"/>
          <w:color w:val="000000"/>
          <w:sz w:val="30"/>
          <w:szCs w:val="30"/>
        </w:rPr>
        <w:t>（一）一般公共收支预算</w:t>
      </w:r>
    </w:p>
    <w:p w:rsidR="001D6919" w:rsidRDefault="00687096" w:rsidP="00110C83">
      <w:pPr>
        <w:widowControl w:val="0"/>
        <w:spacing w:after="0" w:line="620" w:lineRule="exact"/>
        <w:ind w:firstLineChars="200" w:firstLine="602"/>
        <w:jc w:val="both"/>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1、收入预算预测</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根据省市财政部门初步测算的收入预算并结合我市实际情况，一般公共预算收入按44169万元预测，比上年增长10%。分征收部门收入预测:税务部门34169万元，比上年增长11.7%；财政部门10000万元，比上年增长4.4%。</w:t>
      </w:r>
    </w:p>
    <w:p w:rsidR="001D6919" w:rsidRDefault="00687096" w:rsidP="00110C83">
      <w:pPr>
        <w:widowControl w:val="0"/>
        <w:spacing w:after="0" w:line="620" w:lineRule="exact"/>
        <w:ind w:firstLineChars="200" w:firstLine="602"/>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2、财力测算情况</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rPr>
        <w:t>根据运城市下达的收入计划及已明确的财政体制，财力测算情况是：（1）市级收入财力44169万元;（2）</w:t>
      </w:r>
      <w:r>
        <w:rPr>
          <w:rFonts w:ascii="仿宋_GB2312" w:eastAsia="仿宋_GB2312" w:hAnsi="仿宋_GB2312" w:cs="仿宋_GB2312" w:hint="eastAsia"/>
          <w:sz w:val="30"/>
          <w:szCs w:val="30"/>
          <w:shd w:val="clear" w:color="auto" w:fill="FFFFFF"/>
        </w:rPr>
        <w:t>返还性收入1604万元；</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shd w:val="clear" w:color="auto" w:fill="FFFFFF"/>
        </w:rPr>
        <w:t>均衡性转移支付补</w:t>
      </w:r>
      <w:r>
        <w:rPr>
          <w:rFonts w:ascii="仿宋_GB2312" w:eastAsia="仿宋_GB2312" w:hAnsi="仿宋_GB2312" w:cs="仿宋_GB2312" w:hint="eastAsia"/>
          <w:color w:val="000000"/>
          <w:sz w:val="30"/>
          <w:szCs w:val="30"/>
          <w:shd w:val="clear" w:color="auto" w:fill="FFFFFF"/>
        </w:rPr>
        <w:t>助105635万元</w:t>
      </w:r>
      <w:r>
        <w:rPr>
          <w:rFonts w:ascii="仿宋_GB2312" w:eastAsia="仿宋_GB2312" w:hAnsi="仿宋_GB2312" w:cs="仿宋_GB2312" w:hint="eastAsia"/>
          <w:sz w:val="30"/>
          <w:szCs w:val="30"/>
          <w:shd w:val="clear" w:color="auto" w:fill="FFFFFF"/>
        </w:rPr>
        <w:t>；</w:t>
      </w:r>
      <w:r>
        <w:rPr>
          <w:rFonts w:ascii="仿宋_GB2312" w:eastAsia="仿宋_GB2312" w:hAnsi="仿宋_GB2312" w:cs="仿宋_GB2312" w:hint="eastAsia"/>
          <w:sz w:val="30"/>
          <w:szCs w:val="30"/>
        </w:rPr>
        <w:t>（4）县级基本财力保障奖补资金16528万元;（5）重点生态功能区转移支付327万元；（6）</w:t>
      </w:r>
      <w:r>
        <w:rPr>
          <w:rFonts w:ascii="仿宋_GB2312" w:eastAsia="仿宋_GB2312" w:hAnsi="仿宋_GB2312" w:cs="仿宋_GB2312" w:hint="eastAsia"/>
          <w:sz w:val="30"/>
          <w:szCs w:val="30"/>
          <w:shd w:val="clear" w:color="auto" w:fill="FFFFFF"/>
        </w:rPr>
        <w:t>固定数额补助</w:t>
      </w:r>
      <w:r>
        <w:rPr>
          <w:rFonts w:ascii="仿宋_GB2312" w:eastAsia="仿宋_GB2312" w:hAnsi="仿宋_GB2312" w:cs="仿宋_GB2312" w:hint="eastAsia"/>
          <w:color w:val="000000"/>
          <w:sz w:val="30"/>
          <w:szCs w:val="30"/>
          <w:shd w:val="clear" w:color="auto" w:fill="FFFFFF"/>
        </w:rPr>
        <w:t>15099</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shd w:val="clear" w:color="auto" w:fill="FFFFFF"/>
        </w:rPr>
        <w:t>各项结算扣减552万元（其中定额上解390万元、生态环境局上划2264万元、黄河流域生态保护和高质量发展奖补资金1429万元、税务经费下划673万元）；（8）</w:t>
      </w:r>
      <w:r>
        <w:rPr>
          <w:rFonts w:ascii="仿宋_GB2312" w:eastAsia="仿宋_GB2312" w:hAnsi="仿宋_GB2312" w:cs="仿宋_GB2312" w:hint="eastAsia"/>
          <w:sz w:val="30"/>
          <w:szCs w:val="30"/>
        </w:rPr>
        <w:t>留</w:t>
      </w:r>
      <w:r>
        <w:rPr>
          <w:rFonts w:ascii="仿宋_GB2312" w:eastAsia="仿宋_GB2312" w:hAnsi="仿宋_GB2312" w:cs="仿宋_GB2312" w:hint="eastAsia"/>
          <w:sz w:val="30"/>
          <w:szCs w:val="30"/>
        </w:rPr>
        <w:lastRenderedPageBreak/>
        <w:t>抵退税及补充县区财力5166万元；（9）</w:t>
      </w:r>
      <w:r>
        <w:rPr>
          <w:rFonts w:ascii="仿宋_GB2312" w:eastAsia="仿宋_GB2312" w:hAnsi="仿宋_GB2312" w:cs="仿宋_GB2312" w:hint="eastAsia"/>
          <w:sz w:val="30"/>
          <w:szCs w:val="30"/>
          <w:shd w:val="clear" w:color="auto" w:fill="FFFFFF"/>
        </w:rPr>
        <w:t>各项上解</w:t>
      </w:r>
      <w:r>
        <w:rPr>
          <w:rFonts w:ascii="仿宋_GB2312" w:eastAsia="仿宋_GB2312" w:hAnsi="仿宋_GB2312" w:cs="仿宋_GB2312" w:hint="eastAsia"/>
          <w:color w:val="000000"/>
          <w:sz w:val="30"/>
          <w:szCs w:val="30"/>
          <w:shd w:val="clear" w:color="auto" w:fill="FFFFFF"/>
        </w:rPr>
        <w:t>16819</w:t>
      </w:r>
      <w:r>
        <w:rPr>
          <w:rFonts w:ascii="仿宋_GB2312" w:eastAsia="仿宋_GB2312" w:hAnsi="仿宋_GB2312" w:cs="仿宋_GB2312" w:hint="eastAsia"/>
          <w:sz w:val="30"/>
          <w:szCs w:val="30"/>
          <w:shd w:val="clear" w:color="auto" w:fill="FFFFFF"/>
        </w:rPr>
        <w:t>万元（其中体制直管县基数上解10064万元、出口退税上解3万元、法检两院上划1893万元、对口援疆上解75万元、医疗卫生领域财政事权和支出责任划分上解301万元、公共文化基数划转22万元、2022年其他企业增值税留抵退税上解4108万元、其他划转353万元）；</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shd w:val="clear" w:color="auto" w:fill="FFFFFF"/>
        </w:rPr>
        <w:t>调入稳定调节基金3666万元；（11）调入资金993万元（从政府性基金调入930万元、从国有资本经营调入63万元）；（12）提前下达公安、教育、社保、农业、交通等一般转移支付</w:t>
      </w:r>
      <w:r>
        <w:rPr>
          <w:rFonts w:ascii="仿宋_GB2312" w:eastAsia="仿宋_GB2312" w:hAnsi="仿宋_GB2312" w:cs="仿宋_GB2312" w:hint="eastAsia"/>
          <w:color w:val="000000"/>
          <w:sz w:val="30"/>
          <w:szCs w:val="30"/>
          <w:shd w:val="clear" w:color="auto" w:fill="FFFFFF"/>
        </w:rPr>
        <w:t>57965万元，专项转移支付2386万元，共60351万元；</w:t>
      </w:r>
      <w:r>
        <w:rPr>
          <w:rFonts w:ascii="仿宋_GB2312" w:eastAsia="仿宋_GB2312" w:hAnsi="仿宋_GB2312" w:cs="仿宋_GB2312" w:hint="eastAsia"/>
          <w:sz w:val="30"/>
          <w:szCs w:val="30"/>
          <w:shd w:val="clear" w:color="auto" w:fill="FFFFFF"/>
        </w:rPr>
        <w:t>（13）上年结转15327万元（其中本级结转12万元）；（14）新增政府债券收</w:t>
      </w:r>
      <w:r>
        <w:rPr>
          <w:rFonts w:ascii="仿宋_GB2312" w:eastAsia="仿宋_GB2312" w:hAnsi="仿宋_GB2312" w:cs="仿宋_GB2312" w:hint="eastAsia"/>
          <w:color w:val="000000"/>
          <w:sz w:val="30"/>
          <w:szCs w:val="30"/>
          <w:shd w:val="clear" w:color="auto" w:fill="FFFFFF"/>
        </w:rPr>
        <w:t>入7900万</w:t>
      </w:r>
      <w:r>
        <w:rPr>
          <w:rFonts w:ascii="仿宋_GB2312" w:eastAsia="仿宋_GB2312" w:hAnsi="仿宋_GB2312" w:cs="仿宋_GB2312" w:hint="eastAsia"/>
          <w:sz w:val="30"/>
          <w:szCs w:val="30"/>
          <w:shd w:val="clear" w:color="auto" w:fill="FFFFFF"/>
        </w:rPr>
        <w:t>元；（15）地方政府债务还本支</w:t>
      </w:r>
      <w:r>
        <w:rPr>
          <w:rFonts w:ascii="仿宋_GB2312" w:eastAsia="仿宋_GB2312" w:hAnsi="仿宋_GB2312" w:cs="仿宋_GB2312" w:hint="eastAsia"/>
          <w:color w:val="000000"/>
          <w:sz w:val="30"/>
          <w:szCs w:val="30"/>
          <w:shd w:val="clear" w:color="auto" w:fill="FFFFFF"/>
        </w:rPr>
        <w:t>出1200万元，</w:t>
      </w:r>
      <w:r>
        <w:rPr>
          <w:rFonts w:ascii="仿宋_GB2312" w:eastAsia="仿宋_GB2312" w:hAnsi="仿宋_GB2312" w:cs="仿宋_GB2312" w:hint="eastAsia"/>
          <w:sz w:val="30"/>
          <w:szCs w:val="30"/>
          <w:shd w:val="clear" w:color="auto" w:fill="FFFFFF"/>
        </w:rPr>
        <w:t>拟通过再融资解决。以上总财力</w:t>
      </w:r>
      <w:r>
        <w:rPr>
          <w:rFonts w:ascii="仿宋_GB2312" w:eastAsia="仿宋_GB2312" w:hAnsi="仿宋_GB2312" w:cs="仿宋_GB2312" w:hint="eastAsia"/>
          <w:color w:val="000000"/>
          <w:sz w:val="30"/>
          <w:szCs w:val="30"/>
          <w:shd w:val="clear" w:color="auto" w:fill="FFFFFF"/>
        </w:rPr>
        <w:t>259394万元，其中：上级资金60351万元，上年上级结转15315万元，新增政府债券收入7900万元，可用财力175828万元。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3、支出预算安排意见</w:t>
      </w:r>
    </w:p>
    <w:p w:rsidR="001D6919" w:rsidRDefault="00687096" w:rsidP="00110C83">
      <w:pPr>
        <w:widowControl w:val="0"/>
        <w:spacing w:after="0" w:line="620" w:lineRule="exact"/>
        <w:ind w:firstLineChars="200" w:firstLine="600"/>
        <w:jc w:val="both"/>
        <w:rPr>
          <w:rFonts w:ascii="黑体" w:eastAsia="黑体" w:hAnsi="黑体"/>
          <w:sz w:val="30"/>
          <w:szCs w:val="30"/>
        </w:rPr>
      </w:pPr>
      <w:r>
        <w:rPr>
          <w:rFonts w:ascii="仿宋_GB2312" w:eastAsia="仿宋_GB2312" w:hAnsi="仿宋_GB2312" w:cs="仿宋_GB2312" w:hint="eastAsia"/>
          <w:sz w:val="30"/>
          <w:szCs w:val="30"/>
        </w:rPr>
        <w:t>2023年财政工作指导思想：</w:t>
      </w:r>
      <w:r>
        <w:rPr>
          <w:rFonts w:ascii="黑体" w:eastAsia="黑体" w:hAnsi="黑体" w:hint="eastAsia"/>
          <w:sz w:val="30"/>
          <w:szCs w:val="30"/>
        </w:rPr>
        <w:t>根据中央、省、市财政工作会议精神，坚持稳中求进总基调，完整、准确、全面贯彻新发展理念，主动服务和融入新发展格局，积极的财政政策要加力提效。收入预算坚持实事求是、科学预测。支出预算坚持有保有压，强化大事要事财力保障。</w:t>
      </w:r>
    </w:p>
    <w:p w:rsidR="001D6919" w:rsidRDefault="00687096" w:rsidP="00110C83">
      <w:pPr>
        <w:pStyle w:val="a3"/>
        <w:adjustRightInd w:val="0"/>
        <w:spacing w:line="620" w:lineRule="exact"/>
        <w:ind w:firstLineChars="200" w:firstLine="600"/>
        <w:rPr>
          <w:rFonts w:ascii="黑体" w:eastAsia="黑体" w:hAnsi="黑体" w:cs="黑体"/>
          <w:sz w:val="30"/>
          <w:szCs w:val="30"/>
        </w:rPr>
      </w:pPr>
      <w:r>
        <w:rPr>
          <w:rFonts w:ascii="仿宋_GB2312" w:eastAsia="仿宋_GB2312" w:hAnsi="仿宋_GB2312" w:cs="仿宋_GB2312" w:hint="eastAsia"/>
          <w:sz w:val="30"/>
          <w:szCs w:val="30"/>
        </w:rPr>
        <w:t>预算编制原则：</w:t>
      </w:r>
      <w:r>
        <w:rPr>
          <w:rFonts w:ascii="黑体" w:eastAsia="黑体" w:hAnsi="黑体" w:cs="黑体" w:hint="eastAsia"/>
          <w:sz w:val="30"/>
          <w:szCs w:val="30"/>
        </w:rPr>
        <w:t>“统筹兼顾、勤俭节约、量力而行、讲求绩效和</w:t>
      </w:r>
      <w:r>
        <w:rPr>
          <w:rFonts w:ascii="黑体" w:eastAsia="黑体" w:hAnsi="黑体" w:cs="黑体" w:hint="eastAsia"/>
          <w:sz w:val="30"/>
          <w:szCs w:val="30"/>
        </w:rPr>
        <w:lastRenderedPageBreak/>
        <w:t>收支平衡”的原则。一是兜牢“三保”底线的基础上，优先安排还本付息、中长期支出事项等其他刚性支出；二是优化支出结构，积极支持乡村振兴、教育、基本民生、绿色发展等重点领域，从严控制一般性支出，不断提高支出效率；三是硬化预算约束,增强预算意识</w:t>
      </w:r>
      <w:r>
        <w:rPr>
          <w:rFonts w:ascii="黑体" w:eastAsia="黑体" w:hAnsi="黑体" w:cs="黑体" w:hint="eastAsia"/>
          <w:color w:val="000000"/>
          <w:sz w:val="30"/>
          <w:szCs w:val="30"/>
        </w:rPr>
        <w:t>；四是强化预算绩效管理，提高财政资金使用效益；五是强化底线思维，防范</w:t>
      </w:r>
      <w:r>
        <w:rPr>
          <w:rFonts w:ascii="黑体" w:eastAsia="黑体" w:hAnsi="黑体" w:cs="黑体" w:hint="eastAsia"/>
          <w:sz w:val="30"/>
          <w:szCs w:val="30"/>
        </w:rPr>
        <w:t>化解地方政府债务风险。</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根据初步测算的财力情况，今年支出预算拟安排259394万元，比上年预算减少5179万元，主要是2023年一般公共预算收入比上年预算减少。其中：工资福利、对个人家庭补助等个人部分支出126531万元，基本运转经费18628万元，民生及重点项目支出30157万元，预备费500万元，提前下达转移支付60351万元，上年结转15327万元，新增政府债券7900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（1）工资福利、对个人家庭补助等个人部分支出126531万元，比上年预算增</w:t>
      </w:r>
      <w:r>
        <w:rPr>
          <w:rFonts w:ascii="仿宋_GB2312" w:eastAsia="仿宋_GB2312" w:hAnsi="仿宋_GB2312" w:cs="仿宋_GB2312" w:hint="eastAsia"/>
          <w:sz w:val="30"/>
          <w:szCs w:val="30"/>
        </w:rPr>
        <w:t>加15120万</w:t>
      </w:r>
      <w:r>
        <w:rPr>
          <w:rFonts w:ascii="仿宋_GB2312" w:eastAsia="仿宋_GB2312" w:hAnsi="仿宋_GB2312" w:cs="仿宋_GB2312" w:hint="eastAsia"/>
          <w:color w:val="000000"/>
          <w:sz w:val="30"/>
          <w:szCs w:val="30"/>
        </w:rPr>
        <w:t>元。其中工资福利支出99885万元，比上年预算增加12816万元，主要是基本工资、基础性绩效奖等增加5853万元，工资提高后社保缴费基数也随之提高增加2055万元，住房公积金比例由8%提高到10%增加1759万元，2020-2021年退休人员职业年金2178万元。</w:t>
      </w:r>
    </w:p>
    <w:p w:rsidR="001D6919" w:rsidRDefault="00687096" w:rsidP="00110C83">
      <w:pPr>
        <w:pStyle w:val="11"/>
        <w:widowControl w:val="0"/>
        <w:adjustRightInd/>
        <w:snapToGrid/>
        <w:spacing w:after="0" w:line="620" w:lineRule="exact"/>
        <w:ind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对个人和家庭补助支出26646万元，比上年预算增加2304万元，主要是机关事业养老保险财政补助增加。</w:t>
      </w:r>
    </w:p>
    <w:p w:rsidR="001D6919" w:rsidRDefault="00687096" w:rsidP="00110C83">
      <w:pPr>
        <w:pStyle w:val="11"/>
        <w:widowControl w:val="0"/>
        <w:adjustRightInd/>
        <w:snapToGrid/>
        <w:spacing w:after="0" w:line="620" w:lineRule="exact"/>
        <w:ind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（2）基本运转经费18628万元，比上年预算减少1673万元，</w:t>
      </w:r>
      <w:r>
        <w:rPr>
          <w:rFonts w:ascii="仿宋_GB2312" w:eastAsia="仿宋_GB2312" w:hAnsi="仿宋_GB2312" w:cs="仿宋_GB2312" w:hint="eastAsia"/>
          <w:color w:val="000000"/>
          <w:sz w:val="30"/>
          <w:szCs w:val="30"/>
        </w:rPr>
        <w:lastRenderedPageBreak/>
        <w:t>主要是行政事业性收费及办案费减少686万元，污水处理运行费600万元拟用基金列支，业务类经费压减10%减少214万元。</w:t>
      </w:r>
    </w:p>
    <w:p w:rsidR="001D6919" w:rsidRDefault="00687096" w:rsidP="00110C83">
      <w:pPr>
        <w:pStyle w:val="11"/>
        <w:widowControl w:val="0"/>
        <w:adjustRightInd/>
        <w:snapToGrid/>
        <w:spacing w:after="0" w:line="620" w:lineRule="exact"/>
        <w:ind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（3）民生及重点项目拟安排30157万元。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1）一般公共服务支出4901.19万元。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①优秀人大代表和代表意见建议办理宣传经费30万元，“智慧人大”履职管理服务平台建设费用30万元，人大代表通讯交通费用68.4万元。共计128.4万元。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②“书香政协”建设及宣传费用10万元，“翰墨永济”书法篆刻作品展费用20万元，《永济革命老区英烈人物传》编印费3.8万元。共计33.8万元。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③政务服务中心建设及辅助设施配套资金600万元，政务服务及市场主体倍增经费72万元，12345热线服务经费60万元，信息化工程100万元。共计832万元。</w:t>
      </w:r>
      <w:bookmarkStart w:id="0" w:name="_GoBack"/>
      <w:bookmarkEnd w:id="0"/>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④</w:t>
      </w:r>
      <w:r>
        <w:rPr>
          <w:rFonts w:ascii="仿宋_GB2312" w:eastAsia="仿宋_GB2312" w:hAnsi="仿宋_GB2312" w:cs="仿宋_GB2312" w:hint="eastAsia"/>
          <w:spacing w:val="2"/>
          <w:sz w:val="30"/>
          <w:szCs w:val="30"/>
        </w:rPr>
        <w:t>项目推进、社会信用体系建设等经费20万元，《永济市黄河流域生态保护和高质量发展规划》编制费及工作经费31万元,开发区运行管理及水土保持编制费300万元，人防工作经费10万元,春节供应经费35万元,服务小微企业工作经费10万元。共计406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⑤第五次全国经济普查专项经费50万元，城乡居民收支及劳动力调查经费40万元，统计人口抽样调查、报表基础核查及法制建设经费15万元，美丽乡村建设工作经费15万元，“运才兴运”有关</w:t>
      </w:r>
      <w:r>
        <w:rPr>
          <w:rFonts w:ascii="仿宋_GB2312" w:eastAsia="仿宋_GB2312" w:hAnsi="仿宋_GB2312" w:cs="仿宋_GB2312" w:hint="eastAsia"/>
          <w:sz w:val="30"/>
          <w:szCs w:val="30"/>
        </w:rPr>
        <w:lastRenderedPageBreak/>
        <w:t>经费8万元。共计128万元。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⑥税务改革地方保障金815万元，税费征收经费150万元，教育费附加手续费33万元。共计998万元。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⑦廉洁文化主题公园费用101.8万元，业务用房质保金23.7万元。共计125.5万元。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⑧档案数字化专项资金30万元，数字档案信息管理系统软件及设施费用40万元。共计70万元。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pacing w:val="2"/>
          <w:sz w:val="30"/>
          <w:szCs w:val="30"/>
        </w:rPr>
      </w:pPr>
      <w:r>
        <w:rPr>
          <w:rFonts w:ascii="仿宋_GB2312" w:eastAsia="仿宋_GB2312" w:hAnsi="仿宋_GB2312" w:cs="仿宋_GB2312" w:hint="eastAsia"/>
          <w:sz w:val="30"/>
          <w:szCs w:val="30"/>
        </w:rPr>
        <w:t>⑨</w:t>
      </w:r>
      <w:r>
        <w:rPr>
          <w:rFonts w:ascii="仿宋_GB2312" w:eastAsia="仿宋_GB2312" w:hAnsi="仿宋_GB2312" w:cs="仿宋_GB2312" w:hint="eastAsia"/>
          <w:spacing w:val="2"/>
          <w:sz w:val="30"/>
          <w:szCs w:val="30"/>
        </w:rPr>
        <w:t>民兵训练基地设施配套79万元，统战工作经费5万元，周转房建设项目资金500万元，中文域名注册费3万元。共计587万元。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⑩党建引领基层治理专项经费30万元，城市基层党建工作经费100万元，非公和社会组织党建工作经费10万元，干部教育培训经费100万元，人才资源开发专项资金500万元（含高层次人才购房基金100万元），“五面红旗”示范创建经费200万元，干部信息管理系统及干部人事档案数字化专项经费92.6万元，干部激励帮扶慰问专项经费10万元。共计1042.6万元。</w:t>
      </w:r>
    </w:p>
    <w:p w:rsidR="001D6919" w:rsidRDefault="00687096" w:rsidP="00110C83">
      <w:pPr>
        <w:widowControl w:val="0"/>
        <w:spacing w:after="0" w:line="620" w:lineRule="exact"/>
        <w:ind w:firstLineChars="200" w:firstLine="480"/>
        <w:jc w:val="both"/>
        <w:rPr>
          <w:rFonts w:ascii="仿宋_GB2312" w:eastAsia="仿宋_GB2312" w:hAnsi="仿宋_GB2312" w:cs="仿宋_GB2312"/>
          <w:sz w:val="30"/>
          <w:szCs w:val="30"/>
        </w:rPr>
      </w:pPr>
      <w:r>
        <w:rPr>
          <w:rFonts w:ascii="宋体" w:eastAsia="宋体" w:hAnsi="宋体" w:cs="宋体" w:hint="eastAsia"/>
          <w:sz w:val="24"/>
          <w:szCs w:val="24"/>
        </w:rPr>
        <w:t xml:space="preserve">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eq \o\ac(</w:instrText>
      </w:r>
      <w:r>
        <w:rPr>
          <w:rFonts w:ascii="宋体" w:eastAsia="宋体" w:hAnsi="宋体" w:cs="宋体" w:hint="eastAsia"/>
          <w:position w:val="-4"/>
          <w:sz w:val="31"/>
          <w:szCs w:val="21"/>
        </w:rPr>
        <w:instrText>○</w:instrText>
      </w:r>
      <w:r>
        <w:rPr>
          <w:rFonts w:ascii="宋体" w:eastAsia="宋体" w:hAnsi="宋体" w:cs="宋体" w:hint="eastAsia"/>
          <w:sz w:val="21"/>
          <w:szCs w:val="21"/>
        </w:rPr>
        <w:instrText>,11)</w:instrText>
      </w:r>
      <w:r>
        <w:rPr>
          <w:rFonts w:ascii="宋体" w:eastAsia="宋体" w:hAnsi="宋体" w:cs="宋体" w:hint="eastAsia"/>
          <w:sz w:val="21"/>
          <w:szCs w:val="21"/>
        </w:rPr>
        <w:fldChar w:fldCharType="end"/>
      </w:r>
      <w:r>
        <w:rPr>
          <w:rFonts w:ascii="仿宋_GB2312" w:eastAsia="仿宋_GB2312" w:hAnsi="仿宋_GB2312" w:cs="仿宋_GB2312" w:hint="eastAsia"/>
          <w:sz w:val="30"/>
          <w:szCs w:val="30"/>
        </w:rPr>
        <w:t>党报党刊征订330万元，文明城市创建及第三方测评经费100万元，新时代文明实践中心运行经费10万元，网络舆情监测、宣传、安全检查15万元，“扫黄打非”专项经费5万元，三晋文化研究经费3万元。共计463万元。</w:t>
      </w:r>
    </w:p>
    <w:p w:rsidR="001D6919" w:rsidRDefault="00687096" w:rsidP="00110C83">
      <w:pPr>
        <w:widowControl w:val="0"/>
        <w:spacing w:after="0" w:line="620" w:lineRule="exact"/>
        <w:ind w:firstLineChars="200" w:firstLine="480"/>
        <w:jc w:val="both"/>
        <w:rPr>
          <w:rFonts w:ascii="仿宋_GB2312" w:eastAsia="仿宋_GB2312" w:hAnsi="仿宋_GB2312" w:cs="仿宋_GB2312"/>
          <w:sz w:val="30"/>
          <w:szCs w:val="30"/>
        </w:rPr>
      </w:pPr>
      <w:r>
        <w:rPr>
          <w:rFonts w:ascii="宋体" w:eastAsia="宋体" w:hAnsi="宋体" w:cs="宋体" w:hint="eastAsia"/>
          <w:sz w:val="24"/>
          <w:szCs w:val="24"/>
        </w:rPr>
        <w:t xml:space="preserve">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eq \o\ac(</w:instrText>
      </w:r>
      <w:r>
        <w:rPr>
          <w:rFonts w:ascii="宋体" w:eastAsia="宋体" w:hAnsi="宋体" w:cs="宋体" w:hint="eastAsia"/>
          <w:position w:val="-4"/>
          <w:sz w:val="31"/>
          <w:szCs w:val="21"/>
        </w:rPr>
        <w:instrText>○</w:instrText>
      </w:r>
      <w:r>
        <w:rPr>
          <w:rFonts w:ascii="宋体" w:eastAsia="宋体" w:hAnsi="宋体" w:cs="宋体" w:hint="eastAsia"/>
          <w:sz w:val="21"/>
          <w:szCs w:val="21"/>
        </w:rPr>
        <w:instrText>,12)</w:instrText>
      </w:r>
      <w:r>
        <w:rPr>
          <w:rFonts w:ascii="宋体" w:eastAsia="宋体" w:hAnsi="宋体" w:cs="宋体" w:hint="eastAsia"/>
          <w:sz w:val="21"/>
          <w:szCs w:val="21"/>
        </w:rPr>
        <w:fldChar w:fldCharType="end"/>
      </w:r>
      <w:r>
        <w:rPr>
          <w:rFonts w:ascii="仿宋_GB2312" w:eastAsia="仿宋_GB2312" w:hAnsi="仿宋_GB2312" w:cs="仿宋_GB2312" w:hint="eastAsia"/>
          <w:sz w:val="30"/>
          <w:szCs w:val="30"/>
        </w:rPr>
        <w:t>工业产品、日用消耗品质量监督抽查专项经费40万元，综合</w:t>
      </w:r>
      <w:r>
        <w:rPr>
          <w:rFonts w:ascii="仿宋_GB2312" w:eastAsia="仿宋_GB2312" w:hAnsi="仿宋_GB2312" w:cs="仿宋_GB2312" w:hint="eastAsia"/>
          <w:sz w:val="30"/>
          <w:szCs w:val="30"/>
        </w:rPr>
        <w:lastRenderedPageBreak/>
        <w:t>行政执法经费38.89万元，公平竞争审查第三方评估费用8万元。共计86.89万元。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2）公共安全211.01万元。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武警中队安保规范化建设及训练场项目71.51万元，基层派出所建设项目前期费用77万元，交警队项目质保金52.5万元，维护蒲津公司经营秩序及处置永鑫房地产非法集资经费10万元。共计211.01万元。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3）教育科技1665.5万元。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①智慧教育二期工程项目319万元，中小学活动训练基地91.3万元，国家统考经费70万元，教师节活动经费15万元，校园安保经费257.2万元，中小学教师继续教育160万元，城区小学“放心午餐工程”劳务报酬20万元，中小学课后服务费100万元，中小学德育服务费8万元。共计1040.5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②党校学员宿舍提升改造费用15万元。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③科学技术项目资金610万元。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4）文化旅游体育与传媒5107.64万元。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①文化服务中心运行经费111.3万元，会议中心运行费30万元，民俗规化展更新及文旅市场安全生产检查费用8.6万元，河东书房及文化分馆运行经费35万元，流动美术车车辆购置税2.74万元。共计187.64万元。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②文旅产业发展基金2000万元，解决万固寺遗留问题150万元，</w:t>
      </w:r>
      <w:r>
        <w:rPr>
          <w:rFonts w:ascii="仿宋_GB2312" w:eastAsia="仿宋_GB2312" w:hAnsi="仿宋_GB2312" w:cs="仿宋_GB2312" w:hint="eastAsia"/>
          <w:sz w:val="30"/>
          <w:szCs w:val="30"/>
        </w:rPr>
        <w:lastRenderedPageBreak/>
        <w:t>文物保护经费210万元，农村广播电视公共文化服务经费60万元。共计2420万元。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③体育中心可行性缺口资金2500万元。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5）社会保障和就业997.3万元。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①事业单位公开招聘费用80万元，全民技能培训、企业薪酬调查等工作经费10万元，劳动监察根治欠薪宣传培训及审计经费15万元，就业中心及餐饮办运行经费30万元。共计135万元。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②社会保险待遇资格认证费用5万元，机关事业养老保险个人账户数据整理费用30万元，城乡居民基本医疗保险征缴经费10万元，90周岁及以上高龄老人生活补贴67万元，残疾人就业保障经费304万元。共计416万元。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③地名信息库数据质量提升8万元，婚姻登记窗口设备配套3.4万元。共计11.4万元。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④烈士陵园工程费用22万元，退役军人帮扶援助资金90万元，退役军人慰问活动费用155万元，拥军优属工作活动经费15万元，镇、街道退役军人服务站工作经费20万元，部分退役士兵政府购买辅助性岗位费用127.9万元，退役军人服务保障体系经费5万元。共计434.9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6）卫生健康1053.74万元。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疫情防控应急经费1000万元，公立医院公开招聘经费36万元，计生家庭意外伤害保险17.74万元。共计1053.74万元。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7）节能环保331万元。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“十四五”节能规划资金16万元，清洁取暖（煤改电）等工作经费15万元，冬季供热取暖补贴300万元。共计331万元。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8）城乡社区4238.52万元。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①城市维护费3713.52万元，主要用于环卫、市政公用服务中心人员经费及维护费等。</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②新建驿站内部设施配套10万元，焚烧发电垃圾处理费400万元，城市管理协管员经费115万元。共计525万元。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9）农林水3460.6万元，主要用于三农及乡村振兴建设。</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①现代农业发展及村集体经济发展配套资金700万元，省级现代农业产业园建设项目100万元，乡村振兴工作经费370万元，网格管理经费500万元。共计1670万元。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②第三次全国土壤普查配套资金50万元，农村居民人均可支配收入调查经费5万元，国家农产品质量安全县创建经费15万元，果蔬产业发展提升资金30万元，农产品冷藏保鲜设施建设及安全排查费用21万元，农业生产托管试点经费30万元，农村土地承包经营权确权登记颁证经费27.4万元，全国休闲农业重点县总体规划编制费9万元，农业外来入侵物种普查费5万元，农机安全监理费5万元，畜牧兽医与农垦渔政监管经费5万元，重大动物疫病防控及疫苗费用40万元。共计242.4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③城乡一体化领导组工作经费10万元，乡村环境治理县级配套</w:t>
      </w:r>
      <w:r>
        <w:rPr>
          <w:rFonts w:ascii="仿宋_GB2312" w:eastAsia="仿宋_GB2312" w:hAnsi="仿宋_GB2312" w:cs="仿宋_GB2312" w:hint="eastAsia"/>
          <w:sz w:val="30"/>
          <w:szCs w:val="30"/>
        </w:rPr>
        <w:lastRenderedPageBreak/>
        <w:t>438万元，综合检验检测经费50万元。共计498万元。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④森林防火经费250万元，地方公益林补偿资金28万元，伍姓湖管护费100万元，外来物种普查和野生动物救护及保护宣传经费5万元，伍姓湖、荒山等绿化资金362.6万元。共计745.6万元。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⑤</w:t>
      </w:r>
      <w:r>
        <w:rPr>
          <w:rFonts w:ascii="仿宋_GB2312" w:eastAsia="仿宋_GB2312" w:hAnsi="仿宋_GB2312" w:cs="仿宋_GB2312" w:hint="eastAsia"/>
          <w:spacing w:val="3"/>
          <w:sz w:val="30"/>
          <w:szCs w:val="30"/>
        </w:rPr>
        <w:t>水利工程质量监督经费5万元，农村饮水安全配套资金81.6万元，涑水河入黄口人工湿地运行经费40万元，防汛费用20万元，机关大楼改造费用50万元，涑水河永济段河道治理等水利工程县级配套100万元，小型水库雨水情测报费用8万元。共计304.6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10）交通运输828.1万元。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①农村公路养护经费320万元，城市公交“四种”人群乘车减免及政策性补贴330万元，交通项目水土保护补偿及工程管理费58.1万元。共计708.1万元。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②源头治超经费80万元，栲栳公路超限检测站工作经费40万元。共计120万元。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11）资源勘探信息及商业服务2443.4万元。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①产业扶持发展基金及传统企业改造资金2000万元，招商引资经费400万元，企业改制遗留问题10万元。共计2410万元。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②综合改革及信访维稳经费30万元，“寻味永济”网络评选活动经费3.4万元。共计33.4万元。</w:t>
      </w:r>
    </w:p>
    <w:p w:rsidR="001D6919" w:rsidRDefault="00687096">
      <w:pPr>
        <w:widowControl w:val="0"/>
        <w:spacing w:after="0" w:line="620" w:lineRule="exact"/>
        <w:ind w:left="600"/>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12）自然资源海洋气象226万元。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①村庄规划编制费100万元。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②气象雷达项目建设配套资金50万元，地方气象事业费76万元，主要用于人工影响天气、气象业务费及运行经费等。共计126万元。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13）灾害防治及应急管理74.27万元。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自然灾害综合风险普查24.27万元，民兵抢险误工补助10万元，应急装备物资购置10万元，防灾减灾和安全生产宣传培训费15万元，驻企专家经费15万元。共计74.27万元。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14）其他支出1771万元。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运城机场二期建设运营部补贴县级承担部分1590万元，政府性融资担保及风险补偿等181万元。共计1771万元。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15）债务类2848.2万元。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一般债券到期利息及兑付费2778.2万元，专项债券财务评价费、法律服务费等70万元。共计2848.2万元。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（4）预备费500万元。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color w:val="000000"/>
          <w:sz w:val="30"/>
          <w:szCs w:val="30"/>
        </w:rPr>
        <w:t>新增一般政府债券支出7900万元。其中：黄河一号公路及县乡公路改造工程1982万元，体育中心周边城市道路建设工程1000万元，“雪亮工程”二期建设工程1000万元，民兵训练基地改建项目418万元，高铁引道及黄河一号公路绿化工程1500万元，鹳雀楼景区农田大地绿化工程1000万元，秋季绿化工程500万元，柳宗元小学建设项目500万元。</w:t>
      </w:r>
    </w:p>
    <w:p w:rsidR="001D6919" w:rsidRDefault="00687096">
      <w:pPr>
        <w:widowControl w:val="0"/>
        <w:spacing w:after="0" w:line="56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color w:val="000000"/>
          <w:sz w:val="30"/>
          <w:szCs w:val="30"/>
          <w:shd w:val="clear" w:color="auto" w:fill="FFFFFF"/>
        </w:rPr>
        <w:lastRenderedPageBreak/>
        <w:t>根据上述安排，2023</w:t>
      </w:r>
      <w:r>
        <w:rPr>
          <w:rFonts w:ascii="仿宋_GB2312" w:eastAsia="仿宋_GB2312" w:hAnsi="仿宋_GB2312" w:cs="仿宋_GB2312" w:hint="eastAsia"/>
          <w:sz w:val="30"/>
          <w:szCs w:val="30"/>
          <w:shd w:val="clear" w:color="auto" w:fill="FFFFFF"/>
        </w:rPr>
        <w:t>年一般公共预算支出259394万元，比上年下降1.96%。主要项目安排情况是：一般公共服务支出32528万元，下降3.6%；公共安全支出9545万元，增长5.8%；教育支出65509万元，增长3.9%；科学技术支出696万元，下降1.1%；文化旅游体育与传媒支出10941万元，增长11%；社会保障和就业支出42179万元，增长10.1%；卫生健康支出19179万元，下降3.7%；节能环保支出590万元，下降90.4%，主要是环保上划后上年结转资金减少；城乡社区支出8993万元，下降7.5%；农林水支出41381万元，下降19.2%；交通运输支出17420万元，增长98.8%；灾害防治及应急管理支出974万元，下降44.4%；预备费500元，与上年持平；债务付息支出2778万元，增长8.5%。</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经汇总，2023年“三公经费”预算803万元，比上年预算减少427万元，其中，因公出国经费10万元，公务接待费290万元，公务用车购置150万元，公务用车运行维护费353万元。</w:t>
      </w:r>
    </w:p>
    <w:p w:rsidR="001D6919" w:rsidRDefault="00687096" w:rsidP="00110C83">
      <w:pPr>
        <w:widowControl w:val="0"/>
        <w:spacing w:after="0" w:line="620" w:lineRule="exact"/>
        <w:ind w:firstLineChars="200" w:firstLine="600"/>
        <w:jc w:val="both"/>
        <w:rPr>
          <w:rFonts w:ascii="楷体" w:eastAsia="楷体" w:hAnsi="楷体" w:cs="楷体"/>
          <w:sz w:val="30"/>
          <w:szCs w:val="30"/>
        </w:rPr>
      </w:pPr>
      <w:r>
        <w:rPr>
          <w:rFonts w:ascii="楷体" w:eastAsia="楷体" w:hAnsi="楷体" w:cs="楷体" w:hint="eastAsia"/>
          <w:sz w:val="30"/>
          <w:szCs w:val="30"/>
        </w:rPr>
        <w:t>（二）政府性基金收支预算</w:t>
      </w:r>
    </w:p>
    <w:p w:rsidR="001D6919" w:rsidRDefault="00687096" w:rsidP="00110C83">
      <w:pPr>
        <w:widowControl w:val="0"/>
        <w:spacing w:after="0" w:line="620" w:lineRule="exact"/>
        <w:ind w:firstLineChars="200" w:firstLine="602"/>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1、政府性基金收入预算70047万元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（1）当年政府性基金收入预算36100万元。其中：国有土地使用权出让收入30000万元，国有土地收益基金收入3000万元，农业土地开发资金收入300万元，城市基础设施配套费收入2000万元，污水处理费收入800万元。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（2）上年结余6489万元。其中：国有土地使用权出让719万元，国有土地收益基金380万元，农业土地开发254万元，城市基</w:t>
      </w:r>
      <w:r>
        <w:rPr>
          <w:rFonts w:ascii="仿宋_GB2312" w:eastAsia="仿宋_GB2312" w:hAnsi="仿宋_GB2312" w:cs="仿宋_GB2312" w:hint="eastAsia"/>
          <w:color w:val="000000"/>
          <w:sz w:val="30"/>
          <w:szCs w:val="30"/>
        </w:rPr>
        <w:lastRenderedPageBreak/>
        <w:t>础设施配套费403万元，污水处理运行费125万元，大中型水库移民后期扶持基金1572万元，国家重大水利工程建设基金2940万元，彩票公益金96万元。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（3）上级提前下达转移支付7458万元。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（4）新增专项债券收入20000万元。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2、政府性基金支出预算69117万元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主要项目是：大中型水库库区及移民后期扶持基金支出4710万元，国有土地使用权出让支出30719万元（含专项债券付息3282万元），国有土地出让基金安排支出3380万元，农业土地项目安排支出554万元，城市基础设施配套费安排城市公共设施维护维修、城市环境卫生、城市防护等方面的支出2403万元，污水处理设施建设和运营方面支出925万元，国家重大水利工程建设基金安排支出5071万元，其他政府性基金及对应专项债务收入安排支出20000万元（年初下达的新增专项债券资金，项目是：职业中专学校产教融合基本建设项目2000万元，人民医院整体搬迁项目10000万元，市域建制镇生活污水处理设施建设项目二期工程2000万元，西厢路雨污分流改造工程4000万元，涑水西街雨污分流及道路改造工程2000万元），彩票公益金安排支出1355万元。</w:t>
      </w:r>
    </w:p>
    <w:p w:rsidR="001D6919" w:rsidRDefault="00687096" w:rsidP="00110C83">
      <w:pPr>
        <w:widowControl w:val="0"/>
        <w:spacing w:after="0" w:line="620" w:lineRule="exact"/>
        <w:ind w:firstLineChars="200" w:firstLine="602"/>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3、收支平衡情况</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上年结余6489万元，政府性基金收入36100万元，上级补助7458万元，新增专项债券收入20000万元，调入一般公共预算930</w:t>
      </w:r>
      <w:r>
        <w:rPr>
          <w:rFonts w:ascii="仿宋_GB2312" w:eastAsia="仿宋_GB2312" w:hAnsi="仿宋_GB2312" w:cs="仿宋_GB2312" w:hint="eastAsia"/>
          <w:color w:val="000000"/>
          <w:sz w:val="30"/>
          <w:szCs w:val="30"/>
        </w:rPr>
        <w:lastRenderedPageBreak/>
        <w:t>万元，支出按相应的科目安排69117万元。地方政府专项债务还本8300万元拟用再融资债券解决。</w:t>
      </w:r>
    </w:p>
    <w:p w:rsidR="001D6919" w:rsidRDefault="00687096" w:rsidP="00110C83">
      <w:pPr>
        <w:widowControl w:val="0"/>
        <w:spacing w:after="0" w:line="620" w:lineRule="exact"/>
        <w:ind w:firstLineChars="200" w:firstLine="600"/>
        <w:jc w:val="both"/>
        <w:rPr>
          <w:rFonts w:ascii="楷体" w:eastAsia="楷体" w:hAnsi="楷体" w:cs="楷体"/>
          <w:sz w:val="30"/>
          <w:szCs w:val="30"/>
        </w:rPr>
      </w:pPr>
      <w:r>
        <w:rPr>
          <w:rFonts w:ascii="楷体" w:eastAsia="楷体" w:hAnsi="楷体" w:cs="楷体" w:hint="eastAsia"/>
          <w:sz w:val="30"/>
          <w:szCs w:val="30"/>
        </w:rPr>
        <w:t>（三）社保基金预算</w:t>
      </w:r>
    </w:p>
    <w:p w:rsidR="001D6919" w:rsidRDefault="00687096" w:rsidP="00110C83">
      <w:pPr>
        <w:widowControl w:val="0"/>
        <w:adjustRightInd/>
        <w:snapToGrid/>
        <w:spacing w:after="0" w:line="620" w:lineRule="exact"/>
        <w:ind w:firstLineChars="200" w:firstLine="604"/>
        <w:jc w:val="both"/>
        <w:rPr>
          <w:rFonts w:ascii="仿宋_GB2312" w:eastAsia="仿宋_GB2312" w:hAnsi="仿宋_GB2312" w:cs="仿宋_GB2312"/>
          <w:spacing w:val="2"/>
          <w:sz w:val="30"/>
          <w:szCs w:val="30"/>
        </w:rPr>
      </w:pPr>
      <w:r>
        <w:rPr>
          <w:rFonts w:ascii="仿宋_GB2312" w:eastAsia="仿宋_GB2312" w:hAnsi="仿宋_GB2312" w:cs="仿宋_GB2312" w:hint="eastAsia"/>
          <w:spacing w:val="2"/>
          <w:sz w:val="30"/>
          <w:szCs w:val="30"/>
        </w:rPr>
        <w:t>社保基金上年结余68099万元，收入预算59720万元，支出预算50198万元，预计结余77621万元。其中:机关事业单位基本养老保险基金上年结余1187万元，收入预算37057万元，支出预算36159万元，预计结余2085万元;城乡居民基本养老保险基金上年结余58530万元，收入预算18234万元，支出预算12601万元，预计结余64163万元;城乡居民补充养老保险基金上年结余8382万元，收入预算4429万元，支出预算1438万元，预计结余11373万元。</w:t>
      </w:r>
    </w:p>
    <w:p w:rsidR="001D6919" w:rsidRDefault="00687096" w:rsidP="00110C83">
      <w:pPr>
        <w:widowControl w:val="0"/>
        <w:spacing w:after="0" w:line="620" w:lineRule="exact"/>
        <w:ind w:firstLineChars="200" w:firstLine="600"/>
        <w:jc w:val="both"/>
        <w:rPr>
          <w:rFonts w:ascii="楷体" w:eastAsia="楷体" w:hAnsi="楷体" w:cs="楷体"/>
          <w:sz w:val="30"/>
          <w:szCs w:val="30"/>
        </w:rPr>
      </w:pPr>
      <w:r>
        <w:rPr>
          <w:rFonts w:ascii="楷体" w:eastAsia="楷体" w:hAnsi="楷体" w:cs="楷体" w:hint="eastAsia"/>
          <w:sz w:val="30"/>
          <w:szCs w:val="30"/>
        </w:rPr>
        <w:t>（四）国有资本经营预算</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2022年末，</w:t>
      </w:r>
      <w:r>
        <w:rPr>
          <w:rFonts w:ascii="仿宋_GB2312" w:eastAsia="仿宋_GB2312" w:hAnsi="仿宋_GB2312" w:cs="仿宋_GB2312" w:hint="eastAsia"/>
          <w:sz w:val="30"/>
          <w:szCs w:val="30"/>
        </w:rPr>
        <w:t>我市政府职能部门出资且正常</w:t>
      </w:r>
      <w:r>
        <w:rPr>
          <w:rFonts w:ascii="仿宋_GB2312" w:eastAsia="仿宋_GB2312" w:hAnsi="仿宋_GB2312" w:cs="仿宋_GB2312" w:hint="eastAsia"/>
          <w:color w:val="000000"/>
          <w:sz w:val="30"/>
          <w:szCs w:val="30"/>
        </w:rPr>
        <w:t>运营的国有及国有控股企业11户，其中蒲坂城市建设投资集团有限公司盈利，可上交国有资本收益5万元。</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2023年国有资本经营预算收入按5万元编制，上年结转263万元，上级补助收入295万元，调入一般公共预算63万元，国有资本经营预算支出按500万元编制。</w:t>
      </w:r>
    </w:p>
    <w:p w:rsidR="001D6919" w:rsidRDefault="00687096" w:rsidP="00110C83">
      <w:pPr>
        <w:widowControl w:val="0"/>
        <w:spacing w:after="0" w:line="62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需要说明的是，根据《预算法》第五十四条，预算草案在本级人民代表大会批准前，财政部门安排了以下支出：上一年度结转的支出1736万元，上级专项补助及本级安排的项目支出17615万元，行政事业单位工资及基本运转经费14575万元。</w:t>
      </w:r>
    </w:p>
    <w:p w:rsidR="001D6919" w:rsidRDefault="00687096" w:rsidP="00110C83">
      <w:pPr>
        <w:widowControl w:val="0"/>
        <w:spacing w:after="0" w:line="620" w:lineRule="exact"/>
        <w:ind w:firstLineChars="200" w:firstLine="600"/>
        <w:jc w:val="both"/>
        <w:rPr>
          <w:rFonts w:ascii="黑体" w:eastAsia="黑体" w:hAnsi="黑体"/>
          <w:sz w:val="30"/>
          <w:szCs w:val="30"/>
        </w:rPr>
      </w:pPr>
      <w:r>
        <w:rPr>
          <w:rFonts w:ascii="黑体" w:eastAsia="黑体" w:hAnsi="黑体" w:hint="eastAsia"/>
          <w:sz w:val="30"/>
          <w:szCs w:val="30"/>
        </w:rPr>
        <w:lastRenderedPageBreak/>
        <w:t>三、提振信心，真抓实干，努力完成2023年财政预算任务</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做好2023年财政工作，我们要精心研究、精细算账，认真落实好各项决策部署，高标准、严要求，奋力推进财政高质量发展。</w:t>
      </w:r>
    </w:p>
    <w:p w:rsidR="001D6919" w:rsidRDefault="00687096" w:rsidP="00110C83">
      <w:pPr>
        <w:widowControl w:val="0"/>
        <w:spacing w:after="0" w:line="620" w:lineRule="exact"/>
        <w:ind w:firstLineChars="200" w:firstLine="600"/>
        <w:jc w:val="both"/>
        <w:rPr>
          <w:rFonts w:ascii="楷体" w:eastAsia="楷体" w:hAnsi="楷体" w:cs="楷体"/>
          <w:sz w:val="30"/>
          <w:szCs w:val="30"/>
        </w:rPr>
      </w:pPr>
      <w:r>
        <w:rPr>
          <w:rFonts w:ascii="楷体" w:eastAsia="楷体" w:hAnsi="楷体" w:cs="楷体" w:hint="eastAsia"/>
          <w:sz w:val="30"/>
          <w:szCs w:val="30"/>
        </w:rPr>
        <w:t>（一）狠抓组织收入，确保全年收入计划完成</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是积极主动，加强财税部门联系，定期研判收入形势，及时解决组织收入中的难题，确保收入及时足额入库。二是落实各类助企纾困政策，不断支持企业发展，厚植经济高质量发展新动能。三是强化收入征管，加强对重点行业、重点税源及非税收入管理，加大征缴监管力度，挖掘增收潜力，确保全年收入计划完成。</w:t>
      </w:r>
    </w:p>
    <w:p w:rsidR="001D6919" w:rsidRDefault="00687096" w:rsidP="00110C83">
      <w:pPr>
        <w:widowControl w:val="0"/>
        <w:spacing w:after="0" w:line="620" w:lineRule="exact"/>
        <w:ind w:firstLineChars="200" w:firstLine="600"/>
        <w:jc w:val="both"/>
        <w:rPr>
          <w:rFonts w:ascii="楷体" w:eastAsia="楷体" w:hAnsi="楷体" w:cs="楷体"/>
          <w:sz w:val="30"/>
          <w:szCs w:val="30"/>
        </w:rPr>
      </w:pPr>
      <w:r>
        <w:rPr>
          <w:rFonts w:ascii="楷体" w:eastAsia="楷体" w:hAnsi="楷体" w:cs="楷体" w:hint="eastAsia"/>
          <w:sz w:val="30"/>
          <w:szCs w:val="30"/>
        </w:rPr>
        <w:t>（二）</w:t>
      </w:r>
      <w:r>
        <w:rPr>
          <w:rFonts w:ascii="楷体" w:eastAsia="楷体" w:hAnsi="楷体" w:cs="楷体" w:hint="eastAsia"/>
          <w:spacing w:val="-2"/>
          <w:sz w:val="30"/>
          <w:szCs w:val="30"/>
        </w:rPr>
        <w:t>积极争取资金，全力以赴保经济促发展</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认真研究中央、省、市政策资金支持方向，找准我市发展契合点，聚焦“543”现代矩阵和基础设施建设、生态保护与修复、农林水发展、教育医疗卫生事业等重点民生领域，提早谋划，做好对接，做细做实项目申报、项目跟进、资金落实，争取更多财力性及专项资金，全力支持全市经济发展。</w:t>
      </w:r>
    </w:p>
    <w:p w:rsidR="001D6919" w:rsidRDefault="00687096" w:rsidP="00110C83">
      <w:pPr>
        <w:widowControl w:val="0"/>
        <w:spacing w:after="0" w:line="620" w:lineRule="exact"/>
        <w:ind w:firstLineChars="200" w:firstLine="600"/>
        <w:jc w:val="both"/>
        <w:rPr>
          <w:rFonts w:ascii="楷体" w:eastAsia="楷体" w:hAnsi="楷体" w:cs="楷体"/>
          <w:sz w:val="30"/>
          <w:szCs w:val="30"/>
        </w:rPr>
      </w:pPr>
      <w:r>
        <w:rPr>
          <w:rFonts w:ascii="楷体" w:eastAsia="楷体" w:hAnsi="楷体" w:cs="楷体" w:hint="eastAsia"/>
          <w:sz w:val="30"/>
          <w:szCs w:val="30"/>
        </w:rPr>
        <w:t>（三）严格预算管理，不断优化支出结构</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是做好预算编制工作，预算安排与执行进度、项目细化程度、存量资金规模、审计发现问题等相结合，提升预算执行效率。二是强化预算约束，大力压缩支出。优先保障人员、基本运转及基本民生方面支出，牢固树立“紧日子”思想，严控行政支出，降低行政成本，将有限的资金用在“刀刃”上，切实为民办实事。</w:t>
      </w:r>
    </w:p>
    <w:p w:rsidR="001D6919" w:rsidRDefault="00687096" w:rsidP="00110C83">
      <w:pPr>
        <w:widowControl w:val="0"/>
        <w:spacing w:after="0" w:line="620" w:lineRule="exact"/>
        <w:ind w:firstLineChars="200" w:firstLine="600"/>
        <w:jc w:val="both"/>
        <w:rPr>
          <w:rFonts w:ascii="楷体" w:eastAsia="楷体" w:hAnsi="楷体" w:cs="楷体"/>
          <w:sz w:val="30"/>
          <w:szCs w:val="30"/>
        </w:rPr>
      </w:pPr>
      <w:r>
        <w:rPr>
          <w:rFonts w:ascii="楷体" w:eastAsia="楷体" w:hAnsi="楷体" w:cs="楷体" w:hint="eastAsia"/>
          <w:sz w:val="30"/>
          <w:szCs w:val="30"/>
        </w:rPr>
        <w:lastRenderedPageBreak/>
        <w:t>（四）倾力改善民生，提升增进百姓福祉</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倾力保障和改善民生，努力提升人民生活品质，增进百姓福祉，全面推进乡村振兴、加快补齐生态短板、支持做好新阶段保健康防重症工作、做好医疗卫生及社会保障工作、实施文化惠民丰富群众文化生活等，着力促进民生事业健康有序发展。</w:t>
      </w:r>
    </w:p>
    <w:p w:rsidR="001D6919" w:rsidRDefault="00687096" w:rsidP="00110C83">
      <w:pPr>
        <w:widowControl w:val="0"/>
        <w:spacing w:after="0" w:line="620" w:lineRule="exact"/>
        <w:ind w:firstLineChars="200" w:firstLine="600"/>
        <w:jc w:val="both"/>
        <w:rPr>
          <w:rFonts w:ascii="楷体" w:eastAsia="楷体" w:hAnsi="楷体" w:cs="楷体"/>
          <w:sz w:val="30"/>
          <w:szCs w:val="30"/>
        </w:rPr>
      </w:pPr>
      <w:r>
        <w:rPr>
          <w:rFonts w:ascii="楷体" w:eastAsia="楷体" w:hAnsi="楷体" w:cs="楷体" w:hint="eastAsia"/>
          <w:sz w:val="30"/>
          <w:szCs w:val="30"/>
        </w:rPr>
        <w:t>（五）树牢底线思维，继续防范财政风险</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是兜实兜牢“三保”底线，优先安排“三保”方面支出，确保“三保”支出执行到位。二是强化债务管控风险，统筹做好政府债券促发展和防风险两方面工作，积极用好政府债券资金，加强隐性债务风险管理，做好隐性债务监控监测。</w:t>
      </w:r>
    </w:p>
    <w:p w:rsidR="001D6919" w:rsidRDefault="00687096" w:rsidP="00110C83">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2023年财政部门倍感任务艰巨，责任重大。我们决心在市委的正确领导下，在市人大、政协的监督支持下，踔厉奋发，勇毅前行，以时时放心不下的责任感，积极做好各项财政工作，为我市转型跨越发展做出积极的贡献！</w:t>
      </w:r>
    </w:p>
    <w:p w:rsidR="001D6919" w:rsidRDefault="001D6919">
      <w:pPr>
        <w:widowControl w:val="0"/>
        <w:spacing w:after="0" w:line="620" w:lineRule="exact"/>
        <w:jc w:val="both"/>
        <w:rPr>
          <w:rFonts w:ascii="仿宋_GB2312" w:eastAsia="仿宋_GB2312" w:hAnsi="仿宋_GB2312" w:cs="仿宋_GB2312"/>
          <w:sz w:val="30"/>
          <w:szCs w:val="30"/>
        </w:rPr>
      </w:pPr>
    </w:p>
    <w:tbl>
      <w:tblPr>
        <w:tblStyle w:val="a7"/>
        <w:tblpPr w:leftFromText="180" w:rightFromText="180" w:vertAnchor="text" w:horzAnchor="page" w:tblpX="1670" w:tblpY="12228"/>
        <w:tblOverlap w:val="never"/>
        <w:tblW w:w="88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840"/>
      </w:tblGrid>
      <w:tr w:rsidR="001D6919">
        <w:tc>
          <w:tcPr>
            <w:tcW w:w="8840" w:type="dxa"/>
            <w:tcBorders>
              <w:tl2br w:val="nil"/>
              <w:tr2bl w:val="nil"/>
            </w:tcBorders>
            <w:vAlign w:val="center"/>
          </w:tcPr>
          <w:p w:rsidR="001D6919" w:rsidRDefault="00687096">
            <w:pPr>
              <w:adjustRightInd/>
              <w:snapToGrid/>
              <w:spacing w:after="0" w:line="590" w:lineRule="exact"/>
              <w:rPr>
                <w:rFonts w:ascii="方正行楷简体" w:eastAsia="方正行楷简体" w:hAnsi="方正行楷简体" w:cs="方正行楷简体"/>
                <w:color w:val="000000"/>
                <w:sz w:val="30"/>
                <w:szCs w:val="30"/>
              </w:rPr>
            </w:pPr>
            <w:r>
              <w:rPr>
                <w:rFonts w:ascii="方正行楷简体" w:eastAsia="方正行楷简体" w:hAnsi="方正行楷简体" w:cs="方正行楷简体" w:hint="eastAsia"/>
                <w:color w:val="000000"/>
                <w:sz w:val="30"/>
                <w:szCs w:val="30"/>
              </w:rPr>
              <w:t xml:space="preserve">永济市七届人大四次会议秘书处                  </w:t>
            </w:r>
            <w:r>
              <w:rPr>
                <w:rFonts w:ascii="宋体" w:eastAsia="宋体" w:hAnsi="宋体" w:cs="宋体" w:hint="eastAsia"/>
                <w:color w:val="000000"/>
                <w:sz w:val="30"/>
                <w:szCs w:val="30"/>
              </w:rPr>
              <w:t xml:space="preserve"> </w:t>
            </w:r>
            <w:r>
              <w:rPr>
                <w:rFonts w:ascii="Times New Roman" w:eastAsia="方正行楷简体" w:hAnsi="Times New Roman" w:cs="Times New Roman"/>
                <w:color w:val="000000"/>
                <w:sz w:val="30"/>
                <w:szCs w:val="30"/>
              </w:rPr>
              <w:t>2023</w:t>
            </w:r>
            <w:r>
              <w:rPr>
                <w:rFonts w:ascii="Times New Roman" w:eastAsia="方正行楷简体" w:hAnsi="Times New Roman" w:cs="Times New Roman"/>
                <w:color w:val="000000"/>
                <w:sz w:val="30"/>
                <w:szCs w:val="30"/>
              </w:rPr>
              <w:t>年</w:t>
            </w:r>
            <w:r>
              <w:rPr>
                <w:rFonts w:ascii="Times New Roman" w:eastAsia="方正行楷简体" w:hAnsi="Times New Roman" w:cs="Times New Roman"/>
                <w:color w:val="000000"/>
                <w:sz w:val="30"/>
                <w:szCs w:val="30"/>
              </w:rPr>
              <w:t>2</w:t>
            </w:r>
            <w:r>
              <w:rPr>
                <w:rFonts w:ascii="Times New Roman" w:eastAsia="方正行楷简体" w:hAnsi="Times New Roman" w:cs="Times New Roman"/>
                <w:color w:val="000000"/>
                <w:sz w:val="30"/>
                <w:szCs w:val="30"/>
              </w:rPr>
              <w:t>月</w:t>
            </w:r>
            <w:r>
              <w:rPr>
                <w:rFonts w:ascii="Times New Roman" w:eastAsia="方正行楷简体" w:hAnsi="Times New Roman" w:cs="Times New Roman"/>
                <w:color w:val="000000"/>
                <w:sz w:val="30"/>
                <w:szCs w:val="30"/>
              </w:rPr>
              <w:t>2</w:t>
            </w:r>
            <w:r>
              <w:rPr>
                <w:rFonts w:ascii="Times New Roman" w:eastAsia="方正行楷简体" w:hAnsi="Times New Roman" w:cs="Times New Roman" w:hint="eastAsia"/>
                <w:color w:val="000000"/>
                <w:sz w:val="30"/>
                <w:szCs w:val="30"/>
              </w:rPr>
              <w:t>1</w:t>
            </w:r>
            <w:r>
              <w:rPr>
                <w:rFonts w:ascii="Times New Roman" w:eastAsia="方正行楷简体" w:hAnsi="Times New Roman" w:cs="Times New Roman"/>
                <w:color w:val="000000"/>
                <w:sz w:val="30"/>
                <w:szCs w:val="30"/>
              </w:rPr>
              <w:t>日印</w:t>
            </w:r>
            <w:r>
              <w:rPr>
                <w:rFonts w:ascii="Times New Roman" w:eastAsia="方正行楷简体" w:hAnsi="Times New Roman" w:cs="Times New Roman"/>
                <w:color w:val="000000"/>
                <w:sz w:val="30"/>
                <w:szCs w:val="30"/>
              </w:rPr>
              <w:t xml:space="preserve"> </w:t>
            </w:r>
          </w:p>
        </w:tc>
      </w:tr>
    </w:tbl>
    <w:p w:rsidR="001D6919" w:rsidRDefault="00687096">
      <w:pPr>
        <w:widowControl w:val="0"/>
        <w:spacing w:after="0" w:line="620" w:lineRule="exact"/>
        <w:ind w:right="640" w:firstLineChars="1500" w:firstLine="4800"/>
        <w:jc w:val="both"/>
        <w:rPr>
          <w:sz w:val="32"/>
          <w:szCs w:val="32"/>
        </w:rPr>
      </w:pPr>
      <w:r>
        <w:rPr>
          <w:rFonts w:ascii="仿宋" w:eastAsia="仿宋" w:hAnsi="仿宋" w:cs="仿宋_GB2312" w:hint="eastAsia"/>
          <w:sz w:val="32"/>
          <w:szCs w:val="32"/>
        </w:rPr>
        <w:t xml:space="preserve">   </w:t>
      </w:r>
    </w:p>
    <w:sectPr w:rsidR="001D6919">
      <w:headerReference w:type="even" r:id="rId9"/>
      <w:headerReference w:type="default" r:id="rId10"/>
      <w:footerReference w:type="even" r:id="rId11"/>
      <w:footerReference w:type="default" r:id="rId12"/>
      <w:headerReference w:type="first" r:id="rId13"/>
      <w:footerReference w:type="first" r:id="rId14"/>
      <w:pgSz w:w="11906" w:h="16838"/>
      <w:pgMar w:top="1984" w:right="1474" w:bottom="1644" w:left="1531" w:header="851" w:footer="879" w:gutter="0"/>
      <w:cols w:space="720"/>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96" w:rsidRDefault="00687096">
      <w:pPr>
        <w:spacing w:after="0"/>
      </w:pPr>
      <w:r>
        <w:separator/>
      </w:r>
    </w:p>
  </w:endnote>
  <w:endnote w:type="continuationSeparator" w:id="0">
    <w:p w:rsidR="00687096" w:rsidRDefault="00687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行楷简体">
    <w:altName w:val="Microsoft YaHei UI"/>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9" w:rsidRDefault="001D691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9" w:rsidRDefault="00C83F27">
    <w:pPr>
      <w:pStyle w:val="a4"/>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25400</wp:posOffset>
              </wp:positionV>
              <wp:extent cx="466725" cy="384175"/>
              <wp:effectExtent l="0" t="0" r="2540" b="0"/>
              <wp:wrapNone/>
              <wp:docPr id="1" name="Quad Arrow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919" w:rsidRDefault="00687096">
                          <w:pPr>
                            <w:pStyle w:val="a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D52371" w:rsidRPr="00D52371">
                            <w:rPr>
                              <w:noProof/>
                            </w:rPr>
                            <w:t>23</w:t>
                          </w:r>
                          <w:r>
                            <w:rPr>
                              <w:rFonts w:ascii="宋体" w:eastAsia="宋体" w:hAnsi="宋体" w:cs="宋体" w:hint="eastAsia"/>
                              <w:sz w:val="24"/>
                              <w:szCs w:val="24"/>
                            </w:rPr>
                            <w:fldChar w:fldCharType="end"/>
                          </w:r>
                          <w:r>
                            <w:rPr>
                              <w:rFonts w:ascii="宋体" w:eastAsia="宋体" w:hAnsi="宋体" w:cs="宋体" w:hint="eastAsia"/>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 Arrow 2" o:spid="_x0000_s1026" type="#_x0000_t202" style="position:absolute;left:0;text-align:left;margin-left:-14.45pt;margin-top:2pt;width:36.75pt;height:30.25pt;z-index:251658240;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" filled="f" stroked="f">
              <v:textbox inset="0,0,0,0">
                <w:txbxContent>
                  <w:p w:rsidR="001D6919" w:rsidRDefault="00687096">
                    <w:pPr>
                      <w:pStyle w:val="a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D52371" w:rsidRPr="00D52371">
                      <w:rPr>
                        <w:noProof/>
                      </w:rPr>
                      <w:t>23</w:t>
                    </w:r>
                    <w:r>
                      <w:rPr>
                        <w:rFonts w:ascii="宋体" w:eastAsia="宋体" w:hAnsi="宋体" w:cs="宋体" w:hint="eastAsia"/>
                        <w:sz w:val="24"/>
                        <w:szCs w:val="24"/>
                      </w:rPr>
                      <w:fldChar w:fldCharType="end"/>
                    </w:r>
                    <w:r>
                      <w:rPr>
                        <w:rFonts w:ascii="宋体" w:eastAsia="宋体" w:hAnsi="宋体" w:cs="宋体" w:hint="eastAsia"/>
                        <w:sz w:val="24"/>
                        <w:szCs w:val="24"/>
                      </w:rPr>
                      <w:t>·</w:t>
                    </w:r>
                  </w:p>
                </w:txbxContent>
              </v:textbox>
              <w10:wrap anchorx="margin"/>
            </v:shape>
          </w:pict>
        </mc:Fallback>
      </mc:AlternateContent>
    </w:r>
  </w:p>
  <w:p w:rsidR="001D6919" w:rsidRDefault="001D691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9" w:rsidRDefault="001D691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96" w:rsidRDefault="00687096">
      <w:pPr>
        <w:spacing w:after="0"/>
      </w:pPr>
      <w:r>
        <w:separator/>
      </w:r>
    </w:p>
  </w:footnote>
  <w:footnote w:type="continuationSeparator" w:id="0">
    <w:p w:rsidR="00687096" w:rsidRDefault="006870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9" w:rsidRDefault="001D6919">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9" w:rsidRDefault="001D6919">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919" w:rsidRDefault="001D6919">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AB299"/>
    <w:multiLevelType w:val="singleLevel"/>
    <w:tmpl w:val="5E9AB299"/>
    <w:lvl w:ilvl="0">
      <w:start w:val="1"/>
      <w:numFmt w:val="decimal"/>
      <w:suff w:val="nothing"/>
      <w:lvlText w:val="%1、"/>
      <w:lvlJc w:val="left"/>
    </w:lvl>
  </w:abstractNum>
  <w:abstractNum w:abstractNumId="1">
    <w:nsid w:val="5E9AB330"/>
    <w:multiLevelType w:val="singleLevel"/>
    <w:tmpl w:val="5E9AB330"/>
    <w:lvl w:ilvl="0">
      <w:start w:val="1"/>
      <w:numFmt w:val="decimal"/>
      <w:suff w:val="nothing"/>
      <w:lvlText w:val="%1、"/>
      <w:lvlJc w:val="left"/>
    </w:lvl>
  </w:abstractNum>
  <w:abstractNum w:abstractNumId="2">
    <w:nsid w:val="5E9AB3E5"/>
    <w:multiLevelType w:val="singleLevel"/>
    <w:tmpl w:val="5E9AB3E5"/>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720"/>
  <w:drawingGridVerticalSpacing w:val="161"/>
  <w:displayVerticalDrawingGridEvery w:val="2"/>
  <w:characterSpacingControl w:val="doNotCompress"/>
  <w:hdrShapeDefaults>
    <o:shapedefaults v:ext="edit" spidmax="205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701"/>
    <w:rsid w:val="00005D8F"/>
    <w:rsid w:val="000074CB"/>
    <w:rsid w:val="00031A22"/>
    <w:rsid w:val="0005209F"/>
    <w:rsid w:val="00082EBA"/>
    <w:rsid w:val="000B3DC5"/>
    <w:rsid w:val="000C077E"/>
    <w:rsid w:val="001036BE"/>
    <w:rsid w:val="001060B0"/>
    <w:rsid w:val="00110C83"/>
    <w:rsid w:val="00130450"/>
    <w:rsid w:val="00143536"/>
    <w:rsid w:val="00150EC4"/>
    <w:rsid w:val="001518D1"/>
    <w:rsid w:val="0015344B"/>
    <w:rsid w:val="00185891"/>
    <w:rsid w:val="0019595A"/>
    <w:rsid w:val="001A5319"/>
    <w:rsid w:val="001A6836"/>
    <w:rsid w:val="001D6919"/>
    <w:rsid w:val="001E0FBE"/>
    <w:rsid w:val="001E71FC"/>
    <w:rsid w:val="00200E87"/>
    <w:rsid w:val="00201352"/>
    <w:rsid w:val="002533BA"/>
    <w:rsid w:val="00256C4C"/>
    <w:rsid w:val="0026072C"/>
    <w:rsid w:val="002A6427"/>
    <w:rsid w:val="002C06B9"/>
    <w:rsid w:val="002C0F8F"/>
    <w:rsid w:val="002D4AA0"/>
    <w:rsid w:val="002E43DA"/>
    <w:rsid w:val="002F3F7A"/>
    <w:rsid w:val="00310CE8"/>
    <w:rsid w:val="00316FC3"/>
    <w:rsid w:val="00323B43"/>
    <w:rsid w:val="00371873"/>
    <w:rsid w:val="003A4A18"/>
    <w:rsid w:val="003A589B"/>
    <w:rsid w:val="003D37D8"/>
    <w:rsid w:val="003D3AE0"/>
    <w:rsid w:val="0040660E"/>
    <w:rsid w:val="004069A5"/>
    <w:rsid w:val="0041692C"/>
    <w:rsid w:val="00426133"/>
    <w:rsid w:val="004358AB"/>
    <w:rsid w:val="004552BA"/>
    <w:rsid w:val="0047561D"/>
    <w:rsid w:val="00494913"/>
    <w:rsid w:val="004C3F9B"/>
    <w:rsid w:val="00501B47"/>
    <w:rsid w:val="00513115"/>
    <w:rsid w:val="00513374"/>
    <w:rsid w:val="00515163"/>
    <w:rsid w:val="0051598C"/>
    <w:rsid w:val="00531C0B"/>
    <w:rsid w:val="00532601"/>
    <w:rsid w:val="00575A82"/>
    <w:rsid w:val="0058256D"/>
    <w:rsid w:val="00596F1E"/>
    <w:rsid w:val="005B6FD4"/>
    <w:rsid w:val="005D7138"/>
    <w:rsid w:val="005E1E8A"/>
    <w:rsid w:val="00613462"/>
    <w:rsid w:val="0061520B"/>
    <w:rsid w:val="00637B64"/>
    <w:rsid w:val="00644CB1"/>
    <w:rsid w:val="006643E3"/>
    <w:rsid w:val="00682145"/>
    <w:rsid w:val="00687096"/>
    <w:rsid w:val="006C05FA"/>
    <w:rsid w:val="006D617C"/>
    <w:rsid w:val="006E3FF2"/>
    <w:rsid w:val="006F5977"/>
    <w:rsid w:val="007058C9"/>
    <w:rsid w:val="007177C3"/>
    <w:rsid w:val="007336F7"/>
    <w:rsid w:val="00747965"/>
    <w:rsid w:val="00755847"/>
    <w:rsid w:val="00790DEF"/>
    <w:rsid w:val="007A1265"/>
    <w:rsid w:val="007D6665"/>
    <w:rsid w:val="007F00BD"/>
    <w:rsid w:val="007F3E09"/>
    <w:rsid w:val="008144F4"/>
    <w:rsid w:val="00821991"/>
    <w:rsid w:val="0084610C"/>
    <w:rsid w:val="008A51CE"/>
    <w:rsid w:val="008B7726"/>
    <w:rsid w:val="008C662E"/>
    <w:rsid w:val="008D50C2"/>
    <w:rsid w:val="009502F9"/>
    <w:rsid w:val="0097055D"/>
    <w:rsid w:val="0098145C"/>
    <w:rsid w:val="00986828"/>
    <w:rsid w:val="009C27C2"/>
    <w:rsid w:val="009D7EF5"/>
    <w:rsid w:val="009E61AE"/>
    <w:rsid w:val="00A26531"/>
    <w:rsid w:val="00A311FA"/>
    <w:rsid w:val="00A5181E"/>
    <w:rsid w:val="00A74486"/>
    <w:rsid w:val="00A82FE2"/>
    <w:rsid w:val="00AC0C5A"/>
    <w:rsid w:val="00AE0729"/>
    <w:rsid w:val="00AE6001"/>
    <w:rsid w:val="00B01A15"/>
    <w:rsid w:val="00B0777F"/>
    <w:rsid w:val="00B21DFB"/>
    <w:rsid w:val="00B23C20"/>
    <w:rsid w:val="00B37B31"/>
    <w:rsid w:val="00C20637"/>
    <w:rsid w:val="00C304C7"/>
    <w:rsid w:val="00C47B1F"/>
    <w:rsid w:val="00C83F27"/>
    <w:rsid w:val="00CB625D"/>
    <w:rsid w:val="00CD3AAD"/>
    <w:rsid w:val="00CD54C4"/>
    <w:rsid w:val="00CD7873"/>
    <w:rsid w:val="00CE525F"/>
    <w:rsid w:val="00D16285"/>
    <w:rsid w:val="00D2200F"/>
    <w:rsid w:val="00D30C76"/>
    <w:rsid w:val="00D31D50"/>
    <w:rsid w:val="00D52371"/>
    <w:rsid w:val="00D618FF"/>
    <w:rsid w:val="00D66FE9"/>
    <w:rsid w:val="00D6771E"/>
    <w:rsid w:val="00D7670D"/>
    <w:rsid w:val="00D920A5"/>
    <w:rsid w:val="00E04911"/>
    <w:rsid w:val="00E17D1F"/>
    <w:rsid w:val="00E42B4C"/>
    <w:rsid w:val="00E51DC9"/>
    <w:rsid w:val="00E75A3F"/>
    <w:rsid w:val="00E87E48"/>
    <w:rsid w:val="00ED427D"/>
    <w:rsid w:val="00EF4EF6"/>
    <w:rsid w:val="00F7205F"/>
    <w:rsid w:val="00F82E83"/>
    <w:rsid w:val="00FC5393"/>
    <w:rsid w:val="00FE5886"/>
    <w:rsid w:val="00FE66AC"/>
    <w:rsid w:val="00FE681C"/>
    <w:rsid w:val="01C17ED6"/>
    <w:rsid w:val="02E63AB7"/>
    <w:rsid w:val="0B42146B"/>
    <w:rsid w:val="0BA56375"/>
    <w:rsid w:val="0DBD0237"/>
    <w:rsid w:val="0E2E26AB"/>
    <w:rsid w:val="10576A45"/>
    <w:rsid w:val="121539EB"/>
    <w:rsid w:val="128F23CB"/>
    <w:rsid w:val="16667167"/>
    <w:rsid w:val="17FA07E8"/>
    <w:rsid w:val="1B6859BB"/>
    <w:rsid w:val="1D3444C6"/>
    <w:rsid w:val="20737D4D"/>
    <w:rsid w:val="233F6545"/>
    <w:rsid w:val="23D64DCD"/>
    <w:rsid w:val="24430389"/>
    <w:rsid w:val="24B013BE"/>
    <w:rsid w:val="26F321DA"/>
    <w:rsid w:val="288E64D0"/>
    <w:rsid w:val="2BF35DD6"/>
    <w:rsid w:val="2C4F11DB"/>
    <w:rsid w:val="368F08A1"/>
    <w:rsid w:val="38BB4389"/>
    <w:rsid w:val="3B2805FE"/>
    <w:rsid w:val="3EF908C9"/>
    <w:rsid w:val="41DF54D3"/>
    <w:rsid w:val="441C521D"/>
    <w:rsid w:val="4AA3158C"/>
    <w:rsid w:val="4B3F6555"/>
    <w:rsid w:val="4C855BE6"/>
    <w:rsid w:val="4E186BB4"/>
    <w:rsid w:val="510D6D9A"/>
    <w:rsid w:val="54B80FEA"/>
    <w:rsid w:val="5744502E"/>
    <w:rsid w:val="5A962EFC"/>
    <w:rsid w:val="5B1E1C7E"/>
    <w:rsid w:val="5B443DEA"/>
    <w:rsid w:val="6D661A4F"/>
    <w:rsid w:val="6FEA510D"/>
    <w:rsid w:val="70AF3EF3"/>
    <w:rsid w:val="70F94C7B"/>
    <w:rsid w:val="77A56D4F"/>
    <w:rsid w:val="79B92749"/>
    <w:rsid w:val="7A005499"/>
    <w:rsid w:val="7AAD3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cs="黑体"/>
      <w:sz w:val="22"/>
      <w:szCs w:val="22"/>
    </w:rPr>
  </w:style>
  <w:style w:type="paragraph" w:styleId="1">
    <w:name w:val="heading 1"/>
    <w:basedOn w:val="a"/>
    <w:next w:val="a"/>
    <w:link w:val="1Char"/>
    <w:qFormat/>
    <w:pPr>
      <w:widowControl w:val="0"/>
      <w:adjustRightInd/>
      <w:snapToGrid/>
      <w:spacing w:beforeAutospacing="1" w:after="100" w:afterAutospacing="1"/>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val="0"/>
      <w:adjustRightInd/>
      <w:snapToGrid/>
      <w:spacing w:after="0"/>
      <w:jc w:val="both"/>
    </w:pPr>
    <w:rPr>
      <w:rFonts w:ascii="宋体" w:eastAsia="宋体" w:hAnsi="Courier New" w:cs="Times New Roman"/>
      <w:kern w:val="2"/>
      <w:sz w:val="21"/>
      <w:szCs w:val="20"/>
    </w:r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customStyle="1" w:styleId="Char2">
    <w:name w:val="Char2"/>
    <w:basedOn w:val="a"/>
    <w:pPr>
      <w:spacing w:after="160" w:line="240" w:lineRule="exact"/>
    </w:pPr>
    <w:rPr>
      <w:rFonts w:ascii="Calibri" w:hAnsi="Calibri"/>
    </w:rPr>
  </w:style>
  <w:style w:type="character" w:styleId="a6">
    <w:name w:val="page number"/>
    <w:basedOn w:val="a0"/>
    <w:unhideWhenUsed/>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11">
    <w:name w:val="列出段落1"/>
    <w:basedOn w:val="a"/>
    <w:uiPriority w:val="34"/>
    <w:qFormat/>
    <w:pPr>
      <w:ind w:firstLineChars="200" w:firstLine="420"/>
    </w:pPr>
  </w:style>
  <w:style w:type="character" w:customStyle="1" w:styleId="Char1">
    <w:name w:val="页眉 Char"/>
    <w:basedOn w:val="a0"/>
    <w:link w:val="a5"/>
    <w:uiPriority w:val="99"/>
    <w:semiHidden/>
    <w:qFormat/>
    <w:rPr>
      <w:rFonts w:ascii="Tahoma" w:hAnsi="Tahoma"/>
      <w:sz w:val="18"/>
      <w:szCs w:val="18"/>
    </w:rPr>
  </w:style>
  <w:style w:type="character" w:customStyle="1" w:styleId="Char0">
    <w:name w:val="页脚 Char"/>
    <w:basedOn w:val="a0"/>
    <w:link w:val="a4"/>
    <w:uiPriority w:val="99"/>
    <w:semiHidden/>
    <w:qFormat/>
    <w:rPr>
      <w:rFonts w:ascii="Tahoma" w:hAnsi="Tahoma"/>
      <w:sz w:val="18"/>
      <w:szCs w:val="18"/>
    </w:rPr>
  </w:style>
  <w:style w:type="character" w:customStyle="1" w:styleId="1Char">
    <w:name w:val="标题 1 Char"/>
    <w:basedOn w:val="a0"/>
    <w:link w:val="1"/>
    <w:qFormat/>
    <w:rPr>
      <w:rFonts w:ascii="宋体" w:eastAsia="宋体" w:hAnsi="宋体" w:cs="Times New Roman"/>
      <w:b/>
      <w:kern w:val="44"/>
      <w:sz w:val="48"/>
      <w:szCs w:val="48"/>
    </w:rPr>
  </w:style>
  <w:style w:type="character" w:customStyle="1" w:styleId="NormalCharacter">
    <w:name w:val="NormalCharacter"/>
    <w:semiHidden/>
    <w:qFormat/>
  </w:style>
  <w:style w:type="character" w:customStyle="1" w:styleId="Char">
    <w:name w:val="纯文本 Char"/>
    <w:basedOn w:val="a0"/>
    <w:link w:val="a3"/>
    <w:qFormat/>
    <w:rPr>
      <w:rFonts w:ascii="宋体" w:eastAsia="宋体" w:hAnsi="Courier New" w:cs="Times New Roman"/>
      <w:kern w:val="2"/>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cs="黑体"/>
      <w:sz w:val="22"/>
      <w:szCs w:val="22"/>
    </w:rPr>
  </w:style>
  <w:style w:type="paragraph" w:styleId="1">
    <w:name w:val="heading 1"/>
    <w:basedOn w:val="a"/>
    <w:next w:val="a"/>
    <w:link w:val="1Char"/>
    <w:qFormat/>
    <w:pPr>
      <w:widowControl w:val="0"/>
      <w:adjustRightInd/>
      <w:snapToGrid/>
      <w:spacing w:beforeAutospacing="1" w:after="100" w:afterAutospacing="1"/>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val="0"/>
      <w:adjustRightInd/>
      <w:snapToGrid/>
      <w:spacing w:after="0"/>
      <w:jc w:val="both"/>
    </w:pPr>
    <w:rPr>
      <w:rFonts w:ascii="宋体" w:eastAsia="宋体" w:hAnsi="Courier New" w:cs="Times New Roman"/>
      <w:kern w:val="2"/>
      <w:sz w:val="21"/>
      <w:szCs w:val="20"/>
    </w:r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customStyle="1" w:styleId="Char2">
    <w:name w:val="Char2"/>
    <w:basedOn w:val="a"/>
    <w:pPr>
      <w:spacing w:after="160" w:line="240" w:lineRule="exact"/>
    </w:pPr>
    <w:rPr>
      <w:rFonts w:ascii="Calibri" w:hAnsi="Calibri"/>
    </w:rPr>
  </w:style>
  <w:style w:type="character" w:styleId="a6">
    <w:name w:val="page number"/>
    <w:basedOn w:val="a0"/>
    <w:unhideWhenUsed/>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11">
    <w:name w:val="列出段落1"/>
    <w:basedOn w:val="a"/>
    <w:uiPriority w:val="34"/>
    <w:qFormat/>
    <w:pPr>
      <w:ind w:firstLineChars="200" w:firstLine="420"/>
    </w:pPr>
  </w:style>
  <w:style w:type="character" w:customStyle="1" w:styleId="Char1">
    <w:name w:val="页眉 Char"/>
    <w:basedOn w:val="a0"/>
    <w:link w:val="a5"/>
    <w:uiPriority w:val="99"/>
    <w:semiHidden/>
    <w:qFormat/>
    <w:rPr>
      <w:rFonts w:ascii="Tahoma" w:hAnsi="Tahoma"/>
      <w:sz w:val="18"/>
      <w:szCs w:val="18"/>
    </w:rPr>
  </w:style>
  <w:style w:type="character" w:customStyle="1" w:styleId="Char0">
    <w:name w:val="页脚 Char"/>
    <w:basedOn w:val="a0"/>
    <w:link w:val="a4"/>
    <w:uiPriority w:val="99"/>
    <w:semiHidden/>
    <w:qFormat/>
    <w:rPr>
      <w:rFonts w:ascii="Tahoma" w:hAnsi="Tahoma"/>
      <w:sz w:val="18"/>
      <w:szCs w:val="18"/>
    </w:rPr>
  </w:style>
  <w:style w:type="character" w:customStyle="1" w:styleId="1Char">
    <w:name w:val="标题 1 Char"/>
    <w:basedOn w:val="a0"/>
    <w:link w:val="1"/>
    <w:qFormat/>
    <w:rPr>
      <w:rFonts w:ascii="宋体" w:eastAsia="宋体" w:hAnsi="宋体" w:cs="Times New Roman"/>
      <w:b/>
      <w:kern w:val="44"/>
      <w:sz w:val="48"/>
      <w:szCs w:val="48"/>
    </w:rPr>
  </w:style>
  <w:style w:type="character" w:customStyle="1" w:styleId="NormalCharacter">
    <w:name w:val="NormalCharacter"/>
    <w:semiHidden/>
    <w:qFormat/>
  </w:style>
  <w:style w:type="character" w:customStyle="1" w:styleId="Char">
    <w:name w:val="纯文本 Char"/>
    <w:basedOn w:val="a0"/>
    <w:link w:val="a3"/>
    <w:qFormat/>
    <w:rPr>
      <w:rFonts w:ascii="宋体" w:eastAsia="宋体" w:hAnsi="Courier New"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关于永济市2022年财政</dc:title>
  <dc:creator>Administrator</dc:creator>
  <cp:lastModifiedBy>xb21cn</cp:lastModifiedBy>
  <cp:revision>3</cp:revision>
  <cp:lastPrinted>2023-02-21T09:04:00Z</cp:lastPrinted>
  <dcterms:created xsi:type="dcterms:W3CDTF">2023-03-21T01:05:00Z</dcterms:created>
  <dcterms:modified xsi:type="dcterms:W3CDTF">2023-03-21T01:05:00Z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