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仿宋" w:hAnsi="仿宋" w:eastAsia="仿宋" w:cs="仿宋"/>
          <w:b/>
          <w:sz w:val="36"/>
          <w:szCs w:val="36"/>
          <w:highlight w:val="none"/>
        </w:rPr>
      </w:pPr>
    </w:p>
    <w:p>
      <w:pPr>
        <w:jc w:val="center"/>
        <w:rPr>
          <w:rFonts w:hint="eastAsia" w:ascii="仿宋" w:hAnsi="仿宋" w:eastAsia="仿宋" w:cs="仿宋"/>
          <w:b/>
          <w:bCs/>
          <w:sz w:val="32"/>
          <w:szCs w:val="32"/>
          <w:highlight w:val="none"/>
        </w:rPr>
      </w:pPr>
    </w:p>
    <w:p>
      <w:pPr>
        <w:jc w:val="center"/>
        <w:rPr>
          <w:rFonts w:hint="eastAsia" w:ascii="仿宋" w:hAnsi="仿宋" w:eastAsia="仿宋" w:cs="仿宋"/>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after="63" w:afterLines="20" w:line="240" w:lineRule="auto"/>
        <w:jc w:val="center"/>
        <w:textAlignment w:val="auto"/>
        <w:outlineLvl w:val="0"/>
        <w:rPr>
          <w:rFonts w:hint="eastAsia" w:ascii="仿宋" w:hAnsi="仿宋" w:eastAsia="仿宋" w:cs="仿宋"/>
          <w:b/>
          <w:bCs/>
          <w:sz w:val="52"/>
          <w:szCs w:val="52"/>
          <w:highlight w:val="none"/>
          <w:lang w:eastAsia="zh-CN"/>
        </w:rPr>
      </w:pPr>
      <w:bookmarkStart w:id="0" w:name="_Toc11845"/>
      <w:r>
        <w:rPr>
          <w:rFonts w:hint="eastAsia" w:ascii="仿宋" w:hAnsi="仿宋" w:eastAsia="仿宋" w:cs="仿宋"/>
          <w:b/>
          <w:bCs/>
          <w:sz w:val="52"/>
          <w:szCs w:val="52"/>
          <w:highlight w:val="none"/>
          <w:lang w:eastAsia="zh-CN"/>
        </w:rPr>
        <w:t>永济市</w:t>
      </w:r>
      <w:r>
        <w:rPr>
          <w:rFonts w:hint="eastAsia" w:ascii="仿宋" w:hAnsi="仿宋" w:eastAsia="仿宋" w:cs="仿宋"/>
          <w:b/>
          <w:bCs/>
          <w:sz w:val="52"/>
          <w:szCs w:val="52"/>
          <w:highlight w:val="none"/>
          <w:lang w:val="en-US" w:eastAsia="zh-CN"/>
        </w:rPr>
        <w:t>公安局2021年度部门</w:t>
      </w:r>
      <w:r>
        <w:rPr>
          <w:rFonts w:hint="eastAsia" w:ascii="仿宋" w:hAnsi="仿宋" w:eastAsia="仿宋" w:cs="仿宋"/>
          <w:b/>
          <w:bCs/>
          <w:sz w:val="52"/>
          <w:szCs w:val="52"/>
          <w:highlight w:val="none"/>
          <w:lang w:eastAsia="zh-CN"/>
        </w:rPr>
        <w:t>整体</w:t>
      </w:r>
    </w:p>
    <w:p>
      <w:pPr>
        <w:keepNext w:val="0"/>
        <w:keepLines w:val="0"/>
        <w:pageBreakBefore w:val="0"/>
        <w:widowControl w:val="0"/>
        <w:kinsoku/>
        <w:wordWrap/>
        <w:overflowPunct/>
        <w:topLinePunct w:val="0"/>
        <w:autoSpaceDE/>
        <w:autoSpaceDN/>
        <w:bidi w:val="0"/>
        <w:adjustRightInd/>
        <w:snapToGrid w:val="0"/>
        <w:spacing w:after="63" w:afterLines="20" w:line="240" w:lineRule="auto"/>
        <w:jc w:val="center"/>
        <w:textAlignment w:val="auto"/>
        <w:outlineLvl w:val="0"/>
        <w:rPr>
          <w:rFonts w:hint="eastAsia" w:ascii="仿宋" w:hAnsi="仿宋" w:eastAsia="仿宋" w:cs="仿宋"/>
          <w:b/>
          <w:bCs/>
          <w:spacing w:val="40"/>
          <w:sz w:val="52"/>
          <w:szCs w:val="52"/>
          <w:highlight w:val="none"/>
          <w:lang w:val="en-US" w:eastAsia="zh-CN"/>
        </w:rPr>
      </w:pPr>
      <w:r>
        <w:rPr>
          <w:rFonts w:hint="eastAsia" w:ascii="仿宋" w:hAnsi="仿宋" w:eastAsia="仿宋" w:cs="仿宋"/>
          <w:b/>
          <w:bCs/>
          <w:sz w:val="52"/>
          <w:szCs w:val="52"/>
          <w:highlight w:val="none"/>
          <w:lang w:eastAsia="zh-CN"/>
        </w:rPr>
        <w:t>支出</w:t>
      </w:r>
      <w:bookmarkEnd w:id="0"/>
      <w:r>
        <w:rPr>
          <w:rFonts w:hint="eastAsia" w:ascii="仿宋" w:hAnsi="仿宋" w:eastAsia="仿宋" w:cs="仿宋"/>
          <w:b/>
          <w:bCs/>
          <w:sz w:val="52"/>
          <w:szCs w:val="52"/>
          <w:highlight w:val="none"/>
        </w:rPr>
        <w:t>绩效评价</w:t>
      </w:r>
      <w:r>
        <w:rPr>
          <w:rFonts w:hint="eastAsia" w:ascii="仿宋" w:hAnsi="仿宋" w:eastAsia="仿宋" w:cs="仿宋"/>
          <w:b/>
          <w:bCs/>
          <w:sz w:val="52"/>
          <w:szCs w:val="52"/>
          <w:highlight w:val="none"/>
          <w:lang w:eastAsia="zh-CN"/>
        </w:rPr>
        <w:t>报告</w:t>
      </w:r>
    </w:p>
    <w:p>
      <w:pPr>
        <w:spacing w:after="312" w:afterLines="100" w:line="1200" w:lineRule="exact"/>
        <w:jc w:val="center"/>
        <w:rPr>
          <w:rFonts w:hint="eastAsia" w:ascii="仿宋" w:hAnsi="仿宋" w:eastAsia="仿宋" w:cs="仿宋"/>
          <w:sz w:val="44"/>
          <w:szCs w:val="44"/>
          <w:highlight w:val="none"/>
        </w:rPr>
      </w:pPr>
    </w:p>
    <w:p>
      <w:pPr>
        <w:pStyle w:val="2"/>
        <w:rPr>
          <w:rFonts w:hint="eastAsia"/>
        </w:rPr>
      </w:pPr>
    </w:p>
    <w:p>
      <w:pPr>
        <w:jc w:val="center"/>
        <w:rPr>
          <w:rFonts w:hint="eastAsia" w:ascii="仿宋" w:hAnsi="仿宋" w:eastAsia="仿宋" w:cs="仿宋"/>
          <w:b/>
          <w:sz w:val="36"/>
          <w:szCs w:val="36"/>
          <w:highlight w:val="none"/>
        </w:rPr>
      </w:pPr>
    </w:p>
    <w:p>
      <w:pPr>
        <w:jc w:val="center"/>
        <w:rPr>
          <w:rFonts w:hint="eastAsia" w:ascii="仿宋" w:hAnsi="仿宋" w:eastAsia="仿宋" w:cs="仿宋"/>
          <w:b/>
          <w:sz w:val="15"/>
          <w:szCs w:val="15"/>
          <w:highlight w:val="none"/>
        </w:rPr>
      </w:pPr>
    </w:p>
    <w:p>
      <w:pPr>
        <w:ind w:firstLine="894" w:firstLineChars="297"/>
        <w:jc w:val="left"/>
        <w:rPr>
          <w:rFonts w:hint="eastAsia" w:ascii="仿宋" w:hAnsi="仿宋" w:eastAsia="仿宋" w:cs="仿宋"/>
          <w:b/>
          <w:sz w:val="30"/>
          <w:szCs w:val="30"/>
          <w:highlight w:val="none"/>
          <w:lang w:val="en-US" w:eastAsia="zh-CN"/>
        </w:rPr>
      </w:pPr>
      <w:r>
        <w:rPr>
          <w:rFonts w:hint="eastAsia" w:ascii="仿宋" w:hAnsi="仿宋" w:eastAsia="仿宋" w:cs="仿宋"/>
          <w:b/>
          <w:sz w:val="30"/>
          <w:szCs w:val="30"/>
          <w:highlight w:val="none"/>
        </w:rPr>
        <w:t>项目名称：</w:t>
      </w:r>
      <w:r>
        <w:rPr>
          <w:rFonts w:hint="eastAsia" w:ascii="仿宋" w:hAnsi="仿宋" w:eastAsia="仿宋" w:cs="仿宋"/>
          <w:b/>
          <w:sz w:val="30"/>
          <w:szCs w:val="30"/>
          <w:highlight w:val="none"/>
          <w:lang w:eastAsia="zh-CN"/>
        </w:rPr>
        <w:t>永济市</w:t>
      </w:r>
      <w:r>
        <w:rPr>
          <w:rFonts w:hint="eastAsia" w:ascii="仿宋" w:hAnsi="仿宋" w:eastAsia="仿宋" w:cs="仿宋"/>
          <w:b/>
          <w:sz w:val="30"/>
          <w:szCs w:val="30"/>
          <w:highlight w:val="none"/>
          <w:lang w:val="en-US" w:eastAsia="zh-CN"/>
        </w:rPr>
        <w:t>公安局2021年度部门整体支出</w:t>
      </w:r>
    </w:p>
    <w:p>
      <w:pPr>
        <w:ind w:firstLine="894" w:firstLineChars="297"/>
        <w:jc w:val="left"/>
        <w:rPr>
          <w:rFonts w:hint="eastAsia" w:ascii="仿宋" w:hAnsi="仿宋" w:eastAsia="仿宋" w:cs="仿宋"/>
          <w:b/>
          <w:sz w:val="30"/>
          <w:szCs w:val="30"/>
          <w:highlight w:val="none"/>
          <w:lang w:eastAsia="zh-CN"/>
        </w:rPr>
      </w:pPr>
      <w:r>
        <w:rPr>
          <w:rFonts w:hint="eastAsia" w:ascii="仿宋" w:hAnsi="仿宋" w:eastAsia="仿宋" w:cs="仿宋"/>
          <w:b/>
          <w:sz w:val="30"/>
          <w:szCs w:val="30"/>
          <w:highlight w:val="none"/>
        </w:rPr>
        <w:t>项目单位：</w:t>
      </w:r>
      <w:r>
        <w:rPr>
          <w:rFonts w:hint="eastAsia" w:ascii="仿宋" w:hAnsi="仿宋" w:eastAsia="仿宋" w:cs="仿宋"/>
          <w:b/>
          <w:sz w:val="30"/>
          <w:szCs w:val="30"/>
          <w:highlight w:val="none"/>
          <w:lang w:eastAsia="zh-CN"/>
        </w:rPr>
        <w:t>永济市</w:t>
      </w:r>
      <w:r>
        <w:rPr>
          <w:rFonts w:hint="eastAsia" w:ascii="仿宋" w:hAnsi="仿宋" w:eastAsia="仿宋" w:cs="仿宋"/>
          <w:b/>
          <w:sz w:val="30"/>
          <w:szCs w:val="30"/>
          <w:highlight w:val="none"/>
          <w:lang w:val="en-US" w:eastAsia="zh-CN"/>
        </w:rPr>
        <w:t>公安局</w:t>
      </w:r>
    </w:p>
    <w:p>
      <w:pPr>
        <w:ind w:firstLine="891" w:firstLineChars="296"/>
        <w:jc w:val="left"/>
        <w:outlineLvl w:val="0"/>
        <w:rPr>
          <w:rFonts w:hint="eastAsia" w:ascii="仿宋" w:hAnsi="仿宋" w:eastAsia="仿宋" w:cs="仿宋"/>
          <w:b/>
          <w:sz w:val="30"/>
          <w:szCs w:val="30"/>
          <w:highlight w:val="none"/>
          <w:lang w:eastAsia="zh-CN"/>
        </w:rPr>
      </w:pPr>
      <w:bookmarkStart w:id="1" w:name="_Toc32020"/>
      <w:r>
        <w:rPr>
          <w:rFonts w:hint="eastAsia" w:ascii="仿宋" w:hAnsi="仿宋" w:eastAsia="仿宋" w:cs="仿宋"/>
          <w:b/>
          <w:sz w:val="30"/>
          <w:szCs w:val="30"/>
          <w:highlight w:val="none"/>
        </w:rPr>
        <w:t>委托单位：</w:t>
      </w:r>
      <w:r>
        <w:rPr>
          <w:rFonts w:hint="eastAsia" w:ascii="仿宋" w:hAnsi="仿宋" w:eastAsia="仿宋" w:cs="仿宋"/>
          <w:b/>
          <w:sz w:val="30"/>
          <w:szCs w:val="30"/>
          <w:highlight w:val="none"/>
          <w:lang w:eastAsia="zh-CN"/>
        </w:rPr>
        <w:t>永济市财政局</w:t>
      </w:r>
      <w:bookmarkEnd w:id="1"/>
    </w:p>
    <w:p>
      <w:pPr>
        <w:ind w:firstLine="894" w:firstLineChars="297"/>
        <w:jc w:val="left"/>
        <w:outlineLvl w:val="0"/>
        <w:rPr>
          <w:rFonts w:hint="eastAsia" w:ascii="仿宋" w:hAnsi="仿宋" w:eastAsia="仿宋" w:cs="仿宋"/>
          <w:b/>
          <w:sz w:val="30"/>
          <w:szCs w:val="30"/>
          <w:highlight w:val="none"/>
        </w:rPr>
      </w:pPr>
      <w:bookmarkStart w:id="2" w:name="_Toc7442"/>
      <w:r>
        <w:rPr>
          <w:rFonts w:hint="eastAsia" w:ascii="仿宋" w:hAnsi="仿宋" w:eastAsia="仿宋" w:cs="仿宋"/>
          <w:b/>
          <w:sz w:val="30"/>
          <w:szCs w:val="30"/>
          <w:highlight w:val="none"/>
        </w:rPr>
        <w:t>评价机构：山西</w:t>
      </w:r>
      <w:r>
        <w:rPr>
          <w:rFonts w:hint="eastAsia" w:ascii="仿宋" w:hAnsi="仿宋" w:eastAsia="仿宋" w:cs="仿宋"/>
          <w:b/>
          <w:sz w:val="30"/>
          <w:szCs w:val="30"/>
          <w:highlight w:val="none"/>
          <w:lang w:val="en-US" w:eastAsia="zh-CN"/>
        </w:rPr>
        <w:t>正源</w:t>
      </w:r>
      <w:r>
        <w:rPr>
          <w:rFonts w:hint="eastAsia" w:ascii="仿宋" w:hAnsi="仿宋" w:eastAsia="仿宋" w:cs="仿宋"/>
          <w:b/>
          <w:sz w:val="30"/>
          <w:szCs w:val="30"/>
          <w:highlight w:val="none"/>
        </w:rPr>
        <w:t>会计师事务所有限公司</w:t>
      </w:r>
      <w:bookmarkEnd w:id="2"/>
    </w:p>
    <w:p>
      <w:pPr>
        <w:jc w:val="left"/>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eastAsia" w:ascii="仿宋" w:hAnsi="仿宋" w:eastAsia="仿宋" w:cs="仿宋"/>
          <w:b/>
          <w:sz w:val="30"/>
          <w:szCs w:val="30"/>
          <w:highlight w:val="none"/>
        </w:rPr>
      </w:pPr>
    </w:p>
    <w:p>
      <w:pPr>
        <w:jc w:val="center"/>
        <w:rPr>
          <w:rFonts w:hint="default" w:ascii="仿宋" w:hAnsi="仿宋" w:eastAsia="仿宋" w:cs="仿宋"/>
          <w:b/>
          <w:sz w:val="30"/>
          <w:szCs w:val="30"/>
          <w:highlight w:val="none"/>
          <w:lang w:val="en-US" w:eastAsia="zh-CN"/>
        </w:rPr>
      </w:pPr>
      <w:r>
        <w:rPr>
          <w:rFonts w:hint="eastAsia" w:ascii="仿宋" w:hAnsi="仿宋" w:eastAsia="仿宋" w:cs="仿宋"/>
          <w:b/>
          <w:sz w:val="30"/>
          <w:szCs w:val="30"/>
          <w:highlight w:val="none"/>
        </w:rPr>
        <w:t>20</w:t>
      </w:r>
      <w:r>
        <w:rPr>
          <w:rFonts w:hint="eastAsia" w:ascii="仿宋" w:hAnsi="仿宋" w:eastAsia="仿宋" w:cs="仿宋"/>
          <w:b/>
          <w:sz w:val="30"/>
          <w:szCs w:val="30"/>
          <w:highlight w:val="none"/>
          <w:lang w:val="en-US" w:eastAsia="zh-CN"/>
        </w:rPr>
        <w:t>22</w:t>
      </w:r>
      <w:r>
        <w:rPr>
          <w:rFonts w:hint="eastAsia" w:ascii="仿宋" w:hAnsi="仿宋" w:eastAsia="仿宋" w:cs="仿宋"/>
          <w:b/>
          <w:sz w:val="30"/>
          <w:szCs w:val="30"/>
          <w:highlight w:val="none"/>
        </w:rPr>
        <w:t>年</w:t>
      </w:r>
      <w:r>
        <w:rPr>
          <w:rFonts w:hint="eastAsia" w:ascii="仿宋" w:hAnsi="仿宋" w:eastAsia="仿宋" w:cs="仿宋"/>
          <w:b/>
          <w:sz w:val="30"/>
          <w:szCs w:val="30"/>
          <w:highlight w:val="none"/>
          <w:lang w:val="en-US" w:eastAsia="zh-CN"/>
        </w:rPr>
        <w:t>11</w:t>
      </w:r>
      <w:r>
        <w:rPr>
          <w:rFonts w:hint="eastAsia" w:ascii="仿宋" w:hAnsi="仿宋" w:eastAsia="仿宋" w:cs="仿宋"/>
          <w:b/>
          <w:sz w:val="30"/>
          <w:szCs w:val="30"/>
          <w:highlight w:val="none"/>
        </w:rPr>
        <w:t>月</w:t>
      </w:r>
      <w:r>
        <w:rPr>
          <w:rFonts w:hint="eastAsia" w:ascii="仿宋" w:hAnsi="仿宋" w:eastAsia="仿宋" w:cs="仿宋"/>
          <w:b/>
          <w:sz w:val="30"/>
          <w:szCs w:val="30"/>
          <w:highlight w:val="none"/>
          <w:lang w:val="en-US" w:eastAsia="zh-CN"/>
        </w:rPr>
        <w:t>25日</w:t>
      </w:r>
    </w:p>
    <w:p>
      <w:pPr>
        <w:jc w:val="center"/>
        <w:rPr>
          <w:rFonts w:hint="eastAsia" w:ascii="仿宋" w:hAnsi="仿宋" w:eastAsia="仿宋" w:cs="仿宋"/>
          <w:b/>
          <w:sz w:val="32"/>
          <w:szCs w:val="32"/>
          <w:highlight w:val="none"/>
        </w:rPr>
      </w:pPr>
    </w:p>
    <w:p>
      <w:pPr>
        <w:pStyle w:val="2"/>
        <w:rPr>
          <w:rFonts w:hint="eastAsia" w:ascii="仿宋" w:hAnsi="仿宋" w:eastAsia="仿宋" w:cs="仿宋"/>
          <w:b/>
          <w:sz w:val="32"/>
          <w:szCs w:val="32"/>
          <w:highlight w:val="none"/>
        </w:rPr>
      </w:pPr>
    </w:p>
    <w:p>
      <w:pPr>
        <w:pStyle w:val="4"/>
        <w:rPr>
          <w:rFonts w:hint="eastAsia"/>
        </w:rPr>
      </w:pPr>
    </w:p>
    <w:sdt>
      <w:sdtPr>
        <w:rPr>
          <w:rFonts w:hint="eastAsia" w:ascii="仿宋" w:hAnsi="仿宋" w:eastAsia="仿宋" w:cs="仿宋"/>
          <w:b/>
          <w:bCs/>
          <w:kern w:val="0"/>
          <w:sz w:val="44"/>
          <w:szCs w:val="44"/>
          <w:highlight w:val="none"/>
          <w:lang w:val="en-US" w:eastAsia="zh-CN"/>
        </w:rPr>
        <w:id w:val="147479061"/>
        <w15:color w:val="DBDBDB"/>
        <w:docPartObj>
          <w:docPartGallery w:val="Table of Contents"/>
          <w:docPartUnique/>
        </w:docPartObj>
      </w:sdtPr>
      <w:sdtEndPr>
        <w:rPr>
          <w:rFonts w:hint="eastAsia" w:ascii="仿宋_GB2312" w:hAnsi="Times New Roman" w:eastAsia="仿宋_GB2312" w:cs="宋体"/>
          <w:b/>
          <w:bCs/>
          <w:kern w:val="2"/>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kern w:val="0"/>
              <w:sz w:val="44"/>
              <w:szCs w:val="44"/>
              <w:highlight w:val="none"/>
            </w:rPr>
          </w:pPr>
          <w:r>
            <w:rPr>
              <w:rFonts w:hint="eastAsia" w:ascii="仿宋" w:hAnsi="仿宋" w:eastAsia="仿宋" w:cs="仿宋"/>
              <w:b/>
              <w:bCs/>
              <w:kern w:val="0"/>
              <w:sz w:val="44"/>
              <w:szCs w:val="44"/>
              <w:highlight w:val="none"/>
            </w:rPr>
            <w:t>目</w:t>
          </w:r>
          <w:r>
            <w:rPr>
              <w:rFonts w:hint="eastAsia" w:ascii="仿宋" w:hAnsi="仿宋" w:eastAsia="仿宋" w:cs="仿宋"/>
              <w:b/>
              <w:bCs/>
              <w:kern w:val="0"/>
              <w:sz w:val="44"/>
              <w:szCs w:val="44"/>
              <w:highlight w:val="none"/>
              <w:lang w:val="en-US" w:eastAsia="zh-CN"/>
            </w:rPr>
            <w:t xml:space="preserve">  </w:t>
          </w:r>
          <w:r>
            <w:rPr>
              <w:rFonts w:hint="eastAsia" w:ascii="仿宋" w:hAnsi="仿宋" w:eastAsia="仿宋" w:cs="仿宋"/>
              <w:b/>
              <w:bCs/>
              <w:kern w:val="0"/>
              <w:sz w:val="44"/>
              <w:szCs w:val="44"/>
              <w:highlight w:val="none"/>
            </w:rPr>
            <w:t>录</w:t>
          </w:r>
        </w:p>
        <w:p>
          <w:pPr>
            <w:pStyle w:val="34"/>
            <w:tabs>
              <w:tab w:val="right" w:leader="dot" w:pos="8306"/>
            </w:tabs>
            <w:rPr>
              <w:b/>
            </w:rPr>
          </w:pPr>
          <w:r>
            <w:rPr>
              <w:rFonts w:hint="eastAsia"/>
            </w:rPr>
            <w:fldChar w:fldCharType="begin"/>
          </w:r>
          <w:r>
            <w:rPr>
              <w:rFonts w:hint="eastAsia"/>
            </w:rPr>
            <w:instrText xml:space="preserve">TOC \o "1-2" \h \u </w:instrText>
          </w:r>
          <w:r>
            <w:rPr>
              <w:rFonts w:hint="eastAsia"/>
            </w:rPr>
            <w:fldChar w:fldCharType="separate"/>
          </w:r>
        </w:p>
        <w:p>
          <w:pPr>
            <w:pStyle w:val="34"/>
            <w:tabs>
              <w:tab w:val="right" w:leader="dot" w:pos="8306"/>
            </w:tabs>
            <w:rPr>
              <w:rFonts w:hint="eastAsia" w:ascii="仿宋" w:hAnsi="仿宋" w:eastAsia="仿宋" w:cs="仿宋"/>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_Toc9160 </w:instrText>
          </w:r>
          <w:r>
            <w:rPr>
              <w:rFonts w:hint="eastAsia" w:ascii="仿宋" w:hAnsi="仿宋" w:eastAsia="仿宋" w:cs="仿宋"/>
              <w:b/>
              <w:sz w:val="28"/>
              <w:szCs w:val="28"/>
            </w:rPr>
            <w:fldChar w:fldCharType="separate"/>
          </w:r>
          <w:r>
            <w:rPr>
              <w:rFonts w:hint="eastAsia" w:ascii="仿宋" w:hAnsi="仿宋" w:eastAsia="仿宋" w:cs="仿宋"/>
              <w:b/>
              <w:bCs/>
              <w:sz w:val="28"/>
              <w:szCs w:val="28"/>
              <w:highlight w:val="none"/>
            </w:rPr>
            <w:t>绩效评价</w:t>
          </w:r>
          <w:r>
            <w:rPr>
              <w:rFonts w:hint="eastAsia" w:ascii="仿宋" w:hAnsi="仿宋" w:eastAsia="仿宋" w:cs="仿宋"/>
              <w:b/>
              <w:bCs/>
              <w:sz w:val="28"/>
              <w:szCs w:val="28"/>
              <w:highlight w:val="none"/>
              <w:lang w:eastAsia="zh-CN"/>
            </w:rPr>
            <w:t>报告摘要</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_Toc9160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1</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34"/>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_Toc6774 </w:instrText>
          </w:r>
          <w:r>
            <w:rPr>
              <w:rFonts w:hint="eastAsia" w:ascii="仿宋" w:hAnsi="仿宋" w:eastAsia="仿宋" w:cs="仿宋"/>
              <w:b/>
              <w:sz w:val="28"/>
              <w:szCs w:val="28"/>
            </w:rPr>
            <w:fldChar w:fldCharType="separate"/>
          </w:r>
          <w:r>
            <w:rPr>
              <w:rFonts w:hint="eastAsia" w:ascii="仿宋" w:hAnsi="仿宋" w:eastAsia="仿宋" w:cs="仿宋"/>
              <w:b/>
              <w:bCs/>
              <w:sz w:val="28"/>
              <w:szCs w:val="28"/>
              <w:highlight w:val="none"/>
            </w:rPr>
            <w:t>绩效评价</w:t>
          </w:r>
          <w:r>
            <w:rPr>
              <w:rFonts w:hint="eastAsia" w:ascii="仿宋" w:hAnsi="仿宋" w:eastAsia="仿宋" w:cs="仿宋"/>
              <w:b/>
              <w:bCs/>
              <w:sz w:val="28"/>
              <w:szCs w:val="28"/>
              <w:highlight w:val="none"/>
              <w:lang w:eastAsia="zh-CN"/>
            </w:rPr>
            <w:t>报告</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_Toc6774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6</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34"/>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_Toc15483 </w:instrText>
          </w:r>
          <w:r>
            <w:rPr>
              <w:rFonts w:hint="eastAsia" w:ascii="仿宋" w:hAnsi="仿宋" w:eastAsia="仿宋" w:cs="仿宋"/>
              <w:b/>
              <w:sz w:val="28"/>
              <w:szCs w:val="28"/>
            </w:rPr>
            <w:fldChar w:fldCharType="separate"/>
          </w:r>
          <w:r>
            <w:rPr>
              <w:rFonts w:hint="eastAsia" w:ascii="仿宋" w:hAnsi="仿宋" w:eastAsia="仿宋" w:cs="仿宋"/>
              <w:b/>
              <w:sz w:val="28"/>
              <w:szCs w:val="28"/>
              <w:highlight w:val="none"/>
              <w:lang w:eastAsia="zh-CN"/>
            </w:rPr>
            <w:t>一、</w:t>
          </w:r>
          <w:r>
            <w:rPr>
              <w:rFonts w:hint="eastAsia" w:ascii="仿宋" w:hAnsi="仿宋" w:eastAsia="仿宋" w:cs="仿宋"/>
              <w:b/>
              <w:sz w:val="28"/>
              <w:szCs w:val="28"/>
              <w:highlight w:val="none"/>
            </w:rPr>
            <w:t>基本情况</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_Toc15483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6</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_Toc21653 </w:instrText>
          </w:r>
          <w:r>
            <w:rPr>
              <w:rFonts w:hint="eastAsia" w:ascii="仿宋" w:hAnsi="仿宋" w:eastAsia="仿宋" w:cs="仿宋"/>
              <w:sz w:val="28"/>
              <w:szCs w:val="28"/>
            </w:rPr>
            <w:fldChar w:fldCharType="separate"/>
          </w:r>
          <w:r>
            <w:rPr>
              <w:rFonts w:hint="eastAsia" w:ascii="仿宋" w:hAnsi="仿宋" w:eastAsia="仿宋" w:cs="仿宋"/>
              <w:bCs/>
              <w:w w:val="100"/>
              <w:kern w:val="2"/>
              <w:sz w:val="28"/>
              <w:szCs w:val="28"/>
              <w:highlight w:val="none"/>
              <w:lang w:val="en-US" w:eastAsia="zh-CN" w:bidi="ar-SA"/>
            </w:rPr>
            <w:t>（一）单位基本情况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_Toc21653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_Toc2851 </w:instrText>
          </w:r>
          <w:r>
            <w:rPr>
              <w:rFonts w:hint="eastAsia" w:ascii="仿宋" w:hAnsi="仿宋" w:eastAsia="仿宋" w:cs="仿宋"/>
              <w:sz w:val="28"/>
              <w:szCs w:val="28"/>
            </w:rPr>
            <w:fldChar w:fldCharType="separate"/>
          </w:r>
          <w:r>
            <w:rPr>
              <w:rFonts w:hint="eastAsia" w:ascii="仿宋" w:hAnsi="仿宋" w:eastAsia="仿宋" w:cs="仿宋"/>
              <w:bCs/>
              <w:kern w:val="0"/>
              <w:sz w:val="28"/>
              <w:szCs w:val="28"/>
              <w:highlight w:val="none"/>
              <w:shd w:val="clear" w:color="auto" w:fill="FFFFFF"/>
            </w:rPr>
            <w:t>（二）</w:t>
          </w:r>
          <w:r>
            <w:rPr>
              <w:rFonts w:hint="eastAsia" w:ascii="仿宋" w:hAnsi="仿宋" w:eastAsia="仿宋" w:cs="仿宋"/>
              <w:bCs/>
              <w:kern w:val="0"/>
              <w:sz w:val="28"/>
              <w:szCs w:val="28"/>
              <w:highlight w:val="none"/>
              <w:shd w:val="clear" w:color="auto" w:fill="FFFFFF"/>
              <w:lang w:eastAsia="zh-CN"/>
            </w:rPr>
            <w:t>部门预算批复及整体支出</w:t>
          </w:r>
          <w:r>
            <w:rPr>
              <w:rFonts w:hint="eastAsia" w:ascii="仿宋" w:hAnsi="仿宋" w:eastAsia="仿宋" w:cs="仿宋"/>
              <w:bCs/>
              <w:kern w:val="0"/>
              <w:sz w:val="28"/>
              <w:szCs w:val="28"/>
              <w:highlight w:val="none"/>
              <w:shd w:val="clear" w:color="auto" w:fill="FFFFFF"/>
            </w:rPr>
            <w:t>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_Toc2851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_Toc10933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lang w:val="en-US" w:eastAsia="zh-CN"/>
            </w:rPr>
            <w:t>（三）部门整体绩效目标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_Toc10933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4"/>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_Toc9082 </w:instrText>
          </w:r>
          <w:r>
            <w:rPr>
              <w:rFonts w:hint="eastAsia" w:ascii="仿宋" w:hAnsi="仿宋" w:eastAsia="仿宋" w:cs="仿宋"/>
              <w:b/>
              <w:sz w:val="28"/>
              <w:szCs w:val="28"/>
            </w:rPr>
            <w:fldChar w:fldCharType="separate"/>
          </w:r>
          <w:r>
            <w:rPr>
              <w:rFonts w:hint="eastAsia" w:ascii="仿宋" w:hAnsi="仿宋" w:eastAsia="仿宋" w:cs="仿宋"/>
              <w:b/>
              <w:bCs/>
              <w:sz w:val="28"/>
              <w:szCs w:val="28"/>
              <w:highlight w:val="none"/>
              <w:lang w:eastAsia="zh-CN"/>
            </w:rPr>
            <w:t>二、绩效评价思路</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_Toc9082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18</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35"/>
            <w:tabs>
              <w:tab w:val="right" w:leader="dot" w:pos="8306"/>
            </w:tabs>
            <w:rPr>
              <w:rFonts w:hint="eastAsia" w:ascii="仿宋" w:hAnsi="仿宋" w:eastAsia="仿宋" w:cs="仿宋"/>
              <w:b/>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_Toc25049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lang w:eastAsia="zh-CN"/>
            </w:rPr>
            <w:t>（一）绩效评价的目的和依据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_Toc25049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_Toc3348 </w:instrText>
          </w:r>
          <w:r>
            <w:rPr>
              <w:rFonts w:hint="eastAsia" w:ascii="仿宋" w:hAnsi="仿宋" w:eastAsia="仿宋" w:cs="仿宋"/>
              <w:sz w:val="28"/>
              <w:szCs w:val="28"/>
            </w:rPr>
            <w:fldChar w:fldCharType="separate"/>
          </w:r>
          <w:r>
            <w:rPr>
              <w:rFonts w:hint="eastAsia" w:ascii="仿宋" w:hAnsi="仿宋" w:eastAsia="仿宋" w:cs="仿宋"/>
              <w:bCs w:val="0"/>
              <w:sz w:val="28"/>
              <w:szCs w:val="28"/>
              <w:highlight w:val="none"/>
              <w:lang w:eastAsia="zh-CN"/>
            </w:rPr>
            <w:t>（二）绩效评价的对象和范围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_Toc3348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_Toc16274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rPr>
            <w:t>（三）评价时段的确定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_Toc16274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_Toc9791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eastAsia="zh-CN"/>
            </w:rPr>
            <w:t>四</w:t>
          </w:r>
          <w:r>
            <w:rPr>
              <w:rFonts w:hint="eastAsia" w:ascii="仿宋" w:hAnsi="仿宋" w:eastAsia="仿宋" w:cs="仿宋"/>
              <w:bCs/>
              <w:sz w:val="28"/>
              <w:szCs w:val="28"/>
              <w:highlight w:val="none"/>
            </w:rPr>
            <w:t>）绩效评价原则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_Toc9791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_Toc30430 </w:instrText>
          </w:r>
          <w:r>
            <w:rPr>
              <w:rFonts w:hint="eastAsia" w:ascii="仿宋" w:hAnsi="仿宋" w:eastAsia="仿宋" w:cs="仿宋"/>
              <w:sz w:val="28"/>
              <w:szCs w:val="28"/>
            </w:rPr>
            <w:fldChar w:fldCharType="separate"/>
          </w:r>
          <w:r>
            <w:rPr>
              <w:rFonts w:hint="eastAsia" w:ascii="仿宋" w:hAnsi="仿宋" w:eastAsia="仿宋" w:cs="仿宋"/>
              <w:bCs w:val="0"/>
              <w:sz w:val="28"/>
              <w:szCs w:val="28"/>
              <w:highlight w:val="none"/>
              <w:lang w:eastAsia="zh-CN"/>
            </w:rPr>
            <w:t>（五）绩效评价的方法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_Toc30430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_Toc15228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eastAsia="zh-CN"/>
            </w:rPr>
            <w:t>六</w:t>
          </w:r>
          <w:r>
            <w:rPr>
              <w:rFonts w:hint="eastAsia" w:ascii="仿宋" w:hAnsi="仿宋" w:eastAsia="仿宋" w:cs="仿宋"/>
              <w:bCs/>
              <w:sz w:val="28"/>
              <w:szCs w:val="28"/>
              <w:highlight w:val="none"/>
            </w:rPr>
            <w:t>）评价的组织及实施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_Toc15228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4"/>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_Toc15580 </w:instrText>
          </w:r>
          <w:r>
            <w:rPr>
              <w:rFonts w:hint="eastAsia" w:ascii="仿宋" w:hAnsi="仿宋" w:eastAsia="仿宋" w:cs="仿宋"/>
              <w:b/>
              <w:sz w:val="28"/>
              <w:szCs w:val="28"/>
            </w:rPr>
            <w:fldChar w:fldCharType="separate"/>
          </w:r>
          <w:r>
            <w:rPr>
              <w:rFonts w:hint="eastAsia" w:ascii="仿宋" w:hAnsi="仿宋" w:eastAsia="仿宋" w:cs="仿宋"/>
              <w:b/>
              <w:sz w:val="28"/>
              <w:szCs w:val="28"/>
              <w:highlight w:val="none"/>
              <w:lang w:eastAsia="zh-CN"/>
            </w:rPr>
            <w:t>三</w:t>
          </w:r>
          <w:r>
            <w:rPr>
              <w:rFonts w:hint="eastAsia" w:ascii="仿宋" w:hAnsi="仿宋" w:eastAsia="仿宋" w:cs="仿宋"/>
              <w:b/>
              <w:sz w:val="28"/>
              <w:szCs w:val="28"/>
              <w:highlight w:val="none"/>
            </w:rPr>
            <w:t>、绩效评价指标</w:t>
          </w:r>
          <w:r>
            <w:rPr>
              <w:rFonts w:hint="eastAsia" w:ascii="仿宋" w:hAnsi="仿宋" w:eastAsia="仿宋" w:cs="仿宋"/>
              <w:b/>
              <w:sz w:val="28"/>
              <w:szCs w:val="28"/>
              <w:highlight w:val="none"/>
              <w:lang w:eastAsia="zh-CN"/>
            </w:rPr>
            <w:t>体系</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_Toc15580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22</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_Toc13056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lang w:eastAsia="zh-CN"/>
            </w:rPr>
            <w:t>（一）</w:t>
          </w:r>
          <w:r>
            <w:rPr>
              <w:rFonts w:hint="eastAsia" w:ascii="仿宋" w:hAnsi="仿宋" w:eastAsia="仿宋" w:cs="仿宋"/>
              <w:bCs/>
              <w:sz w:val="28"/>
              <w:szCs w:val="28"/>
              <w:highlight w:val="none"/>
            </w:rPr>
            <w:t>指标体系设计思路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_Toc13056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_Toc27129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lang w:val="en-US" w:eastAsia="zh-CN"/>
            </w:rPr>
            <w:t>（二）</w:t>
          </w:r>
          <w:r>
            <w:rPr>
              <w:rFonts w:hint="eastAsia" w:ascii="仿宋" w:hAnsi="仿宋" w:eastAsia="仿宋" w:cs="仿宋"/>
              <w:bCs/>
              <w:sz w:val="28"/>
              <w:szCs w:val="28"/>
              <w:highlight w:val="none"/>
            </w:rPr>
            <w:t>评价指标设置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_Toc27129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4"/>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_Toc8277 </w:instrText>
          </w:r>
          <w:r>
            <w:rPr>
              <w:rFonts w:hint="eastAsia" w:ascii="仿宋" w:hAnsi="仿宋" w:eastAsia="仿宋" w:cs="仿宋"/>
              <w:b/>
              <w:sz w:val="28"/>
              <w:szCs w:val="28"/>
            </w:rPr>
            <w:fldChar w:fldCharType="separate"/>
          </w:r>
          <w:r>
            <w:rPr>
              <w:rFonts w:hint="eastAsia" w:ascii="仿宋" w:hAnsi="仿宋" w:eastAsia="仿宋" w:cs="仿宋"/>
              <w:b/>
              <w:sz w:val="28"/>
              <w:szCs w:val="28"/>
              <w:lang w:val="en-US" w:eastAsia="zh-CN"/>
            </w:rPr>
            <w:t>四</w:t>
          </w:r>
          <w:r>
            <w:rPr>
              <w:rFonts w:hint="eastAsia" w:ascii="仿宋" w:hAnsi="仿宋" w:eastAsia="仿宋" w:cs="仿宋"/>
              <w:b/>
              <w:sz w:val="28"/>
              <w:szCs w:val="28"/>
            </w:rPr>
            <w:t xml:space="preserve">、 </w:t>
          </w:r>
          <w:r>
            <w:rPr>
              <w:rFonts w:hint="eastAsia" w:ascii="仿宋" w:hAnsi="仿宋" w:eastAsia="仿宋" w:cs="仿宋"/>
              <w:b/>
              <w:sz w:val="28"/>
              <w:szCs w:val="28"/>
              <w:highlight w:val="none"/>
              <w:lang w:val="en-US" w:eastAsia="zh-CN"/>
            </w:rPr>
            <w:t>评价结论及</w:t>
          </w:r>
          <w:r>
            <w:rPr>
              <w:rFonts w:hint="eastAsia" w:ascii="仿宋" w:hAnsi="仿宋" w:eastAsia="仿宋" w:cs="仿宋"/>
              <w:b/>
              <w:sz w:val="28"/>
              <w:szCs w:val="28"/>
              <w:highlight w:val="none"/>
            </w:rPr>
            <w:t>绩效评价指标分析</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_Toc8277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24</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_Toc13597 </w:instrText>
          </w:r>
          <w:r>
            <w:rPr>
              <w:rFonts w:hint="eastAsia" w:ascii="仿宋" w:hAnsi="仿宋" w:eastAsia="仿宋" w:cs="仿宋"/>
              <w:sz w:val="28"/>
              <w:szCs w:val="28"/>
            </w:rPr>
            <w:fldChar w:fldCharType="separate"/>
          </w:r>
          <w:r>
            <w:rPr>
              <w:rFonts w:hint="eastAsia" w:ascii="仿宋" w:hAnsi="仿宋" w:eastAsia="仿宋" w:cs="仿宋"/>
              <w:bCs w:val="0"/>
              <w:sz w:val="28"/>
              <w:szCs w:val="28"/>
              <w:lang w:eastAsia="zh-CN"/>
            </w:rPr>
            <w:t>（一）</w:t>
          </w:r>
          <w:r>
            <w:rPr>
              <w:rFonts w:hint="eastAsia" w:ascii="仿宋" w:hAnsi="仿宋" w:eastAsia="仿宋" w:cs="仿宋"/>
              <w:bCs w:val="0"/>
              <w:sz w:val="28"/>
              <w:szCs w:val="28"/>
            </w:rPr>
            <w:t>评价结论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_Toc13597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b/>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_Toc12832 </w:instrText>
          </w:r>
          <w:r>
            <w:rPr>
              <w:rFonts w:hint="eastAsia" w:ascii="仿宋" w:hAnsi="仿宋" w:eastAsia="仿宋" w:cs="仿宋"/>
              <w:sz w:val="28"/>
              <w:szCs w:val="28"/>
            </w:rPr>
            <w:fldChar w:fldCharType="separate"/>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二</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绩效评价指标分析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_Toc12832 \h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4"/>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_Toc24126 </w:instrText>
          </w:r>
          <w:r>
            <w:rPr>
              <w:rFonts w:hint="eastAsia" w:ascii="仿宋" w:hAnsi="仿宋" w:eastAsia="仿宋" w:cs="仿宋"/>
              <w:b/>
              <w:sz w:val="28"/>
              <w:szCs w:val="28"/>
            </w:rPr>
            <w:fldChar w:fldCharType="separate"/>
          </w:r>
          <w:r>
            <w:rPr>
              <w:rFonts w:hint="eastAsia" w:ascii="仿宋" w:hAnsi="仿宋" w:eastAsia="仿宋" w:cs="仿宋"/>
              <w:b/>
              <w:sz w:val="28"/>
              <w:szCs w:val="28"/>
              <w:highlight w:val="none"/>
              <w:lang w:val="en-US" w:eastAsia="zh-CN"/>
            </w:rPr>
            <w:t>五</w:t>
          </w:r>
          <w:r>
            <w:rPr>
              <w:rFonts w:hint="eastAsia" w:ascii="仿宋" w:hAnsi="仿宋" w:eastAsia="仿宋" w:cs="仿宋"/>
              <w:b/>
              <w:sz w:val="28"/>
              <w:szCs w:val="28"/>
              <w:highlight w:val="none"/>
            </w:rPr>
            <w:t>、主要经验做法</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_Toc24126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40</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34"/>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_Toc26854 </w:instrText>
          </w:r>
          <w:r>
            <w:rPr>
              <w:rFonts w:hint="eastAsia" w:ascii="仿宋" w:hAnsi="仿宋" w:eastAsia="仿宋" w:cs="仿宋"/>
              <w:b/>
              <w:sz w:val="28"/>
              <w:szCs w:val="28"/>
            </w:rPr>
            <w:fldChar w:fldCharType="separate"/>
          </w:r>
          <w:r>
            <w:rPr>
              <w:rFonts w:hint="eastAsia" w:ascii="仿宋" w:hAnsi="仿宋" w:eastAsia="仿宋" w:cs="仿宋"/>
              <w:b/>
              <w:sz w:val="28"/>
              <w:szCs w:val="28"/>
              <w:highlight w:val="none"/>
              <w:lang w:val="en-US" w:eastAsia="zh-CN"/>
            </w:rPr>
            <w:t>六</w:t>
          </w:r>
          <w:r>
            <w:rPr>
              <w:rFonts w:hint="eastAsia" w:ascii="仿宋" w:hAnsi="仿宋" w:eastAsia="仿宋" w:cs="仿宋"/>
              <w:b/>
              <w:sz w:val="28"/>
              <w:szCs w:val="28"/>
              <w:highlight w:val="none"/>
            </w:rPr>
            <w:t>、存在的主要问题及</w:t>
          </w:r>
          <w:r>
            <w:rPr>
              <w:rFonts w:hint="eastAsia" w:ascii="仿宋" w:hAnsi="仿宋" w:eastAsia="仿宋" w:cs="仿宋"/>
              <w:b/>
              <w:sz w:val="28"/>
              <w:szCs w:val="28"/>
              <w:highlight w:val="none"/>
              <w:lang w:val="en-US" w:eastAsia="zh-CN"/>
            </w:rPr>
            <w:t>建议</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_Toc26854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41</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_Toc24792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（一）存在的主要问题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_Toc24792 \h </w:instrText>
          </w:r>
          <w:r>
            <w:rPr>
              <w:rFonts w:hint="eastAsia" w:ascii="仿宋" w:hAnsi="仿宋" w:eastAsia="仿宋" w:cs="仿宋"/>
              <w:sz w:val="28"/>
              <w:szCs w:val="28"/>
            </w:rPr>
            <w:fldChar w:fldCharType="separate"/>
          </w:r>
          <w:r>
            <w:rPr>
              <w:rFonts w:hint="eastAsia" w:ascii="仿宋" w:hAnsi="仿宋" w:eastAsia="仿宋" w:cs="仿宋"/>
              <w:sz w:val="28"/>
              <w:szCs w:val="28"/>
            </w:rPr>
            <w:t>41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_Toc32239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（二）</w:t>
          </w:r>
          <w:r>
            <w:rPr>
              <w:rFonts w:hint="eastAsia" w:ascii="仿宋" w:hAnsi="仿宋" w:eastAsia="仿宋" w:cs="仿宋"/>
              <w:sz w:val="28"/>
              <w:szCs w:val="28"/>
              <w:highlight w:val="none"/>
              <w:lang w:val="en-US" w:eastAsia="zh-CN"/>
            </w:rPr>
            <w:t>建议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_Toc32239 \h </w:instrText>
          </w:r>
          <w:r>
            <w:rPr>
              <w:rFonts w:hint="eastAsia" w:ascii="仿宋" w:hAnsi="仿宋" w:eastAsia="仿宋" w:cs="仿宋"/>
              <w:sz w:val="28"/>
              <w:szCs w:val="28"/>
            </w:rPr>
            <w:fldChar w:fldCharType="separate"/>
          </w:r>
          <w:r>
            <w:rPr>
              <w:rFonts w:hint="eastAsia" w:ascii="仿宋" w:hAnsi="仿宋" w:eastAsia="仿宋" w:cs="仿宋"/>
              <w:sz w:val="28"/>
              <w:szCs w:val="28"/>
            </w:rPr>
            <w:t>43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4"/>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_Toc29139 </w:instrText>
          </w:r>
          <w:r>
            <w:rPr>
              <w:rFonts w:hint="eastAsia" w:ascii="仿宋" w:hAnsi="仿宋" w:eastAsia="仿宋" w:cs="仿宋"/>
              <w:b/>
              <w:sz w:val="28"/>
              <w:szCs w:val="28"/>
            </w:rPr>
            <w:fldChar w:fldCharType="separate"/>
          </w:r>
          <w:r>
            <w:rPr>
              <w:rFonts w:hint="eastAsia" w:ascii="仿宋" w:hAnsi="仿宋" w:eastAsia="仿宋" w:cs="仿宋"/>
              <w:b/>
              <w:sz w:val="28"/>
              <w:szCs w:val="28"/>
              <w:highlight w:val="none"/>
              <w:lang w:val="en-US" w:eastAsia="zh-CN"/>
            </w:rPr>
            <w:t>七</w:t>
          </w:r>
          <w:r>
            <w:rPr>
              <w:rFonts w:hint="eastAsia" w:ascii="仿宋" w:hAnsi="仿宋" w:eastAsia="仿宋" w:cs="仿宋"/>
              <w:b/>
              <w:sz w:val="28"/>
              <w:szCs w:val="28"/>
              <w:highlight w:val="none"/>
            </w:rPr>
            <w:t>、绩效评价结果应用建议</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_Toc29139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44</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35"/>
            <w:tabs>
              <w:tab w:val="right" w:leader="dot" w:pos="8306"/>
            </w:tabs>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_Toc26337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rPr>
            <w:t>附件1：</w:t>
          </w:r>
          <w:r>
            <w:rPr>
              <w:rFonts w:hint="eastAsia" w:ascii="仿宋" w:hAnsi="仿宋" w:eastAsia="仿宋" w:cs="仿宋"/>
              <w:bCs/>
              <w:sz w:val="28"/>
              <w:szCs w:val="28"/>
              <w:highlight w:val="none"/>
              <w:lang w:eastAsia="zh-CN"/>
            </w:rPr>
            <w:t>永济市公安局</w:t>
          </w:r>
          <w:r>
            <w:rPr>
              <w:rFonts w:hint="eastAsia" w:ascii="仿宋" w:hAnsi="仿宋" w:eastAsia="仿宋" w:cs="仿宋"/>
              <w:bCs/>
              <w:sz w:val="28"/>
              <w:szCs w:val="28"/>
              <w:highlight w:val="none"/>
            </w:rPr>
            <w:t>20</w:t>
          </w:r>
          <w:r>
            <w:rPr>
              <w:rFonts w:hint="eastAsia" w:ascii="仿宋" w:hAnsi="仿宋" w:eastAsia="仿宋" w:cs="仿宋"/>
              <w:bCs/>
              <w:sz w:val="28"/>
              <w:szCs w:val="28"/>
              <w:highlight w:val="none"/>
              <w:lang w:val="en-US" w:eastAsia="zh-CN"/>
            </w:rPr>
            <w:t>21</w:t>
          </w:r>
          <w:r>
            <w:rPr>
              <w:rFonts w:hint="eastAsia" w:ascii="仿宋" w:hAnsi="仿宋" w:eastAsia="仿宋" w:cs="仿宋"/>
              <w:bCs/>
              <w:sz w:val="28"/>
              <w:szCs w:val="28"/>
              <w:highlight w:val="none"/>
            </w:rPr>
            <w:t>年度</w:t>
          </w:r>
          <w:r>
            <w:rPr>
              <w:rFonts w:hint="eastAsia" w:ascii="仿宋" w:hAnsi="仿宋" w:eastAsia="仿宋" w:cs="仿宋"/>
              <w:bCs/>
              <w:sz w:val="28"/>
              <w:szCs w:val="28"/>
              <w:highlight w:val="none"/>
              <w:lang w:val="en-US" w:eastAsia="zh-CN"/>
            </w:rPr>
            <w:t>部门</w:t>
          </w:r>
          <w:r>
            <w:rPr>
              <w:rFonts w:hint="eastAsia" w:ascii="仿宋" w:hAnsi="仿宋" w:eastAsia="仿宋" w:cs="仿宋"/>
              <w:bCs/>
              <w:sz w:val="28"/>
              <w:szCs w:val="28"/>
              <w:highlight w:val="none"/>
            </w:rPr>
            <w:t>整体支出绩效评价指标评分</w:t>
          </w:r>
          <w:r>
            <w:rPr>
              <w:rFonts w:hint="eastAsia" w:ascii="仿宋" w:hAnsi="仿宋" w:eastAsia="仿宋" w:cs="仿宋"/>
              <w:sz w:val="28"/>
              <w:szCs w:val="28"/>
            </w:rPr>
            <w:tab/>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5</w:t>
          </w:r>
        </w:p>
        <w:p>
          <w:pPr>
            <w:pStyle w:val="34"/>
            <w:tabs>
              <w:tab w:val="right" w:leader="dot" w:pos="8306"/>
            </w:tabs>
            <w:rPr>
              <w:b/>
            </w:rPr>
          </w:pPr>
          <w:r>
            <w:rPr>
              <w:rFonts w:hint="eastAsia" w:ascii="仿宋" w:hAnsi="仿宋" w:eastAsia="仿宋" w:cs="仿宋"/>
              <w:b w:val="0"/>
              <w:bCs/>
              <w:sz w:val="28"/>
              <w:szCs w:val="28"/>
            </w:rPr>
            <w:fldChar w:fldCharType="begin"/>
          </w:r>
          <w:r>
            <w:rPr>
              <w:rFonts w:hint="eastAsia" w:ascii="仿宋" w:hAnsi="仿宋" w:eastAsia="仿宋" w:cs="仿宋"/>
              <w:b w:val="0"/>
              <w:bCs/>
              <w:sz w:val="28"/>
              <w:szCs w:val="28"/>
            </w:rPr>
            <w:instrText xml:space="preserve"> HYPERLINK \l _Toc21686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附件2：社会调查问卷汇总分析报告</w:t>
          </w:r>
          <w:r>
            <w:rPr>
              <w:rFonts w:hint="eastAsia" w:ascii="仿宋" w:hAnsi="仿宋" w:eastAsia="仿宋" w:cs="仿宋"/>
              <w:b w:val="0"/>
              <w:bCs/>
              <w:sz w:val="28"/>
              <w:szCs w:val="28"/>
            </w:rPr>
            <w:tab/>
          </w:r>
          <w:r>
            <w:rPr>
              <w:rFonts w:hint="eastAsia" w:ascii="仿宋" w:hAnsi="仿宋" w:eastAsia="仿宋" w:cs="仿宋"/>
              <w:b w:val="0"/>
              <w:bCs/>
              <w:sz w:val="28"/>
              <w:szCs w:val="28"/>
            </w:rPr>
            <w:fldChar w:fldCharType="begin"/>
          </w:r>
          <w:r>
            <w:rPr>
              <w:rFonts w:hint="eastAsia" w:ascii="仿宋" w:hAnsi="仿宋" w:eastAsia="仿宋" w:cs="仿宋"/>
              <w:b w:val="0"/>
              <w:bCs/>
              <w:sz w:val="28"/>
              <w:szCs w:val="28"/>
            </w:rPr>
            <w:instrText xml:space="preserve"> PAGEREF _Toc21686 \h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53</w:t>
          </w:r>
          <w:r>
            <w:rPr>
              <w:rFonts w:hint="eastAsia" w:ascii="仿宋" w:hAnsi="仿宋" w:eastAsia="仿宋" w:cs="仿宋"/>
              <w:b w:val="0"/>
              <w:bCs/>
              <w:sz w:val="28"/>
              <w:szCs w:val="28"/>
            </w:rPr>
            <w:fldChar w:fldCharType="end"/>
          </w:r>
          <w:r>
            <w:rPr>
              <w:rFonts w:hint="eastAsia" w:ascii="仿宋" w:hAnsi="仿宋" w:eastAsia="仿宋" w:cs="仿宋"/>
              <w:b w:val="0"/>
              <w:bCs/>
              <w:sz w:val="28"/>
              <w:szCs w:val="28"/>
            </w:rPr>
            <w:fldChar w:fldCharType="end"/>
          </w:r>
        </w:p>
        <w:p>
          <w:pPr>
            <w:pStyle w:val="34"/>
            <w:tabs>
              <w:tab w:val="right" w:leader="dot" w:pos="8306"/>
            </w:tabs>
            <w:rPr>
              <w:b/>
            </w:rPr>
          </w:pPr>
        </w:p>
        <w:p>
          <w:pPr>
            <w:pStyle w:val="3"/>
            <w:ind w:left="0" w:leftChars="0" w:firstLine="0" w:firstLineChars="0"/>
            <w:rPr>
              <w:rFonts w:hint="eastAsia" w:ascii="仿宋" w:hAnsi="仿宋" w:eastAsia="仿宋" w:cs="仿宋"/>
              <w:b/>
              <w:bCs/>
              <w:sz w:val="32"/>
              <w:szCs w:val="32"/>
              <w:highlight w:val="none"/>
              <w:lang w:eastAsia="zh-CN"/>
            </w:rPr>
            <w:sectPr>
              <w:headerReference r:id="rId4" w:type="first"/>
              <w:footerReference r:id="rId6" w:type="first"/>
              <w:headerReference r:id="rId3"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r>
            <w:rPr>
              <w:rFonts w:hint="eastAsia"/>
              <w:b/>
            </w:rPr>
            <w:fldChar w:fldCharType="end"/>
          </w:r>
        </w:p>
      </w:sdtContent>
    </w:sdt>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 w:hAnsi="仿宋" w:eastAsia="仿宋" w:cs="仿宋"/>
          <w:b/>
          <w:bCs/>
          <w:sz w:val="32"/>
          <w:szCs w:val="32"/>
          <w:highlight w:val="none"/>
          <w:lang w:eastAsia="zh-CN"/>
        </w:rPr>
      </w:pPr>
      <w:bookmarkStart w:id="3" w:name="_Toc4214"/>
      <w:bookmarkStart w:id="4" w:name="_Toc32110"/>
      <w:bookmarkStart w:id="5" w:name="_Toc3656"/>
      <w:bookmarkStart w:id="6" w:name="_Toc11141_WPSOffice_Level1"/>
      <w:r>
        <w:rPr>
          <w:rFonts w:hint="eastAsia" w:ascii="仿宋" w:hAnsi="仿宋" w:eastAsia="仿宋" w:cs="仿宋"/>
          <w:b/>
          <w:bCs/>
          <w:sz w:val="32"/>
          <w:szCs w:val="32"/>
          <w:highlight w:val="none"/>
          <w:lang w:eastAsia="zh-CN"/>
        </w:rPr>
        <w:t>永济市公安局20</w:t>
      </w:r>
      <w:r>
        <w:rPr>
          <w:rFonts w:hint="eastAsia" w:ascii="仿宋" w:hAnsi="仿宋" w:eastAsia="仿宋" w:cs="仿宋"/>
          <w:b/>
          <w:bCs/>
          <w:sz w:val="32"/>
          <w:szCs w:val="32"/>
          <w:highlight w:val="none"/>
          <w:lang w:val="en-US" w:eastAsia="zh-CN"/>
        </w:rPr>
        <w:t>21</w:t>
      </w:r>
      <w:r>
        <w:rPr>
          <w:rFonts w:hint="eastAsia" w:ascii="仿宋" w:hAnsi="仿宋" w:eastAsia="仿宋" w:cs="仿宋"/>
          <w:b/>
          <w:bCs/>
          <w:sz w:val="32"/>
          <w:szCs w:val="32"/>
          <w:highlight w:val="none"/>
          <w:lang w:eastAsia="zh-CN"/>
        </w:rPr>
        <w:t>年度</w:t>
      </w:r>
      <w:r>
        <w:rPr>
          <w:rFonts w:hint="eastAsia" w:ascii="仿宋" w:hAnsi="仿宋" w:eastAsia="仿宋" w:cs="仿宋"/>
          <w:b/>
          <w:bCs/>
          <w:sz w:val="32"/>
          <w:szCs w:val="32"/>
          <w:highlight w:val="none"/>
          <w:lang w:val="en-US" w:eastAsia="zh-CN"/>
        </w:rPr>
        <w:t>部门</w:t>
      </w:r>
      <w:r>
        <w:rPr>
          <w:rFonts w:hint="eastAsia" w:ascii="仿宋" w:hAnsi="仿宋" w:eastAsia="仿宋" w:cs="仿宋"/>
          <w:b/>
          <w:bCs/>
          <w:sz w:val="32"/>
          <w:szCs w:val="32"/>
          <w:highlight w:val="none"/>
          <w:lang w:eastAsia="zh-CN"/>
        </w:rPr>
        <w:t>整体支出</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 w:hAnsi="仿宋" w:eastAsia="仿宋" w:cs="仿宋"/>
          <w:b/>
          <w:bCs/>
          <w:sz w:val="32"/>
          <w:szCs w:val="32"/>
          <w:highlight w:val="none"/>
          <w:lang w:val="en-US" w:eastAsia="zh-CN"/>
        </w:rPr>
      </w:pPr>
      <w:bookmarkStart w:id="7" w:name="_Toc13102"/>
      <w:bookmarkStart w:id="8" w:name="_Toc9160"/>
      <w:r>
        <w:rPr>
          <w:rFonts w:hint="eastAsia" w:ascii="仿宋" w:hAnsi="仿宋" w:eastAsia="仿宋" w:cs="仿宋"/>
          <w:b/>
          <w:bCs/>
          <w:sz w:val="32"/>
          <w:szCs w:val="32"/>
          <w:highlight w:val="none"/>
        </w:rPr>
        <w:t>绩效评价</w:t>
      </w:r>
      <w:r>
        <w:rPr>
          <w:rFonts w:hint="eastAsia" w:ascii="仿宋" w:hAnsi="仿宋" w:eastAsia="仿宋" w:cs="仿宋"/>
          <w:b/>
          <w:bCs/>
          <w:sz w:val="32"/>
          <w:szCs w:val="32"/>
          <w:highlight w:val="none"/>
          <w:lang w:eastAsia="zh-CN"/>
        </w:rPr>
        <w:t>报告摘要</w:t>
      </w:r>
      <w:bookmarkEnd w:id="7"/>
      <w:bookmarkEnd w:id="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outlineLvl w:val="0"/>
        <w:rPr>
          <w:rFonts w:hint="eastAsia" w:ascii="仿宋" w:hAnsi="仿宋" w:eastAsia="仿宋" w:cs="仿宋"/>
          <w:b/>
          <w:bCs/>
          <w:sz w:val="28"/>
          <w:szCs w:val="28"/>
          <w:highlight w:val="none"/>
          <w:lang w:eastAsia="zh-CN"/>
        </w:rPr>
      </w:pPr>
      <w:bookmarkStart w:id="9" w:name="_Toc17584_WPSOffice_Level1"/>
      <w:bookmarkStart w:id="10" w:name="_Toc21200_WPSOffice_Level1"/>
      <w:bookmarkStart w:id="11" w:name="_Toc13429_WPSOffice_Level1"/>
      <w:bookmarkStart w:id="12" w:name="_Toc3191_WPSOffice_Level1"/>
      <w:bookmarkStart w:id="13" w:name="_Toc10379_WPSOffice_Level1"/>
      <w:bookmarkStart w:id="14" w:name="_Toc10139_WPSOffice_Level1"/>
      <w:bookmarkStart w:id="15" w:name="_Toc25652_WPSOffice_Level1"/>
      <w:bookmarkStart w:id="16" w:name="_Toc1130_WPSOffice_Level1"/>
      <w:bookmarkStart w:id="17" w:name="_Toc12898_WPSOffice_Level1"/>
      <w:bookmarkStart w:id="18" w:name="_Toc28628"/>
      <w:bookmarkStart w:id="19" w:name="_Toc20947"/>
      <w:bookmarkStart w:id="20" w:name="_Toc31436_WPSOffice_Level1"/>
      <w:r>
        <w:rPr>
          <w:rFonts w:hint="eastAsia" w:ascii="仿宋" w:hAnsi="仿宋" w:eastAsia="仿宋" w:cs="仿宋"/>
          <w:b/>
          <w:bCs/>
          <w:sz w:val="28"/>
          <w:szCs w:val="28"/>
          <w:highlight w:val="none"/>
          <w:lang w:eastAsia="zh-CN"/>
        </w:rPr>
        <w:t>一、</w:t>
      </w:r>
      <w:bookmarkEnd w:id="9"/>
      <w:bookmarkEnd w:id="10"/>
      <w:bookmarkEnd w:id="11"/>
      <w:bookmarkEnd w:id="12"/>
      <w:bookmarkEnd w:id="13"/>
      <w:bookmarkEnd w:id="14"/>
      <w:bookmarkEnd w:id="15"/>
      <w:bookmarkEnd w:id="16"/>
      <w:bookmarkEnd w:id="17"/>
      <w:r>
        <w:rPr>
          <w:rFonts w:hint="eastAsia" w:ascii="仿宋" w:hAnsi="仿宋" w:eastAsia="仿宋" w:cs="仿宋"/>
          <w:b/>
          <w:bCs/>
          <w:sz w:val="28"/>
          <w:szCs w:val="28"/>
          <w:highlight w:val="none"/>
          <w:lang w:eastAsia="zh-CN"/>
        </w:rPr>
        <w:t>部门概况</w:t>
      </w:r>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textAlignment w:val="auto"/>
        <w:outlineLvl w:val="1"/>
        <w:rPr>
          <w:rFonts w:hint="default" w:ascii="仿宋" w:hAnsi="仿宋" w:eastAsia="仿宋" w:cs="仿宋"/>
          <w:b/>
          <w:bCs/>
          <w:sz w:val="28"/>
          <w:szCs w:val="28"/>
          <w:highlight w:val="none"/>
          <w:lang w:val="en-US" w:eastAsia="zh-CN"/>
        </w:rPr>
      </w:pPr>
      <w:bookmarkStart w:id="21" w:name="_Toc5536_WPSOffice_Level2"/>
      <w:bookmarkStart w:id="22" w:name="_Toc22373"/>
      <w:bookmarkStart w:id="23" w:name="_Toc15936"/>
      <w:r>
        <w:rPr>
          <w:rFonts w:hint="eastAsia" w:ascii="仿宋" w:hAnsi="仿宋" w:eastAsia="仿宋" w:cs="仿宋"/>
          <w:b/>
          <w:bCs/>
          <w:sz w:val="28"/>
          <w:szCs w:val="28"/>
          <w:highlight w:val="none"/>
          <w:lang w:val="en-US" w:eastAsia="zh-CN"/>
        </w:rPr>
        <w:t>（一）部门简介</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baseline"/>
        <w:rPr>
          <w:rFonts w:hint="eastAsia" w:ascii="仿宋_GB2312" w:hAnsi="Times New Roman" w:eastAsia="仿宋_GB2312" w:cs="Times New Roman"/>
          <w:w w:val="100"/>
          <w:kern w:val="2"/>
          <w:sz w:val="28"/>
          <w:szCs w:val="28"/>
          <w:highlight w:val="none"/>
          <w:lang w:val="en-US" w:eastAsia="zh-CN" w:bidi="ar-SA"/>
        </w:rPr>
      </w:pPr>
      <w:r>
        <w:rPr>
          <w:rFonts w:hint="eastAsia" w:ascii="仿宋_GB2312" w:hAnsi="Times New Roman" w:eastAsia="仿宋_GB2312" w:cs="Times New Roman"/>
          <w:w w:val="100"/>
          <w:kern w:val="2"/>
          <w:sz w:val="28"/>
          <w:szCs w:val="28"/>
          <w:highlight w:val="none"/>
          <w:lang w:val="en-US" w:eastAsia="zh-CN" w:bidi="ar-SA"/>
        </w:rPr>
        <w:t>永济市公安局属政府组成行政机关，位于永济市市府西街7号。内设机构16个，为指挥中心、国内安全保卫大队、刑事侦查大队、交通管理大队、</w:t>
      </w:r>
      <w:r>
        <w:rPr>
          <w:rFonts w:hint="eastAsia" w:ascii="仿宋_GB2312" w:eastAsia="仿宋_GB2312" w:cs="Times New Roman"/>
          <w:w w:val="100"/>
          <w:kern w:val="2"/>
          <w:sz w:val="28"/>
          <w:szCs w:val="28"/>
          <w:highlight w:val="none"/>
          <w:lang w:val="en-US" w:eastAsia="zh-CN" w:bidi="ar-SA"/>
        </w:rPr>
        <w:t>治安管理大队、</w:t>
      </w:r>
      <w:r>
        <w:rPr>
          <w:rFonts w:hint="eastAsia" w:ascii="仿宋_GB2312" w:hAnsi="Times New Roman" w:eastAsia="仿宋_GB2312" w:cs="Times New Roman"/>
          <w:w w:val="100"/>
          <w:kern w:val="2"/>
          <w:sz w:val="28"/>
          <w:szCs w:val="28"/>
          <w:highlight w:val="none"/>
          <w:lang w:val="en-US" w:eastAsia="zh-CN" w:bidi="ar-SA"/>
        </w:rPr>
        <w:t>经济犯罪侦查大队、政工室、法制大队、警务保障室、巡特警大队、情报大队、信访室、食品药品犯罪侦查大队、网络安全保卫大队、出入境管理大队、技术侦察大队等，直属机构2个（永济市看守所、公安局拘留所），派出所按行政区划设置10个（城东派出所、城西派出所、城北派出所、栲栳派出所、张营派出所、开张派出所、韩阳派出所、蒲州派出所、卿头派出所、于乡派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baseline"/>
        <w:rPr>
          <w:rFonts w:hint="eastAsia" w:ascii="仿宋" w:hAnsi="仿宋" w:eastAsia="仿宋" w:cs="仿宋"/>
          <w:sz w:val="28"/>
          <w:szCs w:val="28"/>
          <w:highlight w:val="none"/>
          <w:lang w:val="en-US" w:eastAsia="zh-CN"/>
        </w:rPr>
      </w:pPr>
      <w:r>
        <w:rPr>
          <w:rFonts w:hint="eastAsia" w:ascii="仿宋_GB2312" w:eastAsia="仿宋_GB2312" w:cs="Times New Roman"/>
          <w:w w:val="100"/>
          <w:kern w:val="2"/>
          <w:sz w:val="28"/>
          <w:szCs w:val="28"/>
          <w:highlight w:val="none"/>
          <w:lang w:val="en-US" w:eastAsia="zh-CN" w:bidi="ar-SA"/>
        </w:rPr>
        <w:t>目前，</w:t>
      </w:r>
      <w:r>
        <w:rPr>
          <w:rFonts w:hint="eastAsia" w:ascii="仿宋_GB2312" w:hAnsi="Times New Roman" w:eastAsia="仿宋_GB2312" w:cs="Times New Roman"/>
          <w:w w:val="100"/>
          <w:kern w:val="2"/>
          <w:sz w:val="28"/>
          <w:szCs w:val="28"/>
          <w:highlight w:val="none"/>
          <w:lang w:val="en-US" w:eastAsia="zh-CN" w:bidi="ar-SA"/>
        </w:rPr>
        <w:t>永济市公安局编制人数24</w:t>
      </w:r>
      <w:r>
        <w:rPr>
          <w:rFonts w:hint="eastAsia" w:ascii="仿宋_GB2312" w:eastAsia="仿宋_GB2312" w:cs="Times New Roman"/>
          <w:w w:val="100"/>
          <w:kern w:val="2"/>
          <w:sz w:val="28"/>
          <w:szCs w:val="28"/>
          <w:highlight w:val="none"/>
          <w:lang w:val="en-US" w:eastAsia="zh-CN" w:bidi="ar-SA"/>
        </w:rPr>
        <w:t>4</w:t>
      </w:r>
      <w:r>
        <w:rPr>
          <w:rFonts w:hint="eastAsia" w:ascii="仿宋_GB2312" w:hAnsi="Times New Roman" w:eastAsia="仿宋_GB2312" w:cs="Times New Roman"/>
          <w:w w:val="100"/>
          <w:kern w:val="2"/>
          <w:sz w:val="28"/>
          <w:szCs w:val="28"/>
          <w:highlight w:val="none"/>
          <w:lang w:val="en-US" w:eastAsia="zh-CN" w:bidi="ar-SA"/>
        </w:rPr>
        <w:t>人（行政</w:t>
      </w:r>
      <w:r>
        <w:rPr>
          <w:rFonts w:hint="eastAsia" w:ascii="仿宋_GB2312" w:eastAsia="仿宋_GB2312" w:cs="Times New Roman"/>
          <w:w w:val="100"/>
          <w:kern w:val="2"/>
          <w:sz w:val="28"/>
          <w:szCs w:val="28"/>
          <w:highlight w:val="none"/>
          <w:lang w:val="en-US" w:eastAsia="zh-CN" w:bidi="ar-SA"/>
        </w:rPr>
        <w:t>219</w:t>
      </w:r>
      <w:r>
        <w:rPr>
          <w:rFonts w:hint="eastAsia" w:ascii="仿宋_GB2312" w:hAnsi="Times New Roman" w:eastAsia="仿宋_GB2312" w:cs="Times New Roman"/>
          <w:w w:val="100"/>
          <w:kern w:val="2"/>
          <w:sz w:val="28"/>
          <w:szCs w:val="28"/>
          <w:highlight w:val="none"/>
          <w:lang w:val="en-US" w:eastAsia="zh-CN" w:bidi="ar-SA"/>
        </w:rPr>
        <w:t>人，工勤25人），实有在职人员2</w:t>
      </w:r>
      <w:r>
        <w:rPr>
          <w:rFonts w:hint="eastAsia" w:ascii="仿宋_GB2312" w:eastAsia="仿宋_GB2312" w:cs="Times New Roman"/>
          <w:w w:val="100"/>
          <w:kern w:val="2"/>
          <w:sz w:val="28"/>
          <w:szCs w:val="28"/>
          <w:highlight w:val="none"/>
          <w:lang w:val="en-US" w:eastAsia="zh-CN" w:bidi="ar-SA"/>
        </w:rPr>
        <w:t>44</w:t>
      </w:r>
      <w:r>
        <w:rPr>
          <w:rFonts w:hint="eastAsia" w:ascii="仿宋_GB2312" w:hAnsi="Times New Roman" w:eastAsia="仿宋_GB2312" w:cs="Times New Roman"/>
          <w:w w:val="100"/>
          <w:kern w:val="2"/>
          <w:sz w:val="28"/>
          <w:szCs w:val="28"/>
          <w:highlight w:val="none"/>
          <w:lang w:val="en-US" w:eastAsia="zh-CN" w:bidi="ar-SA"/>
        </w:rPr>
        <w:t>人，其中行政</w:t>
      </w:r>
      <w:r>
        <w:rPr>
          <w:rFonts w:hint="eastAsia" w:ascii="仿宋_GB2312" w:eastAsia="仿宋_GB2312" w:cs="Times New Roman"/>
          <w:w w:val="100"/>
          <w:kern w:val="2"/>
          <w:sz w:val="28"/>
          <w:szCs w:val="28"/>
          <w:highlight w:val="none"/>
          <w:lang w:val="en-US" w:eastAsia="zh-CN" w:bidi="ar-SA"/>
        </w:rPr>
        <w:t>221</w:t>
      </w:r>
      <w:r>
        <w:rPr>
          <w:rFonts w:hint="eastAsia" w:ascii="仿宋_GB2312" w:hAnsi="Times New Roman" w:eastAsia="仿宋_GB2312" w:cs="Times New Roman"/>
          <w:w w:val="100"/>
          <w:kern w:val="2"/>
          <w:sz w:val="28"/>
          <w:szCs w:val="28"/>
          <w:highlight w:val="none"/>
          <w:lang w:val="en-US" w:eastAsia="zh-CN" w:bidi="ar-SA"/>
        </w:rPr>
        <w:t>人</w:t>
      </w:r>
      <w:r>
        <w:rPr>
          <w:rFonts w:hint="eastAsia" w:ascii="仿宋_GB2312" w:eastAsia="仿宋_GB2312" w:cs="Times New Roman"/>
          <w:w w:val="100"/>
          <w:kern w:val="2"/>
          <w:sz w:val="28"/>
          <w:szCs w:val="28"/>
          <w:highlight w:val="none"/>
          <w:lang w:val="en-US" w:eastAsia="zh-CN" w:bidi="ar-SA"/>
        </w:rPr>
        <w:t>、</w:t>
      </w:r>
      <w:r>
        <w:rPr>
          <w:rFonts w:hint="eastAsia" w:ascii="仿宋_GB2312" w:hAnsi="Times New Roman" w:eastAsia="仿宋_GB2312" w:cs="Times New Roman"/>
          <w:w w:val="100"/>
          <w:kern w:val="2"/>
          <w:sz w:val="28"/>
          <w:szCs w:val="28"/>
          <w:highlight w:val="none"/>
          <w:lang w:val="en-US" w:eastAsia="zh-CN" w:bidi="ar-SA"/>
        </w:rPr>
        <w:t>事业</w:t>
      </w:r>
      <w:r>
        <w:rPr>
          <w:rFonts w:hint="eastAsia" w:ascii="仿宋_GB2312" w:eastAsia="仿宋_GB2312" w:cs="Times New Roman"/>
          <w:w w:val="100"/>
          <w:kern w:val="2"/>
          <w:sz w:val="28"/>
          <w:szCs w:val="28"/>
          <w:highlight w:val="none"/>
          <w:lang w:val="en-US" w:eastAsia="zh-CN" w:bidi="ar-SA"/>
        </w:rPr>
        <w:t>23</w:t>
      </w:r>
      <w:r>
        <w:rPr>
          <w:rFonts w:hint="eastAsia" w:ascii="仿宋_GB2312" w:hAnsi="Times New Roman" w:eastAsia="仿宋_GB2312" w:cs="Times New Roman"/>
          <w:w w:val="100"/>
          <w:kern w:val="2"/>
          <w:sz w:val="28"/>
          <w:szCs w:val="28"/>
          <w:highlight w:val="none"/>
          <w:lang w:val="en-US" w:eastAsia="zh-CN" w:bidi="ar-SA"/>
        </w:rPr>
        <w:t>人</w:t>
      </w:r>
      <w:r>
        <w:rPr>
          <w:rFonts w:hint="eastAsia" w:ascii="仿宋_GB2312" w:eastAsia="仿宋_GB2312" w:cs="Times New Roman"/>
          <w:w w:val="100"/>
          <w:kern w:val="2"/>
          <w:sz w:val="28"/>
          <w:szCs w:val="28"/>
          <w:highlight w:val="none"/>
          <w:lang w:val="en-US" w:eastAsia="zh-CN" w:bidi="ar-SA"/>
        </w:rPr>
        <w:t>，</w:t>
      </w:r>
      <w:r>
        <w:rPr>
          <w:rFonts w:hint="eastAsia" w:ascii="仿宋_GB2312" w:hAnsi="Times New Roman" w:eastAsia="仿宋_GB2312" w:cs="Times New Roman"/>
          <w:w w:val="100"/>
          <w:kern w:val="2"/>
          <w:sz w:val="28"/>
          <w:szCs w:val="28"/>
          <w:highlight w:val="none"/>
          <w:lang w:val="en-US" w:eastAsia="zh-CN" w:bidi="ar-SA"/>
        </w:rPr>
        <w:t>遗属补助人员</w:t>
      </w:r>
      <w:r>
        <w:rPr>
          <w:rFonts w:hint="eastAsia" w:ascii="仿宋_GB2312" w:eastAsia="仿宋_GB2312" w:cs="Times New Roman"/>
          <w:w w:val="100"/>
          <w:kern w:val="2"/>
          <w:sz w:val="28"/>
          <w:szCs w:val="28"/>
          <w:highlight w:val="none"/>
          <w:lang w:val="en-US" w:eastAsia="zh-CN" w:bidi="ar-SA"/>
        </w:rPr>
        <w:t>27</w:t>
      </w:r>
      <w:r>
        <w:rPr>
          <w:rFonts w:hint="eastAsia" w:ascii="仿宋_GB2312" w:hAnsi="Times New Roman" w:eastAsia="仿宋_GB2312" w:cs="Times New Roman"/>
          <w:w w:val="100"/>
          <w:kern w:val="2"/>
          <w:sz w:val="28"/>
          <w:szCs w:val="28"/>
          <w:highlight w:val="none"/>
          <w:lang w:val="en-US" w:eastAsia="zh-CN" w:bidi="ar-SA"/>
        </w:rPr>
        <w:t>人</w:t>
      </w:r>
      <w:r>
        <w:rPr>
          <w:rFonts w:hint="eastAsia" w:ascii="仿宋_GB2312" w:eastAsia="仿宋_GB2312" w:cs="Times New Roman"/>
          <w:w w:val="100"/>
          <w:kern w:val="2"/>
          <w:sz w:val="28"/>
          <w:szCs w:val="28"/>
          <w:highlight w:val="none"/>
          <w:lang w:val="en-US" w:eastAsia="zh-CN" w:bidi="ar-SA"/>
        </w:rPr>
        <w:t>，辅警</w:t>
      </w:r>
      <w:r>
        <w:rPr>
          <w:rFonts w:hint="eastAsia" w:ascii="仿宋_GB2312" w:hAnsi="Times New Roman" w:eastAsia="仿宋_GB2312" w:cs="Times New Roman"/>
          <w:w w:val="100"/>
          <w:kern w:val="2"/>
          <w:sz w:val="28"/>
          <w:szCs w:val="28"/>
          <w:highlight w:val="none"/>
          <w:lang w:val="en-US" w:eastAsia="zh-CN" w:bidi="ar-SA"/>
        </w:rPr>
        <w:t>人员</w:t>
      </w:r>
      <w:r>
        <w:rPr>
          <w:rFonts w:hint="eastAsia" w:ascii="仿宋_GB2312" w:eastAsia="仿宋_GB2312" w:cs="Times New Roman"/>
          <w:w w:val="100"/>
          <w:kern w:val="2"/>
          <w:sz w:val="28"/>
          <w:szCs w:val="28"/>
          <w:highlight w:val="none"/>
          <w:lang w:val="en-US" w:eastAsia="zh-CN" w:bidi="ar-SA"/>
        </w:rPr>
        <w:t>435</w:t>
      </w:r>
      <w:r>
        <w:rPr>
          <w:rFonts w:hint="eastAsia" w:ascii="仿宋_GB2312" w:hAnsi="Times New Roman" w:eastAsia="仿宋_GB2312" w:cs="Times New Roman"/>
          <w:w w:val="100"/>
          <w:kern w:val="2"/>
          <w:sz w:val="28"/>
          <w:szCs w:val="28"/>
          <w:highlight w:val="none"/>
          <w:lang w:val="en-US" w:eastAsia="zh-CN" w:bidi="ar-SA"/>
        </w:rPr>
        <w:t>人，</w:t>
      </w:r>
      <w:r>
        <w:rPr>
          <w:rFonts w:hint="eastAsia" w:ascii="仿宋_GB2312" w:eastAsia="仿宋_GB2312" w:cs="Times New Roman"/>
          <w:w w:val="100"/>
          <w:kern w:val="2"/>
          <w:sz w:val="28"/>
          <w:szCs w:val="28"/>
          <w:highlight w:val="none"/>
          <w:lang w:val="en-US" w:eastAsia="zh-CN" w:bidi="ar-SA"/>
        </w:rPr>
        <w:t>其中：户籍协管员15人、招录辅警121人、未招录长期辅警299人</w:t>
      </w:r>
      <w:r>
        <w:rPr>
          <w:rFonts w:hint="eastAsia" w:ascii="仿宋_GB2312" w:hAnsi="Times New Roman" w:eastAsia="仿宋_GB2312" w:cs="Times New Roman"/>
          <w:w w:val="100"/>
          <w:kern w:val="2"/>
          <w:sz w:val="28"/>
          <w:szCs w:val="28"/>
          <w:highlight w:val="none"/>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textAlignment w:val="auto"/>
        <w:outlineLvl w:val="1"/>
        <w:rPr>
          <w:rFonts w:hint="eastAsia" w:ascii="仿宋" w:hAnsi="仿宋" w:eastAsia="仿宋" w:cs="仿宋"/>
          <w:b/>
          <w:bCs/>
          <w:sz w:val="28"/>
          <w:szCs w:val="28"/>
          <w:highlight w:val="none"/>
          <w:lang w:val="en-US" w:eastAsia="zh-CN"/>
        </w:rPr>
      </w:pPr>
      <w:bookmarkStart w:id="24" w:name="_Toc31436_WPSOffice_Level2"/>
      <w:bookmarkStart w:id="25" w:name="_Toc3772"/>
      <w:bookmarkStart w:id="26" w:name="_Toc25240"/>
      <w:r>
        <w:rPr>
          <w:rFonts w:hint="eastAsia"/>
          <w:b/>
          <w:bCs/>
          <w:highlight w:val="none"/>
          <w:lang w:eastAsia="zh-CN"/>
        </w:rPr>
        <w:t>（</w:t>
      </w:r>
      <w:r>
        <w:rPr>
          <w:rFonts w:hint="eastAsia" w:ascii="仿宋" w:hAnsi="仿宋" w:eastAsia="仿宋" w:cs="仿宋"/>
          <w:b/>
          <w:bCs/>
          <w:sz w:val="28"/>
          <w:szCs w:val="28"/>
          <w:highlight w:val="none"/>
          <w:lang w:val="en-US" w:eastAsia="zh-CN"/>
        </w:rPr>
        <w:t>二）部门整体收支情况</w:t>
      </w:r>
      <w:bookmarkEnd w:id="24"/>
      <w:bookmarkEnd w:id="25"/>
      <w:bookmarkEnd w:id="26"/>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2021年年初结转和结余524.8万元，其中：一般公共预算财政拨款年初结转和结余524.73万元，政府性基金预算财政拨款年初结转和结余0.07万元；本年收入7056.19万元，其中：一般公共预算财政拨款收入7056.19万元；本年支出7580.92万元，其中：一般公共预算财政拨款支出7580.92万元；年末结转和结余0.07万元，其中：政府性基金预算财政拨款年末结转和结余0.07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28"/>
          <w:szCs w:val="28"/>
          <w:highlight w:val="none"/>
          <w:lang w:val="en-US" w:eastAsia="zh-CN"/>
        </w:rPr>
      </w:pPr>
      <w:bookmarkStart w:id="27" w:name="_Toc27649"/>
      <w:bookmarkStart w:id="28" w:name="_Toc15101_WPSOffice_Level2"/>
      <w:bookmarkStart w:id="29" w:name="_Toc31939"/>
      <w:r>
        <w:rPr>
          <w:rFonts w:hint="eastAsia" w:ascii="仿宋" w:hAnsi="仿宋" w:eastAsia="仿宋" w:cs="仿宋"/>
          <w:b w:val="0"/>
          <w:bCs w:val="0"/>
          <w:sz w:val="28"/>
          <w:szCs w:val="28"/>
          <w:highlight w:val="none"/>
          <w:lang w:val="en-US" w:eastAsia="zh-CN"/>
        </w:rPr>
        <w:t xml:space="preserve">                  </w:t>
      </w:r>
      <w:r>
        <w:rPr>
          <w:rFonts w:hint="eastAsia" w:ascii="仿宋" w:hAnsi="仿宋" w:eastAsia="仿宋" w:cs="仿宋"/>
          <w:b/>
          <w:bCs/>
          <w:sz w:val="28"/>
          <w:szCs w:val="28"/>
          <w:highlight w:val="none"/>
          <w:lang w:val="en-US" w:eastAsia="zh-CN"/>
        </w:rPr>
        <w:t>部门本年度收支情况            单位：万元</w:t>
      </w:r>
      <w:bookmarkEnd w:id="27"/>
      <w:bookmarkEnd w:id="28"/>
      <w:bookmarkEnd w:id="29"/>
    </w:p>
    <w:tbl>
      <w:tblPr>
        <w:tblStyle w:val="18"/>
        <w:tblW w:w="8330" w:type="dxa"/>
        <w:tblInd w:w="0" w:type="dxa"/>
        <w:shd w:val="clear" w:color="auto" w:fill="auto"/>
        <w:tblLayout w:type="fixed"/>
        <w:tblCellMar>
          <w:top w:w="0" w:type="dxa"/>
          <w:left w:w="0" w:type="dxa"/>
          <w:bottom w:w="0" w:type="dxa"/>
          <w:right w:w="0" w:type="dxa"/>
        </w:tblCellMar>
      </w:tblPr>
      <w:tblGrid>
        <w:gridCol w:w="2193"/>
        <w:gridCol w:w="1307"/>
        <w:gridCol w:w="1610"/>
        <w:gridCol w:w="1610"/>
        <w:gridCol w:w="1610"/>
      </w:tblGrid>
      <w:tr>
        <w:tblPrEx>
          <w:tblCellMar>
            <w:top w:w="0" w:type="dxa"/>
            <w:left w:w="0" w:type="dxa"/>
            <w:bottom w:w="0" w:type="dxa"/>
            <w:right w:w="0" w:type="dxa"/>
          </w:tblCellMar>
        </w:tblPrEx>
        <w:trPr>
          <w:trHeight w:val="624" w:hRule="atLeast"/>
        </w:trPr>
        <w:tc>
          <w:tcPr>
            <w:tcW w:w="2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项目</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上年结转</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本年收入</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本年支出</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本年结转</w:t>
            </w:r>
          </w:p>
        </w:tc>
      </w:tr>
      <w:tr>
        <w:tblPrEx>
          <w:shd w:val="clear" w:color="auto" w:fill="auto"/>
          <w:tblCellMar>
            <w:top w:w="0" w:type="dxa"/>
            <w:left w:w="0" w:type="dxa"/>
            <w:bottom w:w="0" w:type="dxa"/>
            <w:right w:w="0" w:type="dxa"/>
          </w:tblCellMar>
        </w:tblPrEx>
        <w:trPr>
          <w:trHeight w:val="624" w:hRule="atLeast"/>
        </w:trPr>
        <w:tc>
          <w:tcPr>
            <w:tcW w:w="2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eastAsia" w:ascii="仿宋" w:hAnsi="仿宋" w:eastAsia="仿宋" w:cs="仿宋"/>
                <w:b w:val="0"/>
                <w:bCs w:val="0"/>
                <w:kern w:val="2"/>
                <w:sz w:val="28"/>
                <w:szCs w:val="28"/>
                <w:highlight w:val="none"/>
                <w:lang w:val="en-US" w:eastAsia="zh-CN" w:bidi="ar-SA"/>
              </w:rPr>
            </w:pPr>
            <w:r>
              <w:rPr>
                <w:rFonts w:hint="eastAsia" w:ascii="仿宋" w:hAnsi="仿宋" w:eastAsia="仿宋" w:cs="仿宋"/>
                <w:b w:val="0"/>
                <w:bCs w:val="0"/>
                <w:kern w:val="2"/>
                <w:sz w:val="28"/>
                <w:szCs w:val="28"/>
                <w:highlight w:val="none"/>
                <w:lang w:val="en-US" w:eastAsia="zh-CN" w:bidi="ar-SA"/>
              </w:rPr>
              <w:t>基本支出</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val="0"/>
                <w:bCs w:val="0"/>
                <w:kern w:val="2"/>
                <w:sz w:val="28"/>
                <w:szCs w:val="28"/>
                <w:highlight w:val="none"/>
                <w:lang w:val="en-US" w:eastAsia="zh-CN" w:bidi="ar-SA"/>
              </w:rPr>
            </w:pPr>
            <w:r>
              <w:rPr>
                <w:rFonts w:hint="eastAsia" w:ascii="仿宋" w:hAnsi="仿宋" w:eastAsia="仿宋" w:cs="仿宋"/>
                <w:b w:val="0"/>
                <w:bCs w:val="0"/>
                <w:kern w:val="2"/>
                <w:sz w:val="28"/>
                <w:szCs w:val="28"/>
                <w:highlight w:val="none"/>
                <w:lang w:val="en-US" w:eastAsia="zh-CN" w:bidi="ar-SA"/>
              </w:rPr>
              <w:t>239.03</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val="0"/>
                <w:bCs w:val="0"/>
                <w:kern w:val="2"/>
                <w:sz w:val="28"/>
                <w:szCs w:val="28"/>
                <w:highlight w:val="none"/>
                <w:lang w:val="en-US" w:eastAsia="zh-CN" w:bidi="ar-SA"/>
              </w:rPr>
            </w:pPr>
            <w:r>
              <w:rPr>
                <w:rFonts w:hint="eastAsia" w:ascii="仿宋" w:hAnsi="仿宋" w:eastAsia="仿宋" w:cs="仿宋"/>
                <w:b w:val="0"/>
                <w:bCs w:val="0"/>
                <w:kern w:val="2"/>
                <w:sz w:val="28"/>
                <w:szCs w:val="28"/>
                <w:highlight w:val="none"/>
                <w:lang w:val="en-US" w:eastAsia="zh-CN" w:bidi="ar-SA"/>
              </w:rPr>
              <w:t>3558.97</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val="0"/>
                <w:bCs w:val="0"/>
                <w:kern w:val="2"/>
                <w:sz w:val="28"/>
                <w:szCs w:val="28"/>
                <w:highlight w:val="none"/>
                <w:lang w:val="en-US" w:eastAsia="zh-CN" w:bidi="ar-SA"/>
              </w:rPr>
            </w:pPr>
            <w:r>
              <w:rPr>
                <w:rFonts w:hint="eastAsia" w:ascii="仿宋" w:hAnsi="仿宋" w:eastAsia="仿宋" w:cs="仿宋"/>
                <w:b w:val="0"/>
                <w:bCs w:val="0"/>
                <w:kern w:val="2"/>
                <w:sz w:val="28"/>
                <w:szCs w:val="28"/>
                <w:highlight w:val="none"/>
                <w:lang w:val="en-US" w:eastAsia="zh-CN" w:bidi="ar-SA"/>
              </w:rPr>
              <w:t>3798.00</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val="0"/>
                <w:bCs w:val="0"/>
                <w:kern w:val="2"/>
                <w:sz w:val="28"/>
                <w:szCs w:val="28"/>
                <w:highlight w:val="none"/>
                <w:lang w:val="en-US" w:eastAsia="zh-CN" w:bidi="ar-SA"/>
              </w:rPr>
            </w:pPr>
          </w:p>
        </w:tc>
      </w:tr>
      <w:tr>
        <w:tblPrEx>
          <w:shd w:val="clear" w:color="auto" w:fill="auto"/>
          <w:tblCellMar>
            <w:top w:w="0" w:type="dxa"/>
            <w:left w:w="0" w:type="dxa"/>
            <w:bottom w:w="0" w:type="dxa"/>
            <w:right w:w="0" w:type="dxa"/>
          </w:tblCellMar>
        </w:tblPrEx>
        <w:trPr>
          <w:trHeight w:val="624" w:hRule="atLeast"/>
        </w:trPr>
        <w:tc>
          <w:tcPr>
            <w:tcW w:w="2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eastAsia" w:ascii="仿宋" w:hAnsi="仿宋" w:eastAsia="仿宋" w:cs="仿宋"/>
                <w:b w:val="0"/>
                <w:bCs w:val="0"/>
                <w:kern w:val="2"/>
                <w:sz w:val="28"/>
                <w:szCs w:val="28"/>
                <w:highlight w:val="none"/>
                <w:lang w:val="en-US" w:eastAsia="zh-CN" w:bidi="ar-SA"/>
              </w:rPr>
            </w:pPr>
            <w:r>
              <w:rPr>
                <w:rFonts w:hint="eastAsia" w:ascii="仿宋" w:hAnsi="仿宋" w:eastAsia="仿宋" w:cs="仿宋"/>
                <w:b w:val="0"/>
                <w:bCs w:val="0"/>
                <w:kern w:val="2"/>
                <w:sz w:val="28"/>
                <w:szCs w:val="28"/>
                <w:highlight w:val="none"/>
                <w:lang w:val="en-US" w:eastAsia="zh-CN" w:bidi="ar-SA"/>
              </w:rPr>
              <w:t>项目支出</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val="0"/>
                <w:bCs w:val="0"/>
                <w:kern w:val="2"/>
                <w:sz w:val="28"/>
                <w:szCs w:val="28"/>
                <w:highlight w:val="none"/>
                <w:lang w:val="en-US" w:eastAsia="zh-CN" w:bidi="ar-SA"/>
              </w:rPr>
            </w:pPr>
            <w:r>
              <w:rPr>
                <w:rFonts w:hint="eastAsia" w:ascii="仿宋" w:hAnsi="仿宋" w:eastAsia="仿宋" w:cs="仿宋"/>
                <w:b w:val="0"/>
                <w:bCs w:val="0"/>
                <w:kern w:val="2"/>
                <w:sz w:val="28"/>
                <w:szCs w:val="28"/>
                <w:highlight w:val="none"/>
                <w:lang w:val="en-US" w:eastAsia="zh-CN" w:bidi="ar-SA"/>
              </w:rPr>
              <w:t>285.77</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val="0"/>
                <w:bCs w:val="0"/>
                <w:kern w:val="2"/>
                <w:sz w:val="28"/>
                <w:szCs w:val="28"/>
                <w:highlight w:val="none"/>
                <w:lang w:val="en-US" w:eastAsia="zh-CN" w:bidi="ar-SA"/>
              </w:rPr>
            </w:pPr>
            <w:r>
              <w:rPr>
                <w:rFonts w:hint="eastAsia" w:ascii="仿宋" w:hAnsi="仿宋" w:eastAsia="仿宋" w:cs="仿宋"/>
                <w:b w:val="0"/>
                <w:bCs w:val="0"/>
                <w:kern w:val="2"/>
                <w:sz w:val="28"/>
                <w:szCs w:val="28"/>
                <w:highlight w:val="none"/>
                <w:lang w:val="en-US" w:eastAsia="zh-CN" w:bidi="ar-SA"/>
              </w:rPr>
              <w:t>3497.22</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val="0"/>
                <w:bCs w:val="0"/>
                <w:kern w:val="2"/>
                <w:sz w:val="28"/>
                <w:szCs w:val="28"/>
                <w:highlight w:val="none"/>
                <w:lang w:val="en-US" w:eastAsia="zh-CN" w:bidi="ar-SA"/>
              </w:rPr>
            </w:pPr>
            <w:r>
              <w:rPr>
                <w:rFonts w:hint="eastAsia" w:ascii="仿宋" w:hAnsi="仿宋" w:eastAsia="仿宋" w:cs="仿宋"/>
                <w:b w:val="0"/>
                <w:bCs w:val="0"/>
                <w:kern w:val="2"/>
                <w:sz w:val="28"/>
                <w:szCs w:val="28"/>
                <w:highlight w:val="none"/>
                <w:lang w:val="en-US" w:eastAsia="zh-CN" w:bidi="ar-SA"/>
              </w:rPr>
              <w:t>3782.92</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val="0"/>
                <w:bCs w:val="0"/>
                <w:kern w:val="2"/>
                <w:sz w:val="28"/>
                <w:szCs w:val="28"/>
                <w:highlight w:val="none"/>
                <w:lang w:val="en-US" w:eastAsia="zh-CN" w:bidi="ar-SA"/>
              </w:rPr>
            </w:pPr>
            <w:r>
              <w:rPr>
                <w:rFonts w:hint="eastAsia" w:ascii="仿宋" w:hAnsi="仿宋" w:eastAsia="仿宋" w:cs="仿宋"/>
                <w:b w:val="0"/>
                <w:bCs w:val="0"/>
                <w:kern w:val="2"/>
                <w:sz w:val="28"/>
                <w:szCs w:val="28"/>
                <w:highlight w:val="none"/>
                <w:lang w:val="en-US" w:eastAsia="zh-CN" w:bidi="ar-SA"/>
              </w:rPr>
              <w:t>0.07</w:t>
            </w:r>
          </w:p>
        </w:tc>
      </w:tr>
      <w:tr>
        <w:tblPrEx>
          <w:shd w:val="clear" w:color="auto" w:fill="auto"/>
          <w:tblCellMar>
            <w:top w:w="0" w:type="dxa"/>
            <w:left w:w="0" w:type="dxa"/>
            <w:bottom w:w="0" w:type="dxa"/>
            <w:right w:w="0" w:type="dxa"/>
          </w:tblCellMar>
        </w:tblPrEx>
        <w:trPr>
          <w:trHeight w:val="624" w:hRule="atLeast"/>
        </w:trPr>
        <w:tc>
          <w:tcPr>
            <w:tcW w:w="2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合计</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bCs/>
                <w:kern w:val="2"/>
                <w:sz w:val="28"/>
                <w:szCs w:val="28"/>
                <w:highlight w:val="none"/>
                <w:lang w:val="en-US" w:eastAsia="zh-CN" w:bidi="ar-SA"/>
              </w:rPr>
            </w:pPr>
            <w:r>
              <w:rPr>
                <w:rFonts w:hint="eastAsia" w:ascii="仿宋" w:hAnsi="仿宋" w:eastAsia="仿宋" w:cs="仿宋"/>
                <w:b w:val="0"/>
                <w:bCs w:val="0"/>
                <w:sz w:val="28"/>
                <w:szCs w:val="28"/>
                <w:highlight w:val="none"/>
                <w:lang w:val="en-US" w:eastAsia="zh-CN"/>
              </w:rPr>
              <w:t>524.80</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bCs/>
                <w:kern w:val="2"/>
                <w:sz w:val="28"/>
                <w:szCs w:val="28"/>
                <w:highlight w:val="none"/>
                <w:lang w:val="en-US" w:eastAsia="zh-CN" w:bidi="ar-SA"/>
              </w:rPr>
            </w:pPr>
            <w:r>
              <w:rPr>
                <w:rFonts w:hint="eastAsia" w:ascii="仿宋" w:hAnsi="仿宋" w:eastAsia="仿宋" w:cs="仿宋"/>
                <w:b/>
                <w:bCs/>
                <w:sz w:val="28"/>
                <w:szCs w:val="28"/>
                <w:highlight w:val="none"/>
                <w:lang w:val="en-US" w:eastAsia="zh-CN"/>
              </w:rPr>
              <w:t>7056.19</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bCs/>
                <w:kern w:val="2"/>
                <w:sz w:val="28"/>
                <w:szCs w:val="28"/>
                <w:highlight w:val="none"/>
                <w:lang w:val="en-US" w:eastAsia="zh-CN" w:bidi="ar-SA"/>
              </w:rPr>
            </w:pPr>
            <w:r>
              <w:rPr>
                <w:rFonts w:hint="eastAsia" w:ascii="仿宋" w:hAnsi="仿宋" w:eastAsia="仿宋" w:cs="仿宋"/>
                <w:b/>
                <w:bCs/>
                <w:sz w:val="28"/>
                <w:szCs w:val="28"/>
                <w:highlight w:val="none"/>
                <w:lang w:val="en-US" w:eastAsia="zh-CN"/>
              </w:rPr>
              <w:t>7580.92</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center"/>
              <w:textAlignment w:val="center"/>
              <w:rPr>
                <w:rFonts w:hint="default"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0.07</w:t>
            </w:r>
          </w:p>
        </w:tc>
      </w:tr>
    </w:tbl>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68" w:leftChars="0" w:firstLine="562" w:firstLineChars="200"/>
        <w:textAlignment w:val="auto"/>
        <w:outlineLvl w:val="0"/>
        <w:rPr>
          <w:rFonts w:hint="eastAsia" w:ascii="仿宋" w:hAnsi="仿宋" w:eastAsia="仿宋" w:cs="仿宋"/>
          <w:b/>
          <w:bCs/>
          <w:sz w:val="28"/>
          <w:szCs w:val="28"/>
          <w:highlight w:val="none"/>
          <w:lang w:val="en-US" w:eastAsia="zh-CN"/>
        </w:rPr>
      </w:pPr>
      <w:bookmarkStart w:id="30" w:name="_Toc15532"/>
      <w:bookmarkStart w:id="31" w:name="_Toc15101_WPSOffice_Level1"/>
      <w:bookmarkStart w:id="32" w:name="_Toc12211"/>
      <w:r>
        <w:rPr>
          <w:rFonts w:hint="eastAsia" w:ascii="仿宋" w:hAnsi="仿宋" w:eastAsia="仿宋" w:cs="仿宋"/>
          <w:b/>
          <w:bCs/>
          <w:sz w:val="28"/>
          <w:szCs w:val="28"/>
          <w:highlight w:val="none"/>
          <w:lang w:val="en-US" w:eastAsia="zh-CN"/>
        </w:rPr>
        <w:t>评价结论</w:t>
      </w:r>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highlight w:val="none"/>
        </w:rPr>
      </w:pPr>
      <w:r>
        <w:rPr>
          <w:rFonts w:hint="eastAsia" w:ascii="仿宋" w:hAnsi="仿宋" w:eastAsia="仿宋"/>
          <w:color w:val="000000"/>
          <w:sz w:val="28"/>
          <w:szCs w:val="28"/>
        </w:rPr>
        <w:t>绩效评价项目组通过实施数据采集、现场核查、问卷调查、重点访谈、汇总分析等程序，依据相关文件和经审定的评价指标体系及评分标准，对</w:t>
      </w:r>
      <w:r>
        <w:rPr>
          <w:rFonts w:hint="eastAsia" w:ascii="仿宋" w:hAnsi="仿宋" w:eastAsia="仿宋"/>
          <w:color w:val="000000"/>
          <w:sz w:val="28"/>
          <w:szCs w:val="28"/>
          <w:lang w:eastAsia="zh-CN"/>
        </w:rPr>
        <w:t>永济市公安局</w:t>
      </w:r>
      <w:r>
        <w:rPr>
          <w:rFonts w:hint="eastAsia" w:ascii="仿宋" w:hAnsi="仿宋" w:eastAsia="仿宋"/>
          <w:color w:val="000000"/>
          <w:sz w:val="28"/>
          <w:szCs w:val="28"/>
          <w:lang w:val="en-US" w:eastAsia="zh-CN"/>
        </w:rPr>
        <w:t>2021年度部门整体支出</w:t>
      </w:r>
      <w:r>
        <w:rPr>
          <w:rFonts w:hint="eastAsia" w:ascii="仿宋" w:hAnsi="仿宋" w:eastAsia="仿宋"/>
          <w:color w:val="000000"/>
          <w:sz w:val="28"/>
          <w:szCs w:val="28"/>
        </w:rPr>
        <w:t>绩效进行客观评价，</w:t>
      </w:r>
      <w:r>
        <w:rPr>
          <w:rFonts w:hint="eastAsia" w:ascii="仿宋" w:hAnsi="仿宋" w:eastAsia="仿宋"/>
          <w:color w:val="000000"/>
          <w:sz w:val="28"/>
          <w:szCs w:val="28"/>
          <w:lang w:val="en-US" w:eastAsia="zh-CN"/>
        </w:rPr>
        <w:t>满分100分，</w:t>
      </w:r>
      <w:r>
        <w:rPr>
          <w:rFonts w:hint="eastAsia" w:ascii="仿宋" w:hAnsi="仿宋" w:eastAsia="仿宋"/>
          <w:color w:val="000000"/>
          <w:sz w:val="28"/>
          <w:szCs w:val="28"/>
          <w:highlight w:val="none"/>
        </w:rPr>
        <w:t>最终结果为：</w:t>
      </w:r>
      <w:r>
        <w:rPr>
          <w:rFonts w:hint="eastAsia" w:ascii="仿宋" w:hAnsi="仿宋" w:eastAsia="仿宋"/>
          <w:sz w:val="28"/>
          <w:szCs w:val="28"/>
          <w:highlight w:val="none"/>
        </w:rPr>
        <w:t>总得分</w:t>
      </w:r>
      <w:r>
        <w:rPr>
          <w:rFonts w:hint="eastAsia" w:ascii="仿宋" w:hAnsi="仿宋" w:eastAsia="仿宋"/>
          <w:sz w:val="28"/>
          <w:szCs w:val="28"/>
          <w:highlight w:val="none"/>
          <w:lang w:val="en-US" w:eastAsia="zh-CN"/>
        </w:rPr>
        <w:t>87.20</w:t>
      </w:r>
      <w:r>
        <w:rPr>
          <w:rFonts w:hint="eastAsia" w:ascii="仿宋" w:hAnsi="仿宋" w:eastAsia="仿宋"/>
          <w:sz w:val="28"/>
          <w:szCs w:val="28"/>
          <w:highlight w:val="none"/>
        </w:rPr>
        <w:t>分，绩效评价等级为良。各指标详细打分情况见附件1。具体得分情况见下表：</w:t>
      </w:r>
    </w:p>
    <w:p>
      <w:pPr>
        <w:pStyle w:val="53"/>
        <w:spacing w:line="360" w:lineRule="auto"/>
        <w:rPr>
          <w:rFonts w:hint="eastAsia" w:ascii="仿宋" w:hAnsi="仿宋" w:eastAsia="仿宋" w:cs="仿宋"/>
          <w:szCs w:val="24"/>
        </w:rPr>
      </w:pPr>
      <w:r>
        <w:rPr>
          <w:rFonts w:hint="eastAsia" w:ascii="仿宋" w:hAnsi="仿宋" w:eastAsia="仿宋" w:cs="仿宋"/>
          <w:szCs w:val="24"/>
        </w:rPr>
        <w:t>表</w:t>
      </w:r>
      <w:r>
        <w:rPr>
          <w:rFonts w:hint="eastAsia" w:ascii="仿宋" w:hAnsi="仿宋" w:eastAsia="仿宋" w:cs="仿宋"/>
          <w:szCs w:val="24"/>
          <w:lang w:val="en-US" w:eastAsia="zh-CN"/>
        </w:rPr>
        <w:t>1</w:t>
      </w:r>
      <w:r>
        <w:rPr>
          <w:rFonts w:hint="eastAsia" w:ascii="仿宋" w:hAnsi="仿宋" w:eastAsia="仿宋" w:cs="仿宋"/>
          <w:szCs w:val="24"/>
        </w:rPr>
        <w:t>-1 项目绩效评价得分表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575"/>
        <w:gridCol w:w="1455"/>
        <w:gridCol w:w="1395"/>
        <w:gridCol w:w="1533"/>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指标</w:t>
            </w:r>
          </w:p>
        </w:tc>
        <w:tc>
          <w:tcPr>
            <w:tcW w:w="1575"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lang w:eastAsia="zh-CN"/>
              </w:rPr>
            </w:pPr>
            <w:r>
              <w:rPr>
                <w:rFonts w:hint="eastAsia" w:ascii="仿宋" w:hAnsi="仿宋" w:eastAsia="仿宋" w:cs="仿宋"/>
                <w:szCs w:val="24"/>
                <w:highlight w:val="none"/>
              </w:rPr>
              <w:t>A</w:t>
            </w:r>
            <w:r>
              <w:rPr>
                <w:rFonts w:hint="eastAsia" w:ascii="仿宋" w:hAnsi="仿宋" w:eastAsia="仿宋" w:cs="仿宋"/>
                <w:szCs w:val="24"/>
                <w:highlight w:val="none"/>
                <w:lang w:val="en-US" w:eastAsia="zh-CN"/>
              </w:rPr>
              <w:t>履职效能</w:t>
            </w:r>
          </w:p>
        </w:tc>
        <w:tc>
          <w:tcPr>
            <w:tcW w:w="1455"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B</w:t>
            </w:r>
            <w:r>
              <w:rPr>
                <w:rFonts w:hint="eastAsia" w:ascii="仿宋" w:hAnsi="仿宋" w:eastAsia="仿宋" w:cs="仿宋"/>
                <w:szCs w:val="24"/>
                <w:highlight w:val="none"/>
                <w:lang w:val="en-US" w:eastAsia="zh-CN"/>
              </w:rPr>
              <w:t>管理效率</w:t>
            </w:r>
          </w:p>
        </w:tc>
        <w:tc>
          <w:tcPr>
            <w:tcW w:w="1395"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C</w:t>
            </w:r>
            <w:r>
              <w:rPr>
                <w:rFonts w:hint="eastAsia" w:ascii="仿宋" w:hAnsi="仿宋" w:eastAsia="仿宋" w:cs="仿宋"/>
                <w:szCs w:val="24"/>
                <w:highlight w:val="none"/>
                <w:lang w:val="en-US" w:eastAsia="zh-CN"/>
              </w:rPr>
              <w:t>社会效应</w:t>
            </w:r>
          </w:p>
        </w:tc>
        <w:tc>
          <w:tcPr>
            <w:tcW w:w="1533"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D</w:t>
            </w:r>
            <w:r>
              <w:rPr>
                <w:rFonts w:hint="eastAsia" w:ascii="仿宋" w:hAnsi="仿宋" w:eastAsia="仿宋" w:cs="仿宋"/>
                <w:szCs w:val="24"/>
                <w:highlight w:val="none"/>
                <w:lang w:val="en-US" w:eastAsia="zh-CN"/>
              </w:rPr>
              <w:t>可持续性</w:t>
            </w:r>
          </w:p>
        </w:tc>
        <w:tc>
          <w:tcPr>
            <w:tcW w:w="1377"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权重</w:t>
            </w:r>
          </w:p>
        </w:tc>
        <w:tc>
          <w:tcPr>
            <w:tcW w:w="157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40</w:t>
            </w:r>
          </w:p>
        </w:tc>
        <w:tc>
          <w:tcPr>
            <w:tcW w:w="145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30</w:t>
            </w:r>
          </w:p>
        </w:tc>
        <w:tc>
          <w:tcPr>
            <w:tcW w:w="139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20</w:t>
            </w:r>
          </w:p>
        </w:tc>
        <w:tc>
          <w:tcPr>
            <w:tcW w:w="1533"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10</w:t>
            </w:r>
          </w:p>
        </w:tc>
        <w:tc>
          <w:tcPr>
            <w:tcW w:w="1377" w:type="dxa"/>
            <w:noWrap w:val="0"/>
            <w:vAlign w:val="center"/>
          </w:tcPr>
          <w:p>
            <w:pPr>
              <w:pStyle w:val="53"/>
              <w:adjustRightInd w:val="0"/>
              <w:snapToGrid w:val="0"/>
              <w:spacing w:before="0" w:after="0"/>
              <w:rPr>
                <w:rFonts w:hint="eastAsia" w:ascii="仿宋" w:hAnsi="仿宋" w:eastAsia="仿宋" w:cs="仿宋"/>
                <w:b w:val="0"/>
                <w:szCs w:val="24"/>
                <w:highlight w:val="none"/>
              </w:rPr>
            </w:pPr>
            <w:r>
              <w:rPr>
                <w:rFonts w:hint="eastAsia" w:ascii="仿宋" w:hAnsi="仿宋" w:eastAsia="仿宋" w:cs="仿宋"/>
                <w:b w:val="0"/>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jc w:val="center"/>
        </w:trPr>
        <w:tc>
          <w:tcPr>
            <w:tcW w:w="1185" w:type="dxa"/>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分值</w:t>
            </w:r>
          </w:p>
        </w:tc>
        <w:tc>
          <w:tcPr>
            <w:tcW w:w="157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35.40</w:t>
            </w:r>
          </w:p>
        </w:tc>
        <w:tc>
          <w:tcPr>
            <w:tcW w:w="145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25.50</w:t>
            </w:r>
          </w:p>
        </w:tc>
        <w:tc>
          <w:tcPr>
            <w:tcW w:w="139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18.30</w:t>
            </w:r>
          </w:p>
        </w:tc>
        <w:tc>
          <w:tcPr>
            <w:tcW w:w="1533"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w:t>
            </w:r>
          </w:p>
        </w:tc>
        <w:tc>
          <w:tcPr>
            <w:tcW w:w="1377"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得分率</w:t>
            </w:r>
          </w:p>
        </w:tc>
        <w:tc>
          <w:tcPr>
            <w:tcW w:w="157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88.50%</w:t>
            </w:r>
          </w:p>
        </w:tc>
        <w:tc>
          <w:tcPr>
            <w:tcW w:w="145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85.00%</w:t>
            </w:r>
          </w:p>
        </w:tc>
        <w:tc>
          <w:tcPr>
            <w:tcW w:w="1395" w:type="dxa"/>
            <w:noWrap w:val="0"/>
            <w:vAlign w:val="center"/>
          </w:tcPr>
          <w:p>
            <w:pPr>
              <w:pStyle w:val="53"/>
              <w:adjustRightInd w:val="0"/>
              <w:snapToGrid w:val="0"/>
              <w:spacing w:before="0" w:after="0"/>
              <w:ind w:firstLine="240" w:firstLineChars="100"/>
              <w:jc w:val="both"/>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91.50%</w:t>
            </w:r>
          </w:p>
        </w:tc>
        <w:tc>
          <w:tcPr>
            <w:tcW w:w="1533"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80%</w:t>
            </w:r>
          </w:p>
        </w:tc>
        <w:tc>
          <w:tcPr>
            <w:tcW w:w="1377"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87.20%</w:t>
            </w:r>
          </w:p>
        </w:tc>
      </w:tr>
    </w:tbl>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2" w:firstLineChars="200"/>
        <w:textAlignment w:val="auto"/>
        <w:outlineLvl w:val="0"/>
        <w:rPr>
          <w:rFonts w:hint="default" w:ascii="仿宋" w:hAnsi="仿宋" w:eastAsia="仿宋" w:cs="仿宋"/>
          <w:b/>
          <w:bCs/>
          <w:sz w:val="28"/>
          <w:szCs w:val="28"/>
          <w:highlight w:val="none"/>
          <w:lang w:val="en-US" w:eastAsia="zh-CN"/>
        </w:rPr>
      </w:pPr>
      <w:bookmarkStart w:id="33" w:name="_Toc6145_WPSOffice_Level1"/>
      <w:bookmarkStart w:id="34" w:name="_Toc31268"/>
      <w:bookmarkStart w:id="35" w:name="_Toc23160"/>
      <w:r>
        <w:rPr>
          <w:rFonts w:hint="eastAsia" w:ascii="仿宋" w:hAnsi="仿宋" w:eastAsia="仿宋" w:cs="仿宋"/>
          <w:b/>
          <w:bCs/>
          <w:sz w:val="28"/>
          <w:szCs w:val="28"/>
          <w:highlight w:val="none"/>
          <w:lang w:val="en-US" w:eastAsia="zh-CN"/>
        </w:rPr>
        <w:t>主要经验和做法</w:t>
      </w:r>
      <w:bookmarkEnd w:id="33"/>
      <w:bookmarkEnd w:id="34"/>
      <w:bookmarkEnd w:id="35"/>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bookmarkStart w:id="36" w:name="_Toc8739_WPSOffice_Level1"/>
      <w:r>
        <w:rPr>
          <w:rFonts w:hint="eastAsia" w:ascii="仿宋" w:hAnsi="仿宋" w:eastAsia="仿宋" w:cs="仿宋"/>
          <w:sz w:val="28"/>
          <w:szCs w:val="28"/>
          <w:highlight w:val="none"/>
          <w:lang w:val="en-US" w:eastAsia="zh-CN"/>
        </w:rPr>
        <w:t>（一）建立健全各项制度，依法开展各项工作。各部门职责明确，工作分明，年终对各部室进行工作考核。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（二）会计核算规范，原始凭证保存完整，各项重大支出均经会议研究决定，固定资产采购均通过政府采购进行。</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2" w:firstLineChars="200"/>
        <w:textAlignment w:val="auto"/>
        <w:outlineLvl w:val="0"/>
        <w:rPr>
          <w:rFonts w:hint="default" w:ascii="仿宋" w:hAnsi="仿宋" w:eastAsia="仿宋" w:cs="仿宋"/>
          <w:b/>
          <w:bCs/>
          <w:sz w:val="28"/>
          <w:szCs w:val="28"/>
          <w:highlight w:val="none"/>
          <w:lang w:val="en-US" w:eastAsia="zh-CN"/>
        </w:rPr>
      </w:pPr>
      <w:bookmarkStart w:id="37" w:name="_Toc4291"/>
      <w:bookmarkStart w:id="38" w:name="_Toc8795"/>
      <w:r>
        <w:rPr>
          <w:rFonts w:hint="eastAsia" w:ascii="仿宋" w:hAnsi="仿宋" w:eastAsia="仿宋" w:cs="仿宋"/>
          <w:b/>
          <w:bCs/>
          <w:sz w:val="28"/>
          <w:szCs w:val="28"/>
          <w:highlight w:val="none"/>
          <w:lang w:val="en-US" w:eastAsia="zh-CN"/>
        </w:rPr>
        <w:t>存在的主要问题及建议</w:t>
      </w:r>
      <w:bookmarkEnd w:id="36"/>
      <w:bookmarkEnd w:id="37"/>
      <w:bookmarkEnd w:id="38"/>
    </w:p>
    <w:p>
      <w:pPr>
        <w:pStyle w:val="2"/>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b/>
          <w:bCs w:val="0"/>
          <w:sz w:val="28"/>
          <w:szCs w:val="28"/>
          <w:highlight w:val="none"/>
        </w:rPr>
      </w:pPr>
      <w:bookmarkStart w:id="39" w:name="_Toc1924"/>
      <w:bookmarkStart w:id="40" w:name="_Toc24207"/>
      <w:r>
        <w:rPr>
          <w:rFonts w:hint="eastAsia"/>
          <w:b/>
          <w:bCs w:val="0"/>
          <w:sz w:val="28"/>
          <w:szCs w:val="28"/>
          <w:highlight w:val="none"/>
        </w:rPr>
        <w:t>（一）存在的主要问题</w:t>
      </w:r>
      <w:bookmarkEnd w:id="39"/>
      <w:bookmarkEnd w:id="40"/>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b w:val="0"/>
          <w:bCs/>
          <w:highlight w:val="none"/>
          <w:lang w:val="en-US" w:eastAsia="zh-CN"/>
        </w:rPr>
      </w:pPr>
      <w:bookmarkStart w:id="41" w:name="_Toc15447"/>
      <w:bookmarkStart w:id="42" w:name="_Toc26887"/>
      <w:r>
        <w:rPr>
          <w:rFonts w:hint="eastAsia" w:ascii="仿宋" w:hAnsi="仿宋" w:eastAsia="仿宋" w:cs="仿宋"/>
          <w:b w:val="0"/>
          <w:bCs/>
          <w:highlight w:val="none"/>
          <w:lang w:val="en-US" w:eastAsia="zh-CN"/>
        </w:rPr>
        <w:t>1.</w:t>
      </w:r>
      <w:r>
        <w:rPr>
          <w:rFonts w:hint="eastAsia"/>
          <w:b w:val="0"/>
          <w:bCs/>
          <w:highlight w:val="none"/>
          <w:lang w:val="en-US" w:eastAsia="zh-CN"/>
        </w:rPr>
        <w:t>未按规定设立工会专户，工会收支在单位账簿核算。</w:t>
      </w:r>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ascii="仿宋" w:hAnsi="仿宋" w:eastAsia="仿宋" w:cs="仿宋"/>
          <w:b w:val="0"/>
          <w:bCs/>
          <w:highlight w:val="none"/>
          <w:lang w:val="en-US" w:eastAsia="zh-CN"/>
        </w:rPr>
      </w:pPr>
      <w:r>
        <w:rPr>
          <w:rFonts w:hint="eastAsia" w:ascii="仿宋" w:hAnsi="仿宋" w:eastAsia="仿宋" w:cs="仿宋"/>
          <w:b w:val="0"/>
          <w:bCs/>
          <w:highlight w:val="none"/>
          <w:lang w:val="en-US" w:eastAsia="zh-CN"/>
        </w:rPr>
        <w:t>2.2018年以前年度取得的取保候审金已结案未联系到当事人和未通过新闻媒体发布公告，涉及金额22.93万元，2021年4月上交国库。</w:t>
      </w:r>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ascii="仿宋" w:hAnsi="仿宋" w:eastAsia="仿宋" w:cs="仿宋"/>
          <w:b w:val="0"/>
          <w:bCs/>
          <w:highlight w:val="none"/>
          <w:lang w:val="en-US" w:eastAsia="zh-CN"/>
        </w:rPr>
      </w:pPr>
      <w:r>
        <w:rPr>
          <w:rFonts w:hint="eastAsia" w:ascii="仿宋" w:hAnsi="仿宋" w:eastAsia="仿宋" w:cs="仿宋"/>
          <w:b w:val="0"/>
          <w:bCs/>
          <w:highlight w:val="none"/>
          <w:lang w:val="en-US" w:eastAsia="zh-CN"/>
        </w:rPr>
        <w:t>3.永济市公安局经侦等部门有16起案件已结案但涉案财物未按相关规定移交处理，其中：无主涉案财物6件，代为保管涉案物品1件，应上交财政部门5件，其他原因涉案4件。</w:t>
      </w:r>
    </w:p>
    <w:p>
      <w:pPr>
        <w:pStyle w:val="5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highlight w:val="none"/>
          <w:lang w:val="en-US" w:eastAsia="zh-CN"/>
        </w:rPr>
      </w:pPr>
      <w:r>
        <w:rPr>
          <w:rFonts w:hint="eastAsia" w:ascii="仿宋" w:hAnsi="仿宋" w:eastAsia="仿宋" w:cs="仿宋"/>
          <w:b w:val="0"/>
          <w:bCs/>
          <w:highlight w:val="none"/>
          <w:lang w:val="en-US" w:eastAsia="zh-CN"/>
        </w:rPr>
        <w:t>4.永济市公安局户政、出入境、罚没收入由办案科室直接交入财政专户，票据未交局机关财务，平时未纳入财务核算，年终根据办案科室提供清单一次入账。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b w:val="0"/>
          <w:bCs w:val="0"/>
          <w:kern w:val="0"/>
          <w:sz w:val="28"/>
          <w:szCs w:val="28"/>
          <w:highlight w:val="none"/>
          <w:lang w:val="en-US" w:eastAsia="zh-CN" w:bidi="ar-SA"/>
        </w:rPr>
        <w:t>5.</w:t>
      </w:r>
      <w:r>
        <w:rPr>
          <w:rFonts w:hint="default" w:ascii="仿宋" w:hAnsi="仿宋" w:eastAsia="仿宋" w:cs="仿宋"/>
          <w:b w:val="0"/>
          <w:bCs w:val="0"/>
          <w:kern w:val="0"/>
          <w:sz w:val="28"/>
          <w:szCs w:val="28"/>
          <w:highlight w:val="none"/>
          <w:lang w:val="en-US" w:eastAsia="zh-CN" w:bidi="ar-SA"/>
        </w:rPr>
        <w:t>电子数据勘察取证分析实验室项目</w:t>
      </w:r>
      <w:r>
        <w:rPr>
          <w:rFonts w:hint="eastAsia" w:ascii="仿宋" w:hAnsi="仿宋" w:eastAsia="仿宋" w:cs="仿宋"/>
          <w:b w:val="0"/>
          <w:bCs w:val="0"/>
          <w:kern w:val="0"/>
          <w:sz w:val="28"/>
          <w:szCs w:val="28"/>
          <w:highlight w:val="none"/>
          <w:lang w:val="en-US" w:eastAsia="zh-CN" w:bidi="ar-SA"/>
        </w:rPr>
        <w:t>2020年12月15日经财政评审审定金额72.54万元，2021年3月15日竞争性磋商中标金额64.00万元，</w:t>
      </w:r>
      <w:r>
        <w:rPr>
          <w:rFonts w:hint="eastAsia" w:ascii="仿宋" w:hAnsi="仿宋" w:eastAsia="仿宋" w:cs="仿宋"/>
          <w:kern w:val="2"/>
          <w:sz w:val="28"/>
          <w:szCs w:val="28"/>
          <w:highlight w:val="none"/>
          <w:lang w:val="en-US" w:eastAsia="zh-CN" w:bidi="ar-SA"/>
        </w:rPr>
        <w:t>合同签订开工日期2021年10月20日，竣工日期2021年12月8日。但截止2021年12月该项目平均完成80%工程量，合同约定“工程完80%付工程总造价70%，工程验收审计完毕付工程款的95%留5%，工程质量保证金一年后付清”，该项目按合同付款44.80万元（70%），其余19.20万元暂不应挂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lang w:val="en-US" w:eastAsia="zh-CN"/>
        </w:rPr>
      </w:pPr>
      <w:r>
        <w:rPr>
          <w:rFonts w:hint="eastAsia" w:ascii="仿宋" w:hAnsi="仿宋" w:eastAsia="仿宋" w:cs="仿宋"/>
          <w:kern w:val="2"/>
          <w:sz w:val="28"/>
          <w:szCs w:val="28"/>
          <w:highlight w:val="none"/>
          <w:lang w:val="en-US" w:eastAsia="zh-CN" w:bidi="ar-SA"/>
        </w:rPr>
        <w:t>6.</w:t>
      </w:r>
      <w:r>
        <w:rPr>
          <w:rFonts w:hint="eastAsia" w:ascii="仿宋" w:hAnsi="仿宋" w:eastAsia="仿宋" w:cs="仿宋"/>
          <w:b w:val="0"/>
          <w:bCs/>
          <w:sz w:val="28"/>
          <w:szCs w:val="28"/>
          <w:highlight w:val="none"/>
          <w:lang w:val="en-US" w:eastAsia="zh-CN"/>
        </w:rPr>
        <w:t>永济市公安局承建的“永济市公安局城北派出所和公安局涉案财务管理中心项目”是2020年永济市政府“4515”重点工程，项目总投资2094.92万元，建设面积5619.73㎡，合同开工日期为2020年12月、2022年12月竣工，该项目实际于2021年11月2日开工，目前完成城北派出所业务用房主体工程、户政大厅、值班室、调解室、辅助用房主体工程及消防基础设施，基建项目推进整体缓慢。</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7.2021年永济市公安局交通管理大队收涉案民警樊小峰交车辆报废赔偿款0.35万元，应上交财政专户，不应挂其他应付款。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8.永济市公安局交通管理大队存有达到固定资产标准未列入固定资产，如：2021年12月105#凭证，购蒸箱1台1850.00元直接在费用中列支。</w:t>
      </w:r>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ascii="仿宋" w:hAnsi="仿宋" w:eastAsia="仿宋" w:cs="仿宋"/>
          <w:b w:val="0"/>
          <w:bCs/>
          <w:highlight w:val="none"/>
          <w:lang w:val="en-US" w:eastAsia="zh-CN"/>
        </w:rPr>
      </w:pPr>
      <w:r>
        <w:rPr>
          <w:rFonts w:hint="eastAsia" w:ascii="仿宋" w:hAnsi="仿宋" w:eastAsia="仿宋" w:cs="仿宋"/>
          <w:b w:val="0"/>
          <w:bCs/>
          <w:highlight w:val="none"/>
          <w:lang w:val="en-US" w:eastAsia="zh-CN"/>
        </w:rPr>
        <w:t>9.永济市看守所2018年以来对已完工并交付使用的4个工程项目未按规定结转固定资产242.87万元，其中：看守所门房、围墙及室外工程39.30万元；看守所泵房蓄水池工程73.37万元；武警岗哨及庭院、民警用房改造工程68.60万元；基础设施改造工程61.60万元。</w:t>
      </w:r>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ascii="仿宋" w:hAnsi="仿宋" w:eastAsia="仿宋" w:cs="仿宋"/>
          <w:b w:val="0"/>
          <w:bCs/>
          <w:highlight w:val="none"/>
          <w:lang w:val="en-US" w:eastAsia="zh-CN"/>
        </w:rPr>
      </w:pPr>
      <w:r>
        <w:rPr>
          <w:rFonts w:hint="eastAsia" w:ascii="仿宋" w:hAnsi="仿宋" w:eastAsia="仿宋" w:cs="仿宋"/>
          <w:b w:val="0"/>
          <w:bCs/>
          <w:highlight w:val="none"/>
          <w:lang w:val="en-US" w:eastAsia="zh-CN"/>
        </w:rPr>
        <w:t>10.存有部分辅警人员未签订劳动合同。</w:t>
      </w:r>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default" w:ascii="仿宋" w:hAnsi="仿宋" w:eastAsia="仿宋" w:cs="仿宋"/>
          <w:b w:val="0"/>
          <w:bCs/>
          <w:highlight w:val="none"/>
          <w:lang w:val="en-US" w:eastAsia="zh-CN"/>
        </w:rPr>
      </w:pPr>
      <w:r>
        <w:rPr>
          <w:rFonts w:hint="eastAsia" w:ascii="仿宋" w:hAnsi="仿宋" w:eastAsia="仿宋" w:cs="仿宋"/>
          <w:b w:val="0"/>
          <w:bCs/>
          <w:highlight w:val="none"/>
          <w:lang w:val="en-US" w:eastAsia="zh-CN"/>
        </w:rPr>
        <w:t>11.永济市公安局</w:t>
      </w:r>
      <w:r>
        <w:rPr>
          <w:rFonts w:hint="eastAsia" w:ascii="仿宋" w:hAnsi="仿宋" w:eastAsia="仿宋" w:cs="Times New Roman"/>
          <w:kern w:val="0"/>
          <w:sz w:val="28"/>
          <w:szCs w:val="28"/>
          <w:highlight w:val="none"/>
          <w:lang w:val="en-US" w:eastAsia="zh-CN" w:bidi="ar-SA"/>
        </w:rPr>
        <w:t>民警法律知识学习和业务培训不够，对政治理论、业务知识学习的广度、深度不够，知识面不宽，工作中凭经验，综合素质有待提高。</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12.单位绩效管理意识淡薄，未建立绩效管理理念，尤其是部门整体支出的绩效，设立的具体绩效指标不清晰、细化量化程度不足，没有明确的衡量标准。</w:t>
      </w:r>
    </w:p>
    <w:p>
      <w:pPr>
        <w:pStyle w:val="2"/>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outlineLvl w:val="1"/>
        <w:rPr>
          <w:rFonts w:hint="eastAsia" w:eastAsia="仿宋_GB2312"/>
          <w:b/>
          <w:bCs w:val="0"/>
          <w:highlight w:val="none"/>
          <w:lang w:eastAsia="zh-CN"/>
        </w:rPr>
      </w:pPr>
      <w:r>
        <w:rPr>
          <w:rFonts w:hint="eastAsia"/>
          <w:b/>
          <w:bCs w:val="0"/>
          <w:highlight w:val="none"/>
        </w:rPr>
        <w:t>（二）</w:t>
      </w:r>
      <w:bookmarkEnd w:id="41"/>
      <w:r>
        <w:rPr>
          <w:rFonts w:hint="eastAsia"/>
          <w:b/>
          <w:bCs w:val="0"/>
          <w:highlight w:val="none"/>
          <w:lang w:val="en-US" w:eastAsia="zh-CN"/>
        </w:rPr>
        <w:t>建议</w:t>
      </w:r>
      <w:bookmarkEnd w:id="42"/>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SA"/>
        </w:rPr>
      </w:pPr>
      <w:bookmarkStart w:id="43" w:name="_Toc11240"/>
      <w:bookmarkStart w:id="44" w:name="_Toc32562_WPSOffice_Level1"/>
      <w:bookmarkStart w:id="45" w:name="_Toc14279"/>
      <w:r>
        <w:rPr>
          <w:rFonts w:hint="eastAsia" w:ascii="仿宋" w:hAnsi="仿宋" w:eastAsia="仿宋" w:cs="仿宋"/>
          <w:kern w:val="0"/>
          <w:sz w:val="28"/>
          <w:szCs w:val="28"/>
          <w:lang w:val="en-US" w:eastAsia="zh-CN" w:bidi="ar-SA"/>
        </w:rPr>
        <w:t>1.财务人员应不断加强业务学习，以财经法规指导规范日常工作，对达到固定资产标准的应列入固定资产，对民警赔偿款应交入财政专户，非税收入平时应纳入财务核算，工会经费应设立专户，确保会计核算准确、完整。</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2.单位应规范涉案财物管理，不断强化政策意识，落实相关文件制度，加强对涉案财物管理工作，强化责任意识，认真履职尽责，确保涉案财物的完整性，办案部门及时将涉案物品上交管理。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3.单位采取有力措施对固定资产进行彻底清查，根据清查结果，属于已完工交付使用资产应结转固定资产，调整会计账目，确保账实相符。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4.单位应加大工作力度，确保城北派出所和涉案财务管理中心建设项目按质按期顺利完工。</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5.单位应按照警务辅助人员（辅警）管理办法加强对辅警的管理，辅警人员试用期满后应与单位签订劳动合同。</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default"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6.</w:t>
      </w:r>
      <w:r>
        <w:rPr>
          <w:rFonts w:hint="eastAsia" w:ascii="仿宋" w:hAnsi="仿宋" w:eastAsia="仿宋" w:cs="仿宋"/>
          <w:b w:val="0"/>
          <w:bCs/>
          <w:highlight w:val="none"/>
          <w:lang w:val="en-US" w:eastAsia="zh-CN"/>
        </w:rPr>
        <w:t>永济市公安局应制定培训计划，加强对民警的培训，提高民警综合素质。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7.单位在设置绩效目标时，应将目标与预算支出内容相结合，对绩效目标进行细化，尽可能的量化和可衡量；项目完成应对绩效进行自评，自评报告内容应完整规范；单位应树立绩效管理理念，强化绩效管理意识，组织相关人员参加绩效培训，形成“花钱必问效，无效必问责”的理念。</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both"/>
        <w:textAlignment w:val="auto"/>
        <w:outlineLvl w:val="9"/>
        <w:rPr>
          <w:rFonts w:hint="eastAsia" w:ascii="仿宋" w:hAnsi="仿宋" w:eastAsia="仿宋" w:cs="仿宋"/>
          <w:b/>
          <w:bCs/>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outlineLvl w:val="0"/>
        <w:rPr>
          <w:rFonts w:hint="eastAsia" w:ascii="仿宋" w:hAnsi="仿宋" w:eastAsia="仿宋" w:cs="仿宋"/>
          <w:b/>
          <w:bCs/>
          <w:sz w:val="32"/>
          <w:szCs w:val="32"/>
          <w:highlight w:val="none"/>
          <w:lang w:eastAsia="zh-CN"/>
        </w:rPr>
      </w:pPr>
      <w:bookmarkStart w:id="46" w:name="_Toc23638"/>
      <w:r>
        <w:rPr>
          <w:rFonts w:hint="eastAsia" w:ascii="仿宋" w:hAnsi="仿宋" w:eastAsia="仿宋" w:cs="仿宋"/>
          <w:b/>
          <w:bCs/>
          <w:sz w:val="32"/>
          <w:szCs w:val="32"/>
          <w:highlight w:val="none"/>
          <w:lang w:eastAsia="zh-CN"/>
        </w:rPr>
        <w:t>永济市</w:t>
      </w:r>
      <w:r>
        <w:rPr>
          <w:rFonts w:hint="eastAsia" w:ascii="仿宋" w:hAnsi="仿宋" w:eastAsia="仿宋" w:cs="仿宋"/>
          <w:b/>
          <w:bCs/>
          <w:sz w:val="32"/>
          <w:szCs w:val="32"/>
          <w:highlight w:val="none"/>
          <w:lang w:val="en-US" w:eastAsia="zh-CN"/>
        </w:rPr>
        <w:t>公安局</w:t>
      </w:r>
      <w:r>
        <w:rPr>
          <w:rFonts w:hint="eastAsia" w:ascii="仿宋" w:hAnsi="仿宋" w:eastAsia="仿宋" w:cs="仿宋"/>
          <w:b/>
          <w:bCs/>
          <w:sz w:val="32"/>
          <w:szCs w:val="32"/>
          <w:highlight w:val="none"/>
          <w:lang w:eastAsia="zh-CN"/>
        </w:rPr>
        <w:t>20</w:t>
      </w:r>
      <w:r>
        <w:rPr>
          <w:rFonts w:hint="eastAsia" w:ascii="仿宋" w:hAnsi="仿宋" w:eastAsia="仿宋" w:cs="仿宋"/>
          <w:b/>
          <w:bCs/>
          <w:sz w:val="32"/>
          <w:szCs w:val="32"/>
          <w:highlight w:val="none"/>
          <w:lang w:val="en-US" w:eastAsia="zh-CN"/>
        </w:rPr>
        <w:t>21</w:t>
      </w:r>
      <w:r>
        <w:rPr>
          <w:rFonts w:hint="eastAsia" w:ascii="仿宋" w:hAnsi="仿宋" w:eastAsia="仿宋" w:cs="仿宋"/>
          <w:b/>
          <w:bCs/>
          <w:sz w:val="32"/>
          <w:szCs w:val="32"/>
          <w:highlight w:val="none"/>
          <w:lang w:eastAsia="zh-CN"/>
        </w:rPr>
        <w:t>年度</w:t>
      </w:r>
      <w:r>
        <w:rPr>
          <w:rFonts w:hint="eastAsia" w:ascii="仿宋" w:hAnsi="仿宋" w:eastAsia="仿宋" w:cs="仿宋"/>
          <w:b/>
          <w:bCs/>
          <w:sz w:val="32"/>
          <w:szCs w:val="32"/>
          <w:highlight w:val="none"/>
          <w:lang w:val="en-US" w:eastAsia="zh-CN"/>
        </w:rPr>
        <w:t>部门</w:t>
      </w:r>
      <w:r>
        <w:rPr>
          <w:rFonts w:hint="eastAsia" w:ascii="仿宋" w:hAnsi="仿宋" w:eastAsia="仿宋" w:cs="仿宋"/>
          <w:b/>
          <w:bCs/>
          <w:sz w:val="32"/>
          <w:szCs w:val="32"/>
          <w:highlight w:val="none"/>
          <w:lang w:eastAsia="zh-CN"/>
        </w:rPr>
        <w:t>整体支出</w:t>
      </w:r>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outlineLvl w:val="0"/>
        <w:rPr>
          <w:rFonts w:hint="eastAsia" w:ascii="仿宋" w:hAnsi="仿宋" w:eastAsia="仿宋" w:cs="仿宋"/>
          <w:b w:val="0"/>
          <w:bCs w:val="0"/>
          <w:sz w:val="32"/>
          <w:szCs w:val="32"/>
          <w:highlight w:val="none"/>
          <w:lang w:eastAsia="zh-CN"/>
        </w:rPr>
      </w:pPr>
      <w:bookmarkStart w:id="47" w:name="_Toc17313_WPSOffice_Level1"/>
      <w:bookmarkStart w:id="48" w:name="_Toc17844_WPSOffice_Level1"/>
      <w:bookmarkStart w:id="49" w:name="_Toc6774"/>
      <w:bookmarkStart w:id="50" w:name="_Toc2093"/>
      <w:r>
        <w:rPr>
          <w:rFonts w:hint="eastAsia" w:ascii="仿宋" w:hAnsi="仿宋" w:eastAsia="仿宋" w:cs="仿宋"/>
          <w:b/>
          <w:bCs/>
          <w:sz w:val="32"/>
          <w:szCs w:val="32"/>
          <w:highlight w:val="none"/>
        </w:rPr>
        <w:t>绩效评价</w:t>
      </w:r>
      <w:bookmarkEnd w:id="47"/>
      <w:bookmarkEnd w:id="48"/>
      <w:r>
        <w:rPr>
          <w:rFonts w:hint="eastAsia" w:ascii="仿宋" w:hAnsi="仿宋" w:eastAsia="仿宋" w:cs="仿宋"/>
          <w:b/>
          <w:bCs/>
          <w:sz w:val="32"/>
          <w:szCs w:val="32"/>
          <w:highlight w:val="none"/>
          <w:lang w:eastAsia="zh-CN"/>
        </w:rPr>
        <w:t>报告</w:t>
      </w:r>
      <w:bookmarkEnd w:id="49"/>
      <w:bookmarkEnd w:id="50"/>
    </w:p>
    <w:p>
      <w:pPr>
        <w:pStyle w:val="2"/>
        <w:keepNext w:val="0"/>
        <w:keepLines w:val="0"/>
        <w:pageBreakBefore w:val="0"/>
        <w:widowControl w:val="0"/>
        <w:kinsoku/>
        <w:wordWrap/>
        <w:overflowPunct/>
        <w:topLinePunct w:val="0"/>
        <w:autoSpaceDE/>
        <w:autoSpaceDN/>
        <w:bidi w:val="0"/>
        <w:adjustRightInd/>
        <w:snapToGrid/>
        <w:spacing w:before="157" w:beforeLines="50" w:line="360" w:lineRule="auto"/>
        <w:ind w:firstLine="0" w:firstLineChars="0"/>
        <w:textAlignment w:val="auto"/>
        <w:outlineLvl w:val="0"/>
        <w:rPr>
          <w:rFonts w:hint="eastAsia" w:ascii="仿宋" w:hAnsi="仿宋" w:eastAsia="仿宋" w:cs="仿宋"/>
          <w:b/>
          <w:bCs/>
          <w:sz w:val="11"/>
          <w:szCs w:val="11"/>
          <w:highlight w:val="none"/>
        </w:rPr>
      </w:pPr>
      <w:bookmarkStart w:id="51" w:name="_Toc23951"/>
      <w:bookmarkStart w:id="52" w:name="_Toc24939"/>
      <w:bookmarkStart w:id="53" w:name="_Toc26463"/>
      <w:r>
        <w:rPr>
          <w:rFonts w:hint="eastAsia" w:ascii="仿宋" w:hAnsi="仿宋" w:eastAsia="仿宋" w:cs="仿宋"/>
          <w:b/>
          <w:bCs/>
          <w:sz w:val="28"/>
          <w:szCs w:val="28"/>
          <w:highlight w:val="none"/>
          <w:lang w:eastAsia="zh-CN"/>
        </w:rPr>
        <w:t>永济市财政局：</w:t>
      </w:r>
      <w:bookmarkEnd w:id="51"/>
      <w:bookmarkEnd w:id="52"/>
      <w:bookmarkEnd w:id="53"/>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为加强</w:t>
      </w:r>
      <w:r>
        <w:rPr>
          <w:rFonts w:hint="eastAsia" w:ascii="仿宋" w:hAnsi="仿宋" w:eastAsia="仿宋" w:cs="仿宋"/>
          <w:sz w:val="28"/>
          <w:szCs w:val="28"/>
          <w:highlight w:val="none"/>
          <w:lang w:eastAsia="zh-CN"/>
        </w:rPr>
        <w:t>永济市公安局</w:t>
      </w: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21</w:t>
      </w:r>
      <w:r>
        <w:rPr>
          <w:rFonts w:hint="eastAsia" w:ascii="仿宋" w:hAnsi="仿宋" w:eastAsia="仿宋" w:cs="仿宋"/>
          <w:sz w:val="28"/>
          <w:szCs w:val="28"/>
          <w:highlight w:val="none"/>
        </w:rPr>
        <w:t>年度整体支出的监督和管理,健全预算绩效管理机制，强化支出责任和效率意识，切实提高财政资金使用效率，按照</w:t>
      </w:r>
      <w:r>
        <w:rPr>
          <w:rFonts w:hint="eastAsia" w:ascii="仿宋" w:hAnsi="仿宋" w:eastAsia="仿宋" w:cs="仿宋"/>
          <w:sz w:val="28"/>
          <w:szCs w:val="28"/>
          <w:highlight w:val="none"/>
          <w:lang w:eastAsia="zh-CN"/>
        </w:rPr>
        <w:t>财政部《关于推进绩效管理的指导意见》（财预〔2011〕416号）、</w:t>
      </w:r>
      <w:r>
        <w:rPr>
          <w:rFonts w:hint="eastAsia" w:ascii="仿宋" w:hAnsi="仿宋" w:eastAsia="仿宋" w:cs="仿宋"/>
          <w:sz w:val="28"/>
          <w:szCs w:val="28"/>
          <w:highlight w:val="none"/>
        </w:rPr>
        <w:t>《中共中央 国务院关于全面实施预算绩效管理的意见》（中发〔2018〕34号）等文件要求</w:t>
      </w:r>
      <w:r>
        <w:rPr>
          <w:rFonts w:hint="eastAsia" w:ascii="仿宋" w:hAnsi="仿宋" w:eastAsia="仿宋" w:cs="仿宋"/>
          <w:sz w:val="28"/>
          <w:szCs w:val="28"/>
          <w:highlight w:val="none"/>
          <w:lang w:eastAsia="zh-CN"/>
        </w:rPr>
        <w:t>，山西正源会计师事务所有限公司</w:t>
      </w:r>
      <w:r>
        <w:rPr>
          <w:rFonts w:hint="eastAsia" w:ascii="仿宋" w:hAnsi="仿宋" w:eastAsia="仿宋" w:cs="仿宋"/>
          <w:sz w:val="28"/>
          <w:szCs w:val="28"/>
          <w:highlight w:val="none"/>
        </w:rPr>
        <w:t>接受</w:t>
      </w:r>
      <w:r>
        <w:rPr>
          <w:rFonts w:hint="eastAsia" w:ascii="仿宋" w:hAnsi="仿宋" w:eastAsia="仿宋" w:cs="仿宋"/>
          <w:sz w:val="28"/>
          <w:szCs w:val="28"/>
          <w:highlight w:val="none"/>
          <w:lang w:eastAsia="zh-CN"/>
        </w:rPr>
        <w:t>永济市财政局</w:t>
      </w:r>
      <w:r>
        <w:rPr>
          <w:rFonts w:hint="eastAsia" w:ascii="仿宋" w:hAnsi="仿宋" w:eastAsia="仿宋" w:cs="仿宋"/>
          <w:sz w:val="28"/>
          <w:szCs w:val="28"/>
          <w:highlight w:val="none"/>
        </w:rPr>
        <w:t>委托，对</w:t>
      </w:r>
      <w:r>
        <w:rPr>
          <w:rFonts w:hint="eastAsia" w:ascii="仿宋" w:hAnsi="仿宋" w:eastAsia="仿宋" w:cs="仿宋"/>
          <w:sz w:val="28"/>
          <w:szCs w:val="28"/>
          <w:highlight w:val="none"/>
          <w:lang w:eastAsia="zh-CN"/>
        </w:rPr>
        <w:t>永济市公安局20</w:t>
      </w:r>
      <w:r>
        <w:rPr>
          <w:rFonts w:hint="eastAsia" w:ascii="仿宋" w:hAnsi="仿宋" w:eastAsia="仿宋" w:cs="仿宋"/>
          <w:sz w:val="28"/>
          <w:szCs w:val="28"/>
          <w:highlight w:val="none"/>
          <w:lang w:val="en-US" w:eastAsia="zh-CN"/>
        </w:rPr>
        <w:t>21</w:t>
      </w:r>
      <w:r>
        <w:rPr>
          <w:rFonts w:hint="eastAsia" w:ascii="仿宋" w:hAnsi="仿宋" w:eastAsia="仿宋" w:cs="仿宋"/>
          <w:sz w:val="28"/>
          <w:szCs w:val="28"/>
          <w:highlight w:val="none"/>
          <w:lang w:eastAsia="zh-CN"/>
        </w:rPr>
        <w:t>年度</w:t>
      </w:r>
      <w:r>
        <w:rPr>
          <w:rFonts w:hint="eastAsia" w:ascii="仿宋" w:hAnsi="仿宋" w:eastAsia="仿宋" w:cs="仿宋"/>
          <w:sz w:val="28"/>
          <w:szCs w:val="28"/>
          <w:highlight w:val="none"/>
          <w:lang w:val="en-US" w:eastAsia="zh-CN"/>
        </w:rPr>
        <w:t>部门</w:t>
      </w:r>
      <w:r>
        <w:rPr>
          <w:rFonts w:hint="eastAsia" w:ascii="仿宋" w:hAnsi="仿宋" w:eastAsia="仿宋" w:cs="仿宋"/>
          <w:sz w:val="28"/>
          <w:szCs w:val="28"/>
          <w:highlight w:val="none"/>
          <w:lang w:eastAsia="zh-CN"/>
        </w:rPr>
        <w:t>整体支出</w:t>
      </w:r>
      <w:r>
        <w:rPr>
          <w:rFonts w:hint="eastAsia" w:ascii="仿宋" w:hAnsi="仿宋" w:eastAsia="仿宋" w:cs="仿宋"/>
          <w:sz w:val="28"/>
          <w:szCs w:val="28"/>
          <w:highlight w:val="none"/>
        </w:rPr>
        <w:t>开展绩效评价。</w:t>
      </w:r>
      <w:bookmarkStart w:id="54" w:name="_Toc2321"/>
      <w:r>
        <w:rPr>
          <w:rFonts w:hint="eastAsia" w:ascii="仿宋" w:hAnsi="仿宋" w:eastAsia="仿宋" w:cs="仿宋"/>
          <w:sz w:val="28"/>
          <w:szCs w:val="28"/>
          <w:highlight w:val="none"/>
          <w:lang w:eastAsia="zh-CN"/>
        </w:rPr>
        <w:t>本次</w:t>
      </w:r>
      <w:r>
        <w:rPr>
          <w:rFonts w:hint="eastAsia" w:ascii="仿宋" w:hAnsi="仿宋" w:eastAsia="仿宋" w:cs="仿宋"/>
          <w:sz w:val="28"/>
          <w:szCs w:val="28"/>
          <w:highlight w:val="none"/>
        </w:rPr>
        <w:t>评价结果为</w:t>
      </w:r>
      <w:r>
        <w:rPr>
          <w:rFonts w:hint="eastAsia" w:ascii="仿宋" w:hAnsi="仿宋" w:eastAsia="仿宋" w:cs="仿宋"/>
          <w:sz w:val="28"/>
          <w:szCs w:val="28"/>
          <w:highlight w:val="none"/>
          <w:lang w:val="en-US" w:eastAsia="zh-CN"/>
        </w:rPr>
        <w:t>87.20</w:t>
      </w:r>
      <w:r>
        <w:rPr>
          <w:rFonts w:hint="eastAsia" w:ascii="仿宋" w:hAnsi="仿宋" w:eastAsia="仿宋" w:cs="仿宋"/>
          <w:sz w:val="28"/>
          <w:szCs w:val="28"/>
          <w:highlight w:val="none"/>
        </w:rPr>
        <w:t>分。有关情况如下：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0"/>
        <w:rPr>
          <w:rFonts w:hint="eastAsia" w:ascii="仿宋" w:hAnsi="仿宋" w:eastAsia="仿宋" w:cs="仿宋"/>
          <w:b/>
          <w:sz w:val="28"/>
          <w:szCs w:val="28"/>
          <w:highlight w:val="none"/>
        </w:rPr>
      </w:pPr>
      <w:bookmarkStart w:id="55" w:name="_Toc19483_WPSOffice_Level1"/>
      <w:bookmarkStart w:id="56" w:name="_Toc31663_WPSOffice_Level1"/>
      <w:bookmarkStart w:id="57" w:name="_Toc29818_WPSOffice_Level1"/>
      <w:bookmarkStart w:id="58" w:name="_Toc5303_WPSOffice_Level1"/>
      <w:bookmarkStart w:id="59" w:name="_Toc7578"/>
      <w:bookmarkStart w:id="60" w:name="_Toc15483"/>
      <w:r>
        <w:rPr>
          <w:rFonts w:hint="eastAsia" w:ascii="仿宋" w:hAnsi="仿宋" w:eastAsia="仿宋" w:cs="仿宋"/>
          <w:b/>
          <w:sz w:val="28"/>
          <w:szCs w:val="28"/>
          <w:highlight w:val="none"/>
          <w:lang w:eastAsia="zh-CN"/>
        </w:rPr>
        <w:t>一、</w:t>
      </w:r>
      <w:r>
        <w:rPr>
          <w:rFonts w:hint="eastAsia" w:ascii="仿宋" w:hAnsi="仿宋" w:eastAsia="仿宋" w:cs="仿宋"/>
          <w:b/>
          <w:sz w:val="28"/>
          <w:szCs w:val="28"/>
          <w:highlight w:val="none"/>
        </w:rPr>
        <w:t>基本情况</w:t>
      </w:r>
      <w:bookmarkEnd w:id="55"/>
      <w:bookmarkEnd w:id="56"/>
      <w:bookmarkEnd w:id="57"/>
      <w:bookmarkEnd w:id="58"/>
      <w:bookmarkEnd w:id="59"/>
      <w:bookmarkEnd w:id="60"/>
    </w:p>
    <w:p>
      <w:pPr>
        <w:pStyle w:val="7"/>
        <w:keepNext/>
        <w:keepLines/>
        <w:pageBreakBefore w:val="0"/>
        <w:widowControl w:val="0"/>
        <w:kinsoku/>
        <w:wordWrap/>
        <w:overflowPunct/>
        <w:topLinePunct w:val="0"/>
        <w:autoSpaceDE/>
        <w:autoSpaceDN/>
        <w:bidi w:val="0"/>
        <w:adjustRightInd w:val="0"/>
        <w:snapToGrid w:val="0"/>
        <w:spacing w:before="0" w:after="0" w:line="360" w:lineRule="auto"/>
        <w:ind w:firstLine="562" w:firstLineChars="200"/>
        <w:textAlignment w:val="auto"/>
        <w:outlineLvl w:val="1"/>
        <w:rPr>
          <w:rFonts w:hint="eastAsia" w:ascii="仿宋_GB2312" w:hAnsi="Times New Roman" w:eastAsia="仿宋_GB2312" w:cs="Times New Roman"/>
          <w:b/>
          <w:bCs/>
          <w:w w:val="100"/>
          <w:kern w:val="2"/>
          <w:sz w:val="28"/>
          <w:szCs w:val="28"/>
          <w:highlight w:val="none"/>
          <w:lang w:val="en-US" w:eastAsia="zh-CN" w:bidi="ar-SA"/>
        </w:rPr>
      </w:pPr>
      <w:bookmarkStart w:id="61" w:name="_Toc21653"/>
      <w:bookmarkStart w:id="62" w:name="_Toc25816"/>
      <w:bookmarkStart w:id="63" w:name="_Toc285"/>
      <w:bookmarkStart w:id="64" w:name="_Toc24553"/>
      <w:bookmarkStart w:id="65" w:name="_Toc31663_WPSOffice_Level2"/>
      <w:bookmarkStart w:id="66" w:name="_Toc19483_WPSOffice_Level2"/>
      <w:bookmarkStart w:id="67" w:name="_Toc32601"/>
      <w:r>
        <w:rPr>
          <w:rFonts w:hint="eastAsia" w:ascii="仿宋_GB2312" w:hAnsi="Times New Roman" w:eastAsia="仿宋_GB2312" w:cs="Times New Roman"/>
          <w:b/>
          <w:bCs/>
          <w:w w:val="100"/>
          <w:kern w:val="2"/>
          <w:sz w:val="28"/>
          <w:szCs w:val="28"/>
          <w:highlight w:val="none"/>
          <w:lang w:val="en-US" w:eastAsia="zh-CN" w:bidi="ar-SA"/>
        </w:rPr>
        <w:t>（一）单位基本情况</w:t>
      </w:r>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2"/>
        <w:rPr>
          <w:rFonts w:hint="eastAsia" w:ascii="仿宋_GB2312" w:hAnsi="Times New Roman" w:eastAsia="仿宋_GB2312" w:cs="Times New Roman"/>
          <w:b w:val="0"/>
          <w:bCs w:val="0"/>
          <w:w w:val="100"/>
          <w:kern w:val="2"/>
          <w:sz w:val="28"/>
          <w:szCs w:val="28"/>
          <w:highlight w:val="none"/>
          <w:lang w:val="en-US" w:eastAsia="zh-CN" w:bidi="ar-SA"/>
        </w:rPr>
      </w:pPr>
      <w:bookmarkStart w:id="68" w:name="_Toc30688"/>
      <w:r>
        <w:rPr>
          <w:rFonts w:hint="eastAsia" w:ascii="仿宋_GB2312" w:hAnsi="Times New Roman" w:eastAsia="仿宋_GB2312" w:cs="Times New Roman"/>
          <w:b w:val="0"/>
          <w:bCs w:val="0"/>
          <w:w w:val="100"/>
          <w:kern w:val="2"/>
          <w:sz w:val="28"/>
          <w:szCs w:val="28"/>
          <w:highlight w:val="none"/>
          <w:lang w:val="en-US" w:eastAsia="zh-CN" w:bidi="ar-SA"/>
        </w:rPr>
        <w:t>1.部门概况</w:t>
      </w:r>
      <w:bookmarkEnd w:id="6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baseline"/>
        <w:rPr>
          <w:rFonts w:hint="eastAsia" w:ascii="仿宋_GB2312" w:hAnsi="Times New Roman" w:eastAsia="仿宋_GB2312" w:cs="Times New Roman"/>
          <w:w w:val="100"/>
          <w:kern w:val="2"/>
          <w:sz w:val="28"/>
          <w:szCs w:val="28"/>
          <w:highlight w:val="none"/>
          <w:lang w:val="en-US" w:eastAsia="zh-CN" w:bidi="ar-SA"/>
        </w:rPr>
      </w:pPr>
      <w:r>
        <w:rPr>
          <w:rFonts w:hint="eastAsia" w:ascii="仿宋_GB2312" w:hAnsi="Times New Roman" w:eastAsia="仿宋_GB2312" w:cs="Times New Roman"/>
          <w:w w:val="100"/>
          <w:kern w:val="2"/>
          <w:sz w:val="28"/>
          <w:szCs w:val="28"/>
          <w:highlight w:val="none"/>
          <w:lang w:val="en-US" w:eastAsia="zh-CN" w:bidi="ar-SA"/>
        </w:rPr>
        <w:t>永济市公安局属政府组成行政机关，位于永济市市府西街7号。内设机构16个，为指挥中心、国内安全保卫大队、刑事侦查大队、交通管理大队、</w:t>
      </w:r>
      <w:r>
        <w:rPr>
          <w:rFonts w:hint="eastAsia" w:ascii="仿宋_GB2312" w:eastAsia="仿宋_GB2312" w:cs="Times New Roman"/>
          <w:w w:val="100"/>
          <w:kern w:val="2"/>
          <w:sz w:val="28"/>
          <w:szCs w:val="28"/>
          <w:highlight w:val="none"/>
          <w:lang w:val="en-US" w:eastAsia="zh-CN" w:bidi="ar-SA"/>
        </w:rPr>
        <w:t>治安管理大队、</w:t>
      </w:r>
      <w:r>
        <w:rPr>
          <w:rFonts w:hint="eastAsia" w:ascii="仿宋_GB2312" w:hAnsi="Times New Roman" w:eastAsia="仿宋_GB2312" w:cs="Times New Roman"/>
          <w:w w:val="100"/>
          <w:kern w:val="2"/>
          <w:sz w:val="28"/>
          <w:szCs w:val="28"/>
          <w:highlight w:val="none"/>
          <w:lang w:val="en-US" w:eastAsia="zh-CN" w:bidi="ar-SA"/>
        </w:rPr>
        <w:t>经济犯罪侦查大队、政工室、法制大队、警务保障室、巡特警大队、情报大队、信访室、食品药品犯罪侦查大队、网络安全保卫大队、出入境管理大队、技术侦察大队等，直属机构2个（永济市看守所、公安局拘留所），派出所按行政区划设置10个（城东派出所、城西派出所、城北派出所、栲栳派出所、张营派出所、开张派出所、韩阳派出所、蒲州派出所、卿头派出所、于乡派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baseline"/>
        <w:rPr>
          <w:rFonts w:hint="default" w:ascii="仿宋_GB2312" w:hAnsi="Times New Roman" w:eastAsia="仿宋_GB2312" w:cs="Times New Roman"/>
          <w:w w:val="100"/>
          <w:kern w:val="2"/>
          <w:sz w:val="28"/>
          <w:szCs w:val="28"/>
          <w:highlight w:val="none"/>
          <w:lang w:val="en-US" w:eastAsia="zh-CN" w:bidi="ar-SA"/>
        </w:rPr>
      </w:pPr>
      <w:r>
        <w:rPr>
          <w:rFonts w:hint="eastAsia" w:ascii="仿宋_GB2312" w:eastAsia="仿宋_GB2312" w:cs="Times New Roman"/>
          <w:w w:val="100"/>
          <w:kern w:val="2"/>
          <w:sz w:val="28"/>
          <w:szCs w:val="28"/>
          <w:highlight w:val="none"/>
          <w:lang w:val="en-US" w:eastAsia="zh-CN" w:bidi="ar-SA"/>
        </w:rPr>
        <w:t>目前，</w:t>
      </w:r>
      <w:r>
        <w:rPr>
          <w:rFonts w:hint="eastAsia" w:ascii="仿宋_GB2312" w:hAnsi="Times New Roman" w:eastAsia="仿宋_GB2312" w:cs="Times New Roman"/>
          <w:w w:val="100"/>
          <w:kern w:val="2"/>
          <w:sz w:val="28"/>
          <w:szCs w:val="28"/>
          <w:highlight w:val="none"/>
          <w:lang w:val="en-US" w:eastAsia="zh-CN" w:bidi="ar-SA"/>
        </w:rPr>
        <w:t>永济市公安局编制人数24</w:t>
      </w:r>
      <w:r>
        <w:rPr>
          <w:rFonts w:hint="eastAsia" w:ascii="仿宋_GB2312" w:eastAsia="仿宋_GB2312" w:cs="Times New Roman"/>
          <w:w w:val="100"/>
          <w:kern w:val="2"/>
          <w:sz w:val="28"/>
          <w:szCs w:val="28"/>
          <w:highlight w:val="none"/>
          <w:lang w:val="en-US" w:eastAsia="zh-CN" w:bidi="ar-SA"/>
        </w:rPr>
        <w:t>4</w:t>
      </w:r>
      <w:r>
        <w:rPr>
          <w:rFonts w:hint="eastAsia" w:ascii="仿宋_GB2312" w:hAnsi="Times New Roman" w:eastAsia="仿宋_GB2312" w:cs="Times New Roman"/>
          <w:w w:val="100"/>
          <w:kern w:val="2"/>
          <w:sz w:val="28"/>
          <w:szCs w:val="28"/>
          <w:highlight w:val="none"/>
          <w:lang w:val="en-US" w:eastAsia="zh-CN" w:bidi="ar-SA"/>
        </w:rPr>
        <w:t>人（行政</w:t>
      </w:r>
      <w:r>
        <w:rPr>
          <w:rFonts w:hint="eastAsia" w:ascii="仿宋_GB2312" w:eastAsia="仿宋_GB2312" w:cs="Times New Roman"/>
          <w:w w:val="100"/>
          <w:kern w:val="2"/>
          <w:sz w:val="28"/>
          <w:szCs w:val="28"/>
          <w:highlight w:val="none"/>
          <w:lang w:val="en-US" w:eastAsia="zh-CN" w:bidi="ar-SA"/>
        </w:rPr>
        <w:t>219</w:t>
      </w:r>
      <w:r>
        <w:rPr>
          <w:rFonts w:hint="eastAsia" w:ascii="仿宋_GB2312" w:hAnsi="Times New Roman" w:eastAsia="仿宋_GB2312" w:cs="Times New Roman"/>
          <w:w w:val="100"/>
          <w:kern w:val="2"/>
          <w:sz w:val="28"/>
          <w:szCs w:val="28"/>
          <w:highlight w:val="none"/>
          <w:lang w:val="en-US" w:eastAsia="zh-CN" w:bidi="ar-SA"/>
        </w:rPr>
        <w:t>人，工勤25人），实有在职人员2</w:t>
      </w:r>
      <w:r>
        <w:rPr>
          <w:rFonts w:hint="eastAsia" w:ascii="仿宋_GB2312" w:eastAsia="仿宋_GB2312" w:cs="Times New Roman"/>
          <w:w w:val="100"/>
          <w:kern w:val="2"/>
          <w:sz w:val="28"/>
          <w:szCs w:val="28"/>
          <w:highlight w:val="none"/>
          <w:lang w:val="en-US" w:eastAsia="zh-CN" w:bidi="ar-SA"/>
        </w:rPr>
        <w:t>44</w:t>
      </w:r>
      <w:r>
        <w:rPr>
          <w:rFonts w:hint="eastAsia" w:ascii="仿宋_GB2312" w:hAnsi="Times New Roman" w:eastAsia="仿宋_GB2312" w:cs="Times New Roman"/>
          <w:w w:val="100"/>
          <w:kern w:val="2"/>
          <w:sz w:val="28"/>
          <w:szCs w:val="28"/>
          <w:highlight w:val="none"/>
          <w:lang w:val="en-US" w:eastAsia="zh-CN" w:bidi="ar-SA"/>
        </w:rPr>
        <w:t>人，其中行政</w:t>
      </w:r>
      <w:r>
        <w:rPr>
          <w:rFonts w:hint="eastAsia" w:ascii="仿宋_GB2312" w:eastAsia="仿宋_GB2312" w:cs="Times New Roman"/>
          <w:w w:val="100"/>
          <w:kern w:val="2"/>
          <w:sz w:val="28"/>
          <w:szCs w:val="28"/>
          <w:highlight w:val="none"/>
          <w:lang w:val="en-US" w:eastAsia="zh-CN" w:bidi="ar-SA"/>
        </w:rPr>
        <w:t>221</w:t>
      </w:r>
      <w:r>
        <w:rPr>
          <w:rFonts w:hint="eastAsia" w:ascii="仿宋_GB2312" w:hAnsi="Times New Roman" w:eastAsia="仿宋_GB2312" w:cs="Times New Roman"/>
          <w:w w:val="100"/>
          <w:kern w:val="2"/>
          <w:sz w:val="28"/>
          <w:szCs w:val="28"/>
          <w:highlight w:val="none"/>
          <w:lang w:val="en-US" w:eastAsia="zh-CN" w:bidi="ar-SA"/>
        </w:rPr>
        <w:t>人</w:t>
      </w:r>
      <w:r>
        <w:rPr>
          <w:rFonts w:hint="eastAsia" w:ascii="仿宋_GB2312" w:eastAsia="仿宋_GB2312" w:cs="Times New Roman"/>
          <w:w w:val="100"/>
          <w:kern w:val="2"/>
          <w:sz w:val="28"/>
          <w:szCs w:val="28"/>
          <w:highlight w:val="none"/>
          <w:lang w:val="en-US" w:eastAsia="zh-CN" w:bidi="ar-SA"/>
        </w:rPr>
        <w:t>、</w:t>
      </w:r>
      <w:r>
        <w:rPr>
          <w:rFonts w:hint="eastAsia" w:ascii="仿宋_GB2312" w:hAnsi="Times New Roman" w:eastAsia="仿宋_GB2312" w:cs="Times New Roman"/>
          <w:w w:val="100"/>
          <w:kern w:val="2"/>
          <w:sz w:val="28"/>
          <w:szCs w:val="28"/>
          <w:highlight w:val="none"/>
          <w:lang w:val="en-US" w:eastAsia="zh-CN" w:bidi="ar-SA"/>
        </w:rPr>
        <w:t>事业</w:t>
      </w:r>
      <w:r>
        <w:rPr>
          <w:rFonts w:hint="eastAsia" w:ascii="仿宋_GB2312" w:eastAsia="仿宋_GB2312" w:cs="Times New Roman"/>
          <w:w w:val="100"/>
          <w:kern w:val="2"/>
          <w:sz w:val="28"/>
          <w:szCs w:val="28"/>
          <w:highlight w:val="none"/>
          <w:lang w:val="en-US" w:eastAsia="zh-CN" w:bidi="ar-SA"/>
        </w:rPr>
        <w:t>23</w:t>
      </w:r>
      <w:r>
        <w:rPr>
          <w:rFonts w:hint="eastAsia" w:ascii="仿宋_GB2312" w:hAnsi="Times New Roman" w:eastAsia="仿宋_GB2312" w:cs="Times New Roman"/>
          <w:w w:val="100"/>
          <w:kern w:val="2"/>
          <w:sz w:val="28"/>
          <w:szCs w:val="28"/>
          <w:highlight w:val="none"/>
          <w:lang w:val="en-US" w:eastAsia="zh-CN" w:bidi="ar-SA"/>
        </w:rPr>
        <w:t>人</w:t>
      </w:r>
      <w:r>
        <w:rPr>
          <w:rFonts w:hint="eastAsia" w:ascii="仿宋_GB2312" w:eastAsia="仿宋_GB2312" w:cs="Times New Roman"/>
          <w:w w:val="100"/>
          <w:kern w:val="2"/>
          <w:sz w:val="28"/>
          <w:szCs w:val="28"/>
          <w:highlight w:val="none"/>
          <w:lang w:val="en-US" w:eastAsia="zh-CN" w:bidi="ar-SA"/>
        </w:rPr>
        <w:t>，</w:t>
      </w:r>
      <w:r>
        <w:rPr>
          <w:rFonts w:hint="eastAsia" w:ascii="仿宋_GB2312" w:hAnsi="Times New Roman" w:eastAsia="仿宋_GB2312" w:cs="Times New Roman"/>
          <w:w w:val="100"/>
          <w:kern w:val="2"/>
          <w:sz w:val="28"/>
          <w:szCs w:val="28"/>
          <w:highlight w:val="none"/>
          <w:lang w:val="en-US" w:eastAsia="zh-CN" w:bidi="ar-SA"/>
        </w:rPr>
        <w:t>遗属补助人员</w:t>
      </w:r>
      <w:r>
        <w:rPr>
          <w:rFonts w:hint="eastAsia" w:ascii="仿宋_GB2312" w:eastAsia="仿宋_GB2312" w:cs="Times New Roman"/>
          <w:w w:val="100"/>
          <w:kern w:val="2"/>
          <w:sz w:val="28"/>
          <w:szCs w:val="28"/>
          <w:highlight w:val="none"/>
          <w:lang w:val="en-US" w:eastAsia="zh-CN" w:bidi="ar-SA"/>
        </w:rPr>
        <w:t>27</w:t>
      </w:r>
      <w:r>
        <w:rPr>
          <w:rFonts w:hint="eastAsia" w:ascii="仿宋_GB2312" w:hAnsi="Times New Roman" w:eastAsia="仿宋_GB2312" w:cs="Times New Roman"/>
          <w:w w:val="100"/>
          <w:kern w:val="2"/>
          <w:sz w:val="28"/>
          <w:szCs w:val="28"/>
          <w:highlight w:val="none"/>
          <w:lang w:val="en-US" w:eastAsia="zh-CN" w:bidi="ar-SA"/>
        </w:rPr>
        <w:t>人</w:t>
      </w:r>
      <w:r>
        <w:rPr>
          <w:rFonts w:hint="eastAsia" w:ascii="仿宋_GB2312" w:eastAsia="仿宋_GB2312" w:cs="Times New Roman"/>
          <w:w w:val="100"/>
          <w:kern w:val="2"/>
          <w:sz w:val="28"/>
          <w:szCs w:val="28"/>
          <w:highlight w:val="none"/>
          <w:lang w:val="en-US" w:eastAsia="zh-CN" w:bidi="ar-SA"/>
        </w:rPr>
        <w:t>，辅警</w:t>
      </w:r>
      <w:r>
        <w:rPr>
          <w:rFonts w:hint="eastAsia" w:ascii="仿宋_GB2312" w:hAnsi="Times New Roman" w:eastAsia="仿宋_GB2312" w:cs="Times New Roman"/>
          <w:w w:val="100"/>
          <w:kern w:val="2"/>
          <w:sz w:val="28"/>
          <w:szCs w:val="28"/>
          <w:highlight w:val="none"/>
          <w:lang w:val="en-US" w:eastAsia="zh-CN" w:bidi="ar-SA"/>
        </w:rPr>
        <w:t>人员</w:t>
      </w:r>
      <w:r>
        <w:rPr>
          <w:rFonts w:hint="eastAsia" w:ascii="仿宋_GB2312" w:eastAsia="仿宋_GB2312" w:cs="Times New Roman"/>
          <w:w w:val="100"/>
          <w:kern w:val="2"/>
          <w:sz w:val="28"/>
          <w:szCs w:val="28"/>
          <w:highlight w:val="none"/>
          <w:lang w:val="en-US" w:eastAsia="zh-CN" w:bidi="ar-SA"/>
        </w:rPr>
        <w:t>435</w:t>
      </w:r>
      <w:r>
        <w:rPr>
          <w:rFonts w:hint="eastAsia" w:ascii="仿宋_GB2312" w:hAnsi="Times New Roman" w:eastAsia="仿宋_GB2312" w:cs="Times New Roman"/>
          <w:w w:val="100"/>
          <w:kern w:val="2"/>
          <w:sz w:val="28"/>
          <w:szCs w:val="28"/>
          <w:highlight w:val="none"/>
          <w:lang w:val="en-US" w:eastAsia="zh-CN" w:bidi="ar-SA"/>
        </w:rPr>
        <w:t>人，</w:t>
      </w:r>
      <w:r>
        <w:rPr>
          <w:rFonts w:hint="eastAsia" w:ascii="仿宋_GB2312" w:eastAsia="仿宋_GB2312" w:cs="Times New Roman"/>
          <w:w w:val="100"/>
          <w:kern w:val="2"/>
          <w:sz w:val="28"/>
          <w:szCs w:val="28"/>
          <w:highlight w:val="none"/>
          <w:lang w:val="en-US" w:eastAsia="zh-CN" w:bidi="ar-SA"/>
        </w:rPr>
        <w:t>其中：户籍协管员15人、招录辅警121人、未招录长期辅警299人</w:t>
      </w:r>
      <w:r>
        <w:rPr>
          <w:rFonts w:hint="eastAsia" w:ascii="仿宋_GB2312" w:hAnsi="Times New Roman" w:eastAsia="仿宋_GB2312" w:cs="Times New Roman"/>
          <w:w w:val="100"/>
          <w:kern w:val="2"/>
          <w:sz w:val="28"/>
          <w:szCs w:val="28"/>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2"/>
        <w:rPr>
          <w:rFonts w:hint="eastAsia" w:ascii="仿宋_GB2312" w:hAnsi="仿宋_GB2312" w:eastAsia="仿宋_GB2312" w:cs="仿宋_GB2312"/>
          <w:b w:val="0"/>
          <w:bCs w:val="0"/>
          <w:sz w:val="28"/>
          <w:szCs w:val="28"/>
        </w:rPr>
      </w:pPr>
      <w:bookmarkStart w:id="69" w:name="_Toc315"/>
      <w:r>
        <w:rPr>
          <w:rFonts w:hint="eastAsia" w:ascii="仿宋_GB2312" w:hAnsi="仿宋_GB2312" w:eastAsia="仿宋_GB2312" w:cs="仿宋_GB2312"/>
          <w:b w:val="0"/>
          <w:bCs w:val="0"/>
          <w:sz w:val="28"/>
          <w:szCs w:val="28"/>
          <w:lang w:val="en-US" w:eastAsia="zh-CN"/>
        </w:rPr>
        <w:t>2.</w:t>
      </w:r>
      <w:r>
        <w:rPr>
          <w:rFonts w:hint="eastAsia" w:ascii="仿宋_GB2312" w:hAnsi="仿宋_GB2312" w:eastAsia="仿宋_GB2312" w:cs="仿宋_GB2312"/>
          <w:b w:val="0"/>
          <w:bCs w:val="0"/>
          <w:sz w:val="28"/>
          <w:szCs w:val="28"/>
        </w:rPr>
        <w:t>部门主要职责</w:t>
      </w:r>
      <w:bookmarkEnd w:id="6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永济市公安局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维护国家安全、政治稳定。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预防、制止和侦查违法犯罪活动。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维护社会治安秩序，制止危害社会治安秩序的行为。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组织、实施消防工作，实行消防监督。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管理枪支弹药、管制刀具和易爆、剧毒、放射性等危险物品。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法律、法规规定的特种行业管理。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警卫国家规定的特定人员，守卫重要的场所和设施。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管理集会、游行、示威活动。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管理户政、国籍、入境出境事务和外国人在中国境内居留、旅行的有关事务。</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hAnsi="仿宋_GB2312" w:cs="仿宋_GB2312"/>
          <w:sz w:val="28"/>
          <w:szCs w:val="28"/>
          <w:lang w:val="en-US" w:eastAsia="zh-CN"/>
        </w:rPr>
      </w:pPr>
      <w:bookmarkStart w:id="70" w:name="_Toc9517"/>
      <w:bookmarkStart w:id="71" w:name="_Toc31254"/>
      <w:r>
        <w:rPr>
          <w:rFonts w:hint="eastAsia" w:hAnsi="仿宋_GB2312" w:cs="仿宋_GB2312"/>
          <w:sz w:val="28"/>
          <w:szCs w:val="28"/>
          <w:lang w:val="en-US" w:eastAsia="zh-CN"/>
        </w:rPr>
        <w:t>永济市公安局交通管理大队</w:t>
      </w:r>
      <w:bookmarkEnd w:id="70"/>
      <w:bookmarkEnd w:id="71"/>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hAnsi="仿宋_GB2312" w:cs="仿宋_GB2312"/>
          <w:sz w:val="28"/>
          <w:szCs w:val="28"/>
          <w:lang w:val="en-US" w:eastAsia="zh-CN"/>
        </w:rPr>
        <w:t>（1）负责交通管理和交通事故处理，承担维护交通秩序、交通安全宣传和机动车辆的管理、驾驶人员的培训审验等工作。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永济市看守所</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 xml:space="preserve">（1）依据国家法律对被羁押的各类在押犯罪嫌疑人、被告人实行武装警戒看守，保障安全；对在押人员进行教育；管理在押人员的生活和卫生；保障侦查、起诉、审判工作的顺利进行。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hAnsi="仿宋_GB2312" w:cs="仿宋_GB2312"/>
          <w:kern w:val="2"/>
          <w:sz w:val="28"/>
          <w:szCs w:val="28"/>
          <w:lang w:val="en-US" w:eastAsia="zh-CN" w:bidi="ar-SA"/>
        </w:rPr>
      </w:pPr>
      <w:r>
        <w:rPr>
          <w:rFonts w:hint="eastAsia" w:hAnsi="仿宋_GB2312" w:cs="仿宋_GB2312"/>
          <w:kern w:val="2"/>
          <w:sz w:val="28"/>
          <w:szCs w:val="28"/>
          <w:lang w:val="en-US" w:eastAsia="zh-CN" w:bidi="ar-SA"/>
        </w:rPr>
        <w:t>永济市拘留所</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hAnsi="仿宋_GB2312" w:cs="仿宋_GB2312"/>
          <w:kern w:val="2"/>
          <w:sz w:val="28"/>
          <w:szCs w:val="28"/>
          <w:lang w:val="en-US" w:eastAsia="zh-CN" w:bidi="ar-SA"/>
        </w:rPr>
      </w:pPr>
      <w:r>
        <w:rPr>
          <w:rFonts w:hint="eastAsia" w:hAnsi="仿宋_GB2312" w:cs="仿宋_GB2312"/>
          <w:kern w:val="2"/>
          <w:sz w:val="28"/>
          <w:szCs w:val="28"/>
          <w:lang w:val="en-US" w:eastAsia="zh-CN" w:bidi="ar-SA"/>
        </w:rPr>
        <w:t>（1）是公安机关或人民法院对违法人员采取限制人身自由的一种强制措施的监管场所，承担着管理、教育、化解社会矛盾的任务。</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562" w:firstLineChars="200"/>
        <w:jc w:val="left"/>
        <w:textAlignment w:val="auto"/>
        <w:outlineLvl w:val="1"/>
        <w:rPr>
          <w:rFonts w:hint="eastAsia" w:ascii="仿宋" w:hAnsi="仿宋" w:eastAsia="仿宋" w:cs="仿宋"/>
          <w:b/>
          <w:bCs/>
          <w:color w:val="000000"/>
          <w:kern w:val="0"/>
          <w:sz w:val="28"/>
          <w:szCs w:val="28"/>
          <w:highlight w:val="none"/>
          <w:shd w:val="clear" w:color="auto" w:fill="FFFFFF"/>
        </w:rPr>
      </w:pPr>
      <w:bookmarkStart w:id="72" w:name="_Toc2851"/>
      <w:r>
        <w:rPr>
          <w:rFonts w:hint="eastAsia" w:ascii="仿宋" w:hAnsi="仿宋" w:eastAsia="仿宋" w:cs="仿宋"/>
          <w:b/>
          <w:bCs/>
          <w:color w:val="000000"/>
          <w:kern w:val="0"/>
          <w:sz w:val="28"/>
          <w:szCs w:val="28"/>
          <w:highlight w:val="none"/>
          <w:shd w:val="clear" w:color="auto" w:fill="FFFFFF"/>
        </w:rPr>
        <w:t>（二）</w:t>
      </w:r>
      <w:r>
        <w:rPr>
          <w:rFonts w:hint="eastAsia" w:ascii="仿宋" w:hAnsi="仿宋" w:eastAsia="仿宋" w:cs="仿宋"/>
          <w:b/>
          <w:bCs/>
          <w:color w:val="000000"/>
          <w:kern w:val="0"/>
          <w:sz w:val="28"/>
          <w:szCs w:val="28"/>
          <w:highlight w:val="none"/>
          <w:shd w:val="clear" w:color="auto" w:fill="FFFFFF"/>
          <w:lang w:eastAsia="zh-CN"/>
        </w:rPr>
        <w:t>部门预算批复及整体支出</w:t>
      </w:r>
      <w:r>
        <w:rPr>
          <w:rFonts w:hint="eastAsia" w:ascii="仿宋" w:hAnsi="仿宋" w:eastAsia="仿宋" w:cs="仿宋"/>
          <w:b/>
          <w:bCs/>
          <w:color w:val="000000"/>
          <w:kern w:val="0"/>
          <w:sz w:val="28"/>
          <w:szCs w:val="28"/>
          <w:highlight w:val="none"/>
          <w:shd w:val="clear" w:color="auto" w:fill="FFFFFF"/>
        </w:rPr>
        <w:t>情况</w:t>
      </w:r>
      <w:bookmarkEnd w:id="65"/>
      <w:bookmarkEnd w:id="66"/>
      <w:bookmarkEnd w:id="67"/>
      <w:bookmarkEnd w:id="72"/>
    </w:p>
    <w:p>
      <w:pPr>
        <w:pStyle w:val="7"/>
        <w:keepNext/>
        <w:keepLines/>
        <w:pageBreakBefore w:val="0"/>
        <w:widowControl w:val="0"/>
        <w:kinsoku/>
        <w:wordWrap/>
        <w:overflowPunct/>
        <w:topLinePunct w:val="0"/>
        <w:autoSpaceDE/>
        <w:autoSpaceDN/>
        <w:bidi w:val="0"/>
        <w:adjustRightInd w:val="0"/>
        <w:snapToGrid w:val="0"/>
        <w:spacing w:before="0" w:after="0" w:line="360" w:lineRule="auto"/>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1.预算批复情况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根据永济市财政局《关于批复2021年部门预算的通知》（永财字〔2021〕1号）文件，经永济市七届人民代表大会第一次会议审查批准，批复</w:t>
      </w:r>
      <w:r>
        <w:rPr>
          <w:rFonts w:hint="eastAsia" w:ascii="仿宋_GB2312" w:hAnsi="仿宋_GB2312" w:eastAsia="仿宋_GB2312" w:cs="仿宋_GB2312"/>
          <w:sz w:val="28"/>
          <w:szCs w:val="28"/>
          <w:lang w:val="en-US" w:eastAsia="zh-CN"/>
        </w:rPr>
        <w:t>永济市公安局</w:t>
      </w:r>
      <w:r>
        <w:rPr>
          <w:rFonts w:hint="eastAsia" w:ascii="仿宋_GB2312" w:hAnsi="仿宋_GB2312" w:eastAsia="仿宋_GB2312" w:cs="仿宋_GB2312"/>
          <w:sz w:val="28"/>
          <w:szCs w:val="28"/>
        </w:rPr>
        <w:t>2021年部门</w:t>
      </w:r>
      <w:r>
        <w:rPr>
          <w:rFonts w:hint="eastAsia" w:ascii="仿宋_GB2312" w:hAnsi="仿宋_GB2312" w:eastAsia="仿宋_GB2312" w:cs="仿宋_GB2312"/>
          <w:sz w:val="28"/>
          <w:szCs w:val="28"/>
          <w:lang w:eastAsia="zh-CN"/>
        </w:rPr>
        <w:t>整体</w:t>
      </w:r>
      <w:r>
        <w:rPr>
          <w:rFonts w:hint="eastAsia" w:ascii="仿宋_GB2312" w:hAnsi="仿宋_GB2312" w:eastAsia="仿宋_GB2312" w:cs="仿宋_GB2312"/>
          <w:sz w:val="28"/>
          <w:szCs w:val="28"/>
        </w:rPr>
        <w:t>预算如下：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（1）收入预算为</w:t>
      </w:r>
      <w:r>
        <w:rPr>
          <w:rFonts w:hint="eastAsia" w:ascii="仿宋_GB2312" w:hAnsi="仿宋_GB2312" w:eastAsia="仿宋_GB2312" w:cs="仿宋_GB2312"/>
          <w:sz w:val="28"/>
          <w:szCs w:val="28"/>
          <w:lang w:val="en-US" w:eastAsia="zh-CN"/>
        </w:rPr>
        <w:t>7332.12</w:t>
      </w:r>
      <w:r>
        <w:rPr>
          <w:rFonts w:hint="eastAsia" w:ascii="仿宋_GB2312" w:hAnsi="仿宋_GB2312" w:eastAsia="仿宋_GB2312" w:cs="仿宋_GB2312"/>
          <w:sz w:val="28"/>
          <w:szCs w:val="28"/>
        </w:rPr>
        <w:t>万元，其中：一般公共预算财政拨款资金</w:t>
      </w:r>
      <w:r>
        <w:rPr>
          <w:rFonts w:hint="eastAsia" w:ascii="仿宋_GB2312" w:hAnsi="仿宋_GB2312" w:eastAsia="仿宋_GB2312" w:cs="仿宋_GB2312"/>
          <w:sz w:val="28"/>
          <w:szCs w:val="28"/>
          <w:lang w:val="en-US" w:eastAsia="zh-CN"/>
        </w:rPr>
        <w:t>7332.12</w:t>
      </w:r>
      <w:r>
        <w:rPr>
          <w:rFonts w:hint="eastAsia" w:ascii="仿宋_GB2312" w:hAnsi="仿宋_GB2312" w:eastAsia="仿宋_GB2312" w:cs="仿宋_GB2312"/>
          <w:sz w:val="28"/>
          <w:szCs w:val="28"/>
        </w:rPr>
        <w:t>万元。</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仿宋_GB2312"/>
          <w:sz w:val="28"/>
          <w:szCs w:val="28"/>
          <w:lang w:eastAsia="zh-CN"/>
        </w:rPr>
      </w:pPr>
      <w:r>
        <w:rPr>
          <w:rFonts w:hint="eastAsia" w:ascii="仿宋_GB2312" w:hAnsi="仿宋_GB2312" w:eastAsia="仿宋_GB2312" w:cs="仿宋_GB2312"/>
          <w:sz w:val="28"/>
          <w:szCs w:val="28"/>
        </w:rPr>
        <w:t>（2）支出预算为</w:t>
      </w:r>
      <w:r>
        <w:rPr>
          <w:rFonts w:hint="eastAsia" w:ascii="仿宋_GB2312" w:hAnsi="仿宋_GB2312" w:eastAsia="仿宋_GB2312" w:cs="仿宋_GB2312"/>
          <w:sz w:val="28"/>
          <w:szCs w:val="28"/>
          <w:lang w:val="en-US" w:eastAsia="zh-CN"/>
        </w:rPr>
        <w:t>7332.12</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其中：</w:t>
      </w:r>
      <w:r>
        <w:rPr>
          <w:rFonts w:hint="eastAsia" w:ascii="仿宋_GB2312" w:hAnsi="仿宋_GB2312" w:eastAsia="仿宋_GB2312" w:cs="仿宋_GB2312"/>
          <w:sz w:val="28"/>
          <w:szCs w:val="28"/>
        </w:rPr>
        <w:t>工资福利支出</w:t>
      </w:r>
      <w:r>
        <w:rPr>
          <w:rFonts w:hint="eastAsia" w:hAnsi="仿宋_GB2312" w:cs="仿宋_GB2312"/>
          <w:sz w:val="28"/>
          <w:szCs w:val="28"/>
          <w:lang w:val="en-US" w:eastAsia="zh-CN"/>
        </w:rPr>
        <w:t>2726.81</w:t>
      </w:r>
      <w:r>
        <w:rPr>
          <w:rFonts w:hint="eastAsia" w:ascii="仿宋_GB2312" w:hAnsi="仿宋_GB2312" w:eastAsia="仿宋_GB2312" w:cs="仿宋_GB2312"/>
          <w:sz w:val="28"/>
          <w:szCs w:val="28"/>
        </w:rPr>
        <w:t>万元，对个人和家庭补助</w:t>
      </w:r>
      <w:r>
        <w:rPr>
          <w:rFonts w:hint="eastAsia" w:hAnsi="仿宋_GB2312" w:cs="仿宋_GB2312"/>
          <w:sz w:val="28"/>
          <w:szCs w:val="28"/>
          <w:lang w:val="en-US" w:eastAsia="zh-CN"/>
        </w:rPr>
        <w:t>79.41</w:t>
      </w:r>
      <w:r>
        <w:rPr>
          <w:rFonts w:hint="eastAsia" w:ascii="仿宋_GB2312" w:hAnsi="仿宋_GB2312" w:eastAsia="仿宋_GB2312" w:cs="仿宋_GB2312"/>
          <w:sz w:val="28"/>
          <w:szCs w:val="28"/>
        </w:rPr>
        <w:t>万元，</w:t>
      </w:r>
      <w:r>
        <w:rPr>
          <w:rFonts w:hint="eastAsia" w:hAnsi="仿宋_GB2312" w:cs="仿宋_GB2312"/>
          <w:sz w:val="28"/>
          <w:szCs w:val="28"/>
          <w:lang w:eastAsia="zh-CN"/>
        </w:rPr>
        <w:t>公用经费</w:t>
      </w:r>
      <w:r>
        <w:rPr>
          <w:rFonts w:hint="eastAsia" w:hAnsi="仿宋_GB2312" w:cs="仿宋_GB2312"/>
          <w:sz w:val="28"/>
          <w:szCs w:val="28"/>
          <w:lang w:val="en-US" w:eastAsia="zh-CN"/>
        </w:rPr>
        <w:t>1345.32</w:t>
      </w:r>
      <w:r>
        <w:rPr>
          <w:rFonts w:hint="eastAsia" w:ascii="仿宋_GB2312" w:hAnsi="仿宋_GB2312" w:eastAsia="仿宋_GB2312" w:cs="仿宋_GB2312"/>
          <w:sz w:val="28"/>
          <w:szCs w:val="28"/>
          <w:lang w:val="en-US" w:eastAsia="zh-CN"/>
        </w:rPr>
        <w:t>万元，</w:t>
      </w:r>
      <w:r>
        <w:rPr>
          <w:rFonts w:hint="eastAsia" w:ascii="仿宋_GB2312" w:hAnsi="仿宋_GB2312" w:eastAsia="仿宋_GB2312" w:cs="仿宋_GB2312"/>
          <w:sz w:val="28"/>
          <w:szCs w:val="28"/>
        </w:rPr>
        <w:t>项目支出</w:t>
      </w:r>
      <w:r>
        <w:rPr>
          <w:rFonts w:hint="eastAsia" w:hAnsi="仿宋_GB2312" w:cs="仿宋_GB2312"/>
          <w:sz w:val="28"/>
          <w:szCs w:val="28"/>
          <w:lang w:val="en-US" w:eastAsia="zh-CN"/>
        </w:rPr>
        <w:t>3180.58</w:t>
      </w:r>
      <w:r>
        <w:rPr>
          <w:rFonts w:hint="eastAsia" w:ascii="仿宋_GB2312" w:hAnsi="仿宋_GB2312" w:eastAsia="仿宋_GB2312" w:cs="仿宋_GB2312"/>
          <w:sz w:val="28"/>
          <w:szCs w:val="28"/>
        </w:rPr>
        <w:t>万元</w:t>
      </w:r>
      <w:r>
        <w:rPr>
          <w:rFonts w:hint="eastAsia" w:hAnsi="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永济市公安局</w:t>
      </w:r>
      <w:r>
        <w:rPr>
          <w:rFonts w:hint="eastAsia" w:ascii="仿宋_GB2312" w:hAnsi="仿宋_GB2312" w:eastAsia="仿宋_GB2312" w:cs="仿宋_GB2312"/>
          <w:b w:val="0"/>
          <w:bCs w:val="0"/>
          <w:sz w:val="28"/>
          <w:szCs w:val="28"/>
        </w:rPr>
        <w:t>2021年</w:t>
      </w:r>
      <w:r>
        <w:rPr>
          <w:rFonts w:hint="eastAsia" w:ascii="仿宋_GB2312" w:hAnsi="仿宋_GB2312" w:eastAsia="仿宋_GB2312" w:cs="仿宋_GB2312"/>
          <w:b w:val="0"/>
          <w:bCs w:val="0"/>
          <w:kern w:val="2"/>
          <w:sz w:val="28"/>
          <w:szCs w:val="28"/>
          <w:lang w:val="en-US" w:eastAsia="zh-CN" w:bidi="ar-SA"/>
        </w:rPr>
        <w:t>本级部门预算：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（1）收入预算为5748.1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万元，其中：一般公共预算财政拨款资金</w:t>
      </w:r>
      <w:r>
        <w:rPr>
          <w:rFonts w:hint="eastAsia" w:ascii="仿宋_GB2312" w:hAnsi="仿宋_GB2312" w:eastAsia="仿宋_GB2312" w:cs="仿宋_GB2312"/>
          <w:sz w:val="28"/>
          <w:szCs w:val="28"/>
          <w:lang w:val="en-US" w:eastAsia="zh-CN"/>
        </w:rPr>
        <w:t>5748.19</w:t>
      </w:r>
      <w:r>
        <w:rPr>
          <w:rFonts w:hint="eastAsia" w:ascii="仿宋_GB2312" w:hAnsi="仿宋_GB2312" w:eastAsia="仿宋_GB2312" w:cs="仿宋_GB2312"/>
          <w:sz w:val="28"/>
          <w:szCs w:val="28"/>
        </w:rPr>
        <w:t>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sz w:val="28"/>
          <w:szCs w:val="28"/>
        </w:rPr>
        <w:t>（2）支出预算为</w:t>
      </w:r>
      <w:r>
        <w:rPr>
          <w:rFonts w:hint="eastAsia" w:ascii="仿宋_GB2312" w:hAnsi="仿宋_GB2312" w:eastAsia="仿宋_GB2312" w:cs="仿宋_GB2312"/>
          <w:sz w:val="28"/>
          <w:szCs w:val="28"/>
          <w:lang w:val="en-US" w:eastAsia="zh-CN"/>
        </w:rPr>
        <w:t>5748.19</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其中：</w:t>
      </w:r>
      <w:r>
        <w:rPr>
          <w:rFonts w:hint="eastAsia" w:ascii="仿宋_GB2312" w:hAnsi="仿宋_GB2312" w:eastAsia="仿宋_GB2312" w:cs="仿宋_GB2312"/>
          <w:sz w:val="28"/>
          <w:szCs w:val="28"/>
        </w:rPr>
        <w:t>工资福利支出</w:t>
      </w:r>
      <w:r>
        <w:rPr>
          <w:rFonts w:hint="eastAsia" w:ascii="仿宋_GB2312" w:hAnsi="仿宋_GB2312" w:eastAsia="仿宋_GB2312" w:cs="仿宋_GB2312"/>
          <w:sz w:val="28"/>
          <w:szCs w:val="28"/>
          <w:lang w:val="en-US" w:eastAsia="zh-CN"/>
        </w:rPr>
        <w:t>2375.74</w:t>
      </w:r>
      <w:r>
        <w:rPr>
          <w:rFonts w:hint="eastAsia" w:ascii="仿宋_GB2312" w:hAnsi="仿宋_GB2312" w:eastAsia="仿宋_GB2312" w:cs="仿宋_GB2312"/>
          <w:sz w:val="28"/>
          <w:szCs w:val="28"/>
        </w:rPr>
        <w:t>万元，对个人和家庭补助</w:t>
      </w:r>
      <w:r>
        <w:rPr>
          <w:rFonts w:hint="eastAsia" w:ascii="仿宋_GB2312" w:hAnsi="仿宋_GB2312" w:eastAsia="仿宋_GB2312" w:cs="仿宋_GB2312"/>
          <w:sz w:val="28"/>
          <w:szCs w:val="28"/>
          <w:lang w:val="en-US" w:eastAsia="zh-CN"/>
        </w:rPr>
        <w:t>73.36</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公用经费</w:t>
      </w:r>
      <w:r>
        <w:rPr>
          <w:rFonts w:hint="eastAsia" w:ascii="仿宋_GB2312" w:hAnsi="仿宋_GB2312" w:eastAsia="仿宋_GB2312" w:cs="仿宋_GB2312"/>
          <w:sz w:val="28"/>
          <w:szCs w:val="28"/>
          <w:lang w:val="en-US" w:eastAsia="zh-CN"/>
        </w:rPr>
        <w:t>672.92万元，</w:t>
      </w:r>
      <w:r>
        <w:rPr>
          <w:rFonts w:hint="eastAsia" w:ascii="仿宋_GB2312" w:hAnsi="仿宋_GB2312" w:eastAsia="仿宋_GB2312" w:cs="仿宋_GB2312"/>
          <w:sz w:val="28"/>
          <w:szCs w:val="28"/>
        </w:rPr>
        <w:t>项目支出</w:t>
      </w:r>
      <w:r>
        <w:rPr>
          <w:rFonts w:hint="eastAsia" w:ascii="仿宋_GB2312" w:hAnsi="仿宋_GB2312" w:eastAsia="仿宋_GB2312" w:cs="仿宋_GB2312"/>
          <w:sz w:val="28"/>
          <w:szCs w:val="28"/>
          <w:lang w:val="en-US" w:eastAsia="zh-CN"/>
        </w:rPr>
        <w:t>2626.17</w:t>
      </w:r>
      <w:r>
        <w:rPr>
          <w:rFonts w:hint="eastAsia" w:ascii="仿宋_GB2312" w:hAnsi="仿宋_GB2312" w:eastAsia="仿宋_GB2312" w:cs="仿宋_GB2312"/>
          <w:sz w:val="28"/>
          <w:szCs w:val="28"/>
        </w:rPr>
        <w:t>万元。具体预算支出见下表1-1：</w:t>
      </w:r>
    </w:p>
    <w:p>
      <w:pPr>
        <w:pStyle w:val="2"/>
        <w:ind w:firstLine="56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表1-1 预算支出汇总表</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7"/>
        <w:gridCol w:w="1718"/>
        <w:gridCol w:w="2277"/>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blHeader/>
        </w:trPr>
        <w:tc>
          <w:tcPr>
            <w:tcW w:w="1641"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项目名称</w:t>
            </w:r>
          </w:p>
        </w:tc>
        <w:tc>
          <w:tcPr>
            <w:tcW w:w="1008"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预算总计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（万元）</w:t>
            </w:r>
          </w:p>
        </w:tc>
        <w:tc>
          <w:tcPr>
            <w:tcW w:w="1336"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一般公共预算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（万元）</w:t>
            </w:r>
          </w:p>
        </w:tc>
        <w:tc>
          <w:tcPr>
            <w:tcW w:w="1013"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政府性基金（万元）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基本支出：</w:t>
            </w:r>
          </w:p>
        </w:tc>
        <w:tc>
          <w:tcPr>
            <w:tcW w:w="100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3122.02</w:t>
            </w:r>
          </w:p>
        </w:tc>
        <w:tc>
          <w:tcPr>
            <w:tcW w:w="13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3122.02</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工资福利支出</w:t>
            </w:r>
          </w:p>
        </w:tc>
        <w:tc>
          <w:tcPr>
            <w:tcW w:w="100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2375.74</w:t>
            </w:r>
          </w:p>
        </w:tc>
        <w:tc>
          <w:tcPr>
            <w:tcW w:w="13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2375.74</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对个人和家庭补助</w:t>
            </w:r>
          </w:p>
        </w:tc>
        <w:tc>
          <w:tcPr>
            <w:tcW w:w="100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73.36</w:t>
            </w:r>
          </w:p>
        </w:tc>
        <w:tc>
          <w:tcPr>
            <w:tcW w:w="13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73.36</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公用经费</w:t>
            </w:r>
          </w:p>
        </w:tc>
        <w:tc>
          <w:tcPr>
            <w:tcW w:w="100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672.92</w:t>
            </w:r>
          </w:p>
        </w:tc>
        <w:tc>
          <w:tcPr>
            <w:tcW w:w="13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672.92</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项目支出：</w:t>
            </w:r>
          </w:p>
        </w:tc>
        <w:tc>
          <w:tcPr>
            <w:tcW w:w="100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2626.17</w:t>
            </w:r>
          </w:p>
        </w:tc>
        <w:tc>
          <w:tcPr>
            <w:tcW w:w="13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2626.17</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其他运转类项目</w:t>
            </w:r>
          </w:p>
        </w:tc>
        <w:tc>
          <w:tcPr>
            <w:tcW w:w="100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1845.17</w:t>
            </w:r>
          </w:p>
        </w:tc>
        <w:tc>
          <w:tcPr>
            <w:tcW w:w="13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1845.17</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特定目标类项目</w:t>
            </w:r>
          </w:p>
        </w:tc>
        <w:tc>
          <w:tcPr>
            <w:tcW w:w="100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781.00</w:t>
            </w:r>
          </w:p>
        </w:tc>
        <w:tc>
          <w:tcPr>
            <w:tcW w:w="13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781.00</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合 计</w:t>
            </w:r>
          </w:p>
        </w:tc>
        <w:tc>
          <w:tcPr>
            <w:tcW w:w="100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5748.19</w:t>
            </w:r>
          </w:p>
        </w:tc>
        <w:tc>
          <w:tcPr>
            <w:tcW w:w="13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5748.19</w:t>
            </w:r>
          </w:p>
        </w:tc>
        <w:tc>
          <w:tcPr>
            <w:tcW w:w="10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b w:val="0"/>
          <w:bCs w:val="0"/>
          <w:sz w:val="28"/>
          <w:szCs w:val="28"/>
          <w:lang w:eastAsia="zh-CN"/>
        </w:rPr>
      </w:pPr>
      <w:bookmarkStart w:id="73" w:name="_Toc22471"/>
      <w:bookmarkStart w:id="74" w:name="_Toc4330"/>
      <w:r>
        <w:rPr>
          <w:rFonts w:hint="eastAsia" w:ascii="仿宋_GB2312" w:hAnsi="仿宋_GB2312" w:eastAsia="仿宋_GB2312" w:cs="仿宋_GB2312"/>
          <w:b w:val="0"/>
          <w:bCs w:val="0"/>
          <w:sz w:val="28"/>
          <w:szCs w:val="28"/>
          <w:lang w:eastAsia="zh-CN"/>
        </w:rPr>
        <w:t>永济市公安局交通管理大队</w:t>
      </w:r>
      <w:r>
        <w:rPr>
          <w:rFonts w:hint="eastAsia" w:ascii="仿宋_GB2312" w:hAnsi="仿宋_GB2312" w:eastAsia="仿宋_GB2312" w:cs="仿宋_GB2312"/>
          <w:b w:val="0"/>
          <w:bCs w:val="0"/>
          <w:sz w:val="28"/>
          <w:szCs w:val="28"/>
        </w:rPr>
        <w:t>2021年</w:t>
      </w:r>
      <w:r>
        <w:rPr>
          <w:rFonts w:hint="eastAsia" w:ascii="仿宋_GB2312" w:hAnsi="仿宋_GB2312" w:eastAsia="仿宋_GB2312" w:cs="仿宋_GB2312"/>
          <w:b w:val="0"/>
          <w:bCs w:val="0"/>
          <w:sz w:val="28"/>
          <w:szCs w:val="28"/>
          <w:lang w:eastAsia="zh-CN"/>
        </w:rPr>
        <w:t>部门预算：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（1）收入预算为1293.08</w:t>
      </w:r>
      <w:r>
        <w:rPr>
          <w:rFonts w:hint="eastAsia" w:ascii="仿宋_GB2312" w:hAnsi="仿宋_GB2312" w:eastAsia="仿宋_GB2312" w:cs="仿宋_GB2312"/>
          <w:sz w:val="28"/>
          <w:szCs w:val="28"/>
        </w:rPr>
        <w:t>万元，其中：一般公共预算财政拨款资</w:t>
      </w:r>
      <w:r>
        <w:rPr>
          <w:rFonts w:hint="eastAsia" w:ascii="仿宋_GB2312" w:hAnsi="仿宋_GB2312" w:eastAsia="仿宋_GB2312" w:cs="仿宋_GB2312"/>
          <w:sz w:val="28"/>
          <w:szCs w:val="28"/>
          <w:lang w:val="en-US" w:eastAsia="zh-CN"/>
        </w:rPr>
        <w:t>1293.08</w:t>
      </w:r>
      <w:r>
        <w:rPr>
          <w:rFonts w:hint="eastAsia" w:ascii="仿宋_GB2312" w:hAnsi="仿宋_GB2312" w:eastAsia="仿宋_GB2312" w:cs="仿宋_GB2312"/>
          <w:sz w:val="28"/>
          <w:szCs w:val="28"/>
        </w:rPr>
        <w:t>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（2）支出预算为</w:t>
      </w:r>
      <w:r>
        <w:rPr>
          <w:rFonts w:hint="eastAsia" w:ascii="仿宋_GB2312" w:hAnsi="仿宋_GB2312" w:eastAsia="仿宋_GB2312" w:cs="仿宋_GB2312"/>
          <w:sz w:val="28"/>
          <w:szCs w:val="28"/>
          <w:lang w:val="en-US" w:eastAsia="zh-CN"/>
        </w:rPr>
        <w:t>1293.08</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其中：</w:t>
      </w:r>
      <w:r>
        <w:rPr>
          <w:rFonts w:hint="eastAsia" w:ascii="仿宋_GB2312" w:hAnsi="仿宋_GB2312" w:eastAsia="仿宋_GB2312" w:cs="仿宋_GB2312"/>
          <w:sz w:val="28"/>
          <w:szCs w:val="28"/>
        </w:rPr>
        <w:t>工资福利支出</w:t>
      </w:r>
      <w:r>
        <w:rPr>
          <w:rFonts w:hint="eastAsia" w:ascii="仿宋_GB2312" w:hAnsi="仿宋_GB2312" w:eastAsia="仿宋_GB2312" w:cs="仿宋_GB2312"/>
          <w:sz w:val="28"/>
          <w:szCs w:val="28"/>
          <w:lang w:val="en-US" w:eastAsia="zh-CN"/>
        </w:rPr>
        <w:t>351.07</w:t>
      </w:r>
      <w:r>
        <w:rPr>
          <w:rFonts w:hint="eastAsia" w:ascii="仿宋_GB2312" w:hAnsi="仿宋_GB2312" w:eastAsia="仿宋_GB2312" w:cs="仿宋_GB2312"/>
          <w:sz w:val="28"/>
          <w:szCs w:val="28"/>
        </w:rPr>
        <w:t>万元，对个人和家庭补助</w:t>
      </w:r>
      <w:r>
        <w:rPr>
          <w:rFonts w:hint="eastAsia" w:ascii="仿宋_GB2312" w:hAnsi="仿宋_GB2312" w:eastAsia="仿宋_GB2312" w:cs="仿宋_GB2312"/>
          <w:sz w:val="28"/>
          <w:szCs w:val="28"/>
          <w:lang w:val="en-US" w:eastAsia="zh-CN"/>
        </w:rPr>
        <w:t>6.05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公用经费</w:t>
      </w:r>
      <w:r>
        <w:rPr>
          <w:rFonts w:hint="eastAsia" w:ascii="仿宋_GB2312" w:hAnsi="仿宋_GB2312" w:eastAsia="仿宋_GB2312" w:cs="仿宋_GB2312"/>
          <w:sz w:val="28"/>
          <w:szCs w:val="28"/>
          <w:lang w:val="en-US" w:eastAsia="zh-CN"/>
        </w:rPr>
        <w:t>672.40万元，</w:t>
      </w:r>
      <w:r>
        <w:rPr>
          <w:rFonts w:hint="eastAsia" w:ascii="仿宋_GB2312" w:hAnsi="仿宋_GB2312" w:eastAsia="仿宋_GB2312" w:cs="仿宋_GB2312"/>
          <w:sz w:val="28"/>
          <w:szCs w:val="28"/>
        </w:rPr>
        <w:t>项目支出</w:t>
      </w:r>
      <w:r>
        <w:rPr>
          <w:rFonts w:hint="eastAsia" w:ascii="仿宋_GB2312" w:hAnsi="仿宋_GB2312" w:eastAsia="仿宋_GB2312" w:cs="仿宋_GB2312"/>
          <w:sz w:val="28"/>
          <w:szCs w:val="28"/>
          <w:lang w:val="en-US" w:eastAsia="zh-CN"/>
        </w:rPr>
        <w:t>263.56</w:t>
      </w:r>
      <w:r>
        <w:rPr>
          <w:rFonts w:hint="eastAsia" w:ascii="仿宋_GB2312" w:hAnsi="仿宋_GB2312" w:eastAsia="仿宋_GB2312" w:cs="仿宋_GB2312"/>
          <w:sz w:val="28"/>
          <w:szCs w:val="28"/>
        </w:rPr>
        <w:t>万元。具体预算支出见下表1-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p>
    <w:p>
      <w:pPr>
        <w:pStyle w:val="2"/>
        <w:ind w:firstLine="56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表1-2 预算支出汇总表</w:t>
      </w:r>
    </w:p>
    <w:tbl>
      <w:tblPr>
        <w:tblStyle w:val="1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1911"/>
        <w:gridCol w:w="207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blHeader/>
        </w:trPr>
        <w:tc>
          <w:tcPr>
            <w:tcW w:w="1727"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项目名称</w:t>
            </w:r>
          </w:p>
        </w:tc>
        <w:tc>
          <w:tcPr>
            <w:tcW w:w="1121"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预算总计</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（万元）</w:t>
            </w:r>
          </w:p>
        </w:tc>
        <w:tc>
          <w:tcPr>
            <w:tcW w:w="1216"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一般公共预算   （万元）</w:t>
            </w:r>
          </w:p>
        </w:tc>
        <w:tc>
          <w:tcPr>
            <w:tcW w:w="934"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政府性基金（万元）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基本支出：</w:t>
            </w:r>
          </w:p>
        </w:tc>
        <w:tc>
          <w:tcPr>
            <w:tcW w:w="11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1029.52</w:t>
            </w:r>
          </w:p>
        </w:tc>
        <w:tc>
          <w:tcPr>
            <w:tcW w:w="12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1029.52</w:t>
            </w:r>
          </w:p>
        </w:tc>
        <w:tc>
          <w:tcPr>
            <w:tcW w:w="934" w:type="pct"/>
            <w:noWrap w:val="0"/>
            <w:vAlign w:val="center"/>
          </w:tcPr>
          <w:p>
            <w:pPr>
              <w:ind w:firstLine="0" w:firstLineChars="0"/>
              <w:jc w:val="right"/>
              <w:rPr>
                <w:rFonts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工资福利支出</w:t>
            </w:r>
          </w:p>
        </w:tc>
        <w:tc>
          <w:tcPr>
            <w:tcW w:w="11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351.07</w:t>
            </w:r>
          </w:p>
        </w:tc>
        <w:tc>
          <w:tcPr>
            <w:tcW w:w="12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351.07</w:t>
            </w:r>
          </w:p>
        </w:tc>
        <w:tc>
          <w:tcPr>
            <w:tcW w:w="934" w:type="pct"/>
            <w:noWrap w:val="0"/>
            <w:vAlign w:val="center"/>
          </w:tcPr>
          <w:p>
            <w:pPr>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对个人和家庭补助</w:t>
            </w:r>
          </w:p>
        </w:tc>
        <w:tc>
          <w:tcPr>
            <w:tcW w:w="11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6.05</w:t>
            </w:r>
          </w:p>
        </w:tc>
        <w:tc>
          <w:tcPr>
            <w:tcW w:w="12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6.05</w:t>
            </w:r>
          </w:p>
        </w:tc>
        <w:tc>
          <w:tcPr>
            <w:tcW w:w="934" w:type="pct"/>
            <w:noWrap w:val="0"/>
            <w:vAlign w:val="center"/>
          </w:tcPr>
          <w:p>
            <w:pPr>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公用经费</w:t>
            </w:r>
          </w:p>
        </w:tc>
        <w:tc>
          <w:tcPr>
            <w:tcW w:w="11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672.40</w:t>
            </w:r>
          </w:p>
        </w:tc>
        <w:tc>
          <w:tcPr>
            <w:tcW w:w="12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672.40</w:t>
            </w:r>
          </w:p>
        </w:tc>
        <w:tc>
          <w:tcPr>
            <w:tcW w:w="934" w:type="pct"/>
            <w:noWrap w:val="0"/>
            <w:vAlign w:val="center"/>
          </w:tcPr>
          <w:p>
            <w:pPr>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项目支出：</w:t>
            </w:r>
          </w:p>
        </w:tc>
        <w:tc>
          <w:tcPr>
            <w:tcW w:w="11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263.56</w:t>
            </w:r>
          </w:p>
        </w:tc>
        <w:tc>
          <w:tcPr>
            <w:tcW w:w="12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263.56</w:t>
            </w:r>
          </w:p>
        </w:tc>
        <w:tc>
          <w:tcPr>
            <w:tcW w:w="934" w:type="pct"/>
            <w:noWrap w:val="0"/>
            <w:vAlign w:val="center"/>
          </w:tcPr>
          <w:p>
            <w:pPr>
              <w:ind w:firstLine="211" w:firstLineChars="100"/>
              <w:jc w:val="right"/>
              <w:rPr>
                <w:rFonts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其他运转类项目</w:t>
            </w:r>
          </w:p>
        </w:tc>
        <w:tc>
          <w:tcPr>
            <w:tcW w:w="11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213.56</w:t>
            </w:r>
          </w:p>
        </w:tc>
        <w:tc>
          <w:tcPr>
            <w:tcW w:w="12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213.56</w:t>
            </w:r>
          </w:p>
        </w:tc>
        <w:tc>
          <w:tcPr>
            <w:tcW w:w="934" w:type="pct"/>
            <w:noWrap w:val="0"/>
            <w:vAlign w:val="center"/>
          </w:tcPr>
          <w:p>
            <w:pPr>
              <w:ind w:firstLine="210" w:firstLineChars="10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特定目标类项目</w:t>
            </w:r>
          </w:p>
        </w:tc>
        <w:tc>
          <w:tcPr>
            <w:tcW w:w="11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50.00</w:t>
            </w:r>
          </w:p>
        </w:tc>
        <w:tc>
          <w:tcPr>
            <w:tcW w:w="12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50.00</w:t>
            </w:r>
          </w:p>
        </w:tc>
        <w:tc>
          <w:tcPr>
            <w:tcW w:w="934" w:type="pct"/>
            <w:noWrap w:val="0"/>
            <w:vAlign w:val="center"/>
          </w:tcPr>
          <w:p>
            <w:pPr>
              <w:ind w:firstLine="210" w:firstLineChars="10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合 计</w:t>
            </w:r>
          </w:p>
        </w:tc>
        <w:tc>
          <w:tcPr>
            <w:tcW w:w="11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1293.08</w:t>
            </w:r>
          </w:p>
        </w:tc>
        <w:tc>
          <w:tcPr>
            <w:tcW w:w="121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1293.08</w:t>
            </w:r>
          </w:p>
        </w:tc>
        <w:tc>
          <w:tcPr>
            <w:tcW w:w="934" w:type="pct"/>
            <w:noWrap w:val="0"/>
            <w:vAlign w:val="center"/>
          </w:tcPr>
          <w:p>
            <w:pPr>
              <w:ind w:firstLine="211" w:firstLineChars="100"/>
              <w:jc w:val="right"/>
              <w:rPr>
                <w:rFonts w:ascii="宋体" w:hAnsi="宋体" w:eastAsia="宋体" w:cs="宋体"/>
                <w:b/>
                <w:bCs/>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永济市看守所</w:t>
      </w:r>
      <w:r>
        <w:rPr>
          <w:rFonts w:hint="eastAsia" w:ascii="仿宋_GB2312" w:hAnsi="仿宋_GB2312" w:eastAsia="仿宋_GB2312" w:cs="仿宋_GB2312"/>
          <w:b w:val="0"/>
          <w:bCs w:val="0"/>
          <w:sz w:val="28"/>
          <w:szCs w:val="28"/>
        </w:rPr>
        <w:t>2021年</w:t>
      </w:r>
      <w:r>
        <w:rPr>
          <w:rFonts w:hint="eastAsia" w:ascii="仿宋_GB2312" w:hAnsi="仿宋_GB2312" w:eastAsia="仿宋_GB2312" w:cs="仿宋_GB2312"/>
          <w:b w:val="0"/>
          <w:bCs w:val="0"/>
          <w:sz w:val="28"/>
          <w:szCs w:val="28"/>
          <w:lang w:eastAsia="zh-CN"/>
        </w:rPr>
        <w:t>部门预算：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（1）收入预算为255.94</w:t>
      </w:r>
      <w:r>
        <w:rPr>
          <w:rFonts w:hint="eastAsia" w:ascii="仿宋_GB2312" w:hAnsi="仿宋_GB2312" w:eastAsia="仿宋_GB2312" w:cs="仿宋_GB2312"/>
          <w:sz w:val="28"/>
          <w:szCs w:val="28"/>
        </w:rPr>
        <w:t>万元，其中：一般公共预算财政拨款资</w:t>
      </w:r>
      <w:r>
        <w:rPr>
          <w:rFonts w:hint="eastAsia" w:ascii="仿宋_GB2312" w:hAnsi="仿宋_GB2312" w:eastAsia="仿宋_GB2312" w:cs="仿宋_GB2312"/>
          <w:sz w:val="28"/>
          <w:szCs w:val="28"/>
          <w:lang w:val="en-US" w:eastAsia="zh-CN"/>
        </w:rPr>
        <w:t>255.94</w:t>
      </w:r>
      <w:r>
        <w:rPr>
          <w:rFonts w:hint="eastAsia" w:ascii="仿宋_GB2312" w:hAnsi="仿宋_GB2312" w:eastAsia="仿宋_GB2312" w:cs="仿宋_GB2312"/>
          <w:sz w:val="28"/>
          <w:szCs w:val="28"/>
        </w:rPr>
        <w:t>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（2）支出预算为</w:t>
      </w:r>
      <w:r>
        <w:rPr>
          <w:rFonts w:hint="eastAsia" w:ascii="仿宋_GB2312" w:hAnsi="仿宋_GB2312" w:eastAsia="仿宋_GB2312" w:cs="仿宋_GB2312"/>
          <w:sz w:val="28"/>
          <w:szCs w:val="28"/>
          <w:lang w:val="en-US" w:eastAsia="zh-CN"/>
        </w:rPr>
        <w:t>255.94</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其中：</w:t>
      </w:r>
      <w:r>
        <w:rPr>
          <w:rFonts w:hint="eastAsia" w:ascii="仿宋_GB2312" w:hAnsi="仿宋_GB2312" w:eastAsia="仿宋_GB2312" w:cs="仿宋_GB2312"/>
          <w:sz w:val="28"/>
          <w:szCs w:val="28"/>
        </w:rPr>
        <w:t>工资福利支出</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万元，对个人和家庭补助</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公用经</w:t>
      </w:r>
      <w:r>
        <w:rPr>
          <w:rFonts w:hint="eastAsia" w:ascii="仿宋_GB2312" w:hAnsi="仿宋_GB2312" w:eastAsia="仿宋_GB2312" w:cs="仿宋_GB2312"/>
          <w:sz w:val="28"/>
          <w:szCs w:val="28"/>
          <w:lang w:val="en-US" w:eastAsia="zh-CN"/>
        </w:rPr>
        <w:t>0万元，</w:t>
      </w:r>
      <w:r>
        <w:rPr>
          <w:rFonts w:hint="eastAsia" w:ascii="仿宋_GB2312" w:hAnsi="仿宋_GB2312" w:eastAsia="仿宋_GB2312" w:cs="仿宋_GB2312"/>
          <w:sz w:val="28"/>
          <w:szCs w:val="28"/>
        </w:rPr>
        <w:t>项目支出</w:t>
      </w:r>
      <w:r>
        <w:rPr>
          <w:rFonts w:hint="eastAsia" w:ascii="仿宋_GB2312" w:hAnsi="仿宋_GB2312" w:eastAsia="仿宋_GB2312" w:cs="仿宋_GB2312"/>
          <w:sz w:val="28"/>
          <w:szCs w:val="28"/>
          <w:lang w:val="en-US" w:eastAsia="zh-CN"/>
        </w:rPr>
        <w:t>255.94</w:t>
      </w:r>
      <w:r>
        <w:rPr>
          <w:rFonts w:hint="eastAsia" w:ascii="仿宋_GB2312" w:hAnsi="仿宋_GB2312" w:eastAsia="仿宋_GB2312" w:cs="仿宋_GB2312"/>
          <w:sz w:val="28"/>
          <w:szCs w:val="28"/>
        </w:rPr>
        <w:t>万元。具体预算支出见下表1-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p>
    <w:p>
      <w:pPr>
        <w:pStyle w:val="2"/>
        <w:ind w:firstLine="56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表1-3 预算支出汇总表</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gridCol w:w="2086"/>
        <w:gridCol w:w="1827"/>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blHeader/>
        </w:trPr>
        <w:tc>
          <w:tcPr>
            <w:tcW w:w="1760"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项目名称</w:t>
            </w:r>
          </w:p>
        </w:tc>
        <w:tc>
          <w:tcPr>
            <w:tcW w:w="1224"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预算总计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（万元）</w:t>
            </w:r>
          </w:p>
        </w:tc>
        <w:tc>
          <w:tcPr>
            <w:tcW w:w="1072"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一般公共预算   （万元）</w:t>
            </w:r>
          </w:p>
        </w:tc>
        <w:tc>
          <w:tcPr>
            <w:tcW w:w="942"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政府性基金（万元）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7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基本支出：</w:t>
            </w:r>
          </w:p>
        </w:tc>
        <w:tc>
          <w:tcPr>
            <w:tcW w:w="1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default" w:ascii="仿宋_GB2312" w:hAnsi="仿宋_GB2312" w:eastAsia="仿宋_GB2312" w:cs="仿宋_GB2312"/>
                <w:b/>
                <w:bCs/>
                <w:sz w:val="21"/>
                <w:szCs w:val="21"/>
                <w:lang w:val="en-US" w:eastAsia="zh-CN"/>
              </w:rPr>
            </w:pPr>
          </w:p>
        </w:tc>
        <w:tc>
          <w:tcPr>
            <w:tcW w:w="10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default" w:ascii="仿宋_GB2312" w:hAnsi="仿宋_GB2312" w:eastAsia="仿宋_GB2312" w:cs="仿宋_GB2312"/>
                <w:b/>
                <w:bCs/>
                <w:sz w:val="21"/>
                <w:szCs w:val="21"/>
                <w:lang w:val="en-US" w:eastAsia="zh-CN"/>
              </w:rPr>
            </w:pPr>
          </w:p>
        </w:tc>
        <w:tc>
          <w:tcPr>
            <w:tcW w:w="942" w:type="pct"/>
            <w:noWrap w:val="0"/>
            <w:vAlign w:val="center"/>
          </w:tcPr>
          <w:p>
            <w:pPr>
              <w:ind w:firstLine="0" w:firstLineChars="0"/>
              <w:jc w:val="right"/>
              <w:rPr>
                <w:rFonts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7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工资福利支出</w:t>
            </w:r>
          </w:p>
        </w:tc>
        <w:tc>
          <w:tcPr>
            <w:tcW w:w="1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p>
        </w:tc>
        <w:tc>
          <w:tcPr>
            <w:tcW w:w="10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p>
        </w:tc>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对个人和家庭补助</w:t>
            </w:r>
          </w:p>
        </w:tc>
        <w:tc>
          <w:tcPr>
            <w:tcW w:w="1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p>
        </w:tc>
        <w:tc>
          <w:tcPr>
            <w:tcW w:w="10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p>
        </w:tc>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公用经费</w:t>
            </w:r>
          </w:p>
        </w:tc>
        <w:tc>
          <w:tcPr>
            <w:tcW w:w="1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p>
        </w:tc>
        <w:tc>
          <w:tcPr>
            <w:tcW w:w="10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p>
        </w:tc>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项目支出：</w:t>
            </w:r>
          </w:p>
        </w:tc>
        <w:tc>
          <w:tcPr>
            <w:tcW w:w="1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255.94</w:t>
            </w:r>
          </w:p>
        </w:tc>
        <w:tc>
          <w:tcPr>
            <w:tcW w:w="10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255.94</w:t>
            </w:r>
          </w:p>
        </w:tc>
        <w:tc>
          <w:tcPr>
            <w:tcW w:w="942" w:type="pct"/>
            <w:noWrap w:val="0"/>
            <w:vAlign w:val="center"/>
          </w:tcPr>
          <w:p>
            <w:pPr>
              <w:ind w:firstLine="211" w:firstLineChars="100"/>
              <w:jc w:val="right"/>
              <w:rPr>
                <w:rFonts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其他运转公用类</w:t>
            </w:r>
          </w:p>
        </w:tc>
        <w:tc>
          <w:tcPr>
            <w:tcW w:w="1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255.94</w:t>
            </w:r>
          </w:p>
        </w:tc>
        <w:tc>
          <w:tcPr>
            <w:tcW w:w="10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255.94</w:t>
            </w:r>
          </w:p>
        </w:tc>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特定目标类</w:t>
            </w:r>
          </w:p>
        </w:tc>
        <w:tc>
          <w:tcPr>
            <w:tcW w:w="1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0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合 计</w:t>
            </w:r>
          </w:p>
        </w:tc>
        <w:tc>
          <w:tcPr>
            <w:tcW w:w="1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255.94</w:t>
            </w:r>
          </w:p>
        </w:tc>
        <w:tc>
          <w:tcPr>
            <w:tcW w:w="10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255.94</w:t>
            </w:r>
          </w:p>
        </w:tc>
        <w:tc>
          <w:tcPr>
            <w:tcW w:w="942" w:type="pct"/>
            <w:noWrap w:val="0"/>
            <w:vAlign w:val="center"/>
          </w:tcPr>
          <w:p>
            <w:pPr>
              <w:ind w:firstLine="211" w:firstLineChars="100"/>
              <w:jc w:val="right"/>
              <w:rPr>
                <w:rFonts w:ascii="宋体" w:hAnsi="宋体" w:eastAsia="宋体" w:cs="宋体"/>
                <w:b/>
                <w:bCs/>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永济市拘留所</w:t>
      </w:r>
      <w:r>
        <w:rPr>
          <w:rFonts w:hint="eastAsia" w:ascii="仿宋_GB2312" w:hAnsi="仿宋_GB2312" w:eastAsia="仿宋_GB2312" w:cs="仿宋_GB2312"/>
          <w:b w:val="0"/>
          <w:bCs w:val="0"/>
          <w:sz w:val="28"/>
          <w:szCs w:val="28"/>
        </w:rPr>
        <w:t>2021年</w:t>
      </w:r>
      <w:r>
        <w:rPr>
          <w:rFonts w:hint="eastAsia" w:ascii="仿宋_GB2312" w:hAnsi="仿宋_GB2312" w:eastAsia="仿宋_GB2312" w:cs="仿宋_GB2312"/>
          <w:b w:val="0"/>
          <w:bCs w:val="0"/>
          <w:sz w:val="28"/>
          <w:szCs w:val="28"/>
          <w:lang w:eastAsia="zh-CN"/>
        </w:rPr>
        <w:t>部门预算：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（1）收入预算为34.91</w:t>
      </w:r>
      <w:r>
        <w:rPr>
          <w:rFonts w:hint="eastAsia" w:ascii="仿宋_GB2312" w:hAnsi="仿宋_GB2312" w:eastAsia="仿宋_GB2312" w:cs="仿宋_GB2312"/>
          <w:sz w:val="28"/>
          <w:szCs w:val="28"/>
        </w:rPr>
        <w:t>万元，其中：一般公共预算财政拨款资</w:t>
      </w:r>
      <w:r>
        <w:rPr>
          <w:rFonts w:hint="eastAsia" w:ascii="仿宋_GB2312" w:hAnsi="仿宋_GB2312" w:eastAsia="仿宋_GB2312" w:cs="仿宋_GB2312"/>
          <w:sz w:val="28"/>
          <w:szCs w:val="28"/>
          <w:lang w:val="en-US" w:eastAsia="zh-CN"/>
        </w:rPr>
        <w:t>34.91</w:t>
      </w:r>
      <w:r>
        <w:rPr>
          <w:rFonts w:hint="eastAsia" w:ascii="仿宋_GB2312" w:hAnsi="仿宋_GB2312" w:eastAsia="仿宋_GB2312" w:cs="仿宋_GB2312"/>
          <w:sz w:val="28"/>
          <w:szCs w:val="28"/>
        </w:rPr>
        <w:t>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（2）支出预算为</w:t>
      </w:r>
      <w:r>
        <w:rPr>
          <w:rFonts w:hint="eastAsia" w:ascii="仿宋_GB2312" w:hAnsi="仿宋_GB2312" w:eastAsia="仿宋_GB2312" w:cs="仿宋_GB2312"/>
          <w:sz w:val="28"/>
          <w:szCs w:val="28"/>
          <w:lang w:val="en-US" w:eastAsia="zh-CN"/>
        </w:rPr>
        <w:t>34.91</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其中：</w:t>
      </w:r>
      <w:r>
        <w:rPr>
          <w:rFonts w:hint="eastAsia" w:ascii="仿宋_GB2312" w:hAnsi="仿宋_GB2312" w:eastAsia="仿宋_GB2312" w:cs="仿宋_GB2312"/>
          <w:sz w:val="28"/>
          <w:szCs w:val="28"/>
        </w:rPr>
        <w:t>工资福利支出</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万元，对个人和家庭补助</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公用经费</w:t>
      </w:r>
      <w:r>
        <w:rPr>
          <w:rFonts w:hint="eastAsia" w:ascii="仿宋_GB2312" w:hAnsi="仿宋_GB2312" w:eastAsia="仿宋_GB2312" w:cs="仿宋_GB2312"/>
          <w:sz w:val="28"/>
          <w:szCs w:val="28"/>
          <w:lang w:val="en-US" w:eastAsia="zh-CN"/>
        </w:rPr>
        <w:t>0万元，</w:t>
      </w:r>
      <w:r>
        <w:rPr>
          <w:rFonts w:hint="eastAsia" w:ascii="仿宋_GB2312" w:hAnsi="仿宋_GB2312" w:eastAsia="仿宋_GB2312" w:cs="仿宋_GB2312"/>
          <w:sz w:val="28"/>
          <w:szCs w:val="28"/>
        </w:rPr>
        <w:t>项目支出</w:t>
      </w:r>
      <w:r>
        <w:rPr>
          <w:rFonts w:hint="eastAsia" w:ascii="仿宋_GB2312" w:hAnsi="仿宋_GB2312" w:eastAsia="仿宋_GB2312" w:cs="仿宋_GB2312"/>
          <w:sz w:val="28"/>
          <w:szCs w:val="28"/>
          <w:lang w:val="en-US" w:eastAsia="zh-CN"/>
        </w:rPr>
        <w:t>34.91</w:t>
      </w:r>
      <w:r>
        <w:rPr>
          <w:rFonts w:hint="eastAsia" w:ascii="仿宋_GB2312" w:hAnsi="仿宋_GB2312" w:eastAsia="仿宋_GB2312" w:cs="仿宋_GB2312"/>
          <w:sz w:val="28"/>
          <w:szCs w:val="28"/>
        </w:rPr>
        <w:t>万元。具体预算支出见下表1-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表1-4 预算支出汇总表</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3"/>
        <w:gridCol w:w="2045"/>
        <w:gridCol w:w="2004"/>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blHeader/>
        </w:trPr>
        <w:tc>
          <w:tcPr>
            <w:tcW w:w="1721"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项目名称</w:t>
            </w:r>
          </w:p>
        </w:tc>
        <w:tc>
          <w:tcPr>
            <w:tcW w:w="1200"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预算总计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（万元）</w:t>
            </w:r>
          </w:p>
        </w:tc>
        <w:tc>
          <w:tcPr>
            <w:tcW w:w="1176"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一般公共预算   （万元）</w:t>
            </w:r>
          </w:p>
        </w:tc>
        <w:tc>
          <w:tcPr>
            <w:tcW w:w="901" w:type="pct"/>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政府性基金（万元）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基本支出：</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default" w:ascii="仿宋_GB2312" w:hAnsi="仿宋_GB2312" w:eastAsia="仿宋_GB2312" w:cs="仿宋_GB2312"/>
                <w:b/>
                <w:bCs/>
                <w:sz w:val="21"/>
                <w:szCs w:val="21"/>
                <w:lang w:val="en-US" w:eastAsia="zh-CN"/>
              </w:rPr>
            </w:pPr>
          </w:p>
        </w:tc>
        <w:tc>
          <w:tcPr>
            <w:tcW w:w="11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default" w:ascii="仿宋_GB2312" w:hAnsi="仿宋_GB2312" w:eastAsia="仿宋_GB2312" w:cs="仿宋_GB2312"/>
                <w:b/>
                <w:bCs/>
                <w:sz w:val="21"/>
                <w:szCs w:val="21"/>
                <w:lang w:val="en-US" w:eastAsia="zh-CN"/>
              </w:rPr>
            </w:pPr>
          </w:p>
        </w:tc>
        <w:tc>
          <w:tcPr>
            <w:tcW w:w="9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工资福利支出</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p>
        </w:tc>
        <w:tc>
          <w:tcPr>
            <w:tcW w:w="11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p>
        </w:tc>
        <w:tc>
          <w:tcPr>
            <w:tcW w:w="9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对个人和家庭补助</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p>
        </w:tc>
        <w:tc>
          <w:tcPr>
            <w:tcW w:w="11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p>
        </w:tc>
        <w:tc>
          <w:tcPr>
            <w:tcW w:w="9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公用经费</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p>
        </w:tc>
        <w:tc>
          <w:tcPr>
            <w:tcW w:w="11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p>
        </w:tc>
        <w:tc>
          <w:tcPr>
            <w:tcW w:w="9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项目支出：</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34.91</w:t>
            </w:r>
          </w:p>
        </w:tc>
        <w:tc>
          <w:tcPr>
            <w:tcW w:w="11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34.91</w:t>
            </w:r>
          </w:p>
        </w:tc>
        <w:tc>
          <w:tcPr>
            <w:tcW w:w="901" w:type="pct"/>
            <w:noWrap w:val="0"/>
            <w:vAlign w:val="center"/>
          </w:tcPr>
          <w:p>
            <w:pPr>
              <w:ind w:firstLine="211" w:firstLineChars="100"/>
              <w:jc w:val="right"/>
              <w:rPr>
                <w:rFonts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其他运转公用类</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34.91</w:t>
            </w:r>
          </w:p>
        </w:tc>
        <w:tc>
          <w:tcPr>
            <w:tcW w:w="11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34.91</w:t>
            </w:r>
          </w:p>
        </w:tc>
        <w:tc>
          <w:tcPr>
            <w:tcW w:w="9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特定目标类</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1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合 计</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34.91</w:t>
            </w:r>
          </w:p>
        </w:tc>
        <w:tc>
          <w:tcPr>
            <w:tcW w:w="11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right"/>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34.91</w:t>
            </w:r>
          </w:p>
        </w:tc>
        <w:tc>
          <w:tcPr>
            <w:tcW w:w="901" w:type="pct"/>
            <w:noWrap w:val="0"/>
            <w:vAlign w:val="center"/>
          </w:tcPr>
          <w:p>
            <w:pPr>
              <w:ind w:firstLine="211" w:firstLineChars="100"/>
              <w:jc w:val="right"/>
              <w:rPr>
                <w:rFonts w:ascii="宋体" w:hAnsi="宋体" w:eastAsia="宋体" w:cs="宋体"/>
                <w:b/>
                <w:bCs/>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both"/>
        <w:textAlignment w:val="auto"/>
        <w:outlineLvl w:val="2"/>
        <w:rPr>
          <w:rFonts w:hint="eastAsia" w:ascii="仿宋_GB2312" w:hAnsi="仿宋_GB2312" w:eastAsia="仿宋_GB2312" w:cs="仿宋_GB2312"/>
          <w:b w:val="0"/>
          <w:bCs w:val="0"/>
          <w:sz w:val="28"/>
          <w:szCs w:val="28"/>
        </w:rPr>
      </w:pPr>
      <w:bookmarkStart w:id="75" w:name="_Toc20028"/>
      <w:r>
        <w:rPr>
          <w:rFonts w:hint="eastAsia" w:ascii="仿宋_GB2312" w:hAnsi="仿宋_GB2312" w:eastAsia="仿宋_GB2312" w:cs="仿宋_GB2312"/>
          <w:b w:val="0"/>
          <w:bCs w:val="0"/>
          <w:sz w:val="28"/>
          <w:szCs w:val="28"/>
          <w:lang w:val="en-US" w:eastAsia="zh-CN"/>
        </w:rPr>
        <w:t>2.</w:t>
      </w:r>
      <w:r>
        <w:rPr>
          <w:rFonts w:hint="eastAsia" w:ascii="仿宋_GB2312" w:hAnsi="仿宋_GB2312" w:eastAsia="仿宋_GB2312" w:cs="仿宋_GB2312"/>
          <w:b w:val="0"/>
          <w:bCs w:val="0"/>
          <w:sz w:val="28"/>
          <w:szCs w:val="28"/>
        </w:rPr>
        <w:t>预算收支及结转结余情况</w:t>
      </w:r>
      <w:bookmarkEnd w:id="73"/>
      <w:bookmarkEnd w:id="74"/>
      <w:bookmarkEnd w:id="75"/>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hAnsi="仿宋_GB2312" w:cs="仿宋_GB2312"/>
          <w:sz w:val="28"/>
          <w:szCs w:val="28"/>
          <w:lang w:eastAsia="zh-CN"/>
        </w:rPr>
      </w:pPr>
      <w:r>
        <w:rPr>
          <w:rFonts w:hint="eastAsia" w:ascii="仿宋_GB2312" w:hAnsi="仿宋_GB2312" w:eastAsia="仿宋_GB2312" w:cs="仿宋_GB2312"/>
          <w:sz w:val="28"/>
          <w:szCs w:val="28"/>
        </w:rPr>
        <w:t>根据永济市财政局《2021年</w:t>
      </w:r>
      <w:r>
        <w:rPr>
          <w:rFonts w:hint="eastAsia" w:hAnsi="仿宋_GB2312" w:cs="仿宋_GB2312"/>
          <w:sz w:val="28"/>
          <w:szCs w:val="28"/>
          <w:lang w:eastAsia="zh-CN"/>
        </w:rPr>
        <w:t>度</w:t>
      </w:r>
      <w:r>
        <w:rPr>
          <w:rFonts w:hint="eastAsia" w:ascii="仿宋_GB2312" w:hAnsi="仿宋_GB2312" w:eastAsia="仿宋_GB2312" w:cs="仿宋_GB2312"/>
          <w:sz w:val="28"/>
          <w:szCs w:val="28"/>
        </w:rPr>
        <w:t>部门</w:t>
      </w:r>
      <w:r>
        <w:rPr>
          <w:rFonts w:hint="eastAsia" w:hAnsi="仿宋_GB2312" w:cs="仿宋_GB2312"/>
          <w:sz w:val="28"/>
          <w:szCs w:val="28"/>
          <w:lang w:eastAsia="zh-CN"/>
        </w:rPr>
        <w:t>决算批复</w:t>
      </w:r>
      <w:r>
        <w:rPr>
          <w:rFonts w:hint="eastAsia" w:ascii="仿宋_GB2312" w:hAnsi="仿宋_GB2312" w:eastAsia="仿宋_GB2312" w:cs="仿宋_GB2312"/>
          <w:sz w:val="28"/>
          <w:szCs w:val="28"/>
        </w:rPr>
        <w:t>》（永财</w:t>
      </w:r>
      <w:r>
        <w:rPr>
          <w:rFonts w:hint="eastAsia" w:hAnsi="仿宋_GB2312" w:cs="仿宋_GB2312"/>
          <w:sz w:val="28"/>
          <w:szCs w:val="28"/>
          <w:lang w:eastAsia="zh-CN"/>
        </w:rPr>
        <w:t>库</w:t>
      </w:r>
      <w:r>
        <w:rPr>
          <w:rFonts w:hint="eastAsia" w:ascii="仿宋_GB2312" w:hAnsi="仿宋_GB2312" w:eastAsia="仿宋_GB2312" w:cs="仿宋_GB2312"/>
          <w:sz w:val="28"/>
          <w:szCs w:val="28"/>
        </w:rPr>
        <w:t>〔202</w:t>
      </w:r>
      <w:r>
        <w:rPr>
          <w:rFonts w:hint="eastAsia" w:hAnsi="仿宋_GB2312" w:cs="仿宋_GB2312"/>
          <w:sz w:val="28"/>
          <w:szCs w:val="28"/>
          <w:lang w:val="en-US" w:eastAsia="zh-CN"/>
        </w:rPr>
        <w:t>2</w:t>
      </w:r>
      <w:r>
        <w:rPr>
          <w:rFonts w:hint="eastAsia" w:ascii="仿宋_GB2312" w:hAnsi="仿宋_GB2312" w:eastAsia="仿宋_GB2312" w:cs="仿宋_GB2312"/>
          <w:sz w:val="28"/>
          <w:szCs w:val="28"/>
        </w:rPr>
        <w:t>〕</w:t>
      </w:r>
      <w:r>
        <w:rPr>
          <w:rFonts w:hint="eastAsia" w:hAnsi="仿宋_GB2312" w:cs="仿宋_GB2312"/>
          <w:sz w:val="28"/>
          <w:szCs w:val="28"/>
          <w:lang w:val="en-US" w:eastAsia="zh-CN"/>
        </w:rPr>
        <w:t>2</w:t>
      </w:r>
      <w:r>
        <w:rPr>
          <w:rFonts w:hint="eastAsia" w:ascii="仿宋_GB2312" w:hAnsi="仿宋_GB2312" w:eastAsia="仿宋_GB2312" w:cs="仿宋_GB2312"/>
          <w:sz w:val="28"/>
          <w:szCs w:val="28"/>
        </w:rPr>
        <w:t>1号）文件，经永济市</w:t>
      </w:r>
      <w:r>
        <w:rPr>
          <w:rFonts w:hint="eastAsia" w:hAnsi="仿宋_GB2312" w:cs="仿宋_GB2312"/>
          <w:sz w:val="28"/>
          <w:szCs w:val="28"/>
          <w:lang w:eastAsia="zh-CN"/>
        </w:rPr>
        <w:t>第</w:t>
      </w:r>
      <w:r>
        <w:rPr>
          <w:rFonts w:hint="eastAsia" w:ascii="仿宋_GB2312" w:hAnsi="仿宋_GB2312" w:eastAsia="仿宋_GB2312" w:cs="仿宋_GB2312"/>
          <w:sz w:val="28"/>
          <w:szCs w:val="28"/>
        </w:rPr>
        <w:t>七届人民代表大会</w:t>
      </w:r>
      <w:r>
        <w:rPr>
          <w:rFonts w:hint="eastAsia" w:hAnsi="仿宋_GB2312" w:cs="仿宋_GB2312"/>
          <w:sz w:val="28"/>
          <w:szCs w:val="28"/>
          <w:lang w:eastAsia="zh-CN"/>
        </w:rPr>
        <w:t>常务委员会</w:t>
      </w:r>
      <w:r>
        <w:rPr>
          <w:rFonts w:hint="eastAsia" w:ascii="仿宋_GB2312" w:hAnsi="仿宋_GB2312" w:eastAsia="仿宋_GB2312" w:cs="仿宋_GB2312"/>
          <w:sz w:val="28"/>
          <w:szCs w:val="28"/>
        </w:rPr>
        <w:t>第</w:t>
      </w:r>
      <w:r>
        <w:rPr>
          <w:rFonts w:hint="eastAsia" w:hAnsi="仿宋_GB2312" w:cs="仿宋_GB2312"/>
          <w:sz w:val="28"/>
          <w:szCs w:val="28"/>
          <w:lang w:eastAsia="zh-CN"/>
        </w:rPr>
        <w:t>十四</w:t>
      </w:r>
      <w:r>
        <w:rPr>
          <w:rFonts w:hint="eastAsia" w:ascii="仿宋_GB2312" w:hAnsi="仿宋_GB2312" w:eastAsia="仿宋_GB2312" w:cs="仿宋_GB2312"/>
          <w:sz w:val="28"/>
          <w:szCs w:val="28"/>
        </w:rPr>
        <w:t>次会议</w:t>
      </w:r>
      <w:r>
        <w:rPr>
          <w:rFonts w:hint="eastAsia" w:hAnsi="仿宋_GB2312" w:cs="仿宋_GB2312"/>
          <w:sz w:val="28"/>
          <w:szCs w:val="28"/>
          <w:lang w:eastAsia="zh-CN"/>
        </w:rPr>
        <w:t>已经</w:t>
      </w:r>
      <w:r>
        <w:rPr>
          <w:rFonts w:hint="eastAsia" w:ascii="仿宋_GB2312" w:hAnsi="仿宋_GB2312" w:eastAsia="仿宋_GB2312" w:cs="仿宋_GB2312"/>
          <w:sz w:val="28"/>
          <w:szCs w:val="28"/>
        </w:rPr>
        <w:t>批准</w:t>
      </w:r>
      <w:r>
        <w:rPr>
          <w:rFonts w:hint="eastAsia" w:hAnsi="仿宋_GB2312" w:cs="仿宋_GB2312"/>
          <w:sz w:val="28"/>
          <w:szCs w:val="28"/>
          <w:lang w:val="en-US" w:eastAsia="zh-CN"/>
        </w:rPr>
        <w:t>2021年市本级决算</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永济市公安局</w:t>
      </w:r>
      <w:r>
        <w:rPr>
          <w:rFonts w:hint="eastAsia" w:ascii="仿宋_GB2312" w:hAnsi="仿宋_GB2312" w:eastAsia="仿宋_GB2312" w:cs="仿宋_GB2312"/>
          <w:sz w:val="28"/>
          <w:szCs w:val="28"/>
        </w:rPr>
        <w:t>2021年</w:t>
      </w:r>
      <w:r>
        <w:rPr>
          <w:rFonts w:hint="eastAsia" w:hAnsi="仿宋_GB2312" w:cs="仿宋_GB2312"/>
          <w:sz w:val="28"/>
          <w:szCs w:val="28"/>
          <w:lang w:eastAsia="zh-CN"/>
        </w:rPr>
        <w:t>度</w:t>
      </w:r>
      <w:r>
        <w:rPr>
          <w:rFonts w:hint="eastAsia" w:ascii="仿宋_GB2312" w:hAnsi="仿宋_GB2312" w:eastAsia="仿宋_GB2312" w:cs="仿宋_GB2312"/>
          <w:sz w:val="28"/>
          <w:szCs w:val="28"/>
        </w:rPr>
        <w:t>部门</w:t>
      </w:r>
      <w:r>
        <w:rPr>
          <w:rFonts w:hint="eastAsia" w:ascii="仿宋_GB2312" w:hAnsi="仿宋_GB2312" w:eastAsia="仿宋_GB2312" w:cs="仿宋_GB2312"/>
          <w:sz w:val="28"/>
          <w:szCs w:val="28"/>
          <w:lang w:eastAsia="zh-CN"/>
        </w:rPr>
        <w:t>整体</w:t>
      </w:r>
      <w:r>
        <w:rPr>
          <w:rFonts w:hint="eastAsia" w:hAnsi="仿宋_GB2312" w:cs="仿宋_GB2312"/>
          <w:sz w:val="28"/>
          <w:szCs w:val="28"/>
          <w:lang w:eastAsia="zh-CN"/>
        </w:rPr>
        <w:t>决算</w:t>
      </w:r>
      <w:r>
        <w:rPr>
          <w:rFonts w:hint="eastAsia" w:ascii="仿宋_GB2312" w:hAnsi="仿宋_GB2312" w:eastAsia="仿宋_GB2312" w:cs="仿宋_GB2312"/>
          <w:sz w:val="28"/>
          <w:szCs w:val="28"/>
        </w:rPr>
        <w:t>如下</w:t>
      </w:r>
      <w:r>
        <w:rPr>
          <w:rFonts w:hint="eastAsia" w:hAnsi="仿宋_GB2312" w:cs="仿宋_GB2312"/>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hAnsi="仿宋_GB2312" w:cs="仿宋_GB2312"/>
          <w:sz w:val="28"/>
          <w:szCs w:val="28"/>
          <w:lang w:val="en-US" w:eastAsia="zh-CN"/>
        </w:rPr>
      </w:pPr>
      <w:r>
        <w:rPr>
          <w:rFonts w:hint="eastAsia" w:ascii="仿宋_GB2312" w:hAnsi="仿宋_GB2312" w:eastAsia="仿宋_GB2312" w:cs="仿宋_GB2312"/>
          <w:sz w:val="28"/>
          <w:szCs w:val="28"/>
        </w:rPr>
        <w:t>2021年年初结转和结余</w:t>
      </w:r>
      <w:r>
        <w:rPr>
          <w:rFonts w:hint="eastAsia" w:hAnsi="仿宋_GB2312" w:cs="仿宋_GB2312"/>
          <w:sz w:val="28"/>
          <w:szCs w:val="28"/>
          <w:lang w:val="en-US" w:eastAsia="zh-CN"/>
        </w:rPr>
        <w:t>524.8</w:t>
      </w:r>
      <w:r>
        <w:rPr>
          <w:rFonts w:hint="eastAsia" w:ascii="仿宋_GB2312" w:hAnsi="仿宋_GB2312" w:eastAsia="仿宋_GB2312" w:cs="仿宋_GB2312"/>
          <w:sz w:val="28"/>
          <w:szCs w:val="28"/>
        </w:rPr>
        <w:t>万元，</w:t>
      </w:r>
      <w:r>
        <w:rPr>
          <w:rFonts w:hint="eastAsia" w:hAnsi="仿宋_GB2312" w:cs="仿宋_GB2312"/>
          <w:sz w:val="28"/>
          <w:szCs w:val="28"/>
          <w:lang w:eastAsia="zh-CN"/>
        </w:rPr>
        <w:t>其中：一般公共预算财政拨款年初结转和结余</w:t>
      </w:r>
      <w:r>
        <w:rPr>
          <w:rFonts w:hint="eastAsia" w:hAnsi="仿宋_GB2312" w:cs="仿宋_GB2312"/>
          <w:sz w:val="28"/>
          <w:szCs w:val="28"/>
          <w:lang w:val="en-US" w:eastAsia="zh-CN"/>
        </w:rPr>
        <w:t>524.73万元，政府性基金预算财政拨款年初结转和结余0.07万元；本年收入7056.19万元，其中：</w:t>
      </w:r>
      <w:r>
        <w:rPr>
          <w:rFonts w:hint="eastAsia" w:hAnsi="仿宋_GB2312" w:cs="仿宋_GB2312"/>
          <w:sz w:val="28"/>
          <w:szCs w:val="28"/>
          <w:lang w:eastAsia="zh-CN"/>
        </w:rPr>
        <w:t>一般公共预算财政拨款收入</w:t>
      </w:r>
      <w:r>
        <w:rPr>
          <w:rFonts w:hint="eastAsia" w:hAnsi="仿宋_GB2312" w:cs="仿宋_GB2312"/>
          <w:sz w:val="28"/>
          <w:szCs w:val="28"/>
          <w:lang w:val="en-US" w:eastAsia="zh-CN"/>
        </w:rPr>
        <w:t>7056.19万元；本年支出7580.92万元，其中：</w:t>
      </w:r>
      <w:r>
        <w:rPr>
          <w:rFonts w:hint="eastAsia" w:hAnsi="仿宋_GB2312" w:cs="仿宋_GB2312"/>
          <w:sz w:val="28"/>
          <w:szCs w:val="28"/>
          <w:lang w:eastAsia="zh-CN"/>
        </w:rPr>
        <w:t>一般公共预算财政拨款支出</w:t>
      </w:r>
      <w:r>
        <w:rPr>
          <w:rFonts w:hint="eastAsia" w:hAnsi="仿宋_GB2312" w:cs="仿宋_GB2312"/>
          <w:sz w:val="28"/>
          <w:szCs w:val="28"/>
          <w:lang w:val="en-US" w:eastAsia="zh-CN"/>
        </w:rPr>
        <w:t>7580.92万元；年末结转和结余0.07万元，其中：政府性基金预算财政拨款年末结转和结余0.07万元。</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永济市公安局本级部门决算：</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年初结转和结余385.76万元，其中：一般公共预算385.76万元，政府性基金预算财政拨款0万元；本年收入5217.98万元，其中：一般公共预算财政拨款收入5217.98万元，政府性基金预算财政拨款收入0万元；本年支出5603.75万元，其中：一般公共预算财政拨款支出5603.75万元，政府性基金预算财政拨款支出0万元；年末结转和结余0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（1）一般公共预算财政拨款支出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2021年年初结余385.77万元，本年累计收入5217.98万元，累计支出5603.75万元，结余0万元。具体决算支出见下表1-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p>
    <w:p>
      <w:pPr>
        <w:pStyle w:val="2"/>
        <w:ind w:firstLine="56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表1-</w:t>
      </w:r>
      <w:r>
        <w:rPr>
          <w:rFonts w:hint="eastAsia" w:hAnsi="仿宋_GB2312" w:cs="仿宋_GB2312"/>
          <w:b/>
          <w:bCs/>
          <w:kern w:val="2"/>
          <w:sz w:val="28"/>
          <w:szCs w:val="28"/>
          <w:lang w:val="en-US" w:eastAsia="zh-CN" w:bidi="ar-SA"/>
        </w:rPr>
        <w:t>5</w:t>
      </w:r>
      <w:r>
        <w:rPr>
          <w:rFonts w:hint="eastAsia" w:ascii="仿宋_GB2312" w:hAnsi="仿宋_GB2312" w:eastAsia="仿宋_GB2312" w:cs="仿宋_GB2312"/>
          <w:b/>
          <w:bCs/>
          <w:kern w:val="2"/>
          <w:sz w:val="28"/>
          <w:szCs w:val="28"/>
          <w:lang w:val="en-US" w:eastAsia="zh-CN" w:bidi="ar-SA"/>
        </w:rPr>
        <w:t xml:space="preserve"> 一般公共预算财政拨款支出明细表</w:t>
      </w:r>
    </w:p>
    <w:tbl>
      <w:tblPr>
        <w:tblStyle w:val="19"/>
        <w:tblW w:w="9072"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1"/>
        <w:gridCol w:w="1679"/>
        <w:gridCol w:w="1396"/>
        <w:gridCol w:w="145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blHeader/>
        </w:trPr>
        <w:tc>
          <w:tcPr>
            <w:tcW w:w="3251"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支出明细</w:t>
            </w:r>
          </w:p>
        </w:tc>
        <w:tc>
          <w:tcPr>
            <w:tcW w:w="1679" w:type="dxa"/>
            <w:shd w:val="clear" w:color="auto" w:fill="D7D7D7"/>
            <w:noWrap w:val="0"/>
            <w:vAlign w:val="center"/>
          </w:tcPr>
          <w:p>
            <w:pPr>
              <w:topLinePunct/>
              <w:spacing w:line="0" w:lineRule="atLeast"/>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年初结转结余</w:t>
            </w:r>
          </w:p>
          <w:p>
            <w:pPr>
              <w:topLinePunct/>
              <w:spacing w:line="0" w:lineRule="atLeast"/>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396" w:type="dxa"/>
            <w:shd w:val="clear" w:color="auto" w:fill="D7D7D7"/>
            <w:noWrap w:val="0"/>
            <w:vAlign w:val="center"/>
          </w:tcPr>
          <w:p>
            <w:pPr>
              <w:topLinePunct/>
              <w:spacing w:line="0" w:lineRule="atLeast"/>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本年收入</w:t>
            </w:r>
          </w:p>
          <w:p>
            <w:pPr>
              <w:topLinePunct/>
              <w:spacing w:line="0" w:lineRule="atLeast"/>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455" w:type="dxa"/>
            <w:shd w:val="clear" w:color="auto" w:fill="D7D7D7"/>
            <w:noWrap w:val="0"/>
            <w:vAlign w:val="center"/>
          </w:tcPr>
          <w:p>
            <w:pPr>
              <w:topLinePunct/>
              <w:spacing w:line="0" w:lineRule="atLeast"/>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本年支出</w:t>
            </w:r>
          </w:p>
          <w:p>
            <w:pPr>
              <w:topLinePunct/>
              <w:spacing w:line="0" w:lineRule="atLeast"/>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291" w:type="dxa"/>
            <w:shd w:val="clear" w:color="auto" w:fill="D7D7D7"/>
            <w:noWrap w:val="0"/>
            <w:vAlign w:val="center"/>
          </w:tcPr>
          <w:p>
            <w:pPr>
              <w:topLinePunct/>
              <w:spacing w:line="0" w:lineRule="atLeast"/>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年末结余（万元）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基本支出：</w:t>
            </w:r>
          </w:p>
        </w:tc>
        <w:tc>
          <w:tcPr>
            <w:tcW w:w="1679" w:type="dxa"/>
            <w:noWrap w:val="0"/>
            <w:vAlign w:val="center"/>
          </w:tcPr>
          <w:p>
            <w:pPr>
              <w:ind w:firstLine="0" w:firstLineChars="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238.70</w:t>
            </w:r>
          </w:p>
        </w:tc>
        <w:tc>
          <w:tcPr>
            <w:tcW w:w="1396" w:type="dxa"/>
            <w:noWrap w:val="0"/>
            <w:vAlign w:val="center"/>
          </w:tcPr>
          <w:p>
            <w:pPr>
              <w:ind w:firstLine="0" w:firstLineChars="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3123.06</w:t>
            </w:r>
          </w:p>
        </w:tc>
        <w:tc>
          <w:tcPr>
            <w:tcW w:w="1455" w:type="dxa"/>
            <w:noWrap w:val="0"/>
            <w:vAlign w:val="center"/>
          </w:tcPr>
          <w:p>
            <w:pPr>
              <w:ind w:firstLine="0" w:firstLineChars="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3361.77</w:t>
            </w:r>
          </w:p>
        </w:tc>
        <w:tc>
          <w:tcPr>
            <w:tcW w:w="1291" w:type="dxa"/>
            <w:noWrap w:val="0"/>
            <w:vAlign w:val="center"/>
          </w:tcPr>
          <w:p>
            <w:pPr>
              <w:ind w:firstLine="0" w:firstLineChars="0"/>
              <w:jc w:val="right"/>
              <w:rPr>
                <w:rFonts w:hint="eastAsia" w:ascii="仿宋_GB2312" w:hAnsi="仿宋_GB2312" w:eastAsia="仿宋_GB2312" w:cs="仿宋_GB2312"/>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人员经费</w:t>
            </w:r>
          </w:p>
        </w:tc>
        <w:tc>
          <w:tcPr>
            <w:tcW w:w="1679"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236.08</w:t>
            </w:r>
          </w:p>
        </w:tc>
        <w:tc>
          <w:tcPr>
            <w:tcW w:w="1396"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2462.35</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2698.43</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公用经费</w:t>
            </w:r>
          </w:p>
        </w:tc>
        <w:tc>
          <w:tcPr>
            <w:tcW w:w="1679"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2.62</w:t>
            </w:r>
          </w:p>
        </w:tc>
        <w:tc>
          <w:tcPr>
            <w:tcW w:w="1396"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660.72</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663.34</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项目支出：</w:t>
            </w:r>
          </w:p>
        </w:tc>
        <w:tc>
          <w:tcPr>
            <w:tcW w:w="1679" w:type="dxa"/>
            <w:noWrap w:val="0"/>
            <w:vAlign w:val="center"/>
          </w:tcPr>
          <w:p>
            <w:pPr>
              <w:ind w:firstLine="211" w:firstLineChars="1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147.06</w:t>
            </w:r>
          </w:p>
        </w:tc>
        <w:tc>
          <w:tcPr>
            <w:tcW w:w="1396" w:type="dxa"/>
            <w:noWrap w:val="0"/>
            <w:vAlign w:val="center"/>
          </w:tcPr>
          <w:p>
            <w:pPr>
              <w:ind w:firstLine="211" w:firstLineChars="1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2094.92</w:t>
            </w:r>
          </w:p>
        </w:tc>
        <w:tc>
          <w:tcPr>
            <w:tcW w:w="1455" w:type="dxa"/>
            <w:noWrap w:val="0"/>
            <w:vAlign w:val="center"/>
          </w:tcPr>
          <w:p>
            <w:pPr>
              <w:ind w:firstLine="211" w:firstLineChars="1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2241.98</w:t>
            </w:r>
          </w:p>
        </w:tc>
        <w:tc>
          <w:tcPr>
            <w:tcW w:w="1291" w:type="dxa"/>
            <w:noWrap w:val="0"/>
            <w:vAlign w:val="center"/>
          </w:tcPr>
          <w:p>
            <w:pPr>
              <w:ind w:firstLine="211" w:firstLineChars="100"/>
              <w:jc w:val="right"/>
              <w:rPr>
                <w:rFonts w:hint="eastAsia" w:ascii="仿宋_GB2312" w:hAnsi="仿宋_GB2312" w:eastAsia="仿宋_GB2312" w:cs="仿宋_GB2312"/>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公安局民警两项津贴</w:t>
            </w:r>
          </w:p>
        </w:tc>
        <w:tc>
          <w:tcPr>
            <w:tcW w:w="1679"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337.49</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337.49</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公安局辅警工资及保险</w:t>
            </w:r>
          </w:p>
        </w:tc>
        <w:tc>
          <w:tcPr>
            <w:tcW w:w="1679"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802.61</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802.61</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公安警犬训导员经费</w:t>
            </w:r>
          </w:p>
        </w:tc>
        <w:tc>
          <w:tcPr>
            <w:tcW w:w="1679"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7.66</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7.66</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目标责任考核专项资金</w:t>
            </w:r>
          </w:p>
        </w:tc>
        <w:tc>
          <w:tcPr>
            <w:tcW w:w="1679"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政法转移支付资金</w:t>
            </w:r>
          </w:p>
        </w:tc>
        <w:tc>
          <w:tcPr>
            <w:tcW w:w="1679"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102.82</w:t>
            </w:r>
          </w:p>
        </w:tc>
        <w:tc>
          <w:tcPr>
            <w:tcW w:w="1396"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653.65</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756.47</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转移支付考核奖励</w:t>
            </w:r>
          </w:p>
        </w:tc>
        <w:tc>
          <w:tcPr>
            <w:tcW w:w="1679"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12</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12</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禁毒社工服务经费</w:t>
            </w:r>
          </w:p>
        </w:tc>
        <w:tc>
          <w:tcPr>
            <w:tcW w:w="1679"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127</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127</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更新执法执勤车辆</w:t>
            </w:r>
          </w:p>
        </w:tc>
        <w:tc>
          <w:tcPr>
            <w:tcW w:w="1679"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38.49</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38.49</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男性家族排查系统建设费用</w:t>
            </w:r>
          </w:p>
        </w:tc>
        <w:tc>
          <w:tcPr>
            <w:tcW w:w="1679"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42.27</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42.27</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电子数据勘察取证分析实验室项目改造工程</w:t>
            </w:r>
          </w:p>
        </w:tc>
        <w:tc>
          <w:tcPr>
            <w:tcW w:w="1679"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44.80</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44.80</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公安巡特警伙食补助</w:t>
            </w:r>
          </w:p>
        </w:tc>
        <w:tc>
          <w:tcPr>
            <w:tcW w:w="1679"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0.21</w:t>
            </w:r>
          </w:p>
        </w:tc>
        <w:tc>
          <w:tcPr>
            <w:tcW w:w="1396"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15.00</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15.21</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禁毒教育基地建设项目</w:t>
            </w:r>
          </w:p>
        </w:tc>
        <w:tc>
          <w:tcPr>
            <w:tcW w:w="1679"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37.06</w:t>
            </w: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37.06</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视频安全边界平台升级改造经费</w:t>
            </w:r>
          </w:p>
        </w:tc>
        <w:tc>
          <w:tcPr>
            <w:tcW w:w="1679"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1.91</w:t>
            </w: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1.91</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基层派出所和涉案财务管理中心建设项目</w:t>
            </w:r>
          </w:p>
        </w:tc>
        <w:tc>
          <w:tcPr>
            <w:tcW w:w="1679"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4.80</w:t>
            </w: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4.80</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出入境证照费</w:t>
            </w:r>
          </w:p>
        </w:tc>
        <w:tc>
          <w:tcPr>
            <w:tcW w:w="1679" w:type="dxa"/>
            <w:noWrap w:val="0"/>
            <w:vAlign w:val="center"/>
          </w:tcPr>
          <w:p>
            <w:pPr>
              <w:ind w:firstLine="0" w:firstLineChars="0"/>
              <w:jc w:val="right"/>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0.26</w:t>
            </w:r>
          </w:p>
        </w:tc>
        <w:tc>
          <w:tcPr>
            <w:tcW w:w="1396" w:type="dxa"/>
            <w:noWrap w:val="0"/>
            <w:vAlign w:val="center"/>
          </w:tcPr>
          <w:p>
            <w:pPr>
              <w:ind w:firstLine="0" w:firstLineChars="0"/>
              <w:jc w:val="right"/>
              <w:rPr>
                <w:rFonts w:hint="default" w:ascii="仿宋_GB2312" w:hAnsi="仿宋_GB2312" w:eastAsia="仿宋_GB2312" w:cs="仿宋_GB2312"/>
                <w:b w:val="0"/>
                <w:bCs w:val="0"/>
                <w:kern w:val="2"/>
                <w:sz w:val="21"/>
                <w:szCs w:val="21"/>
                <w:highlight w:val="none"/>
                <w:lang w:val="en-US" w:eastAsia="zh-CN" w:bidi="ar-SA"/>
              </w:rPr>
            </w:pP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val="0"/>
                <w:bCs w:val="0"/>
                <w:kern w:val="2"/>
                <w:sz w:val="21"/>
                <w:szCs w:val="21"/>
                <w:highlight w:val="none"/>
                <w:lang w:val="en-US" w:eastAsia="zh-CN" w:bidi="ar-SA"/>
              </w:rPr>
              <w:t>0.26</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公安重点业务转移支付资金</w:t>
            </w:r>
          </w:p>
        </w:tc>
        <w:tc>
          <w:tcPr>
            <w:tcW w:w="1679"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8.26</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8.26</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51" w:type="dxa"/>
            <w:noWrap w:val="0"/>
            <w:vAlign w:val="center"/>
          </w:tcPr>
          <w:p>
            <w:pPr>
              <w:ind w:firstLine="0" w:firstLineChars="0"/>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司法救助专项资金</w:t>
            </w:r>
          </w:p>
        </w:tc>
        <w:tc>
          <w:tcPr>
            <w:tcW w:w="1679"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c>
          <w:tcPr>
            <w:tcW w:w="1396"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2.70</w:t>
            </w:r>
          </w:p>
        </w:tc>
        <w:tc>
          <w:tcPr>
            <w:tcW w:w="1455" w:type="dxa"/>
            <w:noWrap w:val="0"/>
            <w:vAlign w:val="center"/>
          </w:tcPr>
          <w:p>
            <w:pPr>
              <w:ind w:firstLine="0" w:firstLineChars="0"/>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2.70</w:t>
            </w:r>
          </w:p>
        </w:tc>
        <w:tc>
          <w:tcPr>
            <w:tcW w:w="1291" w:type="dxa"/>
            <w:noWrap w:val="0"/>
            <w:vAlign w:val="center"/>
          </w:tcPr>
          <w:p>
            <w:pPr>
              <w:ind w:firstLine="0" w:firstLineChars="0"/>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251" w:type="dxa"/>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合 计</w:t>
            </w:r>
          </w:p>
        </w:tc>
        <w:tc>
          <w:tcPr>
            <w:tcW w:w="1679" w:type="dxa"/>
            <w:noWrap w:val="0"/>
            <w:vAlign w:val="center"/>
          </w:tcPr>
          <w:p>
            <w:pPr>
              <w:ind w:firstLine="211" w:firstLineChars="1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385.76</w:t>
            </w:r>
          </w:p>
        </w:tc>
        <w:tc>
          <w:tcPr>
            <w:tcW w:w="1396" w:type="dxa"/>
            <w:noWrap w:val="0"/>
            <w:vAlign w:val="center"/>
          </w:tcPr>
          <w:p>
            <w:pPr>
              <w:ind w:firstLine="211" w:firstLineChars="1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5217.98</w:t>
            </w:r>
          </w:p>
        </w:tc>
        <w:tc>
          <w:tcPr>
            <w:tcW w:w="1455" w:type="dxa"/>
            <w:noWrap w:val="0"/>
            <w:vAlign w:val="center"/>
          </w:tcPr>
          <w:p>
            <w:pPr>
              <w:ind w:firstLine="211" w:firstLineChars="1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5603.75</w:t>
            </w:r>
          </w:p>
        </w:tc>
        <w:tc>
          <w:tcPr>
            <w:tcW w:w="1291" w:type="dxa"/>
            <w:noWrap w:val="0"/>
            <w:vAlign w:val="center"/>
          </w:tcPr>
          <w:p>
            <w:pPr>
              <w:ind w:firstLine="211" w:firstLineChars="100"/>
              <w:jc w:val="right"/>
              <w:rPr>
                <w:rFonts w:hint="eastAsia" w:ascii="仿宋_GB2312" w:hAnsi="仿宋_GB2312" w:eastAsia="仿宋_GB2312" w:cs="仿宋_GB2312"/>
                <w:b/>
                <w:bCs/>
                <w:kern w:val="2"/>
                <w:sz w:val="21"/>
                <w:szCs w:val="21"/>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（2）政府性基金预算财政拨款支出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2021年年初结余</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万元，本年累计收入0万元，累计支出0万元，结余0万元。</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hAnsi="仿宋_GB2312" w:cs="仿宋_GB2312"/>
          <w:b w:val="0"/>
          <w:bCs w:val="0"/>
          <w:sz w:val="28"/>
          <w:szCs w:val="28"/>
          <w:lang w:val="en-US" w:eastAsia="zh-CN"/>
        </w:rPr>
      </w:pPr>
      <w:r>
        <w:rPr>
          <w:rFonts w:hint="eastAsia" w:hAnsi="仿宋_GB2312" w:cs="仿宋_GB2312"/>
          <w:b w:val="0"/>
          <w:bCs w:val="0"/>
          <w:sz w:val="28"/>
          <w:szCs w:val="28"/>
          <w:lang w:val="en-US" w:eastAsia="zh-CN"/>
        </w:rPr>
        <w:t>永济市公安局交通管理大队</w:t>
      </w:r>
      <w:r>
        <w:rPr>
          <w:rFonts w:hint="eastAsia" w:hAnsi="仿宋_GB2312" w:cs="仿宋_GB2312"/>
          <w:b w:val="0"/>
          <w:bCs w:val="0"/>
          <w:sz w:val="28"/>
          <w:szCs w:val="28"/>
          <w:lang w:eastAsia="zh-CN"/>
        </w:rPr>
        <w:t>部门决算：</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2021年年初结转和结余</w:t>
      </w:r>
      <w:r>
        <w:rPr>
          <w:rFonts w:hint="eastAsia" w:hAnsi="仿宋_GB2312" w:cs="仿宋_GB2312"/>
          <w:sz w:val="28"/>
          <w:szCs w:val="28"/>
          <w:lang w:val="en-US" w:eastAsia="zh-CN"/>
        </w:rPr>
        <w:t>129.13</w:t>
      </w:r>
      <w:r>
        <w:rPr>
          <w:rFonts w:hint="eastAsia" w:ascii="仿宋_GB2312" w:hAnsi="仿宋_GB2312" w:eastAsia="仿宋_GB2312" w:cs="仿宋_GB2312"/>
          <w:sz w:val="28"/>
          <w:szCs w:val="28"/>
        </w:rPr>
        <w:t>万元，</w:t>
      </w:r>
      <w:r>
        <w:rPr>
          <w:rFonts w:hint="eastAsia" w:ascii="仿宋_GB2312" w:hAnsi="仿宋_GB2312" w:eastAsia="仿宋_GB2312" w:cs="仿宋_GB2312"/>
          <w:color w:val="auto"/>
          <w:sz w:val="28"/>
          <w:szCs w:val="28"/>
        </w:rPr>
        <w:t>其中：</w:t>
      </w:r>
      <w:r>
        <w:rPr>
          <w:rFonts w:hint="eastAsia" w:ascii="仿宋_GB2312" w:hAnsi="仿宋_GB2312" w:eastAsia="仿宋_GB2312" w:cs="仿宋_GB2312"/>
          <w:color w:val="auto"/>
          <w:sz w:val="28"/>
          <w:szCs w:val="28"/>
          <w:lang w:eastAsia="zh-CN"/>
        </w:rPr>
        <w:t>一般公共预算</w:t>
      </w:r>
      <w:r>
        <w:rPr>
          <w:rFonts w:hint="eastAsia" w:hAnsi="仿宋_GB2312" w:cs="仿宋_GB2312"/>
          <w:color w:val="auto"/>
          <w:sz w:val="28"/>
          <w:szCs w:val="28"/>
          <w:lang w:val="en-US" w:eastAsia="zh-CN"/>
        </w:rPr>
        <w:t>129.13</w:t>
      </w:r>
      <w:r>
        <w:rPr>
          <w:rFonts w:hint="eastAsia" w:ascii="仿宋_GB2312" w:hAnsi="仿宋_GB2312" w:eastAsia="仿宋_GB2312" w:cs="仿宋_GB2312"/>
          <w:color w:val="auto"/>
          <w:sz w:val="28"/>
          <w:szCs w:val="28"/>
          <w:lang w:val="en-US" w:eastAsia="zh-CN"/>
        </w:rPr>
        <w:t>万元</w:t>
      </w:r>
      <w:r>
        <w:rPr>
          <w:rFonts w:hint="eastAsia" w:hAnsi="仿宋_GB2312" w:cs="仿宋_GB2312"/>
          <w:color w:val="auto"/>
          <w:sz w:val="28"/>
          <w:szCs w:val="28"/>
          <w:lang w:val="en-US" w:eastAsia="zh-CN"/>
        </w:rPr>
        <w:t>，</w:t>
      </w:r>
      <w:r>
        <w:rPr>
          <w:rFonts w:hint="eastAsia" w:hAnsi="仿宋_GB2312" w:cs="仿宋_GB2312"/>
          <w:sz w:val="28"/>
          <w:szCs w:val="28"/>
          <w:lang w:val="en-US" w:eastAsia="zh-CN"/>
        </w:rPr>
        <w:t>政府性基金预算财政拨款0万元</w:t>
      </w:r>
      <w:r>
        <w:rPr>
          <w:rFonts w:hint="eastAsia" w:ascii="仿宋_GB2312" w:hAnsi="仿宋_GB2312" w:eastAsia="仿宋_GB2312" w:cs="仿宋_GB2312"/>
          <w:color w:val="auto"/>
          <w:sz w:val="28"/>
          <w:szCs w:val="28"/>
          <w:lang w:val="en-US" w:eastAsia="zh-CN"/>
        </w:rPr>
        <w:t>；本年收入</w:t>
      </w:r>
      <w:r>
        <w:rPr>
          <w:rFonts w:hint="eastAsia" w:hAnsi="仿宋_GB2312" w:cs="仿宋_GB2312"/>
          <w:color w:val="auto"/>
          <w:sz w:val="28"/>
          <w:szCs w:val="28"/>
          <w:lang w:val="en-US" w:eastAsia="zh-CN"/>
        </w:rPr>
        <w:t>1598.39</w:t>
      </w:r>
      <w:r>
        <w:rPr>
          <w:rFonts w:hint="eastAsia" w:ascii="仿宋_GB2312" w:hAnsi="仿宋_GB2312" w:eastAsia="仿宋_GB2312" w:cs="仿宋_GB2312"/>
          <w:color w:val="auto"/>
          <w:sz w:val="28"/>
          <w:szCs w:val="28"/>
          <w:lang w:val="en-US" w:eastAsia="zh-CN"/>
        </w:rPr>
        <w:t>万元，其中：</w:t>
      </w:r>
      <w:r>
        <w:rPr>
          <w:rFonts w:hint="eastAsia" w:hAnsi="仿宋_GB2312" w:cs="仿宋_GB2312"/>
          <w:sz w:val="28"/>
          <w:szCs w:val="28"/>
          <w:lang w:eastAsia="zh-CN"/>
        </w:rPr>
        <w:t>一般公共预算财政拨款收入</w:t>
      </w:r>
      <w:r>
        <w:rPr>
          <w:rFonts w:hint="eastAsia" w:hAnsi="仿宋_GB2312" w:cs="仿宋_GB2312"/>
          <w:sz w:val="28"/>
          <w:szCs w:val="28"/>
          <w:lang w:val="en-US" w:eastAsia="zh-CN"/>
        </w:rPr>
        <w:t>1598.39万元，政府性基金预算财政拨款收入0万元；本年支出1727.53万元，其中：</w:t>
      </w:r>
      <w:r>
        <w:rPr>
          <w:rFonts w:hint="eastAsia" w:hAnsi="仿宋_GB2312" w:cs="仿宋_GB2312"/>
          <w:sz w:val="28"/>
          <w:szCs w:val="28"/>
          <w:lang w:eastAsia="zh-CN"/>
        </w:rPr>
        <w:t>一般公共预算财政拨款支出</w:t>
      </w:r>
      <w:r>
        <w:rPr>
          <w:rFonts w:hint="eastAsia" w:hAnsi="仿宋_GB2312" w:cs="仿宋_GB2312"/>
          <w:sz w:val="28"/>
          <w:szCs w:val="28"/>
          <w:lang w:val="en-US" w:eastAsia="zh-CN"/>
        </w:rPr>
        <w:t>1727.53万元，政府性基金预算财政拨款支出0万元；年末结转和结余0万元。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（1）一般公共预算财政拨款支出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2021年年初结余</w:t>
      </w:r>
      <w:r>
        <w:rPr>
          <w:rFonts w:hint="eastAsia" w:ascii="仿宋_GB2312" w:hAnsi="仿宋_GB2312" w:eastAsia="仿宋_GB2312" w:cs="仿宋_GB2312"/>
          <w:sz w:val="28"/>
          <w:szCs w:val="28"/>
          <w:lang w:val="en-US" w:eastAsia="zh-CN"/>
        </w:rPr>
        <w:t>129.13</w:t>
      </w:r>
      <w:r>
        <w:rPr>
          <w:rFonts w:hint="eastAsia" w:ascii="仿宋_GB2312" w:hAnsi="仿宋_GB2312" w:eastAsia="仿宋_GB2312" w:cs="仿宋_GB2312"/>
          <w:sz w:val="28"/>
          <w:szCs w:val="28"/>
        </w:rPr>
        <w:t>万元，本年累计收</w:t>
      </w:r>
      <w:r>
        <w:rPr>
          <w:rFonts w:hint="eastAsia" w:ascii="仿宋_GB2312" w:hAnsi="仿宋_GB2312" w:eastAsia="仿宋_GB2312" w:cs="仿宋_GB2312"/>
          <w:sz w:val="28"/>
          <w:szCs w:val="28"/>
          <w:lang w:val="en-US" w:eastAsia="zh-CN"/>
        </w:rPr>
        <w:t>入1598.39</w:t>
      </w:r>
      <w:r>
        <w:rPr>
          <w:rFonts w:hint="eastAsia" w:ascii="仿宋_GB2312" w:hAnsi="仿宋_GB2312" w:eastAsia="仿宋_GB2312" w:cs="仿宋_GB2312"/>
          <w:sz w:val="28"/>
          <w:szCs w:val="28"/>
        </w:rPr>
        <w:t>万元，累计支出</w:t>
      </w:r>
      <w:r>
        <w:rPr>
          <w:rFonts w:hint="eastAsia" w:ascii="仿宋_GB2312" w:hAnsi="仿宋_GB2312" w:eastAsia="仿宋_GB2312" w:cs="仿宋_GB2312"/>
          <w:sz w:val="28"/>
          <w:szCs w:val="28"/>
          <w:lang w:val="en-US" w:eastAsia="zh-CN"/>
        </w:rPr>
        <w:t>1727.53</w:t>
      </w:r>
      <w:r>
        <w:rPr>
          <w:rFonts w:hint="eastAsia" w:ascii="仿宋_GB2312" w:hAnsi="仿宋_GB2312" w:eastAsia="仿宋_GB2312" w:cs="仿宋_GB2312"/>
          <w:sz w:val="28"/>
          <w:szCs w:val="28"/>
        </w:rPr>
        <w:t>万元，结余0万元。具体决算支出见下表1-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p>
    <w:p>
      <w:pPr>
        <w:pStyle w:val="2"/>
        <w:ind w:firstLine="56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表1-</w:t>
      </w:r>
      <w:r>
        <w:rPr>
          <w:rFonts w:hint="eastAsia" w:hAnsi="仿宋_GB2312" w:cs="仿宋_GB2312"/>
          <w:b/>
          <w:bCs/>
          <w:kern w:val="2"/>
          <w:sz w:val="28"/>
          <w:szCs w:val="28"/>
          <w:lang w:val="en-US" w:eastAsia="zh-CN" w:bidi="ar-SA"/>
        </w:rPr>
        <w:t>6</w:t>
      </w:r>
      <w:r>
        <w:rPr>
          <w:rFonts w:hint="eastAsia" w:ascii="仿宋_GB2312" w:hAnsi="仿宋_GB2312" w:eastAsia="仿宋_GB2312" w:cs="仿宋_GB2312"/>
          <w:b/>
          <w:bCs/>
          <w:kern w:val="2"/>
          <w:sz w:val="28"/>
          <w:szCs w:val="28"/>
          <w:lang w:val="en-US" w:eastAsia="zh-CN" w:bidi="ar-SA"/>
        </w:rPr>
        <w:t xml:space="preserve"> 一般公共预算财政拨款支出明细表</w:t>
      </w:r>
    </w:p>
    <w:tbl>
      <w:tblPr>
        <w:tblStyle w:val="19"/>
        <w:tblW w:w="9072"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5"/>
        <w:gridCol w:w="1753"/>
        <w:gridCol w:w="1356"/>
        <w:gridCol w:w="1224"/>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blHeader/>
        </w:trPr>
        <w:tc>
          <w:tcPr>
            <w:tcW w:w="3615"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支出明细</w:t>
            </w:r>
          </w:p>
        </w:tc>
        <w:tc>
          <w:tcPr>
            <w:tcW w:w="1753"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年初结转结余</w:t>
            </w:r>
          </w:p>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356"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本年收入</w:t>
            </w:r>
          </w:p>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224"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本年支出</w:t>
            </w:r>
          </w:p>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124"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年末结余（万元）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ind w:firstLine="0" w:firstLineChars="0"/>
              <w:jc w:val="both"/>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基本支出：</w:t>
            </w:r>
          </w:p>
        </w:tc>
        <w:tc>
          <w:tcPr>
            <w:tcW w:w="1753" w:type="dxa"/>
            <w:noWrap w:val="0"/>
            <w:vAlign w:val="center"/>
          </w:tcPr>
          <w:p>
            <w:pPr>
              <w:ind w:firstLine="0" w:firstLineChars="0"/>
              <w:jc w:val="center"/>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 xml:space="preserve">  0.32</w:t>
            </w:r>
          </w:p>
        </w:tc>
        <w:tc>
          <w:tcPr>
            <w:tcW w:w="1356" w:type="dxa"/>
            <w:noWrap w:val="0"/>
            <w:vAlign w:val="center"/>
          </w:tcPr>
          <w:p>
            <w:pPr>
              <w:ind w:firstLine="0" w:firstLineChars="0"/>
              <w:jc w:val="center"/>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 xml:space="preserve">  435.90</w:t>
            </w:r>
          </w:p>
        </w:tc>
        <w:tc>
          <w:tcPr>
            <w:tcW w:w="1224" w:type="dxa"/>
            <w:noWrap w:val="0"/>
            <w:vAlign w:val="center"/>
          </w:tcPr>
          <w:p>
            <w:pPr>
              <w:ind w:firstLine="0" w:firstLineChars="0"/>
              <w:jc w:val="center"/>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436.23</w:t>
            </w:r>
          </w:p>
        </w:tc>
        <w:tc>
          <w:tcPr>
            <w:tcW w:w="1124" w:type="dxa"/>
            <w:noWrap w:val="0"/>
            <w:vAlign w:val="center"/>
          </w:tcPr>
          <w:p>
            <w:pPr>
              <w:ind w:firstLine="0" w:firstLineChars="0"/>
              <w:jc w:val="right"/>
              <w:rPr>
                <w:rFonts w:hint="eastAsia" w:ascii="仿宋_GB2312" w:hAnsi="仿宋_GB2312" w:eastAsia="仿宋_GB2312" w:cs="仿宋_GB2312"/>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人员经费</w:t>
            </w:r>
          </w:p>
        </w:tc>
        <w:tc>
          <w:tcPr>
            <w:tcW w:w="1753" w:type="dxa"/>
            <w:noWrap w:val="0"/>
            <w:vAlign w:val="center"/>
          </w:tcPr>
          <w:p>
            <w:pPr>
              <w:spacing w:line="360" w:lineRule="auto"/>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0.32</w:t>
            </w:r>
          </w:p>
        </w:tc>
        <w:tc>
          <w:tcPr>
            <w:tcW w:w="1356" w:type="dxa"/>
            <w:noWrap w:val="0"/>
            <w:vAlign w:val="center"/>
          </w:tcPr>
          <w:p>
            <w:pPr>
              <w:spacing w:line="360" w:lineRule="auto"/>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362.56</w:t>
            </w:r>
          </w:p>
        </w:tc>
        <w:tc>
          <w:tcPr>
            <w:tcW w:w="1224" w:type="dxa"/>
            <w:noWrap w:val="0"/>
            <w:vAlign w:val="center"/>
          </w:tcPr>
          <w:p>
            <w:pPr>
              <w:spacing w:line="360" w:lineRule="auto"/>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362.88</w:t>
            </w:r>
          </w:p>
        </w:tc>
        <w:tc>
          <w:tcPr>
            <w:tcW w:w="1124" w:type="dxa"/>
            <w:noWrap w:val="0"/>
            <w:vAlign w:val="center"/>
          </w:tcPr>
          <w:p>
            <w:pPr>
              <w:spacing w:line="360" w:lineRule="auto"/>
              <w:ind w:firstLine="64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公用经费</w:t>
            </w:r>
          </w:p>
        </w:tc>
        <w:tc>
          <w:tcPr>
            <w:tcW w:w="1753" w:type="dxa"/>
            <w:noWrap w:val="0"/>
            <w:vAlign w:val="center"/>
          </w:tcPr>
          <w:p>
            <w:pPr>
              <w:spacing w:line="360" w:lineRule="auto"/>
              <w:ind w:firstLine="640"/>
              <w:jc w:val="center"/>
              <w:rPr>
                <w:rFonts w:hint="eastAsia" w:ascii="仿宋_GB2312" w:hAnsi="仿宋_GB2312" w:eastAsia="仿宋_GB2312" w:cs="仿宋_GB2312"/>
                <w:sz w:val="21"/>
                <w:szCs w:val="21"/>
              </w:rPr>
            </w:pPr>
          </w:p>
        </w:tc>
        <w:tc>
          <w:tcPr>
            <w:tcW w:w="1356" w:type="dxa"/>
            <w:noWrap w:val="0"/>
            <w:vAlign w:val="center"/>
          </w:tcPr>
          <w:p>
            <w:pPr>
              <w:spacing w:line="360" w:lineRule="auto"/>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73.35</w:t>
            </w:r>
          </w:p>
        </w:tc>
        <w:tc>
          <w:tcPr>
            <w:tcW w:w="1224" w:type="dxa"/>
            <w:noWrap w:val="0"/>
            <w:vAlign w:val="center"/>
          </w:tcPr>
          <w:p>
            <w:pPr>
              <w:spacing w:line="360" w:lineRule="auto"/>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73.35</w:t>
            </w:r>
          </w:p>
        </w:tc>
        <w:tc>
          <w:tcPr>
            <w:tcW w:w="1124" w:type="dxa"/>
            <w:noWrap w:val="0"/>
            <w:vAlign w:val="center"/>
          </w:tcPr>
          <w:p>
            <w:pPr>
              <w:spacing w:line="360" w:lineRule="auto"/>
              <w:ind w:firstLine="640"/>
              <w:jc w:val="righ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jc w:val="both"/>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项目支出：</w:t>
            </w:r>
          </w:p>
        </w:tc>
        <w:tc>
          <w:tcPr>
            <w:tcW w:w="1753" w:type="dxa"/>
            <w:noWrap w:val="0"/>
            <w:vAlign w:val="center"/>
          </w:tcPr>
          <w:p>
            <w:pPr>
              <w:ind w:firstLine="0" w:firstLineChars="0"/>
              <w:jc w:val="center"/>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128.81</w:t>
            </w:r>
          </w:p>
        </w:tc>
        <w:tc>
          <w:tcPr>
            <w:tcW w:w="1356" w:type="dxa"/>
            <w:noWrap w:val="0"/>
            <w:vAlign w:val="center"/>
          </w:tcPr>
          <w:p>
            <w:pPr>
              <w:ind w:firstLine="0" w:firstLineChars="0"/>
              <w:jc w:val="center"/>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1162.49</w:t>
            </w:r>
          </w:p>
        </w:tc>
        <w:tc>
          <w:tcPr>
            <w:tcW w:w="1224" w:type="dxa"/>
            <w:noWrap w:val="0"/>
            <w:vAlign w:val="center"/>
          </w:tcPr>
          <w:p>
            <w:pPr>
              <w:ind w:firstLine="0" w:firstLineChars="0"/>
              <w:jc w:val="center"/>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1291.30</w:t>
            </w:r>
          </w:p>
        </w:tc>
        <w:tc>
          <w:tcPr>
            <w:tcW w:w="1124" w:type="dxa"/>
            <w:noWrap w:val="0"/>
            <w:vAlign w:val="center"/>
          </w:tcPr>
          <w:p>
            <w:pPr>
              <w:ind w:firstLine="0" w:firstLineChars="0"/>
              <w:jc w:val="right"/>
              <w:rPr>
                <w:rFonts w:hint="eastAsia" w:ascii="仿宋_GB2312" w:hAnsi="仿宋_GB2312" w:eastAsia="仿宋_GB2312" w:cs="仿宋_GB2312"/>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2021年非税</w:t>
            </w:r>
          </w:p>
        </w:tc>
        <w:tc>
          <w:tcPr>
            <w:tcW w:w="1753" w:type="dxa"/>
            <w:noWrap w:val="0"/>
            <w:vAlign w:val="bottom"/>
          </w:tcPr>
          <w:p>
            <w:pPr>
              <w:jc w:val="center"/>
              <w:rPr>
                <w:rFonts w:hint="eastAsia" w:ascii="仿宋_GB2312" w:hAnsi="仿宋_GB2312" w:eastAsia="仿宋_GB2312" w:cs="仿宋_GB2312"/>
                <w:kern w:val="2"/>
                <w:sz w:val="21"/>
                <w:szCs w:val="21"/>
                <w:lang w:val="en-US" w:eastAsia="zh-CN" w:bidi="ar-SA"/>
              </w:rPr>
            </w:pPr>
          </w:p>
        </w:tc>
        <w:tc>
          <w:tcPr>
            <w:tcW w:w="135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757.13</w:t>
            </w:r>
          </w:p>
        </w:tc>
        <w:tc>
          <w:tcPr>
            <w:tcW w:w="1224"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757.13</w:t>
            </w:r>
          </w:p>
        </w:tc>
        <w:tc>
          <w:tcPr>
            <w:tcW w:w="1124" w:type="dxa"/>
            <w:noWrap w:val="0"/>
            <w:vAlign w:val="center"/>
          </w:tcPr>
          <w:p>
            <w:pPr>
              <w:spacing w:line="360" w:lineRule="auto"/>
              <w:ind w:firstLine="640"/>
              <w:jc w:val="right"/>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办公经费</w:t>
            </w:r>
          </w:p>
        </w:tc>
        <w:tc>
          <w:tcPr>
            <w:tcW w:w="1753" w:type="dxa"/>
            <w:noWrap w:val="0"/>
            <w:vAlign w:val="bottom"/>
          </w:tcPr>
          <w:p>
            <w:pPr>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5.51</w:t>
            </w:r>
          </w:p>
        </w:tc>
        <w:tc>
          <w:tcPr>
            <w:tcW w:w="1356" w:type="dxa"/>
            <w:noWrap w:val="0"/>
            <w:vAlign w:val="bottom"/>
          </w:tcPr>
          <w:p>
            <w:pPr>
              <w:spacing w:line="360" w:lineRule="auto"/>
              <w:ind w:firstLine="640"/>
              <w:jc w:val="center"/>
              <w:rPr>
                <w:rFonts w:hint="eastAsia" w:ascii="仿宋_GB2312" w:hAnsi="仿宋_GB2312" w:eastAsia="仿宋_GB2312" w:cs="仿宋_GB2312"/>
                <w:kern w:val="2"/>
                <w:sz w:val="21"/>
                <w:szCs w:val="21"/>
                <w:lang w:val="en-US" w:eastAsia="zh-CN" w:bidi="ar-SA"/>
              </w:rPr>
            </w:pPr>
          </w:p>
        </w:tc>
        <w:tc>
          <w:tcPr>
            <w:tcW w:w="1224" w:type="dxa"/>
            <w:noWrap w:val="0"/>
            <w:vAlign w:val="bottom"/>
          </w:tcPr>
          <w:p>
            <w:pPr>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5.51</w:t>
            </w:r>
          </w:p>
        </w:tc>
        <w:tc>
          <w:tcPr>
            <w:tcW w:w="1124" w:type="dxa"/>
            <w:noWrap w:val="0"/>
            <w:vAlign w:val="center"/>
          </w:tcPr>
          <w:p>
            <w:pPr>
              <w:spacing w:line="360" w:lineRule="auto"/>
              <w:ind w:firstLine="640"/>
              <w:jc w:val="right"/>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非税（办公及人员）</w:t>
            </w:r>
          </w:p>
        </w:tc>
        <w:tc>
          <w:tcPr>
            <w:tcW w:w="1753" w:type="dxa"/>
            <w:noWrap w:val="0"/>
            <w:vAlign w:val="bottom"/>
          </w:tcPr>
          <w:p>
            <w:pPr>
              <w:spacing w:line="36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51.1</w:t>
            </w:r>
            <w:r>
              <w:rPr>
                <w:rFonts w:hint="eastAsia" w:ascii="仿宋_GB2312" w:hAnsi="仿宋_GB2312" w:eastAsia="仿宋_GB2312" w:cs="仿宋_GB2312"/>
                <w:kern w:val="2"/>
                <w:sz w:val="21"/>
                <w:szCs w:val="21"/>
                <w:lang w:val="en-US" w:eastAsia="zh-CN" w:bidi="ar-SA"/>
              </w:rPr>
              <w:t>0</w:t>
            </w:r>
          </w:p>
        </w:tc>
        <w:tc>
          <w:tcPr>
            <w:tcW w:w="1356" w:type="dxa"/>
            <w:noWrap w:val="0"/>
            <w:vAlign w:val="bottom"/>
          </w:tcPr>
          <w:p>
            <w:pPr>
              <w:spacing w:line="360" w:lineRule="auto"/>
              <w:ind w:firstLine="640"/>
              <w:jc w:val="center"/>
              <w:rPr>
                <w:rFonts w:hint="eastAsia" w:ascii="仿宋_GB2312" w:hAnsi="仿宋_GB2312" w:eastAsia="仿宋_GB2312" w:cs="仿宋_GB2312"/>
                <w:kern w:val="2"/>
                <w:sz w:val="21"/>
                <w:szCs w:val="21"/>
                <w:lang w:val="en-US" w:eastAsia="zh-CN" w:bidi="ar-SA"/>
              </w:rPr>
            </w:pPr>
          </w:p>
        </w:tc>
        <w:tc>
          <w:tcPr>
            <w:tcW w:w="1224" w:type="dxa"/>
            <w:noWrap w:val="0"/>
            <w:vAlign w:val="bottom"/>
          </w:tcPr>
          <w:p>
            <w:pPr>
              <w:spacing w:line="36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51.1</w:t>
            </w:r>
            <w:r>
              <w:rPr>
                <w:rFonts w:hint="eastAsia" w:ascii="仿宋_GB2312" w:hAnsi="仿宋_GB2312" w:eastAsia="仿宋_GB2312" w:cs="仿宋_GB2312"/>
                <w:kern w:val="2"/>
                <w:sz w:val="21"/>
                <w:szCs w:val="21"/>
                <w:lang w:val="en-US" w:eastAsia="zh-CN" w:bidi="ar-SA"/>
              </w:rPr>
              <w:t>0</w:t>
            </w:r>
          </w:p>
        </w:tc>
        <w:tc>
          <w:tcPr>
            <w:tcW w:w="1124" w:type="dxa"/>
            <w:noWrap w:val="0"/>
            <w:vAlign w:val="center"/>
          </w:tcPr>
          <w:p>
            <w:pPr>
              <w:spacing w:line="360" w:lineRule="auto"/>
              <w:ind w:firstLine="640"/>
              <w:jc w:val="right"/>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下达2020年第二批公安交通管理省级补助资金</w:t>
            </w:r>
          </w:p>
        </w:tc>
        <w:tc>
          <w:tcPr>
            <w:tcW w:w="1753" w:type="dxa"/>
            <w:noWrap w:val="0"/>
            <w:vAlign w:val="center"/>
          </w:tcPr>
          <w:p>
            <w:pPr>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0.03</w:t>
            </w:r>
          </w:p>
        </w:tc>
        <w:tc>
          <w:tcPr>
            <w:tcW w:w="1356" w:type="dxa"/>
            <w:noWrap w:val="0"/>
            <w:vAlign w:val="center"/>
          </w:tcPr>
          <w:p>
            <w:pPr>
              <w:spacing w:line="360" w:lineRule="auto"/>
              <w:ind w:firstLine="640"/>
              <w:jc w:val="center"/>
              <w:rPr>
                <w:rFonts w:hint="eastAsia" w:ascii="仿宋_GB2312" w:hAnsi="仿宋_GB2312" w:eastAsia="仿宋_GB2312" w:cs="仿宋_GB2312"/>
                <w:kern w:val="2"/>
                <w:sz w:val="21"/>
                <w:szCs w:val="21"/>
                <w:lang w:val="en-US" w:eastAsia="zh-CN" w:bidi="ar-SA"/>
              </w:rPr>
            </w:pPr>
          </w:p>
        </w:tc>
        <w:tc>
          <w:tcPr>
            <w:tcW w:w="1224" w:type="dxa"/>
            <w:noWrap w:val="0"/>
            <w:vAlign w:val="center"/>
          </w:tcPr>
          <w:p>
            <w:pPr>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0.03</w:t>
            </w:r>
          </w:p>
        </w:tc>
        <w:tc>
          <w:tcPr>
            <w:tcW w:w="1124" w:type="dxa"/>
            <w:noWrap w:val="0"/>
            <w:vAlign w:val="center"/>
          </w:tcPr>
          <w:p>
            <w:pPr>
              <w:spacing w:line="360" w:lineRule="auto"/>
              <w:ind w:firstLine="640"/>
              <w:jc w:val="center"/>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省、县道安装黄闪灯和安全警示牌</w:t>
            </w:r>
          </w:p>
        </w:tc>
        <w:tc>
          <w:tcPr>
            <w:tcW w:w="1753" w:type="dxa"/>
            <w:noWrap w:val="0"/>
            <w:vAlign w:val="center"/>
          </w:tcPr>
          <w:p>
            <w:pPr>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54.76</w:t>
            </w:r>
          </w:p>
        </w:tc>
        <w:tc>
          <w:tcPr>
            <w:tcW w:w="1356" w:type="dxa"/>
            <w:noWrap w:val="0"/>
            <w:vAlign w:val="center"/>
          </w:tcPr>
          <w:p>
            <w:pPr>
              <w:spacing w:line="360" w:lineRule="auto"/>
              <w:ind w:firstLine="640"/>
              <w:jc w:val="center"/>
              <w:rPr>
                <w:rFonts w:hint="eastAsia" w:ascii="仿宋_GB2312" w:hAnsi="仿宋_GB2312" w:eastAsia="仿宋_GB2312" w:cs="仿宋_GB2312"/>
                <w:kern w:val="2"/>
                <w:sz w:val="21"/>
                <w:szCs w:val="21"/>
                <w:lang w:val="en-US" w:eastAsia="zh-CN" w:bidi="ar-SA"/>
              </w:rPr>
            </w:pPr>
          </w:p>
        </w:tc>
        <w:tc>
          <w:tcPr>
            <w:tcW w:w="1224" w:type="dxa"/>
            <w:noWrap w:val="0"/>
            <w:vAlign w:val="center"/>
          </w:tcPr>
          <w:p>
            <w:pPr>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54.76</w:t>
            </w:r>
          </w:p>
        </w:tc>
        <w:tc>
          <w:tcPr>
            <w:tcW w:w="1124" w:type="dxa"/>
            <w:noWrap w:val="0"/>
            <w:vAlign w:val="center"/>
          </w:tcPr>
          <w:p>
            <w:pPr>
              <w:spacing w:line="360" w:lineRule="auto"/>
              <w:ind w:firstLine="640"/>
              <w:jc w:val="center"/>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红绿灯智能卡口、电子警察及后端平台项目质保金</w:t>
            </w:r>
          </w:p>
        </w:tc>
        <w:tc>
          <w:tcPr>
            <w:tcW w:w="1753" w:type="dxa"/>
            <w:noWrap w:val="0"/>
            <w:vAlign w:val="center"/>
          </w:tcPr>
          <w:p>
            <w:pPr>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17.41</w:t>
            </w:r>
          </w:p>
        </w:tc>
        <w:tc>
          <w:tcPr>
            <w:tcW w:w="1356" w:type="dxa"/>
            <w:noWrap w:val="0"/>
            <w:vAlign w:val="center"/>
          </w:tcPr>
          <w:p>
            <w:pPr>
              <w:spacing w:line="360" w:lineRule="auto"/>
              <w:ind w:firstLine="640"/>
              <w:jc w:val="center"/>
              <w:rPr>
                <w:rFonts w:hint="eastAsia" w:ascii="仿宋_GB2312" w:hAnsi="仿宋_GB2312" w:eastAsia="仿宋_GB2312" w:cs="仿宋_GB2312"/>
                <w:kern w:val="2"/>
                <w:sz w:val="21"/>
                <w:szCs w:val="21"/>
                <w:lang w:val="en-US" w:eastAsia="zh-CN" w:bidi="ar-SA"/>
              </w:rPr>
            </w:pPr>
          </w:p>
        </w:tc>
        <w:tc>
          <w:tcPr>
            <w:tcW w:w="1224" w:type="dxa"/>
            <w:noWrap w:val="0"/>
            <w:vAlign w:val="center"/>
          </w:tcPr>
          <w:p>
            <w:pPr>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17.41</w:t>
            </w:r>
          </w:p>
        </w:tc>
        <w:tc>
          <w:tcPr>
            <w:tcW w:w="1124" w:type="dxa"/>
            <w:noWrap w:val="0"/>
            <w:vAlign w:val="center"/>
          </w:tcPr>
          <w:p>
            <w:pPr>
              <w:spacing w:line="360" w:lineRule="auto"/>
              <w:ind w:firstLine="640"/>
              <w:jc w:val="center"/>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授衔民警及加班补助、60名辅警工资</w:t>
            </w:r>
          </w:p>
        </w:tc>
        <w:tc>
          <w:tcPr>
            <w:tcW w:w="1753" w:type="dxa"/>
            <w:noWrap w:val="0"/>
            <w:vAlign w:val="center"/>
          </w:tcPr>
          <w:p>
            <w:pPr>
              <w:jc w:val="center"/>
              <w:rPr>
                <w:rFonts w:hint="eastAsia" w:ascii="仿宋_GB2312" w:hAnsi="仿宋_GB2312" w:eastAsia="仿宋_GB2312" w:cs="仿宋_GB2312"/>
                <w:kern w:val="2"/>
                <w:sz w:val="21"/>
                <w:szCs w:val="21"/>
                <w:lang w:val="en-US" w:eastAsia="zh-CN" w:bidi="ar-SA"/>
              </w:rPr>
            </w:pPr>
          </w:p>
        </w:tc>
        <w:tc>
          <w:tcPr>
            <w:tcW w:w="1356" w:type="dxa"/>
            <w:noWrap w:val="0"/>
            <w:vAlign w:val="center"/>
          </w:tcPr>
          <w:p>
            <w:pPr>
              <w:keepNext w:val="0"/>
              <w:keepLines w:val="0"/>
              <w:widowControl/>
              <w:suppressLineNumbers w:val="0"/>
              <w:jc w:val="center"/>
              <w:textAlignment w:val="bottom"/>
              <w:rPr>
                <w:rFonts w:hint="default" w:ascii="仿宋_GB2312" w:hAnsi="仿宋_GB2312" w:eastAsia="仿宋_GB2312" w:cs="仿宋_GB2312"/>
                <w:kern w:val="2"/>
                <w:sz w:val="21"/>
                <w:szCs w:val="21"/>
                <w:lang w:val="en-US" w:eastAsia="zh-CN" w:bidi="ar-SA"/>
              </w:rPr>
            </w:pPr>
            <w:r>
              <w:rPr>
                <w:rFonts w:hint="default" w:ascii="仿宋_GB2312" w:hAnsi="仿宋_GB2312" w:eastAsia="仿宋_GB2312" w:cs="仿宋_GB2312"/>
                <w:kern w:val="2"/>
                <w:sz w:val="21"/>
                <w:szCs w:val="21"/>
                <w:lang w:val="en-US" w:eastAsia="zh-CN" w:bidi="ar-SA"/>
              </w:rPr>
              <w:t>210.4</w:t>
            </w:r>
            <w:r>
              <w:rPr>
                <w:rFonts w:hint="eastAsia" w:ascii="仿宋_GB2312" w:hAnsi="仿宋_GB2312" w:eastAsia="仿宋_GB2312" w:cs="仿宋_GB2312"/>
                <w:kern w:val="2"/>
                <w:sz w:val="21"/>
                <w:szCs w:val="21"/>
                <w:lang w:val="en-US" w:eastAsia="zh-CN" w:bidi="ar-SA"/>
              </w:rPr>
              <w:t>0</w:t>
            </w:r>
          </w:p>
        </w:tc>
        <w:tc>
          <w:tcPr>
            <w:tcW w:w="1224" w:type="dxa"/>
            <w:noWrap w:val="0"/>
            <w:vAlign w:val="center"/>
          </w:tcPr>
          <w:p>
            <w:pPr>
              <w:keepNext w:val="0"/>
              <w:keepLines w:val="0"/>
              <w:widowControl/>
              <w:suppressLineNumbers w:val="0"/>
              <w:jc w:val="center"/>
              <w:textAlignment w:val="bottom"/>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210.4</w:t>
            </w:r>
            <w:r>
              <w:rPr>
                <w:rFonts w:hint="eastAsia" w:ascii="仿宋_GB2312" w:hAnsi="仿宋_GB2312" w:eastAsia="仿宋_GB2312" w:cs="仿宋_GB2312"/>
                <w:kern w:val="2"/>
                <w:sz w:val="21"/>
                <w:szCs w:val="21"/>
                <w:lang w:val="en-US" w:eastAsia="zh-CN" w:bidi="ar-SA"/>
              </w:rPr>
              <w:t>0</w:t>
            </w:r>
          </w:p>
        </w:tc>
        <w:tc>
          <w:tcPr>
            <w:tcW w:w="1124" w:type="dxa"/>
            <w:noWrap w:val="0"/>
            <w:vAlign w:val="center"/>
          </w:tcPr>
          <w:p>
            <w:pPr>
              <w:spacing w:line="360" w:lineRule="auto"/>
              <w:ind w:firstLine="640"/>
              <w:jc w:val="center"/>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2021年公安交通管理省级补助资金</w:t>
            </w:r>
          </w:p>
        </w:tc>
        <w:tc>
          <w:tcPr>
            <w:tcW w:w="1753" w:type="dxa"/>
            <w:noWrap w:val="0"/>
            <w:vAlign w:val="center"/>
          </w:tcPr>
          <w:p>
            <w:pPr>
              <w:jc w:val="center"/>
              <w:rPr>
                <w:rFonts w:hint="eastAsia" w:ascii="仿宋_GB2312" w:hAnsi="仿宋_GB2312" w:eastAsia="仿宋_GB2312" w:cs="仿宋_GB2312"/>
                <w:kern w:val="2"/>
                <w:sz w:val="21"/>
                <w:szCs w:val="21"/>
                <w:lang w:val="en-US" w:eastAsia="zh-CN" w:bidi="ar-SA"/>
              </w:rPr>
            </w:pPr>
          </w:p>
        </w:tc>
        <w:tc>
          <w:tcPr>
            <w:tcW w:w="1356" w:type="dxa"/>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1"/>
                <w:szCs w:val="21"/>
                <w:lang w:val="en-US" w:eastAsia="zh-CN" w:bidi="ar-SA"/>
              </w:rPr>
            </w:pPr>
            <w:r>
              <w:rPr>
                <w:rFonts w:hint="default" w:ascii="仿宋_GB2312" w:hAnsi="仿宋_GB2312" w:eastAsia="仿宋_GB2312" w:cs="仿宋_GB2312"/>
                <w:kern w:val="2"/>
                <w:sz w:val="21"/>
                <w:szCs w:val="21"/>
                <w:lang w:val="en-US" w:eastAsia="zh-CN" w:bidi="ar-SA"/>
              </w:rPr>
              <w:t>49.96</w:t>
            </w:r>
          </w:p>
        </w:tc>
        <w:tc>
          <w:tcPr>
            <w:tcW w:w="1224" w:type="dxa"/>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49.96</w:t>
            </w:r>
          </w:p>
        </w:tc>
        <w:tc>
          <w:tcPr>
            <w:tcW w:w="1124" w:type="dxa"/>
            <w:noWrap w:val="0"/>
            <w:vAlign w:val="center"/>
          </w:tcPr>
          <w:p>
            <w:pPr>
              <w:spacing w:line="360" w:lineRule="auto"/>
              <w:ind w:firstLine="640"/>
              <w:jc w:val="center"/>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目标责任考核奖金</w:t>
            </w:r>
          </w:p>
        </w:tc>
        <w:tc>
          <w:tcPr>
            <w:tcW w:w="1753" w:type="dxa"/>
            <w:noWrap w:val="0"/>
            <w:vAlign w:val="center"/>
          </w:tcPr>
          <w:p>
            <w:pPr>
              <w:jc w:val="center"/>
              <w:rPr>
                <w:rFonts w:hint="eastAsia" w:ascii="仿宋_GB2312" w:hAnsi="仿宋_GB2312" w:eastAsia="仿宋_GB2312" w:cs="仿宋_GB2312"/>
                <w:kern w:val="2"/>
                <w:sz w:val="21"/>
                <w:szCs w:val="21"/>
                <w:lang w:val="en-US" w:eastAsia="zh-CN" w:bidi="ar-SA"/>
              </w:rPr>
            </w:pPr>
          </w:p>
        </w:tc>
        <w:tc>
          <w:tcPr>
            <w:tcW w:w="1356" w:type="dxa"/>
            <w:noWrap w:val="0"/>
            <w:vAlign w:val="center"/>
          </w:tcPr>
          <w:p>
            <w:pPr>
              <w:keepNext w:val="0"/>
              <w:keepLines w:val="0"/>
              <w:widowControl/>
              <w:suppressLineNumbers w:val="0"/>
              <w:jc w:val="center"/>
              <w:textAlignment w:val="bottom"/>
              <w:rPr>
                <w:rFonts w:hint="default" w:ascii="仿宋_GB2312" w:hAnsi="仿宋_GB2312" w:eastAsia="仿宋_GB2312" w:cs="仿宋_GB2312"/>
                <w:kern w:val="2"/>
                <w:sz w:val="21"/>
                <w:szCs w:val="21"/>
                <w:lang w:val="en-US" w:eastAsia="zh-CN" w:bidi="ar-SA"/>
              </w:rPr>
            </w:pPr>
            <w:r>
              <w:rPr>
                <w:rFonts w:hint="default" w:ascii="仿宋_GB2312" w:hAnsi="仿宋_GB2312" w:eastAsia="仿宋_GB2312" w:cs="仿宋_GB2312"/>
                <w:kern w:val="2"/>
                <w:sz w:val="21"/>
                <w:szCs w:val="21"/>
                <w:lang w:val="en-US" w:eastAsia="zh-CN" w:bidi="ar-SA"/>
              </w:rPr>
              <w:t>1</w:t>
            </w:r>
            <w:r>
              <w:rPr>
                <w:rFonts w:hint="eastAsia" w:ascii="仿宋_GB2312" w:hAnsi="仿宋_GB2312" w:eastAsia="仿宋_GB2312" w:cs="仿宋_GB2312"/>
                <w:kern w:val="2"/>
                <w:sz w:val="21"/>
                <w:szCs w:val="21"/>
                <w:lang w:val="en-US" w:eastAsia="zh-CN" w:bidi="ar-SA"/>
              </w:rPr>
              <w:t>.00</w:t>
            </w:r>
          </w:p>
        </w:tc>
        <w:tc>
          <w:tcPr>
            <w:tcW w:w="1224" w:type="dxa"/>
            <w:noWrap w:val="0"/>
            <w:vAlign w:val="center"/>
          </w:tcPr>
          <w:p>
            <w:pPr>
              <w:keepNext w:val="0"/>
              <w:keepLines w:val="0"/>
              <w:widowControl/>
              <w:suppressLineNumbers w:val="0"/>
              <w:jc w:val="center"/>
              <w:textAlignment w:val="bottom"/>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w:t>
            </w:r>
            <w:r>
              <w:rPr>
                <w:rFonts w:hint="default" w:ascii="仿宋_GB2312" w:hAnsi="仿宋_GB2312" w:eastAsia="仿宋_GB2312" w:cs="仿宋_GB2312"/>
                <w:kern w:val="2"/>
                <w:sz w:val="21"/>
                <w:szCs w:val="21"/>
                <w:lang w:val="en-US" w:eastAsia="zh-CN" w:bidi="ar-SA"/>
              </w:rPr>
              <w:t>1</w:t>
            </w:r>
            <w:r>
              <w:rPr>
                <w:rFonts w:hint="eastAsia" w:ascii="仿宋_GB2312" w:hAnsi="仿宋_GB2312" w:eastAsia="仿宋_GB2312" w:cs="仿宋_GB2312"/>
                <w:kern w:val="2"/>
                <w:sz w:val="21"/>
                <w:szCs w:val="21"/>
                <w:lang w:val="en-US" w:eastAsia="zh-CN" w:bidi="ar-SA"/>
              </w:rPr>
              <w:t>.00</w:t>
            </w:r>
          </w:p>
        </w:tc>
        <w:tc>
          <w:tcPr>
            <w:tcW w:w="1124" w:type="dxa"/>
            <w:noWrap w:val="0"/>
            <w:vAlign w:val="center"/>
          </w:tcPr>
          <w:p>
            <w:pPr>
              <w:spacing w:line="360" w:lineRule="auto"/>
              <w:ind w:firstLine="640"/>
              <w:jc w:val="center"/>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spacing w:line="360" w:lineRule="auto"/>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城乡道路施划</w:t>
            </w:r>
          </w:p>
        </w:tc>
        <w:tc>
          <w:tcPr>
            <w:tcW w:w="1753" w:type="dxa"/>
            <w:noWrap w:val="0"/>
            <w:vAlign w:val="center"/>
          </w:tcPr>
          <w:p>
            <w:pPr>
              <w:spacing w:line="360" w:lineRule="auto"/>
              <w:ind w:firstLine="640"/>
              <w:jc w:val="center"/>
              <w:rPr>
                <w:rFonts w:hint="eastAsia" w:ascii="仿宋_GB2312" w:hAnsi="仿宋_GB2312" w:eastAsia="仿宋_GB2312" w:cs="仿宋_GB2312"/>
                <w:kern w:val="2"/>
                <w:sz w:val="21"/>
                <w:szCs w:val="21"/>
                <w:lang w:val="en-US" w:eastAsia="zh-CN" w:bidi="ar-SA"/>
              </w:rPr>
            </w:pPr>
          </w:p>
        </w:tc>
        <w:tc>
          <w:tcPr>
            <w:tcW w:w="1356" w:type="dxa"/>
            <w:noWrap w:val="0"/>
            <w:vAlign w:val="center"/>
          </w:tcPr>
          <w:p>
            <w:pPr>
              <w:spacing w:line="36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144.00</w:t>
            </w:r>
          </w:p>
        </w:tc>
        <w:tc>
          <w:tcPr>
            <w:tcW w:w="1224" w:type="dxa"/>
            <w:noWrap w:val="0"/>
            <w:vAlign w:val="center"/>
          </w:tcPr>
          <w:p>
            <w:pPr>
              <w:spacing w:line="36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 xml:space="preserve"> 144.00</w:t>
            </w:r>
          </w:p>
        </w:tc>
        <w:tc>
          <w:tcPr>
            <w:tcW w:w="1124" w:type="dxa"/>
            <w:noWrap w:val="0"/>
            <w:vAlign w:val="center"/>
          </w:tcPr>
          <w:p>
            <w:pPr>
              <w:spacing w:line="360" w:lineRule="auto"/>
              <w:ind w:firstLine="640"/>
              <w:jc w:val="center"/>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15" w:type="dxa"/>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合 计</w:t>
            </w:r>
          </w:p>
        </w:tc>
        <w:tc>
          <w:tcPr>
            <w:tcW w:w="1753" w:type="dxa"/>
            <w:noWrap w:val="0"/>
            <w:vAlign w:val="center"/>
          </w:tcPr>
          <w:p>
            <w:pPr>
              <w:ind w:firstLine="0" w:firstLineChars="0"/>
              <w:jc w:val="center"/>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129.13</w:t>
            </w:r>
          </w:p>
        </w:tc>
        <w:tc>
          <w:tcPr>
            <w:tcW w:w="1356" w:type="dxa"/>
            <w:noWrap w:val="0"/>
            <w:vAlign w:val="center"/>
          </w:tcPr>
          <w:p>
            <w:pPr>
              <w:ind w:firstLine="0" w:firstLineChars="0"/>
              <w:jc w:val="center"/>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1598.39</w:t>
            </w:r>
          </w:p>
        </w:tc>
        <w:tc>
          <w:tcPr>
            <w:tcW w:w="1224" w:type="dxa"/>
            <w:noWrap w:val="0"/>
            <w:vAlign w:val="center"/>
          </w:tcPr>
          <w:p>
            <w:pPr>
              <w:ind w:firstLine="0" w:firstLineChars="0"/>
              <w:jc w:val="center"/>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1727.53</w:t>
            </w:r>
          </w:p>
        </w:tc>
        <w:tc>
          <w:tcPr>
            <w:tcW w:w="1124" w:type="dxa"/>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（2）政府性基金预算财政拨款支出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2021年年初结余</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万元，本年累计收入0万元，累计支出0万元，结余0万元。</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仿宋_GB2312"/>
          <w:b w:val="0"/>
          <w:bCs w:val="0"/>
          <w:sz w:val="28"/>
          <w:szCs w:val="28"/>
          <w:lang w:eastAsia="zh-CN"/>
        </w:rPr>
      </w:pPr>
      <w:r>
        <w:rPr>
          <w:rFonts w:hint="eastAsia" w:hAnsi="仿宋_GB2312" w:cs="仿宋_GB2312"/>
          <w:b w:val="0"/>
          <w:bCs w:val="0"/>
          <w:sz w:val="28"/>
          <w:szCs w:val="28"/>
          <w:lang w:eastAsia="zh-CN"/>
        </w:rPr>
        <w:t>永济市看守所部门决算：</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2021年年初结转和结余</w:t>
      </w:r>
      <w:r>
        <w:rPr>
          <w:rFonts w:hint="eastAsia" w:hAnsi="仿宋_GB2312" w:cs="仿宋_GB2312"/>
          <w:sz w:val="28"/>
          <w:szCs w:val="28"/>
          <w:lang w:val="en-US" w:eastAsia="zh-CN"/>
        </w:rPr>
        <w:t>8.2</w:t>
      </w:r>
      <w:r>
        <w:rPr>
          <w:rFonts w:hint="eastAsia" w:ascii="仿宋_GB2312" w:hAnsi="仿宋_GB2312" w:eastAsia="仿宋_GB2312" w:cs="仿宋_GB2312"/>
          <w:sz w:val="28"/>
          <w:szCs w:val="28"/>
        </w:rPr>
        <w:t>万元，</w:t>
      </w:r>
      <w:r>
        <w:rPr>
          <w:rFonts w:hint="eastAsia" w:ascii="仿宋_GB2312" w:hAnsi="仿宋_GB2312" w:eastAsia="仿宋_GB2312" w:cs="仿宋_GB2312"/>
          <w:color w:val="auto"/>
          <w:sz w:val="28"/>
          <w:szCs w:val="28"/>
        </w:rPr>
        <w:t>其中：</w:t>
      </w:r>
      <w:r>
        <w:rPr>
          <w:rFonts w:hint="eastAsia" w:ascii="仿宋_GB2312" w:hAnsi="仿宋_GB2312" w:eastAsia="仿宋_GB2312" w:cs="仿宋_GB2312"/>
          <w:color w:val="auto"/>
          <w:sz w:val="28"/>
          <w:szCs w:val="28"/>
          <w:lang w:eastAsia="zh-CN"/>
        </w:rPr>
        <w:t>一般公共预算</w:t>
      </w:r>
      <w:r>
        <w:rPr>
          <w:rFonts w:hint="eastAsia" w:hAnsi="仿宋_GB2312" w:cs="仿宋_GB2312"/>
          <w:color w:val="auto"/>
          <w:sz w:val="28"/>
          <w:szCs w:val="28"/>
          <w:lang w:val="en-US" w:eastAsia="zh-CN"/>
        </w:rPr>
        <w:t>8.13</w:t>
      </w:r>
      <w:r>
        <w:rPr>
          <w:rFonts w:hint="eastAsia" w:ascii="仿宋_GB2312" w:hAnsi="仿宋_GB2312" w:eastAsia="仿宋_GB2312" w:cs="仿宋_GB2312"/>
          <w:color w:val="auto"/>
          <w:sz w:val="28"/>
          <w:szCs w:val="28"/>
          <w:lang w:val="en-US" w:eastAsia="zh-CN"/>
        </w:rPr>
        <w:t>万元</w:t>
      </w:r>
      <w:r>
        <w:rPr>
          <w:rFonts w:hint="eastAsia" w:hAnsi="仿宋_GB2312" w:cs="仿宋_GB2312"/>
          <w:color w:val="auto"/>
          <w:sz w:val="28"/>
          <w:szCs w:val="28"/>
          <w:lang w:val="en-US" w:eastAsia="zh-CN"/>
        </w:rPr>
        <w:t>，</w:t>
      </w:r>
      <w:r>
        <w:rPr>
          <w:rFonts w:hint="eastAsia" w:hAnsi="仿宋_GB2312" w:cs="仿宋_GB2312"/>
          <w:sz w:val="28"/>
          <w:szCs w:val="28"/>
          <w:lang w:val="en-US" w:eastAsia="zh-CN"/>
        </w:rPr>
        <w:t>政府性基金预算财政拨款0.07万元</w:t>
      </w:r>
      <w:r>
        <w:rPr>
          <w:rFonts w:hint="eastAsia" w:ascii="仿宋_GB2312" w:hAnsi="仿宋_GB2312" w:eastAsia="仿宋_GB2312" w:cs="仿宋_GB2312"/>
          <w:color w:val="auto"/>
          <w:sz w:val="28"/>
          <w:szCs w:val="28"/>
          <w:lang w:val="en-US" w:eastAsia="zh-CN"/>
        </w:rPr>
        <w:t>；本年收入</w:t>
      </w:r>
      <w:r>
        <w:rPr>
          <w:rFonts w:hint="eastAsia" w:hAnsi="仿宋_GB2312" w:cs="仿宋_GB2312"/>
          <w:color w:val="auto"/>
          <w:sz w:val="28"/>
          <w:szCs w:val="28"/>
          <w:lang w:val="en-US" w:eastAsia="zh-CN"/>
        </w:rPr>
        <w:t>219.38</w:t>
      </w:r>
      <w:r>
        <w:rPr>
          <w:rFonts w:hint="eastAsia" w:ascii="仿宋_GB2312" w:hAnsi="仿宋_GB2312" w:eastAsia="仿宋_GB2312" w:cs="仿宋_GB2312"/>
          <w:color w:val="auto"/>
          <w:sz w:val="28"/>
          <w:szCs w:val="28"/>
          <w:lang w:val="en-US" w:eastAsia="zh-CN"/>
        </w:rPr>
        <w:t>万元，其中：</w:t>
      </w:r>
      <w:r>
        <w:rPr>
          <w:rFonts w:hint="eastAsia" w:hAnsi="仿宋_GB2312" w:cs="仿宋_GB2312"/>
          <w:sz w:val="28"/>
          <w:szCs w:val="28"/>
          <w:lang w:eastAsia="zh-CN"/>
        </w:rPr>
        <w:t>一般公共预算财政拨款收入</w:t>
      </w:r>
      <w:r>
        <w:rPr>
          <w:rFonts w:hint="eastAsia" w:hAnsi="仿宋_GB2312" w:cs="仿宋_GB2312"/>
          <w:sz w:val="28"/>
          <w:szCs w:val="28"/>
          <w:lang w:val="en-US" w:eastAsia="zh-CN"/>
        </w:rPr>
        <w:t>219.38万元，政府性基金预算财政拨款收入0万元；本年支出227.51万元，其中：</w:t>
      </w:r>
      <w:r>
        <w:rPr>
          <w:rFonts w:hint="eastAsia" w:hAnsi="仿宋_GB2312" w:cs="仿宋_GB2312"/>
          <w:sz w:val="28"/>
          <w:szCs w:val="28"/>
          <w:lang w:eastAsia="zh-CN"/>
        </w:rPr>
        <w:t>一般公共预算财政拨款支出</w:t>
      </w:r>
      <w:r>
        <w:rPr>
          <w:rFonts w:hint="eastAsia" w:hAnsi="仿宋_GB2312" w:cs="仿宋_GB2312"/>
          <w:sz w:val="28"/>
          <w:szCs w:val="28"/>
          <w:lang w:val="en-US" w:eastAsia="zh-CN"/>
        </w:rPr>
        <w:t>227.51万元，政府性基金预算财政拨款支出0万元；年末结转和结余0.07万元，其中：</w:t>
      </w:r>
      <w:r>
        <w:rPr>
          <w:rFonts w:hint="eastAsia" w:hAnsi="仿宋_GB2312" w:cs="仿宋_GB2312"/>
          <w:sz w:val="28"/>
          <w:szCs w:val="28"/>
          <w:lang w:eastAsia="zh-CN"/>
        </w:rPr>
        <w:t>一般公共预算财政拨款</w:t>
      </w:r>
      <w:r>
        <w:rPr>
          <w:rFonts w:hint="eastAsia" w:hAnsi="仿宋_GB2312" w:cs="仿宋_GB2312"/>
          <w:sz w:val="28"/>
          <w:szCs w:val="28"/>
          <w:lang w:val="en-US" w:eastAsia="zh-CN"/>
        </w:rPr>
        <w:t>0万元，政府性基金预算财政拨款0.07万元。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（1）一般公共预算财政拨款支出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2021年年初结余</w:t>
      </w:r>
      <w:r>
        <w:rPr>
          <w:rFonts w:hint="eastAsia" w:ascii="仿宋_GB2312" w:hAnsi="仿宋_GB2312" w:eastAsia="仿宋_GB2312" w:cs="仿宋_GB2312"/>
          <w:sz w:val="28"/>
          <w:szCs w:val="28"/>
          <w:lang w:val="en-US" w:eastAsia="zh-CN"/>
        </w:rPr>
        <w:t>8.13</w:t>
      </w:r>
      <w:r>
        <w:rPr>
          <w:rFonts w:hint="eastAsia" w:ascii="仿宋_GB2312" w:hAnsi="仿宋_GB2312" w:eastAsia="仿宋_GB2312" w:cs="仿宋_GB2312"/>
          <w:sz w:val="28"/>
          <w:szCs w:val="28"/>
        </w:rPr>
        <w:t>万元，本年累计收</w:t>
      </w:r>
      <w:r>
        <w:rPr>
          <w:rFonts w:hint="eastAsia" w:ascii="仿宋_GB2312" w:hAnsi="仿宋_GB2312" w:eastAsia="仿宋_GB2312" w:cs="仿宋_GB2312"/>
          <w:kern w:val="2"/>
          <w:sz w:val="28"/>
          <w:szCs w:val="28"/>
          <w:lang w:val="en-US" w:eastAsia="zh-CN" w:bidi="ar-SA"/>
        </w:rPr>
        <w:t>入219.38</w:t>
      </w:r>
      <w:r>
        <w:rPr>
          <w:rFonts w:hint="eastAsia" w:ascii="仿宋_GB2312" w:hAnsi="仿宋_GB2312" w:eastAsia="仿宋_GB2312" w:cs="仿宋_GB2312"/>
          <w:sz w:val="28"/>
          <w:szCs w:val="28"/>
        </w:rPr>
        <w:t>万元，累计支出</w:t>
      </w:r>
      <w:r>
        <w:rPr>
          <w:rFonts w:hint="eastAsia" w:ascii="仿宋_GB2312" w:hAnsi="仿宋_GB2312" w:eastAsia="仿宋_GB2312" w:cs="仿宋_GB2312"/>
          <w:sz w:val="28"/>
          <w:szCs w:val="28"/>
          <w:lang w:val="en-US" w:eastAsia="zh-CN"/>
        </w:rPr>
        <w:t>227.51</w:t>
      </w:r>
      <w:r>
        <w:rPr>
          <w:rFonts w:hint="eastAsia" w:ascii="仿宋_GB2312" w:hAnsi="仿宋_GB2312" w:eastAsia="仿宋_GB2312" w:cs="仿宋_GB2312"/>
          <w:sz w:val="28"/>
          <w:szCs w:val="28"/>
        </w:rPr>
        <w:t>万元，结余0万元。具体决算支出见下表1-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p>
    <w:p>
      <w:pPr>
        <w:pStyle w:val="2"/>
        <w:ind w:firstLine="56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表1-7 一般公共预算财政拨款支出明细表</w:t>
      </w:r>
    </w:p>
    <w:tbl>
      <w:tblPr>
        <w:tblStyle w:val="19"/>
        <w:tblW w:w="8944"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0"/>
        <w:gridCol w:w="1644"/>
        <w:gridCol w:w="1632"/>
        <w:gridCol w:w="1584"/>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blHeader/>
        </w:trPr>
        <w:tc>
          <w:tcPr>
            <w:tcW w:w="2680"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支出明细</w:t>
            </w:r>
          </w:p>
        </w:tc>
        <w:tc>
          <w:tcPr>
            <w:tcW w:w="1644"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年初结转结余</w:t>
            </w:r>
          </w:p>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632"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本年收入</w:t>
            </w:r>
          </w:p>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584"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本年支出</w:t>
            </w:r>
          </w:p>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404"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年末结余（万元）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680" w:type="dxa"/>
            <w:noWrap w:val="0"/>
            <w:vAlign w:val="center"/>
          </w:tcPr>
          <w:p>
            <w:pPr>
              <w:jc w:val="both"/>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基本支出：</w:t>
            </w:r>
          </w:p>
        </w:tc>
        <w:tc>
          <w:tcPr>
            <w:tcW w:w="1644" w:type="dxa"/>
            <w:noWrap w:val="0"/>
            <w:vAlign w:val="center"/>
          </w:tcPr>
          <w:p>
            <w:pPr>
              <w:ind w:firstLine="422" w:firstLineChars="200"/>
              <w:jc w:val="both"/>
              <w:rPr>
                <w:rFonts w:hint="default" w:ascii="仿宋_GB2312" w:hAnsi="仿宋_GB2312" w:eastAsia="仿宋_GB2312" w:cs="仿宋_GB2312"/>
                <w:b/>
                <w:bCs/>
                <w:kern w:val="2"/>
                <w:sz w:val="21"/>
                <w:szCs w:val="21"/>
                <w:lang w:val="en-US" w:eastAsia="zh-CN" w:bidi="ar-SA"/>
              </w:rPr>
            </w:pPr>
          </w:p>
        </w:tc>
        <w:tc>
          <w:tcPr>
            <w:tcW w:w="1632" w:type="dxa"/>
            <w:noWrap w:val="0"/>
            <w:vAlign w:val="center"/>
          </w:tcPr>
          <w:p>
            <w:pPr>
              <w:ind w:firstLine="422" w:firstLineChars="200"/>
              <w:jc w:val="both"/>
              <w:rPr>
                <w:rFonts w:hint="default" w:ascii="仿宋_GB2312" w:hAnsi="仿宋_GB2312" w:eastAsia="仿宋_GB2312" w:cs="仿宋_GB2312"/>
                <w:b/>
                <w:bCs/>
                <w:kern w:val="2"/>
                <w:sz w:val="21"/>
                <w:szCs w:val="21"/>
                <w:lang w:val="en-US" w:eastAsia="zh-CN" w:bidi="ar-SA"/>
              </w:rPr>
            </w:pPr>
          </w:p>
        </w:tc>
        <w:tc>
          <w:tcPr>
            <w:tcW w:w="1584" w:type="dxa"/>
            <w:noWrap w:val="0"/>
            <w:vAlign w:val="center"/>
          </w:tcPr>
          <w:p>
            <w:pPr>
              <w:ind w:firstLine="422" w:firstLineChars="200"/>
              <w:jc w:val="both"/>
              <w:rPr>
                <w:rFonts w:hint="default" w:ascii="仿宋_GB2312" w:hAnsi="仿宋_GB2312" w:eastAsia="仿宋_GB2312" w:cs="仿宋_GB2312"/>
                <w:b/>
                <w:bCs/>
                <w:kern w:val="2"/>
                <w:sz w:val="21"/>
                <w:szCs w:val="21"/>
                <w:lang w:val="en-US" w:eastAsia="zh-CN" w:bidi="ar-SA"/>
              </w:rPr>
            </w:pPr>
          </w:p>
        </w:tc>
        <w:tc>
          <w:tcPr>
            <w:tcW w:w="1404" w:type="dxa"/>
            <w:noWrap w:val="0"/>
            <w:vAlign w:val="center"/>
          </w:tcPr>
          <w:p>
            <w:pPr>
              <w:ind w:firstLine="422" w:firstLineChars="200"/>
              <w:jc w:val="both"/>
              <w:rPr>
                <w:rFonts w:hint="eastAsia" w:ascii="仿宋_GB2312" w:hAnsi="仿宋_GB2312" w:eastAsia="仿宋_GB2312" w:cs="仿宋_GB2312"/>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680" w:type="dxa"/>
            <w:noWrap w:val="0"/>
            <w:vAlign w:val="center"/>
          </w:tcPr>
          <w:p>
            <w:pPr>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人员经费</w:t>
            </w:r>
          </w:p>
        </w:tc>
        <w:tc>
          <w:tcPr>
            <w:tcW w:w="1644" w:type="dxa"/>
            <w:noWrap w:val="0"/>
            <w:vAlign w:val="center"/>
          </w:tcPr>
          <w:p>
            <w:pPr>
              <w:spacing w:line="360" w:lineRule="auto"/>
              <w:ind w:firstLine="640"/>
              <w:jc w:val="both"/>
              <w:rPr>
                <w:rFonts w:hint="default" w:ascii="仿宋_GB2312" w:hAnsi="仿宋_GB2312" w:eastAsia="仿宋_GB2312" w:cs="仿宋_GB2312"/>
                <w:sz w:val="21"/>
                <w:szCs w:val="21"/>
                <w:lang w:val="en-US" w:eastAsia="zh-CN"/>
              </w:rPr>
            </w:pPr>
          </w:p>
        </w:tc>
        <w:tc>
          <w:tcPr>
            <w:tcW w:w="1632" w:type="dxa"/>
            <w:noWrap w:val="0"/>
            <w:vAlign w:val="center"/>
          </w:tcPr>
          <w:p>
            <w:pPr>
              <w:spacing w:line="360" w:lineRule="auto"/>
              <w:ind w:firstLine="640"/>
              <w:jc w:val="both"/>
              <w:rPr>
                <w:rFonts w:hint="default" w:ascii="仿宋_GB2312" w:hAnsi="仿宋_GB2312" w:eastAsia="仿宋_GB2312" w:cs="仿宋_GB2312"/>
                <w:sz w:val="21"/>
                <w:szCs w:val="21"/>
                <w:lang w:val="en-US" w:eastAsia="zh-CN"/>
              </w:rPr>
            </w:pPr>
          </w:p>
        </w:tc>
        <w:tc>
          <w:tcPr>
            <w:tcW w:w="1584" w:type="dxa"/>
            <w:noWrap w:val="0"/>
            <w:vAlign w:val="center"/>
          </w:tcPr>
          <w:p>
            <w:pPr>
              <w:spacing w:line="360" w:lineRule="auto"/>
              <w:ind w:firstLine="640"/>
              <w:jc w:val="both"/>
              <w:rPr>
                <w:rFonts w:hint="default" w:ascii="仿宋_GB2312" w:hAnsi="仿宋_GB2312" w:eastAsia="仿宋_GB2312" w:cs="仿宋_GB2312"/>
                <w:sz w:val="21"/>
                <w:szCs w:val="21"/>
                <w:lang w:val="en-US" w:eastAsia="zh-CN"/>
              </w:rPr>
            </w:pPr>
          </w:p>
        </w:tc>
        <w:tc>
          <w:tcPr>
            <w:tcW w:w="1404" w:type="dxa"/>
            <w:noWrap w:val="0"/>
            <w:vAlign w:val="center"/>
          </w:tcPr>
          <w:p>
            <w:pPr>
              <w:spacing w:line="360" w:lineRule="auto"/>
              <w:ind w:firstLine="640"/>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680" w:type="dxa"/>
            <w:noWrap w:val="0"/>
            <w:vAlign w:val="center"/>
          </w:tcPr>
          <w:p>
            <w:pPr>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公用经费</w:t>
            </w:r>
          </w:p>
        </w:tc>
        <w:tc>
          <w:tcPr>
            <w:tcW w:w="1644" w:type="dxa"/>
            <w:noWrap w:val="0"/>
            <w:vAlign w:val="center"/>
          </w:tcPr>
          <w:p>
            <w:pPr>
              <w:spacing w:line="360" w:lineRule="auto"/>
              <w:ind w:firstLine="640"/>
              <w:jc w:val="both"/>
              <w:rPr>
                <w:rFonts w:hint="eastAsia" w:ascii="仿宋_GB2312" w:hAnsi="仿宋_GB2312" w:eastAsia="仿宋_GB2312" w:cs="仿宋_GB2312"/>
                <w:sz w:val="21"/>
                <w:szCs w:val="21"/>
              </w:rPr>
            </w:pPr>
          </w:p>
        </w:tc>
        <w:tc>
          <w:tcPr>
            <w:tcW w:w="1632" w:type="dxa"/>
            <w:noWrap w:val="0"/>
            <w:vAlign w:val="center"/>
          </w:tcPr>
          <w:p>
            <w:pPr>
              <w:spacing w:line="360" w:lineRule="auto"/>
              <w:ind w:firstLine="640"/>
              <w:jc w:val="both"/>
              <w:rPr>
                <w:rFonts w:hint="default" w:ascii="仿宋_GB2312" w:hAnsi="仿宋_GB2312" w:eastAsia="仿宋_GB2312" w:cs="仿宋_GB2312"/>
                <w:sz w:val="21"/>
                <w:szCs w:val="21"/>
                <w:lang w:val="en-US" w:eastAsia="zh-CN"/>
              </w:rPr>
            </w:pPr>
          </w:p>
        </w:tc>
        <w:tc>
          <w:tcPr>
            <w:tcW w:w="1584" w:type="dxa"/>
            <w:noWrap w:val="0"/>
            <w:vAlign w:val="center"/>
          </w:tcPr>
          <w:p>
            <w:pPr>
              <w:spacing w:line="360" w:lineRule="auto"/>
              <w:ind w:firstLine="640"/>
              <w:jc w:val="both"/>
              <w:rPr>
                <w:rFonts w:hint="default" w:ascii="仿宋_GB2312" w:hAnsi="仿宋_GB2312" w:eastAsia="仿宋_GB2312" w:cs="仿宋_GB2312"/>
                <w:sz w:val="21"/>
                <w:szCs w:val="21"/>
                <w:lang w:val="en-US" w:eastAsia="zh-CN"/>
              </w:rPr>
            </w:pPr>
          </w:p>
        </w:tc>
        <w:tc>
          <w:tcPr>
            <w:tcW w:w="1404" w:type="dxa"/>
            <w:noWrap w:val="0"/>
            <w:vAlign w:val="center"/>
          </w:tcPr>
          <w:p>
            <w:pPr>
              <w:spacing w:line="360" w:lineRule="auto"/>
              <w:ind w:firstLine="640"/>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680" w:type="dxa"/>
            <w:noWrap w:val="0"/>
            <w:vAlign w:val="center"/>
          </w:tcPr>
          <w:p>
            <w:pPr>
              <w:jc w:val="both"/>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项目支出：</w:t>
            </w:r>
          </w:p>
        </w:tc>
        <w:tc>
          <w:tcPr>
            <w:tcW w:w="1644" w:type="dxa"/>
            <w:noWrap w:val="0"/>
            <w:vAlign w:val="center"/>
          </w:tcPr>
          <w:p>
            <w:pPr>
              <w:ind w:firstLine="422" w:firstLineChars="2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8.13</w:t>
            </w:r>
          </w:p>
        </w:tc>
        <w:tc>
          <w:tcPr>
            <w:tcW w:w="1632" w:type="dxa"/>
            <w:noWrap w:val="0"/>
            <w:vAlign w:val="center"/>
          </w:tcPr>
          <w:p>
            <w:pPr>
              <w:ind w:firstLine="422" w:firstLineChars="2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219.38</w:t>
            </w:r>
          </w:p>
        </w:tc>
        <w:tc>
          <w:tcPr>
            <w:tcW w:w="1584" w:type="dxa"/>
            <w:noWrap w:val="0"/>
            <w:vAlign w:val="center"/>
          </w:tcPr>
          <w:p>
            <w:pPr>
              <w:ind w:firstLine="422" w:firstLineChars="2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227.51</w:t>
            </w:r>
          </w:p>
        </w:tc>
        <w:tc>
          <w:tcPr>
            <w:tcW w:w="1404" w:type="dxa"/>
            <w:noWrap w:val="0"/>
            <w:vAlign w:val="center"/>
          </w:tcPr>
          <w:p>
            <w:pPr>
              <w:jc w:val="right"/>
              <w:rPr>
                <w:rFonts w:hint="eastAsia" w:ascii="仿宋_GB2312" w:hAnsi="仿宋_GB2312" w:eastAsia="仿宋_GB2312" w:cs="仿宋_GB2312"/>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680" w:type="dxa"/>
            <w:noWrap w:val="0"/>
            <w:vAlign w:val="center"/>
          </w:tcPr>
          <w:p>
            <w:pPr>
              <w:spacing w:line="360" w:lineRule="auto"/>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武警中队工作经费</w:t>
            </w:r>
          </w:p>
        </w:tc>
        <w:tc>
          <w:tcPr>
            <w:tcW w:w="1644" w:type="dxa"/>
            <w:noWrap w:val="0"/>
            <w:vAlign w:val="center"/>
          </w:tcPr>
          <w:p>
            <w:pPr>
              <w:spacing w:line="360" w:lineRule="auto"/>
              <w:ind w:firstLine="640"/>
              <w:jc w:val="right"/>
              <w:rPr>
                <w:rFonts w:hint="default" w:ascii="仿宋_GB2312" w:hAnsi="仿宋_GB2312" w:eastAsia="仿宋_GB2312" w:cs="仿宋_GB2312"/>
                <w:sz w:val="21"/>
                <w:szCs w:val="21"/>
                <w:lang w:val="en-US" w:eastAsia="zh-CN"/>
              </w:rPr>
            </w:pPr>
          </w:p>
        </w:tc>
        <w:tc>
          <w:tcPr>
            <w:tcW w:w="1632" w:type="dxa"/>
            <w:noWrap w:val="0"/>
            <w:vAlign w:val="center"/>
          </w:tcPr>
          <w:p>
            <w:pPr>
              <w:spacing w:line="360" w:lineRule="auto"/>
              <w:ind w:firstLine="640"/>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20.00</w:t>
            </w:r>
          </w:p>
        </w:tc>
        <w:tc>
          <w:tcPr>
            <w:tcW w:w="1584" w:type="dxa"/>
            <w:noWrap w:val="0"/>
            <w:vAlign w:val="center"/>
          </w:tcPr>
          <w:p>
            <w:pPr>
              <w:spacing w:line="360" w:lineRule="auto"/>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20.00</w:t>
            </w:r>
          </w:p>
        </w:tc>
        <w:tc>
          <w:tcPr>
            <w:tcW w:w="1404" w:type="dxa"/>
            <w:noWrap w:val="0"/>
            <w:vAlign w:val="center"/>
          </w:tcPr>
          <w:p>
            <w:pPr>
              <w:spacing w:line="360" w:lineRule="auto"/>
              <w:jc w:val="right"/>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680"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外围墙及训练场重建经费</w:t>
            </w:r>
          </w:p>
        </w:tc>
        <w:tc>
          <w:tcPr>
            <w:tcW w:w="1644" w:type="dxa"/>
            <w:noWrap w:val="0"/>
            <w:vAlign w:val="center"/>
          </w:tcPr>
          <w:p>
            <w:pPr>
              <w:spacing w:line="360" w:lineRule="auto"/>
              <w:ind w:firstLine="640"/>
              <w:jc w:val="right"/>
              <w:rPr>
                <w:rFonts w:hint="eastAsia" w:ascii="仿宋_GB2312" w:hAnsi="仿宋_GB2312" w:eastAsia="仿宋_GB2312" w:cs="仿宋_GB2312"/>
                <w:sz w:val="21"/>
                <w:szCs w:val="21"/>
                <w:lang w:val="en-US" w:eastAsia="zh-CN"/>
              </w:rPr>
            </w:pPr>
          </w:p>
        </w:tc>
        <w:tc>
          <w:tcPr>
            <w:tcW w:w="1632" w:type="dxa"/>
            <w:noWrap w:val="0"/>
            <w:vAlign w:val="center"/>
          </w:tcPr>
          <w:p>
            <w:pPr>
              <w:spacing w:line="360" w:lineRule="auto"/>
              <w:ind w:firstLine="640"/>
              <w:jc w:val="righ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30.00</w:t>
            </w:r>
          </w:p>
        </w:tc>
        <w:tc>
          <w:tcPr>
            <w:tcW w:w="1584" w:type="dxa"/>
            <w:noWrap w:val="0"/>
            <w:vAlign w:val="center"/>
          </w:tcPr>
          <w:p>
            <w:pPr>
              <w:spacing w:line="360" w:lineRule="auto"/>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30.00</w:t>
            </w:r>
          </w:p>
        </w:tc>
        <w:tc>
          <w:tcPr>
            <w:tcW w:w="1404" w:type="dxa"/>
            <w:noWrap w:val="0"/>
            <w:vAlign w:val="center"/>
          </w:tcPr>
          <w:p>
            <w:pPr>
              <w:spacing w:line="360" w:lineRule="auto"/>
              <w:jc w:val="righ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680"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防护网建设</w:t>
            </w:r>
          </w:p>
        </w:tc>
        <w:tc>
          <w:tcPr>
            <w:tcW w:w="1644" w:type="dxa"/>
            <w:noWrap w:val="0"/>
            <w:vAlign w:val="center"/>
          </w:tcPr>
          <w:p>
            <w:pPr>
              <w:spacing w:line="360" w:lineRule="auto"/>
              <w:ind w:firstLine="640"/>
              <w:jc w:val="right"/>
              <w:rPr>
                <w:rFonts w:hint="eastAsia" w:ascii="仿宋_GB2312" w:hAnsi="仿宋_GB2312" w:eastAsia="仿宋_GB2312" w:cs="仿宋_GB2312"/>
                <w:sz w:val="21"/>
                <w:szCs w:val="21"/>
                <w:lang w:val="en-US" w:eastAsia="zh-CN"/>
              </w:rPr>
            </w:pPr>
          </w:p>
        </w:tc>
        <w:tc>
          <w:tcPr>
            <w:tcW w:w="1632" w:type="dxa"/>
            <w:noWrap w:val="0"/>
            <w:vAlign w:val="center"/>
          </w:tcPr>
          <w:p>
            <w:pPr>
              <w:spacing w:line="360" w:lineRule="auto"/>
              <w:ind w:firstLine="640"/>
              <w:jc w:val="righ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1.94</w:t>
            </w:r>
          </w:p>
        </w:tc>
        <w:tc>
          <w:tcPr>
            <w:tcW w:w="1584" w:type="dxa"/>
            <w:noWrap w:val="0"/>
            <w:vAlign w:val="center"/>
          </w:tcPr>
          <w:p>
            <w:pPr>
              <w:spacing w:line="360" w:lineRule="auto"/>
              <w:ind w:firstLine="640"/>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1.94</w:t>
            </w:r>
          </w:p>
        </w:tc>
        <w:tc>
          <w:tcPr>
            <w:tcW w:w="1404" w:type="dxa"/>
            <w:noWrap w:val="0"/>
            <w:vAlign w:val="center"/>
          </w:tcPr>
          <w:p>
            <w:pPr>
              <w:spacing w:line="360" w:lineRule="auto"/>
              <w:jc w:val="righ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680"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医务人员费用</w:t>
            </w:r>
          </w:p>
        </w:tc>
        <w:tc>
          <w:tcPr>
            <w:tcW w:w="1644" w:type="dxa"/>
            <w:noWrap w:val="0"/>
            <w:vAlign w:val="center"/>
          </w:tcPr>
          <w:p>
            <w:pPr>
              <w:spacing w:line="360" w:lineRule="auto"/>
              <w:ind w:firstLine="640"/>
              <w:jc w:val="right"/>
              <w:rPr>
                <w:rFonts w:hint="eastAsia" w:ascii="仿宋_GB2312" w:hAnsi="仿宋_GB2312" w:eastAsia="仿宋_GB2312" w:cs="仿宋_GB2312"/>
                <w:sz w:val="21"/>
                <w:szCs w:val="21"/>
                <w:lang w:val="en-US" w:eastAsia="zh-CN"/>
              </w:rPr>
            </w:pPr>
          </w:p>
        </w:tc>
        <w:tc>
          <w:tcPr>
            <w:tcW w:w="1632" w:type="dxa"/>
            <w:noWrap w:val="0"/>
            <w:vAlign w:val="center"/>
          </w:tcPr>
          <w:p>
            <w:pPr>
              <w:spacing w:line="360" w:lineRule="auto"/>
              <w:ind w:firstLine="640"/>
              <w:jc w:val="righ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3.00</w:t>
            </w:r>
          </w:p>
        </w:tc>
        <w:tc>
          <w:tcPr>
            <w:tcW w:w="1584" w:type="dxa"/>
            <w:noWrap w:val="0"/>
            <w:vAlign w:val="center"/>
          </w:tcPr>
          <w:p>
            <w:pPr>
              <w:spacing w:line="360" w:lineRule="auto"/>
              <w:ind w:firstLine="640"/>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3.00</w:t>
            </w:r>
          </w:p>
        </w:tc>
        <w:tc>
          <w:tcPr>
            <w:tcW w:w="1404" w:type="dxa"/>
            <w:noWrap w:val="0"/>
            <w:vAlign w:val="center"/>
          </w:tcPr>
          <w:p>
            <w:pPr>
              <w:spacing w:line="360" w:lineRule="auto"/>
              <w:jc w:val="righ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680"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在押人员给养费</w:t>
            </w:r>
          </w:p>
        </w:tc>
        <w:tc>
          <w:tcPr>
            <w:tcW w:w="1644" w:type="dxa"/>
            <w:noWrap w:val="0"/>
            <w:vAlign w:val="center"/>
          </w:tcPr>
          <w:p>
            <w:pPr>
              <w:spacing w:line="360" w:lineRule="auto"/>
              <w:ind w:firstLine="640"/>
              <w:jc w:val="right"/>
              <w:rPr>
                <w:rFonts w:hint="eastAsia" w:ascii="仿宋_GB2312" w:hAnsi="仿宋_GB2312" w:eastAsia="仿宋_GB2312" w:cs="仿宋_GB2312"/>
                <w:sz w:val="21"/>
                <w:szCs w:val="21"/>
                <w:lang w:val="en-US" w:eastAsia="zh-CN"/>
              </w:rPr>
            </w:pPr>
          </w:p>
        </w:tc>
        <w:tc>
          <w:tcPr>
            <w:tcW w:w="1632" w:type="dxa"/>
            <w:noWrap w:val="0"/>
            <w:vAlign w:val="center"/>
          </w:tcPr>
          <w:p>
            <w:pPr>
              <w:spacing w:line="360" w:lineRule="auto"/>
              <w:ind w:firstLine="640"/>
              <w:jc w:val="righ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80.23</w:t>
            </w:r>
          </w:p>
        </w:tc>
        <w:tc>
          <w:tcPr>
            <w:tcW w:w="1584" w:type="dxa"/>
            <w:noWrap w:val="0"/>
            <w:vAlign w:val="center"/>
          </w:tcPr>
          <w:p>
            <w:pPr>
              <w:spacing w:line="360" w:lineRule="auto"/>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80.23</w:t>
            </w:r>
          </w:p>
        </w:tc>
        <w:tc>
          <w:tcPr>
            <w:tcW w:w="1404" w:type="dxa"/>
            <w:noWrap w:val="0"/>
            <w:vAlign w:val="center"/>
          </w:tcPr>
          <w:p>
            <w:pPr>
              <w:spacing w:line="360" w:lineRule="auto"/>
              <w:jc w:val="righ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680" w:type="dxa"/>
            <w:noWrap w:val="0"/>
            <w:vAlign w:val="center"/>
          </w:tcPr>
          <w:p>
            <w:pPr>
              <w:spacing w:line="360" w:lineRule="auto"/>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办公经费</w:t>
            </w:r>
          </w:p>
        </w:tc>
        <w:tc>
          <w:tcPr>
            <w:tcW w:w="1644" w:type="dxa"/>
            <w:noWrap w:val="0"/>
            <w:vAlign w:val="center"/>
          </w:tcPr>
          <w:p>
            <w:pPr>
              <w:spacing w:line="360" w:lineRule="auto"/>
              <w:ind w:firstLine="640"/>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8.13</w:t>
            </w:r>
          </w:p>
        </w:tc>
        <w:tc>
          <w:tcPr>
            <w:tcW w:w="1632" w:type="dxa"/>
            <w:noWrap w:val="0"/>
            <w:vAlign w:val="center"/>
          </w:tcPr>
          <w:p>
            <w:pPr>
              <w:spacing w:line="360" w:lineRule="auto"/>
              <w:ind w:firstLine="640"/>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84.21</w:t>
            </w:r>
          </w:p>
        </w:tc>
        <w:tc>
          <w:tcPr>
            <w:tcW w:w="1584" w:type="dxa"/>
            <w:noWrap w:val="0"/>
            <w:vAlign w:val="center"/>
          </w:tcPr>
          <w:p>
            <w:pPr>
              <w:spacing w:line="360" w:lineRule="auto"/>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92.34</w:t>
            </w:r>
          </w:p>
        </w:tc>
        <w:tc>
          <w:tcPr>
            <w:tcW w:w="1404" w:type="dxa"/>
            <w:noWrap w:val="0"/>
            <w:vAlign w:val="center"/>
          </w:tcPr>
          <w:p>
            <w:pPr>
              <w:spacing w:line="360" w:lineRule="auto"/>
              <w:jc w:val="righ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680" w:type="dxa"/>
            <w:noWrap w:val="0"/>
            <w:vAlign w:val="center"/>
          </w:tcPr>
          <w:p>
            <w:pPr>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合 计</w:t>
            </w:r>
          </w:p>
        </w:tc>
        <w:tc>
          <w:tcPr>
            <w:tcW w:w="1644" w:type="dxa"/>
            <w:noWrap w:val="0"/>
            <w:vAlign w:val="center"/>
          </w:tcPr>
          <w:p>
            <w:pPr>
              <w:ind w:firstLine="422" w:firstLineChars="2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8.13</w:t>
            </w:r>
          </w:p>
        </w:tc>
        <w:tc>
          <w:tcPr>
            <w:tcW w:w="1632" w:type="dxa"/>
            <w:noWrap w:val="0"/>
            <w:vAlign w:val="center"/>
          </w:tcPr>
          <w:p>
            <w:pPr>
              <w:ind w:firstLine="422" w:firstLineChars="2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219.38</w:t>
            </w:r>
          </w:p>
        </w:tc>
        <w:tc>
          <w:tcPr>
            <w:tcW w:w="1584" w:type="dxa"/>
            <w:noWrap w:val="0"/>
            <w:vAlign w:val="center"/>
          </w:tcPr>
          <w:p>
            <w:pPr>
              <w:ind w:firstLine="422" w:firstLineChars="200"/>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227.51</w:t>
            </w:r>
          </w:p>
        </w:tc>
        <w:tc>
          <w:tcPr>
            <w:tcW w:w="1404" w:type="dxa"/>
            <w:noWrap w:val="0"/>
            <w:vAlign w:val="center"/>
          </w:tcPr>
          <w:p>
            <w:pPr>
              <w:ind w:firstLine="422" w:firstLineChars="200"/>
              <w:jc w:val="right"/>
              <w:rPr>
                <w:rFonts w:hint="eastAsia" w:ascii="仿宋_GB2312" w:hAnsi="仿宋_GB2312" w:eastAsia="仿宋_GB2312" w:cs="仿宋_GB2312"/>
                <w:b/>
                <w:bCs/>
                <w:kern w:val="2"/>
                <w:sz w:val="21"/>
                <w:szCs w:val="21"/>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（2）政府性基金预算财政拨款支出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2021年年初结余</w:t>
      </w:r>
      <w:r>
        <w:rPr>
          <w:rFonts w:hint="eastAsia" w:ascii="仿宋_GB2312" w:hAnsi="仿宋_GB2312" w:eastAsia="仿宋_GB2312" w:cs="仿宋_GB2312"/>
          <w:sz w:val="28"/>
          <w:szCs w:val="28"/>
          <w:lang w:val="en-US" w:eastAsia="zh-CN"/>
        </w:rPr>
        <w:t>0.07</w:t>
      </w:r>
      <w:r>
        <w:rPr>
          <w:rFonts w:hint="eastAsia" w:ascii="仿宋_GB2312" w:hAnsi="仿宋_GB2312" w:eastAsia="仿宋_GB2312" w:cs="仿宋_GB2312"/>
          <w:sz w:val="28"/>
          <w:szCs w:val="28"/>
        </w:rPr>
        <w:t>万元，本年累计收入0万元，累计支出0万元，结余0</w:t>
      </w:r>
      <w:r>
        <w:rPr>
          <w:rFonts w:hint="eastAsia" w:ascii="仿宋_GB2312" w:hAnsi="仿宋_GB2312" w:eastAsia="仿宋_GB2312" w:cs="仿宋_GB2312"/>
          <w:sz w:val="28"/>
          <w:szCs w:val="28"/>
          <w:lang w:val="en-US" w:eastAsia="zh-CN"/>
        </w:rPr>
        <w:t>.07</w:t>
      </w:r>
      <w:r>
        <w:rPr>
          <w:rFonts w:hint="eastAsia" w:ascii="仿宋_GB2312" w:hAnsi="仿宋_GB2312" w:eastAsia="仿宋_GB2312" w:cs="仿宋_GB2312"/>
          <w:sz w:val="28"/>
          <w:szCs w:val="28"/>
        </w:rPr>
        <w:t>万元。</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b w:val="0"/>
          <w:bCs w:val="0"/>
          <w:sz w:val="28"/>
          <w:szCs w:val="28"/>
          <w:lang w:eastAsia="zh-CN"/>
        </w:rPr>
      </w:pPr>
      <w:r>
        <w:rPr>
          <w:rFonts w:hint="eastAsia" w:hAnsi="仿宋_GB2312" w:cs="仿宋_GB2312"/>
          <w:b w:val="0"/>
          <w:bCs w:val="0"/>
          <w:sz w:val="28"/>
          <w:szCs w:val="28"/>
          <w:lang w:eastAsia="zh-CN"/>
        </w:rPr>
        <w:t>永济市拘留所部门决算：</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2021年年初结转和结余</w:t>
      </w:r>
      <w:r>
        <w:rPr>
          <w:rFonts w:hint="eastAsia" w:hAnsi="仿宋_GB2312" w:cs="仿宋_GB2312"/>
          <w:sz w:val="28"/>
          <w:szCs w:val="28"/>
          <w:lang w:val="en-US" w:eastAsia="zh-CN"/>
        </w:rPr>
        <w:t>1.7</w:t>
      </w:r>
      <w:r>
        <w:rPr>
          <w:rFonts w:hint="eastAsia" w:ascii="仿宋_GB2312" w:hAnsi="仿宋_GB2312" w:eastAsia="仿宋_GB2312" w:cs="仿宋_GB2312"/>
          <w:sz w:val="28"/>
          <w:szCs w:val="28"/>
        </w:rPr>
        <w:t>万元，</w:t>
      </w:r>
      <w:r>
        <w:rPr>
          <w:rFonts w:hint="eastAsia" w:ascii="仿宋_GB2312" w:hAnsi="仿宋_GB2312" w:eastAsia="仿宋_GB2312" w:cs="仿宋_GB2312"/>
          <w:color w:val="auto"/>
          <w:sz w:val="28"/>
          <w:szCs w:val="28"/>
        </w:rPr>
        <w:t>其中：</w:t>
      </w:r>
      <w:r>
        <w:rPr>
          <w:rFonts w:hint="eastAsia" w:ascii="仿宋_GB2312" w:hAnsi="仿宋_GB2312" w:eastAsia="仿宋_GB2312" w:cs="仿宋_GB2312"/>
          <w:color w:val="auto"/>
          <w:sz w:val="28"/>
          <w:szCs w:val="28"/>
          <w:lang w:eastAsia="zh-CN"/>
        </w:rPr>
        <w:t>一般公共预算</w:t>
      </w:r>
      <w:r>
        <w:rPr>
          <w:rFonts w:hint="eastAsia" w:hAnsi="仿宋_GB2312" w:cs="仿宋_GB2312"/>
          <w:color w:val="auto"/>
          <w:sz w:val="28"/>
          <w:szCs w:val="28"/>
          <w:lang w:val="en-US" w:eastAsia="zh-CN"/>
        </w:rPr>
        <w:t>1.7</w:t>
      </w:r>
      <w:r>
        <w:rPr>
          <w:rFonts w:hint="eastAsia" w:ascii="仿宋_GB2312" w:hAnsi="仿宋_GB2312" w:eastAsia="仿宋_GB2312" w:cs="仿宋_GB2312"/>
          <w:color w:val="auto"/>
          <w:sz w:val="28"/>
          <w:szCs w:val="28"/>
          <w:lang w:val="en-US" w:eastAsia="zh-CN"/>
        </w:rPr>
        <w:t>万元</w:t>
      </w:r>
      <w:r>
        <w:rPr>
          <w:rFonts w:hint="eastAsia" w:hAnsi="仿宋_GB2312" w:cs="仿宋_GB2312"/>
          <w:color w:val="auto"/>
          <w:sz w:val="28"/>
          <w:szCs w:val="28"/>
          <w:lang w:val="en-US" w:eastAsia="zh-CN"/>
        </w:rPr>
        <w:t>，</w:t>
      </w:r>
      <w:r>
        <w:rPr>
          <w:rFonts w:hint="eastAsia" w:hAnsi="仿宋_GB2312" w:cs="仿宋_GB2312"/>
          <w:sz w:val="28"/>
          <w:szCs w:val="28"/>
          <w:lang w:val="en-US" w:eastAsia="zh-CN"/>
        </w:rPr>
        <w:t>政府性基金预算财政拨款0万元</w:t>
      </w:r>
      <w:r>
        <w:rPr>
          <w:rFonts w:hint="eastAsia" w:ascii="仿宋_GB2312" w:hAnsi="仿宋_GB2312" w:eastAsia="仿宋_GB2312" w:cs="仿宋_GB2312"/>
          <w:color w:val="auto"/>
          <w:sz w:val="28"/>
          <w:szCs w:val="28"/>
          <w:lang w:val="en-US" w:eastAsia="zh-CN"/>
        </w:rPr>
        <w:t>；本年收入</w:t>
      </w:r>
      <w:r>
        <w:rPr>
          <w:rFonts w:hint="eastAsia" w:hAnsi="仿宋_GB2312" w:cs="仿宋_GB2312"/>
          <w:color w:val="auto"/>
          <w:sz w:val="28"/>
          <w:szCs w:val="28"/>
          <w:lang w:val="en-US" w:eastAsia="zh-CN"/>
        </w:rPr>
        <w:t>20.43</w:t>
      </w:r>
      <w:r>
        <w:rPr>
          <w:rFonts w:hint="eastAsia" w:ascii="仿宋_GB2312" w:hAnsi="仿宋_GB2312" w:eastAsia="仿宋_GB2312" w:cs="仿宋_GB2312"/>
          <w:color w:val="auto"/>
          <w:sz w:val="28"/>
          <w:szCs w:val="28"/>
          <w:lang w:val="en-US" w:eastAsia="zh-CN"/>
        </w:rPr>
        <w:t>万元，其中：</w:t>
      </w:r>
      <w:r>
        <w:rPr>
          <w:rFonts w:hint="eastAsia" w:hAnsi="仿宋_GB2312" w:cs="仿宋_GB2312"/>
          <w:sz w:val="28"/>
          <w:szCs w:val="28"/>
          <w:lang w:eastAsia="zh-CN"/>
        </w:rPr>
        <w:t>一般公共预算财政拨款收入</w:t>
      </w:r>
      <w:r>
        <w:rPr>
          <w:rFonts w:hint="eastAsia" w:hAnsi="仿宋_GB2312" w:cs="仿宋_GB2312"/>
          <w:sz w:val="28"/>
          <w:szCs w:val="28"/>
          <w:lang w:val="en-US" w:eastAsia="zh-CN"/>
        </w:rPr>
        <w:t>20.43万元，政府性基金预算财政拨款收入0万元；本年支出22.14万元，其中：</w:t>
      </w:r>
      <w:r>
        <w:rPr>
          <w:rFonts w:hint="eastAsia" w:hAnsi="仿宋_GB2312" w:cs="仿宋_GB2312"/>
          <w:sz w:val="28"/>
          <w:szCs w:val="28"/>
          <w:lang w:eastAsia="zh-CN"/>
        </w:rPr>
        <w:t>一般公共预算财政拨款支出</w:t>
      </w:r>
      <w:r>
        <w:rPr>
          <w:rFonts w:hint="eastAsia" w:hAnsi="仿宋_GB2312" w:cs="仿宋_GB2312"/>
          <w:sz w:val="28"/>
          <w:szCs w:val="28"/>
          <w:lang w:val="en-US" w:eastAsia="zh-CN"/>
        </w:rPr>
        <w:t>22.14万元，政府性基金预算财政拨款支出0万元；年末结转和结余0万元。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（1）一般公共预算财政拨款支出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2021年年初结余</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万元，本年累计收</w:t>
      </w:r>
      <w:r>
        <w:rPr>
          <w:rFonts w:hint="eastAsia" w:ascii="仿宋_GB2312" w:hAnsi="仿宋_GB2312" w:eastAsia="仿宋_GB2312" w:cs="仿宋_GB2312"/>
          <w:kern w:val="2"/>
          <w:sz w:val="28"/>
          <w:szCs w:val="28"/>
          <w:lang w:val="en-US" w:eastAsia="zh-CN" w:bidi="ar-SA"/>
        </w:rPr>
        <w:t>入20.43</w:t>
      </w:r>
      <w:r>
        <w:rPr>
          <w:rFonts w:hint="eastAsia" w:ascii="仿宋_GB2312" w:hAnsi="仿宋_GB2312" w:eastAsia="仿宋_GB2312" w:cs="仿宋_GB2312"/>
          <w:sz w:val="28"/>
          <w:szCs w:val="28"/>
        </w:rPr>
        <w:t>万元，累计支出</w:t>
      </w:r>
      <w:r>
        <w:rPr>
          <w:rFonts w:hint="eastAsia" w:ascii="仿宋_GB2312" w:hAnsi="仿宋_GB2312" w:eastAsia="仿宋_GB2312" w:cs="仿宋_GB2312"/>
          <w:sz w:val="28"/>
          <w:szCs w:val="28"/>
          <w:lang w:val="en-US" w:eastAsia="zh-CN"/>
        </w:rPr>
        <w:t>22.14</w:t>
      </w:r>
      <w:r>
        <w:rPr>
          <w:rFonts w:hint="eastAsia" w:ascii="仿宋_GB2312" w:hAnsi="仿宋_GB2312" w:eastAsia="仿宋_GB2312" w:cs="仿宋_GB2312"/>
          <w:sz w:val="28"/>
          <w:szCs w:val="28"/>
        </w:rPr>
        <w:t>万元，结余0万元。具体决算支出见下表1-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p>
    <w:p>
      <w:pPr>
        <w:pStyle w:val="2"/>
        <w:ind w:firstLine="560"/>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表1-</w:t>
      </w:r>
      <w:r>
        <w:rPr>
          <w:rFonts w:hint="eastAsia" w:hAnsi="仿宋_GB2312" w:cs="仿宋_GB2312"/>
          <w:b/>
          <w:bCs/>
          <w:kern w:val="2"/>
          <w:sz w:val="28"/>
          <w:szCs w:val="28"/>
          <w:lang w:val="en-US" w:eastAsia="zh-CN" w:bidi="ar-SA"/>
        </w:rPr>
        <w:t>8</w:t>
      </w:r>
      <w:r>
        <w:rPr>
          <w:rFonts w:hint="eastAsia" w:ascii="仿宋_GB2312" w:hAnsi="仿宋_GB2312" w:eastAsia="仿宋_GB2312" w:cs="仿宋_GB2312"/>
          <w:b/>
          <w:bCs/>
          <w:kern w:val="2"/>
          <w:sz w:val="28"/>
          <w:szCs w:val="28"/>
          <w:lang w:val="en-US" w:eastAsia="zh-CN" w:bidi="ar-SA"/>
        </w:rPr>
        <w:t xml:space="preserve"> 一般公共预算财政拨款支出明细表</w:t>
      </w:r>
    </w:p>
    <w:tbl>
      <w:tblPr>
        <w:tblStyle w:val="19"/>
        <w:tblW w:w="9072"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2018"/>
        <w:gridCol w:w="1764"/>
        <w:gridCol w:w="145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blHeader/>
        </w:trPr>
        <w:tc>
          <w:tcPr>
            <w:tcW w:w="2544"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支出明细</w:t>
            </w:r>
          </w:p>
        </w:tc>
        <w:tc>
          <w:tcPr>
            <w:tcW w:w="2018"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年初结转结余</w:t>
            </w:r>
          </w:p>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764"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本年收入</w:t>
            </w:r>
          </w:p>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455"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本年支出</w:t>
            </w:r>
          </w:p>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（万元）</w:t>
            </w:r>
          </w:p>
        </w:tc>
        <w:tc>
          <w:tcPr>
            <w:tcW w:w="1291" w:type="dxa"/>
            <w:shd w:val="clear" w:color="auto" w:fill="D7D7D7"/>
            <w:noWrap w:val="0"/>
            <w:vAlign w:val="center"/>
          </w:tcPr>
          <w:p>
            <w:pPr>
              <w:ind w:firstLine="0" w:firstLineChars="0"/>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年末结余（万元）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544" w:type="dxa"/>
            <w:noWrap w:val="0"/>
            <w:vAlign w:val="center"/>
          </w:tcPr>
          <w:p>
            <w:pPr>
              <w:jc w:val="both"/>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基本支出：</w:t>
            </w:r>
          </w:p>
        </w:tc>
        <w:tc>
          <w:tcPr>
            <w:tcW w:w="2018" w:type="dxa"/>
            <w:noWrap w:val="0"/>
            <w:vAlign w:val="center"/>
          </w:tcPr>
          <w:p>
            <w:pPr>
              <w:jc w:val="both"/>
              <w:rPr>
                <w:rFonts w:hint="default" w:ascii="仿宋_GB2312" w:hAnsi="仿宋_GB2312" w:eastAsia="仿宋_GB2312" w:cs="仿宋_GB2312"/>
                <w:b/>
                <w:bCs/>
                <w:kern w:val="2"/>
                <w:sz w:val="21"/>
                <w:szCs w:val="21"/>
                <w:lang w:val="en-US" w:eastAsia="zh-CN" w:bidi="ar-SA"/>
              </w:rPr>
            </w:pPr>
          </w:p>
        </w:tc>
        <w:tc>
          <w:tcPr>
            <w:tcW w:w="1764" w:type="dxa"/>
            <w:noWrap w:val="0"/>
            <w:vAlign w:val="center"/>
          </w:tcPr>
          <w:p>
            <w:pPr>
              <w:jc w:val="both"/>
              <w:rPr>
                <w:rFonts w:hint="default" w:ascii="仿宋_GB2312" w:hAnsi="仿宋_GB2312" w:eastAsia="仿宋_GB2312" w:cs="仿宋_GB2312"/>
                <w:b/>
                <w:bCs/>
                <w:kern w:val="2"/>
                <w:sz w:val="21"/>
                <w:szCs w:val="21"/>
                <w:lang w:val="en-US" w:eastAsia="zh-CN" w:bidi="ar-SA"/>
              </w:rPr>
            </w:pPr>
          </w:p>
        </w:tc>
        <w:tc>
          <w:tcPr>
            <w:tcW w:w="1455" w:type="dxa"/>
            <w:noWrap w:val="0"/>
            <w:vAlign w:val="center"/>
          </w:tcPr>
          <w:p>
            <w:pPr>
              <w:jc w:val="both"/>
              <w:rPr>
                <w:rFonts w:hint="default" w:ascii="仿宋_GB2312" w:hAnsi="仿宋_GB2312" w:eastAsia="仿宋_GB2312" w:cs="仿宋_GB2312"/>
                <w:b/>
                <w:bCs/>
                <w:kern w:val="2"/>
                <w:sz w:val="21"/>
                <w:szCs w:val="21"/>
                <w:lang w:val="en-US" w:eastAsia="zh-CN" w:bidi="ar-SA"/>
              </w:rPr>
            </w:pPr>
          </w:p>
        </w:tc>
        <w:tc>
          <w:tcPr>
            <w:tcW w:w="1291" w:type="dxa"/>
            <w:noWrap w:val="0"/>
            <w:vAlign w:val="center"/>
          </w:tcPr>
          <w:p>
            <w:pPr>
              <w:jc w:val="both"/>
              <w:rPr>
                <w:rFonts w:hint="eastAsia" w:ascii="仿宋_GB2312" w:hAnsi="仿宋_GB2312" w:eastAsia="仿宋_GB2312" w:cs="仿宋_GB2312"/>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544" w:type="dxa"/>
            <w:noWrap w:val="0"/>
            <w:vAlign w:val="center"/>
          </w:tcPr>
          <w:p>
            <w:pPr>
              <w:jc w:val="both"/>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人员经费</w:t>
            </w:r>
          </w:p>
        </w:tc>
        <w:tc>
          <w:tcPr>
            <w:tcW w:w="2018" w:type="dxa"/>
            <w:noWrap w:val="0"/>
            <w:vAlign w:val="center"/>
          </w:tcPr>
          <w:p>
            <w:pPr>
              <w:jc w:val="both"/>
              <w:rPr>
                <w:rFonts w:hint="default" w:ascii="仿宋_GB2312" w:hAnsi="仿宋_GB2312" w:eastAsia="仿宋_GB2312" w:cs="仿宋_GB2312"/>
                <w:b w:val="0"/>
                <w:bCs w:val="0"/>
                <w:kern w:val="2"/>
                <w:sz w:val="21"/>
                <w:szCs w:val="21"/>
                <w:lang w:val="en-US" w:eastAsia="zh-CN" w:bidi="ar-SA"/>
              </w:rPr>
            </w:pPr>
          </w:p>
        </w:tc>
        <w:tc>
          <w:tcPr>
            <w:tcW w:w="1764" w:type="dxa"/>
            <w:noWrap w:val="0"/>
            <w:vAlign w:val="center"/>
          </w:tcPr>
          <w:p>
            <w:pPr>
              <w:jc w:val="both"/>
              <w:rPr>
                <w:rFonts w:hint="default" w:ascii="仿宋_GB2312" w:hAnsi="仿宋_GB2312" w:eastAsia="仿宋_GB2312" w:cs="仿宋_GB2312"/>
                <w:b w:val="0"/>
                <w:bCs w:val="0"/>
                <w:kern w:val="2"/>
                <w:sz w:val="21"/>
                <w:szCs w:val="21"/>
                <w:lang w:val="en-US" w:eastAsia="zh-CN" w:bidi="ar-SA"/>
              </w:rPr>
            </w:pPr>
          </w:p>
        </w:tc>
        <w:tc>
          <w:tcPr>
            <w:tcW w:w="1455" w:type="dxa"/>
            <w:noWrap w:val="0"/>
            <w:vAlign w:val="center"/>
          </w:tcPr>
          <w:p>
            <w:pPr>
              <w:jc w:val="both"/>
              <w:rPr>
                <w:rFonts w:hint="default" w:ascii="仿宋_GB2312" w:hAnsi="仿宋_GB2312" w:eastAsia="仿宋_GB2312" w:cs="仿宋_GB2312"/>
                <w:b w:val="0"/>
                <w:bCs w:val="0"/>
                <w:kern w:val="2"/>
                <w:sz w:val="21"/>
                <w:szCs w:val="21"/>
                <w:lang w:val="en-US" w:eastAsia="zh-CN" w:bidi="ar-SA"/>
              </w:rPr>
            </w:pPr>
          </w:p>
        </w:tc>
        <w:tc>
          <w:tcPr>
            <w:tcW w:w="1291" w:type="dxa"/>
            <w:noWrap w:val="0"/>
            <w:vAlign w:val="center"/>
          </w:tcPr>
          <w:p>
            <w:pPr>
              <w:jc w:val="both"/>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544" w:type="dxa"/>
            <w:noWrap w:val="0"/>
            <w:vAlign w:val="center"/>
          </w:tcPr>
          <w:p>
            <w:pPr>
              <w:jc w:val="both"/>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公用经费</w:t>
            </w:r>
          </w:p>
        </w:tc>
        <w:tc>
          <w:tcPr>
            <w:tcW w:w="2018" w:type="dxa"/>
            <w:noWrap w:val="0"/>
            <w:vAlign w:val="center"/>
          </w:tcPr>
          <w:p>
            <w:pPr>
              <w:jc w:val="both"/>
              <w:rPr>
                <w:rFonts w:hint="eastAsia" w:ascii="仿宋_GB2312" w:hAnsi="仿宋_GB2312" w:eastAsia="仿宋_GB2312" w:cs="仿宋_GB2312"/>
                <w:b w:val="0"/>
                <w:bCs w:val="0"/>
                <w:kern w:val="2"/>
                <w:sz w:val="21"/>
                <w:szCs w:val="21"/>
                <w:lang w:val="en-US" w:eastAsia="zh-CN" w:bidi="ar-SA"/>
              </w:rPr>
            </w:pPr>
          </w:p>
        </w:tc>
        <w:tc>
          <w:tcPr>
            <w:tcW w:w="1764" w:type="dxa"/>
            <w:noWrap w:val="0"/>
            <w:vAlign w:val="center"/>
          </w:tcPr>
          <w:p>
            <w:pPr>
              <w:jc w:val="both"/>
              <w:rPr>
                <w:rFonts w:hint="default" w:ascii="仿宋_GB2312" w:hAnsi="仿宋_GB2312" w:eastAsia="仿宋_GB2312" w:cs="仿宋_GB2312"/>
                <w:b w:val="0"/>
                <w:bCs w:val="0"/>
                <w:kern w:val="2"/>
                <w:sz w:val="21"/>
                <w:szCs w:val="21"/>
                <w:lang w:val="en-US" w:eastAsia="zh-CN" w:bidi="ar-SA"/>
              </w:rPr>
            </w:pPr>
          </w:p>
        </w:tc>
        <w:tc>
          <w:tcPr>
            <w:tcW w:w="1455" w:type="dxa"/>
            <w:noWrap w:val="0"/>
            <w:vAlign w:val="center"/>
          </w:tcPr>
          <w:p>
            <w:pPr>
              <w:jc w:val="both"/>
              <w:rPr>
                <w:rFonts w:hint="default" w:ascii="仿宋_GB2312" w:hAnsi="仿宋_GB2312" w:eastAsia="仿宋_GB2312" w:cs="仿宋_GB2312"/>
                <w:b w:val="0"/>
                <w:bCs w:val="0"/>
                <w:kern w:val="2"/>
                <w:sz w:val="21"/>
                <w:szCs w:val="21"/>
                <w:lang w:val="en-US" w:eastAsia="zh-CN" w:bidi="ar-SA"/>
              </w:rPr>
            </w:pPr>
          </w:p>
        </w:tc>
        <w:tc>
          <w:tcPr>
            <w:tcW w:w="1291" w:type="dxa"/>
            <w:noWrap w:val="0"/>
            <w:vAlign w:val="center"/>
          </w:tcPr>
          <w:p>
            <w:pPr>
              <w:jc w:val="both"/>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544" w:type="dxa"/>
            <w:noWrap w:val="0"/>
            <w:vAlign w:val="center"/>
          </w:tcPr>
          <w:p>
            <w:pPr>
              <w:jc w:val="both"/>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项目支出：</w:t>
            </w:r>
          </w:p>
        </w:tc>
        <w:tc>
          <w:tcPr>
            <w:tcW w:w="2018" w:type="dxa"/>
            <w:noWrap w:val="0"/>
            <w:vAlign w:val="center"/>
          </w:tcPr>
          <w:p>
            <w:pPr>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1.70</w:t>
            </w:r>
          </w:p>
        </w:tc>
        <w:tc>
          <w:tcPr>
            <w:tcW w:w="1764" w:type="dxa"/>
            <w:noWrap w:val="0"/>
            <w:vAlign w:val="center"/>
          </w:tcPr>
          <w:p>
            <w:pPr>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20.43</w:t>
            </w:r>
          </w:p>
        </w:tc>
        <w:tc>
          <w:tcPr>
            <w:tcW w:w="1455" w:type="dxa"/>
            <w:noWrap w:val="0"/>
            <w:vAlign w:val="center"/>
          </w:tcPr>
          <w:p>
            <w:pPr>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22.14</w:t>
            </w:r>
          </w:p>
        </w:tc>
        <w:tc>
          <w:tcPr>
            <w:tcW w:w="1291" w:type="dxa"/>
            <w:noWrap w:val="0"/>
            <w:vAlign w:val="center"/>
          </w:tcPr>
          <w:p>
            <w:pPr>
              <w:jc w:val="right"/>
              <w:rPr>
                <w:rFonts w:hint="eastAsia" w:ascii="仿宋_GB2312" w:hAnsi="仿宋_GB2312" w:eastAsia="仿宋_GB2312" w:cs="仿宋_GB2312"/>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544" w:type="dxa"/>
            <w:noWrap w:val="0"/>
            <w:vAlign w:val="center"/>
          </w:tcPr>
          <w:p>
            <w:pPr>
              <w:jc w:val="both"/>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工作经费</w:t>
            </w:r>
          </w:p>
        </w:tc>
        <w:tc>
          <w:tcPr>
            <w:tcW w:w="2018" w:type="dxa"/>
            <w:noWrap w:val="0"/>
            <w:vAlign w:val="center"/>
          </w:tcPr>
          <w:p>
            <w:pPr>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1.70</w:t>
            </w:r>
          </w:p>
        </w:tc>
        <w:tc>
          <w:tcPr>
            <w:tcW w:w="1764" w:type="dxa"/>
            <w:noWrap w:val="0"/>
            <w:vAlign w:val="center"/>
          </w:tcPr>
          <w:p>
            <w:pPr>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14.05</w:t>
            </w:r>
          </w:p>
        </w:tc>
        <w:tc>
          <w:tcPr>
            <w:tcW w:w="1455" w:type="dxa"/>
            <w:noWrap w:val="0"/>
            <w:vAlign w:val="center"/>
          </w:tcPr>
          <w:p>
            <w:pPr>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15.75</w:t>
            </w:r>
          </w:p>
        </w:tc>
        <w:tc>
          <w:tcPr>
            <w:tcW w:w="1291" w:type="dxa"/>
            <w:noWrap w:val="0"/>
            <w:vAlign w:val="center"/>
          </w:tcPr>
          <w:p>
            <w:pPr>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544" w:type="dxa"/>
            <w:noWrap w:val="0"/>
            <w:vAlign w:val="center"/>
          </w:tcPr>
          <w:p>
            <w:pPr>
              <w:jc w:val="both"/>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在押人员生活费</w:t>
            </w:r>
          </w:p>
        </w:tc>
        <w:tc>
          <w:tcPr>
            <w:tcW w:w="2018" w:type="dxa"/>
            <w:noWrap w:val="0"/>
            <w:vAlign w:val="center"/>
          </w:tcPr>
          <w:p>
            <w:pPr>
              <w:jc w:val="right"/>
              <w:rPr>
                <w:rFonts w:hint="eastAsia" w:ascii="仿宋_GB2312" w:hAnsi="仿宋_GB2312" w:eastAsia="仿宋_GB2312" w:cs="仿宋_GB2312"/>
                <w:b w:val="0"/>
                <w:bCs w:val="0"/>
                <w:kern w:val="2"/>
                <w:sz w:val="21"/>
                <w:szCs w:val="21"/>
                <w:lang w:val="en-US" w:eastAsia="zh-CN" w:bidi="ar-SA"/>
              </w:rPr>
            </w:pPr>
          </w:p>
        </w:tc>
        <w:tc>
          <w:tcPr>
            <w:tcW w:w="1764" w:type="dxa"/>
            <w:noWrap w:val="0"/>
            <w:vAlign w:val="center"/>
          </w:tcPr>
          <w:p>
            <w:pPr>
              <w:jc w:val="righ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6.38</w:t>
            </w:r>
          </w:p>
        </w:tc>
        <w:tc>
          <w:tcPr>
            <w:tcW w:w="1455" w:type="dxa"/>
            <w:noWrap w:val="0"/>
            <w:vAlign w:val="center"/>
          </w:tcPr>
          <w:p>
            <w:pPr>
              <w:jc w:val="right"/>
              <w:rPr>
                <w:rFonts w:hint="default"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kern w:val="2"/>
                <w:sz w:val="21"/>
                <w:szCs w:val="21"/>
                <w:lang w:val="en-US" w:eastAsia="zh-CN" w:bidi="ar-SA"/>
              </w:rPr>
              <w:t>6.38</w:t>
            </w:r>
          </w:p>
        </w:tc>
        <w:tc>
          <w:tcPr>
            <w:tcW w:w="1291" w:type="dxa"/>
            <w:noWrap w:val="0"/>
            <w:vAlign w:val="center"/>
          </w:tcPr>
          <w:p>
            <w:pPr>
              <w:jc w:val="right"/>
              <w:rPr>
                <w:rFonts w:hint="eastAsia" w:ascii="仿宋_GB2312" w:hAnsi="仿宋_GB2312" w:eastAsia="仿宋_GB2312" w:cs="仿宋_GB2312"/>
                <w:b w:val="0"/>
                <w:bCs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544" w:type="dxa"/>
            <w:noWrap w:val="0"/>
            <w:vAlign w:val="center"/>
          </w:tcPr>
          <w:p>
            <w:pPr>
              <w:jc w:val="center"/>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合 计</w:t>
            </w:r>
          </w:p>
        </w:tc>
        <w:tc>
          <w:tcPr>
            <w:tcW w:w="2018" w:type="dxa"/>
            <w:noWrap w:val="0"/>
            <w:vAlign w:val="center"/>
          </w:tcPr>
          <w:p>
            <w:pPr>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1.70</w:t>
            </w:r>
          </w:p>
        </w:tc>
        <w:tc>
          <w:tcPr>
            <w:tcW w:w="1764" w:type="dxa"/>
            <w:noWrap w:val="0"/>
            <w:vAlign w:val="center"/>
          </w:tcPr>
          <w:p>
            <w:pPr>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20.43</w:t>
            </w:r>
          </w:p>
        </w:tc>
        <w:tc>
          <w:tcPr>
            <w:tcW w:w="1455" w:type="dxa"/>
            <w:noWrap w:val="0"/>
            <w:vAlign w:val="center"/>
          </w:tcPr>
          <w:p>
            <w:pPr>
              <w:jc w:val="right"/>
              <w:rPr>
                <w:rFonts w:hint="default"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kern w:val="2"/>
                <w:sz w:val="21"/>
                <w:szCs w:val="21"/>
                <w:lang w:val="en-US" w:eastAsia="zh-CN" w:bidi="ar-SA"/>
              </w:rPr>
              <w:t>22.14</w:t>
            </w:r>
          </w:p>
        </w:tc>
        <w:tc>
          <w:tcPr>
            <w:tcW w:w="1291" w:type="dxa"/>
            <w:noWrap w:val="0"/>
            <w:vAlign w:val="center"/>
          </w:tcPr>
          <w:p>
            <w:pPr>
              <w:jc w:val="right"/>
              <w:rPr>
                <w:rFonts w:hint="eastAsia" w:ascii="仿宋_GB2312" w:hAnsi="仿宋_GB2312" w:eastAsia="仿宋_GB2312" w:cs="仿宋_GB2312"/>
                <w:b/>
                <w:bCs/>
                <w:kern w:val="2"/>
                <w:sz w:val="21"/>
                <w:szCs w:val="21"/>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（2）政府性基金预算财政拨款支出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sz w:val="28"/>
          <w:szCs w:val="28"/>
          <w:lang w:val="en-US" w:eastAsia="zh-CN"/>
        </w:rPr>
      </w:pPr>
      <w:r>
        <w:rPr>
          <w:rFonts w:hint="eastAsia" w:ascii="仿宋_GB2312" w:hAnsi="仿宋_GB2312" w:eastAsia="仿宋_GB2312" w:cs="仿宋_GB2312"/>
          <w:sz w:val="28"/>
          <w:szCs w:val="28"/>
        </w:rPr>
        <w:t>2021年年初结余</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万元，本年累计收入0万元，累计支出0万元，结余0万元。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150"/>
        <w:textAlignment w:val="auto"/>
        <w:outlineLvl w:val="1"/>
        <w:rPr>
          <w:rFonts w:hint="eastAsia" w:ascii="仿宋" w:hAnsi="仿宋" w:eastAsia="仿宋" w:cs="仿宋"/>
          <w:b/>
          <w:sz w:val="28"/>
          <w:szCs w:val="28"/>
          <w:highlight w:val="none"/>
          <w:lang w:val="en-US" w:eastAsia="zh-CN"/>
        </w:rPr>
      </w:pPr>
      <w:bookmarkStart w:id="76" w:name="_Toc15003_WPSOffice_Level2"/>
      <w:bookmarkStart w:id="77" w:name="_Toc28655_WPSOffice_Level2"/>
      <w:bookmarkStart w:id="78" w:name="_Toc26397_WPSOffice_Level2"/>
      <w:bookmarkStart w:id="79" w:name="_Toc19975_WPSOffice_Level2"/>
      <w:bookmarkStart w:id="80" w:name="_Toc10933"/>
      <w:bookmarkStart w:id="81" w:name="_Toc20519"/>
      <w:r>
        <w:rPr>
          <w:rFonts w:hint="eastAsia" w:ascii="仿宋" w:hAnsi="仿宋" w:eastAsia="仿宋" w:cs="仿宋"/>
          <w:b/>
          <w:sz w:val="28"/>
          <w:szCs w:val="28"/>
          <w:highlight w:val="none"/>
          <w:lang w:val="en-US" w:eastAsia="zh-CN"/>
        </w:rPr>
        <w:t>（三）部门整体绩效目标</w:t>
      </w:r>
      <w:bookmarkEnd w:id="76"/>
      <w:bookmarkEnd w:id="77"/>
      <w:bookmarkEnd w:id="78"/>
      <w:bookmarkEnd w:id="79"/>
      <w:bookmarkEnd w:id="80"/>
      <w:bookmarkEnd w:id="8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val="0"/>
          <w:sz w:val="28"/>
          <w:szCs w:val="28"/>
          <w:lang w:val="en-US" w:eastAsia="zh-CN"/>
        </w:rPr>
      </w:pPr>
      <w:bookmarkStart w:id="82" w:name="_Toc15997"/>
      <w:bookmarkStart w:id="83" w:name="_Toc19523"/>
      <w:bookmarkStart w:id="84" w:name="_Toc6921"/>
      <w:r>
        <w:rPr>
          <w:rFonts w:hint="eastAsia" w:ascii="仿宋" w:hAnsi="仿宋" w:eastAsia="仿宋" w:cs="仿宋"/>
          <w:b w:val="0"/>
          <w:bCs w:val="0"/>
          <w:sz w:val="28"/>
          <w:szCs w:val="28"/>
          <w:lang w:val="en-US" w:eastAsia="zh-CN"/>
        </w:rPr>
        <w:t>1.2021年工作的总目标是：坚持以习近平新时代中国特色社会主义思想为指导，把握现代警务的发展方向，坚持务实干事的工作基调，提高站位，对标一流，忠诚履责，奋勇前行，以开拓创新的精神，以求真务实的作风，确保全市政治稳定、社会治安稳定、社会公共安全，提高人民群众安全感和满意度。</w:t>
      </w:r>
      <w:bookmarkEnd w:id="8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val="en-US" w:eastAsia="zh-CN"/>
        </w:rPr>
      </w:pPr>
      <w:bookmarkStart w:id="85" w:name="_Toc1203"/>
      <w:r>
        <w:rPr>
          <w:rFonts w:hint="eastAsia" w:ascii="仿宋" w:hAnsi="仿宋" w:eastAsia="仿宋" w:cs="仿宋"/>
          <w:b w:val="0"/>
          <w:bCs/>
          <w:sz w:val="28"/>
          <w:szCs w:val="28"/>
          <w:highlight w:val="none"/>
          <w:lang w:val="en-US" w:eastAsia="zh-CN"/>
        </w:rPr>
        <w:t>2.</w:t>
      </w:r>
      <w:r>
        <w:rPr>
          <w:rFonts w:hint="eastAsia" w:ascii="仿宋" w:hAnsi="仿宋" w:eastAsia="仿宋" w:cs="仿宋"/>
          <w:b w:val="0"/>
          <w:bCs/>
          <w:sz w:val="28"/>
          <w:szCs w:val="28"/>
        </w:rPr>
        <w:t>2021年</w:t>
      </w:r>
      <w:bookmarkEnd w:id="85"/>
      <w:r>
        <w:rPr>
          <w:rFonts w:hint="eastAsia" w:ascii="仿宋" w:hAnsi="仿宋" w:eastAsia="仿宋" w:cs="仿宋"/>
          <w:b w:val="0"/>
          <w:bCs/>
          <w:sz w:val="28"/>
          <w:szCs w:val="28"/>
        </w:rPr>
        <w:t>度</w:t>
      </w:r>
      <w:r>
        <w:rPr>
          <w:rFonts w:hint="eastAsia" w:ascii="仿宋" w:hAnsi="仿宋" w:eastAsia="仿宋" w:cs="仿宋"/>
          <w:b w:val="0"/>
          <w:bCs/>
          <w:sz w:val="28"/>
          <w:szCs w:val="28"/>
          <w:lang w:val="en-US" w:eastAsia="zh-CN"/>
        </w:rPr>
        <w:t>主要工作任务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val="0"/>
          <w:kern w:val="2"/>
          <w:sz w:val="28"/>
          <w:szCs w:val="28"/>
          <w:lang w:val="en-US" w:eastAsia="zh-CN" w:bidi="ar-SA"/>
        </w:rPr>
      </w:pPr>
      <w:r>
        <w:rPr>
          <w:rFonts w:hint="eastAsia" w:ascii="仿宋" w:hAnsi="仿宋" w:eastAsia="仿宋" w:cs="仿宋"/>
          <w:kern w:val="2"/>
          <w:sz w:val="28"/>
          <w:szCs w:val="28"/>
          <w:lang w:val="en-US" w:eastAsia="zh-CN" w:bidi="ar-SA"/>
        </w:rPr>
        <w:t xml:space="preserve">（1） </w:t>
      </w:r>
      <w:r>
        <w:rPr>
          <w:rFonts w:hint="eastAsia" w:ascii="仿宋" w:hAnsi="仿宋" w:eastAsia="仿宋" w:cs="仿宋"/>
          <w:b w:val="0"/>
          <w:bCs w:val="0"/>
          <w:kern w:val="2"/>
          <w:sz w:val="28"/>
          <w:szCs w:val="28"/>
          <w:lang w:val="en-US" w:eastAsia="zh-CN" w:bidi="ar-SA"/>
        </w:rPr>
        <w:t>全面落实党中央、国务院、省委、省政府、市委、市政府和上级公安机关有关公安工作的路线、方针、政策。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（2）推进全市公安工作改革，不断加强公安队伍的革命化、知识化、专业化和正规化建设。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（3）负责为市委、市政府和上级公安机关提供影响永济市稳定、危害国内安全和社会治安方面的情报信息，分析研究制定对策。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（4）预防、制止和侦查各类犯罪活动。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（5）管理枪支弹药、管制刀具和易燃易爆、剧毒、放射性等危险物品。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（6）依法管理社会治安、户政、居民身份证和出入境工作。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（7）指导和监督全市机关、社会团体、企业事业单位和重点建设工程的治安保卫工作，指导治安保卫委员会等群众性组织的治安防范工作。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（8）负责永济市交通安全的宣传教育秩序，依法查处交通违法犯罪活动，预防和处理交通事故，承担道路治安巡逻任务。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（9）负责永济市看守所、拘留所等监管场所的管理工作，对被判处管制、拘役、剥夺政治权利的犯罪和监外执行的罪犯执行刑罚，对被宣告缓刑、假释的罪犯实行监督、考察。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（10）组织实施公安科学技术工作，负责公安信息技术，刑事技术的管理工作。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（11）负责永济市计算机信息系统的安全保卫工作，依法实施对公共信息网络的安全监察工作。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（12）负责全局公安机关和人民警察执法、执勤活动的现场督察工作。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lang w:val="en-US" w:eastAsia="zh-CN"/>
        </w:rPr>
      </w:pPr>
      <w:r>
        <w:rPr>
          <w:rFonts w:hint="eastAsia" w:ascii="仿宋" w:hAnsi="仿宋" w:eastAsia="仿宋" w:cs="仿宋"/>
          <w:kern w:val="2"/>
          <w:sz w:val="28"/>
          <w:szCs w:val="28"/>
          <w:lang w:val="en-US" w:eastAsia="zh-CN" w:bidi="ar-SA"/>
        </w:rPr>
        <w:t>（13）负责全局队伍的管理和教育工作。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（14）承办市委、市政府和上级公安机关交办的其他工作。</w:t>
      </w:r>
    </w:p>
    <w:bookmarkEnd w:id="54"/>
    <w:bookmarkEnd w:id="83"/>
    <w:bookmarkEnd w:id="84"/>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textAlignment w:val="auto"/>
        <w:outlineLvl w:val="0"/>
        <w:rPr>
          <w:rFonts w:hint="eastAsia" w:ascii="仿宋" w:hAnsi="仿宋" w:eastAsia="仿宋" w:cs="仿宋"/>
          <w:b/>
          <w:bCs/>
          <w:highlight w:val="none"/>
          <w:lang w:eastAsia="zh-CN"/>
        </w:rPr>
      </w:pPr>
      <w:bookmarkStart w:id="86" w:name="_Toc23896"/>
      <w:bookmarkStart w:id="87" w:name="_Toc9082"/>
      <w:r>
        <w:rPr>
          <w:rFonts w:hint="eastAsia" w:ascii="仿宋" w:hAnsi="仿宋" w:eastAsia="仿宋" w:cs="仿宋"/>
          <w:b/>
          <w:bCs/>
          <w:highlight w:val="none"/>
          <w:lang w:eastAsia="zh-CN"/>
        </w:rPr>
        <w:t>二、绩效评价思路</w:t>
      </w:r>
      <w:bookmarkEnd w:id="86"/>
      <w:bookmarkEnd w:id="87"/>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sz w:val="28"/>
          <w:szCs w:val="28"/>
          <w:highlight w:val="none"/>
          <w:lang w:eastAsia="zh-CN"/>
        </w:rPr>
      </w:pPr>
      <w:bookmarkStart w:id="88" w:name="_Toc23969_WPSOffice_Level2"/>
      <w:bookmarkStart w:id="89" w:name="_Toc3613_WPSOffice_Level2"/>
      <w:bookmarkStart w:id="90" w:name="_Toc27821"/>
      <w:bookmarkStart w:id="91" w:name="_Toc664_WPSOffice_Level2"/>
      <w:bookmarkStart w:id="92" w:name="_Toc25049"/>
      <w:bookmarkStart w:id="93" w:name="_Toc8672_WPSOffice_Level2"/>
      <w:r>
        <w:rPr>
          <w:rFonts w:hint="eastAsia" w:ascii="仿宋" w:hAnsi="仿宋" w:eastAsia="仿宋" w:cs="仿宋"/>
          <w:b/>
          <w:sz w:val="28"/>
          <w:szCs w:val="28"/>
          <w:highlight w:val="none"/>
          <w:lang w:eastAsia="zh-CN"/>
        </w:rPr>
        <w:t>（一）绩效评价的目的和依据</w:t>
      </w:r>
      <w:bookmarkEnd w:id="88"/>
      <w:bookmarkEnd w:id="89"/>
      <w:bookmarkEnd w:id="90"/>
      <w:bookmarkEnd w:id="91"/>
      <w:bookmarkEnd w:id="92"/>
      <w:bookmarkEnd w:id="9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val="en-US" w:eastAsia="zh-CN"/>
        </w:rPr>
      </w:pPr>
      <w:bookmarkStart w:id="94" w:name="_Toc28895"/>
      <w:bookmarkStart w:id="95" w:name="_Toc12683"/>
      <w:bookmarkStart w:id="96" w:name="_Toc20285"/>
      <w:r>
        <w:rPr>
          <w:rFonts w:hint="eastAsia" w:ascii="仿宋" w:hAnsi="仿宋" w:eastAsia="仿宋" w:cs="仿宋"/>
          <w:b w:val="0"/>
          <w:bCs/>
          <w:sz w:val="28"/>
          <w:szCs w:val="28"/>
          <w:highlight w:val="none"/>
          <w:lang w:val="en-US" w:eastAsia="zh-CN"/>
        </w:rPr>
        <w:t>1.绩效评价的目的</w:t>
      </w:r>
      <w:bookmarkEnd w:id="94"/>
      <w:bookmarkEnd w:id="95"/>
      <w:bookmarkEnd w:id="9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财政支出绩效评价旨在通过评价改善预算部门的财政支出管理，优化资源配置及提高公共服务水平。本次绩效评价遵循财政部《关于推进绩效管理的指导意见》（财预〔2011〕416号）、</w:t>
      </w:r>
      <w:r>
        <w:rPr>
          <w:rFonts w:hint="eastAsia" w:ascii="仿宋" w:hAnsi="仿宋" w:eastAsia="仿宋" w:cs="仿宋"/>
          <w:sz w:val="28"/>
          <w:szCs w:val="28"/>
        </w:rPr>
        <w:t>中共山西省委 山西省人民政府《关于全面实施预算绩效管理的实施意见》</w:t>
      </w:r>
      <w:r>
        <w:rPr>
          <w:rFonts w:hint="eastAsia" w:ascii="仿宋" w:hAnsi="仿宋" w:eastAsia="仿宋" w:cs="仿宋"/>
          <w:sz w:val="28"/>
          <w:szCs w:val="28"/>
          <w:highlight w:val="none"/>
          <w:lang w:eastAsia="zh-CN"/>
        </w:rPr>
        <w:t>等文件的相关规定，客观、公正、全面地评价永济市公安局20</w:t>
      </w:r>
      <w:r>
        <w:rPr>
          <w:rFonts w:hint="eastAsia" w:ascii="仿宋" w:hAnsi="仿宋" w:eastAsia="仿宋" w:cs="仿宋"/>
          <w:sz w:val="28"/>
          <w:szCs w:val="28"/>
          <w:highlight w:val="none"/>
          <w:lang w:val="en-US" w:eastAsia="zh-CN"/>
        </w:rPr>
        <w:t>21</w:t>
      </w:r>
      <w:r>
        <w:rPr>
          <w:rFonts w:hint="eastAsia" w:ascii="仿宋" w:hAnsi="仿宋" w:eastAsia="仿宋" w:cs="仿宋"/>
          <w:sz w:val="28"/>
          <w:szCs w:val="28"/>
          <w:highlight w:val="none"/>
          <w:lang w:eastAsia="zh-CN"/>
        </w:rPr>
        <w:t>年度整体支出情况，总结经验，发现问题，并提出改进的相关措施和建议。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eastAsia="zh-CN"/>
        </w:rPr>
      </w:pPr>
      <w:bookmarkStart w:id="97" w:name="_Toc6331"/>
      <w:bookmarkStart w:id="98" w:name="_Toc8172"/>
      <w:bookmarkStart w:id="99" w:name="_Toc26985"/>
      <w:r>
        <w:rPr>
          <w:rFonts w:hint="eastAsia" w:ascii="仿宋" w:hAnsi="仿宋" w:eastAsia="仿宋" w:cs="仿宋"/>
          <w:b w:val="0"/>
          <w:bCs/>
          <w:sz w:val="28"/>
          <w:szCs w:val="28"/>
          <w:highlight w:val="none"/>
          <w:lang w:val="en-US" w:eastAsia="zh-CN"/>
        </w:rPr>
        <w:t>2.</w:t>
      </w:r>
      <w:r>
        <w:rPr>
          <w:rFonts w:hint="eastAsia" w:ascii="仿宋" w:hAnsi="仿宋" w:eastAsia="仿宋" w:cs="仿宋"/>
          <w:b w:val="0"/>
          <w:bCs/>
          <w:sz w:val="28"/>
          <w:szCs w:val="28"/>
          <w:highlight w:val="none"/>
          <w:lang w:eastAsia="zh-CN"/>
        </w:rPr>
        <w:t>绩效评价依据</w:t>
      </w:r>
      <w:bookmarkEnd w:id="97"/>
      <w:bookmarkEnd w:id="98"/>
      <w:bookmarkEnd w:id="9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eastAsia="zh-CN"/>
        </w:rPr>
      </w:pPr>
      <w:bookmarkStart w:id="100" w:name="_Toc15432"/>
      <w:r>
        <w:rPr>
          <w:rFonts w:hint="eastAsia" w:ascii="仿宋" w:hAnsi="仿宋" w:eastAsia="仿宋" w:cs="仿宋"/>
          <w:b w:val="0"/>
          <w:bCs/>
          <w:sz w:val="28"/>
          <w:szCs w:val="28"/>
          <w:highlight w:val="none"/>
          <w:lang w:eastAsia="zh-CN"/>
        </w:rPr>
        <w:t>（1）《中华人民共和国预算法》（2018年修订）；</w:t>
      </w:r>
      <w:bookmarkEnd w:id="10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eastAsia="zh-CN"/>
        </w:rPr>
      </w:pPr>
      <w:bookmarkStart w:id="101" w:name="_Toc29305"/>
      <w:r>
        <w:rPr>
          <w:rFonts w:hint="eastAsia" w:ascii="仿宋" w:hAnsi="仿宋" w:eastAsia="仿宋" w:cs="仿宋"/>
          <w:b w:val="0"/>
          <w:bCs/>
          <w:sz w:val="28"/>
          <w:szCs w:val="28"/>
          <w:highlight w:val="none"/>
          <w:lang w:eastAsia="zh-CN"/>
        </w:rPr>
        <w:t>（2）《中华人民共和国预算法实施条例》（2020年8月3日中华人民共和国国务院令第729号修订）；</w:t>
      </w:r>
      <w:bookmarkEnd w:id="10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eastAsia="zh-CN"/>
        </w:rPr>
      </w:pPr>
      <w:bookmarkStart w:id="102" w:name="_Toc10443"/>
      <w:r>
        <w:rPr>
          <w:rFonts w:hint="eastAsia" w:ascii="仿宋" w:hAnsi="仿宋" w:eastAsia="仿宋" w:cs="仿宋"/>
          <w:b w:val="0"/>
          <w:bCs/>
          <w:sz w:val="28"/>
          <w:szCs w:val="28"/>
          <w:highlight w:val="none"/>
          <w:lang w:eastAsia="zh-CN"/>
        </w:rPr>
        <w:t>（3）《中共中央 国务院关于全面实施预算绩效管理的意见》（中发〔2018〕34号）；</w:t>
      </w:r>
      <w:bookmarkEnd w:id="10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eastAsia="zh-CN"/>
        </w:rPr>
      </w:pPr>
      <w:bookmarkStart w:id="103" w:name="_Toc2254"/>
      <w:r>
        <w:rPr>
          <w:rFonts w:hint="eastAsia" w:ascii="仿宋" w:hAnsi="仿宋" w:eastAsia="仿宋" w:cs="仿宋"/>
          <w:b w:val="0"/>
          <w:bCs/>
          <w:sz w:val="28"/>
          <w:szCs w:val="28"/>
          <w:highlight w:val="none"/>
          <w:lang w:eastAsia="zh-CN"/>
        </w:rPr>
        <w:t>（4）《关于进一步深化预算管理制度改革的意见》（国发〔2021〕5号）；</w:t>
      </w:r>
      <w:bookmarkEnd w:id="10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eastAsia="zh-CN"/>
        </w:rPr>
      </w:pPr>
      <w:bookmarkStart w:id="104" w:name="_Toc30411"/>
      <w:r>
        <w:rPr>
          <w:rFonts w:hint="eastAsia" w:ascii="仿宋" w:hAnsi="仿宋" w:eastAsia="仿宋" w:cs="仿宋"/>
          <w:b w:val="0"/>
          <w:bCs/>
          <w:sz w:val="28"/>
          <w:szCs w:val="28"/>
          <w:highlight w:val="none"/>
          <w:lang w:eastAsia="zh-CN"/>
        </w:rPr>
        <w:t>（5）《全国人民代表大会常务委员会关于加强中央预算审查监督的决定》（2021年4月29日第十三届全国人民代表大会常务委员会第二十八次会议修订）；</w:t>
      </w:r>
      <w:bookmarkEnd w:id="10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eastAsia="zh-CN"/>
        </w:rPr>
      </w:pPr>
      <w:bookmarkStart w:id="105" w:name="_Toc32246"/>
      <w:r>
        <w:rPr>
          <w:rFonts w:hint="eastAsia" w:ascii="仿宋" w:hAnsi="仿宋" w:eastAsia="仿宋" w:cs="仿宋"/>
          <w:b w:val="0"/>
          <w:bCs/>
          <w:sz w:val="28"/>
          <w:szCs w:val="28"/>
          <w:highlight w:val="none"/>
          <w:lang w:eastAsia="zh-CN"/>
        </w:rPr>
        <w:t>（6）财政部《关于贯彻落实&lt;中共中央 国务院关于全面实施预算绩效管理的意见&gt;的通知》（财预〔2018〕167号）；</w:t>
      </w:r>
      <w:bookmarkEnd w:id="10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eastAsia="zh-CN"/>
        </w:rPr>
      </w:pPr>
      <w:bookmarkStart w:id="106" w:name="_Toc17283"/>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val="en-US" w:eastAsia="zh-CN"/>
        </w:rPr>
        <w:t>7</w:t>
      </w:r>
      <w:r>
        <w:rPr>
          <w:rFonts w:hint="eastAsia" w:ascii="仿宋" w:hAnsi="仿宋" w:eastAsia="仿宋" w:cs="仿宋"/>
          <w:b w:val="0"/>
          <w:bCs/>
          <w:sz w:val="28"/>
          <w:szCs w:val="28"/>
          <w:highlight w:val="none"/>
          <w:lang w:eastAsia="zh-CN"/>
        </w:rPr>
        <w:t>）财政部《第三方机构预算绩效评价业务监督管理暂行办法》</w:t>
      </w:r>
      <w:r>
        <w:rPr>
          <w:rFonts w:hint="eastAsia" w:ascii="仿宋_GB2312" w:hAnsi="华文仿宋" w:eastAsia="仿宋_GB2312" w:cs="仿宋"/>
          <w:sz w:val="28"/>
          <w:szCs w:val="28"/>
          <w:lang w:val="en-US" w:eastAsia="zh-CN"/>
        </w:rPr>
        <w:t>的通知</w:t>
      </w:r>
      <w:r>
        <w:rPr>
          <w:rFonts w:hint="eastAsia" w:ascii="仿宋" w:hAnsi="仿宋" w:eastAsia="仿宋" w:cs="仿宋"/>
          <w:b w:val="0"/>
          <w:bCs/>
          <w:sz w:val="28"/>
          <w:szCs w:val="28"/>
          <w:highlight w:val="none"/>
          <w:lang w:eastAsia="zh-CN"/>
        </w:rPr>
        <w:t>（财监〔2021〕4号）；</w:t>
      </w:r>
      <w:bookmarkEnd w:id="10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eastAsia="zh-CN"/>
        </w:rPr>
      </w:pPr>
      <w:bookmarkStart w:id="107" w:name="_Toc13923"/>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val="en-US" w:eastAsia="zh-CN"/>
        </w:rPr>
        <w:t>8</w:t>
      </w:r>
      <w:r>
        <w:rPr>
          <w:rFonts w:hint="eastAsia" w:ascii="仿宋" w:hAnsi="仿宋" w:eastAsia="仿宋" w:cs="仿宋"/>
          <w:b w:val="0"/>
          <w:bCs/>
          <w:sz w:val="28"/>
          <w:szCs w:val="28"/>
          <w:highlight w:val="none"/>
          <w:lang w:eastAsia="zh-CN"/>
        </w:rPr>
        <w:t>）《永济市财政局2022年重点绩效评价实施方案》（永财字〔2022〕37号）；</w:t>
      </w:r>
      <w:bookmarkEnd w:id="10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sz w:val="28"/>
          <w:szCs w:val="28"/>
          <w:highlight w:val="none"/>
          <w:lang w:eastAsia="zh-CN"/>
        </w:rPr>
      </w:pPr>
      <w:bookmarkStart w:id="108" w:name="_Toc21789"/>
      <w:r>
        <w:rPr>
          <w:rFonts w:hint="eastAsia" w:ascii="仿宋" w:hAnsi="仿宋" w:eastAsia="仿宋" w:cs="仿宋"/>
          <w:b w:val="0"/>
          <w:bCs/>
          <w:sz w:val="28"/>
          <w:szCs w:val="28"/>
          <w:highlight w:val="none"/>
          <w:lang w:eastAsia="zh-CN"/>
        </w:rPr>
        <w:t>（</w:t>
      </w:r>
      <w:r>
        <w:rPr>
          <w:rFonts w:hint="eastAsia" w:ascii="仿宋" w:hAnsi="仿宋" w:eastAsia="仿宋" w:cs="仿宋"/>
          <w:b w:val="0"/>
          <w:bCs/>
          <w:sz w:val="28"/>
          <w:szCs w:val="28"/>
          <w:highlight w:val="none"/>
          <w:lang w:val="en-US" w:eastAsia="zh-CN"/>
        </w:rPr>
        <w:t>9</w:t>
      </w:r>
      <w:r>
        <w:rPr>
          <w:rFonts w:hint="eastAsia" w:ascii="仿宋" w:hAnsi="仿宋" w:eastAsia="仿宋" w:cs="仿宋"/>
          <w:b w:val="0"/>
          <w:bCs/>
          <w:sz w:val="28"/>
          <w:szCs w:val="28"/>
          <w:highlight w:val="none"/>
          <w:lang w:eastAsia="zh-CN"/>
        </w:rPr>
        <w:t>）其他有关的法律、法规规章、政策文件。</w:t>
      </w:r>
      <w:bookmarkEnd w:id="108"/>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val="0"/>
          <w:bCs/>
          <w:sz w:val="28"/>
          <w:szCs w:val="28"/>
          <w:highlight w:val="none"/>
          <w:lang w:eastAsia="zh-CN"/>
        </w:rPr>
      </w:pPr>
      <w:bookmarkStart w:id="109" w:name="_Toc4672_WPSOffice_Level2"/>
      <w:bookmarkStart w:id="110" w:name="_Toc2248_WPSOffice_Level2"/>
      <w:bookmarkStart w:id="111" w:name="_Toc21066_WPSOffice_Level2"/>
      <w:bookmarkStart w:id="112" w:name="_Toc10569"/>
      <w:bookmarkStart w:id="113" w:name="_Toc3348"/>
      <w:bookmarkStart w:id="114" w:name="_Toc4125_WPSOffice_Level2"/>
      <w:r>
        <w:rPr>
          <w:rFonts w:hint="eastAsia" w:ascii="仿宋" w:hAnsi="仿宋" w:eastAsia="仿宋" w:cs="仿宋"/>
          <w:b/>
          <w:bCs w:val="0"/>
          <w:sz w:val="28"/>
          <w:szCs w:val="28"/>
          <w:highlight w:val="none"/>
          <w:lang w:eastAsia="zh-CN"/>
        </w:rPr>
        <w:t>（二）绩效评价的对象和范围</w:t>
      </w:r>
      <w:bookmarkEnd w:id="109"/>
      <w:bookmarkEnd w:id="110"/>
      <w:bookmarkEnd w:id="111"/>
      <w:bookmarkEnd w:id="112"/>
      <w:bookmarkEnd w:id="113"/>
      <w:bookmarkEnd w:id="11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0"/>
        <w:rPr>
          <w:rFonts w:hint="eastAsia" w:ascii="仿宋" w:hAnsi="仿宋" w:eastAsia="仿宋" w:cs="仿宋"/>
          <w:b w:val="0"/>
          <w:bCs w:val="0"/>
          <w:sz w:val="28"/>
          <w:szCs w:val="28"/>
          <w:highlight w:val="none"/>
        </w:rPr>
      </w:pPr>
      <w:bookmarkStart w:id="115" w:name="_Toc1711"/>
      <w:bookmarkStart w:id="116" w:name="_Toc31278"/>
      <w:bookmarkStart w:id="117" w:name="_Toc11604"/>
      <w:r>
        <w:rPr>
          <w:rFonts w:hint="eastAsia" w:ascii="仿宋" w:hAnsi="仿宋" w:eastAsia="仿宋" w:cs="仿宋"/>
          <w:b w:val="0"/>
          <w:bCs w:val="0"/>
          <w:sz w:val="28"/>
          <w:szCs w:val="28"/>
          <w:highlight w:val="none"/>
        </w:rPr>
        <w:t>1</w:t>
      </w:r>
      <w:r>
        <w:rPr>
          <w:rFonts w:hint="eastAsia" w:ascii="仿宋" w:hAnsi="仿宋" w:eastAsia="仿宋" w:cs="仿宋"/>
          <w:b w:val="0"/>
          <w:bCs w:val="0"/>
          <w:sz w:val="28"/>
          <w:szCs w:val="28"/>
          <w:highlight w:val="none"/>
          <w:lang w:val="en-US" w:eastAsia="zh-CN"/>
        </w:rPr>
        <w:t>.</w:t>
      </w:r>
      <w:r>
        <w:rPr>
          <w:rFonts w:hint="eastAsia" w:ascii="仿宋" w:hAnsi="仿宋" w:eastAsia="仿宋" w:cs="仿宋"/>
          <w:b w:val="0"/>
          <w:bCs w:val="0"/>
          <w:sz w:val="28"/>
          <w:szCs w:val="28"/>
          <w:highlight w:val="none"/>
        </w:rPr>
        <w:t>绩效评价对象</w:t>
      </w:r>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eastAsia="zh-CN"/>
        </w:rPr>
      </w:pPr>
      <w:bookmarkStart w:id="118" w:name="_Toc255918133"/>
      <w:bookmarkStart w:id="119" w:name="_Toc206492829"/>
      <w:bookmarkStart w:id="120" w:name="_Toc256631237"/>
      <w:r>
        <w:rPr>
          <w:rFonts w:hint="eastAsia" w:ascii="仿宋" w:hAnsi="仿宋" w:eastAsia="仿宋" w:cs="仿宋"/>
          <w:sz w:val="28"/>
          <w:szCs w:val="28"/>
          <w:highlight w:val="none"/>
        </w:rPr>
        <w:t>本次绩效评价对象为</w:t>
      </w:r>
      <w:r>
        <w:rPr>
          <w:rFonts w:hint="eastAsia" w:ascii="仿宋" w:hAnsi="仿宋" w:eastAsia="仿宋" w:cs="仿宋"/>
          <w:sz w:val="28"/>
          <w:szCs w:val="28"/>
          <w:highlight w:val="none"/>
          <w:lang w:eastAsia="zh-CN"/>
        </w:rPr>
        <w:t>永济市公安局</w:t>
      </w: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21</w:t>
      </w:r>
      <w:r>
        <w:rPr>
          <w:rFonts w:hint="eastAsia" w:ascii="仿宋" w:hAnsi="仿宋" w:eastAsia="仿宋" w:cs="仿宋"/>
          <w:sz w:val="28"/>
          <w:szCs w:val="28"/>
          <w:highlight w:val="none"/>
        </w:rPr>
        <w:t>年度</w:t>
      </w:r>
      <w:r>
        <w:rPr>
          <w:rFonts w:hint="eastAsia" w:ascii="仿宋" w:hAnsi="仿宋" w:eastAsia="仿宋" w:cs="仿宋"/>
          <w:sz w:val="28"/>
          <w:szCs w:val="28"/>
          <w:highlight w:val="none"/>
          <w:lang w:val="en-US" w:eastAsia="zh-CN"/>
        </w:rPr>
        <w:t>部门</w:t>
      </w:r>
      <w:r>
        <w:rPr>
          <w:rFonts w:hint="eastAsia" w:ascii="仿宋" w:hAnsi="仿宋" w:eastAsia="仿宋" w:cs="仿宋"/>
          <w:sz w:val="28"/>
          <w:szCs w:val="28"/>
          <w:highlight w:val="none"/>
        </w:rPr>
        <w:t>整体支出，金</w:t>
      </w:r>
      <w:r>
        <w:rPr>
          <w:rFonts w:hint="eastAsia" w:ascii="仿宋" w:hAnsi="仿宋" w:eastAsia="仿宋" w:cs="仿宋"/>
          <w:sz w:val="28"/>
          <w:szCs w:val="28"/>
          <w:highlight w:val="none"/>
          <w:lang w:eastAsia="zh-CN"/>
        </w:rPr>
        <w:t>额</w:t>
      </w:r>
      <w:r>
        <w:rPr>
          <w:rFonts w:hint="eastAsia" w:ascii="仿宋" w:hAnsi="仿宋" w:eastAsia="仿宋" w:cs="仿宋"/>
          <w:sz w:val="28"/>
          <w:szCs w:val="28"/>
          <w:highlight w:val="none"/>
          <w:lang w:val="en-US" w:eastAsia="zh-CN"/>
        </w:rPr>
        <w:t>7580.92</w:t>
      </w:r>
      <w:r>
        <w:rPr>
          <w:rFonts w:hint="eastAsia" w:ascii="仿宋" w:hAnsi="仿宋" w:eastAsia="仿宋" w:cs="仿宋"/>
          <w:sz w:val="28"/>
          <w:szCs w:val="28"/>
          <w:highlight w:val="none"/>
          <w:lang w:eastAsia="zh-CN"/>
        </w:rPr>
        <w:t>万元，其中：基本支出</w:t>
      </w:r>
      <w:r>
        <w:rPr>
          <w:rFonts w:hint="eastAsia" w:ascii="仿宋" w:hAnsi="仿宋" w:eastAsia="仿宋" w:cs="仿宋"/>
          <w:sz w:val="28"/>
          <w:szCs w:val="28"/>
          <w:highlight w:val="none"/>
          <w:lang w:val="en-US" w:eastAsia="zh-CN"/>
        </w:rPr>
        <w:t>3798</w:t>
      </w:r>
      <w:r>
        <w:rPr>
          <w:rFonts w:hint="eastAsia" w:ascii="仿宋" w:hAnsi="仿宋" w:eastAsia="仿宋" w:cs="仿宋"/>
          <w:sz w:val="28"/>
          <w:szCs w:val="28"/>
          <w:highlight w:val="none"/>
          <w:lang w:eastAsia="zh-CN"/>
        </w:rPr>
        <w:t>万元、项目支出</w:t>
      </w:r>
      <w:r>
        <w:rPr>
          <w:rFonts w:hint="eastAsia" w:ascii="仿宋" w:hAnsi="仿宋" w:eastAsia="仿宋" w:cs="仿宋"/>
          <w:sz w:val="28"/>
          <w:szCs w:val="28"/>
          <w:highlight w:val="none"/>
          <w:lang w:val="en-US" w:eastAsia="zh-CN"/>
        </w:rPr>
        <w:t>3782.92</w:t>
      </w:r>
      <w:r>
        <w:rPr>
          <w:rFonts w:hint="eastAsia" w:ascii="仿宋" w:hAnsi="仿宋" w:eastAsia="仿宋" w:cs="仿宋"/>
          <w:sz w:val="28"/>
          <w:szCs w:val="28"/>
          <w:highlight w:val="none"/>
          <w:lang w:eastAsia="zh-CN"/>
        </w:rPr>
        <w:t>万</w:t>
      </w:r>
      <w:r>
        <w:rPr>
          <w:rFonts w:hint="eastAsia" w:ascii="仿宋" w:hAnsi="仿宋" w:eastAsia="仿宋" w:cs="仿宋"/>
          <w:sz w:val="28"/>
          <w:szCs w:val="28"/>
          <w:highlight w:val="none"/>
        </w:rPr>
        <w:t>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rPr>
        <w:t>绩效评价范围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获取永济市公安局整体支出申报的目标设定、预算配置、预算执行及管理、资产管理、履职效能及效益、相关项目实施情况及后期运行情况等基本资料的基础上，通过对所收集相关资料的分析，结合相关政策文件，利用指标体系对永济市公安局2021年度部门整体支出进行绩效评价。</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bCs/>
          <w:sz w:val="28"/>
          <w:szCs w:val="28"/>
          <w:highlight w:val="none"/>
        </w:rPr>
      </w:pPr>
      <w:bookmarkStart w:id="121" w:name="_Toc16274"/>
      <w:bookmarkStart w:id="122" w:name="_Toc21951"/>
      <w:bookmarkStart w:id="123" w:name="_Toc3041_WPSOffice_Level2"/>
      <w:bookmarkStart w:id="124" w:name="_Toc769_WPSOffice_Level2"/>
      <w:bookmarkStart w:id="125" w:name="_Toc25078_WPSOffice_Level2"/>
      <w:bookmarkStart w:id="126" w:name="_Toc22145_WPSOffice_Level2"/>
      <w:bookmarkStart w:id="127" w:name="_Toc14012_WPSOffice_Level2"/>
      <w:bookmarkStart w:id="128" w:name="_Toc24219_WPSOffice_Level2"/>
      <w:bookmarkStart w:id="129" w:name="_Toc205_WPSOffice_Level2"/>
      <w:bookmarkStart w:id="130" w:name="_Toc5442_WPSOffice_Level2"/>
      <w:r>
        <w:rPr>
          <w:rFonts w:hint="eastAsia" w:ascii="仿宋" w:hAnsi="仿宋" w:eastAsia="仿宋" w:cs="仿宋"/>
          <w:b/>
          <w:bCs/>
          <w:sz w:val="28"/>
          <w:szCs w:val="28"/>
          <w:highlight w:val="none"/>
        </w:rPr>
        <w:t>（三）评价时段的确定</w:t>
      </w:r>
      <w:bookmarkEnd w:id="121"/>
      <w:bookmarkEnd w:id="1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本次绩效评价时段为2021年度。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ascii="仿宋" w:hAnsi="仿宋" w:eastAsia="仿宋" w:cs="仿宋"/>
          <w:b w:val="0"/>
          <w:bCs w:val="0"/>
          <w:sz w:val="28"/>
          <w:szCs w:val="28"/>
          <w:highlight w:val="none"/>
        </w:rPr>
      </w:pPr>
      <w:bookmarkStart w:id="131" w:name="_Toc9791"/>
      <w:bookmarkStart w:id="132" w:name="_Toc16387"/>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）绩效评价原则</w:t>
      </w:r>
      <w:bookmarkEnd w:id="123"/>
      <w:bookmarkEnd w:id="124"/>
      <w:bookmarkEnd w:id="125"/>
      <w:bookmarkEnd w:id="126"/>
      <w:bookmarkEnd w:id="127"/>
      <w:bookmarkEnd w:id="128"/>
      <w:bookmarkEnd w:id="131"/>
      <w:bookmarkEnd w:id="132"/>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right="-153" w:firstLine="560" w:firstLineChars="200"/>
        <w:textAlignment w:val="auto"/>
        <w:rPr>
          <w:rFonts w:hint="eastAsia" w:ascii="仿宋_GB2312" w:hAnsi="华文仿宋" w:eastAsia="仿宋_GB2312" w:cs="仿宋"/>
          <w:color w:val="000000"/>
          <w:kern w:val="0"/>
          <w:sz w:val="28"/>
          <w:szCs w:val="28"/>
          <w:shd w:val="clear" w:color="auto" w:fill="FFFFFF"/>
        </w:rPr>
      </w:pPr>
      <w:bookmarkStart w:id="133" w:name="_Toc10410_WPSOffice_Level2"/>
      <w:bookmarkStart w:id="134" w:name="_Toc4043_WPSOffice_Level2"/>
      <w:r>
        <w:rPr>
          <w:rFonts w:hint="eastAsia" w:ascii="仿宋_GB2312" w:hAnsi="华文仿宋" w:eastAsia="仿宋_GB2312" w:cs="仿宋"/>
          <w:color w:val="000000"/>
          <w:kern w:val="0"/>
          <w:sz w:val="28"/>
          <w:szCs w:val="28"/>
          <w:shd w:val="clear" w:color="auto" w:fill="FFFFFF"/>
          <w:lang w:val="en-US" w:eastAsia="zh-CN"/>
        </w:rPr>
        <w:t>1.</w:t>
      </w:r>
      <w:r>
        <w:rPr>
          <w:rFonts w:hint="eastAsia" w:ascii="仿宋_GB2312" w:hAnsi="华文仿宋" w:eastAsia="仿宋_GB2312" w:cs="仿宋"/>
          <w:color w:val="000000"/>
          <w:kern w:val="0"/>
          <w:sz w:val="28"/>
          <w:szCs w:val="28"/>
          <w:shd w:val="clear" w:color="auto" w:fill="FFFFFF"/>
        </w:rPr>
        <w:t>独立原则。</w:t>
      </w:r>
      <w:r>
        <w:rPr>
          <w:rFonts w:hint="eastAsia" w:ascii="仿宋_GB2312" w:hAnsi="华文仿宋" w:eastAsia="仿宋_GB2312" w:cs="仿宋"/>
          <w:color w:val="000000"/>
          <w:kern w:val="0"/>
          <w:sz w:val="28"/>
          <w:szCs w:val="28"/>
          <w:shd w:val="clear" w:color="auto" w:fill="FFFFFF"/>
          <w:lang w:val="en-US" w:eastAsia="zh-CN"/>
        </w:rPr>
        <w:t>评价</w:t>
      </w:r>
      <w:r>
        <w:rPr>
          <w:rFonts w:hint="eastAsia" w:ascii="仿宋_GB2312" w:hAnsi="华文仿宋" w:eastAsia="仿宋_GB2312" w:cs="仿宋"/>
          <w:color w:val="000000"/>
          <w:kern w:val="0"/>
          <w:sz w:val="28"/>
          <w:szCs w:val="28"/>
          <w:shd w:val="clear" w:color="auto" w:fill="FFFFFF"/>
        </w:rPr>
        <w:t>机构在委托方和被评价</w:t>
      </w:r>
      <w:r>
        <w:rPr>
          <w:rFonts w:hint="eastAsia" w:ascii="仿宋_GB2312" w:hAnsi="华文仿宋" w:eastAsia="仿宋_GB2312" w:cs="仿宋"/>
          <w:color w:val="000000"/>
          <w:kern w:val="0"/>
          <w:sz w:val="28"/>
          <w:szCs w:val="28"/>
          <w:shd w:val="clear" w:color="auto" w:fill="FFFFFF"/>
          <w:lang w:eastAsia="zh-CN"/>
        </w:rPr>
        <w:t>对象</w:t>
      </w:r>
      <w:r>
        <w:rPr>
          <w:rFonts w:hint="eastAsia" w:ascii="仿宋_GB2312" w:hAnsi="华文仿宋" w:eastAsia="仿宋_GB2312" w:cs="仿宋"/>
          <w:color w:val="000000"/>
          <w:kern w:val="0"/>
          <w:sz w:val="28"/>
          <w:szCs w:val="28"/>
          <w:shd w:val="clear" w:color="auto" w:fill="FFFFFF"/>
        </w:rPr>
        <w:t>提供工作便利条件和相关资料情况下独立完成委托事项。</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right="-153" w:firstLine="560" w:firstLineChars="200"/>
        <w:textAlignment w:val="auto"/>
        <w:rPr>
          <w:rFonts w:hint="eastAsia" w:ascii="仿宋_GB2312" w:hAnsi="华文仿宋" w:eastAsia="仿宋_GB2312" w:cs="仿宋"/>
          <w:color w:val="000000"/>
          <w:kern w:val="0"/>
          <w:sz w:val="28"/>
          <w:szCs w:val="28"/>
          <w:shd w:val="clear" w:color="auto" w:fill="FFFFFF"/>
        </w:rPr>
      </w:pPr>
      <w:r>
        <w:rPr>
          <w:rFonts w:hint="eastAsia" w:ascii="仿宋_GB2312" w:hAnsi="华文仿宋" w:eastAsia="仿宋_GB2312" w:cs="仿宋"/>
          <w:color w:val="000000"/>
          <w:kern w:val="0"/>
          <w:sz w:val="28"/>
          <w:szCs w:val="28"/>
          <w:shd w:val="clear" w:color="auto" w:fill="FFFFFF"/>
          <w:lang w:val="en-US" w:eastAsia="zh-CN"/>
        </w:rPr>
        <w:t>2.</w:t>
      </w:r>
      <w:r>
        <w:rPr>
          <w:rFonts w:hint="eastAsia" w:ascii="仿宋_GB2312" w:hAnsi="华文仿宋" w:eastAsia="仿宋_GB2312" w:cs="仿宋"/>
          <w:color w:val="000000"/>
          <w:kern w:val="0"/>
          <w:sz w:val="28"/>
          <w:szCs w:val="28"/>
          <w:shd w:val="clear" w:color="auto" w:fill="FFFFFF"/>
        </w:rPr>
        <w:t>客观原则。</w:t>
      </w:r>
      <w:r>
        <w:rPr>
          <w:rFonts w:hint="eastAsia" w:ascii="仿宋_GB2312" w:hAnsi="华文仿宋" w:eastAsia="仿宋_GB2312" w:cs="仿宋"/>
          <w:color w:val="000000"/>
          <w:kern w:val="0"/>
          <w:sz w:val="28"/>
          <w:szCs w:val="28"/>
          <w:shd w:val="clear" w:color="auto" w:fill="FFFFFF"/>
          <w:lang w:val="en-US" w:eastAsia="zh-CN"/>
        </w:rPr>
        <w:t>评价机构</w:t>
      </w:r>
      <w:r>
        <w:rPr>
          <w:rFonts w:hint="eastAsia" w:ascii="仿宋_GB2312" w:hAnsi="华文仿宋" w:eastAsia="仿宋_GB2312" w:cs="仿宋"/>
          <w:color w:val="000000"/>
          <w:kern w:val="0"/>
          <w:sz w:val="28"/>
          <w:szCs w:val="28"/>
          <w:shd w:val="clear" w:color="auto" w:fill="FFFFFF"/>
        </w:rPr>
        <w:t>机构按照协议（合同）约定事项</w:t>
      </w:r>
      <w:r>
        <w:rPr>
          <w:rFonts w:hint="default" w:ascii="仿宋_GB2312" w:hAnsi="华文仿宋" w:eastAsia="仿宋_GB2312" w:cs="仿宋"/>
          <w:color w:val="000000"/>
          <w:kern w:val="0"/>
          <w:sz w:val="28"/>
          <w:szCs w:val="28"/>
          <w:shd w:val="clear" w:color="auto" w:fill="FFFFFF"/>
          <w:lang w:val="en"/>
        </w:rPr>
        <w:t>客观公正、实事求是</w:t>
      </w:r>
      <w:r>
        <w:rPr>
          <w:rFonts w:hint="eastAsia" w:ascii="仿宋_GB2312" w:hAnsi="华文仿宋" w:eastAsia="仿宋_GB2312" w:cs="仿宋"/>
          <w:color w:val="000000"/>
          <w:kern w:val="0"/>
          <w:sz w:val="28"/>
          <w:szCs w:val="28"/>
          <w:shd w:val="clear" w:color="auto" w:fill="FFFFFF"/>
          <w:lang w:val="en" w:eastAsia="zh-CN"/>
        </w:rPr>
        <w:t>地</w:t>
      </w:r>
      <w:r>
        <w:rPr>
          <w:rFonts w:hint="eastAsia" w:ascii="仿宋_GB2312" w:hAnsi="华文仿宋" w:eastAsia="仿宋_GB2312" w:cs="仿宋"/>
          <w:color w:val="000000"/>
          <w:kern w:val="0"/>
          <w:sz w:val="28"/>
          <w:szCs w:val="28"/>
          <w:shd w:val="clear" w:color="auto" w:fill="FFFFFF"/>
        </w:rPr>
        <w:t>开展</w:t>
      </w:r>
      <w:r>
        <w:rPr>
          <w:rFonts w:hint="eastAsia" w:ascii="仿宋_GB2312" w:hAnsi="华文仿宋" w:eastAsia="仿宋_GB2312" w:cs="仿宋"/>
          <w:color w:val="000000"/>
          <w:kern w:val="0"/>
          <w:sz w:val="28"/>
          <w:szCs w:val="28"/>
          <w:shd w:val="clear" w:color="auto" w:fill="FFFFFF"/>
          <w:lang w:eastAsia="zh-CN"/>
        </w:rPr>
        <w:t>预算</w:t>
      </w:r>
      <w:r>
        <w:rPr>
          <w:rFonts w:hint="eastAsia" w:ascii="仿宋_GB2312" w:hAnsi="华文仿宋" w:eastAsia="仿宋_GB2312" w:cs="仿宋"/>
          <w:color w:val="000000"/>
          <w:kern w:val="0"/>
          <w:sz w:val="28"/>
          <w:szCs w:val="28"/>
          <w:shd w:val="clear" w:color="auto" w:fill="FFFFFF"/>
        </w:rPr>
        <w:t>绩效评价，不得出具不实</w:t>
      </w:r>
      <w:r>
        <w:rPr>
          <w:rFonts w:hint="eastAsia" w:ascii="仿宋_GB2312" w:hAnsi="华文仿宋" w:eastAsia="仿宋_GB2312" w:cs="仿宋"/>
          <w:color w:val="000000"/>
          <w:kern w:val="0"/>
          <w:sz w:val="28"/>
          <w:szCs w:val="28"/>
          <w:shd w:val="clear" w:color="auto" w:fill="FFFFFF"/>
          <w:lang w:eastAsia="zh-CN"/>
        </w:rPr>
        <w:t>预算绩效</w:t>
      </w:r>
      <w:r>
        <w:rPr>
          <w:rFonts w:hint="eastAsia" w:ascii="仿宋_GB2312" w:hAnsi="华文仿宋" w:eastAsia="仿宋_GB2312" w:cs="仿宋"/>
          <w:color w:val="000000"/>
          <w:kern w:val="0"/>
          <w:sz w:val="28"/>
          <w:szCs w:val="28"/>
          <w:shd w:val="clear" w:color="auto" w:fill="FFFFFF"/>
        </w:rPr>
        <w:t>评价报告。</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right="-153" w:firstLine="560" w:firstLineChars="200"/>
        <w:textAlignment w:val="auto"/>
        <w:rPr>
          <w:rFonts w:hint="eastAsia" w:ascii="仿宋" w:hAnsi="仿宋" w:eastAsia="仿宋" w:cs="仿宋"/>
          <w:sz w:val="28"/>
          <w:szCs w:val="28"/>
          <w:highlight w:val="none"/>
        </w:rPr>
      </w:pPr>
      <w:r>
        <w:rPr>
          <w:rFonts w:hint="eastAsia" w:ascii="仿宋_GB2312" w:hAnsi="华文仿宋" w:eastAsia="仿宋_GB2312" w:cs="仿宋"/>
          <w:color w:val="000000"/>
          <w:kern w:val="0"/>
          <w:sz w:val="28"/>
          <w:szCs w:val="28"/>
          <w:shd w:val="clear" w:color="auto" w:fill="FFFFFF"/>
          <w:lang w:val="en-US" w:eastAsia="zh-CN"/>
        </w:rPr>
        <w:t>3.</w:t>
      </w:r>
      <w:r>
        <w:rPr>
          <w:rFonts w:hint="default" w:ascii="仿宋_GB2312" w:hAnsi="华文仿宋" w:eastAsia="仿宋_GB2312" w:cs="仿宋"/>
          <w:color w:val="000000"/>
          <w:kern w:val="0"/>
          <w:sz w:val="28"/>
          <w:szCs w:val="28"/>
          <w:shd w:val="clear" w:color="auto" w:fill="FFFFFF"/>
          <w:lang w:val="en"/>
        </w:rPr>
        <w:t>规范</w:t>
      </w:r>
      <w:r>
        <w:rPr>
          <w:rFonts w:hint="eastAsia" w:ascii="仿宋_GB2312" w:hAnsi="华文仿宋" w:eastAsia="仿宋_GB2312" w:cs="仿宋"/>
          <w:color w:val="000000"/>
          <w:kern w:val="0"/>
          <w:sz w:val="28"/>
          <w:szCs w:val="28"/>
          <w:shd w:val="clear" w:color="auto" w:fill="FFFFFF"/>
        </w:rPr>
        <w:t>原则。</w:t>
      </w:r>
      <w:r>
        <w:rPr>
          <w:rFonts w:hint="eastAsia" w:ascii="仿宋_GB2312" w:hAnsi="华文仿宋" w:eastAsia="仿宋_GB2312" w:cs="仿宋"/>
          <w:color w:val="000000"/>
          <w:kern w:val="0"/>
          <w:sz w:val="28"/>
          <w:szCs w:val="28"/>
          <w:shd w:val="clear" w:color="auto" w:fill="FFFFFF"/>
          <w:lang w:val="en-US" w:eastAsia="zh-CN"/>
        </w:rPr>
        <w:t>评价</w:t>
      </w:r>
      <w:r>
        <w:rPr>
          <w:rFonts w:hint="eastAsia" w:ascii="仿宋_GB2312" w:hAnsi="华文仿宋" w:eastAsia="仿宋_GB2312" w:cs="仿宋"/>
          <w:color w:val="000000"/>
          <w:kern w:val="0"/>
          <w:sz w:val="28"/>
          <w:szCs w:val="28"/>
          <w:shd w:val="clear" w:color="auto" w:fill="FFFFFF"/>
        </w:rPr>
        <w:t>机构</w:t>
      </w:r>
      <w:r>
        <w:rPr>
          <w:rFonts w:hint="eastAsia" w:ascii="仿宋_GB2312" w:hAnsi="华文仿宋" w:eastAsia="仿宋_GB2312" w:cs="仿宋"/>
          <w:color w:val="000000"/>
          <w:kern w:val="0"/>
          <w:sz w:val="28"/>
          <w:szCs w:val="28"/>
          <w:shd w:val="clear" w:color="auto" w:fill="FFFFFF"/>
          <w:lang w:val="en-US" w:eastAsia="zh-CN"/>
        </w:rPr>
        <w:t>通过</w:t>
      </w:r>
      <w:r>
        <w:rPr>
          <w:rFonts w:hint="eastAsia" w:ascii="仿宋_GB2312" w:hAnsi="华文仿宋" w:eastAsia="仿宋_GB2312" w:cs="仿宋"/>
          <w:color w:val="000000"/>
          <w:kern w:val="0"/>
          <w:sz w:val="28"/>
          <w:szCs w:val="28"/>
          <w:shd w:val="clear" w:color="auto" w:fill="FFFFFF"/>
        </w:rPr>
        <w:t>履行必要评价程序，合理选取具有代表性的样本，对原始资料进行必要的核查验证，形成结论并出具</w:t>
      </w:r>
      <w:r>
        <w:rPr>
          <w:rFonts w:hint="eastAsia" w:ascii="仿宋_GB2312" w:hAnsi="华文仿宋" w:eastAsia="仿宋_GB2312" w:cs="仿宋"/>
          <w:color w:val="000000"/>
          <w:kern w:val="0"/>
          <w:sz w:val="28"/>
          <w:szCs w:val="28"/>
          <w:shd w:val="clear" w:color="auto" w:fill="FFFFFF"/>
          <w:lang w:eastAsia="zh-CN"/>
        </w:rPr>
        <w:t>预算绩效</w:t>
      </w:r>
      <w:r>
        <w:rPr>
          <w:rFonts w:hint="eastAsia" w:ascii="仿宋_GB2312" w:hAnsi="华文仿宋" w:eastAsia="仿宋_GB2312" w:cs="仿宋"/>
          <w:color w:val="000000"/>
          <w:kern w:val="0"/>
          <w:sz w:val="28"/>
          <w:szCs w:val="28"/>
          <w:shd w:val="clear" w:color="auto" w:fill="FFFFFF"/>
        </w:rPr>
        <w:t>评价报告。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val="0"/>
          <w:bCs/>
          <w:sz w:val="28"/>
          <w:szCs w:val="28"/>
          <w:highlight w:val="none"/>
          <w:lang w:eastAsia="zh-CN"/>
        </w:rPr>
      </w:pPr>
      <w:bookmarkStart w:id="135" w:name="_Toc4892"/>
      <w:bookmarkStart w:id="136" w:name="_Toc30430"/>
      <w:r>
        <w:rPr>
          <w:rFonts w:hint="eastAsia" w:ascii="仿宋" w:hAnsi="仿宋" w:eastAsia="仿宋" w:cs="仿宋"/>
          <w:b/>
          <w:bCs w:val="0"/>
          <w:sz w:val="28"/>
          <w:szCs w:val="28"/>
          <w:highlight w:val="none"/>
          <w:lang w:eastAsia="zh-CN"/>
        </w:rPr>
        <w:t>（五）绩效评价的方法</w:t>
      </w:r>
      <w:bookmarkEnd w:id="129"/>
      <w:bookmarkEnd w:id="130"/>
      <w:bookmarkEnd w:id="133"/>
      <w:bookmarkEnd w:id="134"/>
      <w:bookmarkEnd w:id="135"/>
      <w:bookmarkEnd w:id="13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highlight w:val="none"/>
          <w:lang w:val="en-US" w:eastAsia="zh-CN"/>
        </w:rPr>
      </w:pPr>
      <w:bookmarkStart w:id="137" w:name="_Toc341_WPSOffice_Level2"/>
      <w:bookmarkStart w:id="138" w:name="_Toc27934_WPSOffice_Level2"/>
      <w:bookmarkStart w:id="139" w:name="_Toc19084_WPSOffice_Level2"/>
      <w:bookmarkStart w:id="140" w:name="_Toc11172_WPSOffice_Level2"/>
      <w:bookmarkStart w:id="141" w:name="_Toc21223_WPSOffice_Level2"/>
      <w:bookmarkStart w:id="142" w:name="_Toc25990_WPSOffice_Level2"/>
      <w:bookmarkStart w:id="143" w:name="_Toc15003_WPSOffice_Level1"/>
      <w:bookmarkStart w:id="144" w:name="_Toc26397_WPSOffice_Level1"/>
      <w:r>
        <w:rPr>
          <w:rFonts w:hint="eastAsia" w:ascii="仿宋" w:hAnsi="仿宋" w:eastAsia="仿宋" w:cs="仿宋"/>
          <w:kern w:val="0"/>
          <w:sz w:val="28"/>
          <w:szCs w:val="28"/>
          <w:highlight w:val="none"/>
          <w:lang w:val="en-US" w:eastAsia="zh-CN"/>
        </w:rPr>
        <w:t>1.成本效益法：是指将一定时期内的支出与效益进行对比分析，以评价绩效目标的实现程度。结合预算支出确定的目标，比较支出所产生的效益和付出的成本。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2.比较分析法：是指通过对绩效目标和实施效果、历史和当期情况、不同部门和地区同类支出的比较，综合分析绩效目标的实现程度和效果。本次评价工作，通过对项目之间的横向、纵向比较，资金实际绩效与目标绩效之间比较，以及项目实际状况与设定评价标准的比较等，对项目资金进行综合评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3.因素分析法：是指通过综合分析影响绩效目标实现、实施效果的内外因素，评价绩效目标实现程度。本次主要分别就项目立项依据，绩效目标设定，资金监管、使用状况、项目管理、完成情况、项目产出、效益以及其他措施等因素进行分析评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4.综合指数评价法：是指把各项绩效指标的实际水平，对照评价标准值，分别计算各项指标评价得分，再按照设定的各项指标权数计算出综合评价得分，分析评价绩效目标实现情况的评价方法。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5.公众评判法：是指通过专家评估、公众问卷及抽样调查等对财政支出效果进行评判，评价绩效目标实现程度。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ascii="仿宋" w:hAnsi="仿宋" w:eastAsia="仿宋" w:cs="仿宋"/>
          <w:b/>
          <w:bCs/>
          <w:sz w:val="28"/>
          <w:szCs w:val="28"/>
          <w:highlight w:val="none"/>
        </w:rPr>
      </w:pPr>
      <w:bookmarkStart w:id="145" w:name="_Toc15228"/>
      <w:bookmarkStart w:id="146" w:name="_Toc28377"/>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eastAsia="zh-CN"/>
        </w:rPr>
        <w:t>六</w:t>
      </w:r>
      <w:r>
        <w:rPr>
          <w:rFonts w:hint="eastAsia" w:ascii="仿宋" w:hAnsi="仿宋" w:eastAsia="仿宋" w:cs="仿宋"/>
          <w:b/>
          <w:bCs/>
          <w:sz w:val="28"/>
          <w:szCs w:val="28"/>
          <w:highlight w:val="none"/>
        </w:rPr>
        <w:t>）评价的组织及实施</w:t>
      </w:r>
      <w:bookmarkEnd w:id="137"/>
      <w:bookmarkEnd w:id="138"/>
      <w:bookmarkEnd w:id="139"/>
      <w:bookmarkEnd w:id="140"/>
      <w:bookmarkEnd w:id="141"/>
      <w:bookmarkEnd w:id="142"/>
      <w:bookmarkEnd w:id="145"/>
      <w:bookmarkEnd w:id="14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b w:val="0"/>
          <w:bCs w:val="0"/>
          <w:sz w:val="28"/>
          <w:szCs w:val="28"/>
          <w:highlight w:val="none"/>
        </w:rPr>
      </w:pPr>
      <w:bookmarkStart w:id="147" w:name="_Toc28969_WPSOffice_Level3"/>
      <w:r>
        <w:rPr>
          <w:rFonts w:hint="eastAsia" w:ascii="仿宋" w:hAnsi="仿宋" w:eastAsia="仿宋" w:cs="仿宋"/>
          <w:b w:val="0"/>
          <w:bCs w:val="0"/>
          <w:sz w:val="28"/>
          <w:szCs w:val="28"/>
          <w:highlight w:val="none"/>
        </w:rPr>
        <w:t>1.人员分工</w:t>
      </w:r>
      <w:bookmarkEnd w:id="14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rPr>
        <w:t>根据</w:t>
      </w:r>
      <w:r>
        <w:rPr>
          <w:rFonts w:hint="eastAsia" w:ascii="仿宋" w:hAnsi="仿宋" w:eastAsia="仿宋" w:cs="仿宋"/>
          <w:sz w:val="28"/>
          <w:szCs w:val="28"/>
          <w:highlight w:val="none"/>
          <w:lang w:eastAsia="zh-CN"/>
        </w:rPr>
        <w:t>永济市公安局</w:t>
      </w:r>
      <w:r>
        <w:rPr>
          <w:rFonts w:hint="eastAsia" w:ascii="仿宋" w:hAnsi="仿宋" w:eastAsia="仿宋" w:cs="仿宋"/>
          <w:sz w:val="28"/>
          <w:szCs w:val="28"/>
          <w:highlight w:val="none"/>
          <w:lang w:val="en-US" w:eastAsia="zh-CN"/>
        </w:rPr>
        <w:t>2021年度整体支出</w:t>
      </w:r>
      <w:r>
        <w:rPr>
          <w:rFonts w:hint="eastAsia" w:ascii="仿宋" w:hAnsi="仿宋" w:eastAsia="仿宋" w:cs="仿宋"/>
          <w:sz w:val="28"/>
          <w:szCs w:val="28"/>
        </w:rPr>
        <w:t>项目绩效评价工作需求，成立绩效评价工作组。本次绩效评价工作组成员名单</w:t>
      </w:r>
      <w:r>
        <w:rPr>
          <w:rFonts w:hint="eastAsia" w:ascii="仿宋" w:hAnsi="仿宋" w:eastAsia="仿宋" w:cs="仿宋"/>
          <w:sz w:val="28"/>
          <w:szCs w:val="28"/>
          <w:lang w:val="en-US" w:eastAsia="zh-CN"/>
        </w:rPr>
        <w:t>见下表</w:t>
      </w:r>
      <w:r>
        <w:rPr>
          <w:rFonts w:hint="eastAsia" w:ascii="仿宋" w:hAnsi="仿宋" w:eastAsia="仿宋" w:cs="仿宋"/>
          <w:sz w:val="28"/>
          <w:szCs w:val="28"/>
          <w:highlight w:val="none"/>
        </w:rPr>
        <w:t>2-1：</w:t>
      </w:r>
      <w:bookmarkStart w:id="148" w:name="_Toc30640_WPSOffice_Level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表2-1  评价组成员分工表</w:t>
      </w:r>
    </w:p>
    <w:tbl>
      <w:tblPr>
        <w:tblStyle w:val="18"/>
        <w:tblW w:w="8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992"/>
        <w:gridCol w:w="1436"/>
        <w:gridCol w:w="1530"/>
        <w:gridCol w:w="4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trPr>
        <w:tc>
          <w:tcPr>
            <w:tcW w:w="851" w:type="dxa"/>
            <w:tcBorders>
              <w:tl2br w:val="nil"/>
              <w:tr2bl w:val="nil"/>
            </w:tcBorders>
            <w:shd w:val="clear" w:color="auto" w:fill="FFFFFF"/>
            <w:noWrap w:val="0"/>
            <w:vAlign w:val="center"/>
          </w:tcPr>
          <w:p>
            <w:pPr>
              <w:widowControl/>
              <w:spacing w:line="240" w:lineRule="auto"/>
              <w:ind w:firstLine="0" w:firstLineChar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992" w:type="dxa"/>
            <w:tcBorders>
              <w:tl2br w:val="nil"/>
              <w:tr2bl w:val="nil"/>
            </w:tcBorders>
            <w:shd w:val="clear" w:color="auto" w:fill="FFFFFF"/>
            <w:noWrap w:val="0"/>
            <w:vAlign w:val="center"/>
          </w:tcPr>
          <w:p>
            <w:pPr>
              <w:widowControl/>
              <w:spacing w:line="240" w:lineRule="auto"/>
              <w:ind w:firstLine="0" w:firstLineChar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姓  名</w:t>
            </w:r>
          </w:p>
        </w:tc>
        <w:tc>
          <w:tcPr>
            <w:tcW w:w="1436" w:type="dxa"/>
            <w:tcBorders>
              <w:tl2br w:val="nil"/>
              <w:tr2bl w:val="nil"/>
            </w:tcBorders>
            <w:shd w:val="clear" w:color="auto" w:fill="FFFFFF"/>
            <w:noWrap w:val="0"/>
            <w:vAlign w:val="center"/>
          </w:tcPr>
          <w:p>
            <w:pPr>
              <w:widowControl/>
              <w:spacing w:line="240" w:lineRule="auto"/>
              <w:ind w:firstLine="0" w:firstLineChar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在本项目中担任职责</w:t>
            </w:r>
          </w:p>
        </w:tc>
        <w:tc>
          <w:tcPr>
            <w:tcW w:w="1530" w:type="dxa"/>
            <w:tcBorders>
              <w:tl2br w:val="nil"/>
              <w:tr2bl w:val="nil"/>
            </w:tcBorders>
            <w:shd w:val="clear" w:color="auto" w:fill="FFFFFF"/>
            <w:noWrap w:val="0"/>
            <w:vAlign w:val="center"/>
          </w:tcPr>
          <w:p>
            <w:pPr>
              <w:widowControl/>
              <w:spacing w:line="240" w:lineRule="auto"/>
              <w:ind w:firstLine="0" w:firstLineChar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技术职称</w:t>
            </w:r>
          </w:p>
        </w:tc>
        <w:tc>
          <w:tcPr>
            <w:tcW w:w="4071" w:type="dxa"/>
            <w:tcBorders>
              <w:tl2br w:val="nil"/>
              <w:tr2bl w:val="nil"/>
            </w:tcBorders>
            <w:shd w:val="clear" w:color="auto" w:fill="FFFFFF"/>
            <w:noWrap w:val="0"/>
            <w:vAlign w:val="center"/>
          </w:tcPr>
          <w:p>
            <w:pPr>
              <w:widowControl/>
              <w:spacing w:line="240" w:lineRule="auto"/>
              <w:ind w:firstLine="442"/>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51" w:type="dxa"/>
            <w:tcBorders>
              <w:tl2br w:val="nil"/>
              <w:tr2bl w:val="nil"/>
            </w:tcBorders>
            <w:noWrap w:val="0"/>
            <w:vAlign w:val="center"/>
          </w:tcPr>
          <w:p>
            <w:pPr>
              <w:widowControl/>
              <w:ind w:left="0" w:leftChars="0"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992" w:type="dxa"/>
            <w:tcBorders>
              <w:tl2br w:val="nil"/>
              <w:tr2bl w:val="nil"/>
            </w:tcBorders>
            <w:noWrap w:val="0"/>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shd w:val="clear" w:color="auto" w:fill="FFFFFF"/>
                <w:lang w:val="en-US" w:eastAsia="zh-CN"/>
              </w:rPr>
              <w:t>王自强</w:t>
            </w:r>
          </w:p>
        </w:tc>
        <w:tc>
          <w:tcPr>
            <w:tcW w:w="1436" w:type="dxa"/>
            <w:tcBorders>
              <w:tl2br w:val="nil"/>
              <w:tr2bl w:val="nil"/>
            </w:tcBorders>
            <w:noWrap w:val="0"/>
            <w:vAlign w:val="center"/>
          </w:tcPr>
          <w:p>
            <w:pPr>
              <w:widowControl/>
              <w:spacing w:line="240" w:lineRule="auto"/>
              <w:ind w:left="0" w:leftChars="0"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质量控制复核人</w:t>
            </w:r>
          </w:p>
        </w:tc>
        <w:tc>
          <w:tcPr>
            <w:tcW w:w="1530" w:type="dxa"/>
            <w:tcBorders>
              <w:tl2br w:val="nil"/>
              <w:tr2bl w:val="nil"/>
            </w:tcBorders>
            <w:noWrap w:val="0"/>
            <w:vAlign w:val="center"/>
          </w:tcPr>
          <w:p>
            <w:pPr>
              <w:widowControl/>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注册会计师</w:t>
            </w:r>
          </w:p>
        </w:tc>
        <w:tc>
          <w:tcPr>
            <w:tcW w:w="4071" w:type="dxa"/>
            <w:tcBorders>
              <w:tl2br w:val="nil"/>
              <w:tr2bl w:val="nil"/>
            </w:tcBorders>
            <w:noWrap w:val="0"/>
            <w:vAlign w:val="center"/>
          </w:tcPr>
          <w:p>
            <w:pPr>
              <w:widowControl/>
              <w:spacing w:line="240" w:lineRule="auto"/>
              <w:ind w:left="0" w:leftChars="0" w:firstLine="0" w:firstLineChars="0"/>
              <w:jc w:val="left"/>
              <w:rPr>
                <w:rFonts w:hint="eastAsia" w:ascii="仿宋" w:hAnsi="仿宋" w:eastAsia="仿宋" w:cs="仿宋"/>
                <w:kern w:val="0"/>
                <w:sz w:val="24"/>
                <w:szCs w:val="24"/>
              </w:rPr>
            </w:pPr>
            <w:r>
              <w:rPr>
                <w:rFonts w:hint="eastAsia" w:ascii="仿宋" w:hAnsi="仿宋" w:eastAsia="仿宋" w:cs="仿宋"/>
                <w:kern w:val="0"/>
                <w:sz w:val="24"/>
                <w:szCs w:val="24"/>
              </w:rPr>
              <w:t>协调沟通，参与制定实施方案，修改绩效评价报告，督导项目进度和项目质量。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51" w:type="dxa"/>
            <w:tcBorders>
              <w:tl2br w:val="nil"/>
              <w:tr2bl w:val="nil"/>
            </w:tcBorders>
            <w:noWrap w:val="0"/>
            <w:vAlign w:val="center"/>
          </w:tcPr>
          <w:p>
            <w:pPr>
              <w:widowControl/>
              <w:ind w:left="0" w:leftChars="0"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l2br w:val="nil"/>
              <w:tr2bl w:val="nil"/>
            </w:tcBorders>
            <w:noWrap w:val="0"/>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shd w:val="clear" w:color="auto" w:fill="FFFFFF"/>
                <w:lang w:val="en-US" w:eastAsia="zh-CN"/>
              </w:rPr>
              <w:t>宁占利</w:t>
            </w:r>
          </w:p>
        </w:tc>
        <w:tc>
          <w:tcPr>
            <w:tcW w:w="1436" w:type="dxa"/>
            <w:tcBorders>
              <w:tl2br w:val="nil"/>
              <w:tr2bl w:val="nil"/>
            </w:tcBorders>
            <w:noWrap w:val="0"/>
            <w:vAlign w:val="center"/>
          </w:tcPr>
          <w:p>
            <w:pPr>
              <w:widowControl/>
              <w:spacing w:line="240" w:lineRule="auto"/>
              <w:ind w:left="0" w:leftChars="0"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项目主评人</w:t>
            </w:r>
          </w:p>
        </w:tc>
        <w:tc>
          <w:tcPr>
            <w:tcW w:w="1530" w:type="dxa"/>
            <w:tcBorders>
              <w:tl2br w:val="nil"/>
              <w:tr2bl w:val="nil"/>
            </w:tcBorders>
            <w:noWrap w:val="0"/>
            <w:vAlign w:val="center"/>
          </w:tcPr>
          <w:p>
            <w:pPr>
              <w:widowControl/>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注册会计师</w:t>
            </w:r>
          </w:p>
        </w:tc>
        <w:tc>
          <w:tcPr>
            <w:tcW w:w="4071" w:type="dxa"/>
            <w:tcBorders>
              <w:tl2br w:val="nil"/>
              <w:tr2bl w:val="nil"/>
            </w:tcBorders>
            <w:noWrap w:val="0"/>
            <w:vAlign w:val="center"/>
          </w:tcPr>
          <w:p>
            <w:pPr>
              <w:widowControl/>
              <w:spacing w:line="240" w:lineRule="auto"/>
              <w:ind w:left="0" w:leftChars="0" w:firstLine="0" w:firstLineChars="0"/>
              <w:jc w:val="left"/>
              <w:rPr>
                <w:rFonts w:hint="eastAsia" w:ascii="仿宋" w:hAnsi="仿宋" w:eastAsia="仿宋" w:cs="仿宋"/>
                <w:kern w:val="0"/>
                <w:sz w:val="24"/>
                <w:szCs w:val="24"/>
              </w:rPr>
            </w:pPr>
            <w:r>
              <w:rPr>
                <w:rFonts w:hint="eastAsia" w:ascii="仿宋" w:hAnsi="仿宋" w:eastAsia="仿宋" w:cs="仿宋"/>
                <w:kern w:val="0"/>
                <w:sz w:val="24"/>
                <w:szCs w:val="24"/>
              </w:rPr>
              <w:t>组织制定方案与现场绩效评价、负责报告撰写。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51" w:type="dxa"/>
            <w:tcBorders>
              <w:tl2br w:val="nil"/>
              <w:tr2bl w:val="nil"/>
            </w:tcBorders>
            <w:noWrap w:val="0"/>
            <w:vAlign w:val="center"/>
          </w:tcPr>
          <w:p>
            <w:pPr>
              <w:widowControl/>
              <w:ind w:left="0" w:leftChars="0"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992" w:type="dxa"/>
            <w:tcBorders>
              <w:tl2br w:val="nil"/>
              <w:tr2bl w:val="nil"/>
            </w:tcBorders>
            <w:noWrap w:val="0"/>
            <w:vAlign w:val="center"/>
          </w:tcPr>
          <w:p>
            <w:pPr>
              <w:widowControl/>
              <w:ind w:firstLine="0" w:firstLineChars="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杨丽丽</w:t>
            </w:r>
          </w:p>
        </w:tc>
        <w:tc>
          <w:tcPr>
            <w:tcW w:w="1436" w:type="dxa"/>
            <w:tcBorders>
              <w:tl2br w:val="nil"/>
              <w:tr2bl w:val="nil"/>
            </w:tcBorders>
            <w:noWrap w:val="0"/>
            <w:vAlign w:val="center"/>
          </w:tcPr>
          <w:p>
            <w:pPr>
              <w:widowControl/>
              <w:spacing w:line="240" w:lineRule="auto"/>
              <w:ind w:left="0" w:leftChars="0"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绩效评价组成员</w:t>
            </w:r>
          </w:p>
        </w:tc>
        <w:tc>
          <w:tcPr>
            <w:tcW w:w="1530" w:type="dxa"/>
            <w:tcBorders>
              <w:tl2br w:val="nil"/>
              <w:tr2bl w:val="nil"/>
            </w:tcBorders>
            <w:noWrap w:val="0"/>
            <w:vAlign w:val="center"/>
          </w:tcPr>
          <w:p>
            <w:pPr>
              <w:widowControl/>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中级会计师</w:t>
            </w:r>
          </w:p>
        </w:tc>
        <w:tc>
          <w:tcPr>
            <w:tcW w:w="4071" w:type="dxa"/>
            <w:tcBorders>
              <w:tl2br w:val="nil"/>
              <w:tr2bl w:val="nil"/>
            </w:tcBorders>
            <w:noWrap w:val="0"/>
            <w:vAlign w:val="center"/>
          </w:tcPr>
          <w:p>
            <w:pPr>
              <w:widowControl/>
              <w:spacing w:line="240" w:lineRule="auto"/>
              <w:ind w:left="0" w:leftChars="0" w:firstLine="0" w:firstLineChars="0"/>
              <w:jc w:val="left"/>
              <w:rPr>
                <w:rFonts w:hint="eastAsia" w:ascii="仿宋" w:hAnsi="仿宋" w:eastAsia="仿宋" w:cs="仿宋"/>
                <w:kern w:val="0"/>
                <w:sz w:val="24"/>
                <w:szCs w:val="24"/>
              </w:rPr>
            </w:pPr>
            <w:r>
              <w:rPr>
                <w:rFonts w:hint="eastAsia" w:ascii="仿宋" w:hAnsi="仿宋" w:eastAsia="仿宋" w:cs="仿宋"/>
                <w:kern w:val="0"/>
                <w:sz w:val="24"/>
                <w:szCs w:val="24"/>
              </w:rPr>
              <w:t>参与现场绩效评价、问卷调查等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51" w:type="dxa"/>
            <w:tcBorders>
              <w:tl2br w:val="nil"/>
              <w:tr2bl w:val="nil"/>
            </w:tcBorders>
            <w:noWrap w:val="0"/>
            <w:vAlign w:val="center"/>
          </w:tcPr>
          <w:p>
            <w:pPr>
              <w:widowControl/>
              <w:ind w:left="0" w:leftChars="0"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l2br w:val="nil"/>
              <w:tr2bl w:val="nil"/>
            </w:tcBorders>
            <w:noWrap w:val="0"/>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shd w:val="clear" w:color="auto" w:fill="FFFFFF"/>
                <w:lang w:val="en-US" w:eastAsia="zh-CN"/>
              </w:rPr>
              <w:t>贾君鹏</w:t>
            </w:r>
          </w:p>
        </w:tc>
        <w:tc>
          <w:tcPr>
            <w:tcW w:w="1436" w:type="dxa"/>
            <w:tcBorders>
              <w:tl2br w:val="nil"/>
              <w:tr2bl w:val="nil"/>
            </w:tcBorders>
            <w:noWrap w:val="0"/>
            <w:vAlign w:val="center"/>
          </w:tcPr>
          <w:p>
            <w:pPr>
              <w:widowControl/>
              <w:spacing w:line="240" w:lineRule="auto"/>
              <w:ind w:left="0" w:leftChars="0"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绩效评价组成员</w:t>
            </w:r>
          </w:p>
        </w:tc>
        <w:tc>
          <w:tcPr>
            <w:tcW w:w="1530" w:type="dxa"/>
            <w:tcBorders>
              <w:tl2br w:val="nil"/>
              <w:tr2bl w:val="nil"/>
            </w:tcBorders>
            <w:noWrap w:val="0"/>
            <w:vAlign w:val="center"/>
          </w:tcPr>
          <w:p>
            <w:pPr>
              <w:widowControl/>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助理会计师</w:t>
            </w:r>
          </w:p>
        </w:tc>
        <w:tc>
          <w:tcPr>
            <w:tcW w:w="4071" w:type="dxa"/>
            <w:tcBorders>
              <w:tl2br w:val="nil"/>
              <w:tr2bl w:val="nil"/>
            </w:tcBorders>
            <w:noWrap w:val="0"/>
            <w:vAlign w:val="center"/>
          </w:tcPr>
          <w:p>
            <w:pPr>
              <w:widowControl/>
              <w:spacing w:line="240" w:lineRule="auto"/>
              <w:ind w:left="0" w:leftChars="0" w:firstLine="0" w:firstLineChars="0"/>
              <w:jc w:val="left"/>
              <w:rPr>
                <w:rFonts w:hint="eastAsia" w:ascii="仿宋" w:hAnsi="仿宋" w:eastAsia="仿宋" w:cs="仿宋"/>
                <w:kern w:val="0"/>
                <w:sz w:val="24"/>
                <w:szCs w:val="24"/>
              </w:rPr>
            </w:pPr>
            <w:r>
              <w:rPr>
                <w:rFonts w:hint="eastAsia" w:ascii="仿宋" w:hAnsi="仿宋" w:eastAsia="仿宋" w:cs="仿宋"/>
                <w:kern w:val="0"/>
                <w:sz w:val="24"/>
                <w:szCs w:val="24"/>
              </w:rPr>
              <w:t>参与现场绩效评价、问卷调查等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51" w:type="dxa"/>
            <w:tcBorders>
              <w:tl2br w:val="nil"/>
              <w:tr2bl w:val="nil"/>
            </w:tcBorders>
            <w:noWrap w:val="0"/>
            <w:vAlign w:val="center"/>
          </w:tcPr>
          <w:p>
            <w:pPr>
              <w:widowControl/>
              <w:ind w:left="0" w:leftChars="0"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992" w:type="dxa"/>
            <w:tcBorders>
              <w:tl2br w:val="nil"/>
              <w:tr2bl w:val="nil"/>
            </w:tcBorders>
            <w:noWrap w:val="0"/>
            <w:vAlign w:val="center"/>
          </w:tcPr>
          <w:p>
            <w:pPr>
              <w:widowControl/>
              <w:ind w:firstLine="0" w:firstLineChars="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席恩奇</w:t>
            </w:r>
          </w:p>
        </w:tc>
        <w:tc>
          <w:tcPr>
            <w:tcW w:w="1436" w:type="dxa"/>
            <w:tcBorders>
              <w:tl2br w:val="nil"/>
              <w:tr2bl w:val="nil"/>
            </w:tcBorders>
            <w:noWrap w:val="0"/>
            <w:vAlign w:val="center"/>
          </w:tcPr>
          <w:p>
            <w:pPr>
              <w:widowControl/>
              <w:spacing w:line="240" w:lineRule="auto"/>
              <w:ind w:left="0" w:leftChars="0"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绩效评价组成员</w:t>
            </w:r>
          </w:p>
        </w:tc>
        <w:tc>
          <w:tcPr>
            <w:tcW w:w="1530" w:type="dxa"/>
            <w:tcBorders>
              <w:tl2br w:val="nil"/>
              <w:tr2bl w:val="nil"/>
            </w:tcBorders>
            <w:noWrap w:val="0"/>
            <w:vAlign w:val="center"/>
          </w:tcPr>
          <w:p>
            <w:pPr>
              <w:widowControl/>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助理会计师</w:t>
            </w:r>
          </w:p>
        </w:tc>
        <w:tc>
          <w:tcPr>
            <w:tcW w:w="4071" w:type="dxa"/>
            <w:tcBorders>
              <w:tl2br w:val="nil"/>
              <w:tr2bl w:val="nil"/>
            </w:tcBorders>
            <w:noWrap w:val="0"/>
            <w:vAlign w:val="center"/>
          </w:tcPr>
          <w:p>
            <w:pPr>
              <w:widowControl/>
              <w:spacing w:line="240" w:lineRule="auto"/>
              <w:ind w:left="0" w:leftChars="0" w:firstLine="0" w:firstLineChars="0"/>
              <w:jc w:val="left"/>
              <w:rPr>
                <w:rFonts w:hint="eastAsia" w:ascii="仿宋" w:hAnsi="仿宋" w:eastAsia="仿宋" w:cs="仿宋"/>
                <w:kern w:val="0"/>
                <w:sz w:val="24"/>
                <w:szCs w:val="24"/>
              </w:rPr>
            </w:pPr>
            <w:r>
              <w:rPr>
                <w:rFonts w:hint="eastAsia" w:ascii="仿宋" w:hAnsi="仿宋" w:eastAsia="仿宋" w:cs="仿宋"/>
                <w:kern w:val="0"/>
                <w:sz w:val="24"/>
                <w:szCs w:val="24"/>
              </w:rPr>
              <w:t>参与现场绩效评价、问卷调查等</w:t>
            </w:r>
          </w:p>
        </w:tc>
      </w:tr>
      <w:bookmarkEnd w:id="148"/>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b w:val="0"/>
          <w:bCs w:val="0"/>
          <w:sz w:val="28"/>
          <w:szCs w:val="28"/>
          <w:highlight w:val="none"/>
        </w:rPr>
      </w:pPr>
      <w:bookmarkStart w:id="149" w:name="_Toc26280_WPSOffice_Level3"/>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rPr>
        <w:t>.评价时间及主要工作进程安排</w:t>
      </w:r>
      <w:bookmarkEnd w:id="14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绩效评价工作分为评价准备阶段、评价实施阶段和评价报告撰写阶段。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（1）评价准备阶段（</w:t>
      </w:r>
      <w:r>
        <w:rPr>
          <w:rFonts w:hint="eastAsia" w:ascii="仿宋" w:hAnsi="仿宋" w:eastAsia="仿宋" w:cs="仿宋"/>
          <w:b w:val="0"/>
          <w:bCs w:val="0"/>
          <w:sz w:val="28"/>
          <w:szCs w:val="28"/>
        </w:rPr>
        <w:t>2022年9月</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t>日-9月2</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t>日</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制定绩效评价实施方案。评价小组研读了相关文件，并与</w:t>
      </w:r>
      <w:r>
        <w:rPr>
          <w:rFonts w:hint="eastAsia" w:ascii="仿宋" w:hAnsi="仿宋" w:eastAsia="仿宋" w:cs="仿宋"/>
          <w:sz w:val="28"/>
          <w:szCs w:val="28"/>
          <w:highlight w:val="none"/>
          <w:lang w:eastAsia="zh-CN"/>
        </w:rPr>
        <w:t>永济市公安局</w:t>
      </w:r>
      <w:r>
        <w:rPr>
          <w:rFonts w:hint="eastAsia" w:ascii="仿宋" w:hAnsi="仿宋" w:eastAsia="仿宋" w:cs="仿宋"/>
          <w:sz w:val="28"/>
          <w:szCs w:val="28"/>
          <w:highlight w:val="none"/>
        </w:rPr>
        <w:t>负责人及相关人员就单位情况、项目具体实施情况进行了解，并进一步查阅相关资料。评价小组内部研讨后，拟定工作方案、指标体系、调查问卷，于20</w:t>
      </w:r>
      <w:r>
        <w:rPr>
          <w:rFonts w:hint="eastAsia" w:ascii="仿宋" w:hAnsi="仿宋" w:eastAsia="仿宋" w:cs="仿宋"/>
          <w:sz w:val="28"/>
          <w:szCs w:val="28"/>
          <w:highlight w:val="none"/>
          <w:lang w:val="en-US" w:eastAsia="zh-CN"/>
        </w:rPr>
        <w:t>22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26</w:t>
      </w:r>
      <w:r>
        <w:rPr>
          <w:rFonts w:hint="eastAsia" w:ascii="仿宋" w:hAnsi="仿宋" w:eastAsia="仿宋" w:cs="仿宋"/>
          <w:sz w:val="28"/>
          <w:szCs w:val="28"/>
          <w:highlight w:val="none"/>
        </w:rPr>
        <w:t>日经</w:t>
      </w:r>
      <w:r>
        <w:rPr>
          <w:rFonts w:hint="eastAsia" w:ascii="仿宋" w:hAnsi="仿宋" w:eastAsia="仿宋" w:cs="仿宋"/>
          <w:sz w:val="28"/>
          <w:szCs w:val="28"/>
          <w:highlight w:val="none"/>
          <w:lang w:val="en-US" w:eastAsia="zh-CN"/>
        </w:rPr>
        <w:t>专家</w:t>
      </w:r>
      <w:r>
        <w:rPr>
          <w:rFonts w:hint="eastAsia" w:ascii="仿宋" w:hAnsi="仿宋" w:eastAsia="仿宋" w:cs="仿宋"/>
          <w:sz w:val="28"/>
          <w:szCs w:val="28"/>
          <w:highlight w:val="none"/>
        </w:rPr>
        <w:t>审核</w:t>
      </w:r>
      <w:r>
        <w:rPr>
          <w:rFonts w:hint="eastAsia" w:ascii="仿宋" w:hAnsi="仿宋" w:eastAsia="仿宋" w:cs="仿宋"/>
          <w:sz w:val="28"/>
          <w:szCs w:val="28"/>
          <w:highlight w:val="none"/>
          <w:lang w:val="en-US" w:eastAsia="zh-CN"/>
        </w:rPr>
        <w:t>论证</w:t>
      </w:r>
      <w:r>
        <w:rPr>
          <w:rFonts w:hint="eastAsia" w:ascii="仿宋" w:hAnsi="仿宋" w:eastAsia="仿宋" w:cs="仿宋"/>
          <w:sz w:val="28"/>
          <w:szCs w:val="28"/>
          <w:highlight w:val="none"/>
        </w:rPr>
        <w:t>，审核后根据审核论证意见对方案和指标进行修改并完善，确定绩效评价方案、指标体系、调查问卷。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（2）评价实施阶段（</w:t>
      </w:r>
      <w:r>
        <w:rPr>
          <w:rFonts w:hint="eastAsia" w:ascii="仿宋" w:hAnsi="仿宋" w:eastAsia="仿宋" w:cs="仿宋"/>
          <w:b w:val="0"/>
          <w:bCs w:val="0"/>
          <w:sz w:val="28"/>
          <w:szCs w:val="28"/>
        </w:rPr>
        <w:t>2022年9月2</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t>日-1</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月2</w:t>
      </w:r>
      <w:r>
        <w:rPr>
          <w:rFonts w:hint="eastAsia" w:ascii="仿宋" w:hAnsi="仿宋" w:eastAsia="仿宋" w:cs="仿宋"/>
          <w:b w:val="0"/>
          <w:bCs w:val="0"/>
          <w:sz w:val="28"/>
          <w:szCs w:val="28"/>
          <w:lang w:val="en-US" w:eastAsia="zh-CN"/>
        </w:rPr>
        <w:t>0</w:t>
      </w:r>
      <w:r>
        <w:rPr>
          <w:rFonts w:hint="eastAsia" w:ascii="仿宋" w:hAnsi="仿宋" w:eastAsia="仿宋" w:cs="仿宋"/>
          <w:b w:val="0"/>
          <w:bCs w:val="0"/>
          <w:sz w:val="28"/>
          <w:szCs w:val="28"/>
        </w:rPr>
        <w:t>日</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根据确定的绩效评价方案，评价小组将绩效评价实施方案、需要准备的资料清单等发至被评价部门，并要求被评价部门按照方案要求编写绩效自评报告、提供相关电子资料及纸质资料。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首先，由评价小组组长根据</w:t>
      </w:r>
      <w:r>
        <w:rPr>
          <w:rFonts w:hint="eastAsia" w:ascii="仿宋" w:hAnsi="仿宋" w:eastAsia="仿宋" w:cs="仿宋"/>
          <w:sz w:val="28"/>
          <w:szCs w:val="28"/>
          <w:highlight w:val="none"/>
          <w:lang w:val="en-US" w:eastAsia="zh-CN"/>
        </w:rPr>
        <w:t>方案</w:t>
      </w:r>
      <w:r>
        <w:rPr>
          <w:rFonts w:hint="eastAsia" w:ascii="仿宋" w:hAnsi="仿宋" w:eastAsia="仿宋" w:cs="仿宋"/>
          <w:sz w:val="28"/>
          <w:szCs w:val="28"/>
          <w:highlight w:val="none"/>
        </w:rPr>
        <w:t>，约谈</w:t>
      </w:r>
      <w:r>
        <w:rPr>
          <w:rFonts w:hint="eastAsia" w:ascii="仿宋" w:hAnsi="仿宋" w:eastAsia="仿宋" w:cs="仿宋"/>
          <w:sz w:val="28"/>
          <w:szCs w:val="28"/>
          <w:highlight w:val="none"/>
          <w:lang w:val="en-US" w:eastAsia="zh-CN"/>
        </w:rPr>
        <w:t>相关</w:t>
      </w:r>
      <w:r>
        <w:rPr>
          <w:rFonts w:hint="eastAsia" w:ascii="仿宋" w:hAnsi="仿宋" w:eastAsia="仿宋" w:cs="仿宋"/>
          <w:sz w:val="28"/>
          <w:szCs w:val="28"/>
          <w:highlight w:val="none"/>
        </w:rPr>
        <w:t>负责人，</w:t>
      </w:r>
      <w:r>
        <w:rPr>
          <w:rFonts w:hint="eastAsia" w:ascii="仿宋" w:hAnsi="仿宋" w:eastAsia="仿宋" w:cs="仿宋"/>
          <w:sz w:val="28"/>
          <w:szCs w:val="28"/>
          <w:highlight w:val="none"/>
          <w:lang w:val="en-US" w:eastAsia="zh-CN"/>
        </w:rPr>
        <w:t>了解基本情况</w:t>
      </w:r>
      <w:r>
        <w:rPr>
          <w:rFonts w:hint="eastAsia" w:ascii="仿宋" w:hAnsi="仿宋" w:eastAsia="仿宋" w:cs="仿宋"/>
          <w:sz w:val="28"/>
          <w:szCs w:val="28"/>
          <w:highlight w:val="none"/>
        </w:rPr>
        <w:t>；第二、组织评价小组人员对被评价部门提供的资料进行审核，重点对部门的目标设定、预算执行及管理、资产管理、职责履行、相关项目资料等进行复核，并实地勘察部门工作完成情况、项目实施情况；第三，评价组对</w:t>
      </w:r>
      <w:r>
        <w:rPr>
          <w:rFonts w:hint="eastAsia" w:ascii="仿宋" w:hAnsi="仿宋" w:eastAsia="仿宋" w:cs="仿宋"/>
          <w:sz w:val="28"/>
          <w:szCs w:val="28"/>
          <w:highlight w:val="none"/>
          <w:lang w:eastAsia="zh-CN"/>
        </w:rPr>
        <w:t>永济市公安局</w:t>
      </w:r>
      <w:r>
        <w:rPr>
          <w:rFonts w:hint="eastAsia" w:ascii="仿宋" w:hAnsi="仿宋" w:eastAsia="仿宋" w:cs="仿宋"/>
          <w:sz w:val="28"/>
          <w:szCs w:val="28"/>
          <w:highlight w:val="none"/>
        </w:rPr>
        <w:t>进行实地</w:t>
      </w:r>
      <w:r>
        <w:rPr>
          <w:rFonts w:hint="eastAsia" w:ascii="仿宋" w:hAnsi="仿宋" w:eastAsia="仿宋" w:cs="仿宋"/>
          <w:sz w:val="28"/>
          <w:szCs w:val="28"/>
          <w:highlight w:val="none"/>
          <w:lang w:val="en-US" w:eastAsia="zh-CN"/>
        </w:rPr>
        <w:t>核查</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评价组根据搜集和整理的相关数据及实地核查情况，按照评价标准，对各项指标进行初步计算和打分。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（3）报告撰写提交阶段（</w:t>
      </w:r>
      <w:r>
        <w:rPr>
          <w:rFonts w:hint="eastAsia" w:ascii="仿宋" w:hAnsi="仿宋" w:eastAsia="仿宋" w:cs="仿宋"/>
          <w:b w:val="0"/>
          <w:bCs w:val="0"/>
          <w:sz w:val="28"/>
          <w:szCs w:val="28"/>
        </w:rPr>
        <w:t>2022年1</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月2</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日-11月</w:t>
      </w:r>
      <w:r>
        <w:rPr>
          <w:rFonts w:hint="eastAsia" w:ascii="仿宋" w:hAnsi="仿宋" w:eastAsia="仿宋" w:cs="仿宋"/>
          <w:b w:val="0"/>
          <w:bCs w:val="0"/>
          <w:sz w:val="28"/>
          <w:szCs w:val="28"/>
          <w:lang w:val="en-US" w:eastAsia="zh-CN"/>
        </w:rPr>
        <w:t>25</w:t>
      </w:r>
      <w:r>
        <w:rPr>
          <w:rFonts w:hint="eastAsia" w:ascii="仿宋" w:hAnsi="仿宋" w:eastAsia="仿宋" w:cs="仿宋"/>
          <w:b w:val="0"/>
          <w:bCs w:val="0"/>
          <w:sz w:val="28"/>
          <w:szCs w:val="28"/>
        </w:rPr>
        <w:t>日</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评价组整理、综合分析部门相关信息，根据评价指标体系、评价标准和评价方法，对评价对象的绩效情况进行全面的定量、定性分析和综合评价，并提炼结论撰写绩效评价报告，提交永济市财政局征求意见，根据财政局专家审核意见修改绩效评价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0"/>
        <w:rPr>
          <w:rFonts w:hint="eastAsia" w:ascii="仿宋" w:hAnsi="仿宋" w:eastAsia="仿宋" w:cs="仿宋"/>
          <w:b/>
          <w:sz w:val="28"/>
          <w:szCs w:val="28"/>
          <w:highlight w:val="none"/>
          <w:lang w:eastAsia="zh-CN"/>
        </w:rPr>
      </w:pPr>
      <w:bookmarkStart w:id="150" w:name="_Toc664_WPSOffice_Level1"/>
      <w:bookmarkStart w:id="151" w:name="_Toc3613_WPSOffice_Level1"/>
      <w:bookmarkStart w:id="152" w:name="_Toc31868"/>
      <w:bookmarkStart w:id="153" w:name="_Toc15580"/>
      <w:r>
        <w:rPr>
          <w:rFonts w:hint="eastAsia" w:ascii="仿宋" w:hAnsi="仿宋" w:eastAsia="仿宋" w:cs="仿宋"/>
          <w:b/>
          <w:sz w:val="28"/>
          <w:szCs w:val="28"/>
          <w:highlight w:val="none"/>
          <w:lang w:eastAsia="zh-CN"/>
        </w:rPr>
        <w:t>三</w:t>
      </w:r>
      <w:r>
        <w:rPr>
          <w:rFonts w:hint="eastAsia" w:ascii="仿宋" w:hAnsi="仿宋" w:eastAsia="仿宋" w:cs="仿宋"/>
          <w:b/>
          <w:sz w:val="28"/>
          <w:szCs w:val="28"/>
          <w:highlight w:val="none"/>
        </w:rPr>
        <w:t>、绩效评价指标</w:t>
      </w:r>
      <w:r>
        <w:rPr>
          <w:rFonts w:hint="eastAsia" w:ascii="仿宋" w:hAnsi="仿宋" w:eastAsia="仿宋" w:cs="仿宋"/>
          <w:b/>
          <w:sz w:val="28"/>
          <w:szCs w:val="28"/>
          <w:highlight w:val="none"/>
          <w:lang w:eastAsia="zh-CN"/>
        </w:rPr>
        <w:t>体系</w:t>
      </w:r>
      <w:bookmarkEnd w:id="143"/>
      <w:bookmarkEnd w:id="144"/>
      <w:bookmarkEnd w:id="150"/>
      <w:bookmarkEnd w:id="151"/>
      <w:bookmarkEnd w:id="152"/>
      <w:bookmarkEnd w:id="153"/>
      <w:bookmarkStart w:id="154" w:name="_Toc514670444"/>
      <w:bookmarkStart w:id="155" w:name="_Toc28008"/>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bCs/>
          <w:sz w:val="28"/>
          <w:szCs w:val="28"/>
          <w:highlight w:val="none"/>
        </w:rPr>
      </w:pPr>
      <w:bookmarkStart w:id="156" w:name="_Toc20787"/>
      <w:bookmarkStart w:id="157" w:name="_Toc29707_WPSOffice_Level2"/>
      <w:bookmarkStart w:id="158" w:name="_Toc13056"/>
      <w:bookmarkStart w:id="159" w:name="_Toc25675_WPSOffice_Level2"/>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指标体系设计思路</w:t>
      </w:r>
      <w:bookmarkEnd w:id="154"/>
      <w:bookmarkEnd w:id="155"/>
      <w:bookmarkEnd w:id="156"/>
      <w:bookmarkEnd w:id="157"/>
      <w:bookmarkEnd w:id="158"/>
      <w:bookmarkEnd w:id="15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参考《中华人民共和国预算法实施条例》（2020年8月3日中华人民共和国国务院令第729号修订）</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《中共中央 国务院关于全面实施预算绩效管理的意见》（中发〔2018〕34号）等文件要求，结合该项目的相关规定，按照“</w:t>
      </w:r>
      <w:r>
        <w:rPr>
          <w:rFonts w:hint="eastAsia" w:ascii="仿宋" w:hAnsi="仿宋" w:eastAsia="仿宋" w:cs="仿宋"/>
          <w:b w:val="0"/>
          <w:bCs w:val="0"/>
          <w:sz w:val="28"/>
          <w:szCs w:val="28"/>
          <w:highlight w:val="none"/>
          <w:lang w:val="en-US" w:eastAsia="zh-CN"/>
        </w:rPr>
        <w:t>履职效能</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管理效率</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社会效应</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可持续性</w:t>
      </w:r>
      <w:r>
        <w:rPr>
          <w:rFonts w:hint="eastAsia" w:ascii="仿宋" w:hAnsi="仿宋" w:eastAsia="仿宋" w:cs="仿宋"/>
          <w:b w:val="0"/>
          <w:bCs w:val="0"/>
          <w:sz w:val="28"/>
          <w:szCs w:val="28"/>
          <w:highlight w:val="none"/>
        </w:rPr>
        <w:t>”的逻辑思路对绩效目标进行分解，结合计划标准、通用标准、历史标准等制定指标目标值，形成</w:t>
      </w:r>
      <w:r>
        <w:rPr>
          <w:rFonts w:hint="eastAsia" w:ascii="仿宋" w:hAnsi="仿宋" w:eastAsia="仿宋" w:cs="仿宋"/>
          <w:b w:val="0"/>
          <w:bCs w:val="0"/>
          <w:sz w:val="28"/>
          <w:szCs w:val="28"/>
          <w:highlight w:val="none"/>
          <w:lang w:eastAsia="zh-CN"/>
        </w:rPr>
        <w:t>永济市公安局</w:t>
      </w:r>
      <w:r>
        <w:rPr>
          <w:rFonts w:hint="eastAsia" w:ascii="仿宋" w:hAnsi="仿宋" w:eastAsia="仿宋" w:cs="仿宋"/>
          <w:b w:val="0"/>
          <w:bCs w:val="0"/>
          <w:sz w:val="28"/>
          <w:szCs w:val="28"/>
          <w:highlight w:val="none"/>
        </w:rPr>
        <w:t>20</w:t>
      </w:r>
      <w:r>
        <w:rPr>
          <w:rFonts w:hint="eastAsia" w:ascii="仿宋" w:hAnsi="仿宋" w:eastAsia="仿宋" w:cs="仿宋"/>
          <w:b w:val="0"/>
          <w:bCs w:val="0"/>
          <w:sz w:val="28"/>
          <w:szCs w:val="28"/>
          <w:highlight w:val="none"/>
          <w:lang w:val="en-US" w:eastAsia="zh-CN"/>
        </w:rPr>
        <w:t>21</w:t>
      </w:r>
      <w:r>
        <w:rPr>
          <w:rFonts w:hint="eastAsia" w:ascii="仿宋" w:hAnsi="仿宋" w:eastAsia="仿宋" w:cs="仿宋"/>
          <w:b w:val="0"/>
          <w:bCs w:val="0"/>
          <w:sz w:val="28"/>
          <w:szCs w:val="28"/>
          <w:highlight w:val="none"/>
        </w:rPr>
        <w:t>年度整体支出绩效评价指标评分体系。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ascii="仿宋" w:hAnsi="仿宋" w:eastAsia="仿宋" w:cs="仿宋"/>
          <w:b/>
          <w:bCs/>
          <w:sz w:val="28"/>
          <w:szCs w:val="28"/>
          <w:highlight w:val="none"/>
        </w:rPr>
      </w:pPr>
      <w:bookmarkStart w:id="160" w:name="_Toc9340_WPSOffice_Level2"/>
      <w:bookmarkStart w:id="161" w:name="_Toc11719_WPSOffice_Level2"/>
      <w:bookmarkStart w:id="162" w:name="_Toc8936_WPSOffice_Level2"/>
      <w:bookmarkStart w:id="163" w:name="_Toc31131"/>
      <w:bookmarkStart w:id="164" w:name="_Toc27129"/>
      <w:bookmarkStart w:id="165" w:name="_Toc16396_WPSOffice_Level2"/>
      <w:bookmarkStart w:id="166" w:name="_Toc14901_WPSOffice_Level2"/>
      <w:r>
        <w:rPr>
          <w:rFonts w:hint="eastAsia" w:ascii="仿宋" w:hAnsi="仿宋" w:eastAsia="仿宋" w:cs="仿宋"/>
          <w:b/>
          <w:bCs/>
          <w:sz w:val="28"/>
          <w:szCs w:val="28"/>
          <w:highlight w:val="none"/>
          <w:lang w:val="en-US" w:eastAsia="zh-CN"/>
        </w:rPr>
        <w:t>（二）</w:t>
      </w:r>
      <w:r>
        <w:rPr>
          <w:rFonts w:hint="eastAsia" w:ascii="仿宋" w:hAnsi="仿宋" w:eastAsia="仿宋" w:cs="仿宋"/>
          <w:b/>
          <w:bCs/>
          <w:sz w:val="28"/>
          <w:szCs w:val="28"/>
          <w:highlight w:val="none"/>
        </w:rPr>
        <w:t>评价指标设置</w:t>
      </w:r>
      <w:bookmarkEnd w:id="160"/>
      <w:bookmarkEnd w:id="161"/>
      <w:bookmarkEnd w:id="162"/>
      <w:bookmarkEnd w:id="163"/>
      <w:bookmarkEnd w:id="164"/>
      <w:bookmarkEnd w:id="165"/>
      <w:bookmarkEnd w:id="166"/>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ascii="仿宋" w:hAnsi="仿宋" w:eastAsia="仿宋" w:cs="仿宋"/>
          <w:bCs/>
          <w:sz w:val="28"/>
          <w:szCs w:val="28"/>
          <w:highlight w:val="none"/>
        </w:rPr>
      </w:pPr>
      <w:r>
        <w:rPr>
          <w:rFonts w:hint="eastAsia" w:ascii="仿宋" w:hAnsi="仿宋" w:eastAsia="仿宋" w:cs="仿宋"/>
          <w:bCs/>
          <w:sz w:val="28"/>
          <w:szCs w:val="28"/>
          <w:highlight w:val="none"/>
          <w:lang w:eastAsia="zh-CN"/>
        </w:rPr>
        <w:t>我们结合永济市公安局20</w:t>
      </w:r>
      <w:r>
        <w:rPr>
          <w:rFonts w:hint="eastAsia" w:ascii="仿宋" w:hAnsi="仿宋" w:eastAsia="仿宋" w:cs="仿宋"/>
          <w:bCs/>
          <w:sz w:val="28"/>
          <w:szCs w:val="28"/>
          <w:highlight w:val="none"/>
          <w:lang w:val="en-US" w:eastAsia="zh-CN"/>
        </w:rPr>
        <w:t>21</w:t>
      </w:r>
      <w:r>
        <w:rPr>
          <w:rFonts w:hint="eastAsia" w:ascii="仿宋" w:hAnsi="仿宋" w:eastAsia="仿宋" w:cs="仿宋"/>
          <w:bCs/>
          <w:sz w:val="28"/>
          <w:szCs w:val="28"/>
          <w:highlight w:val="none"/>
          <w:lang w:eastAsia="zh-CN"/>
        </w:rPr>
        <w:t>年度整体支出的特点，在设置</w:t>
      </w:r>
      <w:r>
        <w:rPr>
          <w:rFonts w:hint="eastAsia" w:ascii="仿宋" w:hAnsi="仿宋" w:eastAsia="仿宋" w:cs="仿宋"/>
          <w:bCs/>
          <w:sz w:val="28"/>
          <w:szCs w:val="28"/>
          <w:highlight w:val="none"/>
        </w:rPr>
        <w:t>评价指标时进行了如下考虑：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highlight w:val="none"/>
        </w:rPr>
      </w:pPr>
      <w:bookmarkStart w:id="167" w:name="_Toc31629_WPSOffice_Level3"/>
      <w:r>
        <w:rPr>
          <w:rFonts w:hint="eastAsia" w:ascii="仿宋" w:hAnsi="仿宋" w:eastAsia="仿宋" w:cs="仿宋"/>
          <w:b w:val="0"/>
          <w:bCs w:val="0"/>
          <w:sz w:val="28"/>
          <w:szCs w:val="28"/>
          <w:highlight w:val="none"/>
          <w:lang w:val="en-US" w:eastAsia="zh-CN"/>
        </w:rPr>
        <w:t>1.履职效能</w:t>
      </w:r>
      <w:r>
        <w:rPr>
          <w:rFonts w:hint="eastAsia" w:ascii="仿宋" w:hAnsi="仿宋" w:eastAsia="仿宋" w:cs="仿宋"/>
          <w:b w:val="0"/>
          <w:bCs w:val="0"/>
          <w:sz w:val="28"/>
          <w:szCs w:val="28"/>
          <w:highlight w:val="none"/>
        </w:rPr>
        <w:t>类指标设置</w:t>
      </w:r>
      <w:bookmarkEnd w:id="16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sz w:val="28"/>
          <w:szCs w:val="28"/>
          <w:highlight w:val="none"/>
        </w:rPr>
      </w:pPr>
      <w:bookmarkStart w:id="168" w:name="_Toc6949_WPSOffice_Level3"/>
      <w:r>
        <w:rPr>
          <w:rFonts w:hint="eastAsia" w:ascii="仿宋" w:hAnsi="仿宋" w:eastAsia="仿宋" w:cs="仿宋"/>
          <w:bCs/>
          <w:sz w:val="28"/>
          <w:szCs w:val="28"/>
          <w:highlight w:val="none"/>
          <w:lang w:eastAsia="zh-CN"/>
        </w:rPr>
        <w:t>永济市公安局20</w:t>
      </w:r>
      <w:r>
        <w:rPr>
          <w:rFonts w:hint="eastAsia" w:ascii="仿宋" w:hAnsi="仿宋" w:eastAsia="仿宋" w:cs="仿宋"/>
          <w:bCs/>
          <w:sz w:val="28"/>
          <w:szCs w:val="28"/>
          <w:highlight w:val="none"/>
          <w:lang w:val="en-US" w:eastAsia="zh-CN"/>
        </w:rPr>
        <w:t>21</w:t>
      </w:r>
      <w:r>
        <w:rPr>
          <w:rFonts w:hint="eastAsia" w:ascii="仿宋" w:hAnsi="仿宋" w:eastAsia="仿宋" w:cs="仿宋"/>
          <w:bCs/>
          <w:sz w:val="28"/>
          <w:szCs w:val="28"/>
          <w:highlight w:val="none"/>
          <w:lang w:eastAsia="zh-CN"/>
        </w:rPr>
        <w:t>年度部门整体支出在</w:t>
      </w:r>
      <w:r>
        <w:rPr>
          <w:rFonts w:hint="eastAsia" w:ascii="仿宋" w:hAnsi="仿宋" w:eastAsia="仿宋" w:cs="仿宋"/>
          <w:b w:val="0"/>
          <w:bCs w:val="0"/>
          <w:sz w:val="28"/>
          <w:szCs w:val="28"/>
          <w:highlight w:val="none"/>
          <w:lang w:val="en-US" w:eastAsia="zh-CN"/>
        </w:rPr>
        <w:t>履职效能</w:t>
      </w:r>
      <w:r>
        <w:rPr>
          <w:rFonts w:hint="eastAsia" w:ascii="仿宋" w:hAnsi="仿宋" w:eastAsia="仿宋" w:cs="仿宋"/>
          <w:b w:val="0"/>
          <w:bCs w:val="0"/>
          <w:sz w:val="28"/>
          <w:szCs w:val="28"/>
          <w:highlight w:val="none"/>
        </w:rPr>
        <w:t>类</w:t>
      </w:r>
      <w:r>
        <w:rPr>
          <w:rFonts w:hint="eastAsia" w:ascii="仿宋" w:hAnsi="仿宋" w:eastAsia="仿宋" w:cs="仿宋"/>
          <w:bCs/>
          <w:sz w:val="28"/>
          <w:szCs w:val="28"/>
          <w:highlight w:val="none"/>
          <w:lang w:eastAsia="zh-CN"/>
        </w:rPr>
        <w:t>指标的设置，主要</w:t>
      </w:r>
      <w:r>
        <w:rPr>
          <w:rFonts w:hint="eastAsia" w:ascii="仿宋" w:hAnsi="仿宋" w:eastAsia="仿宋" w:cs="仿宋"/>
          <w:bCs/>
          <w:sz w:val="28"/>
          <w:szCs w:val="28"/>
          <w:highlight w:val="none"/>
          <w:lang w:val="en-US" w:eastAsia="zh-CN"/>
        </w:rPr>
        <w:t>依据永济市</w:t>
      </w:r>
      <w:r>
        <w:rPr>
          <w:rFonts w:hint="eastAsia" w:ascii="仿宋" w:hAnsi="仿宋" w:eastAsia="仿宋" w:cs="仿宋"/>
          <w:bCs/>
          <w:sz w:val="28"/>
          <w:szCs w:val="28"/>
          <w:highlight w:val="none"/>
          <w:lang w:eastAsia="zh-CN"/>
        </w:rPr>
        <w:t>财政局发布的《</w:t>
      </w:r>
      <w:r>
        <w:rPr>
          <w:rFonts w:hint="eastAsia" w:ascii="仿宋" w:hAnsi="仿宋" w:eastAsia="仿宋" w:cs="仿宋"/>
          <w:bCs/>
          <w:sz w:val="28"/>
          <w:szCs w:val="28"/>
          <w:highlight w:val="none"/>
          <w:lang w:val="en-US" w:eastAsia="zh-CN"/>
        </w:rPr>
        <w:t>2022年重点绩效评价实施方案</w:t>
      </w:r>
      <w:r>
        <w:rPr>
          <w:rFonts w:hint="eastAsia" w:ascii="仿宋" w:hAnsi="仿宋" w:eastAsia="仿宋" w:cs="仿宋"/>
          <w:bCs/>
          <w:sz w:val="28"/>
          <w:szCs w:val="28"/>
          <w:highlight w:val="none"/>
          <w:lang w:eastAsia="zh-CN"/>
        </w:rPr>
        <w:t>》的</w:t>
      </w:r>
      <w:r>
        <w:rPr>
          <w:rFonts w:hint="eastAsia" w:ascii="仿宋" w:hAnsi="仿宋" w:eastAsia="仿宋" w:cs="仿宋"/>
          <w:bCs/>
          <w:sz w:val="28"/>
          <w:szCs w:val="28"/>
          <w:highlight w:val="none"/>
          <w:lang w:val="en-US" w:eastAsia="zh-CN"/>
        </w:rPr>
        <w:t>要求</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根据</w:t>
      </w:r>
      <w:r>
        <w:rPr>
          <w:rFonts w:hint="eastAsia" w:ascii="仿宋" w:hAnsi="仿宋" w:eastAsia="仿宋" w:cs="仿宋"/>
          <w:bCs/>
          <w:sz w:val="28"/>
          <w:szCs w:val="28"/>
          <w:highlight w:val="none"/>
          <w:lang w:eastAsia="zh-CN"/>
        </w:rPr>
        <w:t>整体支出绩效评价的特点对</w:t>
      </w:r>
      <w:r>
        <w:rPr>
          <w:rFonts w:hint="eastAsia" w:ascii="仿宋" w:hAnsi="仿宋" w:eastAsia="仿宋" w:cs="仿宋"/>
          <w:b w:val="0"/>
          <w:bCs w:val="0"/>
          <w:sz w:val="28"/>
          <w:szCs w:val="28"/>
          <w:highlight w:val="none"/>
          <w:lang w:val="en-US" w:eastAsia="zh-CN"/>
        </w:rPr>
        <w:t>履职效能</w:t>
      </w:r>
      <w:r>
        <w:rPr>
          <w:rFonts w:hint="eastAsia" w:ascii="仿宋" w:hAnsi="仿宋" w:eastAsia="仿宋" w:cs="仿宋"/>
          <w:b w:val="0"/>
          <w:bCs w:val="0"/>
          <w:sz w:val="28"/>
          <w:szCs w:val="28"/>
          <w:highlight w:val="none"/>
        </w:rPr>
        <w:t>类</w:t>
      </w:r>
      <w:r>
        <w:rPr>
          <w:rFonts w:hint="eastAsia" w:ascii="仿宋" w:hAnsi="仿宋" w:eastAsia="仿宋" w:cs="仿宋"/>
          <w:bCs/>
          <w:sz w:val="28"/>
          <w:szCs w:val="28"/>
          <w:highlight w:val="none"/>
          <w:lang w:eastAsia="zh-CN"/>
        </w:rPr>
        <w:t>指标的具体评价内容进行了编写。</w:t>
      </w:r>
      <w:r>
        <w:rPr>
          <w:rFonts w:hint="eastAsia" w:ascii="仿宋" w:hAnsi="仿宋" w:eastAsia="仿宋" w:cs="仿宋"/>
          <w:b w:val="0"/>
          <w:bCs w:val="0"/>
          <w:sz w:val="28"/>
          <w:szCs w:val="28"/>
          <w:highlight w:val="none"/>
          <w:lang w:val="en-US" w:eastAsia="zh-CN"/>
        </w:rPr>
        <w:t>履职效能</w:t>
      </w:r>
      <w:r>
        <w:rPr>
          <w:rFonts w:hint="eastAsia" w:ascii="仿宋" w:hAnsi="仿宋" w:eastAsia="仿宋" w:cs="仿宋"/>
          <w:bCs/>
          <w:sz w:val="28"/>
          <w:szCs w:val="28"/>
          <w:highlight w:val="none"/>
          <w:lang w:eastAsia="zh-CN"/>
        </w:rPr>
        <w:t>从</w:t>
      </w:r>
      <w:r>
        <w:rPr>
          <w:rFonts w:hint="eastAsia" w:ascii="仿宋" w:hAnsi="仿宋" w:eastAsia="仿宋" w:cs="仿宋"/>
          <w:bCs/>
          <w:sz w:val="28"/>
          <w:szCs w:val="28"/>
          <w:highlight w:val="none"/>
          <w:lang w:val="en-US" w:eastAsia="zh-CN"/>
        </w:rPr>
        <w:t>工作</w:t>
      </w:r>
      <w:r>
        <w:rPr>
          <w:rFonts w:hint="eastAsia" w:ascii="仿宋" w:hAnsi="仿宋" w:eastAsia="仿宋" w:cs="仿宋"/>
          <w:bCs/>
          <w:sz w:val="28"/>
          <w:szCs w:val="28"/>
          <w:highlight w:val="none"/>
          <w:lang w:eastAsia="zh-CN"/>
        </w:rPr>
        <w:t>目标、</w:t>
      </w:r>
      <w:r>
        <w:rPr>
          <w:rFonts w:hint="eastAsia" w:ascii="仿宋" w:hAnsi="仿宋" w:eastAsia="仿宋" w:cs="仿宋"/>
          <w:bCs/>
          <w:sz w:val="28"/>
          <w:szCs w:val="28"/>
          <w:highlight w:val="none"/>
          <w:lang w:val="en-US" w:eastAsia="zh-CN"/>
        </w:rPr>
        <w:t>核心业务、基础管理三</w:t>
      </w:r>
      <w:r>
        <w:rPr>
          <w:rFonts w:hint="eastAsia" w:ascii="仿宋" w:hAnsi="仿宋" w:eastAsia="仿宋" w:cs="仿宋"/>
          <w:bCs/>
          <w:sz w:val="28"/>
          <w:szCs w:val="28"/>
          <w:highlight w:val="none"/>
          <w:lang w:eastAsia="zh-CN"/>
        </w:rPr>
        <w:t>方面进行评价，设置</w:t>
      </w:r>
      <w:r>
        <w:rPr>
          <w:rFonts w:hint="eastAsia" w:ascii="仿宋" w:hAnsi="仿宋" w:eastAsia="仿宋" w:cs="仿宋"/>
          <w:bCs/>
          <w:sz w:val="28"/>
          <w:szCs w:val="28"/>
          <w:highlight w:val="none"/>
          <w:lang w:val="en-US" w:eastAsia="zh-CN"/>
        </w:rPr>
        <w:t>3</w:t>
      </w:r>
      <w:r>
        <w:rPr>
          <w:rFonts w:hint="eastAsia" w:ascii="仿宋" w:hAnsi="仿宋" w:eastAsia="仿宋" w:cs="仿宋"/>
          <w:bCs/>
          <w:sz w:val="28"/>
          <w:szCs w:val="28"/>
          <w:highlight w:val="none"/>
          <w:lang w:eastAsia="zh-CN"/>
        </w:rPr>
        <w:t>个二级指标、</w:t>
      </w:r>
      <w:r>
        <w:rPr>
          <w:rFonts w:hint="eastAsia" w:ascii="仿宋" w:hAnsi="仿宋" w:eastAsia="仿宋" w:cs="仿宋"/>
          <w:bCs/>
          <w:sz w:val="28"/>
          <w:szCs w:val="28"/>
          <w:highlight w:val="none"/>
          <w:lang w:val="en-US" w:eastAsia="zh-CN"/>
        </w:rPr>
        <w:t>14</w:t>
      </w:r>
      <w:r>
        <w:rPr>
          <w:rFonts w:hint="eastAsia" w:ascii="仿宋" w:hAnsi="仿宋" w:eastAsia="仿宋" w:cs="仿宋"/>
          <w:bCs/>
          <w:sz w:val="28"/>
          <w:szCs w:val="28"/>
          <w:highlight w:val="none"/>
          <w:lang w:eastAsia="zh-CN"/>
        </w:rPr>
        <w:t>个三级指标。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rPr>
        <w:t>管理效率类指标设置</w:t>
      </w:r>
      <w:bookmarkEnd w:id="168"/>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管理效率类指标主要着眼于预算管理、财务管理、资产管理及其他管理四大方面，设置预算管理、财务管理、资产管理及其他管理四个二级指标，设置预算编制管理、预算完成率、预算调整率、结转结余变动率、公用经费控制率、“三公经费”控制率、预算监督管理、预算绩效管理、财务管理制度健全性、资金使用合规性、会计核算规范性、资产管理规范性、固定资产利用率、政府采购管理、预决算信息公开15个三级指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b w:val="0"/>
          <w:bCs w:val="0"/>
          <w:sz w:val="28"/>
          <w:szCs w:val="28"/>
          <w:highlight w:val="none"/>
        </w:rPr>
      </w:pPr>
      <w:bookmarkStart w:id="169" w:name="_Toc22132_WPSOffice_Level3"/>
      <w:r>
        <w:rPr>
          <w:rFonts w:hint="eastAsia" w:ascii="仿宋" w:hAnsi="仿宋" w:eastAsia="仿宋" w:cs="仿宋"/>
          <w:b w:val="0"/>
          <w:bCs w:val="0"/>
          <w:sz w:val="28"/>
          <w:szCs w:val="28"/>
          <w:highlight w:val="none"/>
          <w:lang w:val="en-US" w:eastAsia="zh-CN"/>
        </w:rPr>
        <w:t>3.</w:t>
      </w:r>
      <w:r>
        <w:rPr>
          <w:rFonts w:hint="eastAsia" w:ascii="仿宋" w:hAnsi="仿宋" w:eastAsia="仿宋" w:cs="仿宋"/>
          <w:b w:val="0"/>
          <w:bCs w:val="0"/>
          <w:sz w:val="28"/>
          <w:szCs w:val="28"/>
          <w:highlight w:val="none"/>
        </w:rPr>
        <w:t>社会效应类指标设置</w:t>
      </w:r>
      <w:bookmarkEnd w:id="16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永济市公安局2</w:t>
      </w:r>
      <w:r>
        <w:rPr>
          <w:rFonts w:hint="eastAsia" w:ascii="仿宋" w:hAnsi="仿宋" w:eastAsia="仿宋" w:cs="仿宋"/>
          <w:sz w:val="28"/>
          <w:szCs w:val="28"/>
          <w:highlight w:val="none"/>
          <w:lang w:val="en-US" w:eastAsia="zh-CN"/>
        </w:rPr>
        <w:t>021</w:t>
      </w:r>
      <w:r>
        <w:rPr>
          <w:rFonts w:hint="eastAsia" w:ascii="仿宋" w:hAnsi="仿宋" w:eastAsia="仿宋" w:cs="仿宋"/>
          <w:sz w:val="28"/>
          <w:szCs w:val="28"/>
          <w:highlight w:val="none"/>
          <w:lang w:eastAsia="zh-CN"/>
        </w:rPr>
        <w:t>年度部门整体支出社会效应主要为基本职责履行产生的效益，均为社会效益</w:t>
      </w:r>
      <w:r>
        <w:rPr>
          <w:rFonts w:hint="eastAsia" w:ascii="仿宋" w:hAnsi="仿宋" w:eastAsia="仿宋" w:cs="仿宋"/>
          <w:sz w:val="28"/>
          <w:szCs w:val="28"/>
          <w:highlight w:val="none"/>
          <w:lang w:val="en-US" w:eastAsia="zh-CN"/>
        </w:rPr>
        <w:t>，从社会影响和社会满意两个方面进行评价，利用调查问卷调查服务对象满意度及群众的安全感。共设置2个二级指标3个三级指标。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sz w:val="28"/>
          <w:szCs w:val="28"/>
          <w:highlight w:val="none"/>
          <w:lang w:val="en-US" w:eastAsia="zh-CN"/>
        </w:rPr>
        <w:t>4.可持续性</w:t>
      </w:r>
      <w:r>
        <w:rPr>
          <w:rFonts w:hint="eastAsia" w:ascii="仿宋" w:hAnsi="仿宋" w:eastAsia="仿宋" w:cs="仿宋"/>
          <w:b w:val="0"/>
          <w:bCs w:val="0"/>
          <w:sz w:val="28"/>
          <w:szCs w:val="28"/>
          <w:highlight w:val="none"/>
        </w:rPr>
        <w:t>类指标设置</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仿宋" w:hAnsi="仿宋" w:eastAsia="仿宋" w:cs="仿宋"/>
          <w:sz w:val="28"/>
          <w:szCs w:val="28"/>
          <w:highlight w:val="none"/>
          <w:lang w:val="en-US" w:eastAsia="zh-CN"/>
        </w:rPr>
        <w:t>可持续性</w:t>
      </w:r>
      <w:r>
        <w:rPr>
          <w:rFonts w:hint="eastAsia" w:ascii="仿宋" w:hAnsi="仿宋" w:eastAsia="仿宋" w:cs="仿宋"/>
          <w:bCs/>
          <w:kern w:val="2"/>
          <w:sz w:val="28"/>
          <w:szCs w:val="28"/>
          <w:highlight w:val="none"/>
          <w:lang w:val="en-US" w:eastAsia="zh-CN" w:bidi="ar-SA"/>
        </w:rPr>
        <w:t>类指标主要着眼于体制机制改革及干部队伍建设两大方面，设置体制机制改革和人才队伍建设2个三级指标。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具体评价指标设置、权重、指标解释、评分依据、评分标准见附件1。</w:t>
      </w:r>
      <w:bookmarkStart w:id="170" w:name="_Toc15428_WPSOffice_Level2"/>
      <w:bookmarkStart w:id="171" w:name="_Toc17239_WPSOffice_Level2"/>
      <w:bookmarkStart w:id="172" w:name="_Toc21590_WPSOffice_Level2"/>
    </w:p>
    <w:bookmarkEnd w:id="170"/>
    <w:bookmarkEnd w:id="171"/>
    <w:bookmarkEnd w:id="172"/>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textAlignment w:val="auto"/>
        <w:outlineLvl w:val="0"/>
        <w:rPr>
          <w:rFonts w:hint="eastAsia" w:ascii="仿宋" w:hAnsi="仿宋" w:eastAsia="仿宋"/>
          <w:b/>
          <w:sz w:val="28"/>
          <w:szCs w:val="28"/>
          <w:highlight w:val="none"/>
        </w:rPr>
      </w:pPr>
      <w:bookmarkStart w:id="173" w:name="_Toc24774"/>
      <w:bookmarkStart w:id="174" w:name="_Toc8277"/>
      <w:bookmarkStart w:id="175" w:name="_Toc2248_WPSOffice_Level1"/>
      <w:bookmarkStart w:id="176" w:name="_Toc4672_WPSOffice_Level1"/>
      <w:r>
        <w:rPr>
          <w:rFonts w:hint="eastAsia" w:ascii="仿宋" w:hAnsi="仿宋" w:eastAsia="仿宋"/>
          <w:b/>
          <w:sz w:val="28"/>
          <w:szCs w:val="28"/>
          <w:highlight w:val="none"/>
          <w:lang w:val="en-US" w:eastAsia="zh-CN"/>
        </w:rPr>
        <w:t>四、评价结论及</w:t>
      </w:r>
      <w:r>
        <w:rPr>
          <w:rFonts w:hint="eastAsia" w:ascii="仿宋" w:hAnsi="仿宋" w:eastAsia="仿宋"/>
          <w:b/>
          <w:sz w:val="28"/>
          <w:szCs w:val="28"/>
          <w:highlight w:val="none"/>
        </w:rPr>
        <w:t>绩效评价指标分析</w:t>
      </w:r>
      <w:bookmarkEnd w:id="173"/>
      <w:bookmarkEnd w:id="174"/>
    </w:p>
    <w:p>
      <w:pPr>
        <w:pStyle w:val="6"/>
        <w:keepNext w:val="0"/>
        <w:keepLines w:val="0"/>
        <w:pageBreakBefore w:val="0"/>
        <w:widowControl w:val="0"/>
        <w:kinsoku/>
        <w:wordWrap/>
        <w:overflowPunct/>
        <w:topLinePunct w:val="0"/>
        <w:autoSpaceDE/>
        <w:autoSpaceDN/>
        <w:bidi w:val="0"/>
        <w:adjustRightInd w:val="0"/>
        <w:snapToGrid w:val="0"/>
        <w:spacing w:before="0" w:after="0" w:line="360" w:lineRule="auto"/>
        <w:ind w:firstLine="562" w:firstLineChars="200"/>
        <w:textAlignment w:val="auto"/>
        <w:rPr>
          <w:rStyle w:val="52"/>
          <w:rFonts w:hint="eastAsia" w:ascii="仿宋" w:hAnsi="仿宋" w:eastAsia="仿宋" w:cs="仿宋"/>
          <w:b/>
          <w:sz w:val="28"/>
          <w:szCs w:val="28"/>
        </w:rPr>
      </w:pPr>
      <w:bookmarkStart w:id="177" w:name="_Toc20625"/>
      <w:bookmarkStart w:id="178" w:name="_Toc13597"/>
      <w:r>
        <w:rPr>
          <w:rFonts w:hint="eastAsia" w:ascii="仿宋" w:hAnsi="仿宋" w:eastAsia="仿宋" w:cs="仿宋"/>
          <w:b/>
          <w:bCs w:val="0"/>
          <w:sz w:val="28"/>
          <w:szCs w:val="28"/>
        </w:rPr>
        <w:t>(一) 评价结论</w:t>
      </w:r>
      <w:bookmarkEnd w:id="177"/>
      <w:bookmarkEnd w:id="17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绩效评价结果采用综合评分定级的方法，总分值为100分。绩效评级分“优”、“良”、“中”、“差”。最终绩效评价结果按照综合评分分级：综合评分90-100分的为“优”，80-89分的为“良”，60-79分的为“中”，59分及以下的为“差”。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highlight w:val="none"/>
        </w:rPr>
      </w:pPr>
      <w:r>
        <w:rPr>
          <w:rFonts w:hint="eastAsia" w:ascii="仿宋" w:hAnsi="仿宋" w:eastAsia="仿宋"/>
          <w:color w:val="000000"/>
          <w:sz w:val="28"/>
          <w:szCs w:val="28"/>
        </w:rPr>
        <w:t>项目组按照本项目绩效评价工作方案确定的绩效评价指标、评价标准和评价方法，在对评价对象的绩效情况进行定量和定性分析的基础上，</w:t>
      </w:r>
      <w:r>
        <w:rPr>
          <w:rFonts w:hint="eastAsia" w:ascii="仿宋" w:hAnsi="仿宋" w:eastAsia="仿宋"/>
          <w:color w:val="000000"/>
          <w:sz w:val="28"/>
          <w:szCs w:val="28"/>
          <w:highlight w:val="none"/>
        </w:rPr>
        <w:t>经综合评价，</w:t>
      </w:r>
      <w:r>
        <w:rPr>
          <w:rFonts w:hint="eastAsia" w:ascii="仿宋" w:hAnsi="仿宋" w:eastAsia="仿宋"/>
          <w:sz w:val="28"/>
          <w:szCs w:val="28"/>
          <w:highlight w:val="none"/>
        </w:rPr>
        <w:t>本项目得分为</w:t>
      </w:r>
      <w:r>
        <w:rPr>
          <w:rFonts w:hint="eastAsia" w:ascii="仿宋" w:hAnsi="仿宋" w:eastAsia="仿宋"/>
          <w:sz w:val="28"/>
          <w:szCs w:val="28"/>
          <w:highlight w:val="none"/>
          <w:lang w:val="en-US" w:eastAsia="zh-CN"/>
        </w:rPr>
        <w:t>87.20</w:t>
      </w:r>
      <w:r>
        <w:rPr>
          <w:rFonts w:hint="eastAsia" w:ascii="仿宋" w:hAnsi="仿宋" w:eastAsia="仿宋"/>
          <w:sz w:val="28"/>
          <w:szCs w:val="28"/>
          <w:highlight w:val="none"/>
        </w:rPr>
        <w:t>分，绩效评价等级为良。</w:t>
      </w:r>
      <w:r>
        <w:rPr>
          <w:rFonts w:hint="eastAsia" w:ascii="仿宋" w:hAnsi="仿宋" w:eastAsia="仿宋"/>
          <w:color w:val="000000"/>
          <w:sz w:val="28"/>
          <w:szCs w:val="28"/>
          <w:highlight w:val="none"/>
        </w:rPr>
        <w:t>其中：</w:t>
      </w:r>
      <w:r>
        <w:rPr>
          <w:rFonts w:hint="eastAsia" w:ascii="仿宋" w:hAnsi="仿宋" w:eastAsia="仿宋"/>
          <w:color w:val="000000"/>
          <w:sz w:val="28"/>
          <w:szCs w:val="28"/>
          <w:highlight w:val="none"/>
          <w:lang w:val="en-US" w:eastAsia="zh-CN"/>
        </w:rPr>
        <w:t>履职效能</w:t>
      </w:r>
      <w:r>
        <w:rPr>
          <w:rFonts w:hint="eastAsia" w:ascii="仿宋" w:hAnsi="仿宋" w:eastAsia="仿宋"/>
          <w:color w:val="000000"/>
          <w:sz w:val="28"/>
          <w:szCs w:val="28"/>
          <w:highlight w:val="none"/>
        </w:rPr>
        <w:t>类指标权重为</w:t>
      </w:r>
      <w:r>
        <w:rPr>
          <w:rFonts w:hint="eastAsia" w:ascii="仿宋" w:hAnsi="仿宋" w:eastAsia="仿宋"/>
          <w:color w:val="000000"/>
          <w:sz w:val="28"/>
          <w:szCs w:val="28"/>
          <w:highlight w:val="none"/>
          <w:lang w:val="en-US" w:eastAsia="zh-CN"/>
        </w:rPr>
        <w:t>40</w:t>
      </w:r>
      <w:r>
        <w:rPr>
          <w:rFonts w:hint="eastAsia" w:ascii="仿宋" w:hAnsi="仿宋" w:eastAsia="仿宋"/>
          <w:color w:val="000000"/>
          <w:sz w:val="28"/>
          <w:szCs w:val="28"/>
          <w:highlight w:val="none"/>
        </w:rPr>
        <w:t>分，得分</w:t>
      </w:r>
      <w:r>
        <w:rPr>
          <w:rFonts w:hint="eastAsia" w:ascii="仿宋" w:hAnsi="仿宋" w:eastAsia="仿宋"/>
          <w:color w:val="000000"/>
          <w:sz w:val="28"/>
          <w:szCs w:val="28"/>
          <w:highlight w:val="none"/>
          <w:lang w:val="en-US" w:eastAsia="zh-CN"/>
        </w:rPr>
        <w:t>35.40</w:t>
      </w:r>
      <w:r>
        <w:rPr>
          <w:rFonts w:hint="eastAsia" w:ascii="仿宋" w:hAnsi="仿宋" w:eastAsia="仿宋"/>
          <w:color w:val="000000"/>
          <w:sz w:val="28"/>
          <w:szCs w:val="28"/>
          <w:highlight w:val="none"/>
        </w:rPr>
        <w:t>分，得分率为</w:t>
      </w:r>
      <w:r>
        <w:rPr>
          <w:rFonts w:hint="eastAsia" w:ascii="仿宋" w:hAnsi="仿宋" w:eastAsia="仿宋"/>
          <w:color w:val="000000"/>
          <w:sz w:val="28"/>
          <w:szCs w:val="28"/>
          <w:highlight w:val="none"/>
          <w:lang w:val="en-US" w:eastAsia="zh-CN"/>
        </w:rPr>
        <w:t>88.50</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管理效率</w:t>
      </w:r>
      <w:r>
        <w:rPr>
          <w:rFonts w:hint="eastAsia" w:ascii="仿宋" w:hAnsi="仿宋" w:eastAsia="仿宋"/>
          <w:color w:val="000000"/>
          <w:sz w:val="28"/>
          <w:szCs w:val="28"/>
          <w:highlight w:val="none"/>
        </w:rPr>
        <w:t>类指标权重为</w:t>
      </w:r>
      <w:r>
        <w:rPr>
          <w:rFonts w:hint="eastAsia" w:ascii="仿宋" w:hAnsi="仿宋" w:eastAsia="仿宋"/>
          <w:color w:val="000000"/>
          <w:sz w:val="28"/>
          <w:szCs w:val="28"/>
          <w:highlight w:val="none"/>
          <w:lang w:val="en-US" w:eastAsia="zh-CN"/>
        </w:rPr>
        <w:t>30</w:t>
      </w:r>
      <w:r>
        <w:rPr>
          <w:rFonts w:hint="eastAsia" w:ascii="仿宋" w:hAnsi="仿宋" w:eastAsia="仿宋"/>
          <w:color w:val="000000"/>
          <w:sz w:val="28"/>
          <w:szCs w:val="28"/>
          <w:highlight w:val="none"/>
        </w:rPr>
        <w:t>分，得分为</w:t>
      </w:r>
      <w:r>
        <w:rPr>
          <w:rFonts w:hint="eastAsia" w:ascii="仿宋" w:hAnsi="仿宋" w:eastAsia="仿宋"/>
          <w:color w:val="000000"/>
          <w:sz w:val="28"/>
          <w:szCs w:val="28"/>
          <w:highlight w:val="none"/>
          <w:lang w:val="en-US" w:eastAsia="zh-CN"/>
        </w:rPr>
        <w:t>25.50</w:t>
      </w:r>
      <w:r>
        <w:rPr>
          <w:rFonts w:hint="eastAsia" w:ascii="仿宋" w:hAnsi="仿宋" w:eastAsia="仿宋"/>
          <w:color w:val="000000"/>
          <w:sz w:val="28"/>
          <w:szCs w:val="28"/>
          <w:highlight w:val="none"/>
        </w:rPr>
        <w:t>分，得分率</w:t>
      </w:r>
      <w:r>
        <w:rPr>
          <w:rFonts w:hint="eastAsia" w:ascii="仿宋" w:hAnsi="仿宋" w:eastAsia="仿宋"/>
          <w:color w:val="000000"/>
          <w:sz w:val="28"/>
          <w:szCs w:val="28"/>
          <w:highlight w:val="none"/>
          <w:lang w:val="en-US" w:eastAsia="zh-CN"/>
        </w:rPr>
        <w:t>85.00</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社会效应</w:t>
      </w:r>
      <w:r>
        <w:rPr>
          <w:rFonts w:hint="eastAsia" w:ascii="仿宋" w:hAnsi="仿宋" w:eastAsia="仿宋"/>
          <w:color w:val="000000"/>
          <w:sz w:val="28"/>
          <w:szCs w:val="28"/>
          <w:highlight w:val="none"/>
        </w:rPr>
        <w:t>类指标权重为</w:t>
      </w:r>
      <w:r>
        <w:rPr>
          <w:rFonts w:hint="eastAsia" w:ascii="仿宋" w:hAnsi="仿宋" w:eastAsia="仿宋"/>
          <w:color w:val="000000"/>
          <w:sz w:val="28"/>
          <w:szCs w:val="28"/>
          <w:highlight w:val="none"/>
          <w:lang w:val="en-US" w:eastAsia="zh-CN"/>
        </w:rPr>
        <w:t>20</w:t>
      </w:r>
      <w:r>
        <w:rPr>
          <w:rFonts w:hint="eastAsia" w:ascii="仿宋" w:hAnsi="仿宋" w:eastAsia="仿宋"/>
          <w:color w:val="000000"/>
          <w:sz w:val="28"/>
          <w:szCs w:val="28"/>
          <w:highlight w:val="none"/>
        </w:rPr>
        <w:t>分，得分为</w:t>
      </w:r>
      <w:r>
        <w:rPr>
          <w:rFonts w:hint="eastAsia" w:ascii="仿宋" w:hAnsi="仿宋" w:eastAsia="仿宋"/>
          <w:color w:val="000000"/>
          <w:sz w:val="28"/>
          <w:szCs w:val="28"/>
          <w:highlight w:val="none"/>
          <w:lang w:val="en-US" w:eastAsia="zh-CN"/>
        </w:rPr>
        <w:t>18.30</w:t>
      </w:r>
      <w:r>
        <w:rPr>
          <w:rFonts w:hint="eastAsia" w:ascii="仿宋" w:hAnsi="仿宋" w:eastAsia="仿宋"/>
          <w:color w:val="000000"/>
          <w:sz w:val="28"/>
          <w:szCs w:val="28"/>
          <w:highlight w:val="none"/>
        </w:rPr>
        <w:t>分，得分率为</w:t>
      </w:r>
      <w:r>
        <w:rPr>
          <w:rFonts w:hint="eastAsia" w:ascii="仿宋" w:hAnsi="仿宋" w:eastAsia="仿宋"/>
          <w:color w:val="000000"/>
          <w:sz w:val="28"/>
          <w:szCs w:val="28"/>
          <w:highlight w:val="none"/>
          <w:lang w:val="en-US" w:eastAsia="zh-CN"/>
        </w:rPr>
        <w:t>91.50</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可持续性</w:t>
      </w:r>
      <w:r>
        <w:rPr>
          <w:rFonts w:hint="eastAsia" w:ascii="仿宋" w:hAnsi="仿宋" w:eastAsia="仿宋"/>
          <w:color w:val="000000"/>
          <w:sz w:val="28"/>
          <w:szCs w:val="28"/>
          <w:highlight w:val="none"/>
        </w:rPr>
        <w:t>类指标权重为</w:t>
      </w:r>
      <w:r>
        <w:rPr>
          <w:rFonts w:hint="eastAsia" w:ascii="仿宋" w:hAnsi="仿宋" w:eastAsia="仿宋"/>
          <w:color w:val="000000"/>
          <w:sz w:val="28"/>
          <w:szCs w:val="28"/>
          <w:highlight w:val="none"/>
          <w:lang w:val="en-US" w:eastAsia="zh-CN"/>
        </w:rPr>
        <w:t>10</w:t>
      </w:r>
      <w:r>
        <w:rPr>
          <w:rFonts w:hint="eastAsia" w:ascii="仿宋" w:hAnsi="仿宋" w:eastAsia="仿宋"/>
          <w:color w:val="000000"/>
          <w:sz w:val="28"/>
          <w:szCs w:val="28"/>
          <w:highlight w:val="none"/>
        </w:rPr>
        <w:t>分，得分为</w:t>
      </w:r>
      <w:r>
        <w:rPr>
          <w:rFonts w:hint="eastAsia" w:ascii="仿宋" w:hAnsi="仿宋" w:eastAsia="仿宋"/>
          <w:color w:val="000000"/>
          <w:sz w:val="28"/>
          <w:szCs w:val="28"/>
          <w:highlight w:val="none"/>
          <w:lang w:val="en-US" w:eastAsia="zh-CN"/>
        </w:rPr>
        <w:t>8</w:t>
      </w:r>
      <w:r>
        <w:rPr>
          <w:rFonts w:hint="eastAsia" w:ascii="仿宋" w:hAnsi="仿宋" w:eastAsia="仿宋"/>
          <w:color w:val="000000"/>
          <w:sz w:val="28"/>
          <w:szCs w:val="28"/>
          <w:highlight w:val="none"/>
        </w:rPr>
        <w:t>分，得分率为</w:t>
      </w:r>
      <w:r>
        <w:rPr>
          <w:rFonts w:hint="eastAsia" w:ascii="仿宋" w:hAnsi="仿宋" w:eastAsia="仿宋"/>
          <w:color w:val="000000"/>
          <w:sz w:val="28"/>
          <w:szCs w:val="28"/>
          <w:highlight w:val="none"/>
          <w:lang w:val="en-US" w:eastAsia="zh-CN"/>
        </w:rPr>
        <w:t>80</w:t>
      </w:r>
      <w:r>
        <w:rPr>
          <w:rFonts w:hint="eastAsia" w:ascii="仿宋" w:hAnsi="仿宋" w:eastAsia="仿宋"/>
          <w:color w:val="000000"/>
          <w:sz w:val="28"/>
          <w:szCs w:val="28"/>
          <w:highlight w:val="none"/>
        </w:rPr>
        <w:t>%。</w:t>
      </w:r>
    </w:p>
    <w:p>
      <w:pPr>
        <w:pStyle w:val="53"/>
        <w:spacing w:line="360" w:lineRule="auto"/>
        <w:rPr>
          <w:rFonts w:hint="eastAsia" w:ascii="仿宋" w:hAnsi="仿宋" w:eastAsia="仿宋" w:cs="仿宋"/>
          <w:szCs w:val="24"/>
        </w:rPr>
      </w:pPr>
      <w:r>
        <w:rPr>
          <w:rFonts w:hint="eastAsia" w:ascii="仿宋" w:hAnsi="仿宋" w:eastAsia="仿宋" w:cs="仿宋"/>
          <w:szCs w:val="24"/>
        </w:rPr>
        <w:t>表3-1 项目绩效评价得分表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575"/>
        <w:gridCol w:w="1455"/>
        <w:gridCol w:w="1395"/>
        <w:gridCol w:w="1533"/>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指标</w:t>
            </w:r>
          </w:p>
        </w:tc>
        <w:tc>
          <w:tcPr>
            <w:tcW w:w="1575"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lang w:eastAsia="zh-CN"/>
              </w:rPr>
            </w:pPr>
            <w:r>
              <w:rPr>
                <w:rFonts w:hint="eastAsia" w:ascii="仿宋" w:hAnsi="仿宋" w:eastAsia="仿宋" w:cs="仿宋"/>
                <w:szCs w:val="24"/>
                <w:highlight w:val="none"/>
              </w:rPr>
              <w:t>A</w:t>
            </w:r>
            <w:r>
              <w:rPr>
                <w:rFonts w:hint="eastAsia" w:ascii="仿宋" w:hAnsi="仿宋" w:eastAsia="仿宋" w:cs="仿宋"/>
                <w:szCs w:val="24"/>
                <w:highlight w:val="none"/>
                <w:lang w:val="en-US" w:eastAsia="zh-CN"/>
              </w:rPr>
              <w:t>履职效能</w:t>
            </w:r>
          </w:p>
        </w:tc>
        <w:tc>
          <w:tcPr>
            <w:tcW w:w="1455"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B</w:t>
            </w:r>
            <w:r>
              <w:rPr>
                <w:rFonts w:hint="eastAsia" w:ascii="仿宋" w:hAnsi="仿宋" w:eastAsia="仿宋" w:cs="仿宋"/>
                <w:szCs w:val="24"/>
                <w:highlight w:val="none"/>
                <w:lang w:val="en-US" w:eastAsia="zh-CN"/>
              </w:rPr>
              <w:t>管理效率</w:t>
            </w:r>
          </w:p>
        </w:tc>
        <w:tc>
          <w:tcPr>
            <w:tcW w:w="1395"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C</w:t>
            </w:r>
            <w:r>
              <w:rPr>
                <w:rFonts w:hint="eastAsia" w:ascii="仿宋" w:hAnsi="仿宋" w:eastAsia="仿宋" w:cs="仿宋"/>
                <w:szCs w:val="24"/>
                <w:highlight w:val="none"/>
                <w:lang w:val="en-US" w:eastAsia="zh-CN"/>
              </w:rPr>
              <w:t>社会效应</w:t>
            </w:r>
          </w:p>
        </w:tc>
        <w:tc>
          <w:tcPr>
            <w:tcW w:w="1533"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D</w:t>
            </w:r>
            <w:r>
              <w:rPr>
                <w:rFonts w:hint="eastAsia" w:ascii="仿宋" w:hAnsi="仿宋" w:eastAsia="仿宋" w:cs="仿宋"/>
                <w:szCs w:val="24"/>
                <w:highlight w:val="none"/>
                <w:lang w:val="en-US" w:eastAsia="zh-CN"/>
              </w:rPr>
              <w:t>可持续性</w:t>
            </w:r>
          </w:p>
        </w:tc>
        <w:tc>
          <w:tcPr>
            <w:tcW w:w="1377" w:type="dxa"/>
            <w:shd w:val="clear" w:color="auto" w:fill="FFFFFF"/>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权重</w:t>
            </w:r>
          </w:p>
        </w:tc>
        <w:tc>
          <w:tcPr>
            <w:tcW w:w="157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40</w:t>
            </w:r>
          </w:p>
        </w:tc>
        <w:tc>
          <w:tcPr>
            <w:tcW w:w="145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30</w:t>
            </w:r>
          </w:p>
        </w:tc>
        <w:tc>
          <w:tcPr>
            <w:tcW w:w="139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20</w:t>
            </w:r>
          </w:p>
        </w:tc>
        <w:tc>
          <w:tcPr>
            <w:tcW w:w="1533"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10</w:t>
            </w:r>
          </w:p>
        </w:tc>
        <w:tc>
          <w:tcPr>
            <w:tcW w:w="1377" w:type="dxa"/>
            <w:noWrap w:val="0"/>
            <w:vAlign w:val="center"/>
          </w:tcPr>
          <w:p>
            <w:pPr>
              <w:pStyle w:val="53"/>
              <w:adjustRightInd w:val="0"/>
              <w:snapToGrid w:val="0"/>
              <w:spacing w:before="0" w:after="0"/>
              <w:rPr>
                <w:rFonts w:hint="eastAsia" w:ascii="仿宋" w:hAnsi="仿宋" w:eastAsia="仿宋" w:cs="仿宋"/>
                <w:b w:val="0"/>
                <w:szCs w:val="24"/>
                <w:highlight w:val="none"/>
              </w:rPr>
            </w:pPr>
            <w:r>
              <w:rPr>
                <w:rFonts w:hint="eastAsia" w:ascii="仿宋" w:hAnsi="仿宋" w:eastAsia="仿宋" w:cs="仿宋"/>
                <w:b w:val="0"/>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分值</w:t>
            </w:r>
          </w:p>
        </w:tc>
        <w:tc>
          <w:tcPr>
            <w:tcW w:w="157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35.40</w:t>
            </w:r>
          </w:p>
        </w:tc>
        <w:tc>
          <w:tcPr>
            <w:tcW w:w="145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25.50</w:t>
            </w:r>
          </w:p>
        </w:tc>
        <w:tc>
          <w:tcPr>
            <w:tcW w:w="139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18.30</w:t>
            </w:r>
          </w:p>
        </w:tc>
        <w:tc>
          <w:tcPr>
            <w:tcW w:w="1533"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w:t>
            </w:r>
          </w:p>
        </w:tc>
        <w:tc>
          <w:tcPr>
            <w:tcW w:w="1377"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0"/>
            <w:vAlign w:val="center"/>
          </w:tcPr>
          <w:p>
            <w:pPr>
              <w:pStyle w:val="53"/>
              <w:adjustRightInd w:val="0"/>
              <w:snapToGrid w:val="0"/>
              <w:spacing w:before="0" w:after="0"/>
              <w:rPr>
                <w:rFonts w:hint="eastAsia" w:ascii="仿宋" w:hAnsi="仿宋" w:eastAsia="仿宋" w:cs="仿宋"/>
                <w:szCs w:val="24"/>
                <w:highlight w:val="none"/>
              </w:rPr>
            </w:pPr>
            <w:r>
              <w:rPr>
                <w:rFonts w:hint="eastAsia" w:ascii="仿宋" w:hAnsi="仿宋" w:eastAsia="仿宋" w:cs="仿宋"/>
                <w:szCs w:val="24"/>
                <w:highlight w:val="none"/>
              </w:rPr>
              <w:t>得分率</w:t>
            </w:r>
          </w:p>
        </w:tc>
        <w:tc>
          <w:tcPr>
            <w:tcW w:w="157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88.50%</w:t>
            </w:r>
          </w:p>
        </w:tc>
        <w:tc>
          <w:tcPr>
            <w:tcW w:w="1455"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85.00%</w:t>
            </w:r>
          </w:p>
        </w:tc>
        <w:tc>
          <w:tcPr>
            <w:tcW w:w="1395" w:type="dxa"/>
            <w:noWrap w:val="0"/>
            <w:vAlign w:val="center"/>
          </w:tcPr>
          <w:p>
            <w:pPr>
              <w:pStyle w:val="53"/>
              <w:adjustRightInd w:val="0"/>
              <w:snapToGrid w:val="0"/>
              <w:spacing w:before="0" w:after="0"/>
              <w:ind w:firstLine="240" w:firstLineChars="100"/>
              <w:jc w:val="both"/>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91.50%</w:t>
            </w:r>
          </w:p>
        </w:tc>
        <w:tc>
          <w:tcPr>
            <w:tcW w:w="1533"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80%</w:t>
            </w:r>
          </w:p>
        </w:tc>
        <w:tc>
          <w:tcPr>
            <w:tcW w:w="1377" w:type="dxa"/>
            <w:noWrap w:val="0"/>
            <w:vAlign w:val="center"/>
          </w:tcPr>
          <w:p>
            <w:pPr>
              <w:pStyle w:val="53"/>
              <w:adjustRightInd w:val="0"/>
              <w:snapToGrid w:val="0"/>
              <w:spacing w:before="0" w:after="0"/>
              <w:rPr>
                <w:rFonts w:hint="default" w:ascii="仿宋" w:hAnsi="仿宋" w:eastAsia="仿宋" w:cs="仿宋"/>
                <w:b w:val="0"/>
                <w:szCs w:val="24"/>
                <w:highlight w:val="none"/>
                <w:lang w:val="en-US" w:eastAsia="zh-CN"/>
              </w:rPr>
            </w:pPr>
            <w:r>
              <w:rPr>
                <w:rFonts w:hint="eastAsia" w:ascii="仿宋" w:hAnsi="仿宋" w:eastAsia="仿宋" w:cs="仿宋"/>
                <w:b w:val="0"/>
                <w:szCs w:val="24"/>
                <w:highlight w:val="none"/>
                <w:lang w:val="en-US" w:eastAsia="zh-CN"/>
              </w:rPr>
              <w:t>87.20%</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outlineLvl w:val="1"/>
        <w:rPr>
          <w:rFonts w:hint="default" w:eastAsia="仿宋_GB2312"/>
          <w:b/>
          <w:bCs/>
          <w:sz w:val="28"/>
          <w:szCs w:val="28"/>
          <w:lang w:val="en-US" w:eastAsia="zh-CN"/>
        </w:rPr>
      </w:pPr>
      <w:bookmarkStart w:id="179" w:name="_Toc12832"/>
      <w:r>
        <w:rPr>
          <w:rFonts w:hint="eastAsia"/>
          <w:b/>
          <w:bCs/>
          <w:sz w:val="28"/>
          <w:szCs w:val="28"/>
          <w:lang w:eastAsia="zh-CN"/>
        </w:rPr>
        <w:t>（</w:t>
      </w:r>
      <w:r>
        <w:rPr>
          <w:rFonts w:hint="eastAsia"/>
          <w:b/>
          <w:bCs/>
          <w:sz w:val="28"/>
          <w:szCs w:val="28"/>
          <w:lang w:val="en-US" w:eastAsia="zh-CN"/>
        </w:rPr>
        <w:t>二</w:t>
      </w:r>
      <w:r>
        <w:rPr>
          <w:rFonts w:hint="eastAsia"/>
          <w:b/>
          <w:bCs/>
          <w:sz w:val="28"/>
          <w:szCs w:val="28"/>
          <w:lang w:eastAsia="zh-CN"/>
        </w:rPr>
        <w:t>）</w:t>
      </w:r>
      <w:r>
        <w:rPr>
          <w:rFonts w:hint="eastAsia"/>
          <w:b/>
          <w:bCs/>
          <w:sz w:val="28"/>
          <w:szCs w:val="28"/>
          <w:lang w:val="en-US" w:eastAsia="zh-CN"/>
        </w:rPr>
        <w:t>绩效评价指标分析</w:t>
      </w:r>
      <w:bookmarkEnd w:id="179"/>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0"/>
        <w:rPr>
          <w:rFonts w:hint="eastAsia" w:ascii="仿宋" w:hAnsi="仿宋" w:eastAsia="仿宋" w:cs="仿宋"/>
          <w:b/>
          <w:sz w:val="28"/>
          <w:szCs w:val="28"/>
          <w:highlight w:val="none"/>
        </w:rPr>
      </w:pPr>
      <w:bookmarkStart w:id="180" w:name="_Toc8242"/>
      <w:bookmarkStart w:id="181" w:name="_Toc1654"/>
      <w:r>
        <w:rPr>
          <w:rFonts w:hint="eastAsia" w:ascii="仿宋" w:hAnsi="仿宋" w:eastAsia="仿宋" w:cs="仿宋"/>
          <w:b/>
          <w:sz w:val="28"/>
          <w:szCs w:val="28"/>
          <w:highlight w:val="none"/>
          <w:lang w:val="en-US" w:eastAsia="zh-CN"/>
        </w:rPr>
        <w:t>1、</w:t>
      </w:r>
      <w:r>
        <w:rPr>
          <w:rFonts w:hint="eastAsia" w:ascii="仿宋" w:hAnsi="仿宋" w:eastAsia="仿宋" w:cs="仿宋"/>
          <w:b/>
          <w:sz w:val="28"/>
          <w:szCs w:val="28"/>
          <w:highlight w:val="none"/>
        </w:rPr>
        <w:t>履职效能情况分析</w:t>
      </w:r>
      <w:bookmarkEnd w:id="180"/>
      <w:bookmarkEnd w:id="18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仿宋" w:hAnsi="仿宋" w:eastAsia="仿宋" w:cs="仿宋"/>
          <w:b w:val="0"/>
          <w:bCs/>
          <w:sz w:val="28"/>
          <w:szCs w:val="28"/>
          <w:highlight w:val="none"/>
        </w:rPr>
        <w:t>履职效能情况分</w:t>
      </w:r>
      <w:r>
        <w:rPr>
          <w:rFonts w:hint="eastAsia" w:ascii="仿宋" w:hAnsi="仿宋" w:eastAsia="仿宋" w:cs="仿宋"/>
          <w:sz w:val="28"/>
          <w:szCs w:val="28"/>
          <w:highlight w:val="none"/>
        </w:rPr>
        <w:t>别从</w:t>
      </w:r>
      <w:r>
        <w:rPr>
          <w:rFonts w:hint="eastAsia" w:ascii="仿宋" w:hAnsi="仿宋" w:eastAsia="仿宋" w:cs="仿宋"/>
          <w:sz w:val="28"/>
          <w:szCs w:val="28"/>
          <w:highlight w:val="none"/>
          <w:lang w:val="en-US" w:eastAsia="zh-CN"/>
        </w:rPr>
        <w:t>工作</w:t>
      </w:r>
      <w:r>
        <w:rPr>
          <w:rFonts w:hint="eastAsia" w:ascii="仿宋" w:hAnsi="仿宋" w:eastAsia="仿宋" w:cs="仿宋"/>
          <w:sz w:val="28"/>
          <w:szCs w:val="28"/>
          <w:highlight w:val="none"/>
          <w:lang w:eastAsia="zh-CN"/>
        </w:rPr>
        <w:t>目标、核心业务</w:t>
      </w:r>
      <w:r>
        <w:rPr>
          <w:rFonts w:hint="eastAsia" w:ascii="仿宋" w:hAnsi="仿宋" w:eastAsia="仿宋" w:cs="仿宋"/>
          <w:sz w:val="28"/>
          <w:szCs w:val="28"/>
          <w:highlight w:val="none"/>
          <w:lang w:val="en-US" w:eastAsia="zh-CN"/>
        </w:rPr>
        <w:t>及</w:t>
      </w:r>
      <w:r>
        <w:rPr>
          <w:rFonts w:hint="eastAsia" w:ascii="仿宋" w:hAnsi="仿宋" w:eastAsia="仿宋" w:cs="仿宋"/>
          <w:sz w:val="28"/>
          <w:szCs w:val="28"/>
          <w:highlight w:val="none"/>
          <w:lang w:eastAsia="zh-CN"/>
        </w:rPr>
        <w:t>基础管理</w:t>
      </w:r>
      <w:r>
        <w:rPr>
          <w:rFonts w:hint="eastAsia" w:ascii="仿宋" w:hAnsi="仿宋" w:eastAsia="仿宋" w:cs="仿宋"/>
          <w:sz w:val="28"/>
          <w:szCs w:val="28"/>
          <w:highlight w:val="none"/>
          <w:lang w:val="en-US" w:eastAsia="zh-CN"/>
        </w:rPr>
        <w:t>三</w:t>
      </w:r>
      <w:r>
        <w:rPr>
          <w:rFonts w:hint="eastAsia" w:ascii="仿宋" w:hAnsi="仿宋" w:eastAsia="仿宋" w:cs="仿宋"/>
          <w:sz w:val="28"/>
          <w:szCs w:val="28"/>
          <w:highlight w:val="none"/>
        </w:rPr>
        <w:t>个方面进行分析，共设置</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个二级指标</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rPr>
        <w:t>个三级指标。</w:t>
      </w:r>
      <w:r>
        <w:rPr>
          <w:rFonts w:hint="eastAsia" w:ascii="仿宋" w:hAnsi="仿宋" w:eastAsia="仿宋" w:cs="仿宋"/>
          <w:b w:val="0"/>
          <w:bCs/>
          <w:sz w:val="28"/>
          <w:szCs w:val="28"/>
          <w:highlight w:val="none"/>
        </w:rPr>
        <w:t>履职效能</w:t>
      </w:r>
      <w:r>
        <w:rPr>
          <w:rFonts w:hint="eastAsia" w:ascii="仿宋" w:hAnsi="仿宋" w:eastAsia="仿宋" w:cs="仿宋"/>
          <w:sz w:val="28"/>
          <w:szCs w:val="28"/>
          <w:highlight w:val="none"/>
        </w:rPr>
        <w:t>类指标分值</w:t>
      </w:r>
      <w:r>
        <w:rPr>
          <w:rFonts w:hint="eastAsia" w:ascii="仿宋" w:hAnsi="仿宋" w:eastAsia="仿宋" w:cs="仿宋"/>
          <w:sz w:val="28"/>
          <w:szCs w:val="28"/>
          <w:highlight w:val="none"/>
          <w:lang w:val="en-US" w:eastAsia="zh-CN"/>
        </w:rPr>
        <w:t>40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35.40分</w:t>
      </w:r>
      <w:r>
        <w:rPr>
          <w:rFonts w:hint="eastAsia" w:ascii="仿宋" w:hAnsi="仿宋" w:eastAsia="仿宋" w:cs="仿宋"/>
          <w:sz w:val="28"/>
          <w:szCs w:val="28"/>
          <w:highlight w:val="none"/>
        </w:rPr>
        <w:t>，得分率</w:t>
      </w:r>
      <w:r>
        <w:rPr>
          <w:rFonts w:hint="eastAsia" w:ascii="仿宋" w:hAnsi="仿宋" w:eastAsia="仿宋" w:cs="仿宋"/>
          <w:sz w:val="28"/>
          <w:szCs w:val="28"/>
          <w:highlight w:val="none"/>
          <w:lang w:val="en-US" w:eastAsia="zh-CN"/>
        </w:rPr>
        <w:t>88.50%</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-1所示：</w:t>
      </w:r>
    </w:p>
    <w:p>
      <w:pPr>
        <w:spacing w:line="560" w:lineRule="exact"/>
        <w:jc w:val="center"/>
        <w:outlineLvl w:val="0"/>
        <w:rPr>
          <w:rFonts w:ascii="仿宋" w:hAnsi="仿宋" w:eastAsia="仿宋" w:cs="仿宋"/>
          <w:sz w:val="28"/>
          <w:szCs w:val="28"/>
          <w:highlight w:val="none"/>
        </w:rPr>
      </w:pPr>
      <w:bookmarkStart w:id="182" w:name="_Toc4522"/>
      <w:bookmarkStart w:id="183" w:name="_Toc8474"/>
      <w:r>
        <w:rPr>
          <w:rFonts w:hint="eastAsia" w:ascii="仿宋" w:hAnsi="仿宋" w:eastAsia="仿宋" w:cs="仿宋"/>
          <w:sz w:val="28"/>
          <w:szCs w:val="28"/>
          <w:highlight w:val="none"/>
        </w:rPr>
        <w:t>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ascii="仿宋" w:hAnsi="仿宋" w:eastAsia="仿宋" w:cs="仿宋"/>
          <w:sz w:val="28"/>
          <w:szCs w:val="28"/>
          <w:highlight w:val="none"/>
        </w:rPr>
        <w:t xml:space="preserve">1 </w:t>
      </w:r>
      <w:r>
        <w:rPr>
          <w:rFonts w:hint="eastAsia" w:ascii="仿宋" w:hAnsi="仿宋" w:eastAsia="仿宋" w:cs="仿宋"/>
          <w:sz w:val="28"/>
          <w:szCs w:val="28"/>
          <w:highlight w:val="none"/>
        </w:rPr>
        <w:t>履职效能类指标得分情况</w:t>
      </w:r>
      <w:bookmarkEnd w:id="182"/>
      <w:bookmarkEnd w:id="183"/>
    </w:p>
    <w:tbl>
      <w:tblPr>
        <w:tblStyle w:val="1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253"/>
        <w:gridCol w:w="116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shd w:val="clear" w:color="auto" w:fill="BEBEBE" w:themeFill="background1" w:themeFillShade="BF"/>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二级指标</w:t>
            </w:r>
          </w:p>
        </w:tc>
        <w:tc>
          <w:tcPr>
            <w:tcW w:w="4253" w:type="dxa"/>
            <w:shd w:val="clear" w:color="auto" w:fill="BEBEBE" w:themeFill="background1" w:themeFillShade="BF"/>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三级指标</w:t>
            </w:r>
          </w:p>
        </w:tc>
        <w:tc>
          <w:tcPr>
            <w:tcW w:w="1169" w:type="dxa"/>
            <w:shd w:val="clear" w:color="auto" w:fill="BEBEBE" w:themeFill="background1" w:themeFillShade="BF"/>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权重</w:t>
            </w:r>
          </w:p>
        </w:tc>
        <w:tc>
          <w:tcPr>
            <w:tcW w:w="1170" w:type="dxa"/>
            <w:shd w:val="clear" w:color="auto" w:fill="BEBEBE" w:themeFill="background1" w:themeFillShade="BF"/>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rPr>
                <w:rFonts w:hint="eastAsia" w:ascii="仿宋" w:hAnsi="仿宋" w:eastAsia="仿宋" w:cs="仿宋"/>
                <w:sz w:val="24"/>
                <w:highlight w:val="none"/>
                <w:lang w:eastAsia="zh-CN"/>
              </w:rPr>
            </w:pPr>
            <w:r>
              <w:rPr>
                <w:rFonts w:hint="eastAsia" w:ascii="仿宋" w:hAnsi="仿宋" w:eastAsia="仿宋" w:cs="仿宋"/>
                <w:sz w:val="24"/>
                <w:highlight w:val="none"/>
              </w:rPr>
              <w:t>A1工作目标</w:t>
            </w:r>
          </w:p>
        </w:tc>
        <w:tc>
          <w:tcPr>
            <w:tcW w:w="4253" w:type="dxa"/>
            <w:vAlign w:val="center"/>
          </w:tcPr>
          <w:p>
            <w:pPr>
              <w:jc w:val="left"/>
              <w:rPr>
                <w:rFonts w:hint="eastAsia" w:ascii="仿宋" w:hAnsi="仿宋" w:eastAsia="仿宋" w:cs="仿宋"/>
                <w:sz w:val="24"/>
                <w:highlight w:val="none"/>
                <w:lang w:eastAsia="zh-CN"/>
              </w:rPr>
            </w:pPr>
            <w:r>
              <w:rPr>
                <w:rFonts w:hint="eastAsia" w:ascii="仿宋" w:hAnsi="仿宋" w:eastAsia="仿宋" w:cs="仿宋"/>
                <w:sz w:val="24"/>
                <w:highlight w:val="none"/>
              </w:rPr>
              <w:t>A1-1目标任务设定情况</w:t>
            </w:r>
          </w:p>
        </w:tc>
        <w:tc>
          <w:tcPr>
            <w:tcW w:w="1169" w:type="dxa"/>
            <w:vAlign w:val="center"/>
          </w:tcPr>
          <w:p>
            <w:pPr>
              <w:jc w:val="center"/>
              <w:rPr>
                <w:rFonts w:hint="default" w:ascii="仿宋" w:hAnsi="仿宋" w:eastAsia="仿宋" w:cs="仿宋"/>
                <w:sz w:val="24"/>
                <w:highlight w:val="none"/>
              </w:rPr>
            </w:pPr>
            <w:r>
              <w:rPr>
                <w:rFonts w:hint="default" w:ascii="仿宋" w:hAnsi="仿宋" w:eastAsia="仿宋" w:cs="仿宋"/>
                <w:sz w:val="24"/>
                <w:highlight w:val="none"/>
                <w:lang w:val="en-US" w:eastAsia="zh-CN"/>
              </w:rPr>
              <w:t>2</w:t>
            </w:r>
          </w:p>
        </w:tc>
        <w:tc>
          <w:tcPr>
            <w:tcW w:w="1170" w:type="dxa"/>
            <w:vAlign w:val="center"/>
          </w:tcPr>
          <w:p>
            <w:pPr>
              <w:jc w:val="center"/>
              <w:rPr>
                <w:rFonts w:hint="default" w:ascii="仿宋" w:hAnsi="仿宋" w:eastAsia="仿宋" w:cs="仿宋"/>
                <w:sz w:val="24"/>
                <w:highlight w:val="none"/>
                <w:lang w:val="en-US" w:eastAsia="zh-CN"/>
              </w:rPr>
            </w:pPr>
            <w:r>
              <w:rPr>
                <w:rFonts w:hint="default" w:ascii="仿宋" w:hAnsi="仿宋" w:eastAsia="仿宋" w:cs="仿宋"/>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ascii="仿宋" w:hAnsi="仿宋" w:eastAsia="仿宋" w:cs="仿宋"/>
                <w:sz w:val="24"/>
                <w:highlight w:val="none"/>
              </w:rPr>
            </w:pPr>
          </w:p>
        </w:tc>
        <w:tc>
          <w:tcPr>
            <w:tcW w:w="4253" w:type="dxa"/>
            <w:vAlign w:val="center"/>
          </w:tcPr>
          <w:p>
            <w:pPr>
              <w:jc w:val="left"/>
              <w:rPr>
                <w:rFonts w:hint="eastAsia" w:ascii="仿宋" w:hAnsi="仿宋" w:eastAsia="仿宋" w:cs="仿宋"/>
                <w:sz w:val="24"/>
                <w:highlight w:val="none"/>
                <w:lang w:eastAsia="zh-CN"/>
              </w:rPr>
            </w:pPr>
            <w:r>
              <w:rPr>
                <w:rFonts w:hint="eastAsia" w:ascii="仿宋" w:hAnsi="仿宋" w:eastAsia="仿宋" w:cs="仿宋"/>
                <w:sz w:val="24"/>
                <w:highlight w:val="none"/>
              </w:rPr>
              <w:t>A1-2目标任务实现程度</w:t>
            </w:r>
          </w:p>
        </w:tc>
        <w:tc>
          <w:tcPr>
            <w:tcW w:w="1169" w:type="dxa"/>
            <w:vAlign w:val="center"/>
          </w:tcPr>
          <w:p>
            <w:pPr>
              <w:jc w:val="center"/>
              <w:rPr>
                <w:rFonts w:hint="default" w:ascii="仿宋" w:hAnsi="仿宋" w:eastAsia="仿宋" w:cs="仿宋"/>
                <w:sz w:val="24"/>
                <w:highlight w:val="none"/>
              </w:rPr>
            </w:pPr>
            <w:r>
              <w:rPr>
                <w:rFonts w:hint="default" w:ascii="仿宋" w:hAnsi="仿宋" w:eastAsia="仿宋" w:cs="仿宋"/>
                <w:sz w:val="24"/>
                <w:highlight w:val="none"/>
                <w:lang w:val="en-US" w:eastAsia="zh-CN"/>
              </w:rPr>
              <w:t>2</w:t>
            </w:r>
          </w:p>
        </w:tc>
        <w:tc>
          <w:tcPr>
            <w:tcW w:w="1170" w:type="dxa"/>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ascii="仿宋" w:hAnsi="仿宋" w:eastAsia="仿宋" w:cs="仿宋"/>
                <w:sz w:val="24"/>
                <w:highlight w:val="none"/>
              </w:rPr>
            </w:pPr>
          </w:p>
        </w:tc>
        <w:tc>
          <w:tcPr>
            <w:tcW w:w="4253" w:type="dxa"/>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小计</w:t>
            </w:r>
          </w:p>
        </w:tc>
        <w:tc>
          <w:tcPr>
            <w:tcW w:w="1169" w:type="dxa"/>
            <w:vAlign w:val="center"/>
          </w:tcPr>
          <w:p>
            <w:pPr>
              <w:jc w:val="center"/>
              <w:rPr>
                <w:rFonts w:hint="default" w:ascii="仿宋" w:hAnsi="仿宋" w:eastAsia="仿宋" w:cs="仿宋"/>
                <w:b/>
                <w:bCs/>
                <w:sz w:val="24"/>
                <w:highlight w:val="none"/>
              </w:rPr>
            </w:pPr>
            <w:r>
              <w:rPr>
                <w:rFonts w:hint="default" w:ascii="仿宋" w:hAnsi="仿宋" w:eastAsia="仿宋" w:cs="仿宋"/>
                <w:b/>
                <w:bCs/>
                <w:sz w:val="24"/>
                <w:highlight w:val="none"/>
                <w:lang w:val="en-US" w:eastAsia="zh-CN"/>
              </w:rPr>
              <w:t>4</w:t>
            </w:r>
          </w:p>
        </w:tc>
        <w:tc>
          <w:tcPr>
            <w:tcW w:w="1170" w:type="dxa"/>
            <w:vAlign w:val="center"/>
          </w:tcPr>
          <w:p>
            <w:pPr>
              <w:jc w:val="center"/>
              <w:rPr>
                <w:rFonts w:hint="default"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rPr>
                <w:rFonts w:hint="eastAsia" w:ascii="仿宋" w:hAnsi="仿宋" w:eastAsia="仿宋" w:cs="仿宋"/>
                <w:sz w:val="24"/>
                <w:highlight w:val="none"/>
                <w:lang w:eastAsia="zh-CN"/>
              </w:rPr>
            </w:pPr>
            <w:r>
              <w:rPr>
                <w:rFonts w:hint="eastAsia" w:ascii="仿宋" w:hAnsi="仿宋" w:eastAsia="仿宋" w:cs="仿宋"/>
                <w:sz w:val="24"/>
                <w:highlight w:val="none"/>
              </w:rPr>
              <w:t>A2核心业务</w:t>
            </w:r>
          </w:p>
        </w:tc>
        <w:tc>
          <w:tcPr>
            <w:tcW w:w="4253" w:type="dxa"/>
            <w:vAlign w:val="center"/>
          </w:tcPr>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A2-1党建工作</w:t>
            </w:r>
          </w:p>
        </w:tc>
        <w:tc>
          <w:tcPr>
            <w:tcW w:w="1169" w:type="dxa"/>
            <w:vAlign w:val="center"/>
          </w:tcPr>
          <w:p>
            <w:pPr>
              <w:keepNext w:val="0"/>
              <w:keepLines w:val="0"/>
              <w:widowControl/>
              <w:suppressLineNumbers w:val="0"/>
              <w:jc w:val="center"/>
              <w:textAlignment w:val="center"/>
              <w:rPr>
                <w:rFonts w:hint="default" w:ascii="Arial Narrow" w:hAnsi="Arial Narrow" w:eastAsia="仿宋" w:cs="Arial Narrow"/>
                <w:sz w:val="24"/>
                <w:szCs w:val="24"/>
                <w:highlight w:val="none"/>
              </w:rPr>
            </w:pPr>
            <w:r>
              <w:rPr>
                <w:rFonts w:hint="eastAsia" w:ascii="仿宋" w:hAnsi="仿宋" w:eastAsia="仿宋" w:cs="仿宋"/>
                <w:i w:val="0"/>
                <w:iCs w:val="0"/>
                <w:color w:val="000000"/>
                <w:kern w:val="0"/>
                <w:sz w:val="24"/>
                <w:szCs w:val="24"/>
                <w:u w:val="none"/>
                <w:lang w:val="en-US" w:eastAsia="zh-CN" w:bidi="ar"/>
              </w:rPr>
              <w:t>3</w:t>
            </w:r>
          </w:p>
        </w:tc>
        <w:tc>
          <w:tcPr>
            <w:tcW w:w="1170" w:type="dxa"/>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ascii="仿宋" w:hAnsi="仿宋" w:eastAsia="仿宋" w:cs="仿宋"/>
                <w:sz w:val="24"/>
                <w:highlight w:val="none"/>
              </w:rPr>
            </w:pPr>
          </w:p>
        </w:tc>
        <w:tc>
          <w:tcPr>
            <w:tcW w:w="4253" w:type="dxa"/>
            <w:vAlign w:val="center"/>
          </w:tcPr>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A2-2指挥中心接处警等工作</w:t>
            </w:r>
          </w:p>
        </w:tc>
        <w:tc>
          <w:tcPr>
            <w:tcW w:w="1169" w:type="dxa"/>
            <w:vAlign w:val="center"/>
          </w:tcPr>
          <w:p>
            <w:pPr>
              <w:keepNext w:val="0"/>
              <w:keepLines w:val="0"/>
              <w:widowControl/>
              <w:suppressLineNumbers w:val="0"/>
              <w:jc w:val="center"/>
              <w:textAlignment w:val="center"/>
              <w:rPr>
                <w:rFonts w:hint="default" w:ascii="Arial Narrow" w:hAnsi="Arial Narrow" w:eastAsia="仿宋" w:cs="Arial Narrow"/>
                <w:sz w:val="24"/>
                <w:szCs w:val="24"/>
                <w:highlight w:val="none"/>
              </w:rPr>
            </w:pPr>
            <w:r>
              <w:rPr>
                <w:rFonts w:hint="eastAsia" w:ascii="仿宋" w:hAnsi="仿宋" w:eastAsia="仿宋" w:cs="仿宋"/>
                <w:i w:val="0"/>
                <w:iCs w:val="0"/>
                <w:color w:val="000000"/>
                <w:kern w:val="0"/>
                <w:sz w:val="24"/>
                <w:szCs w:val="24"/>
                <w:u w:val="none"/>
                <w:lang w:val="en-US" w:eastAsia="zh-CN" w:bidi="ar"/>
              </w:rPr>
              <w:t>3</w:t>
            </w:r>
          </w:p>
        </w:tc>
        <w:tc>
          <w:tcPr>
            <w:tcW w:w="1170" w:type="dxa"/>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ascii="仿宋" w:hAnsi="仿宋" w:eastAsia="仿宋" w:cs="仿宋"/>
                <w:sz w:val="24"/>
                <w:highlight w:val="none"/>
              </w:rPr>
            </w:pPr>
          </w:p>
        </w:tc>
        <w:tc>
          <w:tcPr>
            <w:tcW w:w="4253" w:type="dxa"/>
            <w:vAlign w:val="center"/>
          </w:tcPr>
          <w:p>
            <w:pPr>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A2-3预防、制止、侦查各类犯罪工作</w:t>
            </w:r>
          </w:p>
        </w:tc>
        <w:tc>
          <w:tcPr>
            <w:tcW w:w="1169" w:type="dxa"/>
            <w:vAlign w:val="center"/>
          </w:tcPr>
          <w:p>
            <w:pPr>
              <w:keepNext w:val="0"/>
              <w:keepLines w:val="0"/>
              <w:widowControl/>
              <w:suppressLineNumbers w:val="0"/>
              <w:jc w:val="center"/>
              <w:textAlignment w:val="center"/>
              <w:rPr>
                <w:rFonts w:hint="default" w:ascii="Arial Narrow" w:hAnsi="Arial Narrow" w:eastAsia="仿宋" w:cs="Arial Narrow"/>
                <w:sz w:val="24"/>
                <w:szCs w:val="24"/>
                <w:highlight w:val="none"/>
              </w:rPr>
            </w:pPr>
            <w:r>
              <w:rPr>
                <w:rFonts w:hint="eastAsia" w:ascii="仿宋" w:hAnsi="仿宋" w:eastAsia="仿宋" w:cs="仿宋"/>
                <w:i w:val="0"/>
                <w:iCs w:val="0"/>
                <w:color w:val="000000"/>
                <w:kern w:val="0"/>
                <w:sz w:val="24"/>
                <w:szCs w:val="24"/>
                <w:u w:val="none"/>
                <w:lang w:val="en-US" w:eastAsia="zh-CN" w:bidi="ar"/>
              </w:rPr>
              <w:t>3</w:t>
            </w:r>
          </w:p>
        </w:tc>
        <w:tc>
          <w:tcPr>
            <w:tcW w:w="1170" w:type="dxa"/>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ascii="仿宋" w:hAnsi="仿宋" w:eastAsia="仿宋" w:cs="仿宋"/>
                <w:sz w:val="24"/>
                <w:highlight w:val="none"/>
              </w:rPr>
            </w:pPr>
          </w:p>
        </w:tc>
        <w:tc>
          <w:tcPr>
            <w:tcW w:w="4253" w:type="dxa"/>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A2-4社会治安保卫工作</w:t>
            </w:r>
          </w:p>
        </w:tc>
        <w:tc>
          <w:tcPr>
            <w:tcW w:w="1169" w:type="dxa"/>
            <w:vAlign w:val="center"/>
          </w:tcPr>
          <w:p>
            <w:pPr>
              <w:keepNext w:val="0"/>
              <w:keepLines w:val="0"/>
              <w:widowControl/>
              <w:suppressLineNumbers w:val="0"/>
              <w:jc w:val="center"/>
              <w:textAlignment w:val="center"/>
              <w:rPr>
                <w:rFonts w:hint="default" w:ascii="Arial Narrow" w:hAnsi="Arial Narrow" w:eastAsia="仿宋" w:cs="Arial Narrow"/>
                <w:b/>
                <w:bCs/>
                <w:sz w:val="24"/>
                <w:szCs w:val="24"/>
                <w:highlight w:val="none"/>
              </w:rPr>
            </w:pPr>
            <w:r>
              <w:rPr>
                <w:rFonts w:hint="eastAsia" w:ascii="仿宋" w:hAnsi="仿宋" w:eastAsia="仿宋" w:cs="仿宋"/>
                <w:i w:val="0"/>
                <w:iCs w:val="0"/>
                <w:color w:val="000000"/>
                <w:kern w:val="0"/>
                <w:sz w:val="24"/>
                <w:szCs w:val="24"/>
                <w:u w:val="none"/>
                <w:lang w:val="en-US" w:eastAsia="zh-CN" w:bidi="ar"/>
              </w:rPr>
              <w:t>3</w:t>
            </w:r>
          </w:p>
        </w:tc>
        <w:tc>
          <w:tcPr>
            <w:tcW w:w="1170" w:type="dxa"/>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ascii="仿宋" w:hAnsi="仿宋" w:eastAsia="仿宋" w:cs="仿宋"/>
                <w:b/>
                <w:sz w:val="24"/>
                <w:highlight w:val="none"/>
              </w:rPr>
            </w:pPr>
          </w:p>
        </w:tc>
        <w:tc>
          <w:tcPr>
            <w:tcW w:w="4253" w:type="dxa"/>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A2-5户政、居民身份证、出入境工作</w:t>
            </w:r>
          </w:p>
        </w:tc>
        <w:tc>
          <w:tcPr>
            <w:tcW w:w="1169" w:type="dxa"/>
            <w:vAlign w:val="center"/>
          </w:tcPr>
          <w:p>
            <w:pPr>
              <w:keepNext w:val="0"/>
              <w:keepLines w:val="0"/>
              <w:widowControl/>
              <w:suppressLineNumbers w:val="0"/>
              <w:jc w:val="center"/>
              <w:textAlignment w:val="center"/>
              <w:rPr>
                <w:rFonts w:hint="default" w:ascii="Arial Narrow" w:hAnsi="Arial Narrow" w:eastAsia="仿宋" w:cs="Arial Narrow"/>
                <w:b/>
                <w:sz w:val="24"/>
                <w:szCs w:val="24"/>
                <w:highlight w:val="none"/>
              </w:rPr>
            </w:pPr>
            <w:r>
              <w:rPr>
                <w:rFonts w:hint="eastAsia" w:ascii="仿宋" w:hAnsi="仿宋" w:eastAsia="仿宋" w:cs="仿宋"/>
                <w:i w:val="0"/>
                <w:iCs w:val="0"/>
                <w:color w:val="000000"/>
                <w:kern w:val="0"/>
                <w:sz w:val="24"/>
                <w:szCs w:val="24"/>
                <w:u w:val="none"/>
                <w:lang w:val="en-US" w:eastAsia="zh-CN" w:bidi="ar"/>
              </w:rPr>
              <w:t>3</w:t>
            </w:r>
          </w:p>
        </w:tc>
        <w:tc>
          <w:tcPr>
            <w:tcW w:w="1170" w:type="dxa"/>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hint="eastAsia" w:ascii="仿宋" w:hAnsi="仿宋" w:eastAsia="仿宋" w:cs="仿宋"/>
                <w:b/>
                <w:sz w:val="24"/>
                <w:highlight w:val="none"/>
              </w:rPr>
            </w:pPr>
            <w:bookmarkStart w:id="184" w:name="_Toc25591"/>
            <w:bookmarkStart w:id="185" w:name="_Toc25575_WPSOffice_Level3"/>
            <w:bookmarkStart w:id="186" w:name="_Toc22012_WPSOffice_Level2"/>
            <w:bookmarkStart w:id="187" w:name="_Toc8067_WPSOffice_Level2"/>
            <w:bookmarkStart w:id="188" w:name="_Toc216_WPSOffice_Level2"/>
          </w:p>
        </w:tc>
        <w:tc>
          <w:tcPr>
            <w:tcW w:w="4253" w:type="dxa"/>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A2-6计算机信息系统安全保卫等工作</w:t>
            </w:r>
          </w:p>
        </w:tc>
        <w:tc>
          <w:tcPr>
            <w:tcW w:w="1169" w:type="dxa"/>
            <w:vAlign w:val="center"/>
          </w:tcPr>
          <w:p>
            <w:pPr>
              <w:keepNext w:val="0"/>
              <w:keepLines w:val="0"/>
              <w:widowControl/>
              <w:suppressLineNumbers w:val="0"/>
              <w:jc w:val="center"/>
              <w:textAlignment w:val="center"/>
              <w:rPr>
                <w:rFonts w:hint="default" w:ascii="Arial Narrow" w:hAnsi="Arial Narrow" w:eastAsia="仿宋" w:cs="Arial Narrow"/>
                <w:b/>
                <w:sz w:val="24"/>
                <w:szCs w:val="24"/>
                <w:highlight w:val="none"/>
              </w:rPr>
            </w:pPr>
            <w:r>
              <w:rPr>
                <w:rFonts w:hint="eastAsia" w:ascii="仿宋" w:hAnsi="仿宋" w:eastAsia="仿宋" w:cs="仿宋"/>
                <w:i w:val="0"/>
                <w:iCs w:val="0"/>
                <w:color w:val="000000"/>
                <w:kern w:val="0"/>
                <w:sz w:val="24"/>
                <w:szCs w:val="24"/>
                <w:u w:val="none"/>
                <w:lang w:val="en-US" w:eastAsia="zh-CN" w:bidi="ar"/>
              </w:rPr>
              <w:t>3</w:t>
            </w:r>
          </w:p>
        </w:tc>
        <w:tc>
          <w:tcPr>
            <w:tcW w:w="1170" w:type="dxa"/>
            <w:vAlign w:val="center"/>
          </w:tcPr>
          <w:p>
            <w:pPr>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hint="eastAsia" w:ascii="仿宋" w:hAnsi="仿宋" w:eastAsia="仿宋" w:cs="仿宋"/>
                <w:b/>
                <w:sz w:val="24"/>
                <w:highlight w:val="none"/>
              </w:rPr>
            </w:pPr>
          </w:p>
        </w:tc>
        <w:tc>
          <w:tcPr>
            <w:tcW w:w="4253" w:type="dxa"/>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A2-7组织实施公安科学技术工作</w:t>
            </w:r>
          </w:p>
        </w:tc>
        <w:tc>
          <w:tcPr>
            <w:tcW w:w="1169" w:type="dxa"/>
            <w:vAlign w:val="center"/>
          </w:tcPr>
          <w:p>
            <w:pPr>
              <w:keepNext w:val="0"/>
              <w:keepLines w:val="0"/>
              <w:widowControl/>
              <w:suppressLineNumbers w:val="0"/>
              <w:jc w:val="center"/>
              <w:textAlignment w:val="center"/>
              <w:rPr>
                <w:rFonts w:hint="default" w:ascii="Arial Narrow" w:hAnsi="Arial Narrow" w:eastAsia="仿宋" w:cs="Arial Narrow"/>
                <w:b/>
                <w:sz w:val="24"/>
                <w:szCs w:val="24"/>
                <w:highlight w:val="none"/>
              </w:rPr>
            </w:pPr>
            <w:r>
              <w:rPr>
                <w:rFonts w:hint="eastAsia" w:ascii="仿宋" w:hAnsi="仿宋" w:eastAsia="仿宋" w:cs="仿宋"/>
                <w:i w:val="0"/>
                <w:iCs w:val="0"/>
                <w:color w:val="000000"/>
                <w:kern w:val="0"/>
                <w:sz w:val="24"/>
                <w:szCs w:val="24"/>
                <w:u w:val="none"/>
                <w:lang w:val="en-US" w:eastAsia="zh-CN" w:bidi="ar"/>
              </w:rPr>
              <w:t>3</w:t>
            </w:r>
          </w:p>
        </w:tc>
        <w:tc>
          <w:tcPr>
            <w:tcW w:w="1170" w:type="dxa"/>
            <w:vAlign w:val="center"/>
          </w:tcPr>
          <w:p>
            <w:pPr>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hint="eastAsia" w:ascii="仿宋" w:hAnsi="仿宋" w:eastAsia="仿宋" w:cs="仿宋"/>
                <w:b/>
                <w:sz w:val="24"/>
                <w:highlight w:val="none"/>
              </w:rPr>
            </w:pPr>
          </w:p>
        </w:tc>
        <w:tc>
          <w:tcPr>
            <w:tcW w:w="4253" w:type="dxa"/>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A2-8道路交通秩序专项整治等工作</w:t>
            </w:r>
          </w:p>
        </w:tc>
        <w:tc>
          <w:tcPr>
            <w:tcW w:w="1169" w:type="dxa"/>
            <w:vAlign w:val="center"/>
          </w:tcPr>
          <w:p>
            <w:pPr>
              <w:keepNext w:val="0"/>
              <w:keepLines w:val="0"/>
              <w:widowControl/>
              <w:suppressLineNumbers w:val="0"/>
              <w:jc w:val="center"/>
              <w:textAlignment w:val="center"/>
              <w:rPr>
                <w:rFonts w:hint="default" w:ascii="Arial Narrow" w:hAnsi="Arial Narrow" w:eastAsia="仿宋" w:cs="Arial Narrow"/>
                <w:b/>
                <w:sz w:val="24"/>
                <w:szCs w:val="24"/>
                <w:highlight w:val="none"/>
              </w:rPr>
            </w:pPr>
            <w:r>
              <w:rPr>
                <w:rFonts w:hint="eastAsia" w:ascii="仿宋" w:hAnsi="仿宋" w:eastAsia="仿宋" w:cs="仿宋"/>
                <w:i w:val="0"/>
                <w:iCs w:val="0"/>
                <w:color w:val="000000"/>
                <w:kern w:val="0"/>
                <w:sz w:val="24"/>
                <w:szCs w:val="24"/>
                <w:u w:val="none"/>
                <w:lang w:val="en-US" w:eastAsia="zh-CN" w:bidi="ar"/>
              </w:rPr>
              <w:t>3</w:t>
            </w:r>
          </w:p>
        </w:tc>
        <w:tc>
          <w:tcPr>
            <w:tcW w:w="1170" w:type="dxa"/>
            <w:vAlign w:val="center"/>
          </w:tcPr>
          <w:p>
            <w:pPr>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hint="eastAsia" w:ascii="仿宋" w:hAnsi="仿宋" w:eastAsia="仿宋" w:cs="仿宋"/>
                <w:b/>
                <w:sz w:val="24"/>
                <w:highlight w:val="none"/>
              </w:rPr>
            </w:pPr>
          </w:p>
        </w:tc>
        <w:tc>
          <w:tcPr>
            <w:tcW w:w="4253" w:type="dxa"/>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A2-9关押人员安全管理工作</w:t>
            </w:r>
          </w:p>
        </w:tc>
        <w:tc>
          <w:tcPr>
            <w:tcW w:w="1169" w:type="dxa"/>
            <w:vAlign w:val="center"/>
          </w:tcPr>
          <w:p>
            <w:pPr>
              <w:keepNext w:val="0"/>
              <w:keepLines w:val="0"/>
              <w:widowControl/>
              <w:suppressLineNumbers w:val="0"/>
              <w:jc w:val="center"/>
              <w:textAlignment w:val="center"/>
              <w:rPr>
                <w:rFonts w:hint="default" w:ascii="Arial Narrow" w:hAnsi="Arial Narrow" w:eastAsia="仿宋" w:cs="Arial Narrow"/>
                <w:b/>
                <w:sz w:val="24"/>
                <w:szCs w:val="24"/>
                <w:highlight w:val="none"/>
              </w:rPr>
            </w:pPr>
            <w:r>
              <w:rPr>
                <w:rFonts w:hint="eastAsia" w:ascii="仿宋" w:hAnsi="仿宋" w:eastAsia="仿宋" w:cs="仿宋"/>
                <w:i w:val="0"/>
                <w:iCs w:val="0"/>
                <w:color w:val="000000"/>
                <w:kern w:val="0"/>
                <w:sz w:val="24"/>
                <w:szCs w:val="24"/>
                <w:u w:val="none"/>
                <w:lang w:val="en-US" w:eastAsia="zh-CN" w:bidi="ar"/>
              </w:rPr>
              <w:t>3</w:t>
            </w:r>
          </w:p>
        </w:tc>
        <w:tc>
          <w:tcPr>
            <w:tcW w:w="1170" w:type="dxa"/>
            <w:vAlign w:val="center"/>
          </w:tcPr>
          <w:p>
            <w:pPr>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hint="eastAsia" w:ascii="仿宋" w:hAnsi="仿宋" w:eastAsia="仿宋" w:cs="仿宋"/>
                <w:b/>
                <w:sz w:val="24"/>
                <w:highlight w:val="none"/>
              </w:rPr>
            </w:pPr>
          </w:p>
        </w:tc>
        <w:tc>
          <w:tcPr>
            <w:tcW w:w="4253" w:type="dxa"/>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A2-10拘留人员矛盾化解和教育转化工作</w:t>
            </w:r>
          </w:p>
        </w:tc>
        <w:tc>
          <w:tcPr>
            <w:tcW w:w="1169" w:type="dxa"/>
            <w:vAlign w:val="center"/>
          </w:tcPr>
          <w:p>
            <w:pPr>
              <w:keepNext w:val="0"/>
              <w:keepLines w:val="0"/>
              <w:widowControl/>
              <w:suppressLineNumbers w:val="0"/>
              <w:jc w:val="center"/>
              <w:textAlignment w:val="center"/>
              <w:rPr>
                <w:rFonts w:hint="default" w:ascii="Arial Narrow" w:hAnsi="Arial Narrow" w:eastAsia="仿宋" w:cs="Arial Narrow"/>
                <w:b/>
                <w:sz w:val="24"/>
                <w:szCs w:val="24"/>
                <w:highlight w:val="none"/>
              </w:rPr>
            </w:pPr>
            <w:r>
              <w:rPr>
                <w:rFonts w:hint="eastAsia" w:ascii="仿宋" w:hAnsi="仿宋" w:eastAsia="仿宋" w:cs="仿宋"/>
                <w:i w:val="0"/>
                <w:iCs w:val="0"/>
                <w:color w:val="000000"/>
                <w:kern w:val="0"/>
                <w:sz w:val="24"/>
                <w:szCs w:val="24"/>
                <w:u w:val="none"/>
                <w:lang w:val="en-US" w:eastAsia="zh-CN" w:bidi="ar"/>
              </w:rPr>
              <w:t>3</w:t>
            </w:r>
          </w:p>
        </w:tc>
        <w:tc>
          <w:tcPr>
            <w:tcW w:w="1170" w:type="dxa"/>
            <w:vAlign w:val="center"/>
          </w:tcPr>
          <w:p>
            <w:pPr>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hint="eastAsia" w:ascii="仿宋" w:hAnsi="仿宋" w:eastAsia="仿宋" w:cs="仿宋"/>
                <w:b/>
                <w:sz w:val="24"/>
                <w:highlight w:val="none"/>
              </w:rPr>
            </w:pPr>
          </w:p>
        </w:tc>
        <w:tc>
          <w:tcPr>
            <w:tcW w:w="4253" w:type="dxa"/>
            <w:vAlign w:val="center"/>
          </w:tcPr>
          <w:p>
            <w:pPr>
              <w:jc w:val="center"/>
              <w:rPr>
                <w:rFonts w:hint="eastAsia" w:ascii="仿宋" w:hAnsi="仿宋" w:eastAsia="仿宋" w:cs="仿宋"/>
                <w:b/>
                <w:sz w:val="24"/>
                <w:highlight w:val="none"/>
              </w:rPr>
            </w:pPr>
            <w:r>
              <w:rPr>
                <w:rFonts w:hint="eastAsia" w:ascii="仿宋" w:hAnsi="仿宋" w:eastAsia="仿宋" w:cs="仿宋"/>
                <w:b/>
                <w:bCs/>
                <w:sz w:val="24"/>
                <w:highlight w:val="none"/>
              </w:rPr>
              <w:t>小计</w:t>
            </w:r>
          </w:p>
        </w:tc>
        <w:tc>
          <w:tcPr>
            <w:tcW w:w="1169"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30</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rPr>
                <w:rFonts w:hint="eastAsia" w:ascii="仿宋" w:hAnsi="仿宋" w:eastAsia="仿宋" w:cs="仿宋"/>
                <w:b w:val="0"/>
                <w:bCs/>
                <w:sz w:val="24"/>
                <w:highlight w:val="none"/>
              </w:rPr>
            </w:pPr>
            <w:r>
              <w:rPr>
                <w:rFonts w:hint="eastAsia" w:ascii="仿宋" w:hAnsi="仿宋" w:eastAsia="仿宋" w:cs="仿宋"/>
                <w:b w:val="0"/>
                <w:bCs/>
                <w:sz w:val="24"/>
                <w:highlight w:val="none"/>
              </w:rPr>
              <w:t>A3基础管理</w:t>
            </w:r>
          </w:p>
        </w:tc>
        <w:tc>
          <w:tcPr>
            <w:tcW w:w="4253" w:type="dxa"/>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A3-1依法行政</w:t>
            </w:r>
          </w:p>
        </w:tc>
        <w:tc>
          <w:tcPr>
            <w:tcW w:w="1169" w:type="dxa"/>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170" w:type="dxa"/>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hint="eastAsia" w:ascii="仿宋" w:hAnsi="仿宋" w:eastAsia="仿宋" w:cs="仿宋"/>
                <w:b/>
                <w:sz w:val="24"/>
                <w:highlight w:val="none"/>
              </w:rPr>
            </w:pPr>
          </w:p>
        </w:tc>
        <w:tc>
          <w:tcPr>
            <w:tcW w:w="4253" w:type="dxa"/>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A3-2基础能力建设</w:t>
            </w:r>
          </w:p>
        </w:tc>
        <w:tc>
          <w:tcPr>
            <w:tcW w:w="1169" w:type="dxa"/>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1170" w:type="dxa"/>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hint="eastAsia" w:ascii="仿宋" w:hAnsi="仿宋" w:eastAsia="仿宋" w:cs="仿宋"/>
                <w:b/>
                <w:sz w:val="24"/>
                <w:highlight w:val="none"/>
              </w:rPr>
            </w:pPr>
          </w:p>
        </w:tc>
        <w:tc>
          <w:tcPr>
            <w:tcW w:w="4253" w:type="dxa"/>
            <w:vAlign w:val="center"/>
          </w:tcPr>
          <w:p>
            <w:pPr>
              <w:jc w:val="center"/>
              <w:rPr>
                <w:rFonts w:hint="eastAsia" w:ascii="仿宋" w:hAnsi="仿宋" w:eastAsia="仿宋" w:cs="仿宋"/>
                <w:b/>
                <w:sz w:val="24"/>
                <w:highlight w:val="none"/>
              </w:rPr>
            </w:pPr>
            <w:r>
              <w:rPr>
                <w:rFonts w:hint="eastAsia" w:ascii="仿宋" w:hAnsi="仿宋" w:eastAsia="仿宋" w:cs="仿宋"/>
                <w:b/>
                <w:bCs/>
                <w:sz w:val="24"/>
                <w:highlight w:val="none"/>
              </w:rPr>
              <w:t>小计</w:t>
            </w:r>
          </w:p>
        </w:tc>
        <w:tc>
          <w:tcPr>
            <w:tcW w:w="1169"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6</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8" w:type="dxa"/>
            <w:vAlign w:val="center"/>
          </w:tcPr>
          <w:p>
            <w:pPr>
              <w:jc w:val="center"/>
              <w:rPr>
                <w:rFonts w:hint="eastAsia" w:ascii="仿宋" w:hAnsi="仿宋" w:eastAsia="仿宋" w:cs="仿宋"/>
                <w:b/>
                <w:sz w:val="24"/>
                <w:highlight w:val="none"/>
              </w:rPr>
            </w:pPr>
            <w:r>
              <w:rPr>
                <w:rFonts w:hint="eastAsia" w:ascii="仿宋" w:hAnsi="仿宋" w:eastAsia="仿宋" w:cs="仿宋"/>
                <w:b/>
                <w:bCs/>
                <w:sz w:val="28"/>
                <w:szCs w:val="28"/>
                <w:highlight w:val="none"/>
              </w:rPr>
              <w:t>履职效能</w:t>
            </w:r>
          </w:p>
        </w:tc>
        <w:tc>
          <w:tcPr>
            <w:tcW w:w="4253" w:type="dxa"/>
            <w:vAlign w:val="center"/>
          </w:tcPr>
          <w:p>
            <w:pPr>
              <w:jc w:val="center"/>
              <w:rPr>
                <w:rFonts w:hint="eastAsia" w:ascii="仿宋" w:hAnsi="仿宋" w:eastAsia="仿宋" w:cs="仿宋"/>
                <w:b/>
                <w:sz w:val="24"/>
                <w:highlight w:val="none"/>
              </w:rPr>
            </w:pPr>
            <w:r>
              <w:rPr>
                <w:rFonts w:hint="eastAsia" w:ascii="仿宋" w:hAnsi="仿宋" w:eastAsia="仿宋" w:cs="仿宋"/>
                <w:b/>
                <w:sz w:val="24"/>
                <w:highlight w:val="none"/>
              </w:rPr>
              <w:t>合计</w:t>
            </w:r>
          </w:p>
        </w:tc>
        <w:tc>
          <w:tcPr>
            <w:tcW w:w="1169"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40</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35.4</w:t>
            </w:r>
          </w:p>
        </w:tc>
      </w:tr>
      <w:bookmarkEnd w:id="184"/>
      <w:bookmarkEnd w:id="185"/>
      <w:bookmarkEnd w:id="186"/>
      <w:bookmarkEnd w:id="187"/>
      <w:bookmarkEnd w:id="188"/>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0"/>
        <w:rPr>
          <w:rFonts w:hint="eastAsia" w:ascii="仿宋" w:hAnsi="仿宋" w:eastAsia="仿宋" w:cs="仿宋"/>
          <w:b/>
          <w:sz w:val="28"/>
          <w:szCs w:val="28"/>
          <w:highlight w:val="none"/>
          <w:lang w:eastAsia="zh-CN"/>
        </w:rPr>
      </w:pPr>
      <w:bookmarkStart w:id="189" w:name="_Toc3516"/>
      <w:r>
        <w:rPr>
          <w:rFonts w:hint="eastAsia" w:ascii="仿宋" w:hAnsi="仿宋" w:eastAsia="仿宋" w:cs="仿宋"/>
          <w:b/>
          <w:sz w:val="28"/>
          <w:szCs w:val="28"/>
          <w:highlight w:val="none"/>
        </w:rPr>
        <w:t>A1-1目标任务设定情况</w:t>
      </w:r>
      <w:bookmarkEnd w:id="189"/>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永济市公安局根据部门履职、年度工作任务设定2021年度部门整体绩效目标，目标设定符合部门“三定”方案确定的职责及部门制定的中长期实施规划。</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依据评分标准，本指标得2分。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A1-2目标任务实现程度</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经与相关部门访谈，除城北派出所和公安局涉案财务管理中心建设项目未完成外，年初设定的目标任务基本完成。</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依据评分标准，本指标得1.9分。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A2-1党建工作</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560" w:firstLineChars="200"/>
        <w:textAlignment w:val="auto"/>
        <w:rPr>
          <w:rFonts w:hint="eastAsia"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 xml:space="preserve">党史学习教育方面：2021年局党委班子和交管大队党总支班子和全体党员开展9次专题学习和4次重要讲话专题学习交流研讨；局基层10个党支部组织全体党员开展了8次专题学习和4次重要讲话专题学习交流研讨及党史学习教育专题组织生活会。同时，组织全体158名党员依托“学习强国”“三晋先锋”“山西干部在线”等三个平台，参加线上党史学习教育，覆盖率100%。      </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 xml:space="preserve"> 教育整顿方面：局党委认真落实上级教育整顿的安排部署，坚持政治建警，通过基层党支部开展“三会一课”、主题党日活动、专题组织生活会等，完成队伍教育整顿任务；结合党建实际，制定完善《永济市公安局党建工作目标考核细则》等8项党建方面制度，确保了教育整顿效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 xml:space="preserve"> 党建工作规范化建设：推进“不忘初心、牢记使命”常态化；开展“共驻共建”活动，做好新时代城市党建工作；结合庆祝</w:t>
      </w:r>
      <w:bookmarkStart w:id="302" w:name="_GoBack"/>
      <w:bookmarkEnd w:id="302"/>
      <w:r>
        <w:rPr>
          <w:rFonts w:hint="eastAsia" w:ascii="仿宋" w:hAnsi="仿宋" w:eastAsia="仿宋" w:cs="仿宋"/>
          <w:b w:val="0"/>
          <w:bCs/>
          <w:kern w:val="2"/>
          <w:sz w:val="28"/>
          <w:szCs w:val="28"/>
          <w:highlight w:val="none"/>
          <w:lang w:val="en-US" w:eastAsia="zh-CN" w:bidi="ar-SA"/>
        </w:rPr>
        <w:t>建党100周年，开展“党课开讲”“七一红色经典诵读活动”“七一慰问因公殉职民警家属和因公伤残民警”“文艺作品创作征集”系列活动；落实主题党日长效机制；规范党员调动组织关系的转接和党费交纳，全年转接组织关系24人，上交市组织部党费65237.3元。</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仿宋" w:hAnsi="仿宋" w:eastAsia="仿宋" w:cs="仿宋"/>
          <w:b w:val="0"/>
          <w:bCs/>
          <w:kern w:val="2"/>
          <w:sz w:val="28"/>
          <w:szCs w:val="28"/>
          <w:highlight w:val="none"/>
          <w:lang w:val="en-US" w:eastAsia="zh-CN" w:bidi="ar-SA"/>
        </w:rPr>
        <w:t>加强基层党支部建设：2021年在交管大队设立党总支和3个党支部；加强阵地建设，把党建工作向网络延伸；做好预备党员和重点发展对象、积极分子、入党申请人管理工作，确定备案发展对象19名、确定备案积极分子11名、入党申请人23名、发展预备党员19人，增强基层党组织凝聚力。</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依据评分标准，本指标得3分。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A2-2指挥中心接处警等工作</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指挥中心以“建党100周年庆祝活动安保维稳工作”为主线，以“情指勤舆”一体化机制为依托，充分发挥职能作用，有力服务了永济市治安稳定大局。全年共接有效警情10880起，其中：刑事类180起、治安类4352起、交通类3578起、快处类621起、火警类8起、举报类66起、求助类1097起、其他类978起。</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指挥中心开展的</w:t>
      </w:r>
      <w:r>
        <w:rPr>
          <w:rFonts w:hint="eastAsia" w:ascii="仿宋" w:hAnsi="仿宋" w:eastAsia="仿宋" w:cs="仿宋"/>
          <w:kern w:val="2"/>
          <w:sz w:val="28"/>
          <w:szCs w:val="28"/>
          <w:highlight w:val="none"/>
          <w:lang w:val="en-US" w:eastAsia="zh-CN" w:bidi="ar-SA"/>
        </w:rPr>
        <w:t>公安619智能卡口建设项目本年度未实施。</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依据评分标准，本指标得1分。</w:t>
      </w:r>
    </w:p>
    <w:p>
      <w:pPr>
        <w:pStyle w:val="2"/>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A2-3预防、制止、侦查各类犯罪工作</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打击效能方面：全年共立刑事案件746起（同比下降12.75％），受理行政案件728起（同比下降25.71％）；破获刑事案件553起（破现发刑事案件443起，较去年同期上升31.07％），刑拘犯罪嫌疑人404人、逮捕194人，移送起诉678人，行政处罚426人、行政拘留255人。</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扫黑除恶方面：全年共打掉了恶势力犯罪团伙2个，刑事拘留23人，共收到涉黑涉恶举报线索20条，核结14条。</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侦破命案积案方面：全年成功侦破命案积案2起（3月24日侦破1998.11.09货场专用铁路边冯拥军被杀案，9月20日侦破1996.6.25王宏太杀人案）。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侵财犯罪方面：全年共立“盗抢骗”刑事案件198起，破获142起，破案率71％；立电信网络诈骗案件156起，涉案金额1542万余元，破案63起，破案率40.4％，带破外省市108起，抓获嫌疑人41人，冻结个人账户105个，冻结金额2067万余元，返还群众被骗人民币71万余元，有效维护了群众切身利益。</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经济犯罪方面：全年共受理经济类案件22起，立案16起，破案20起，抓获犯罪嫌疑人32人，挽回损失40万余元。</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追捕逃犯方面：全年共抓获逃犯108人，抓获当年逃犯102人，历年逃犯6人，其中外省逃犯19人，外市逃犯10人，本地逃犯79人。</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依据评分标准，本指标得3分。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A2-4社会治安保卫工作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收缴危险品：全年共收缴子弹1465发、管制刀具99把，烟花爆竹500件；查处非法储存危险物品案件14起，行政拘留14人；查处黑加油站2处，行政拘留2人。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护校安园方面：全年对全市157所中小学幼儿园及周边出租房屋、商户、流动摊贩等进行了滚动排查，共排查安全隐患30处，整改30处。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社会面管控方面：完善立体化、信息化社会治安防控体系建设，全面落实对“硬目标”“软目标”等重要场所的安全防范措施，发挥专业化巡防优势，持续开展武装巡逻、三警联勤巡逻，增强了显性用警的震慑力和对社会面的管控力。</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依据评分标准，本指标得3分。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A2-5户政、居民身份证、出入境工作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户政、居民身份证：延时工作时间为群众办理户籍业务23件，户口迁入1044件，迁出2799件，受理居民身份证24459件，办理临时身份证业务476件，给困难群众提供送证上门服务，共送证上门16次。</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出入境：全年受理出国（境）证件申请126人次，其中护照15人次，往来港澳通行证111人次，服务60岁老年人办证15人次，服务中高考生和留学生办证12人次，为老年人送证12人次；列报法定不准出境人员报备1192人，撤销666人，延长283人；国家工作人员报备108人，撤销3人；办理各类涉外案件1起，查处非法入境、非法居留外国人1人，容留、藏匿非法入境、非法居留外国人1人，遣送“三非”外国人1人。</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依据评分标准，本指标得3分。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A2-6计算机信息系统安全保卫等工作</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网安大队严格落实7*24小时网上巡查监控和治安形势分析、研判、调度例会机制，完成落地处置涉嫌散布政治谣言和有害信息任务9起，批评教育9人；启动三同步机制，处置敏感舆情11起，接触调查5人，批评教育3人。核查上级下发案件线索5条，配侦案件73起，抓获各类犯罪嫌疑人17人。开展网络安全执法检查85次，处置网络安全事件7起，已整改完毕，全市互联网网站备案35家，完成三级等级保护测评单位5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网安大队2021年实施了电子数据勘查取证实验室的改造，2021年3月经竞争性磋商，确定永济市正鑫建筑工程有限公司为中标单位，中标价64万元，合同签订开工日期2021年10月20日，竣工日期2021年12月8日，但截止2021年12月该项目完成80%工程量。</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依据评分标准，本指标得3分。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A2-7</w:t>
      </w:r>
      <w:r>
        <w:rPr>
          <w:rFonts w:hint="eastAsia" w:ascii="仿宋" w:hAnsi="仿宋" w:eastAsia="仿宋" w:cs="仿宋"/>
          <w:b/>
          <w:kern w:val="2"/>
          <w:sz w:val="28"/>
          <w:szCs w:val="28"/>
          <w:highlight w:val="none"/>
          <w:lang w:val="en-US" w:eastAsia="zh-CN" w:bidi="ar-SA"/>
        </w:rPr>
        <w:t>组织实施</w:t>
      </w:r>
      <w:r>
        <w:rPr>
          <w:rFonts w:hint="default" w:ascii="仿宋" w:hAnsi="仿宋" w:eastAsia="仿宋" w:cs="仿宋"/>
          <w:b/>
          <w:kern w:val="2"/>
          <w:sz w:val="28"/>
          <w:szCs w:val="28"/>
          <w:highlight w:val="none"/>
          <w:lang w:val="en-US" w:eastAsia="zh-CN" w:bidi="ar-SA"/>
        </w:rPr>
        <w:t>公安科学技术工作</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lang w:val="en-US" w:eastAsia="zh-CN"/>
        </w:rPr>
      </w:pPr>
      <w:r>
        <w:rPr>
          <w:rFonts w:hint="eastAsia" w:ascii="仿宋" w:hAnsi="仿宋" w:eastAsia="仿宋" w:cs="仿宋"/>
          <w:sz w:val="28"/>
          <w:szCs w:val="28"/>
          <w:highlight w:val="none"/>
          <w:lang w:val="en-US" w:eastAsia="zh-CN"/>
        </w:rPr>
        <w:t>利用指纹破获各类案件25起，利用DNA破获命案积案1起，破获其他案件15起，利用足迹破案3起；整理家系血卡1716份，整理1997年命案血卡215份；整理标准化信息采集1311份，DNA信息录入1329份，全年各类案件勘验率、制作率、分析率和建档率均达成100%。</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依据评分标准，本指标得3分。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A2-8道路交通秩序专项整治</w:t>
      </w:r>
      <w:r>
        <w:rPr>
          <w:rFonts w:hint="eastAsia" w:ascii="仿宋" w:hAnsi="仿宋" w:eastAsia="仿宋" w:cs="仿宋"/>
          <w:b/>
          <w:kern w:val="2"/>
          <w:sz w:val="28"/>
          <w:szCs w:val="28"/>
          <w:highlight w:val="none"/>
          <w:lang w:val="en-US" w:eastAsia="zh-CN" w:bidi="ar-SA"/>
        </w:rPr>
        <w:t>等</w:t>
      </w:r>
      <w:r>
        <w:rPr>
          <w:rFonts w:hint="default" w:ascii="仿宋" w:hAnsi="仿宋" w:eastAsia="仿宋" w:cs="仿宋"/>
          <w:b/>
          <w:kern w:val="2"/>
          <w:sz w:val="28"/>
          <w:szCs w:val="28"/>
          <w:highlight w:val="none"/>
          <w:lang w:val="en-US" w:eastAsia="zh-CN" w:bidi="ar-SA"/>
        </w:rPr>
        <w:t>工作</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永济市交通管理大队以缉查布控、集中整治、电子抓拍等多种形式，开展酒驾毒驾、闯红灯、两客一危一校、面包车、摩托车、电动车、涉牌涉证、违法停车等重点违法行为整治，全力压事故、保畅通，营造良好的交通秩序，全年共发生交通事故285起，受伤302人，死亡事故30起，死亡30人，共查处各类交通违法行为18236起，其中简易16290起，无证驾驶488起，无牌195起，饮酒驾驶399起，醉酒驾驶191起，再次饮酒25起，假牌假证12起，超载112起，其他违法524起。</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永济市交通管理大队实施的</w:t>
      </w:r>
      <w:r>
        <w:rPr>
          <w:rFonts w:hint="eastAsia" w:ascii="仿宋" w:hAnsi="仿宋" w:eastAsia="仿宋" w:cs="仿宋"/>
          <w:sz w:val="28"/>
          <w:szCs w:val="28"/>
          <w:lang w:val="en-US" w:eastAsia="zh-CN"/>
        </w:rPr>
        <w:t>城区交通标示化线建设项目于2021年7月5日在运城市公共资源交易中心公开招标，由太原市锐光交通安全设施有限公司施工建设完成，该项目分两次对舜都大道、河东大道、西厢路、迎宾路、康乐路、东环路、东丰路、黄河大道、市府街、银杏街、中山街、富强街、迎新街、涑水街、东外环路、御苑路、蒲惠街等市区街道标线进行施划，面积85866㎡，于2021年9月14日、11月15日永济市公安局交通管理大队对两次施划标线进行验收，2021年12月1日，经泾清项目管理有限公司对该项目进行结算审核，审定价1515736.55元，截止年底，该项目付款比例为95%，余5%为质保金。</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依据评分标准，本指标得3分。</w:t>
      </w:r>
    </w:p>
    <w:p>
      <w:pPr>
        <w:pStyle w:val="2"/>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A2-9关押人员安全管理</w:t>
      </w:r>
      <w:r>
        <w:rPr>
          <w:rFonts w:hint="eastAsia" w:ascii="仿宋" w:hAnsi="仿宋" w:eastAsia="仿宋" w:cs="仿宋"/>
          <w:b/>
          <w:kern w:val="2"/>
          <w:sz w:val="28"/>
          <w:szCs w:val="28"/>
          <w:highlight w:val="none"/>
          <w:lang w:val="en-US" w:eastAsia="zh-CN" w:bidi="ar-SA"/>
        </w:rPr>
        <w:t>等</w:t>
      </w:r>
      <w:r>
        <w:rPr>
          <w:rFonts w:hint="default" w:ascii="仿宋" w:hAnsi="仿宋" w:eastAsia="仿宋" w:cs="仿宋"/>
          <w:b/>
          <w:kern w:val="2"/>
          <w:sz w:val="28"/>
          <w:szCs w:val="28"/>
          <w:highlight w:val="none"/>
          <w:lang w:val="en-US" w:eastAsia="zh-CN" w:bidi="ar-SA"/>
        </w:rPr>
        <w:t>工作</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截止2021年12月31日，永济看守所关押188人，其中:永济在押134人，夏县在押46人，异地羁押8人；2021年永济市看守所以智慧监管平台为依托，以重点工作考核为抓手，以疫情防控和安全管理工作为中心，以“安全、规范、文明、保障”为标准，对所有在押人员佩戴定位手环，所有进入监区的民辅警、医生等人员佩戴定位胸卡、监室的高清摄像头等设备捕捉在押人员违规情况，督促执行一日生活制度，每天定时对智慧监管实战应用平台的考核进行检点，确保万无一失，连续4749天实现安全无事故。</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依据评分标准，本指标得3分。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A2-10拘留人员矛盾化解和教育转化工作</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年所内人员全部转往盐湖区拘留所执行任务，2021年共收拘294人，其中：司法拘留17人，吸毒20人，建立了矛盾化解、教育转化专班，通过全面排查、教育转化、沟通调解、社会联运等方法，化解社会矛盾2起、教育转化1人。</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依据评分标准，本指标得3分。</w:t>
      </w:r>
    </w:p>
    <w:p>
      <w:pPr>
        <w:pStyle w:val="2"/>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A3-1依法行政</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default" w:ascii="仿宋" w:hAnsi="仿宋" w:eastAsia="仿宋" w:cs="仿宋"/>
          <w:b w:val="0"/>
          <w:bCs/>
          <w:kern w:val="2"/>
          <w:sz w:val="28"/>
          <w:szCs w:val="28"/>
          <w:highlight w:val="none"/>
          <w:lang w:val="en-US" w:eastAsia="zh-CN" w:bidi="ar-SA"/>
        </w:rPr>
      </w:pPr>
      <w:r>
        <w:rPr>
          <w:rFonts w:hint="default" w:ascii="仿宋" w:hAnsi="仿宋" w:eastAsia="仿宋" w:cs="仿宋"/>
          <w:b w:val="0"/>
          <w:bCs/>
          <w:kern w:val="2"/>
          <w:sz w:val="28"/>
          <w:szCs w:val="28"/>
          <w:highlight w:val="none"/>
          <w:lang w:val="en-US" w:eastAsia="zh-CN" w:bidi="ar-SA"/>
        </w:rPr>
        <w:t>全面推行执法公示、执法全过程记录、重大执法决定法制审核“三项制度”，提高执法效能，促进严格规范公正文明执法。全年</w:t>
      </w:r>
      <w:r>
        <w:rPr>
          <w:rFonts w:hint="eastAsia" w:ascii="仿宋" w:hAnsi="仿宋" w:eastAsia="仿宋" w:cs="仿宋"/>
          <w:b w:val="0"/>
          <w:bCs/>
          <w:kern w:val="2"/>
          <w:sz w:val="28"/>
          <w:szCs w:val="28"/>
          <w:highlight w:val="none"/>
          <w:lang w:val="en-US" w:eastAsia="zh-CN" w:bidi="ar-SA"/>
        </w:rPr>
        <w:t>法制大队</w:t>
      </w:r>
      <w:r>
        <w:rPr>
          <w:rFonts w:hint="default" w:ascii="仿宋" w:hAnsi="仿宋" w:eastAsia="仿宋" w:cs="仿宋"/>
          <w:b w:val="0"/>
          <w:bCs/>
          <w:kern w:val="2"/>
          <w:sz w:val="28"/>
          <w:szCs w:val="28"/>
          <w:highlight w:val="none"/>
          <w:lang w:val="en-US" w:eastAsia="zh-CN" w:bidi="ar-SA"/>
        </w:rPr>
        <w:t>共审核刑事立案812起，审核行政（治安）案件225案382人，纠正执法突出问题63个，受立案不规范问题同比减少11.5%,检察机关通知立案数和群众投诉数明显下降。同时，认真开展了案件评查工作，对全局2020年11月1日至2021年10月31日已办结的304起行政案件</w:t>
      </w:r>
      <w:r>
        <w:rPr>
          <w:rFonts w:hint="eastAsia" w:ascii="仿宋" w:hAnsi="仿宋" w:eastAsia="仿宋" w:cs="仿宋"/>
          <w:b w:val="0"/>
          <w:bCs/>
          <w:kern w:val="2"/>
          <w:sz w:val="28"/>
          <w:szCs w:val="28"/>
          <w:highlight w:val="none"/>
          <w:lang w:val="en-US" w:eastAsia="zh-CN" w:bidi="ar-SA"/>
        </w:rPr>
        <w:t>，</w:t>
      </w:r>
      <w:r>
        <w:rPr>
          <w:rFonts w:hint="default" w:ascii="仿宋" w:hAnsi="仿宋" w:eastAsia="仿宋" w:cs="仿宋"/>
          <w:b w:val="0"/>
          <w:bCs/>
          <w:kern w:val="2"/>
          <w:sz w:val="28"/>
          <w:szCs w:val="28"/>
          <w:highlight w:val="none"/>
          <w:lang w:val="en-US" w:eastAsia="zh-CN" w:bidi="ar-SA"/>
        </w:rPr>
        <w:t>采取强制措施未起诉的刑事案件进行执法质量案件评查，执法质量得到有效提升。</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依据评分标准，本指标得3分。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A3-2基础能力建设</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仿宋" w:hAnsi="仿宋" w:eastAsia="仿宋" w:cs="仿宋"/>
          <w:sz w:val="28"/>
          <w:szCs w:val="28"/>
          <w:highlight w:val="none"/>
          <w:lang w:val="en-US" w:eastAsia="zh-CN"/>
        </w:rPr>
        <w:t>永济市公安局制定了《建设项目管理制度》、《政府采购管理办法》、《“三重一大”事项集体决策制度》、《非税收入管理制度》等各项制度，2021年针对队伍教育管理监督的短板漏洞，完善了整治违反防止干预司法“三个规定”、整治有案不立、压案不查、降格处理及违规取保候审等九类54项制度，新立《案件办理终身负责制度》、《贯彻执行“三个规定”八不准》等制度。但在制度执行方面存有非税收入平时未纳入财务核算、已结案的取保金未按规定发布公告、已结案的16起案件涉案物品未按规定处理、临时招聘人员未签订合同执行不到位。</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依据评分标准，本指标得1.50分。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0"/>
        <w:rPr>
          <w:rFonts w:hint="eastAsia" w:ascii="仿宋" w:hAnsi="仿宋" w:eastAsia="仿宋" w:cs="仿宋"/>
          <w:b/>
          <w:sz w:val="28"/>
          <w:szCs w:val="28"/>
          <w:highlight w:val="none"/>
        </w:rPr>
      </w:pPr>
      <w:bookmarkStart w:id="190" w:name="_Toc18358"/>
      <w:r>
        <w:rPr>
          <w:rFonts w:hint="eastAsia" w:ascii="仿宋" w:hAnsi="仿宋" w:eastAsia="仿宋" w:cs="仿宋"/>
          <w:b/>
          <w:sz w:val="28"/>
          <w:szCs w:val="28"/>
          <w:highlight w:val="none"/>
          <w:lang w:val="en-US" w:eastAsia="zh-CN"/>
        </w:rPr>
        <w:t>2、</w:t>
      </w:r>
      <w:r>
        <w:rPr>
          <w:rFonts w:hint="eastAsia" w:ascii="仿宋" w:hAnsi="仿宋" w:eastAsia="仿宋" w:cs="仿宋"/>
          <w:b/>
          <w:sz w:val="28"/>
          <w:szCs w:val="28"/>
          <w:highlight w:val="none"/>
        </w:rPr>
        <w:t>管理效率情况分析</w:t>
      </w:r>
      <w:bookmarkEnd w:id="190"/>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管理效率分别从预算管理、财务管理、资产管理、其他管理四个方面进行分析，共设置4个二级指标15个三级指标。管理效率类指标分值30分，实际得分25.50分，得分率85.00%。各分项指标得分情况如下表4-2所示：</w:t>
      </w:r>
    </w:p>
    <w:p>
      <w:pPr>
        <w:spacing w:line="560" w:lineRule="exact"/>
        <w:jc w:val="center"/>
        <w:outlineLvl w:val="0"/>
        <w:rPr>
          <w:rFonts w:ascii="仿宋" w:hAnsi="仿宋" w:eastAsia="仿宋" w:cs="仿宋"/>
          <w:sz w:val="28"/>
          <w:szCs w:val="28"/>
          <w:highlight w:val="none"/>
        </w:rPr>
      </w:pPr>
      <w:bookmarkStart w:id="191" w:name="_Toc28761"/>
      <w:r>
        <w:rPr>
          <w:rFonts w:hint="eastAsia" w:ascii="仿宋" w:hAnsi="仿宋" w:eastAsia="仿宋" w:cs="仿宋"/>
          <w:sz w:val="28"/>
          <w:szCs w:val="28"/>
          <w:highlight w:val="none"/>
        </w:rPr>
        <w:t>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管理效率类指标得分情况</w:t>
      </w:r>
      <w:bookmarkEnd w:id="191"/>
    </w:p>
    <w:tbl>
      <w:tblPr>
        <w:tblStyle w:val="19"/>
        <w:tblW w:w="8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253"/>
        <w:gridCol w:w="117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shd w:val="clear" w:color="auto" w:fill="BEBEBE" w:themeFill="background1" w:themeFillShade="BF"/>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二级指标</w:t>
            </w:r>
          </w:p>
        </w:tc>
        <w:tc>
          <w:tcPr>
            <w:tcW w:w="4253" w:type="dxa"/>
            <w:shd w:val="clear" w:color="auto" w:fill="BEBEBE" w:themeFill="background1" w:themeFillShade="BF"/>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三级指标</w:t>
            </w:r>
          </w:p>
        </w:tc>
        <w:tc>
          <w:tcPr>
            <w:tcW w:w="1170" w:type="dxa"/>
            <w:shd w:val="clear" w:color="auto" w:fill="BEBEBE" w:themeFill="background1" w:themeFillShade="BF"/>
            <w:vAlign w:val="center"/>
          </w:tcPr>
          <w:p>
            <w:pPr>
              <w:jc w:val="center"/>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lang w:val="en-US" w:eastAsia="zh-CN"/>
              </w:rPr>
              <w:t>权重</w:t>
            </w:r>
          </w:p>
        </w:tc>
        <w:tc>
          <w:tcPr>
            <w:tcW w:w="1170" w:type="dxa"/>
            <w:shd w:val="clear" w:color="auto" w:fill="BEBEBE" w:themeFill="background1" w:themeFillShade="BF"/>
            <w:vAlign w:val="center"/>
          </w:tcPr>
          <w:p>
            <w:pPr>
              <w:jc w:val="center"/>
              <w:rPr>
                <w:rFonts w:ascii="仿宋" w:hAnsi="仿宋" w:eastAsia="仿宋" w:cs="仿宋"/>
                <w:b/>
                <w:bCs/>
                <w:sz w:val="24"/>
                <w:highlight w:val="none"/>
              </w:rPr>
            </w:pPr>
            <w:r>
              <w:rPr>
                <w:rFonts w:hint="eastAsia" w:ascii="仿宋" w:hAnsi="仿宋" w:eastAsia="仿宋" w:cs="仿宋"/>
                <w:b/>
                <w:bCs/>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88" w:type="dxa"/>
            <w:vMerge w:val="restart"/>
            <w:vAlign w:val="center"/>
          </w:tcPr>
          <w:p>
            <w:pPr>
              <w:keepNext w:val="0"/>
              <w:keepLines w:val="0"/>
              <w:widowControl/>
              <w:suppressLineNumbers w:val="0"/>
              <w:jc w:val="center"/>
              <w:textAlignment w:val="center"/>
              <w:rPr>
                <w:rFonts w:hint="eastAsia" w:ascii="仿宋" w:hAnsi="仿宋" w:eastAsia="仿宋" w:cs="仿宋"/>
                <w:sz w:val="24"/>
                <w:szCs w:val="24"/>
                <w:highlight w:val="none"/>
                <w:lang w:eastAsia="zh-CN"/>
              </w:rPr>
            </w:pPr>
            <w:r>
              <w:rPr>
                <w:rFonts w:hint="eastAsia" w:ascii="仿宋" w:hAnsi="仿宋" w:eastAsia="仿宋" w:cs="仿宋"/>
                <w:i w:val="0"/>
                <w:iCs w:val="0"/>
                <w:color w:val="000000"/>
                <w:kern w:val="0"/>
                <w:sz w:val="24"/>
                <w:szCs w:val="24"/>
                <w:u w:val="none"/>
                <w:lang w:val="en-US" w:eastAsia="zh-CN" w:bidi="ar"/>
              </w:rPr>
              <w:t>B1预算管理</w:t>
            </w:r>
          </w:p>
        </w:tc>
        <w:tc>
          <w:tcPr>
            <w:tcW w:w="4253"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lang w:eastAsia="zh-CN"/>
              </w:rPr>
            </w:pPr>
            <w:r>
              <w:rPr>
                <w:rFonts w:hint="eastAsia" w:ascii="仿宋" w:hAnsi="仿宋" w:eastAsia="仿宋" w:cs="仿宋"/>
                <w:i w:val="0"/>
                <w:iCs w:val="0"/>
                <w:color w:val="000000"/>
                <w:kern w:val="0"/>
                <w:sz w:val="24"/>
                <w:szCs w:val="24"/>
                <w:u w:val="none"/>
                <w:lang w:val="en-US" w:eastAsia="zh-CN" w:bidi="ar"/>
              </w:rPr>
              <w:t>B1-1预算编制管理</w:t>
            </w:r>
          </w:p>
        </w:tc>
        <w:tc>
          <w:tcPr>
            <w:tcW w:w="1170" w:type="dxa"/>
            <w:vAlign w:val="center"/>
          </w:tcPr>
          <w:p>
            <w:pPr>
              <w:keepNext w:val="0"/>
              <w:keepLines w:val="0"/>
              <w:widowControl/>
              <w:suppressLineNumbers w:val="0"/>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88" w:type="dxa"/>
            <w:vMerge w:val="continue"/>
            <w:vAlign w:val="center"/>
          </w:tcPr>
          <w:p>
            <w:pPr>
              <w:jc w:val="center"/>
              <w:rPr>
                <w:rFonts w:ascii="仿宋" w:hAnsi="仿宋" w:eastAsia="仿宋" w:cs="仿宋"/>
                <w:sz w:val="24"/>
                <w:szCs w:val="24"/>
                <w:highlight w:val="none"/>
              </w:rPr>
            </w:pPr>
          </w:p>
        </w:tc>
        <w:tc>
          <w:tcPr>
            <w:tcW w:w="4253"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lang w:eastAsia="zh-CN"/>
              </w:rPr>
            </w:pPr>
            <w:r>
              <w:rPr>
                <w:rFonts w:hint="eastAsia" w:ascii="仿宋" w:hAnsi="仿宋" w:eastAsia="仿宋" w:cs="仿宋"/>
                <w:i w:val="0"/>
                <w:iCs w:val="0"/>
                <w:color w:val="000000"/>
                <w:kern w:val="0"/>
                <w:sz w:val="24"/>
                <w:szCs w:val="24"/>
                <w:u w:val="none"/>
                <w:lang w:val="en-US" w:eastAsia="zh-CN" w:bidi="ar"/>
              </w:rPr>
              <w:t>B1-2预算完成率</w:t>
            </w:r>
          </w:p>
        </w:tc>
        <w:tc>
          <w:tcPr>
            <w:tcW w:w="1170" w:type="dxa"/>
            <w:vAlign w:val="center"/>
          </w:tcPr>
          <w:p>
            <w:pPr>
              <w:keepNext w:val="0"/>
              <w:keepLines w:val="0"/>
              <w:widowControl/>
              <w:suppressLineNumbers w:val="0"/>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ascii="仿宋" w:hAnsi="仿宋" w:eastAsia="仿宋" w:cs="仿宋"/>
                <w:sz w:val="24"/>
                <w:szCs w:val="24"/>
                <w:highlight w:val="none"/>
              </w:rPr>
            </w:pPr>
          </w:p>
        </w:tc>
        <w:tc>
          <w:tcPr>
            <w:tcW w:w="4253" w:type="dxa"/>
            <w:vAlign w:val="center"/>
          </w:tcPr>
          <w:p>
            <w:pPr>
              <w:keepNext w:val="0"/>
              <w:keepLines w:val="0"/>
              <w:widowControl/>
              <w:suppressLineNumbers w:val="0"/>
              <w:jc w:val="both"/>
              <w:textAlignment w:val="center"/>
              <w:rPr>
                <w:rFonts w:ascii="仿宋" w:hAnsi="仿宋" w:eastAsia="仿宋" w:cs="仿宋"/>
                <w:b/>
                <w:bCs/>
                <w:sz w:val="24"/>
                <w:szCs w:val="24"/>
                <w:highlight w:val="none"/>
              </w:rPr>
            </w:pPr>
            <w:r>
              <w:rPr>
                <w:rFonts w:hint="eastAsia" w:ascii="仿宋" w:hAnsi="仿宋" w:eastAsia="仿宋" w:cs="仿宋"/>
                <w:i w:val="0"/>
                <w:iCs w:val="0"/>
                <w:color w:val="000000"/>
                <w:kern w:val="0"/>
                <w:sz w:val="24"/>
                <w:szCs w:val="24"/>
                <w:u w:val="none"/>
                <w:lang w:val="en-US" w:eastAsia="zh-CN" w:bidi="ar"/>
              </w:rPr>
              <w:t>B1-3预算调整率</w:t>
            </w:r>
          </w:p>
        </w:tc>
        <w:tc>
          <w:tcPr>
            <w:tcW w:w="1170" w:type="dxa"/>
            <w:vAlign w:val="center"/>
          </w:tcPr>
          <w:p>
            <w:pPr>
              <w:keepNext w:val="0"/>
              <w:keepLines w:val="0"/>
              <w:widowControl/>
              <w:suppressLineNumbers w:val="0"/>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88" w:type="dxa"/>
            <w:vMerge w:val="continue"/>
            <w:vAlign w:val="center"/>
          </w:tcPr>
          <w:p>
            <w:pPr>
              <w:jc w:val="center"/>
              <w:rPr>
                <w:rFonts w:hint="eastAsia" w:ascii="仿宋" w:hAnsi="仿宋" w:eastAsia="仿宋" w:cs="仿宋"/>
                <w:sz w:val="24"/>
                <w:szCs w:val="24"/>
                <w:highlight w:val="none"/>
                <w:lang w:eastAsia="zh-CN"/>
              </w:rPr>
            </w:pPr>
          </w:p>
        </w:tc>
        <w:tc>
          <w:tcPr>
            <w:tcW w:w="4253"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lang w:eastAsia="zh-CN"/>
              </w:rPr>
            </w:pPr>
            <w:r>
              <w:rPr>
                <w:rFonts w:hint="eastAsia" w:ascii="仿宋" w:hAnsi="仿宋" w:eastAsia="仿宋" w:cs="仿宋"/>
                <w:i w:val="0"/>
                <w:iCs w:val="0"/>
                <w:color w:val="000000"/>
                <w:kern w:val="0"/>
                <w:sz w:val="24"/>
                <w:szCs w:val="24"/>
                <w:u w:val="none"/>
                <w:lang w:val="en-US" w:eastAsia="zh-CN" w:bidi="ar"/>
              </w:rPr>
              <w:t>B1-4结转结余变动率</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88" w:type="dxa"/>
            <w:vMerge w:val="continue"/>
            <w:vAlign w:val="center"/>
          </w:tcPr>
          <w:p>
            <w:pPr>
              <w:jc w:val="center"/>
              <w:rPr>
                <w:rFonts w:ascii="仿宋" w:hAnsi="仿宋" w:eastAsia="仿宋" w:cs="仿宋"/>
                <w:sz w:val="24"/>
                <w:szCs w:val="24"/>
                <w:highlight w:val="none"/>
              </w:rPr>
            </w:pPr>
          </w:p>
        </w:tc>
        <w:tc>
          <w:tcPr>
            <w:tcW w:w="4253"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lang w:eastAsia="zh-CN"/>
              </w:rPr>
            </w:pPr>
            <w:r>
              <w:rPr>
                <w:rFonts w:hint="eastAsia" w:ascii="仿宋" w:hAnsi="仿宋" w:eastAsia="仿宋" w:cs="仿宋"/>
                <w:i w:val="0"/>
                <w:iCs w:val="0"/>
                <w:color w:val="000000"/>
                <w:kern w:val="0"/>
                <w:sz w:val="24"/>
                <w:szCs w:val="24"/>
                <w:u w:val="none"/>
                <w:lang w:val="en-US" w:eastAsia="zh-CN" w:bidi="ar"/>
              </w:rPr>
              <w:t>B1-5公用经费控制率</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88" w:type="dxa"/>
            <w:vMerge w:val="continue"/>
            <w:vAlign w:val="center"/>
          </w:tcPr>
          <w:p>
            <w:pPr>
              <w:jc w:val="center"/>
              <w:rPr>
                <w:rFonts w:ascii="仿宋" w:hAnsi="仿宋" w:eastAsia="仿宋" w:cs="仿宋"/>
                <w:sz w:val="24"/>
                <w:szCs w:val="24"/>
                <w:highlight w:val="none"/>
              </w:rPr>
            </w:pPr>
          </w:p>
        </w:tc>
        <w:tc>
          <w:tcPr>
            <w:tcW w:w="4253"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lang w:eastAsia="zh-CN"/>
              </w:rPr>
            </w:pPr>
            <w:r>
              <w:rPr>
                <w:rFonts w:hint="eastAsia" w:ascii="仿宋" w:hAnsi="仿宋" w:eastAsia="仿宋" w:cs="仿宋"/>
                <w:i w:val="0"/>
                <w:iCs w:val="0"/>
                <w:color w:val="000000"/>
                <w:kern w:val="0"/>
                <w:sz w:val="24"/>
                <w:szCs w:val="24"/>
                <w:u w:val="none"/>
                <w:lang w:val="en-US" w:eastAsia="zh-CN" w:bidi="ar"/>
              </w:rPr>
              <w:t>B1-6“三公经费”控制率</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88" w:type="dxa"/>
            <w:vMerge w:val="continue"/>
            <w:vAlign w:val="center"/>
          </w:tcPr>
          <w:p>
            <w:pPr>
              <w:jc w:val="center"/>
              <w:rPr>
                <w:rFonts w:ascii="仿宋" w:hAnsi="仿宋" w:eastAsia="仿宋" w:cs="仿宋"/>
                <w:sz w:val="24"/>
                <w:szCs w:val="24"/>
                <w:highlight w:val="none"/>
              </w:rPr>
            </w:pPr>
          </w:p>
        </w:tc>
        <w:tc>
          <w:tcPr>
            <w:tcW w:w="4253"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u w:val="none"/>
                <w:lang w:val="en-US" w:eastAsia="zh-CN" w:bidi="ar"/>
              </w:rPr>
              <w:t>B1-7预算监督管理</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88" w:type="dxa"/>
            <w:vMerge w:val="continue"/>
            <w:vAlign w:val="center"/>
          </w:tcPr>
          <w:p>
            <w:pPr>
              <w:jc w:val="center"/>
              <w:rPr>
                <w:rFonts w:ascii="仿宋" w:hAnsi="仿宋" w:eastAsia="仿宋" w:cs="仿宋"/>
                <w:b/>
                <w:sz w:val="24"/>
                <w:szCs w:val="24"/>
                <w:highlight w:val="none"/>
              </w:rPr>
            </w:pPr>
          </w:p>
        </w:tc>
        <w:tc>
          <w:tcPr>
            <w:tcW w:w="4253"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u w:val="none"/>
                <w:lang w:val="en-US" w:eastAsia="zh-CN" w:bidi="ar"/>
              </w:rPr>
              <w:t>B1-8预算绩效管理</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ascii="仿宋" w:hAnsi="仿宋" w:eastAsia="仿宋" w:cs="仿宋"/>
                <w:b/>
                <w:sz w:val="24"/>
                <w:szCs w:val="24"/>
                <w:highlight w:val="none"/>
              </w:rPr>
            </w:pPr>
          </w:p>
        </w:tc>
        <w:tc>
          <w:tcPr>
            <w:tcW w:w="4253"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小计</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16</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88"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B2财务管理</w:t>
            </w:r>
          </w:p>
          <w:p>
            <w:pPr>
              <w:jc w:val="center"/>
              <w:rPr>
                <w:rFonts w:hint="eastAsia" w:ascii="仿宋" w:hAnsi="仿宋" w:eastAsia="仿宋" w:cs="仿宋"/>
                <w:b w:val="0"/>
                <w:bCs/>
                <w:sz w:val="24"/>
                <w:szCs w:val="24"/>
                <w:highlight w:val="none"/>
              </w:rPr>
            </w:pPr>
          </w:p>
        </w:tc>
        <w:tc>
          <w:tcPr>
            <w:tcW w:w="4253"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u w:val="none"/>
                <w:lang w:val="en-US" w:eastAsia="zh-CN" w:bidi="ar"/>
              </w:rPr>
              <w:t>B2-1财务管理制度健全性</w:t>
            </w:r>
          </w:p>
        </w:tc>
        <w:tc>
          <w:tcPr>
            <w:tcW w:w="11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88" w:type="dxa"/>
            <w:vMerge w:val="continue"/>
            <w:vAlign w:val="center"/>
          </w:tcPr>
          <w:p>
            <w:pPr>
              <w:jc w:val="center"/>
              <w:rPr>
                <w:rFonts w:hint="eastAsia" w:ascii="仿宋" w:hAnsi="仿宋" w:eastAsia="仿宋" w:cs="仿宋"/>
                <w:b/>
                <w:sz w:val="24"/>
                <w:szCs w:val="24"/>
                <w:highlight w:val="none"/>
              </w:rPr>
            </w:pPr>
          </w:p>
        </w:tc>
        <w:tc>
          <w:tcPr>
            <w:tcW w:w="4253"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u w:val="none"/>
                <w:lang w:val="en-US" w:eastAsia="zh-CN" w:bidi="ar"/>
              </w:rPr>
              <w:t>B2-2资金使用合规性</w:t>
            </w:r>
          </w:p>
        </w:tc>
        <w:tc>
          <w:tcPr>
            <w:tcW w:w="11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688" w:type="dxa"/>
            <w:vMerge w:val="continue"/>
            <w:vAlign w:val="center"/>
          </w:tcPr>
          <w:p>
            <w:pPr>
              <w:jc w:val="center"/>
              <w:rPr>
                <w:rFonts w:hint="eastAsia" w:ascii="仿宋" w:hAnsi="仿宋" w:eastAsia="仿宋" w:cs="仿宋"/>
                <w:b/>
                <w:sz w:val="24"/>
                <w:szCs w:val="24"/>
                <w:highlight w:val="none"/>
              </w:rPr>
            </w:pPr>
          </w:p>
        </w:tc>
        <w:tc>
          <w:tcPr>
            <w:tcW w:w="4253"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u w:val="none"/>
                <w:lang w:val="en-US" w:eastAsia="zh-CN" w:bidi="ar"/>
              </w:rPr>
              <w:t>B2-3会计核算规范性</w:t>
            </w:r>
          </w:p>
        </w:tc>
        <w:tc>
          <w:tcPr>
            <w:tcW w:w="11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hint="eastAsia" w:ascii="仿宋" w:hAnsi="仿宋" w:eastAsia="仿宋" w:cs="仿宋"/>
                <w:b/>
                <w:sz w:val="24"/>
                <w:szCs w:val="24"/>
                <w:highlight w:val="none"/>
              </w:rPr>
            </w:pPr>
          </w:p>
        </w:tc>
        <w:tc>
          <w:tcPr>
            <w:tcW w:w="4253"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小计</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6</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88" w:type="dxa"/>
            <w:vMerge w:val="restart"/>
            <w:vAlign w:val="center"/>
          </w:tcPr>
          <w:p>
            <w:pPr>
              <w:keepNext w:val="0"/>
              <w:keepLines w:val="0"/>
              <w:widowControl/>
              <w:suppressLineNumbers w:val="0"/>
              <w:jc w:val="center"/>
              <w:textAlignment w:val="center"/>
              <w:rPr>
                <w:rFonts w:hint="eastAsia" w:ascii="仿宋" w:hAnsi="仿宋" w:eastAsia="仿宋" w:cs="仿宋"/>
                <w:b/>
                <w:sz w:val="24"/>
                <w:szCs w:val="24"/>
                <w:highlight w:val="none"/>
              </w:rPr>
            </w:pPr>
            <w:r>
              <w:rPr>
                <w:rFonts w:hint="eastAsia" w:ascii="仿宋" w:hAnsi="仿宋" w:eastAsia="仿宋" w:cs="仿宋"/>
                <w:i w:val="0"/>
                <w:iCs w:val="0"/>
                <w:color w:val="000000"/>
                <w:kern w:val="0"/>
                <w:sz w:val="24"/>
                <w:szCs w:val="24"/>
                <w:u w:val="none"/>
                <w:lang w:val="en-US" w:eastAsia="zh-CN" w:bidi="ar"/>
              </w:rPr>
              <w:t>B3资产管理</w:t>
            </w:r>
          </w:p>
        </w:tc>
        <w:tc>
          <w:tcPr>
            <w:tcW w:w="4253" w:type="dxa"/>
            <w:vAlign w:val="center"/>
          </w:tcPr>
          <w:p>
            <w:pPr>
              <w:keepNext w:val="0"/>
              <w:keepLines w:val="0"/>
              <w:widowControl/>
              <w:suppressLineNumbers w:val="0"/>
              <w:jc w:val="both"/>
              <w:textAlignment w:val="center"/>
              <w:rPr>
                <w:rFonts w:hint="eastAsia" w:ascii="仿宋" w:hAnsi="仿宋" w:eastAsia="仿宋" w:cs="仿宋"/>
                <w:b/>
                <w:sz w:val="24"/>
                <w:szCs w:val="24"/>
                <w:highlight w:val="none"/>
              </w:rPr>
            </w:pPr>
            <w:r>
              <w:rPr>
                <w:rFonts w:hint="eastAsia" w:ascii="仿宋" w:hAnsi="仿宋" w:eastAsia="仿宋" w:cs="仿宋"/>
                <w:i w:val="0"/>
                <w:iCs w:val="0"/>
                <w:color w:val="000000"/>
                <w:kern w:val="0"/>
                <w:sz w:val="24"/>
                <w:szCs w:val="24"/>
                <w:u w:val="none"/>
                <w:lang w:val="en-US" w:eastAsia="zh-CN" w:bidi="ar"/>
              </w:rPr>
              <w:t>B3-1资产管理规范性</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688" w:type="dxa"/>
            <w:vMerge w:val="continue"/>
            <w:vAlign w:val="center"/>
          </w:tcPr>
          <w:p>
            <w:pPr>
              <w:jc w:val="center"/>
              <w:rPr>
                <w:rFonts w:hint="eastAsia" w:ascii="仿宋" w:hAnsi="仿宋" w:eastAsia="仿宋" w:cs="仿宋"/>
                <w:b/>
                <w:sz w:val="24"/>
                <w:szCs w:val="24"/>
                <w:highlight w:val="none"/>
              </w:rPr>
            </w:pPr>
          </w:p>
        </w:tc>
        <w:tc>
          <w:tcPr>
            <w:tcW w:w="4253" w:type="dxa"/>
            <w:vAlign w:val="center"/>
          </w:tcPr>
          <w:p>
            <w:pPr>
              <w:keepNext w:val="0"/>
              <w:keepLines w:val="0"/>
              <w:widowControl/>
              <w:suppressLineNumbers w:val="0"/>
              <w:jc w:val="both"/>
              <w:textAlignment w:val="center"/>
              <w:rPr>
                <w:rFonts w:hint="eastAsia" w:ascii="仿宋" w:hAnsi="仿宋" w:eastAsia="仿宋" w:cs="仿宋"/>
                <w:b/>
                <w:sz w:val="24"/>
                <w:szCs w:val="24"/>
                <w:highlight w:val="none"/>
              </w:rPr>
            </w:pPr>
            <w:r>
              <w:rPr>
                <w:rFonts w:hint="eastAsia" w:ascii="仿宋" w:hAnsi="仿宋" w:eastAsia="仿宋" w:cs="仿宋"/>
                <w:i w:val="0"/>
                <w:iCs w:val="0"/>
                <w:color w:val="000000"/>
                <w:kern w:val="0"/>
                <w:sz w:val="24"/>
                <w:szCs w:val="24"/>
                <w:u w:val="none"/>
                <w:lang w:val="en-US" w:eastAsia="zh-CN" w:bidi="ar"/>
              </w:rPr>
              <w:t>B3-2固定资产利用率</w:t>
            </w:r>
          </w:p>
        </w:tc>
        <w:tc>
          <w:tcPr>
            <w:tcW w:w="11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1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hint="eastAsia" w:ascii="仿宋" w:hAnsi="仿宋" w:eastAsia="仿宋" w:cs="仿宋"/>
                <w:b/>
                <w:sz w:val="24"/>
                <w:szCs w:val="24"/>
                <w:highlight w:val="none"/>
              </w:rPr>
            </w:pPr>
          </w:p>
        </w:tc>
        <w:tc>
          <w:tcPr>
            <w:tcW w:w="4253"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小计</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4</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88" w:type="dxa"/>
            <w:vMerge w:val="restart"/>
            <w:vAlign w:val="center"/>
          </w:tcPr>
          <w:p>
            <w:pPr>
              <w:keepNext w:val="0"/>
              <w:keepLines w:val="0"/>
              <w:widowControl/>
              <w:suppressLineNumbers w:val="0"/>
              <w:jc w:val="center"/>
              <w:textAlignment w:val="center"/>
              <w:rPr>
                <w:rFonts w:hint="eastAsia" w:ascii="仿宋" w:hAnsi="仿宋" w:eastAsia="仿宋" w:cs="仿宋"/>
                <w:b/>
                <w:sz w:val="24"/>
                <w:szCs w:val="24"/>
                <w:highlight w:val="none"/>
              </w:rPr>
            </w:pPr>
            <w:r>
              <w:rPr>
                <w:rFonts w:hint="eastAsia" w:ascii="仿宋" w:hAnsi="仿宋" w:eastAsia="仿宋" w:cs="仿宋"/>
                <w:i w:val="0"/>
                <w:iCs w:val="0"/>
                <w:color w:val="000000"/>
                <w:kern w:val="0"/>
                <w:sz w:val="24"/>
                <w:szCs w:val="24"/>
                <w:u w:val="none"/>
                <w:lang w:val="en-US" w:eastAsia="zh-CN" w:bidi="ar"/>
              </w:rPr>
              <w:t>B4其他管理</w:t>
            </w:r>
          </w:p>
        </w:tc>
        <w:tc>
          <w:tcPr>
            <w:tcW w:w="4253"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B4-1政府采购管理</w:t>
            </w:r>
          </w:p>
        </w:tc>
        <w:tc>
          <w:tcPr>
            <w:tcW w:w="11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1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88" w:type="dxa"/>
            <w:vMerge w:val="continue"/>
            <w:vAlign w:val="center"/>
          </w:tcPr>
          <w:p>
            <w:pPr>
              <w:jc w:val="center"/>
              <w:rPr>
                <w:rFonts w:hint="eastAsia" w:ascii="仿宋" w:hAnsi="仿宋" w:eastAsia="仿宋" w:cs="仿宋"/>
                <w:b/>
                <w:sz w:val="24"/>
                <w:szCs w:val="24"/>
                <w:highlight w:val="none"/>
              </w:rPr>
            </w:pPr>
          </w:p>
        </w:tc>
        <w:tc>
          <w:tcPr>
            <w:tcW w:w="4253"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B4-2预决算信息公开</w:t>
            </w:r>
          </w:p>
        </w:tc>
        <w:tc>
          <w:tcPr>
            <w:tcW w:w="11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1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hint="eastAsia" w:ascii="仿宋" w:hAnsi="仿宋" w:eastAsia="仿宋" w:cs="仿宋"/>
                <w:b/>
                <w:sz w:val="24"/>
                <w:szCs w:val="24"/>
                <w:highlight w:val="none"/>
              </w:rPr>
            </w:pPr>
          </w:p>
        </w:tc>
        <w:tc>
          <w:tcPr>
            <w:tcW w:w="4253"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小计</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4</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Align w:val="center"/>
          </w:tcPr>
          <w:p>
            <w:pPr>
              <w:jc w:val="center"/>
              <w:rPr>
                <w:rFonts w:hint="eastAsia" w:ascii="仿宋" w:hAnsi="仿宋" w:eastAsia="仿宋" w:cs="仿宋"/>
                <w:b/>
                <w:bCs w:val="0"/>
                <w:sz w:val="24"/>
                <w:szCs w:val="24"/>
                <w:highlight w:val="none"/>
                <w:lang w:val="en-US" w:eastAsia="zh-CN"/>
              </w:rPr>
            </w:pPr>
            <w:r>
              <w:rPr>
                <w:rFonts w:hint="eastAsia" w:ascii="仿宋" w:hAnsi="仿宋" w:eastAsia="仿宋" w:cs="仿宋"/>
                <w:b/>
                <w:bCs w:val="0"/>
                <w:sz w:val="24"/>
                <w:szCs w:val="24"/>
                <w:highlight w:val="none"/>
                <w:lang w:val="en-US" w:eastAsia="zh-CN"/>
              </w:rPr>
              <w:t>管理效率</w:t>
            </w:r>
          </w:p>
        </w:tc>
        <w:tc>
          <w:tcPr>
            <w:tcW w:w="4253" w:type="dxa"/>
            <w:vAlign w:val="center"/>
          </w:tcPr>
          <w:p>
            <w:pPr>
              <w:keepNext w:val="0"/>
              <w:keepLines w:val="0"/>
              <w:widowControl/>
              <w:suppressLineNumbers w:val="0"/>
              <w:jc w:val="center"/>
              <w:textAlignment w:val="center"/>
              <w:rPr>
                <w:rFonts w:hint="eastAsia" w:ascii="仿宋" w:hAnsi="仿宋" w:eastAsia="仿宋" w:cs="仿宋"/>
                <w:b/>
                <w:bCs w:val="0"/>
                <w:sz w:val="24"/>
                <w:szCs w:val="24"/>
                <w:highlight w:val="none"/>
              </w:rPr>
            </w:pPr>
            <w:r>
              <w:rPr>
                <w:rFonts w:hint="eastAsia" w:ascii="仿宋" w:hAnsi="仿宋" w:eastAsia="仿宋" w:cs="仿宋"/>
                <w:b/>
                <w:bCs w:val="0"/>
                <w:i w:val="0"/>
                <w:iCs w:val="0"/>
                <w:color w:val="000000"/>
                <w:kern w:val="0"/>
                <w:sz w:val="24"/>
                <w:szCs w:val="24"/>
                <w:u w:val="none"/>
                <w:lang w:val="en-US" w:eastAsia="zh-CN" w:bidi="ar"/>
              </w:rPr>
              <w:t>合计</w:t>
            </w:r>
          </w:p>
        </w:tc>
        <w:tc>
          <w:tcPr>
            <w:tcW w:w="1170" w:type="dxa"/>
            <w:vAlign w:val="center"/>
          </w:tcPr>
          <w:p>
            <w:pPr>
              <w:jc w:val="center"/>
              <w:rPr>
                <w:rFonts w:hint="default" w:ascii="仿宋" w:hAnsi="仿宋" w:eastAsia="仿宋" w:cs="仿宋"/>
                <w:b/>
                <w:bCs w:val="0"/>
                <w:sz w:val="24"/>
                <w:szCs w:val="24"/>
                <w:highlight w:val="none"/>
                <w:lang w:val="en-US" w:eastAsia="zh-CN"/>
              </w:rPr>
            </w:pPr>
            <w:r>
              <w:rPr>
                <w:rFonts w:hint="eastAsia" w:ascii="仿宋" w:hAnsi="仿宋" w:eastAsia="仿宋" w:cs="仿宋"/>
                <w:b/>
                <w:bCs w:val="0"/>
                <w:sz w:val="24"/>
                <w:szCs w:val="24"/>
                <w:highlight w:val="none"/>
                <w:lang w:val="en-US" w:eastAsia="zh-CN"/>
              </w:rPr>
              <w:t>30</w:t>
            </w:r>
          </w:p>
        </w:tc>
        <w:tc>
          <w:tcPr>
            <w:tcW w:w="1170" w:type="dxa"/>
            <w:vAlign w:val="center"/>
          </w:tcPr>
          <w:p>
            <w:pPr>
              <w:jc w:val="center"/>
              <w:rPr>
                <w:rFonts w:hint="default" w:ascii="仿宋" w:hAnsi="仿宋" w:eastAsia="仿宋" w:cs="仿宋"/>
                <w:b/>
                <w:bCs w:val="0"/>
                <w:i w:val="0"/>
                <w:iCs w:val="0"/>
                <w:color w:val="000000"/>
                <w:kern w:val="0"/>
                <w:sz w:val="24"/>
                <w:szCs w:val="24"/>
                <w:u w:val="none"/>
                <w:lang w:val="en-US" w:eastAsia="zh-CN" w:bidi="ar"/>
              </w:rPr>
            </w:pPr>
            <w:r>
              <w:rPr>
                <w:rFonts w:hint="eastAsia" w:ascii="仿宋" w:hAnsi="仿宋" w:eastAsia="仿宋" w:cs="仿宋"/>
                <w:b/>
                <w:bCs w:val="0"/>
                <w:i w:val="0"/>
                <w:iCs w:val="0"/>
                <w:color w:val="000000"/>
                <w:kern w:val="0"/>
                <w:sz w:val="24"/>
                <w:szCs w:val="24"/>
                <w:u w:val="none"/>
                <w:lang w:val="en-US" w:eastAsia="zh-CN" w:bidi="ar"/>
              </w:rPr>
              <w:t>25.50</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B1-1预算编制管理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kern w:val="0"/>
          <w:sz w:val="28"/>
          <w:szCs w:val="28"/>
          <w:highlight w:val="none"/>
          <w:lang w:val="en-US" w:eastAsia="zh-CN"/>
        </w:rPr>
      </w:pPr>
      <w:r>
        <w:rPr>
          <w:rFonts w:hint="eastAsia" w:ascii="仿宋" w:hAnsi="仿宋" w:eastAsia="仿宋" w:cs="仿宋"/>
          <w:b w:val="0"/>
          <w:bCs w:val="0"/>
          <w:kern w:val="0"/>
          <w:sz w:val="28"/>
          <w:szCs w:val="28"/>
          <w:highlight w:val="none"/>
          <w:lang w:val="en-US" w:eastAsia="zh-CN"/>
        </w:rPr>
        <w:t>永济市公安局预算编制符合《预算法》及财政部门预算编制要求、预算收支范围及方向均有相应的法规依据、预算金额符合部门履职需要、三公经费变动率符合要求。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val="0"/>
          <w:bCs w:val="0"/>
          <w:kern w:val="0"/>
          <w:sz w:val="28"/>
          <w:szCs w:val="28"/>
          <w:highlight w:val="none"/>
          <w:lang w:val="en-US" w:eastAsia="zh-CN"/>
        </w:rPr>
        <w:t>依据评分标准，本指标得2分。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B1-2预算完成率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kern w:val="0"/>
          <w:sz w:val="28"/>
          <w:szCs w:val="28"/>
          <w:highlight w:val="none"/>
          <w:lang w:val="en-US" w:eastAsia="zh-CN"/>
        </w:rPr>
      </w:pPr>
      <w:r>
        <w:rPr>
          <w:rFonts w:hint="eastAsia" w:ascii="仿宋" w:hAnsi="仿宋" w:eastAsia="仿宋" w:cs="仿宋"/>
          <w:b w:val="0"/>
          <w:bCs/>
          <w:kern w:val="2"/>
          <w:sz w:val="28"/>
          <w:szCs w:val="28"/>
          <w:highlight w:val="none"/>
          <w:lang w:val="en-US" w:eastAsia="zh-CN" w:bidi="ar-SA"/>
        </w:rPr>
        <w:t>2021年度永济市公安</w:t>
      </w:r>
      <w:r>
        <w:rPr>
          <w:rFonts w:hint="eastAsia" w:ascii="仿宋" w:hAnsi="仿宋" w:eastAsia="仿宋" w:cs="仿宋"/>
          <w:b w:val="0"/>
          <w:bCs w:val="0"/>
          <w:kern w:val="0"/>
          <w:sz w:val="28"/>
          <w:szCs w:val="28"/>
          <w:highlight w:val="none"/>
          <w:lang w:val="en-US" w:eastAsia="zh-CN"/>
        </w:rPr>
        <w:t>局部门整体支出7580.92万元，本年度部门调整后预算数7580.99万元，预算完成率=7580.92/7580.99*100%=99.99%。</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val="0"/>
          <w:bCs w:val="0"/>
          <w:kern w:val="0"/>
          <w:sz w:val="28"/>
          <w:szCs w:val="28"/>
          <w:highlight w:val="none"/>
          <w:lang w:val="en-US" w:eastAsia="zh-CN"/>
        </w:rPr>
        <w:t>依据评分标准，本指标得2分。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B1-3预算调整率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kern w:val="0"/>
          <w:sz w:val="28"/>
          <w:szCs w:val="28"/>
          <w:highlight w:val="none"/>
          <w:lang w:val="en-US" w:eastAsia="zh-CN"/>
        </w:rPr>
      </w:pPr>
      <w:r>
        <w:rPr>
          <w:rFonts w:hint="eastAsia" w:ascii="仿宋" w:hAnsi="仿宋" w:eastAsia="仿宋" w:cs="仿宋"/>
          <w:b w:val="0"/>
          <w:bCs w:val="0"/>
          <w:kern w:val="0"/>
          <w:sz w:val="28"/>
          <w:szCs w:val="28"/>
          <w:highlight w:val="none"/>
          <w:lang w:val="en-US" w:eastAsia="zh-CN"/>
        </w:rPr>
        <w:t>年初预算批复金额7332.12万元，年终决算批复金额7580.92万元，超预算248.8万元。</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b w:val="0"/>
          <w:bCs w:val="0"/>
          <w:kern w:val="0"/>
          <w:sz w:val="28"/>
          <w:szCs w:val="28"/>
          <w:highlight w:val="none"/>
          <w:lang w:val="en-US" w:eastAsia="zh-CN" w:bidi="ar-SA"/>
        </w:rPr>
      </w:pPr>
      <w:r>
        <w:rPr>
          <w:rFonts w:hint="eastAsia" w:ascii="仿宋" w:hAnsi="仿宋" w:eastAsia="仿宋" w:cs="仿宋"/>
          <w:b w:val="0"/>
          <w:bCs w:val="0"/>
          <w:kern w:val="0"/>
          <w:sz w:val="28"/>
          <w:szCs w:val="28"/>
          <w:highlight w:val="none"/>
          <w:lang w:val="en-US" w:eastAsia="zh-CN" w:bidi="ar-SA"/>
        </w:rPr>
        <w:t>预算调整率=（预算调整数/预算数）X100%=248.8/7332.12=3.4%。</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kern w:val="0"/>
          <w:sz w:val="28"/>
          <w:szCs w:val="28"/>
          <w:highlight w:val="none"/>
          <w:lang w:val="en-US" w:eastAsia="zh-CN"/>
        </w:rPr>
      </w:pPr>
      <w:r>
        <w:rPr>
          <w:rFonts w:hint="eastAsia" w:ascii="仿宋" w:hAnsi="仿宋" w:eastAsia="仿宋" w:cs="仿宋"/>
          <w:b w:val="0"/>
          <w:bCs w:val="0"/>
          <w:kern w:val="0"/>
          <w:sz w:val="28"/>
          <w:szCs w:val="28"/>
          <w:highlight w:val="none"/>
          <w:lang w:val="en-US" w:eastAsia="zh-CN"/>
        </w:rPr>
        <w:t>依据评分标准，本指标得分1.5分。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B1-4结转结余变动率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kern w:val="0"/>
          <w:sz w:val="28"/>
          <w:szCs w:val="28"/>
          <w:highlight w:val="none"/>
          <w:lang w:val="en-US" w:eastAsia="zh-CN"/>
        </w:rPr>
      </w:pPr>
      <w:r>
        <w:rPr>
          <w:rFonts w:hint="eastAsia" w:ascii="仿宋" w:hAnsi="仿宋" w:eastAsia="仿宋" w:cs="仿宋"/>
          <w:b w:val="0"/>
          <w:bCs w:val="0"/>
          <w:kern w:val="0"/>
          <w:sz w:val="28"/>
          <w:szCs w:val="28"/>
          <w:highlight w:val="none"/>
          <w:lang w:val="en-US" w:eastAsia="zh-CN"/>
        </w:rPr>
        <w:t xml:space="preserve">2020年期末结转和结余524.8万元元，2021年期末结转和结余0.07万元，结转结余变动率=（0.07-524.8）/524.8*100%=-99.99%。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kern w:val="0"/>
          <w:sz w:val="28"/>
          <w:szCs w:val="28"/>
          <w:highlight w:val="none"/>
          <w:lang w:val="en-US" w:eastAsia="zh-CN"/>
        </w:rPr>
      </w:pPr>
      <w:r>
        <w:rPr>
          <w:rFonts w:hint="eastAsia" w:ascii="仿宋" w:hAnsi="仿宋" w:eastAsia="仿宋" w:cs="仿宋"/>
          <w:b w:val="0"/>
          <w:bCs w:val="0"/>
          <w:kern w:val="0"/>
          <w:sz w:val="28"/>
          <w:szCs w:val="28"/>
          <w:highlight w:val="none"/>
          <w:lang w:val="en-US" w:eastAsia="zh-CN"/>
        </w:rPr>
        <w:t>依据评分标准，本指标得分2分。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B1-5公用经费控制率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kern w:val="0"/>
          <w:sz w:val="28"/>
          <w:szCs w:val="28"/>
          <w:highlight w:val="none"/>
          <w:lang w:val="en-US" w:eastAsia="zh-CN"/>
        </w:rPr>
      </w:pPr>
      <w:r>
        <w:rPr>
          <w:rFonts w:hint="eastAsia" w:ascii="仿宋" w:hAnsi="仿宋" w:eastAsia="仿宋" w:cs="仿宋"/>
          <w:b w:val="0"/>
          <w:bCs w:val="0"/>
          <w:kern w:val="0"/>
          <w:sz w:val="28"/>
          <w:szCs w:val="28"/>
          <w:highlight w:val="none"/>
          <w:lang w:val="en-US" w:eastAsia="zh-CN"/>
        </w:rPr>
        <w:t>该部门2021年公用经费预算金额为1345.32万元，决算金额为736.69万元，公用经费控制率=（实际支出公用经费总额/预算安排公用经费总额）×100%=736.69/1345.32=54.76%</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kern w:val="0"/>
          <w:sz w:val="28"/>
          <w:szCs w:val="28"/>
          <w:highlight w:val="none"/>
          <w:lang w:val="en-US" w:eastAsia="zh-CN"/>
        </w:rPr>
      </w:pPr>
      <w:r>
        <w:rPr>
          <w:rFonts w:hint="eastAsia" w:ascii="仿宋" w:hAnsi="仿宋" w:eastAsia="仿宋" w:cs="仿宋"/>
          <w:b w:val="0"/>
          <w:bCs w:val="0"/>
          <w:kern w:val="0"/>
          <w:sz w:val="28"/>
          <w:szCs w:val="28"/>
          <w:highlight w:val="none"/>
          <w:lang w:val="en-US" w:eastAsia="zh-CN"/>
        </w:rPr>
        <w:t>依据评分标准，本指标得分2分。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B1-6“三公经费”控制率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2021年度“三公经费”预算数226万元，为公务接待费4万元，公务用车运行维护费110万元，公务用车购置费112万元；2021年度“三公经费实际支出数170.85万元，为公务接待费0.75万元，公务用车运行维护费107.85万元，公务用车购置费62.49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三公经费控制率=（三公经费实际支出数/三公经费预算安排数）×100%=170.85/226*100%=75.6%。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0"/>
        <w:rPr>
          <w:rFonts w:hint="eastAsia"/>
          <w:lang w:val="en-US" w:eastAsia="zh-CN"/>
        </w:rPr>
      </w:pPr>
      <w:bookmarkStart w:id="192" w:name="_Toc12334"/>
      <w:r>
        <w:rPr>
          <w:rFonts w:hint="eastAsia" w:ascii="仿宋" w:hAnsi="仿宋" w:eastAsia="仿宋" w:cs="仿宋"/>
          <w:sz w:val="28"/>
          <w:szCs w:val="28"/>
          <w:highlight w:val="none"/>
          <w:lang w:val="en-US" w:eastAsia="zh-CN"/>
        </w:rPr>
        <w:t>依据评分标准，本指标得2分。</w:t>
      </w:r>
      <w:bookmarkEnd w:id="19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firstLine="422" w:firstLineChars="15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B1-7预算监督管理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0"/>
        <w:rPr>
          <w:rFonts w:hint="eastAsia" w:ascii="仿宋" w:hAnsi="仿宋" w:eastAsia="仿宋" w:cs="仿宋"/>
          <w:sz w:val="28"/>
          <w:szCs w:val="28"/>
          <w:highlight w:val="none"/>
          <w:lang w:val="en-US" w:eastAsia="zh-CN"/>
        </w:rPr>
      </w:pPr>
      <w:bookmarkStart w:id="193" w:name="_Toc19237"/>
      <w:r>
        <w:rPr>
          <w:rFonts w:hint="eastAsia" w:ascii="仿宋" w:hAnsi="仿宋" w:eastAsia="仿宋" w:cs="仿宋"/>
          <w:sz w:val="28"/>
          <w:szCs w:val="28"/>
          <w:highlight w:val="none"/>
          <w:lang w:val="en-US" w:eastAsia="zh-CN"/>
        </w:rPr>
        <w:t>永济市公安局制定了预算资金管理办法、内部财务管理制度、会计核算制度、内部控制制度，相关预算管理制度合法、合规、完整，并得到有效执行。</w:t>
      </w:r>
      <w:bookmarkEnd w:id="19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0"/>
        <w:rPr>
          <w:rFonts w:hint="eastAsia"/>
          <w:lang w:val="en-US" w:eastAsia="zh-CN"/>
        </w:rPr>
      </w:pPr>
      <w:bookmarkStart w:id="194" w:name="_Toc5071"/>
      <w:r>
        <w:rPr>
          <w:rFonts w:hint="eastAsia" w:ascii="仿宋" w:hAnsi="仿宋" w:eastAsia="仿宋" w:cs="仿宋"/>
          <w:sz w:val="28"/>
          <w:szCs w:val="28"/>
          <w:highlight w:val="none"/>
          <w:lang w:val="en-US" w:eastAsia="zh-CN"/>
        </w:rPr>
        <w:t>依据评分标准，本指标得2分。</w:t>
      </w:r>
      <w:bookmarkEnd w:id="194"/>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B1-8预算绩效管理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永济市公安局重视项目绩效，单位整体支出绩效指标年初未设定，年底未对整体支出进行自评。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0"/>
        <w:rPr>
          <w:rFonts w:hint="eastAsia"/>
          <w:lang w:val="en-US" w:eastAsia="zh-CN"/>
        </w:rPr>
      </w:pPr>
      <w:bookmarkStart w:id="195" w:name="_Toc12882"/>
      <w:r>
        <w:rPr>
          <w:rFonts w:hint="eastAsia" w:ascii="仿宋" w:hAnsi="仿宋" w:eastAsia="仿宋" w:cs="仿宋"/>
          <w:sz w:val="28"/>
          <w:szCs w:val="28"/>
          <w:highlight w:val="none"/>
          <w:lang w:val="en-US" w:eastAsia="zh-CN"/>
        </w:rPr>
        <w:t>依据评分标准，本指标得0分。</w:t>
      </w:r>
      <w:bookmarkEnd w:id="195"/>
    </w:p>
    <w:p>
      <w:pPr>
        <w:pStyle w:val="4"/>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B2-1财务管理制度健全性</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b w:val="0"/>
          <w:bCs w:val="0"/>
          <w:kern w:val="0"/>
          <w:sz w:val="28"/>
          <w:szCs w:val="28"/>
          <w:highlight w:val="none"/>
          <w:lang w:val="en-US" w:eastAsia="zh-CN"/>
        </w:rPr>
      </w:pPr>
      <w:r>
        <w:rPr>
          <w:rFonts w:hint="eastAsia" w:ascii="仿宋" w:hAnsi="仿宋" w:eastAsia="仿宋" w:cs="仿宋"/>
          <w:b w:val="0"/>
          <w:bCs w:val="0"/>
          <w:kern w:val="0"/>
          <w:sz w:val="28"/>
          <w:szCs w:val="28"/>
          <w:highlight w:val="none"/>
          <w:lang w:val="en-US" w:eastAsia="zh-CN"/>
        </w:rPr>
        <w:t>永济市公安局制定了固定资产管理、政府采购管理、合同管理制度、收支管理制度、预算管理制度、现金管理制度等财务管理制度，相关管理制度合法、合规、完整，具有很强的操作性，且在实际工作中得到了有效执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lang w:val="en-US" w:eastAsia="zh-CN"/>
        </w:rPr>
      </w:pPr>
      <w:r>
        <w:rPr>
          <w:rFonts w:hint="eastAsia" w:ascii="仿宋" w:hAnsi="仿宋" w:eastAsia="仿宋" w:cs="仿宋"/>
          <w:b w:val="0"/>
          <w:bCs w:val="0"/>
          <w:kern w:val="0"/>
          <w:sz w:val="28"/>
          <w:szCs w:val="28"/>
          <w:highlight w:val="none"/>
          <w:lang w:val="en-US" w:eastAsia="zh-CN"/>
        </w:rPr>
        <w:t>依据评分标准，本指标得2分。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B2-2资金使用合规性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0"/>
        <w:rPr>
          <w:rFonts w:hint="eastAsia" w:ascii="仿宋" w:hAnsi="仿宋" w:eastAsia="仿宋" w:cs="仿宋"/>
          <w:sz w:val="28"/>
          <w:szCs w:val="28"/>
          <w:highlight w:val="none"/>
          <w:lang w:eastAsia="zh-CN"/>
        </w:rPr>
      </w:pPr>
      <w:bookmarkStart w:id="196" w:name="_Toc23989"/>
      <w:r>
        <w:rPr>
          <w:rFonts w:hint="eastAsia" w:ascii="仿宋" w:hAnsi="仿宋" w:eastAsia="仿宋" w:cs="仿宋"/>
          <w:sz w:val="28"/>
          <w:szCs w:val="28"/>
          <w:highlight w:val="none"/>
        </w:rPr>
        <w:t>通过检查该</w:t>
      </w:r>
      <w:r>
        <w:rPr>
          <w:rFonts w:hint="eastAsia" w:ascii="仿宋" w:hAnsi="仿宋" w:eastAsia="仿宋" w:cs="仿宋"/>
          <w:sz w:val="28"/>
          <w:szCs w:val="28"/>
          <w:highlight w:val="none"/>
          <w:lang w:eastAsia="zh-CN"/>
        </w:rPr>
        <w:t>部门</w:t>
      </w:r>
      <w:r>
        <w:rPr>
          <w:rFonts w:hint="eastAsia" w:ascii="仿宋" w:hAnsi="仿宋" w:eastAsia="仿宋" w:cs="仿宋"/>
          <w:sz w:val="28"/>
          <w:szCs w:val="28"/>
          <w:highlight w:val="none"/>
        </w:rPr>
        <w:t>原始</w:t>
      </w:r>
      <w:r>
        <w:rPr>
          <w:rFonts w:hint="eastAsia" w:ascii="仿宋" w:hAnsi="仿宋" w:eastAsia="仿宋" w:cs="仿宋"/>
          <w:sz w:val="28"/>
          <w:szCs w:val="28"/>
          <w:highlight w:val="none"/>
          <w:lang w:eastAsia="zh-CN"/>
        </w:rPr>
        <w:t>单据</w:t>
      </w:r>
      <w:r>
        <w:rPr>
          <w:rFonts w:hint="eastAsia" w:ascii="仿宋" w:hAnsi="仿宋" w:eastAsia="仿宋" w:cs="仿宋"/>
          <w:sz w:val="28"/>
          <w:szCs w:val="28"/>
          <w:highlight w:val="none"/>
        </w:rPr>
        <w:t>、记账凭证、总账、明细账、财务报表等相关资料，</w:t>
      </w:r>
      <w:r>
        <w:rPr>
          <w:rFonts w:hint="eastAsia" w:ascii="仿宋" w:hAnsi="仿宋" w:eastAsia="仿宋" w:cs="仿宋"/>
          <w:sz w:val="28"/>
          <w:szCs w:val="28"/>
          <w:highlight w:val="none"/>
          <w:lang w:eastAsia="zh-CN"/>
        </w:rPr>
        <w:t>资金使用符合项目财务管理办法，该部门的基本支出与项目支出能分开核算，专项</w:t>
      </w:r>
      <w:r>
        <w:rPr>
          <w:rFonts w:hint="eastAsia" w:ascii="仿宋" w:hAnsi="仿宋" w:eastAsia="仿宋" w:cs="仿宋"/>
          <w:sz w:val="28"/>
          <w:szCs w:val="28"/>
          <w:highlight w:val="none"/>
        </w:rPr>
        <w:t>资金做到专款专用、单独核算</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未</w:t>
      </w:r>
      <w:r>
        <w:rPr>
          <w:rFonts w:hint="eastAsia" w:ascii="仿宋" w:hAnsi="仿宋" w:eastAsia="仿宋" w:cs="仿宋"/>
          <w:sz w:val="28"/>
          <w:szCs w:val="28"/>
          <w:highlight w:val="none"/>
        </w:rPr>
        <w:t>发现资金截留、挤占、挪用、虚列支出等情况。资金的拨付有完整的审批程序和手续</w:t>
      </w:r>
      <w:r>
        <w:rPr>
          <w:rFonts w:hint="eastAsia" w:ascii="仿宋" w:hAnsi="仿宋" w:eastAsia="仿宋" w:cs="仿宋"/>
          <w:sz w:val="28"/>
          <w:szCs w:val="28"/>
          <w:highlight w:val="none"/>
          <w:lang w:eastAsia="zh-CN"/>
        </w:rPr>
        <w:t>，大额资金经“</w:t>
      </w:r>
      <w:r>
        <w:rPr>
          <w:rFonts w:hint="eastAsia" w:ascii="仿宋" w:hAnsi="仿宋" w:eastAsia="仿宋" w:cs="仿宋"/>
          <w:sz w:val="28"/>
          <w:szCs w:val="28"/>
          <w:highlight w:val="none"/>
          <w:lang w:val="en-US" w:eastAsia="zh-CN"/>
        </w:rPr>
        <w:t>三重一大</w:t>
      </w:r>
      <w:r>
        <w:rPr>
          <w:rFonts w:hint="eastAsia" w:ascii="仿宋" w:hAnsi="仿宋" w:eastAsia="仿宋" w:cs="仿宋"/>
          <w:sz w:val="28"/>
          <w:szCs w:val="28"/>
          <w:highlight w:val="none"/>
          <w:lang w:eastAsia="zh-CN"/>
        </w:rPr>
        <w:t>”会议研究</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资金的支出符合项目预算批复和合同规定的用途。</w:t>
      </w:r>
      <w:bookmarkEnd w:id="19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0"/>
        <w:rPr>
          <w:rFonts w:hint="default"/>
          <w:lang w:val="en-US" w:eastAsia="zh-CN"/>
        </w:rPr>
      </w:pPr>
      <w:bookmarkStart w:id="197" w:name="_Toc13689"/>
      <w:r>
        <w:rPr>
          <w:rFonts w:hint="eastAsia" w:ascii="仿宋" w:hAnsi="仿宋" w:eastAsia="仿宋" w:cs="仿宋"/>
          <w:sz w:val="28"/>
          <w:szCs w:val="28"/>
          <w:highlight w:val="none"/>
          <w:lang w:val="en-US" w:eastAsia="zh-CN"/>
        </w:rPr>
        <w:t>依据评分标准，本指标得2分。</w:t>
      </w:r>
      <w:bookmarkEnd w:id="197"/>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B2-3会计核算规范性</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b w:val="0"/>
          <w:bCs w:val="0"/>
          <w:kern w:val="0"/>
          <w:sz w:val="28"/>
          <w:szCs w:val="28"/>
          <w:highlight w:val="none"/>
          <w:lang w:val="en-US" w:eastAsia="zh-CN" w:bidi="ar-SA"/>
        </w:rPr>
      </w:pPr>
      <w:r>
        <w:rPr>
          <w:rFonts w:hint="eastAsia" w:ascii="仿宋" w:hAnsi="仿宋" w:eastAsia="仿宋" w:cs="仿宋"/>
          <w:b w:val="0"/>
          <w:bCs w:val="0"/>
          <w:kern w:val="0"/>
          <w:sz w:val="28"/>
          <w:szCs w:val="28"/>
          <w:highlight w:val="none"/>
          <w:lang w:val="en-US" w:eastAsia="zh-CN" w:bidi="ar-SA"/>
        </w:rPr>
        <w:t>除户政、出入境、罚没款</w:t>
      </w:r>
      <w:r>
        <w:rPr>
          <w:rFonts w:hint="default" w:ascii="仿宋" w:hAnsi="仿宋" w:eastAsia="仿宋" w:cs="仿宋"/>
          <w:b w:val="0"/>
          <w:bCs w:val="0"/>
          <w:kern w:val="0"/>
          <w:sz w:val="28"/>
          <w:szCs w:val="28"/>
          <w:highlight w:val="none"/>
          <w:lang w:val="en-US" w:eastAsia="zh-CN" w:bidi="ar-SA"/>
        </w:rPr>
        <w:t>非税收入平时未</w:t>
      </w:r>
      <w:r>
        <w:rPr>
          <w:rFonts w:hint="eastAsia" w:ascii="仿宋" w:hAnsi="仿宋" w:eastAsia="仿宋" w:cs="仿宋"/>
          <w:b w:val="0"/>
          <w:bCs w:val="0"/>
          <w:kern w:val="0"/>
          <w:sz w:val="28"/>
          <w:szCs w:val="28"/>
          <w:highlight w:val="none"/>
          <w:lang w:val="en-US" w:eastAsia="zh-CN" w:bidi="ar-SA"/>
        </w:rPr>
        <w:t>做账务处理、</w:t>
      </w:r>
      <w:r>
        <w:rPr>
          <w:rFonts w:hint="default" w:ascii="仿宋" w:hAnsi="仿宋" w:eastAsia="仿宋" w:cs="仿宋"/>
          <w:b w:val="0"/>
          <w:bCs w:val="0"/>
          <w:kern w:val="0"/>
          <w:sz w:val="28"/>
          <w:szCs w:val="28"/>
          <w:highlight w:val="none"/>
          <w:lang w:val="en-US" w:eastAsia="zh-CN" w:bidi="ar-SA"/>
        </w:rPr>
        <w:t>看守所交付使用项目未转固定资产,电子数据勘察取证分析实验室项目</w:t>
      </w:r>
      <w:r>
        <w:rPr>
          <w:rFonts w:hint="eastAsia" w:ascii="仿宋" w:hAnsi="仿宋" w:eastAsia="仿宋" w:cs="仿宋"/>
          <w:b w:val="0"/>
          <w:bCs w:val="0"/>
          <w:kern w:val="0"/>
          <w:sz w:val="28"/>
          <w:szCs w:val="28"/>
          <w:highlight w:val="none"/>
          <w:lang w:val="en-US" w:eastAsia="zh-CN" w:bidi="ar-SA"/>
        </w:rPr>
        <w:t>年底完成80%工程量，工程款按合同规定支付70%，剩余工程款不应挂账外，会计核算规范，科目使用正确，报表编制规范。</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val="0"/>
          <w:bCs w:val="0"/>
          <w:kern w:val="0"/>
          <w:sz w:val="28"/>
          <w:szCs w:val="28"/>
          <w:highlight w:val="none"/>
          <w:lang w:val="en-US" w:eastAsia="zh-CN"/>
        </w:rPr>
        <w:t>依据评分标准，本指标得</w:t>
      </w:r>
      <w:r>
        <w:rPr>
          <w:rFonts w:hint="eastAsia" w:ascii="仿宋" w:hAnsi="仿宋" w:eastAsia="仿宋" w:cs="仿宋"/>
          <w:b w:val="0"/>
          <w:bCs w:val="0"/>
          <w:kern w:val="0"/>
          <w:sz w:val="28"/>
          <w:szCs w:val="28"/>
          <w:highlight w:val="none"/>
          <w:lang w:val="en-US" w:eastAsia="zh-CN"/>
        </w:rPr>
        <w:t>0.5</w:t>
      </w:r>
      <w:r>
        <w:rPr>
          <w:rFonts w:hint="default" w:ascii="仿宋" w:hAnsi="仿宋" w:eastAsia="仿宋" w:cs="仿宋"/>
          <w:b w:val="0"/>
          <w:bCs w:val="0"/>
          <w:kern w:val="0"/>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B3-1资产管理规范性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kern w:val="0"/>
          <w:sz w:val="28"/>
          <w:szCs w:val="28"/>
          <w:highlight w:val="none"/>
          <w:lang w:val="en-US" w:eastAsia="zh-CN"/>
        </w:rPr>
      </w:pPr>
      <w:r>
        <w:rPr>
          <w:rFonts w:hint="eastAsia" w:ascii="仿宋" w:hAnsi="仿宋" w:eastAsia="仿宋" w:cs="仿宋"/>
          <w:b w:val="0"/>
          <w:bCs w:val="0"/>
          <w:kern w:val="0"/>
          <w:sz w:val="28"/>
          <w:szCs w:val="28"/>
          <w:highlight w:val="none"/>
          <w:lang w:val="en-US" w:eastAsia="zh-CN"/>
        </w:rPr>
        <w:t>永济市公安局制定了详细的资产管理制度，从资产管理保管与使用、资产购置、资产调拨、资产处置、资产出租出借等方面进行了详细规定，实行“统一领导，归口管理”管理模式。除看守所对已完工并交付使用的4个工程建设项目未按规定结转固定资产外，资产管理制度在实际工作中执行良好。</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kern w:val="0"/>
          <w:sz w:val="28"/>
          <w:szCs w:val="28"/>
          <w:highlight w:val="none"/>
          <w:lang w:val="en-US" w:eastAsia="zh-CN"/>
        </w:rPr>
      </w:pPr>
      <w:r>
        <w:rPr>
          <w:rFonts w:hint="default" w:ascii="仿宋" w:hAnsi="仿宋" w:eastAsia="仿宋" w:cs="仿宋"/>
          <w:b w:val="0"/>
          <w:bCs w:val="0"/>
          <w:kern w:val="0"/>
          <w:sz w:val="28"/>
          <w:szCs w:val="28"/>
          <w:highlight w:val="none"/>
          <w:lang w:val="en-US" w:eastAsia="zh-CN"/>
        </w:rPr>
        <w:t>依据评分标准，本指标得</w:t>
      </w:r>
      <w:r>
        <w:rPr>
          <w:rFonts w:hint="eastAsia" w:ascii="仿宋" w:hAnsi="仿宋" w:eastAsia="仿宋" w:cs="仿宋"/>
          <w:b w:val="0"/>
          <w:bCs w:val="0"/>
          <w:kern w:val="0"/>
          <w:sz w:val="28"/>
          <w:szCs w:val="28"/>
          <w:highlight w:val="none"/>
          <w:lang w:val="en-US" w:eastAsia="zh-CN"/>
        </w:rPr>
        <w:t>1.5</w:t>
      </w:r>
      <w:r>
        <w:rPr>
          <w:rFonts w:hint="default" w:ascii="仿宋" w:hAnsi="仿宋" w:eastAsia="仿宋" w:cs="仿宋"/>
          <w:b w:val="0"/>
          <w:bCs w:val="0"/>
          <w:kern w:val="0"/>
          <w:sz w:val="28"/>
          <w:szCs w:val="28"/>
          <w:highlight w:val="none"/>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B3-2固定资产利用率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kern w:val="0"/>
          <w:sz w:val="28"/>
          <w:szCs w:val="28"/>
          <w:highlight w:val="none"/>
          <w:lang w:val="en-US" w:eastAsia="zh-CN"/>
        </w:rPr>
      </w:pPr>
      <w:r>
        <w:rPr>
          <w:rFonts w:hint="default" w:ascii="仿宋" w:hAnsi="仿宋" w:eastAsia="仿宋" w:cs="仿宋"/>
          <w:b w:val="0"/>
          <w:bCs w:val="0"/>
          <w:kern w:val="0"/>
          <w:sz w:val="28"/>
          <w:szCs w:val="28"/>
          <w:highlight w:val="none"/>
          <w:lang w:val="en-US" w:eastAsia="zh-CN"/>
        </w:rPr>
        <w:t>截至20</w:t>
      </w:r>
      <w:r>
        <w:rPr>
          <w:rFonts w:hint="eastAsia" w:ascii="仿宋" w:hAnsi="仿宋" w:eastAsia="仿宋" w:cs="仿宋"/>
          <w:b w:val="0"/>
          <w:bCs w:val="0"/>
          <w:kern w:val="0"/>
          <w:sz w:val="28"/>
          <w:szCs w:val="28"/>
          <w:highlight w:val="none"/>
          <w:lang w:val="en-US" w:eastAsia="zh-CN"/>
        </w:rPr>
        <w:t>21</w:t>
      </w:r>
      <w:r>
        <w:rPr>
          <w:rFonts w:hint="default" w:ascii="仿宋" w:hAnsi="仿宋" w:eastAsia="仿宋" w:cs="仿宋"/>
          <w:b w:val="0"/>
          <w:bCs w:val="0"/>
          <w:kern w:val="0"/>
          <w:sz w:val="28"/>
          <w:szCs w:val="28"/>
          <w:highlight w:val="none"/>
          <w:lang w:val="en-US" w:eastAsia="zh-CN"/>
        </w:rPr>
        <w:t>年末该单位固定资产账面</w:t>
      </w:r>
      <w:r>
        <w:rPr>
          <w:rFonts w:hint="eastAsia" w:ascii="仿宋" w:hAnsi="仿宋" w:eastAsia="仿宋" w:cs="仿宋"/>
          <w:b w:val="0"/>
          <w:bCs w:val="0"/>
          <w:kern w:val="0"/>
          <w:sz w:val="28"/>
          <w:szCs w:val="28"/>
          <w:highlight w:val="none"/>
          <w:lang w:val="en-US" w:eastAsia="zh-CN"/>
        </w:rPr>
        <w:t>净值</w:t>
      </w:r>
      <w:r>
        <w:rPr>
          <w:rFonts w:hint="default" w:ascii="仿宋" w:hAnsi="仿宋" w:eastAsia="仿宋" w:cs="仿宋"/>
          <w:b w:val="0"/>
          <w:bCs w:val="0"/>
          <w:kern w:val="0"/>
          <w:sz w:val="28"/>
          <w:szCs w:val="28"/>
          <w:highlight w:val="none"/>
          <w:lang w:val="en-US" w:eastAsia="zh-CN"/>
        </w:rPr>
        <w:t>共计</w:t>
      </w:r>
      <w:r>
        <w:rPr>
          <w:rFonts w:hint="eastAsia" w:ascii="仿宋" w:hAnsi="仿宋" w:eastAsia="仿宋" w:cs="仿宋"/>
          <w:b w:val="0"/>
          <w:bCs w:val="0"/>
          <w:kern w:val="0"/>
          <w:sz w:val="28"/>
          <w:szCs w:val="28"/>
          <w:highlight w:val="none"/>
          <w:lang w:val="en-US" w:eastAsia="zh-CN"/>
        </w:rPr>
        <w:t>56207122.74</w:t>
      </w:r>
      <w:r>
        <w:rPr>
          <w:rFonts w:hint="default" w:ascii="仿宋" w:hAnsi="仿宋" w:eastAsia="仿宋" w:cs="仿宋"/>
          <w:b w:val="0"/>
          <w:bCs w:val="0"/>
          <w:kern w:val="0"/>
          <w:sz w:val="28"/>
          <w:szCs w:val="28"/>
          <w:highlight w:val="none"/>
          <w:lang w:val="en-US" w:eastAsia="zh-CN"/>
        </w:rPr>
        <w:t>元</w:t>
      </w:r>
      <w:r>
        <w:rPr>
          <w:rFonts w:hint="eastAsia" w:ascii="仿宋" w:hAnsi="仿宋" w:eastAsia="仿宋" w:cs="仿宋"/>
          <w:b w:val="0"/>
          <w:bCs w:val="0"/>
          <w:kern w:val="0"/>
          <w:sz w:val="28"/>
          <w:szCs w:val="28"/>
          <w:highlight w:val="none"/>
          <w:lang w:val="en-US" w:eastAsia="zh-CN"/>
        </w:rPr>
        <w:t>，其中：永济市公安局36782610.42元</w:t>
      </w:r>
      <w:r>
        <w:rPr>
          <w:rFonts w:hint="default" w:ascii="仿宋" w:hAnsi="仿宋" w:eastAsia="仿宋" w:cs="仿宋"/>
          <w:b w:val="0"/>
          <w:bCs w:val="0"/>
          <w:kern w:val="0"/>
          <w:sz w:val="28"/>
          <w:szCs w:val="28"/>
          <w:highlight w:val="none"/>
          <w:lang w:val="en-US" w:eastAsia="zh-CN"/>
        </w:rPr>
        <w:t>，</w:t>
      </w:r>
      <w:r>
        <w:rPr>
          <w:rFonts w:hint="eastAsia" w:ascii="仿宋" w:hAnsi="仿宋" w:eastAsia="仿宋" w:cs="仿宋"/>
          <w:b w:val="0"/>
          <w:bCs w:val="0"/>
          <w:kern w:val="0"/>
          <w:sz w:val="28"/>
          <w:szCs w:val="28"/>
          <w:highlight w:val="none"/>
          <w:lang w:val="en-US" w:eastAsia="zh-CN"/>
        </w:rPr>
        <w:t>交警队17227861.57元，看守所321493.92元，拘留所1875156.83元。</w:t>
      </w:r>
      <w:r>
        <w:rPr>
          <w:rFonts w:hint="default" w:ascii="仿宋" w:hAnsi="仿宋" w:eastAsia="仿宋" w:cs="仿宋"/>
          <w:b w:val="0"/>
          <w:bCs w:val="0"/>
          <w:kern w:val="0"/>
          <w:sz w:val="28"/>
          <w:szCs w:val="28"/>
          <w:highlight w:val="none"/>
          <w:lang w:val="en-US" w:eastAsia="zh-CN"/>
        </w:rPr>
        <w:t>待报废资产</w:t>
      </w:r>
      <w:r>
        <w:rPr>
          <w:rFonts w:hint="eastAsia" w:ascii="仿宋" w:hAnsi="仿宋" w:eastAsia="仿宋" w:cs="仿宋"/>
          <w:b w:val="0"/>
          <w:bCs w:val="0"/>
          <w:kern w:val="0"/>
          <w:sz w:val="28"/>
          <w:szCs w:val="28"/>
          <w:highlight w:val="none"/>
          <w:lang w:val="en-US" w:eastAsia="zh-CN"/>
        </w:rPr>
        <w:t>112088.00元</w:t>
      </w:r>
      <w:r>
        <w:rPr>
          <w:rFonts w:hint="default" w:ascii="仿宋" w:hAnsi="仿宋" w:eastAsia="仿宋" w:cs="仿宋"/>
          <w:b w:val="0"/>
          <w:bCs w:val="0"/>
          <w:kern w:val="0"/>
          <w:sz w:val="28"/>
          <w:szCs w:val="28"/>
          <w:highlight w:val="none"/>
          <w:lang w:val="en-US" w:eastAsia="zh-CN"/>
        </w:rPr>
        <w:t>，在用固定资产</w:t>
      </w:r>
      <w:r>
        <w:rPr>
          <w:rFonts w:hint="eastAsia" w:ascii="仿宋" w:hAnsi="仿宋" w:eastAsia="仿宋" w:cs="仿宋"/>
          <w:b w:val="0"/>
          <w:bCs w:val="0"/>
          <w:kern w:val="0"/>
          <w:sz w:val="28"/>
          <w:szCs w:val="28"/>
          <w:highlight w:val="none"/>
          <w:lang w:val="en-US" w:eastAsia="zh-CN"/>
        </w:rPr>
        <w:t>56095034.74</w:t>
      </w:r>
      <w:r>
        <w:rPr>
          <w:rFonts w:hint="default" w:ascii="仿宋" w:hAnsi="仿宋" w:eastAsia="仿宋" w:cs="仿宋"/>
          <w:b w:val="0"/>
          <w:bCs w:val="0"/>
          <w:kern w:val="0"/>
          <w:sz w:val="28"/>
          <w:szCs w:val="28"/>
          <w:highlight w:val="none"/>
          <w:lang w:val="en-US" w:eastAsia="zh-CN"/>
        </w:rPr>
        <w:t>元</w:t>
      </w:r>
      <w:r>
        <w:rPr>
          <w:rFonts w:hint="eastAsia" w:ascii="仿宋" w:hAnsi="仿宋" w:eastAsia="仿宋" w:cs="仿宋"/>
          <w:b w:val="0"/>
          <w:bCs w:val="0"/>
          <w:kern w:val="0"/>
          <w:sz w:val="28"/>
          <w:szCs w:val="28"/>
          <w:highlight w:val="none"/>
          <w:lang w:val="en-US" w:eastAsia="zh-CN"/>
        </w:rPr>
        <w:t>，固定资产利用率为99.80%</w:t>
      </w:r>
      <w:r>
        <w:rPr>
          <w:rFonts w:hint="default" w:ascii="仿宋" w:hAnsi="仿宋" w:eastAsia="仿宋" w:cs="仿宋"/>
          <w:b w:val="0"/>
          <w:bCs w:val="0"/>
          <w:kern w:val="0"/>
          <w:sz w:val="28"/>
          <w:szCs w:val="28"/>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kern w:val="2"/>
          <w:sz w:val="28"/>
          <w:szCs w:val="28"/>
          <w:highlight w:val="none"/>
          <w:lang w:val="en-US" w:eastAsia="zh-CN" w:bidi="ar-SA"/>
        </w:rPr>
      </w:pPr>
      <w:r>
        <w:rPr>
          <w:rFonts w:hint="eastAsia" w:ascii="仿宋" w:hAnsi="仿宋" w:eastAsia="仿宋" w:cs="仿宋"/>
          <w:b w:val="0"/>
          <w:bCs w:val="0"/>
          <w:kern w:val="0"/>
          <w:sz w:val="28"/>
          <w:szCs w:val="28"/>
          <w:highlight w:val="none"/>
          <w:lang w:val="en-US" w:eastAsia="zh-CN"/>
        </w:rPr>
        <w:t>依据评分标准，本指标得2分。</w:t>
      </w:r>
    </w:p>
    <w:p>
      <w:pPr>
        <w:pStyle w:val="2"/>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B4-1政府采购管理</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kern w:val="0"/>
          <w:sz w:val="28"/>
          <w:szCs w:val="28"/>
          <w:highlight w:val="none"/>
          <w:lang w:val="en-US" w:eastAsia="zh-CN" w:bidi="ar-SA"/>
        </w:rPr>
      </w:pPr>
      <w:r>
        <w:rPr>
          <w:rFonts w:hint="eastAsia" w:ascii="仿宋" w:hAnsi="仿宋" w:eastAsia="仿宋" w:cs="仿宋"/>
          <w:b w:val="0"/>
          <w:bCs w:val="0"/>
          <w:kern w:val="0"/>
          <w:sz w:val="28"/>
          <w:szCs w:val="28"/>
          <w:highlight w:val="none"/>
          <w:lang w:val="en-US" w:eastAsia="zh-CN" w:bidi="ar-SA"/>
        </w:rPr>
        <w:t>2021年政府采购支出金额922.2万元，其中：货物支出383.76万元，政府采购工程支出391.49万元，政府采购服务支出146.97万元，均履行了政府采购程序，采购执行利率为100%。</w:t>
      </w:r>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ascii="仿宋" w:hAnsi="仿宋" w:eastAsia="仿宋" w:cs="仿宋"/>
          <w:b w:val="0"/>
          <w:bCs w:val="0"/>
          <w:kern w:val="0"/>
          <w:sz w:val="28"/>
          <w:szCs w:val="28"/>
          <w:highlight w:val="none"/>
          <w:lang w:val="en-US" w:eastAsia="zh-CN"/>
        </w:rPr>
        <w:t>依据评分标准，本指标得3分。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default" w:ascii="仿宋" w:hAnsi="仿宋" w:eastAsia="仿宋" w:cs="仿宋"/>
          <w:b/>
          <w:kern w:val="2"/>
          <w:sz w:val="28"/>
          <w:szCs w:val="28"/>
          <w:highlight w:val="none"/>
          <w:lang w:val="en-US" w:eastAsia="zh-CN" w:bidi="ar-SA"/>
        </w:rPr>
      </w:pPr>
      <w:r>
        <w:rPr>
          <w:rFonts w:hint="default" w:ascii="仿宋" w:hAnsi="仿宋" w:eastAsia="仿宋" w:cs="仿宋"/>
          <w:b/>
          <w:kern w:val="2"/>
          <w:sz w:val="28"/>
          <w:szCs w:val="28"/>
          <w:highlight w:val="none"/>
          <w:lang w:val="en-US" w:eastAsia="zh-CN" w:bidi="ar-SA"/>
        </w:rPr>
        <w:t>B4-2预决算信息公开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kern w:val="0"/>
          <w:sz w:val="28"/>
          <w:szCs w:val="28"/>
          <w:highlight w:val="none"/>
          <w:lang w:val="en-US" w:eastAsia="zh-CN"/>
        </w:rPr>
      </w:pPr>
      <w:r>
        <w:rPr>
          <w:rFonts w:hint="eastAsia" w:ascii="仿宋" w:hAnsi="仿宋" w:eastAsia="仿宋" w:cs="仿宋"/>
          <w:b w:val="0"/>
          <w:bCs w:val="0"/>
          <w:kern w:val="0"/>
          <w:sz w:val="28"/>
          <w:szCs w:val="28"/>
          <w:highlight w:val="none"/>
          <w:lang w:val="en-US" w:eastAsia="zh-CN"/>
        </w:rPr>
        <w:t>依据《财政部关于印发&lt;地方预决算公开操作规程&gt;的通知》（财预〔2016〕143号）及永济市财政局的相关要求，永济市公安局应于预决算批复之日起20日内，在永济市人民政府网站上公开部门预决算信息。永济市财政局2021年4月20日批复了永济市公安局2021年度部门预算，2022年9月15日批复了永济市公安局2021年度部门决算。评价人员登陆永济市人民政府网站搜索查看，该部门2021年预算于2021年4月28日进行公开，决算信息于2022年9月30日进行公开。公开信息内容符合《操作规程》要求，公开及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仿宋" w:hAnsi="仿宋" w:eastAsia="仿宋" w:cs="仿宋"/>
          <w:b w:val="0"/>
          <w:bCs w:val="0"/>
          <w:kern w:val="0"/>
          <w:sz w:val="28"/>
          <w:szCs w:val="28"/>
          <w:highlight w:val="none"/>
          <w:lang w:val="en-US" w:eastAsia="zh-CN"/>
        </w:rPr>
        <w:t>依据评分标准，本指标得1分。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outlineLvl w:val="0"/>
        <w:rPr>
          <w:rFonts w:hint="eastAsia" w:ascii="仿宋" w:hAnsi="仿宋" w:eastAsia="仿宋" w:cs="仿宋"/>
          <w:b/>
          <w:kern w:val="2"/>
          <w:sz w:val="28"/>
          <w:szCs w:val="28"/>
          <w:highlight w:val="none"/>
          <w:lang w:val="en-US" w:eastAsia="zh-CN" w:bidi="ar-SA"/>
        </w:rPr>
      </w:pPr>
      <w:bookmarkStart w:id="198" w:name="_Toc5208"/>
      <w:r>
        <w:rPr>
          <w:rFonts w:hint="eastAsia" w:ascii="仿宋" w:hAnsi="仿宋" w:eastAsia="仿宋" w:cs="仿宋"/>
          <w:b/>
          <w:kern w:val="2"/>
          <w:sz w:val="28"/>
          <w:szCs w:val="28"/>
          <w:highlight w:val="none"/>
          <w:lang w:val="en-US" w:eastAsia="zh-CN" w:bidi="ar-SA"/>
        </w:rPr>
        <w:t>3、社会效应情况分析</w:t>
      </w:r>
      <w:bookmarkEnd w:id="198"/>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社会效应分别从经济社会影响、社会满意两个方面进行分析，共设置2个二级指标3个三级指标。社会效应类指标分值20分，实际得分18.30分，得分率91.50%。各分项指标得分情况如下表4-3所示：</w:t>
      </w:r>
    </w:p>
    <w:p>
      <w:pPr>
        <w:spacing w:line="560" w:lineRule="exact"/>
        <w:jc w:val="center"/>
        <w:outlineLvl w:val="0"/>
        <w:rPr>
          <w:rFonts w:ascii="仿宋" w:hAnsi="仿宋" w:eastAsia="仿宋" w:cs="仿宋"/>
          <w:sz w:val="28"/>
          <w:szCs w:val="28"/>
          <w:highlight w:val="none"/>
        </w:rPr>
      </w:pPr>
      <w:bookmarkStart w:id="199" w:name="_Toc10601"/>
      <w:r>
        <w:rPr>
          <w:rFonts w:hint="eastAsia" w:ascii="仿宋" w:hAnsi="仿宋" w:eastAsia="仿宋" w:cs="仿宋"/>
          <w:sz w:val="28"/>
          <w:szCs w:val="28"/>
          <w:highlight w:val="none"/>
        </w:rPr>
        <w:t>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3社会效应</w:t>
      </w:r>
      <w:r>
        <w:rPr>
          <w:rFonts w:hint="eastAsia" w:ascii="仿宋" w:hAnsi="仿宋" w:eastAsia="仿宋" w:cs="仿宋"/>
          <w:sz w:val="28"/>
          <w:szCs w:val="28"/>
          <w:highlight w:val="none"/>
        </w:rPr>
        <w:t>类指标得分情况</w:t>
      </w:r>
      <w:bookmarkEnd w:id="199"/>
    </w:p>
    <w:tbl>
      <w:tblPr>
        <w:tblStyle w:val="19"/>
        <w:tblW w:w="8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253"/>
        <w:gridCol w:w="117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shd w:val="clear" w:color="auto" w:fill="BEBEBE" w:themeFill="background1" w:themeFillShade="BF"/>
            <w:vAlign w:val="center"/>
          </w:tcPr>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二级指标</w:t>
            </w:r>
          </w:p>
        </w:tc>
        <w:tc>
          <w:tcPr>
            <w:tcW w:w="4253" w:type="dxa"/>
            <w:shd w:val="clear" w:color="auto" w:fill="BEBEBE" w:themeFill="background1" w:themeFillShade="BF"/>
            <w:vAlign w:val="center"/>
          </w:tcPr>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三级指标</w:t>
            </w:r>
          </w:p>
        </w:tc>
        <w:tc>
          <w:tcPr>
            <w:tcW w:w="1170" w:type="dxa"/>
            <w:shd w:val="clear" w:color="auto" w:fill="BEBEBE" w:themeFill="background1" w:themeFillShade="BF"/>
            <w:vAlign w:val="center"/>
          </w:tcPr>
          <w:p>
            <w:pPr>
              <w:jc w:val="cente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权重</w:t>
            </w:r>
          </w:p>
        </w:tc>
        <w:tc>
          <w:tcPr>
            <w:tcW w:w="1170" w:type="dxa"/>
            <w:shd w:val="clear" w:color="auto" w:fill="BEBEBE" w:themeFill="background1" w:themeFillShade="BF"/>
            <w:vAlign w:val="center"/>
          </w:tcPr>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88" w:type="dxa"/>
            <w:vMerge w:val="restart"/>
            <w:vAlign w:val="center"/>
          </w:tcPr>
          <w:p>
            <w:pPr>
              <w:keepNext w:val="0"/>
              <w:keepLines w:val="0"/>
              <w:widowControl/>
              <w:suppressLineNumbers w:val="0"/>
              <w:jc w:val="center"/>
              <w:textAlignment w:val="center"/>
              <w:rPr>
                <w:rFonts w:hint="eastAsia" w:ascii="仿宋" w:hAnsi="仿宋" w:eastAsia="仿宋" w:cs="仿宋"/>
                <w:sz w:val="24"/>
                <w:szCs w:val="24"/>
                <w:highlight w:val="none"/>
                <w:lang w:eastAsia="zh-CN"/>
              </w:rPr>
            </w:pPr>
            <w:r>
              <w:rPr>
                <w:rFonts w:hint="eastAsia" w:ascii="仿宋" w:hAnsi="仿宋" w:eastAsia="仿宋" w:cs="仿宋"/>
                <w:i w:val="0"/>
                <w:iCs w:val="0"/>
                <w:color w:val="000000"/>
                <w:kern w:val="0"/>
                <w:sz w:val="24"/>
                <w:szCs w:val="24"/>
                <w:u w:val="none"/>
                <w:lang w:val="en-US" w:eastAsia="zh-CN" w:bidi="ar"/>
              </w:rPr>
              <w:t>C1经济社会影响</w:t>
            </w:r>
          </w:p>
        </w:tc>
        <w:tc>
          <w:tcPr>
            <w:tcW w:w="4253" w:type="dxa"/>
            <w:vAlign w:val="center"/>
          </w:tcPr>
          <w:p>
            <w:pPr>
              <w:keepNext w:val="0"/>
              <w:keepLines w:val="0"/>
              <w:widowControl/>
              <w:suppressLineNumbers w:val="0"/>
              <w:jc w:val="both"/>
              <w:textAlignment w:val="center"/>
              <w:rPr>
                <w:rFonts w:hint="default"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C1-1提升群众的安全感</w:t>
            </w:r>
          </w:p>
        </w:tc>
        <w:tc>
          <w:tcPr>
            <w:tcW w:w="1170" w:type="dxa"/>
            <w:vAlign w:val="center"/>
          </w:tcPr>
          <w:p>
            <w:pPr>
              <w:keepNext w:val="0"/>
              <w:keepLines w:val="0"/>
              <w:widowControl/>
              <w:suppressLineNumbers w:val="0"/>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4</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88" w:type="dxa"/>
            <w:vMerge w:val="continue"/>
            <w:vAlign w:val="center"/>
          </w:tcPr>
          <w:p>
            <w:pPr>
              <w:jc w:val="center"/>
              <w:rPr>
                <w:rFonts w:ascii="仿宋" w:hAnsi="仿宋" w:eastAsia="仿宋" w:cs="仿宋"/>
                <w:sz w:val="24"/>
                <w:szCs w:val="24"/>
                <w:highlight w:val="none"/>
              </w:rPr>
            </w:pPr>
          </w:p>
        </w:tc>
        <w:tc>
          <w:tcPr>
            <w:tcW w:w="4253"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lang w:eastAsia="zh-CN"/>
              </w:rPr>
            </w:pPr>
            <w:r>
              <w:rPr>
                <w:rFonts w:hint="eastAsia" w:ascii="仿宋" w:hAnsi="仿宋" w:eastAsia="仿宋" w:cs="仿宋"/>
                <w:i w:val="0"/>
                <w:iCs w:val="0"/>
                <w:color w:val="000000"/>
                <w:kern w:val="0"/>
                <w:sz w:val="24"/>
                <w:szCs w:val="24"/>
                <w:u w:val="none"/>
                <w:lang w:val="en-US" w:eastAsia="zh-CN" w:bidi="ar"/>
              </w:rPr>
              <w:t>C1-2稳定规范社会治安秩序</w:t>
            </w:r>
          </w:p>
        </w:tc>
        <w:tc>
          <w:tcPr>
            <w:tcW w:w="1170" w:type="dxa"/>
            <w:vAlign w:val="center"/>
          </w:tcPr>
          <w:p>
            <w:pPr>
              <w:keepNext w:val="0"/>
              <w:keepLines w:val="0"/>
              <w:widowControl/>
              <w:suppressLineNumbers w:val="0"/>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6</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88" w:type="dxa"/>
            <w:vMerge w:val="continue"/>
            <w:vAlign w:val="center"/>
          </w:tcPr>
          <w:p>
            <w:pPr>
              <w:jc w:val="center"/>
              <w:rPr>
                <w:rFonts w:ascii="仿宋" w:hAnsi="仿宋" w:eastAsia="仿宋" w:cs="仿宋"/>
                <w:sz w:val="24"/>
                <w:szCs w:val="24"/>
                <w:highlight w:val="none"/>
              </w:rPr>
            </w:pPr>
          </w:p>
        </w:tc>
        <w:tc>
          <w:tcPr>
            <w:tcW w:w="425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小计</w:t>
            </w:r>
          </w:p>
        </w:tc>
        <w:tc>
          <w:tcPr>
            <w:tcW w:w="117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10</w:t>
            </w:r>
          </w:p>
        </w:tc>
        <w:tc>
          <w:tcPr>
            <w:tcW w:w="1170" w:type="dxa"/>
            <w:vAlign w:val="center"/>
          </w:tcPr>
          <w:p>
            <w:pPr>
              <w:jc w:val="center"/>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keepNext w:val="0"/>
              <w:keepLines w:val="0"/>
              <w:widowControl/>
              <w:suppressLineNumbers w:val="0"/>
              <w:jc w:val="center"/>
              <w:textAlignment w:val="center"/>
              <w:rPr>
                <w:rFonts w:ascii="仿宋" w:hAnsi="仿宋" w:eastAsia="仿宋" w:cs="仿宋"/>
                <w:sz w:val="24"/>
                <w:szCs w:val="24"/>
                <w:highlight w:val="none"/>
              </w:rPr>
            </w:pPr>
            <w:r>
              <w:rPr>
                <w:rFonts w:hint="eastAsia" w:ascii="仿宋" w:hAnsi="仿宋" w:eastAsia="仿宋" w:cs="仿宋"/>
                <w:i w:val="0"/>
                <w:iCs w:val="0"/>
                <w:color w:val="000000"/>
                <w:kern w:val="0"/>
                <w:sz w:val="24"/>
                <w:szCs w:val="24"/>
                <w:u w:val="none"/>
                <w:lang w:val="en-US" w:eastAsia="zh-CN" w:bidi="ar"/>
              </w:rPr>
              <w:t>C2社会满意</w:t>
            </w:r>
          </w:p>
        </w:tc>
        <w:tc>
          <w:tcPr>
            <w:tcW w:w="4253" w:type="dxa"/>
            <w:vAlign w:val="center"/>
          </w:tcPr>
          <w:p>
            <w:pPr>
              <w:keepNext w:val="0"/>
              <w:keepLines w:val="0"/>
              <w:widowControl/>
              <w:suppressLineNumbers w:val="0"/>
              <w:jc w:val="both"/>
              <w:textAlignment w:val="center"/>
              <w:rPr>
                <w:rFonts w:ascii="仿宋" w:hAnsi="仿宋" w:eastAsia="仿宋" w:cs="仿宋"/>
                <w:b/>
                <w:bCs/>
                <w:sz w:val="24"/>
                <w:szCs w:val="24"/>
                <w:highlight w:val="none"/>
              </w:rPr>
            </w:pPr>
            <w:r>
              <w:rPr>
                <w:rFonts w:hint="eastAsia" w:ascii="仿宋" w:hAnsi="仿宋" w:eastAsia="仿宋" w:cs="仿宋"/>
                <w:i w:val="0"/>
                <w:iCs w:val="0"/>
                <w:color w:val="000000"/>
                <w:kern w:val="0"/>
                <w:sz w:val="24"/>
                <w:szCs w:val="24"/>
                <w:u w:val="none"/>
                <w:lang w:val="en-US" w:eastAsia="zh-CN" w:bidi="ar"/>
              </w:rPr>
              <w:t>C2-1服务对象满意度</w:t>
            </w:r>
          </w:p>
        </w:tc>
        <w:tc>
          <w:tcPr>
            <w:tcW w:w="1170" w:type="dxa"/>
            <w:vAlign w:val="center"/>
          </w:tcPr>
          <w:p>
            <w:pPr>
              <w:keepNext w:val="0"/>
              <w:keepLines w:val="0"/>
              <w:widowControl/>
              <w:suppressLineNumbers w:val="0"/>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170" w:type="dxa"/>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rPr>
                <w:rFonts w:ascii="仿宋" w:hAnsi="仿宋" w:eastAsia="仿宋" w:cs="仿宋"/>
                <w:b/>
                <w:sz w:val="24"/>
                <w:szCs w:val="24"/>
                <w:highlight w:val="none"/>
              </w:rPr>
            </w:pPr>
          </w:p>
        </w:tc>
        <w:tc>
          <w:tcPr>
            <w:tcW w:w="4253"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小计</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10</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Align w:val="center"/>
          </w:tcPr>
          <w:p>
            <w:pPr>
              <w:jc w:val="center"/>
              <w:rPr>
                <w:rFonts w:ascii="仿宋" w:hAnsi="仿宋" w:eastAsia="仿宋" w:cs="仿宋"/>
                <w:b/>
                <w:sz w:val="24"/>
                <w:szCs w:val="24"/>
                <w:highlight w:val="none"/>
              </w:rPr>
            </w:pPr>
            <w:r>
              <w:rPr>
                <w:rFonts w:hint="eastAsia" w:ascii="仿宋" w:hAnsi="仿宋" w:eastAsia="仿宋" w:cs="仿宋"/>
                <w:b/>
                <w:kern w:val="2"/>
                <w:sz w:val="24"/>
                <w:szCs w:val="24"/>
                <w:highlight w:val="none"/>
                <w:lang w:val="en-US" w:eastAsia="zh-CN" w:bidi="ar-SA"/>
              </w:rPr>
              <w:t>社会效应</w:t>
            </w:r>
          </w:p>
        </w:tc>
        <w:tc>
          <w:tcPr>
            <w:tcW w:w="4253"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合计</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20</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18.30</w:t>
            </w:r>
          </w:p>
        </w:tc>
      </w:tr>
    </w:tbl>
    <w:p>
      <w:pPr>
        <w:pStyle w:val="3"/>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Times New Roman" w:eastAsia="仿宋_GB2312" w:cs="Times New Roman"/>
          <w:kern w:val="2"/>
          <w:sz w:val="30"/>
          <w:szCs w:val="24"/>
          <w:lang w:val="en-US" w:eastAsia="zh-CN" w:bidi="ar-SA"/>
        </w:rPr>
      </w:pPr>
      <w:r>
        <w:rPr>
          <w:rFonts w:hint="eastAsia" w:ascii="仿宋" w:hAnsi="仿宋" w:eastAsia="仿宋" w:cs="仿宋"/>
          <w:b/>
          <w:kern w:val="2"/>
          <w:sz w:val="28"/>
          <w:szCs w:val="28"/>
          <w:highlight w:val="none"/>
          <w:lang w:val="en-US" w:eastAsia="zh-CN" w:bidi="ar-SA"/>
        </w:rPr>
        <w:t>C1-1提升群众的安全感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60" w:firstLineChars="200"/>
        <w:jc w:val="both"/>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通过</w:t>
      </w:r>
      <w:r>
        <w:rPr>
          <w:rFonts w:hint="eastAsia" w:ascii="仿宋_GB2312" w:eastAsia="仿宋_GB2312" w:cs="Times New Roman"/>
          <w:kern w:val="2"/>
          <w:sz w:val="28"/>
          <w:szCs w:val="28"/>
          <w:lang w:val="en-US" w:eastAsia="zh-CN" w:bidi="ar-SA"/>
        </w:rPr>
        <w:t>调查</w:t>
      </w:r>
      <w:r>
        <w:rPr>
          <w:rFonts w:hint="eastAsia" w:ascii="仿宋_GB2312" w:hAnsi="Times New Roman" w:eastAsia="仿宋_GB2312" w:cs="Times New Roman"/>
          <w:kern w:val="2"/>
          <w:sz w:val="28"/>
          <w:szCs w:val="28"/>
          <w:lang w:val="en-US" w:eastAsia="zh-CN" w:bidi="ar-SA"/>
        </w:rPr>
        <w:t>了解，提升群众的安全感</w:t>
      </w:r>
      <w:r>
        <w:rPr>
          <w:rFonts w:hint="eastAsia" w:ascii="仿宋_GB2312" w:eastAsia="仿宋_GB2312" w:cs="Times New Roman"/>
          <w:kern w:val="2"/>
          <w:sz w:val="28"/>
          <w:szCs w:val="28"/>
          <w:lang w:val="en-US" w:eastAsia="zh-CN" w:bidi="ar-SA"/>
        </w:rPr>
        <w:t>得分率70%</w:t>
      </w:r>
      <w:r>
        <w:rPr>
          <w:rFonts w:hint="eastAsia" w:ascii="仿宋_GB2312" w:hAnsi="Times New Roman" w:eastAsia="仿宋_GB2312" w:cs="Times New Roman"/>
          <w:kern w:val="2"/>
          <w:sz w:val="28"/>
          <w:szCs w:val="28"/>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60" w:firstLineChars="200"/>
        <w:jc w:val="both"/>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根据评分规则，该指标得</w:t>
      </w:r>
      <w:r>
        <w:rPr>
          <w:rFonts w:hint="eastAsia" w:ascii="仿宋_GB2312" w:eastAsia="仿宋_GB2312" w:cs="Times New Roman"/>
          <w:kern w:val="2"/>
          <w:sz w:val="28"/>
          <w:szCs w:val="28"/>
          <w:lang w:val="en-US" w:eastAsia="zh-CN" w:bidi="ar-SA"/>
        </w:rPr>
        <w:t>2.80</w:t>
      </w:r>
      <w:r>
        <w:rPr>
          <w:rFonts w:hint="eastAsia" w:ascii="仿宋_GB2312" w:hAnsi="Times New Roman" w:eastAsia="仿宋_GB2312" w:cs="Times New Roman"/>
          <w:kern w:val="2"/>
          <w:sz w:val="28"/>
          <w:szCs w:val="28"/>
          <w:lang w:val="en-US" w:eastAsia="zh-CN" w:bidi="ar-SA"/>
        </w:rPr>
        <w:t>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562" w:firstLineChars="200"/>
        <w:jc w:val="both"/>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C1-2稳定规范社会治安秩序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2021年永济市公安局</w:t>
      </w:r>
      <w:r>
        <w:rPr>
          <w:rFonts w:hint="eastAsia" w:ascii="仿宋_GB2312" w:eastAsia="仿宋_GB2312" w:cs="Times New Roman"/>
          <w:kern w:val="2"/>
          <w:sz w:val="28"/>
          <w:szCs w:val="28"/>
          <w:lang w:val="en-US" w:eastAsia="zh-CN" w:bidi="ar-SA"/>
        </w:rPr>
        <w:t>坚持</w:t>
      </w:r>
      <w:r>
        <w:rPr>
          <w:rFonts w:hint="eastAsia" w:ascii="仿宋_GB2312" w:hAnsi="Times New Roman" w:eastAsia="仿宋_GB2312" w:cs="Times New Roman"/>
          <w:kern w:val="2"/>
          <w:sz w:val="28"/>
          <w:szCs w:val="28"/>
          <w:lang w:val="en-US" w:eastAsia="zh-CN" w:bidi="ar-SA"/>
        </w:rPr>
        <w:t>对盗抢骗、黄赌毒、食药环等各类违法犯罪严打高压态势，以打开路，稳定规范社会治安秩序</w:t>
      </w:r>
      <w:r>
        <w:rPr>
          <w:rFonts w:hint="eastAsia" w:ascii="仿宋_GB2312" w:eastAsia="仿宋_GB2312" w:cs="Times New Roman"/>
          <w:kern w:val="2"/>
          <w:sz w:val="28"/>
          <w:szCs w:val="28"/>
          <w:lang w:val="en-US" w:eastAsia="zh-CN" w:bidi="ar-SA"/>
        </w:rPr>
        <w:t>，同时，</w:t>
      </w:r>
      <w:r>
        <w:rPr>
          <w:rFonts w:hint="eastAsia" w:ascii="仿宋_GB2312" w:hAnsi="Times New Roman" w:eastAsia="仿宋_GB2312" w:cs="Times New Roman"/>
          <w:kern w:val="2"/>
          <w:sz w:val="28"/>
          <w:szCs w:val="28"/>
          <w:lang w:val="en-US" w:eastAsia="zh-CN" w:bidi="ar-SA"/>
        </w:rPr>
        <w:t>通过技术手段提升治安管理水平，实现保障社会长治久安。</w:t>
      </w:r>
    </w:p>
    <w:p>
      <w:pPr>
        <w:pStyle w:val="2"/>
        <w:ind w:firstLine="560" w:firstLineChars="200"/>
        <w:rPr>
          <w:rFonts w:hint="default"/>
          <w:sz w:val="28"/>
          <w:szCs w:val="28"/>
          <w:lang w:val="en-US" w:eastAsia="zh-CN"/>
        </w:rPr>
      </w:pPr>
      <w:r>
        <w:rPr>
          <w:rFonts w:hint="eastAsia" w:ascii="仿宋_GB2312" w:hAnsi="Times New Roman" w:eastAsia="仿宋_GB2312" w:cs="Times New Roman"/>
          <w:kern w:val="2"/>
          <w:sz w:val="28"/>
          <w:szCs w:val="28"/>
          <w:lang w:val="en-US" w:eastAsia="zh-CN" w:bidi="ar-SA"/>
        </w:rPr>
        <w:t>根据评分规则，该指标得</w:t>
      </w:r>
      <w:r>
        <w:rPr>
          <w:rFonts w:hint="eastAsia" w:cs="Times New Roman"/>
          <w:kern w:val="2"/>
          <w:sz w:val="28"/>
          <w:szCs w:val="28"/>
          <w:lang w:val="en-US" w:eastAsia="zh-CN" w:bidi="ar-SA"/>
        </w:rPr>
        <w:t>6</w:t>
      </w:r>
      <w:r>
        <w:rPr>
          <w:rFonts w:hint="eastAsia" w:ascii="仿宋_GB2312" w:hAnsi="Times New Roman" w:eastAsia="仿宋_GB2312" w:cs="Times New Roman"/>
          <w:kern w:val="2"/>
          <w:sz w:val="28"/>
          <w:szCs w:val="28"/>
          <w:lang w:val="en-US" w:eastAsia="zh-CN" w:bidi="ar-SA"/>
        </w:rPr>
        <w:t>分</w:t>
      </w:r>
      <w:r>
        <w:rPr>
          <w:rFonts w:hint="eastAsia" w:cs="Times New Roman"/>
          <w:kern w:val="2"/>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C2-1服务对象满意度</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评价组本次采用发放调查问卷的方式进行满意度调查，共收回问卷80份。根据满意度调查问卷数据信息统计显示，5个题目的总得分为95分，服务对象的满意度为95%。</w:t>
      </w:r>
    </w:p>
    <w:p>
      <w:pPr>
        <w:pStyle w:val="2"/>
        <w:ind w:left="559" w:leftChars="266" w:firstLine="0" w:firstLineChars="0"/>
        <w:rPr>
          <w:rFonts w:hint="eastAsia"/>
          <w:lang w:val="en-US" w:eastAsia="zh-CN"/>
        </w:rPr>
      </w:pPr>
      <w:r>
        <w:rPr>
          <w:rFonts w:hint="eastAsia" w:ascii="仿宋" w:hAnsi="仿宋" w:eastAsia="仿宋" w:cs="仿宋"/>
          <w:b w:val="0"/>
          <w:bCs/>
          <w:kern w:val="2"/>
          <w:sz w:val="28"/>
          <w:szCs w:val="28"/>
          <w:highlight w:val="none"/>
          <w:lang w:val="en-US" w:eastAsia="zh-CN" w:bidi="ar-SA"/>
        </w:rPr>
        <w:t>根据评分规则，该指标得9.50分。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0"/>
        <w:rPr>
          <w:rFonts w:hint="eastAsia"/>
          <w:lang w:val="en-US" w:eastAsia="zh-CN"/>
        </w:rPr>
      </w:pPr>
      <w:bookmarkStart w:id="200" w:name="_Toc26779"/>
      <w:r>
        <w:rPr>
          <w:rFonts w:hint="eastAsia" w:ascii="仿宋" w:hAnsi="仿宋" w:eastAsia="仿宋" w:cs="仿宋"/>
          <w:b/>
          <w:kern w:val="2"/>
          <w:sz w:val="28"/>
          <w:szCs w:val="28"/>
          <w:highlight w:val="none"/>
          <w:lang w:val="en-US" w:eastAsia="zh-CN" w:bidi="ar-SA"/>
        </w:rPr>
        <w:t>4、可持续性情况分析</w:t>
      </w:r>
      <w:bookmarkEnd w:id="200"/>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可持续性分别从体制机制改革、干部队伍建设两个方面进行分析，共设置2个二级指标2个三级指标。可持续性类指标分值10分，实际得分8分，得分率80%。各分项指标得分情况如下表4-4所示：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仿宋" w:hAnsi="仿宋" w:eastAsia="仿宋" w:cs="仿宋"/>
          <w:sz w:val="28"/>
          <w:szCs w:val="28"/>
          <w:highlight w:val="none"/>
        </w:rPr>
      </w:pPr>
      <w:bookmarkStart w:id="201" w:name="_Toc13699"/>
      <w:r>
        <w:rPr>
          <w:rFonts w:hint="eastAsia" w:ascii="仿宋" w:hAnsi="仿宋" w:eastAsia="仿宋" w:cs="仿宋"/>
          <w:sz w:val="28"/>
          <w:szCs w:val="28"/>
          <w:highlight w:val="none"/>
        </w:rPr>
        <w:t>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4社会效应</w:t>
      </w:r>
      <w:r>
        <w:rPr>
          <w:rFonts w:hint="eastAsia" w:ascii="仿宋" w:hAnsi="仿宋" w:eastAsia="仿宋" w:cs="仿宋"/>
          <w:sz w:val="28"/>
          <w:szCs w:val="28"/>
          <w:highlight w:val="none"/>
        </w:rPr>
        <w:t>类指标得分情况</w:t>
      </w:r>
      <w:bookmarkEnd w:id="201"/>
    </w:p>
    <w:tbl>
      <w:tblPr>
        <w:tblStyle w:val="19"/>
        <w:tblW w:w="8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3870"/>
        <w:gridCol w:w="117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1" w:type="dxa"/>
            <w:shd w:val="clear" w:color="auto" w:fill="BEBEBE" w:themeFill="background1" w:themeFillShade="BF"/>
            <w:vAlign w:val="center"/>
          </w:tcPr>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二级指标</w:t>
            </w:r>
          </w:p>
        </w:tc>
        <w:tc>
          <w:tcPr>
            <w:tcW w:w="3870" w:type="dxa"/>
            <w:shd w:val="clear" w:color="auto" w:fill="BEBEBE" w:themeFill="background1" w:themeFillShade="BF"/>
            <w:vAlign w:val="center"/>
          </w:tcPr>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三级指标</w:t>
            </w:r>
          </w:p>
        </w:tc>
        <w:tc>
          <w:tcPr>
            <w:tcW w:w="1170" w:type="dxa"/>
            <w:shd w:val="clear" w:color="auto" w:fill="BEBEBE" w:themeFill="background1" w:themeFillShade="BF"/>
            <w:vAlign w:val="center"/>
          </w:tcPr>
          <w:p>
            <w:pPr>
              <w:jc w:val="cente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权重</w:t>
            </w:r>
          </w:p>
        </w:tc>
        <w:tc>
          <w:tcPr>
            <w:tcW w:w="1170" w:type="dxa"/>
            <w:shd w:val="clear" w:color="auto" w:fill="BEBEBE" w:themeFill="background1" w:themeFillShade="BF"/>
            <w:vAlign w:val="center"/>
          </w:tcPr>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71" w:type="dxa"/>
            <w:vMerge w:val="restart"/>
            <w:vAlign w:val="center"/>
          </w:tcPr>
          <w:p>
            <w:pPr>
              <w:keepNext w:val="0"/>
              <w:keepLines w:val="0"/>
              <w:widowControl/>
              <w:suppressLineNumbers w:val="0"/>
              <w:jc w:val="center"/>
              <w:textAlignment w:val="center"/>
              <w:rPr>
                <w:rFonts w:hint="eastAsia" w:ascii="仿宋" w:hAnsi="仿宋" w:eastAsia="仿宋" w:cs="仿宋"/>
                <w:sz w:val="24"/>
                <w:szCs w:val="24"/>
                <w:highlight w:val="none"/>
                <w:lang w:eastAsia="zh-CN"/>
              </w:rPr>
            </w:pPr>
            <w:r>
              <w:rPr>
                <w:rFonts w:hint="eastAsia" w:ascii="仿宋" w:hAnsi="仿宋" w:eastAsia="仿宋" w:cs="仿宋"/>
                <w:i w:val="0"/>
                <w:iCs w:val="0"/>
                <w:color w:val="000000"/>
                <w:kern w:val="0"/>
                <w:sz w:val="24"/>
                <w:szCs w:val="24"/>
                <w:u w:val="none"/>
                <w:lang w:val="en-US" w:eastAsia="zh-CN" w:bidi="ar"/>
              </w:rPr>
              <w:t>D1体制机制改革</w:t>
            </w:r>
          </w:p>
        </w:tc>
        <w:tc>
          <w:tcPr>
            <w:tcW w:w="3870"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lang w:eastAsia="zh-CN"/>
              </w:rPr>
            </w:pPr>
            <w:r>
              <w:rPr>
                <w:rFonts w:hint="eastAsia" w:ascii="仿宋" w:hAnsi="仿宋" w:eastAsia="仿宋" w:cs="仿宋"/>
                <w:i w:val="0"/>
                <w:iCs w:val="0"/>
                <w:color w:val="000000"/>
                <w:kern w:val="0"/>
                <w:sz w:val="24"/>
                <w:szCs w:val="24"/>
                <w:u w:val="none"/>
                <w:lang w:val="en-US" w:eastAsia="zh-CN" w:bidi="ar"/>
              </w:rPr>
              <w:t>D1-1体制机制改革</w:t>
            </w:r>
          </w:p>
        </w:tc>
        <w:tc>
          <w:tcPr>
            <w:tcW w:w="1170" w:type="dxa"/>
            <w:vAlign w:val="center"/>
          </w:tcPr>
          <w:p>
            <w:pPr>
              <w:keepNext w:val="0"/>
              <w:keepLines w:val="0"/>
              <w:widowControl/>
              <w:suppressLineNumbers w:val="0"/>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1170" w:type="dxa"/>
            <w:vAlign w:val="center"/>
          </w:tcPr>
          <w:p>
            <w:pPr>
              <w:keepNext w:val="0"/>
              <w:keepLines w:val="0"/>
              <w:widowControl/>
              <w:suppressLineNumbers w:val="0"/>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71" w:type="dxa"/>
            <w:vMerge w:val="continue"/>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p>
        </w:tc>
        <w:tc>
          <w:tcPr>
            <w:tcW w:w="38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小计</w:t>
            </w:r>
          </w:p>
        </w:tc>
        <w:tc>
          <w:tcPr>
            <w:tcW w:w="1170" w:type="dxa"/>
            <w:vAlign w:val="center"/>
          </w:tcPr>
          <w:p>
            <w:pPr>
              <w:keepNext w:val="0"/>
              <w:keepLines w:val="0"/>
              <w:widowControl/>
              <w:suppressLineNumbers w:val="0"/>
              <w:jc w:val="center"/>
              <w:textAlignment w:val="center"/>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w:t>
            </w:r>
          </w:p>
        </w:tc>
        <w:tc>
          <w:tcPr>
            <w:tcW w:w="1170" w:type="dxa"/>
            <w:vAlign w:val="center"/>
          </w:tcPr>
          <w:p>
            <w:pPr>
              <w:keepNext w:val="0"/>
              <w:keepLines w:val="0"/>
              <w:widowControl/>
              <w:suppressLineNumbers w:val="0"/>
              <w:jc w:val="center"/>
              <w:textAlignment w:val="center"/>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071" w:type="dxa"/>
            <w:vMerge w:val="restart"/>
            <w:vAlign w:val="center"/>
          </w:tcPr>
          <w:p>
            <w:pPr>
              <w:keepNext w:val="0"/>
              <w:keepLines w:val="0"/>
              <w:widowControl/>
              <w:suppressLineNumbers w:val="0"/>
              <w:jc w:val="center"/>
              <w:textAlignment w:val="center"/>
              <w:rPr>
                <w:rFonts w:ascii="仿宋" w:hAnsi="仿宋" w:eastAsia="仿宋" w:cs="仿宋"/>
                <w:sz w:val="24"/>
                <w:szCs w:val="24"/>
                <w:highlight w:val="none"/>
              </w:rPr>
            </w:pPr>
            <w:r>
              <w:rPr>
                <w:rFonts w:hint="eastAsia" w:ascii="仿宋" w:hAnsi="仿宋" w:eastAsia="仿宋" w:cs="仿宋"/>
                <w:i w:val="0"/>
                <w:iCs w:val="0"/>
                <w:color w:val="000000"/>
                <w:kern w:val="0"/>
                <w:sz w:val="24"/>
                <w:szCs w:val="24"/>
                <w:u w:val="none"/>
                <w:lang w:val="en-US" w:eastAsia="zh-CN" w:bidi="ar"/>
              </w:rPr>
              <w:t>D2干部队伍建设</w:t>
            </w:r>
          </w:p>
        </w:tc>
        <w:tc>
          <w:tcPr>
            <w:tcW w:w="3870" w:type="dxa"/>
            <w:vAlign w:val="center"/>
          </w:tcPr>
          <w:p>
            <w:pPr>
              <w:keepNext w:val="0"/>
              <w:keepLines w:val="0"/>
              <w:widowControl/>
              <w:suppressLineNumbers w:val="0"/>
              <w:jc w:val="both"/>
              <w:textAlignment w:val="center"/>
              <w:rPr>
                <w:rFonts w:hint="eastAsia" w:ascii="仿宋" w:hAnsi="仿宋" w:eastAsia="仿宋" w:cs="仿宋"/>
                <w:sz w:val="24"/>
                <w:szCs w:val="24"/>
                <w:highlight w:val="none"/>
                <w:lang w:eastAsia="zh-CN"/>
              </w:rPr>
            </w:pPr>
            <w:r>
              <w:rPr>
                <w:rFonts w:hint="eastAsia" w:ascii="仿宋" w:hAnsi="仿宋" w:eastAsia="仿宋" w:cs="仿宋"/>
                <w:i w:val="0"/>
                <w:iCs w:val="0"/>
                <w:color w:val="000000"/>
                <w:kern w:val="0"/>
                <w:sz w:val="24"/>
                <w:szCs w:val="24"/>
                <w:u w:val="none"/>
                <w:lang w:val="en-US" w:eastAsia="zh-CN" w:bidi="ar"/>
              </w:rPr>
              <w:t>D2-1人才队伍建设</w:t>
            </w:r>
          </w:p>
        </w:tc>
        <w:tc>
          <w:tcPr>
            <w:tcW w:w="1170" w:type="dxa"/>
            <w:vAlign w:val="center"/>
          </w:tcPr>
          <w:p>
            <w:pPr>
              <w:keepNext w:val="0"/>
              <w:keepLines w:val="0"/>
              <w:widowControl/>
              <w:suppressLineNumbers w:val="0"/>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p>
        </w:tc>
        <w:tc>
          <w:tcPr>
            <w:tcW w:w="1170" w:type="dxa"/>
            <w:vAlign w:val="center"/>
          </w:tcPr>
          <w:p>
            <w:pPr>
              <w:keepNext w:val="0"/>
              <w:keepLines w:val="0"/>
              <w:widowControl/>
              <w:suppressLineNumbers w:val="0"/>
              <w:jc w:val="center"/>
              <w:textAlignment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071" w:type="dxa"/>
            <w:vMerge w:val="continue"/>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p>
        </w:tc>
        <w:tc>
          <w:tcPr>
            <w:tcW w:w="38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小计</w:t>
            </w:r>
          </w:p>
        </w:tc>
        <w:tc>
          <w:tcPr>
            <w:tcW w:w="1170" w:type="dxa"/>
            <w:vAlign w:val="center"/>
          </w:tcPr>
          <w:p>
            <w:pPr>
              <w:keepNext w:val="0"/>
              <w:keepLines w:val="0"/>
              <w:widowControl/>
              <w:suppressLineNumbers w:val="0"/>
              <w:jc w:val="center"/>
              <w:textAlignment w:val="center"/>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6</w:t>
            </w:r>
          </w:p>
        </w:tc>
        <w:tc>
          <w:tcPr>
            <w:tcW w:w="1170" w:type="dxa"/>
            <w:vAlign w:val="center"/>
          </w:tcPr>
          <w:p>
            <w:pPr>
              <w:keepNext w:val="0"/>
              <w:keepLines w:val="0"/>
              <w:widowControl/>
              <w:suppressLineNumbers w:val="0"/>
              <w:jc w:val="center"/>
              <w:textAlignment w:val="center"/>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1" w:type="dxa"/>
            <w:vAlign w:val="center"/>
          </w:tcPr>
          <w:p>
            <w:pPr>
              <w:jc w:val="center"/>
              <w:rPr>
                <w:rFonts w:ascii="仿宋" w:hAnsi="仿宋" w:eastAsia="仿宋" w:cs="仿宋"/>
                <w:b/>
                <w:sz w:val="24"/>
                <w:szCs w:val="24"/>
                <w:highlight w:val="none"/>
              </w:rPr>
            </w:pPr>
            <w:r>
              <w:rPr>
                <w:rFonts w:hint="eastAsia" w:ascii="仿宋" w:hAnsi="仿宋" w:eastAsia="仿宋" w:cs="仿宋"/>
                <w:b/>
                <w:kern w:val="2"/>
                <w:sz w:val="24"/>
                <w:szCs w:val="24"/>
                <w:highlight w:val="none"/>
                <w:lang w:val="en-US" w:eastAsia="zh-CN" w:bidi="ar-SA"/>
              </w:rPr>
              <w:t>可持续性</w:t>
            </w:r>
          </w:p>
        </w:tc>
        <w:tc>
          <w:tcPr>
            <w:tcW w:w="38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合计</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10</w:t>
            </w:r>
          </w:p>
        </w:tc>
        <w:tc>
          <w:tcPr>
            <w:tcW w:w="1170"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8</w:t>
            </w:r>
          </w:p>
        </w:tc>
      </w:tr>
    </w:tbl>
    <w:p>
      <w:pPr>
        <w:pStyle w:val="4"/>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D1-1体制机制改革</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360" w:lineRule="auto"/>
        <w:ind w:right="0" w:firstLine="560" w:firstLineChars="200"/>
        <w:jc w:val="both"/>
        <w:textAlignment w:val="baseline"/>
        <w:rPr>
          <w:rFonts w:hint="default" w:ascii="仿宋_GB2312"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在体制机制改革方面，2021年</w:t>
      </w:r>
      <w:r>
        <w:rPr>
          <w:rFonts w:hint="eastAsia" w:ascii="仿宋_GB2312" w:hAnsi="Times New Roman" w:eastAsia="仿宋_GB2312" w:cs="Times New Roman"/>
          <w:kern w:val="2"/>
          <w:sz w:val="28"/>
          <w:szCs w:val="28"/>
          <w:lang w:val="en-US" w:eastAsia="zh-CN" w:bidi="ar-SA"/>
        </w:rPr>
        <w:t>永济市公安局制定政治轮训制度、政治素质考察要素标准体系、警示教育制度、干部职工监督考核评价办法</w:t>
      </w:r>
      <w:r>
        <w:rPr>
          <w:rFonts w:hint="eastAsia" w:ascii="仿宋_GB2312" w:eastAsia="仿宋_GB2312" w:cs="Times New Roman"/>
          <w:kern w:val="2"/>
          <w:sz w:val="28"/>
          <w:szCs w:val="28"/>
          <w:lang w:val="en-US" w:eastAsia="zh-CN" w:bidi="ar-SA"/>
        </w:rPr>
        <w:t>等</w:t>
      </w:r>
      <w:r>
        <w:rPr>
          <w:rFonts w:hint="eastAsia" w:ascii="仿宋_GB2312" w:hAnsi="Times New Roman" w:eastAsia="仿宋_GB2312" w:cs="Times New Roman"/>
          <w:kern w:val="2"/>
          <w:sz w:val="28"/>
          <w:szCs w:val="28"/>
          <w:lang w:val="en-US" w:eastAsia="zh-CN" w:bidi="ar-SA"/>
        </w:rPr>
        <w:t>，</w:t>
      </w:r>
      <w:r>
        <w:rPr>
          <w:rFonts w:hint="eastAsia" w:ascii="仿宋_GB2312" w:eastAsia="仿宋_GB2312" w:cs="Times New Roman"/>
          <w:kern w:val="2"/>
          <w:sz w:val="28"/>
          <w:szCs w:val="28"/>
          <w:lang w:val="en-US" w:eastAsia="zh-CN" w:bidi="ar-SA"/>
        </w:rPr>
        <w:t>确保</w:t>
      </w:r>
      <w:r>
        <w:rPr>
          <w:rFonts w:hint="eastAsia" w:ascii="仿宋_GB2312" w:hAnsi="Times New Roman" w:eastAsia="仿宋_GB2312" w:cs="Times New Roman"/>
          <w:kern w:val="2"/>
          <w:sz w:val="28"/>
          <w:szCs w:val="28"/>
          <w:lang w:val="en-US" w:eastAsia="zh-CN" w:bidi="ar-SA"/>
        </w:rPr>
        <w:t>部门履职时能够做到正规化、专业化、职业化</w:t>
      </w:r>
      <w:r>
        <w:rPr>
          <w:rFonts w:hint="eastAsia" w:ascii="仿宋_GB2312" w:eastAsia="仿宋_GB2312" w:cs="Times New Roman"/>
          <w:kern w:val="2"/>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ascii="仿宋_GB2312" w:hAnsi="Times New Roman" w:eastAsia="仿宋_GB2312" w:cs="Times New Roman"/>
          <w:kern w:val="2"/>
          <w:sz w:val="28"/>
          <w:szCs w:val="28"/>
          <w:lang w:val="en-US" w:eastAsia="zh-CN" w:bidi="ar-SA"/>
        </w:rPr>
        <w:t>根据评分规则，该指标得</w:t>
      </w:r>
      <w:r>
        <w:rPr>
          <w:rFonts w:hint="eastAsia" w:cs="Times New Roman"/>
          <w:kern w:val="2"/>
          <w:sz w:val="28"/>
          <w:szCs w:val="28"/>
          <w:lang w:val="en-US" w:eastAsia="zh-CN" w:bidi="ar-SA"/>
        </w:rPr>
        <w:t>4</w:t>
      </w:r>
      <w:r>
        <w:rPr>
          <w:rFonts w:hint="eastAsia" w:ascii="仿宋_GB2312" w:hAnsi="Times New Roman" w:eastAsia="仿宋_GB2312" w:cs="Times New Roman"/>
          <w:kern w:val="2"/>
          <w:sz w:val="28"/>
          <w:szCs w:val="28"/>
          <w:lang w:val="en-US" w:eastAsia="zh-CN" w:bidi="ar-SA"/>
        </w:rPr>
        <w:t>分</w:t>
      </w:r>
      <w:r>
        <w:rPr>
          <w:rFonts w:hint="eastAsia" w:cs="Times New Roman"/>
          <w:kern w:val="2"/>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kern w:val="2"/>
          <w:sz w:val="28"/>
          <w:szCs w:val="28"/>
          <w:highlight w:val="none"/>
          <w:lang w:val="en-US" w:eastAsia="zh-CN" w:bidi="ar-SA"/>
        </w:rPr>
      </w:pPr>
      <w:r>
        <w:rPr>
          <w:rFonts w:hint="eastAsia" w:ascii="仿宋" w:hAnsi="仿宋" w:eastAsia="仿宋" w:cs="仿宋"/>
          <w:b/>
          <w:kern w:val="2"/>
          <w:sz w:val="28"/>
          <w:szCs w:val="28"/>
          <w:highlight w:val="none"/>
          <w:lang w:val="en-US" w:eastAsia="zh-CN" w:bidi="ar-SA"/>
        </w:rPr>
        <w:t>D2-1人才队伍建设</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Times New Roman"/>
          <w:kern w:val="0"/>
          <w:sz w:val="28"/>
          <w:szCs w:val="28"/>
          <w:highlight w:val="none"/>
          <w:lang w:val="en-US" w:eastAsia="zh-CN" w:bidi="ar-SA"/>
        </w:rPr>
      </w:pPr>
      <w:r>
        <w:rPr>
          <w:rFonts w:hint="eastAsia" w:ascii="仿宋" w:hAnsi="仿宋" w:eastAsia="仿宋" w:cs="Times New Roman"/>
          <w:kern w:val="0"/>
          <w:sz w:val="28"/>
          <w:szCs w:val="28"/>
          <w:highlight w:val="none"/>
          <w:lang w:val="en-US" w:eastAsia="zh-CN" w:bidi="ar-SA"/>
        </w:rPr>
        <w:t>2021年永济市公安局深入开展队伍教育整顿工作，切实解决公安执法中存在的突出问题，树立“对党忠诚、服务人民、执法公正、纪律严明”宗旨，加强公安队伍党风廉政建设和队伍纪律作风建设，队伍建设实现“双增强、双提升”，但仍存有个别民警对智慧监所新的考核标准操作不熟练，部分民警法律知识学习和业务培训不够，对政治理论、业务知识学习的广度、深度不够，知识面不宽，工作中凭经验，综合素质有待提高。</w:t>
      </w:r>
    </w:p>
    <w:p>
      <w:pPr>
        <w:pStyle w:val="2"/>
        <w:ind w:firstLine="600" w:firstLineChars="200"/>
        <w:rPr>
          <w:rFonts w:hint="eastAsia" w:ascii="仿宋" w:hAnsi="仿宋" w:eastAsia="仿宋"/>
          <w:b/>
          <w:highlight w:val="none"/>
          <w:lang w:eastAsia="zh-CN"/>
        </w:rPr>
      </w:pPr>
      <w:r>
        <w:rPr>
          <w:rFonts w:hint="eastAsia" w:ascii="仿宋_GB2312" w:hAnsi="Times New Roman" w:eastAsia="仿宋_GB2312" w:cs="Times New Roman"/>
          <w:kern w:val="2"/>
          <w:sz w:val="30"/>
          <w:szCs w:val="24"/>
          <w:lang w:val="en-US" w:eastAsia="zh-CN" w:bidi="ar-SA"/>
        </w:rPr>
        <w:t>根据评分规则，该指标得</w:t>
      </w:r>
      <w:r>
        <w:rPr>
          <w:rFonts w:hint="eastAsia" w:cs="Times New Roman"/>
          <w:kern w:val="2"/>
          <w:sz w:val="30"/>
          <w:szCs w:val="24"/>
          <w:lang w:val="en-US" w:eastAsia="zh-CN" w:bidi="ar-SA"/>
        </w:rPr>
        <w:t>4</w:t>
      </w:r>
      <w:r>
        <w:rPr>
          <w:rFonts w:hint="eastAsia" w:ascii="仿宋_GB2312" w:hAnsi="Times New Roman" w:eastAsia="仿宋_GB2312" w:cs="Times New Roman"/>
          <w:kern w:val="2"/>
          <w:sz w:val="30"/>
          <w:szCs w:val="24"/>
          <w:lang w:val="en-US" w:eastAsia="zh-CN" w:bidi="ar-SA"/>
        </w:rPr>
        <w:t>分</w:t>
      </w:r>
      <w:bookmarkStart w:id="202" w:name="_Toc10483_WPSOffice_Level1"/>
      <w:bookmarkStart w:id="203" w:name="_Toc19816_WPSOffice_Level1"/>
      <w:bookmarkStart w:id="204" w:name="_Toc23522_WPSOffice_Level1"/>
      <w:bookmarkStart w:id="205" w:name="_Toc4836"/>
      <w:bookmarkStart w:id="206" w:name="_Toc17147_WPSOffice_Level1"/>
      <w:bookmarkStart w:id="207" w:name="_Toc19468_WPSOffice_Level1"/>
      <w:bookmarkStart w:id="208" w:name="_Toc29054_WPSOffice_Level1"/>
      <w:r>
        <w:rPr>
          <w:rFonts w:hint="eastAsia" w:cs="Times New Roman"/>
          <w:kern w:val="2"/>
          <w:sz w:val="30"/>
          <w:szCs w:val="24"/>
          <w:lang w:val="en-US" w:eastAsia="zh-CN" w:bidi="ar-SA"/>
        </w:rPr>
        <w:t>。</w:t>
      </w:r>
    </w:p>
    <w:bookmarkEnd w:id="202"/>
    <w:bookmarkEnd w:id="203"/>
    <w:bookmarkEnd w:id="204"/>
    <w:bookmarkEnd w:id="205"/>
    <w:bookmarkEnd w:id="206"/>
    <w:bookmarkEnd w:id="207"/>
    <w:bookmarkEnd w:id="208"/>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0"/>
        <w:rPr>
          <w:rFonts w:hint="default" w:eastAsia="仿宋"/>
          <w:highlight w:val="none"/>
          <w:lang w:val="en-US" w:eastAsia="zh-CN"/>
        </w:rPr>
      </w:pPr>
      <w:bookmarkStart w:id="209" w:name="_Toc1280_WPSOffice_Level1"/>
      <w:bookmarkStart w:id="210" w:name="_Toc32494_WPSOffice_Level1"/>
      <w:bookmarkStart w:id="211" w:name="_Toc25338_WPSOffice_Level1"/>
      <w:bookmarkStart w:id="212" w:name="_Toc10636_WPSOffice_Level1"/>
      <w:bookmarkStart w:id="213" w:name="_Toc11568"/>
      <w:bookmarkStart w:id="214" w:name="_Toc31020_WPSOffice_Level1"/>
      <w:bookmarkStart w:id="215" w:name="_Toc1578_WPSOffice_Level1"/>
      <w:bookmarkStart w:id="216" w:name="_Toc6967_WPSOffice_Level1"/>
      <w:bookmarkStart w:id="217" w:name="_Toc22428_WPSOffice_Level1"/>
      <w:bookmarkStart w:id="218" w:name="_Toc6825_WPSOffice_Level1"/>
      <w:bookmarkStart w:id="219" w:name="_Toc24126"/>
      <w:r>
        <w:rPr>
          <w:rFonts w:hint="eastAsia" w:ascii="仿宋" w:hAnsi="仿宋" w:eastAsia="仿宋"/>
          <w:b/>
          <w:sz w:val="28"/>
          <w:szCs w:val="28"/>
          <w:highlight w:val="none"/>
          <w:lang w:val="en-US" w:eastAsia="zh-CN"/>
        </w:rPr>
        <w:t>五</w:t>
      </w:r>
      <w:r>
        <w:rPr>
          <w:rFonts w:hint="eastAsia" w:ascii="仿宋" w:hAnsi="仿宋" w:eastAsia="仿宋"/>
          <w:b/>
          <w:sz w:val="28"/>
          <w:szCs w:val="28"/>
          <w:highlight w:val="none"/>
        </w:rPr>
        <w:t>、</w:t>
      </w:r>
      <w:r>
        <w:rPr>
          <w:rFonts w:ascii="仿宋" w:hAnsi="仿宋" w:eastAsia="仿宋"/>
          <w:b/>
          <w:sz w:val="28"/>
          <w:szCs w:val="28"/>
          <w:highlight w:val="none"/>
        </w:rPr>
        <w:t>主要经验做法</w:t>
      </w:r>
      <w:bookmarkEnd w:id="209"/>
      <w:bookmarkEnd w:id="210"/>
      <w:bookmarkEnd w:id="211"/>
      <w:bookmarkEnd w:id="212"/>
      <w:bookmarkEnd w:id="213"/>
      <w:bookmarkEnd w:id="214"/>
      <w:bookmarkEnd w:id="215"/>
      <w:bookmarkEnd w:id="216"/>
      <w:bookmarkEnd w:id="217"/>
      <w:bookmarkEnd w:id="218"/>
      <w:bookmarkEnd w:id="219"/>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（一）建立健全各项制度，依法开展各项工作。各部门职责明确，工作分明，年终对各部室进行工作考核。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（二）会计核算规范，原始凭证保存完整，各项重大支出均经会议研究决定，固定资产采购均通过政府采购进行。</w:t>
      </w:r>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outlineLvl w:val="0"/>
        <w:rPr>
          <w:rFonts w:hint="eastAsia" w:eastAsia="仿宋_GB2312"/>
          <w:b/>
          <w:highlight w:val="none"/>
          <w:lang w:eastAsia="zh-CN"/>
        </w:rPr>
      </w:pPr>
      <w:bookmarkStart w:id="220" w:name="_Toc2890_WPSOffice_Level1"/>
      <w:bookmarkStart w:id="221" w:name="_Toc10497_WPSOffice_Level1"/>
      <w:bookmarkStart w:id="222" w:name="_Toc7336_WPSOffice_Level1"/>
      <w:bookmarkStart w:id="223" w:name="_Toc20483"/>
      <w:bookmarkStart w:id="224" w:name="_Toc2096_WPSOffice_Level1"/>
      <w:bookmarkStart w:id="225" w:name="_Toc23046_WPSOffice_Level1"/>
      <w:bookmarkStart w:id="226" w:name="_Toc11386_WPSOffice_Level1"/>
      <w:bookmarkStart w:id="227" w:name="_Toc29367_WPSOffice_Level1"/>
      <w:bookmarkStart w:id="228" w:name="_Toc5408_WPSOffice_Level1"/>
      <w:bookmarkStart w:id="229" w:name="_Toc16710_WPSOffice_Level1"/>
      <w:bookmarkStart w:id="230" w:name="_Toc26854"/>
      <w:r>
        <w:rPr>
          <w:rFonts w:hint="eastAsia" w:ascii="仿宋" w:hAnsi="仿宋" w:eastAsia="仿宋"/>
          <w:b/>
          <w:highlight w:val="none"/>
          <w:lang w:val="en-US" w:eastAsia="zh-CN"/>
        </w:rPr>
        <w:t>六</w:t>
      </w:r>
      <w:r>
        <w:rPr>
          <w:rFonts w:hint="eastAsia" w:ascii="仿宋" w:hAnsi="仿宋" w:eastAsia="仿宋"/>
          <w:b/>
          <w:highlight w:val="none"/>
        </w:rPr>
        <w:t>、</w:t>
      </w:r>
      <w:r>
        <w:rPr>
          <w:b/>
          <w:highlight w:val="none"/>
        </w:rPr>
        <w:t>存在的主要问题及</w:t>
      </w:r>
      <w:bookmarkEnd w:id="220"/>
      <w:bookmarkEnd w:id="221"/>
      <w:bookmarkEnd w:id="222"/>
      <w:bookmarkEnd w:id="223"/>
      <w:bookmarkEnd w:id="224"/>
      <w:bookmarkEnd w:id="225"/>
      <w:bookmarkEnd w:id="226"/>
      <w:bookmarkEnd w:id="227"/>
      <w:bookmarkEnd w:id="228"/>
      <w:bookmarkEnd w:id="229"/>
      <w:r>
        <w:rPr>
          <w:rFonts w:hint="eastAsia"/>
          <w:b/>
          <w:highlight w:val="none"/>
          <w:lang w:val="en-US" w:eastAsia="zh-CN"/>
        </w:rPr>
        <w:t>建议</w:t>
      </w:r>
      <w:bookmarkEnd w:id="230"/>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outlineLvl w:val="1"/>
        <w:rPr>
          <w:rFonts w:hint="eastAsia"/>
          <w:b/>
          <w:highlight w:val="none"/>
        </w:rPr>
      </w:pPr>
      <w:bookmarkStart w:id="231" w:name="_Toc18341_WPSOffice_Level2"/>
      <w:bookmarkStart w:id="232" w:name="_Toc13028_WPSOffice_Level2"/>
      <w:bookmarkStart w:id="233" w:name="_Toc14085_WPSOffice_Level2"/>
      <w:bookmarkStart w:id="234" w:name="_Toc24792"/>
      <w:bookmarkStart w:id="235" w:name="_Toc29256_WPSOffice_Level2"/>
      <w:bookmarkStart w:id="236" w:name="_Toc13903_WPSOffice_Level2"/>
      <w:r>
        <w:rPr>
          <w:rFonts w:hint="eastAsia"/>
          <w:b/>
          <w:highlight w:val="none"/>
        </w:rPr>
        <w:t>（一）存在的主要问题</w:t>
      </w:r>
      <w:bookmarkEnd w:id="231"/>
      <w:bookmarkEnd w:id="232"/>
      <w:bookmarkEnd w:id="233"/>
      <w:bookmarkEnd w:id="234"/>
      <w:bookmarkEnd w:id="235"/>
      <w:bookmarkEnd w:id="236"/>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b w:val="0"/>
          <w:bCs/>
          <w:highlight w:val="none"/>
          <w:lang w:val="en-US" w:eastAsia="zh-CN"/>
        </w:rPr>
      </w:pPr>
      <w:r>
        <w:rPr>
          <w:rFonts w:hint="eastAsia" w:ascii="仿宋" w:hAnsi="仿宋" w:eastAsia="仿宋" w:cs="仿宋"/>
          <w:b w:val="0"/>
          <w:bCs/>
          <w:highlight w:val="none"/>
          <w:lang w:val="en-US" w:eastAsia="zh-CN"/>
        </w:rPr>
        <w:t>1.</w:t>
      </w:r>
      <w:r>
        <w:rPr>
          <w:rFonts w:hint="eastAsia"/>
          <w:b w:val="0"/>
          <w:bCs/>
          <w:highlight w:val="none"/>
          <w:lang w:val="en-US" w:eastAsia="zh-CN"/>
        </w:rPr>
        <w:t>未按规定设立工会专户，工会收支在单位账簿核算。</w:t>
      </w:r>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ascii="仿宋" w:hAnsi="仿宋" w:eastAsia="仿宋" w:cs="仿宋"/>
          <w:b w:val="0"/>
          <w:bCs/>
          <w:highlight w:val="none"/>
          <w:lang w:val="en-US" w:eastAsia="zh-CN"/>
        </w:rPr>
      </w:pPr>
      <w:r>
        <w:rPr>
          <w:rFonts w:hint="eastAsia" w:ascii="仿宋" w:hAnsi="仿宋" w:eastAsia="仿宋" w:cs="仿宋"/>
          <w:b w:val="0"/>
          <w:bCs/>
          <w:highlight w:val="none"/>
          <w:lang w:val="en-US" w:eastAsia="zh-CN"/>
        </w:rPr>
        <w:t>2.2018年以前年度取得的取保候审金已结案未联系到当事人和未通过新闻媒体发布公告，涉及金额22.93万元，2021年4月上交国库。</w:t>
      </w:r>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ascii="仿宋" w:hAnsi="仿宋" w:eastAsia="仿宋" w:cs="仿宋"/>
          <w:b w:val="0"/>
          <w:bCs/>
          <w:highlight w:val="none"/>
          <w:lang w:val="en-US" w:eastAsia="zh-CN"/>
        </w:rPr>
      </w:pPr>
      <w:r>
        <w:rPr>
          <w:rFonts w:hint="eastAsia" w:ascii="仿宋" w:hAnsi="仿宋" w:eastAsia="仿宋" w:cs="仿宋"/>
          <w:b w:val="0"/>
          <w:bCs/>
          <w:highlight w:val="none"/>
          <w:lang w:val="en-US" w:eastAsia="zh-CN"/>
        </w:rPr>
        <w:t>3.永济市公安局经侦等部门有16起案件已结案但涉案财物未按相关规定移交处理，其中：无主涉案财物6件，代为保管涉案物品1件，应上交财政部门5件，其他原因涉案4件。</w:t>
      </w:r>
    </w:p>
    <w:p>
      <w:pPr>
        <w:pStyle w:val="5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highlight w:val="none"/>
          <w:lang w:val="en-US" w:eastAsia="zh-CN"/>
        </w:rPr>
      </w:pPr>
      <w:r>
        <w:rPr>
          <w:rFonts w:hint="eastAsia" w:ascii="仿宋" w:hAnsi="仿宋" w:eastAsia="仿宋" w:cs="仿宋"/>
          <w:b w:val="0"/>
          <w:bCs/>
          <w:highlight w:val="none"/>
          <w:lang w:val="en-US" w:eastAsia="zh-CN"/>
        </w:rPr>
        <w:t>4.永济市公安局户政、出入境、罚没收入由办案科室直接交入财政专户，票据未交局机关财务，平时未纳入财务核算，年终根据办案科室提供清单一次入账。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b w:val="0"/>
          <w:bCs w:val="0"/>
          <w:kern w:val="0"/>
          <w:sz w:val="28"/>
          <w:szCs w:val="28"/>
          <w:highlight w:val="none"/>
          <w:lang w:val="en-US" w:eastAsia="zh-CN" w:bidi="ar-SA"/>
        </w:rPr>
        <w:t>5.</w:t>
      </w:r>
      <w:r>
        <w:rPr>
          <w:rFonts w:hint="default" w:ascii="仿宋" w:hAnsi="仿宋" w:eastAsia="仿宋" w:cs="仿宋"/>
          <w:b w:val="0"/>
          <w:bCs w:val="0"/>
          <w:kern w:val="0"/>
          <w:sz w:val="28"/>
          <w:szCs w:val="28"/>
          <w:highlight w:val="none"/>
          <w:lang w:val="en-US" w:eastAsia="zh-CN" w:bidi="ar-SA"/>
        </w:rPr>
        <w:t>电子数据勘察取证分析实验室项目</w:t>
      </w:r>
      <w:r>
        <w:rPr>
          <w:rFonts w:hint="eastAsia" w:ascii="仿宋" w:hAnsi="仿宋" w:eastAsia="仿宋" w:cs="仿宋"/>
          <w:b w:val="0"/>
          <w:bCs w:val="0"/>
          <w:kern w:val="0"/>
          <w:sz w:val="28"/>
          <w:szCs w:val="28"/>
          <w:highlight w:val="none"/>
          <w:lang w:val="en-US" w:eastAsia="zh-CN" w:bidi="ar-SA"/>
        </w:rPr>
        <w:t>2020年12月15日经财政评审审定金额72.54万元，2021年3月15日竞争性磋商中标金额64.00万元，</w:t>
      </w:r>
      <w:r>
        <w:rPr>
          <w:rFonts w:hint="eastAsia" w:ascii="仿宋" w:hAnsi="仿宋" w:eastAsia="仿宋" w:cs="仿宋"/>
          <w:kern w:val="2"/>
          <w:sz w:val="28"/>
          <w:szCs w:val="28"/>
          <w:highlight w:val="none"/>
          <w:lang w:val="en-US" w:eastAsia="zh-CN" w:bidi="ar-SA"/>
        </w:rPr>
        <w:t>合同签订开工日期2021年10月20日，竣工日期2021年12月8日。但截止2021年12月该项目平均完成80%工程量，合同约定“工程完80%付工程总造价70%，工程验收审计完毕付工程款的95%留5%，工程质量保证金一年后付清”，该项目按合同付款44.80万元（70%），其余19.20万元暂不应挂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sz w:val="28"/>
          <w:szCs w:val="28"/>
          <w:lang w:val="en-US" w:eastAsia="zh-CN"/>
        </w:rPr>
      </w:pPr>
      <w:r>
        <w:rPr>
          <w:rFonts w:hint="eastAsia" w:ascii="仿宋" w:hAnsi="仿宋" w:eastAsia="仿宋" w:cs="仿宋"/>
          <w:kern w:val="2"/>
          <w:sz w:val="28"/>
          <w:szCs w:val="28"/>
          <w:highlight w:val="none"/>
          <w:lang w:val="en-US" w:eastAsia="zh-CN" w:bidi="ar-SA"/>
        </w:rPr>
        <w:t>6.</w:t>
      </w:r>
      <w:r>
        <w:rPr>
          <w:rFonts w:hint="eastAsia" w:ascii="仿宋" w:hAnsi="仿宋" w:eastAsia="仿宋" w:cs="仿宋"/>
          <w:b w:val="0"/>
          <w:bCs/>
          <w:sz w:val="28"/>
          <w:szCs w:val="28"/>
          <w:highlight w:val="none"/>
          <w:lang w:val="en-US" w:eastAsia="zh-CN"/>
        </w:rPr>
        <w:t>永济市公安局承建的“永济市公安局城北派出所和公安局涉案财务管理中心项目”是2020年永济市政府“4515”重点工程，项目总投资2094.92万元，建设面积5619.73㎡，合同开工日期为2020年12月、2022年12月竣工，该项目实际于2021年11月2日开工，目前完成城北派出所业务用房主体工程、户政大厅、值班室、调解室、辅助用房主体工程及消防基础设施，基建项目推进整体缓慢。</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7.2021年永济市公安局交通管理大队收涉案民警樊小峰交车辆报废赔偿款0.35万元，应上交财政专户，不应挂其他应付款。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8.永济市公安局交通管理大队存有达到固定资产标准未列入固定资产，如：2021年12月105#凭证，购蒸箱1台1850.00元直接在费用中列支。</w:t>
      </w:r>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ascii="仿宋" w:hAnsi="仿宋" w:eastAsia="仿宋" w:cs="仿宋"/>
          <w:b w:val="0"/>
          <w:bCs/>
          <w:highlight w:val="none"/>
          <w:lang w:val="en-US" w:eastAsia="zh-CN"/>
        </w:rPr>
      </w:pPr>
      <w:r>
        <w:rPr>
          <w:rFonts w:hint="eastAsia" w:ascii="仿宋" w:hAnsi="仿宋" w:eastAsia="仿宋" w:cs="仿宋"/>
          <w:b w:val="0"/>
          <w:bCs/>
          <w:highlight w:val="none"/>
          <w:lang w:val="en-US" w:eastAsia="zh-CN"/>
        </w:rPr>
        <w:t>9.永济市看守所2018年以来对已完工并交付使用的4个工程项目未按规定结转固定资产242.87万元，其中：看守所门房、围墙及室外工程39.30万元；看守所泵房蓄水池工程73.37万元；武警岗哨及庭院、民警用房改造工程68.60万元；基础设施改造工程61.60万元。</w:t>
      </w:r>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ascii="仿宋" w:hAnsi="仿宋" w:eastAsia="仿宋" w:cs="仿宋"/>
          <w:b w:val="0"/>
          <w:bCs/>
          <w:highlight w:val="none"/>
          <w:lang w:val="en-US" w:eastAsia="zh-CN"/>
        </w:rPr>
      </w:pPr>
      <w:r>
        <w:rPr>
          <w:rFonts w:hint="eastAsia" w:ascii="仿宋" w:hAnsi="仿宋" w:eastAsia="仿宋" w:cs="仿宋"/>
          <w:b w:val="0"/>
          <w:bCs/>
          <w:highlight w:val="none"/>
          <w:lang w:val="en-US" w:eastAsia="zh-CN"/>
        </w:rPr>
        <w:t>10.存有部分辅警人员未签订劳动合同。</w:t>
      </w:r>
    </w:p>
    <w:p>
      <w:pPr>
        <w:pStyle w:val="50"/>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default" w:ascii="仿宋" w:hAnsi="仿宋" w:eastAsia="仿宋" w:cs="仿宋"/>
          <w:b w:val="0"/>
          <w:bCs/>
          <w:highlight w:val="none"/>
          <w:lang w:val="en-US" w:eastAsia="zh-CN"/>
        </w:rPr>
      </w:pPr>
      <w:r>
        <w:rPr>
          <w:rFonts w:hint="eastAsia" w:ascii="仿宋" w:hAnsi="仿宋" w:eastAsia="仿宋" w:cs="仿宋"/>
          <w:b w:val="0"/>
          <w:bCs/>
          <w:highlight w:val="none"/>
          <w:lang w:val="en-US" w:eastAsia="zh-CN"/>
        </w:rPr>
        <w:t>11.永济市公安局</w:t>
      </w:r>
      <w:r>
        <w:rPr>
          <w:rFonts w:hint="eastAsia" w:ascii="仿宋" w:hAnsi="仿宋" w:eastAsia="仿宋" w:cs="Times New Roman"/>
          <w:kern w:val="0"/>
          <w:sz w:val="28"/>
          <w:szCs w:val="28"/>
          <w:highlight w:val="none"/>
          <w:lang w:val="en-US" w:eastAsia="zh-CN" w:bidi="ar-SA"/>
        </w:rPr>
        <w:t>民警法律知识学习和业务培训不够，对政治理论、业务知识学习的广度、深度不够，知识面不宽，工作中凭经验，综合素质有待提高。</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12.单位绩效管理意识淡薄，未建立绩效管理理念，尤其是部门整体支出的绩效，设立的具体绩效指标不清晰、细化量化程度不足，没有明确的衡量标准。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b/>
          <w:sz w:val="28"/>
          <w:szCs w:val="28"/>
          <w:highlight w:val="none"/>
          <w:lang w:val="en-US" w:eastAsia="zh-CN"/>
        </w:rPr>
      </w:pPr>
      <w:bookmarkStart w:id="237" w:name="_Toc31198_WPSOffice_Level2"/>
      <w:bookmarkStart w:id="238" w:name="_Toc19418"/>
      <w:bookmarkStart w:id="239" w:name="_Toc19109_WPSOffice_Level2"/>
      <w:bookmarkStart w:id="240" w:name="_Toc8343_WPSOffice_Level2"/>
      <w:bookmarkStart w:id="241" w:name="_Toc7572_WPSOffice_Level2"/>
      <w:bookmarkStart w:id="242" w:name="_Toc28911_WPSOffice_Level2"/>
      <w:bookmarkStart w:id="243" w:name="_Toc32239"/>
      <w:r>
        <w:rPr>
          <w:rFonts w:hint="eastAsia" w:ascii="仿宋" w:hAnsi="仿宋" w:eastAsia="仿宋"/>
          <w:b/>
          <w:sz w:val="28"/>
          <w:szCs w:val="28"/>
          <w:highlight w:val="none"/>
        </w:rPr>
        <w:t>（二）</w:t>
      </w:r>
      <w:bookmarkEnd w:id="237"/>
      <w:bookmarkEnd w:id="238"/>
      <w:bookmarkEnd w:id="239"/>
      <w:bookmarkEnd w:id="240"/>
      <w:bookmarkEnd w:id="241"/>
      <w:bookmarkEnd w:id="242"/>
      <w:r>
        <w:rPr>
          <w:rFonts w:hint="eastAsia" w:ascii="仿宋" w:hAnsi="仿宋" w:eastAsia="仿宋"/>
          <w:b/>
          <w:sz w:val="28"/>
          <w:szCs w:val="28"/>
          <w:highlight w:val="none"/>
          <w:lang w:val="en-US" w:eastAsia="zh-CN"/>
        </w:rPr>
        <w:t>建议</w:t>
      </w:r>
      <w:bookmarkEnd w:id="243"/>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财务人员应不断加强业务学习，以财经法规指导规范日常工作，对达到固定资产标准的应列入固定资产，对民警赔偿款应交入财政专户，非税收入平时应纳入财务核算，工会经费应设立专户，确保会计核算准确、完整。</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2.单位应规范涉案财物管理，不断强化政策意识，落实相关文件制度，加强对涉案财物管理工作，强化责任意识，认真履职尽责，确保涉案财物的完整性，办案部门及时将涉案物品上交管理。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3.单位采取有力措施对固定资产进行彻底清查，根据清查结果，属于已完工交付使用资产应结转固定资产，调整会计账目，确保账实相符。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4.单位应加大工作力度，确保城北派出所和涉案财务管理中心建设项目按质按期顺利完工。</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5.单位应按照警务辅助人员（辅警）管理办法加强对辅警的管理，辅警人员试用期满后应与单位签订劳动合同。</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default"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6.</w:t>
      </w:r>
      <w:r>
        <w:rPr>
          <w:rFonts w:hint="eastAsia" w:ascii="仿宋" w:hAnsi="仿宋" w:eastAsia="仿宋" w:cs="仿宋"/>
          <w:b w:val="0"/>
          <w:bCs/>
          <w:highlight w:val="none"/>
          <w:lang w:val="en-US" w:eastAsia="zh-CN"/>
        </w:rPr>
        <w:t>永济市公安局应制定培训计划，加强对民警的培训，提高民警综合素质。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7.单位在设置绩效目标时，应将目标与预算支出内容相结合，对绩效目标进行细化，尽可能的量化和可衡量；项目完成应对绩效进行自评，自评报告内容应完整规范；单位应树立绩效管理理念，强化绩效管理意识，组织相关人员参加绩效培训，形成“花钱必问效，无效必问责”的理念。</w:t>
      </w:r>
      <w:bookmarkStart w:id="244" w:name="_Toc29354_WPSOffice_Level1"/>
      <w:bookmarkStart w:id="245" w:name="_Toc22780"/>
      <w:bookmarkStart w:id="246" w:name="_Toc12361_WPSOffice_Level1"/>
      <w:bookmarkStart w:id="247" w:name="_Toc13640_WPSOffice_Level1"/>
      <w:bookmarkStart w:id="248" w:name="_Toc10284_WPSOffice_Level1"/>
      <w:bookmarkStart w:id="249" w:name="_Toc22981_WPSOffice_Level1"/>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firstLine="562" w:firstLineChars="200"/>
        <w:jc w:val="both"/>
        <w:textAlignment w:val="auto"/>
        <w:outlineLvl w:val="0"/>
        <w:rPr>
          <w:rFonts w:ascii="仿宋" w:hAnsi="仿宋" w:eastAsia="仿宋" w:cs="仿宋"/>
          <w:b/>
          <w:sz w:val="28"/>
          <w:szCs w:val="28"/>
          <w:highlight w:val="none"/>
        </w:rPr>
      </w:pPr>
      <w:bookmarkStart w:id="250" w:name="_Toc29139"/>
      <w:r>
        <w:rPr>
          <w:rFonts w:hint="eastAsia" w:ascii="仿宋" w:hAnsi="仿宋" w:eastAsia="仿宋" w:cs="仿宋"/>
          <w:b/>
          <w:sz w:val="28"/>
          <w:szCs w:val="28"/>
          <w:highlight w:val="none"/>
          <w:lang w:val="en-US" w:eastAsia="zh-CN"/>
        </w:rPr>
        <w:t>七</w:t>
      </w:r>
      <w:r>
        <w:rPr>
          <w:rFonts w:hint="eastAsia" w:ascii="仿宋" w:hAnsi="仿宋" w:eastAsia="仿宋" w:cs="仿宋"/>
          <w:b/>
          <w:sz w:val="28"/>
          <w:szCs w:val="28"/>
          <w:highlight w:val="none"/>
        </w:rPr>
        <w:t>、</w:t>
      </w:r>
      <w:r>
        <w:rPr>
          <w:rFonts w:ascii="仿宋" w:hAnsi="仿宋" w:eastAsia="仿宋" w:cs="仿宋"/>
          <w:b/>
          <w:sz w:val="28"/>
          <w:szCs w:val="28"/>
          <w:highlight w:val="none"/>
        </w:rPr>
        <w:t>绩效评价结果应用建议</w:t>
      </w:r>
      <w:bookmarkEnd w:id="244"/>
      <w:bookmarkEnd w:id="245"/>
      <w:bookmarkEnd w:id="246"/>
      <w:bookmarkEnd w:id="247"/>
      <w:bookmarkEnd w:id="248"/>
      <w:bookmarkEnd w:id="249"/>
      <w:bookmarkEnd w:id="25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仿宋"/>
          <w:kern w:val="0"/>
          <w:sz w:val="28"/>
          <w:szCs w:val="28"/>
          <w:lang w:val="en-US" w:eastAsia="zh-CN" w:bidi="ar-SA"/>
        </w:rPr>
      </w:pPr>
      <w:bookmarkStart w:id="251" w:name="_Toc7342_WPSOffice_Level1"/>
      <w:bookmarkStart w:id="252" w:name="_Toc1166_WPSOffice_Level1"/>
      <w:bookmarkStart w:id="253" w:name="_Toc28236_WPSOffice_Level1"/>
      <w:bookmarkStart w:id="254" w:name="_Toc29777_WPSOffice_Level1"/>
      <w:bookmarkStart w:id="255" w:name="_Toc21511_WPSOffice_Level1"/>
      <w:bookmarkStart w:id="256" w:name="_Toc31184_WPSOffice_Level1"/>
      <w:bookmarkStart w:id="257" w:name="_Toc6564_WPSOffice_Level1"/>
      <w:bookmarkStart w:id="258" w:name="_Toc3643_WPSOffice_Level1"/>
      <w:bookmarkStart w:id="259" w:name="_Toc23457_WPSOffice_Level1"/>
      <w:bookmarkStart w:id="260" w:name="_Toc828_WPSOffice_Level1"/>
      <w:bookmarkStart w:id="261" w:name="_Toc17050_WPSOffice_Level1"/>
      <w:bookmarkStart w:id="262" w:name="_Toc4995_WPSOffice_Level1"/>
      <w:bookmarkStart w:id="263" w:name="_Toc22410_WPSOffice_Level1"/>
      <w:bookmarkStart w:id="264" w:name="_Toc3198_WPSOffice_Level1"/>
      <w:bookmarkStart w:id="265" w:name="_Toc31923"/>
      <w:r>
        <w:rPr>
          <w:rFonts w:hint="eastAsia" w:ascii="仿宋" w:hAnsi="仿宋" w:eastAsia="仿宋" w:cs="仿宋"/>
          <w:kern w:val="0"/>
          <w:sz w:val="28"/>
          <w:szCs w:val="28"/>
          <w:lang w:val="en-US" w:eastAsia="zh-CN" w:bidi="ar-SA"/>
        </w:rPr>
        <w:t>（一）加强督促问题整改。将绩效评价结果及时反馈被评价单位，督促单位对存在的问题及时整改，并反馈整改情况，对整改情况进行跟踪调查。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（二）及时公开评价结果。将绩效评价报告在财政局门户网站上向社会公开，接受社会监督。</w:t>
      </w:r>
    </w:p>
    <w:p>
      <w:pPr>
        <w:keepNext w:val="0"/>
        <w:keepLines w:val="0"/>
        <w:pageBreakBefore w:val="0"/>
        <w:widowControl w:val="0"/>
        <w:kinsoku/>
        <w:wordWrap/>
        <w:overflowPunct/>
        <w:topLinePunct w:val="0"/>
        <w:autoSpaceDE/>
        <w:autoSpaceDN/>
        <w:bidi w:val="0"/>
        <w:adjustRightInd/>
        <w:snapToGrid/>
        <w:spacing w:before="156" w:beforeLines="50" w:line="560" w:lineRule="exact"/>
        <w:ind w:left="1679" w:leftChars="266" w:hanging="1120" w:hangingChars="400"/>
        <w:jc w:val="left"/>
        <w:textAlignment w:val="auto"/>
        <w:outlineLvl w:val="9"/>
        <w:rPr>
          <w:rFonts w:hint="eastAsia" w:ascii="仿宋" w:hAnsi="仿宋" w:eastAsia="仿宋" w:cs="仿宋"/>
          <w:bCs/>
          <w:sz w:val="28"/>
          <w:szCs w:val="28"/>
          <w:highlight w:val="none"/>
        </w:rPr>
      </w:pPr>
    </w:p>
    <w:p>
      <w:pPr>
        <w:keepNext w:val="0"/>
        <w:keepLines w:val="0"/>
        <w:pageBreakBefore w:val="0"/>
        <w:widowControl w:val="0"/>
        <w:kinsoku/>
        <w:wordWrap/>
        <w:overflowPunct/>
        <w:topLinePunct w:val="0"/>
        <w:autoSpaceDE/>
        <w:autoSpaceDN/>
        <w:bidi w:val="0"/>
        <w:adjustRightInd/>
        <w:snapToGrid/>
        <w:spacing w:before="156" w:beforeLines="50" w:line="560" w:lineRule="exact"/>
        <w:ind w:left="1679" w:leftChars="266" w:hanging="1120" w:hangingChars="400"/>
        <w:jc w:val="left"/>
        <w:textAlignment w:val="auto"/>
        <w:outlineLvl w:val="1"/>
        <w:rPr>
          <w:rFonts w:ascii="仿宋" w:hAnsi="仿宋" w:eastAsia="仿宋" w:cs="仿宋"/>
          <w:bCs/>
          <w:sz w:val="28"/>
          <w:szCs w:val="28"/>
          <w:highlight w:val="none"/>
        </w:rPr>
      </w:pPr>
      <w:bookmarkStart w:id="266" w:name="_Toc26337"/>
      <w:r>
        <w:rPr>
          <w:rFonts w:hint="eastAsia" w:ascii="仿宋" w:hAnsi="仿宋" w:eastAsia="仿宋" w:cs="仿宋"/>
          <w:bCs/>
          <w:sz w:val="28"/>
          <w:szCs w:val="28"/>
          <w:highlight w:val="none"/>
        </w:rPr>
        <w:t>附件1：</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Fonts w:hint="eastAsia" w:ascii="仿宋" w:hAnsi="仿宋" w:eastAsia="仿宋" w:cs="仿宋"/>
          <w:bCs/>
          <w:sz w:val="28"/>
          <w:szCs w:val="28"/>
          <w:highlight w:val="none"/>
          <w:lang w:eastAsia="zh-CN"/>
        </w:rPr>
        <w:t>永济市公安局</w:t>
      </w:r>
      <w:r>
        <w:rPr>
          <w:rFonts w:hint="eastAsia" w:ascii="仿宋" w:hAnsi="仿宋" w:eastAsia="仿宋" w:cs="仿宋"/>
          <w:bCs/>
          <w:sz w:val="28"/>
          <w:szCs w:val="28"/>
          <w:highlight w:val="none"/>
        </w:rPr>
        <w:t>20</w:t>
      </w:r>
      <w:r>
        <w:rPr>
          <w:rFonts w:hint="eastAsia" w:ascii="仿宋" w:hAnsi="仿宋" w:eastAsia="仿宋" w:cs="仿宋"/>
          <w:bCs/>
          <w:sz w:val="28"/>
          <w:szCs w:val="28"/>
          <w:highlight w:val="none"/>
          <w:lang w:val="en-US" w:eastAsia="zh-CN"/>
        </w:rPr>
        <w:t>21</w:t>
      </w:r>
      <w:r>
        <w:rPr>
          <w:rFonts w:hint="eastAsia" w:ascii="仿宋" w:hAnsi="仿宋" w:eastAsia="仿宋" w:cs="仿宋"/>
          <w:bCs/>
          <w:sz w:val="28"/>
          <w:szCs w:val="28"/>
          <w:highlight w:val="none"/>
        </w:rPr>
        <w:t>年度</w:t>
      </w:r>
      <w:r>
        <w:rPr>
          <w:rFonts w:hint="eastAsia" w:ascii="仿宋" w:hAnsi="仿宋" w:eastAsia="仿宋" w:cs="仿宋"/>
          <w:bCs/>
          <w:sz w:val="28"/>
          <w:szCs w:val="28"/>
          <w:highlight w:val="none"/>
          <w:lang w:val="en-US" w:eastAsia="zh-CN"/>
        </w:rPr>
        <w:t>部门</w:t>
      </w:r>
      <w:r>
        <w:rPr>
          <w:rFonts w:hint="eastAsia" w:ascii="仿宋" w:hAnsi="仿宋" w:eastAsia="仿宋" w:cs="仿宋"/>
          <w:bCs/>
          <w:sz w:val="28"/>
          <w:szCs w:val="28"/>
          <w:highlight w:val="none"/>
        </w:rPr>
        <w:t>整体支出绩效评价指标评分表</w:t>
      </w:r>
      <w:bookmarkEnd w:id="265"/>
      <w:bookmarkEnd w:id="266"/>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outlineLvl w:val="0"/>
        <w:rPr>
          <w:rFonts w:ascii="仿宋" w:hAnsi="仿宋" w:eastAsia="仿宋" w:cs="仿宋"/>
          <w:sz w:val="28"/>
          <w:szCs w:val="28"/>
          <w:highlight w:val="none"/>
        </w:rPr>
      </w:pPr>
      <w:bookmarkStart w:id="267" w:name="_Toc10767_WPSOffice_Level1"/>
      <w:bookmarkStart w:id="268" w:name="_Toc26483_WPSOffice_Level1"/>
      <w:bookmarkStart w:id="269" w:name="_Toc2304"/>
      <w:bookmarkStart w:id="270" w:name="_Toc4966_WPSOffice_Level1"/>
      <w:bookmarkStart w:id="271" w:name="_Toc16115"/>
      <w:bookmarkStart w:id="272" w:name="_Toc9132_WPSOffice_Level1"/>
      <w:bookmarkStart w:id="273" w:name="_Toc16586_WPSOffice_Level1"/>
      <w:bookmarkStart w:id="274" w:name="_Toc2871_WPSOffice_Level1"/>
      <w:bookmarkStart w:id="275" w:name="_Toc23722_WPSOffice_Level1"/>
      <w:bookmarkStart w:id="276" w:name="_Toc5800_WPSOffice_Level1"/>
      <w:bookmarkStart w:id="277" w:name="_Toc13567_WPSOffice_Level1"/>
      <w:bookmarkStart w:id="278" w:name="_Toc3703_WPSOffice_Level1"/>
      <w:bookmarkStart w:id="279" w:name="_Toc24243_WPSOffice_Level1"/>
      <w:bookmarkStart w:id="280" w:name="_Toc25524_WPSOffice_Level1"/>
      <w:bookmarkStart w:id="281" w:name="_Toc11054_WPSOffice_Level1"/>
      <w:bookmarkStart w:id="282" w:name="_Toc10661_WPSOffice_Level1"/>
      <w:r>
        <w:rPr>
          <w:rFonts w:hint="eastAsia" w:ascii="仿宋" w:hAnsi="仿宋" w:eastAsia="仿宋" w:cs="仿宋"/>
          <w:bCs/>
          <w:sz w:val="28"/>
          <w:szCs w:val="28"/>
          <w:highlight w:val="none"/>
        </w:rPr>
        <w:t>附件</w:t>
      </w:r>
      <w:r>
        <w:rPr>
          <w:rFonts w:hint="eastAsia" w:ascii="仿宋" w:hAnsi="仿宋" w:eastAsia="仿宋" w:cs="仿宋"/>
          <w:bCs/>
          <w:sz w:val="28"/>
          <w:szCs w:val="28"/>
          <w:highlight w:val="none"/>
          <w:lang w:val="en-US" w:eastAsia="zh-CN"/>
        </w:rPr>
        <w:t>2</w:t>
      </w:r>
      <w:r>
        <w:rPr>
          <w:rFonts w:hint="eastAsia" w:ascii="仿宋" w:hAnsi="仿宋" w:eastAsia="仿宋" w:cs="仿宋"/>
          <w:bCs/>
          <w:sz w:val="28"/>
          <w:szCs w:val="28"/>
          <w:highlight w:val="none"/>
        </w:rPr>
        <w: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hint="eastAsia" w:ascii="仿宋" w:hAnsi="仿宋" w:eastAsia="仿宋" w:cs="仿宋"/>
          <w:bCs/>
          <w:sz w:val="28"/>
          <w:szCs w:val="28"/>
          <w:highlight w:val="none"/>
        </w:rPr>
        <w:t>社会调查问卷汇总分析报告</w:t>
      </w:r>
    </w:p>
    <w:p>
      <w:pPr>
        <w:spacing w:line="560" w:lineRule="exact"/>
        <w:ind w:firstLine="556"/>
        <w:jc w:val="right"/>
        <w:rPr>
          <w:rFonts w:ascii="仿宋" w:hAnsi="仿宋" w:eastAsia="仿宋" w:cs="仿宋"/>
          <w:sz w:val="28"/>
          <w:szCs w:val="28"/>
          <w:highlight w:val="none"/>
        </w:rPr>
      </w:pPr>
    </w:p>
    <w:p>
      <w:pPr>
        <w:pStyle w:val="2"/>
        <w:rPr>
          <w:rFonts w:ascii="仿宋" w:hAnsi="仿宋" w:eastAsia="仿宋" w:cs="仿宋"/>
          <w:sz w:val="28"/>
          <w:szCs w:val="28"/>
          <w:highlight w:val="none"/>
        </w:rPr>
      </w:pPr>
    </w:p>
    <w:p>
      <w:pPr>
        <w:pStyle w:val="2"/>
        <w:rPr>
          <w:rFonts w:ascii="仿宋" w:hAnsi="仿宋" w:eastAsia="仿宋" w:cs="仿宋"/>
          <w:sz w:val="28"/>
          <w:szCs w:val="28"/>
          <w:highlight w:val="none"/>
        </w:rPr>
      </w:pPr>
    </w:p>
    <w:p>
      <w:pPr>
        <w:spacing w:line="640" w:lineRule="exact"/>
        <w:ind w:firstLine="556"/>
        <w:jc w:val="righ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山西正源会计师事务所有限公司</w:t>
      </w:r>
    </w:p>
    <w:p>
      <w:pPr>
        <w:adjustRightInd w:val="0"/>
        <w:snapToGrid w:val="0"/>
        <w:spacing w:line="64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22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25</w:t>
      </w:r>
      <w:r>
        <w:rPr>
          <w:rFonts w:hint="eastAsia" w:ascii="仿宋" w:hAnsi="仿宋" w:eastAsia="仿宋" w:cs="仿宋"/>
          <w:sz w:val="28"/>
          <w:szCs w:val="28"/>
          <w:highlight w:val="none"/>
        </w:rPr>
        <w:t>日</w:t>
      </w:r>
      <w:bookmarkEnd w:id="175"/>
      <w:bookmarkEnd w:id="176"/>
    </w:p>
    <w:p>
      <w:pPr>
        <w:spacing w:line="560" w:lineRule="exact"/>
        <w:ind w:firstLine="560" w:firstLineChars="200"/>
        <w:rPr>
          <w:rFonts w:hint="eastAsia" w:ascii="仿宋" w:hAnsi="仿宋" w:eastAsia="仿宋" w:cs="仿宋"/>
          <w:sz w:val="28"/>
          <w:szCs w:val="28"/>
          <w:highlight w:val="none"/>
        </w:rPr>
      </w:pPr>
    </w:p>
    <w:p>
      <w:pPr>
        <w:spacing w:line="560" w:lineRule="exact"/>
        <w:jc w:val="left"/>
        <w:rPr>
          <w:rFonts w:hint="eastAsia" w:ascii="仿宋" w:hAnsi="仿宋" w:eastAsia="仿宋" w:cs="仿宋"/>
          <w:kern w:val="0"/>
          <w:sz w:val="22"/>
          <w:szCs w:val="22"/>
          <w:highlight w:val="none"/>
          <w:lang w:eastAsia="zh-C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tbl>
      <w:tblPr>
        <w:tblStyle w:val="18"/>
        <w:tblW w:w="500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0"/>
        <w:gridCol w:w="696"/>
        <w:gridCol w:w="744"/>
        <w:gridCol w:w="2484"/>
        <w:gridCol w:w="648"/>
        <w:gridCol w:w="3297"/>
        <w:gridCol w:w="4346"/>
        <w:gridCol w:w="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000" w:type="pct"/>
            <w:gridSpan w:val="8"/>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附件1                   永济市公安局2021年度部门整体支出绩效评价指标体系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一级指标</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二级指标</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三级指标</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指标解释</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评价标准</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4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A履职效能（40分）</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A1工作目标</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A1-1目标任务设定情况</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部门所设立的年度目标依据是否充分，是否符合客观实际，用以反映和考核部门工作目标充分性、科学性、合理性等情况。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①符合国家法律法规、国民经济和社会发展总体规划，得0.5分，否则不得分；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②符合部门“三定”方案确定的职责，得0.5分，否则不得分；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③符合部门制定的中长期实施规划，得1分，否则不得分。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A1-2目标任务实现程度</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考察本单位设立的目标任务是否清晰、细化，是否能够按既定目标完成任务。</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①将部门整体工作细化分解为具体工作任务，得0.5分，有1处不细化扣0.1分，扣完为止；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②年初设定的目标任务全部完成得0.5分，有1项未完成扣0.1分，扣完为止。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②符合部门“三定”方案确定的职责，得0.5分，否则不得分；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③符合部门制定的中长期实施规划，得0.5分，否则不得分。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A2核心业务</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A2-1党建工作</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考核在开展党史学习教育，推动党内政治生活、提高党建工作规范化水平方面的工作完成情况。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视实际完成情况酌情扣分。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A2-2指挥中心接处警等工作</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考核指挥中心全年接报警和指挥处警等方面的工作。</w:t>
            </w:r>
          </w:p>
        </w:tc>
        <w:tc>
          <w:tcPr>
            <w:tcW w:w="1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视实际完成情况酌情扣分。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A2-3预防、制止、侦查各类犯罪工作</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考核公安部门在预防、制止、侦查各类犯罪活动方面的工作。</w:t>
            </w:r>
          </w:p>
        </w:tc>
        <w:tc>
          <w:tcPr>
            <w:tcW w:w="1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视实际完成情况酌情扣分。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A2-4社会治安保卫工作</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考核公安部门在社会治安保卫、治安防范等方面的工作完成情况。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视实际完成情况酌情扣分。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A2-5户政、居民身份证、出入境工作</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考核办理户籍业务、居民身份证、出国（境）证件等方面工作完成情况。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视实际完成情况酌情扣分。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A2-6计算机信息系统安全保卫等工作</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考核实施对公共信息网络的安全监察等工作完成情况。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视实际完成情况酌情扣分。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A2-7组织实施公安科学技术工作</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考核组织实施公安科学技术工作完成情况。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视实际完成情况酌情扣分。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A2-8道路交通秩序专项整治等工作</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全年查处各类交通违法行为，提升道路管理能力方面完成情况。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视实际完成情况酌情扣分。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A2-9关押人员安全管理工作</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考察对关押人员安全管理工作。</w:t>
            </w:r>
          </w:p>
        </w:tc>
        <w:tc>
          <w:tcPr>
            <w:tcW w:w="1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出现一例安全事故得0分。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A2-10拘留人员矛盾化解和教育转化工作</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考核对拘留人员化解社会矛盾、教育转化方面的工作。</w:t>
            </w:r>
          </w:p>
        </w:tc>
        <w:tc>
          <w:tcPr>
            <w:tcW w:w="1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视实际完成情况酌情扣分。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A3基础管理</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A3-1依法行政</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考察本单位在依法行政、科学决策、执法监督等方面的情况，用以反映永济市公安局依法行政能力</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对执行工作任务清单进行重点抽查，核实部门在执行权力时，是否能够按照相关法律法规进行执法，得3分，有1处不符合扣0.5分，扣完为止。</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8"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A3-2基础能力建设</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考察本单位的业务管理制度是否健全、业务管理制度是否能够有效执行。用以反映和考核永济市公安局在履行主要职责过程中业务管理制度的健全性和制度执行的有效程度。</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①是否制定《建设项目管理制度》、《政府采购管理办法》、《“三重一大”事项集体决策制度》、《非税收入管理制度》等，且相关管理制度合法、合规、完整得1.5分，缺少1项扣0.5分，扣完为止；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②相关管理制度是否得到有效执行，得1.5分，有1项未按制度执行扣0.5分，扣完为止。</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4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B管理效率（30分）</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B1预算管理</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B1-1预算编制管理</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评价本单位2021年预算资金分配管理等方面的情况。用以反映和考核永济市公安局预算编制的合理程度、预算资金的变动依据充分程度、对控制重点成本的管理程度</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①本单位编制的预算符合《预算法》及财政部门预算编制要求，得0.5分，否则不得分；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②本单位编制的预算收支范围及方向均有相应的法规依据的，得0.5分，否则不得分；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③本单位编制的预算较上年增减变动，符合部门履职需要，得0.5分，否则不得分；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④三公经费变动率≤0的得0.5分，否则不得分。根据国办《关于对贯彻落实“约法三章”进一步加强督促检查的意见》，三公经费只减不增</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B1-2预算完成率</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考察本单位本年度预算完成数与预算数的比较，反应和考核永济市公安局预算的完成程度。</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预算完成数：部门本年度实际完成的预算数。预算数：财政部门批复的本年度部门预算数。</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预算完成率=（预算完成数/预算数）×100%</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①预算完成率大于或等于95%的，得2分；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②预算完成率小于或等于85%的，得0分；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③预算完成率在85%-95%之间的，在0分和2分之间计算确定。</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B1-3预算调整率</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考察本单位本年度预算调整数与预算数的比率，用以反应和考核永济市公安局预算的调整程度。</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预算调整率=（预算调整数/预算数）X100%</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①预算调整率等于0的得2分；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②预算调整率≥10%的得0分；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③预算调整率在0-10%之间的，在0分和2分之间计算确定。</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B1-4结转结余变动率</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考察本单位本年度结转结余资金总额与上年度结转结余资金总额的变动比率，用以反映和考核永济市公安局对控制结转结余资金的努力程度。</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结转结余变动率=[（本年度累计结转结余资金总额-上年度累计结转结余资金总额）/上年度累计结转结余资金总额]×100%。</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①结转结余变动率小于或等于0的，得2分；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②结转结余变动大于或等于10%的，得0分；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③结转结余变动率在0%-10%的，在0分和2分之间计算确定。</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B1-5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公用经费控制率</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考察本单位本年度实际支出的公用经费总额与预算安排的公用经费总额的比率，用以反映和考核永济市公安局对机构运转成本的实际控制程度。</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公用经费控制率=（实际支出公用经费总额/预算安排公用经费总额）×100%。</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①公用经费控制率小于或等于100%的，得2分；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②公用经费控制率大于或等于105%的，得0分；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③公用经费控制率在100%-105%之间的，在0分和2分之间计算确定。。</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8"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B1-6“三公经费”控制率</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考察本单位本年度三公经费实际支出数与预算安排数的比率，用以反应和考核永济市公安局对“三公经费”的实际控制程度。</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三公经费控制率=（三公经费实际支出数/三公经费预算安排数）×100%。</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根据国务院《机关事务管理条例》第三十二条，“三公经费”不得超预算列支。三公经费控制率小于或等于100%的，得2分，否则不得分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B1-7预算监督管理</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考察本单位为加强预算管理，规范财务行为而制定的监督管理制度是否健全，以及监督管理制度是否得到有效执行。用以反映和考核永济市公安局预算监督检查等方面的情况。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①已制定或具有预算资金管理办法、内部财务管理制度、会计核算制度、内部控制制度，得0.5分，否则不得分；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②相关预算管理制度是合法、合规、完整，得0.5分，否则不得分；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③相关预算管理制度得到有效执行，得1分，有1处未按规定执行扣0.25分，扣完为止</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B1-8预算绩效管理</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考察本单位为加强预算管理，从绩效目标设定、绩效监控、绩效评价、评价结果应用等方面评价部门预算绩效管理情况。用以反映和考核永济市公安局预算绩效管理等的情况。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①申报绩效目标，且绩效目标合理、全面、依据充分，得0.5分，有1处不满足上述规定扣0.1分，扣完为止；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②预算执行过程中对绩效目标的实现程度进行了监控，得0.5分，否则不得分；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③编制了客观、全面、详实的绩效自评报告，得0.5分，有1处不满足上述规定扣0.1分，扣完为止；</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④对自评结果进行分析，并对发现的问题进行了整改得0.5分，否则不得分。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B2财务管理</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B2-1财务管理制度健全性</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部门为加强预算管理、规范财务行为而制定的管理制度是否健全完整，用以反映和考核部门预算管理制度对完成主要职责或促进事业发展的保障情况。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①制定或具有相关内部财务管理制度、会计核算制度等管理制度，且制度合法完整，得1分，否则不得分；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②资金的拨付有完整的审批程序和手续，得1分，否则不得分。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B2-2资金使用合规性</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部门使用预算资金是否符合相关的预算财务管理制度的规定，用以反映和考核部门预算资金的规范运行情况。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①资金使用符合国家财经法规和财务管理制度规定以及有关专项资金管理办法的规定，得0.5分，否则不得分；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②资金的拨付有完整的审批程序和手续，得0.5分，否则不得分；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③项目的重大开支经过评估论证，得0.5分，否则不得分；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④资金使用符合部门预算批复的用途，得0.5分，否则不得分；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如存在截留、挤占、挪用、虚列支出等情况，本指标得0分。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B2-3会计核算规范性</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用以反映和考核永济市公安局会计核算规范情况。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单位会计核算规范，科目使用正确，报表编制规范，得2分，有1处不符合上述规定扣0.5分，扣完为止。</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4"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B3资产管理</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B3-1资产管理规范性</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考察本单位为加强资产管理、规范资产管理行为而制定的管理制度是否健全完整，用以反映和考核永济市公安局资产管理制度对完成主要职责或促进社会发展的保障情况和部门资产的运行情况。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①制定或具有资产管理制度，得0.5分，否则不得分；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②相关资产管理制度合法、合规、完整并得到有效执行，得0.5分，否则不得分；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③资产保存完整，资产账务管理合规，账实相符，得0.5分，否则不得分；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④资产有偿使用及处置收入及时足额上缴，得0.5分，否则不得分。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B3-2固定资产利用率</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考察本单位在用固定资产总额与所有固定资产总额的比率，用以反映和考核永济市公安局固定资产使用效率程度。</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固定资产利用率=（实际在用固定资产总额/所有固定资产总额）×100%</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①固定资产利用率大于或等于90%的，得2分；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②固定资产利用率小于或等于80%的，得0分；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③固定资产利用率在80%-90%之间的，在0分和2分之间计算确定。</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B4其他管理</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B4-1政府采购管理</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考察本单位政府采购项目申请、审批程序是否符合相关要求，用以反映和考核永济市公安局政府采购的规范情况。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①政府采购提交申请获得批复后实施，得1分，否则不得分；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②审批文件、材料符合相关要求，得1分，否则不得分；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③采购的物品验收后使用得1分，否则不得分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B4-2预决算信息公开</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考察本单位是否按照政府信息公开有关规定公开相关预决算信息，用以反映和考核永济市公安局 预决算管理的公开透明情况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①按规定内容公开预算信息得0.5分，否则不得分；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②按规定时限公开决算信息得0.5分，否则不得分。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4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C社会效应（20分）</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C1社会影响</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C1-1提升群众的安全感</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考核提升群众的安全感方面带来的作用。</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根据问卷调查评分并计算平均分，得分=4*平均分/100。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C1-2稳定规范社会治安秩序</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考核永济市公安局在维护社会稳定、建设平安永济方面带来的影响。</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永济市公安局在维护社会稳定、建设平安永济方面带来积极的影响得满分，影响一般得3分，没有影响不得分。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C2社会满意</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C2-1服务对象满意度</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用于反映和考核服务对象对永济市公安局履行职责的满意度</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根据满意度问卷调查评分并计算平均分，得分=10*平均分/100。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4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D可持续性（10分）</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D1体制机制改革</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D1-1体制机制改革</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用于反映和考核本单位管理体制、运行体制方面的改革情况。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①制定了适应体制改革的机制，具有有效防控风险的管理方法得2分，否则不得分；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②部门履职时能够做到正规化、专业化、职业化得2分，有1处不符合上述规定扣0.5分，扣完为止。</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D2干部队伍建设</w:t>
            </w: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D2-1人才队伍建设</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用于反映和考核本单位专业人才队伍建设和人才培养的情况。</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①干部队伍按照编制配备到位，得2分，否则不得分；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②建立了内部人才激励机制和考核办法得2分，否则不得分；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③建立有完善的干部培训制度，并按照培训计划开展有效培训得2分，否则不得分。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总分</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w:t>
            </w:r>
          </w:p>
        </w:tc>
        <w:tc>
          <w:tcPr>
            <w:tcW w:w="2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b/>
                <w:bCs/>
                <w:i w:val="0"/>
                <w:iCs w:val="0"/>
                <w:color w:val="00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100</w:t>
            </w:r>
          </w:p>
        </w:tc>
        <w:tc>
          <w:tcPr>
            <w:tcW w:w="1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20"/>
                <w:szCs w:val="20"/>
                <w:u w:val="none"/>
              </w:rPr>
            </w:pP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000000"/>
                <w:sz w:val="20"/>
                <w:szCs w:val="20"/>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0"/>
                <w:szCs w:val="20"/>
                <w:u w:val="none"/>
                <w:lang w:val="en-US"/>
              </w:rPr>
            </w:pPr>
            <w:r>
              <w:rPr>
                <w:rFonts w:hint="eastAsia" w:ascii="仿宋" w:hAnsi="仿宋" w:eastAsia="仿宋" w:cs="仿宋"/>
                <w:b/>
                <w:bCs/>
                <w:i w:val="0"/>
                <w:iCs w:val="0"/>
                <w:color w:val="000000"/>
                <w:kern w:val="0"/>
                <w:sz w:val="20"/>
                <w:szCs w:val="20"/>
                <w:u w:val="none"/>
                <w:lang w:val="en-US" w:eastAsia="zh-CN" w:bidi="ar"/>
              </w:rPr>
              <w:t>87.20</w:t>
            </w:r>
          </w:p>
        </w:tc>
      </w:tr>
    </w:tbl>
    <w:p>
      <w:pPr>
        <w:pStyle w:val="2"/>
        <w:rPr>
          <w:rFonts w:hint="eastAsia" w:ascii="仿宋" w:hAnsi="仿宋" w:eastAsia="仿宋" w:cs="仿宋"/>
          <w:kern w:val="0"/>
          <w:sz w:val="22"/>
          <w:szCs w:val="22"/>
          <w:highlight w:val="none"/>
          <w:lang w:eastAsia="zh-CN"/>
        </w:rPr>
        <w:sectPr>
          <w:footerReference r:id="rId9" w:type="first"/>
          <w:footerReference r:id="rId8"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bookmarkEnd w:id="118"/>
    <w:bookmarkEnd w:id="119"/>
    <w:bookmarkEnd w:id="120"/>
    <w:p>
      <w:pPr>
        <w:pStyle w:val="9"/>
        <w:ind w:firstLine="0"/>
        <w:outlineLvl w:val="0"/>
        <w:rPr>
          <w:rFonts w:hint="eastAsia" w:ascii="仿宋" w:hAnsi="仿宋" w:eastAsia="仿宋" w:cs="仿宋"/>
          <w:b/>
          <w:bCs/>
          <w:szCs w:val="28"/>
        </w:rPr>
      </w:pPr>
      <w:bookmarkStart w:id="283" w:name="_Toc21686"/>
      <w:bookmarkStart w:id="284" w:name="_Toc18858"/>
      <w:bookmarkStart w:id="285" w:name="_Toc13612"/>
      <w:bookmarkStart w:id="286" w:name="_Toc3387"/>
      <w:r>
        <w:rPr>
          <w:rFonts w:hint="eastAsia" w:ascii="仿宋" w:hAnsi="仿宋" w:eastAsia="仿宋" w:cs="仿宋"/>
          <w:b/>
          <w:bCs/>
          <w:szCs w:val="28"/>
        </w:rPr>
        <w:t>附件2：社会调查问卷汇总分析报告</w:t>
      </w:r>
      <w:bookmarkEnd w:id="283"/>
      <w:bookmarkEnd w:id="284"/>
      <w:bookmarkEnd w:id="285"/>
      <w:bookmarkEnd w:id="286"/>
    </w:p>
    <w:p>
      <w:pPr>
        <w:pStyle w:val="9"/>
        <w:ind w:firstLine="0"/>
        <w:jc w:val="center"/>
        <w:rPr>
          <w:rFonts w:hint="eastAsia" w:ascii="仿宋" w:hAnsi="仿宋" w:eastAsia="仿宋" w:cs="仿宋"/>
          <w:b/>
          <w:bCs/>
          <w:szCs w:val="28"/>
        </w:rPr>
      </w:pPr>
      <w:r>
        <w:rPr>
          <w:rFonts w:hint="eastAsia" w:ascii="仿宋" w:hAnsi="仿宋" w:eastAsia="仿宋" w:cs="仿宋"/>
          <w:b/>
          <w:bCs/>
          <w:szCs w:val="28"/>
        </w:rPr>
        <w:t>永济市公安局2021年度部门整体支出</w:t>
      </w:r>
    </w:p>
    <w:p>
      <w:pPr>
        <w:pStyle w:val="9"/>
        <w:ind w:firstLine="0"/>
        <w:jc w:val="center"/>
        <w:rPr>
          <w:rFonts w:hint="eastAsia" w:ascii="仿宋" w:hAnsi="仿宋" w:eastAsia="仿宋" w:cs="仿宋"/>
          <w:b/>
          <w:bCs/>
          <w:szCs w:val="28"/>
        </w:rPr>
      </w:pPr>
      <w:r>
        <w:rPr>
          <w:rFonts w:hint="eastAsia" w:ascii="仿宋" w:hAnsi="仿宋" w:eastAsia="仿宋" w:cs="仿宋"/>
          <w:b/>
          <w:bCs/>
          <w:szCs w:val="28"/>
        </w:rPr>
        <w:t>绩效评价</w:t>
      </w:r>
      <w:r>
        <w:rPr>
          <w:rFonts w:hint="eastAsia" w:ascii="仿宋" w:hAnsi="仿宋" w:eastAsia="仿宋" w:cs="仿宋"/>
          <w:b/>
          <w:bCs/>
          <w:szCs w:val="28"/>
          <w:lang w:val="en-US" w:eastAsia="zh-CN"/>
        </w:rPr>
        <w:t>服务对象</w:t>
      </w:r>
      <w:r>
        <w:rPr>
          <w:rFonts w:hint="eastAsia" w:ascii="仿宋" w:hAnsi="仿宋" w:eastAsia="仿宋" w:cs="仿宋"/>
          <w:b/>
          <w:bCs/>
          <w:szCs w:val="28"/>
        </w:rPr>
        <w:t>满意度调查</w:t>
      </w:r>
    </w:p>
    <w:p>
      <w:pPr>
        <w:pStyle w:val="9"/>
        <w:numPr>
          <w:ilvl w:val="0"/>
          <w:numId w:val="2"/>
        </w:numPr>
        <w:ind w:firstLine="562" w:firstLineChars="200"/>
        <w:outlineLvl w:val="0"/>
        <w:rPr>
          <w:rFonts w:hint="eastAsia" w:ascii="仿宋" w:hAnsi="仿宋" w:eastAsia="仿宋" w:cs="仿宋"/>
          <w:b/>
          <w:bCs/>
          <w:szCs w:val="28"/>
        </w:rPr>
      </w:pPr>
      <w:bookmarkStart w:id="287" w:name="_Toc11892"/>
      <w:r>
        <w:rPr>
          <w:rFonts w:hint="eastAsia" w:ascii="仿宋" w:hAnsi="仿宋" w:eastAsia="仿宋" w:cs="仿宋"/>
          <w:b/>
          <w:bCs/>
          <w:szCs w:val="28"/>
        </w:rPr>
        <w:t>调查对象与调查内容</w:t>
      </w:r>
      <w:bookmarkEnd w:id="287"/>
    </w:p>
    <w:p>
      <w:pPr>
        <w:pStyle w:val="9"/>
        <w:keepNext w:val="0"/>
        <w:keepLines w:val="0"/>
        <w:pageBreakBefore w:val="0"/>
        <w:widowControl w:val="0"/>
        <w:numPr>
          <w:ilvl w:val="0"/>
          <w:numId w:val="3"/>
        </w:numPr>
        <w:kinsoku/>
        <w:wordWrap/>
        <w:overflowPunct/>
        <w:topLinePunct w:val="0"/>
        <w:autoSpaceDE/>
        <w:autoSpaceDN/>
        <w:bidi w:val="0"/>
        <w:adjustRightInd/>
        <w:snapToGrid/>
        <w:ind w:leftChars="0" w:firstLine="560" w:firstLineChars="200"/>
        <w:textAlignment w:val="auto"/>
        <w:outlineLvl w:val="1"/>
        <w:rPr>
          <w:rFonts w:hint="eastAsia" w:ascii="仿宋" w:hAnsi="仿宋" w:eastAsia="仿宋" w:cs="仿宋"/>
          <w:kern w:val="2"/>
          <w:sz w:val="28"/>
          <w:szCs w:val="28"/>
          <w:lang w:val="en-US" w:eastAsia="zh-CN" w:bidi="ar-SA"/>
        </w:rPr>
      </w:pPr>
      <w:bookmarkStart w:id="288" w:name="_Toc12632"/>
      <w:r>
        <w:rPr>
          <w:rFonts w:hint="eastAsia" w:ascii="仿宋" w:hAnsi="仿宋" w:eastAsia="仿宋" w:cs="仿宋"/>
          <w:kern w:val="2"/>
          <w:sz w:val="28"/>
          <w:szCs w:val="28"/>
          <w:lang w:val="en-US" w:eastAsia="zh-CN" w:bidi="ar-SA"/>
        </w:rPr>
        <w:t>调查对象</w:t>
      </w:r>
      <w:bookmarkEnd w:id="288"/>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本次调查对象为永济市广大人民群众。</w:t>
      </w:r>
    </w:p>
    <w:p>
      <w:pPr>
        <w:pStyle w:val="9"/>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textAlignment w:val="auto"/>
        <w:outlineLvl w:val="1"/>
        <w:rPr>
          <w:rFonts w:hint="eastAsia" w:ascii="仿宋" w:hAnsi="仿宋" w:eastAsia="仿宋" w:cs="仿宋"/>
          <w:kern w:val="2"/>
          <w:sz w:val="28"/>
          <w:szCs w:val="28"/>
          <w:lang w:val="en-US" w:eastAsia="zh-CN" w:bidi="ar-SA"/>
        </w:rPr>
      </w:pPr>
      <w:bookmarkStart w:id="289" w:name="_Toc5317"/>
      <w:r>
        <w:rPr>
          <w:rFonts w:hint="eastAsia" w:ascii="仿宋" w:hAnsi="仿宋" w:eastAsia="仿宋" w:cs="仿宋"/>
          <w:kern w:val="2"/>
          <w:sz w:val="28"/>
          <w:szCs w:val="28"/>
          <w:lang w:val="en-US" w:eastAsia="zh-CN" w:bidi="ar-SA"/>
        </w:rPr>
        <w:t>调查内容</w:t>
      </w:r>
      <w:bookmarkEnd w:id="289"/>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调查内容主要为：您对永济市公安局在打击和防范违法犯罪活动方面的工作如何评价；您对永济市公安局在维护治安秩序、查处治安案件方面的工作如何评价；您对永济市公安局车辆管理部门办理车辆及驾驶人证照工作如何评价；您对永济市公安局接报警工作如何评价；您对所在辖区的派出所民警深入社区解决辖区治安问题如何评价。</w:t>
      </w:r>
    </w:p>
    <w:p>
      <w:pPr>
        <w:pStyle w:val="9"/>
        <w:keepNext w:val="0"/>
        <w:keepLines w:val="0"/>
        <w:pageBreakBefore w:val="0"/>
        <w:widowControl w:val="0"/>
        <w:numPr>
          <w:ilvl w:val="0"/>
          <w:numId w:val="2"/>
        </w:numPr>
        <w:kinsoku/>
        <w:wordWrap/>
        <w:overflowPunct/>
        <w:topLinePunct w:val="0"/>
        <w:autoSpaceDE/>
        <w:autoSpaceDN/>
        <w:bidi w:val="0"/>
        <w:adjustRightInd/>
        <w:snapToGrid/>
        <w:ind w:left="0" w:leftChars="0" w:firstLine="562" w:firstLineChars="200"/>
        <w:textAlignment w:val="auto"/>
        <w:outlineLvl w:val="0"/>
        <w:rPr>
          <w:rFonts w:hint="eastAsia" w:ascii="仿宋" w:hAnsi="仿宋" w:eastAsia="仿宋" w:cs="仿宋"/>
          <w:b/>
          <w:bCs/>
          <w:kern w:val="2"/>
          <w:sz w:val="28"/>
          <w:szCs w:val="28"/>
          <w:lang w:val="en-US" w:eastAsia="zh-CN" w:bidi="ar-SA"/>
        </w:rPr>
      </w:pPr>
      <w:bookmarkStart w:id="290" w:name="_Toc4317"/>
      <w:r>
        <w:rPr>
          <w:rFonts w:hint="eastAsia" w:ascii="仿宋" w:hAnsi="仿宋" w:eastAsia="仿宋" w:cs="仿宋"/>
          <w:b/>
          <w:bCs/>
          <w:kern w:val="2"/>
          <w:sz w:val="28"/>
          <w:szCs w:val="28"/>
          <w:lang w:val="en-US" w:eastAsia="zh-CN" w:bidi="ar-SA"/>
        </w:rPr>
        <w:t>调查方法与调查方式</w:t>
      </w:r>
      <w:bookmarkEnd w:id="290"/>
    </w:p>
    <w:p>
      <w:pPr>
        <w:pStyle w:val="9"/>
        <w:keepNext w:val="0"/>
        <w:keepLines w:val="0"/>
        <w:pageBreakBefore w:val="0"/>
        <w:widowControl w:val="0"/>
        <w:numPr>
          <w:ilvl w:val="0"/>
          <w:numId w:val="4"/>
        </w:numPr>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kern w:val="2"/>
          <w:sz w:val="28"/>
          <w:szCs w:val="28"/>
          <w:lang w:val="en-US" w:eastAsia="zh-CN" w:bidi="ar-SA"/>
        </w:rPr>
      </w:pPr>
      <w:bookmarkStart w:id="291" w:name="_Toc31103"/>
      <w:r>
        <w:rPr>
          <w:rFonts w:hint="eastAsia" w:ascii="仿宋" w:hAnsi="仿宋" w:eastAsia="仿宋" w:cs="仿宋"/>
          <w:kern w:val="2"/>
          <w:sz w:val="28"/>
          <w:szCs w:val="28"/>
          <w:lang w:val="en-US" w:eastAsia="zh-CN" w:bidi="ar-SA"/>
        </w:rPr>
        <w:t>调查方法</w:t>
      </w:r>
      <w:bookmarkEnd w:id="291"/>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针对上述问卷调查对象开展现场问卷调查，在问卷调查全面开展之前，先对部分样本问卷进行论证，依据论证结果对问卷和问卷方案进行修改和调整，以保证调研切合实际，顺利进行。</w:t>
      </w:r>
    </w:p>
    <w:p>
      <w:pPr>
        <w:pStyle w:val="9"/>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textAlignment w:val="auto"/>
        <w:outlineLvl w:val="1"/>
        <w:rPr>
          <w:rFonts w:hint="eastAsia" w:ascii="仿宋" w:hAnsi="仿宋" w:eastAsia="仿宋" w:cs="仿宋"/>
          <w:kern w:val="2"/>
          <w:sz w:val="28"/>
          <w:szCs w:val="28"/>
          <w:lang w:val="en-US" w:eastAsia="zh-CN" w:bidi="ar-SA"/>
        </w:rPr>
      </w:pPr>
      <w:bookmarkStart w:id="292" w:name="_Toc15232"/>
      <w:r>
        <w:rPr>
          <w:rFonts w:hint="eastAsia" w:ascii="仿宋" w:hAnsi="仿宋" w:eastAsia="仿宋" w:cs="仿宋"/>
          <w:kern w:val="2"/>
          <w:sz w:val="28"/>
          <w:szCs w:val="28"/>
          <w:lang w:val="en-US" w:eastAsia="zh-CN" w:bidi="ar-SA"/>
        </w:rPr>
        <w:t>调查方式</w:t>
      </w:r>
      <w:bookmarkEnd w:id="292"/>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本次调查工作人员采用现场发放调查问卷的方式，共收回问</w:t>
      </w:r>
      <w:r>
        <w:rPr>
          <w:rFonts w:hint="eastAsia" w:ascii="仿宋" w:hAnsi="仿宋" w:eastAsia="仿宋" w:cs="仿宋"/>
          <w:kern w:val="2"/>
          <w:sz w:val="28"/>
          <w:szCs w:val="28"/>
          <w:highlight w:val="none"/>
          <w:lang w:val="en-US" w:eastAsia="zh-CN" w:bidi="ar-SA"/>
        </w:rPr>
        <w:t>卷80</w:t>
      </w:r>
      <w:r>
        <w:rPr>
          <w:rFonts w:hint="eastAsia" w:ascii="仿宋" w:hAnsi="仿宋" w:eastAsia="仿宋" w:cs="仿宋"/>
          <w:kern w:val="2"/>
          <w:sz w:val="28"/>
          <w:szCs w:val="28"/>
          <w:lang w:val="en-US" w:eastAsia="zh-CN" w:bidi="ar-SA"/>
        </w:rPr>
        <w:t>份。</w:t>
      </w:r>
    </w:p>
    <w:p>
      <w:pPr>
        <w:pStyle w:val="9"/>
        <w:numPr>
          <w:ilvl w:val="0"/>
          <w:numId w:val="4"/>
        </w:numPr>
        <w:ind w:left="0" w:leftChars="0" w:firstLine="560" w:firstLineChars="200"/>
        <w:outlineLvl w:val="1"/>
        <w:rPr>
          <w:rFonts w:hint="eastAsia" w:ascii="仿宋" w:hAnsi="仿宋" w:eastAsia="仿宋" w:cs="仿宋"/>
          <w:kern w:val="2"/>
          <w:sz w:val="28"/>
          <w:szCs w:val="28"/>
          <w:lang w:val="en-US" w:eastAsia="zh-CN" w:bidi="ar-SA"/>
        </w:rPr>
      </w:pPr>
      <w:bookmarkStart w:id="293" w:name="_Toc8287"/>
      <w:r>
        <w:rPr>
          <w:rFonts w:hint="eastAsia" w:ascii="仿宋" w:hAnsi="仿宋" w:eastAsia="仿宋" w:cs="仿宋"/>
          <w:kern w:val="2"/>
          <w:sz w:val="28"/>
          <w:szCs w:val="28"/>
          <w:lang w:val="en-US" w:eastAsia="zh-CN" w:bidi="ar-SA"/>
        </w:rPr>
        <w:t>调研安排</w:t>
      </w:r>
      <w:bookmarkEnd w:id="293"/>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根据项目进度安排，评价组于2022年11月对调查对象开展问卷调查并回收、分析。</w:t>
      </w:r>
    </w:p>
    <w:p>
      <w:pPr>
        <w:pStyle w:val="9"/>
        <w:keepNext w:val="0"/>
        <w:keepLines w:val="0"/>
        <w:pageBreakBefore w:val="0"/>
        <w:widowControl w:val="0"/>
        <w:kinsoku/>
        <w:wordWrap/>
        <w:overflowPunct/>
        <w:topLinePunct w:val="0"/>
        <w:autoSpaceDE/>
        <w:autoSpaceDN/>
        <w:bidi w:val="0"/>
        <w:adjustRightInd/>
        <w:snapToGrid/>
        <w:ind w:left="0" w:leftChars="0" w:firstLine="562" w:firstLineChars="200"/>
        <w:textAlignment w:val="auto"/>
        <w:outlineLvl w:val="0"/>
        <w:rPr>
          <w:rFonts w:hint="eastAsia" w:ascii="仿宋" w:hAnsi="仿宋" w:eastAsia="仿宋" w:cs="仿宋"/>
          <w:b/>
          <w:bCs/>
          <w:kern w:val="2"/>
          <w:sz w:val="28"/>
          <w:szCs w:val="28"/>
          <w:lang w:val="en-US" w:eastAsia="zh-CN" w:bidi="ar-SA"/>
        </w:rPr>
      </w:pPr>
      <w:bookmarkStart w:id="294" w:name="_Toc27660"/>
      <w:r>
        <w:rPr>
          <w:rFonts w:hint="eastAsia" w:ascii="仿宋" w:hAnsi="仿宋" w:eastAsia="仿宋" w:cs="仿宋"/>
          <w:b/>
          <w:bCs/>
          <w:kern w:val="2"/>
          <w:sz w:val="28"/>
          <w:szCs w:val="28"/>
          <w:lang w:val="en-US" w:eastAsia="zh-CN" w:bidi="ar-SA"/>
        </w:rPr>
        <w:t>三、调查问卷的评价方法</w:t>
      </w:r>
      <w:bookmarkEnd w:id="294"/>
    </w:p>
    <w:p>
      <w:pPr>
        <w:pStyle w:val="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针对调查问卷设置了5个客观题，每题20分，总分为100分。客观题各选项的评分值：选项</w:t>
      </w:r>
      <w:r>
        <w:rPr>
          <w:rFonts w:hint="eastAsia" w:ascii="仿宋" w:hAnsi="仿宋" w:eastAsia="仿宋" w:cs="仿宋"/>
          <w:kern w:val="2"/>
          <w:sz w:val="28"/>
          <w:szCs w:val="28"/>
          <w:lang w:val="en-US" w:eastAsia="zh-CN" w:bidi="ar-SA"/>
        </w:rPr>
        <w:t>A</w:t>
      </w:r>
      <w:r>
        <w:rPr>
          <w:rFonts w:hint="default" w:ascii="仿宋" w:hAnsi="仿宋" w:eastAsia="仿宋" w:cs="仿宋"/>
          <w:kern w:val="2"/>
          <w:sz w:val="28"/>
          <w:szCs w:val="28"/>
          <w:lang w:val="en-US" w:eastAsia="zh-CN" w:bidi="ar-SA"/>
        </w:rPr>
        <w:t>为100%,</w:t>
      </w:r>
      <w:r>
        <w:rPr>
          <w:rFonts w:hint="eastAsia" w:ascii="仿宋" w:hAnsi="仿宋" w:eastAsia="仿宋" w:cs="仿宋"/>
          <w:kern w:val="2"/>
          <w:sz w:val="28"/>
          <w:szCs w:val="28"/>
          <w:lang w:val="en-US" w:eastAsia="zh-CN" w:bidi="ar-SA"/>
        </w:rPr>
        <w:t>B</w:t>
      </w:r>
      <w:r>
        <w:rPr>
          <w:rFonts w:hint="default" w:ascii="仿宋" w:hAnsi="仿宋" w:eastAsia="仿宋" w:cs="仿宋"/>
          <w:kern w:val="2"/>
          <w:sz w:val="28"/>
          <w:szCs w:val="28"/>
          <w:lang w:val="en-US" w:eastAsia="zh-CN" w:bidi="ar-SA"/>
        </w:rPr>
        <w:t>为</w:t>
      </w:r>
      <w:r>
        <w:rPr>
          <w:rFonts w:hint="eastAsia" w:ascii="仿宋" w:hAnsi="仿宋" w:eastAsia="仿宋" w:cs="仿宋"/>
          <w:kern w:val="2"/>
          <w:sz w:val="28"/>
          <w:szCs w:val="28"/>
          <w:lang w:val="en-US" w:eastAsia="zh-CN" w:bidi="ar-SA"/>
        </w:rPr>
        <w:t>50</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C</w:t>
      </w:r>
      <w:r>
        <w:rPr>
          <w:rFonts w:hint="default" w:ascii="仿宋" w:hAnsi="仿宋" w:eastAsia="仿宋" w:cs="仿宋"/>
          <w:kern w:val="2"/>
          <w:sz w:val="28"/>
          <w:szCs w:val="28"/>
          <w:lang w:val="en-US" w:eastAsia="zh-CN" w:bidi="ar-SA"/>
        </w:rPr>
        <w:t>为0%</w:t>
      </w:r>
      <w:r>
        <w:rPr>
          <w:rFonts w:hint="eastAsia" w:ascii="仿宋" w:hAnsi="仿宋" w:eastAsia="仿宋" w:cs="仿宋"/>
          <w:kern w:val="2"/>
          <w:sz w:val="28"/>
          <w:szCs w:val="28"/>
          <w:lang w:val="en-US" w:eastAsia="zh-CN" w:bidi="ar-SA"/>
        </w:rPr>
        <w:t>。</w:t>
      </w:r>
      <w:r>
        <w:rPr>
          <w:rFonts w:hint="default" w:ascii="仿宋" w:hAnsi="仿宋" w:eastAsia="仿宋" w:cs="仿宋"/>
          <w:kern w:val="2"/>
          <w:sz w:val="28"/>
          <w:szCs w:val="28"/>
          <w:lang w:val="en-US" w:eastAsia="zh-CN" w:bidi="ar-SA"/>
        </w:rPr>
        <w:t>最后根据有效调查问卷分数的平均值为满意度指标打分。</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outlineLvl w:val="0"/>
        <w:rPr>
          <w:rFonts w:hint="default" w:ascii="仿宋" w:hAnsi="仿宋" w:eastAsia="仿宋" w:cs="仿宋"/>
          <w:b/>
          <w:bCs/>
          <w:kern w:val="2"/>
          <w:sz w:val="28"/>
          <w:szCs w:val="28"/>
          <w:lang w:val="en-US" w:eastAsia="zh-CN" w:bidi="ar-SA"/>
        </w:rPr>
      </w:pPr>
      <w:bookmarkStart w:id="295" w:name="_Toc26967"/>
      <w:r>
        <w:rPr>
          <w:rFonts w:hint="eastAsia" w:ascii="仿宋" w:hAnsi="仿宋" w:eastAsia="仿宋" w:cs="仿宋"/>
          <w:b/>
          <w:bCs/>
          <w:kern w:val="2"/>
          <w:sz w:val="28"/>
          <w:szCs w:val="28"/>
          <w:lang w:val="en-US" w:eastAsia="zh-CN" w:bidi="ar-SA"/>
        </w:rPr>
        <w:t>四、</w:t>
      </w:r>
      <w:r>
        <w:rPr>
          <w:rFonts w:hint="default" w:ascii="仿宋" w:hAnsi="仿宋" w:eastAsia="仿宋" w:cs="仿宋"/>
          <w:b/>
          <w:bCs/>
          <w:kern w:val="2"/>
          <w:sz w:val="28"/>
          <w:szCs w:val="28"/>
          <w:lang w:val="en-US" w:eastAsia="zh-CN" w:bidi="ar-SA"/>
        </w:rPr>
        <w:t>调查问卷的分析</w:t>
      </w:r>
      <w:bookmarkEnd w:id="295"/>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default" w:ascii="仿宋" w:hAnsi="仿宋" w:eastAsia="仿宋" w:cs="仿宋"/>
          <w:kern w:val="2"/>
          <w:sz w:val="28"/>
          <w:szCs w:val="28"/>
          <w:lang w:val="en-US" w:eastAsia="zh-CN" w:bidi="ar-SA"/>
        </w:rPr>
      </w:pPr>
      <w:bookmarkStart w:id="296" w:name="_Toc8944"/>
      <w:r>
        <w:rPr>
          <w:rFonts w:hint="eastAsia" w:ascii="仿宋" w:hAnsi="仿宋" w:eastAsia="仿宋" w:cs="仿宋"/>
          <w:kern w:val="2"/>
          <w:sz w:val="28"/>
          <w:szCs w:val="28"/>
          <w:lang w:val="en-US" w:eastAsia="zh-CN" w:bidi="ar-SA"/>
        </w:rPr>
        <w:t>（一）</w:t>
      </w:r>
      <w:r>
        <w:rPr>
          <w:rFonts w:hint="default" w:ascii="仿宋" w:hAnsi="仿宋" w:eastAsia="仿宋" w:cs="仿宋"/>
          <w:kern w:val="2"/>
          <w:sz w:val="28"/>
          <w:szCs w:val="28"/>
          <w:lang w:val="en-US" w:eastAsia="zh-CN" w:bidi="ar-SA"/>
        </w:rPr>
        <w:t>被调查对象代表性分析</w:t>
      </w:r>
      <w:bookmarkEnd w:id="296"/>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w:t>
      </w:r>
      <w:r>
        <w:rPr>
          <w:rFonts w:hint="default" w:ascii="仿宋" w:hAnsi="仿宋" w:eastAsia="仿宋" w:cs="仿宋"/>
          <w:kern w:val="2"/>
          <w:sz w:val="28"/>
          <w:szCs w:val="28"/>
          <w:lang w:val="en-US" w:eastAsia="zh-CN" w:bidi="ar-SA"/>
        </w:rPr>
        <w:t>基本情况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被调查的对象为</w:t>
      </w:r>
      <w:r>
        <w:rPr>
          <w:rFonts w:hint="eastAsia" w:ascii="仿宋" w:hAnsi="仿宋" w:eastAsia="仿宋" w:cs="仿宋"/>
          <w:kern w:val="2"/>
          <w:sz w:val="28"/>
          <w:szCs w:val="28"/>
          <w:lang w:val="en-US" w:eastAsia="zh-CN" w:bidi="ar-SA"/>
        </w:rPr>
        <w:t>永济市广大人民群众</w:t>
      </w:r>
      <w:r>
        <w:rPr>
          <w:rFonts w:hint="default" w:ascii="仿宋" w:hAnsi="仿宋" w:eastAsia="仿宋" w:cs="仿宋"/>
          <w:kern w:val="2"/>
          <w:sz w:val="28"/>
          <w:szCs w:val="28"/>
          <w:lang w:val="en-US" w:eastAsia="zh-CN" w:bidi="ar-SA"/>
        </w:rPr>
        <w:t>，采取</w:t>
      </w:r>
      <w:r>
        <w:rPr>
          <w:rFonts w:hint="eastAsia" w:ascii="仿宋" w:hAnsi="仿宋" w:eastAsia="仿宋" w:cs="仿宋"/>
          <w:kern w:val="2"/>
          <w:sz w:val="28"/>
          <w:szCs w:val="28"/>
          <w:lang w:val="en-US" w:eastAsia="zh-CN" w:bidi="ar-SA"/>
        </w:rPr>
        <w:t>现场发放调查问卷的方式</w:t>
      </w:r>
      <w:r>
        <w:rPr>
          <w:rFonts w:hint="default" w:ascii="仿宋" w:hAnsi="仿宋" w:eastAsia="仿宋" w:cs="仿宋"/>
          <w:kern w:val="2"/>
          <w:sz w:val="28"/>
          <w:szCs w:val="28"/>
          <w:lang w:val="en-US" w:eastAsia="zh-CN" w:bidi="ar-SA"/>
        </w:rPr>
        <w:t>。</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w:t>
      </w:r>
      <w:r>
        <w:rPr>
          <w:rFonts w:hint="default" w:ascii="仿宋" w:hAnsi="仿宋" w:eastAsia="仿宋" w:cs="仿宋"/>
          <w:kern w:val="2"/>
          <w:sz w:val="28"/>
          <w:szCs w:val="28"/>
          <w:lang w:val="en-US" w:eastAsia="zh-CN" w:bidi="ar-SA"/>
        </w:rPr>
        <w:t>样本回收率、有效问卷率</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kern w:val="2"/>
          <w:sz w:val="28"/>
          <w:szCs w:val="28"/>
          <w:highlight w:val="none"/>
          <w:lang w:val="en-US" w:eastAsia="zh-CN" w:bidi="ar-SA"/>
        </w:rPr>
      </w:pPr>
      <w:r>
        <w:rPr>
          <w:rFonts w:hint="default" w:ascii="仿宋" w:hAnsi="仿宋" w:eastAsia="仿宋" w:cs="仿宋"/>
          <w:kern w:val="2"/>
          <w:sz w:val="28"/>
          <w:szCs w:val="28"/>
          <w:highlight w:val="none"/>
          <w:lang w:val="en-US" w:eastAsia="zh-CN" w:bidi="ar-SA"/>
        </w:rPr>
        <w:t>本次收回问卷</w:t>
      </w:r>
      <w:r>
        <w:rPr>
          <w:rFonts w:hint="eastAsia" w:ascii="仿宋" w:hAnsi="仿宋" w:eastAsia="仿宋" w:cs="仿宋"/>
          <w:kern w:val="2"/>
          <w:sz w:val="28"/>
          <w:szCs w:val="28"/>
          <w:highlight w:val="none"/>
          <w:lang w:val="en-US" w:eastAsia="zh-CN" w:bidi="ar-SA"/>
        </w:rPr>
        <w:t>80</w:t>
      </w:r>
      <w:r>
        <w:rPr>
          <w:rFonts w:hint="default" w:ascii="仿宋" w:hAnsi="仿宋" w:eastAsia="仿宋" w:cs="仿宋"/>
          <w:kern w:val="2"/>
          <w:sz w:val="28"/>
          <w:szCs w:val="28"/>
          <w:highlight w:val="none"/>
          <w:lang w:val="en-US" w:eastAsia="zh-CN" w:bidi="ar-SA"/>
        </w:rPr>
        <w:t>份，有效问卷</w:t>
      </w:r>
      <w:r>
        <w:rPr>
          <w:rFonts w:hint="eastAsia" w:ascii="仿宋" w:hAnsi="仿宋" w:eastAsia="仿宋" w:cs="仿宋"/>
          <w:kern w:val="2"/>
          <w:sz w:val="28"/>
          <w:szCs w:val="28"/>
          <w:highlight w:val="none"/>
          <w:lang w:val="en-US" w:eastAsia="zh-CN" w:bidi="ar-SA"/>
        </w:rPr>
        <w:t>80</w:t>
      </w:r>
      <w:r>
        <w:rPr>
          <w:rFonts w:hint="default" w:ascii="仿宋" w:hAnsi="仿宋" w:eastAsia="仿宋" w:cs="仿宋"/>
          <w:kern w:val="2"/>
          <w:sz w:val="28"/>
          <w:szCs w:val="28"/>
          <w:highlight w:val="none"/>
          <w:lang w:val="en-US" w:eastAsia="zh-CN" w:bidi="ar-SA"/>
        </w:rPr>
        <w:t>份。</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w:t>
      </w:r>
      <w:r>
        <w:rPr>
          <w:rFonts w:hint="default" w:ascii="仿宋" w:hAnsi="仿宋" w:eastAsia="仿宋" w:cs="仿宋"/>
          <w:kern w:val="2"/>
          <w:sz w:val="28"/>
          <w:szCs w:val="28"/>
          <w:lang w:val="en-US" w:eastAsia="zh-CN" w:bidi="ar-SA"/>
        </w:rPr>
        <w:t>代表性分析</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kern w:val="2"/>
          <w:sz w:val="28"/>
          <w:szCs w:val="28"/>
          <w:highlight w:val="none"/>
          <w:lang w:val="en-US" w:eastAsia="zh-CN" w:bidi="ar-SA"/>
        </w:rPr>
      </w:pPr>
      <w:r>
        <w:rPr>
          <w:rFonts w:hint="default" w:ascii="仿宋" w:hAnsi="仿宋" w:eastAsia="仿宋" w:cs="仿宋"/>
          <w:kern w:val="2"/>
          <w:sz w:val="28"/>
          <w:szCs w:val="28"/>
          <w:highlight w:val="none"/>
          <w:lang w:val="en-US" w:eastAsia="zh-CN" w:bidi="ar-SA"/>
        </w:rPr>
        <w:t>有针对性的选择不同职业、年龄、性别的人员进行调查，调查问卷样本选择具有足够的代表性。</w:t>
      </w:r>
    </w:p>
    <w:p>
      <w:pPr>
        <w:pStyle w:val="9"/>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default" w:ascii="仿宋" w:hAnsi="仿宋" w:eastAsia="仿宋" w:cs="仿宋"/>
          <w:kern w:val="2"/>
          <w:sz w:val="28"/>
          <w:szCs w:val="28"/>
          <w:lang w:val="en-US" w:eastAsia="zh-CN" w:bidi="ar-SA"/>
        </w:rPr>
      </w:pPr>
      <w:bookmarkStart w:id="297" w:name="_Toc10856"/>
      <w:r>
        <w:rPr>
          <w:rFonts w:hint="eastAsia" w:ascii="仿宋" w:hAnsi="仿宋" w:eastAsia="仿宋" w:cs="仿宋"/>
          <w:kern w:val="2"/>
          <w:sz w:val="28"/>
          <w:szCs w:val="28"/>
          <w:lang w:val="en-US" w:eastAsia="zh-CN" w:bidi="ar-SA"/>
        </w:rPr>
        <w:t>（二）</w:t>
      </w:r>
      <w:r>
        <w:rPr>
          <w:rFonts w:hint="default" w:ascii="仿宋" w:hAnsi="仿宋" w:eastAsia="仿宋" w:cs="仿宋"/>
          <w:kern w:val="2"/>
          <w:sz w:val="28"/>
          <w:szCs w:val="28"/>
          <w:lang w:val="en-US" w:eastAsia="zh-CN" w:bidi="ar-SA"/>
        </w:rPr>
        <w:t>基本问题分析</w:t>
      </w:r>
      <w:bookmarkEnd w:id="297"/>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1、您对永济市公安局在打击和防范违法犯罪活动方面的工作如何评价</w:t>
      </w:r>
    </w:p>
    <w:p>
      <w:pPr>
        <w:spacing w:line="360" w:lineRule="auto"/>
        <w:ind w:firstLine="640"/>
        <w:jc w:val="both"/>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根据调查问卷结果显示，</w:t>
      </w:r>
      <w:r>
        <w:rPr>
          <w:rFonts w:hint="eastAsia" w:ascii="仿宋" w:hAnsi="仿宋" w:eastAsia="仿宋" w:cs="仿宋"/>
          <w:kern w:val="2"/>
          <w:sz w:val="28"/>
          <w:szCs w:val="28"/>
          <w:lang w:val="en-US" w:eastAsia="zh-CN" w:bidi="ar-SA"/>
        </w:rPr>
        <w:t>90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认为有力打击和防范违法犯罪，近年来安全感有所提高</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10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w:t>
      </w:r>
      <w:r>
        <w:rPr>
          <w:rFonts w:hint="eastAsia" w:ascii="仿宋_GB2312" w:hAnsi="仿宋_GB2312" w:eastAsia="仿宋_GB2312" w:cs="仿宋_GB2312"/>
          <w:sz w:val="30"/>
          <w:szCs w:val="30"/>
          <w:lang w:val="en-US" w:eastAsia="zh-CN"/>
        </w:rPr>
        <w:t>打击和防范违法犯罪有一定成效</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w:t>
      </w:r>
      <w:r>
        <w:rPr>
          <w:rFonts w:hint="eastAsia" w:ascii="仿宋_GB2312" w:hAnsi="仿宋_GB2312" w:eastAsia="仿宋_GB2312" w:cs="仿宋_GB2312"/>
          <w:sz w:val="30"/>
          <w:szCs w:val="30"/>
          <w:lang w:val="en-US" w:eastAsia="zh-CN"/>
        </w:rPr>
        <w:t>违法犯罪活动猖獗，治安效果差</w:t>
      </w:r>
      <w:r>
        <w:rPr>
          <w:rFonts w:hint="default" w:ascii="仿宋" w:hAnsi="仿宋" w:eastAsia="仿宋" w:cs="仿宋"/>
          <w:kern w:val="2"/>
          <w:sz w:val="28"/>
          <w:szCs w:val="28"/>
          <w:lang w:val="en-US" w:eastAsia="zh-CN" w:bidi="ar-SA"/>
        </w:rPr>
        <w:t>。</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2、您对永济市公安局在维护治安秩序、查处治安案件方面的工作如何评价</w:t>
      </w:r>
    </w:p>
    <w:p>
      <w:pPr>
        <w:spacing w:line="360" w:lineRule="auto"/>
        <w:ind w:firstLine="640"/>
        <w:jc w:val="both"/>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根据调查问卷结果显示，</w:t>
      </w:r>
      <w:r>
        <w:rPr>
          <w:rFonts w:hint="eastAsia" w:ascii="仿宋" w:hAnsi="仿宋" w:eastAsia="仿宋" w:cs="仿宋"/>
          <w:kern w:val="2"/>
          <w:sz w:val="28"/>
          <w:szCs w:val="28"/>
          <w:lang w:val="en-US" w:eastAsia="zh-CN" w:bidi="ar-SA"/>
        </w:rPr>
        <w:t>90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认为经常性开展治安环境整治工作，治安状况好</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10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认为较多开展整治治安环境工作，治安状况良好</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认为甚少整治治安环境和查处治安案件，治安状况差</w:t>
      </w:r>
      <w:r>
        <w:rPr>
          <w:rFonts w:hint="default" w:ascii="仿宋" w:hAnsi="仿宋" w:eastAsia="仿宋" w:cs="仿宋"/>
          <w:kern w:val="2"/>
          <w:sz w:val="28"/>
          <w:szCs w:val="28"/>
          <w:lang w:val="en-US" w:eastAsia="zh-CN" w:bidi="ar-SA"/>
        </w:rPr>
        <w:t>。</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3、您对永济市公安局车辆管理部门办理车辆及驾驶人证照工作如何评价</w:t>
      </w:r>
    </w:p>
    <w:p>
      <w:pPr>
        <w:spacing w:line="360" w:lineRule="auto"/>
        <w:ind w:firstLine="640"/>
        <w:jc w:val="both"/>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根据调查问卷结果显示，</w:t>
      </w:r>
      <w:r>
        <w:rPr>
          <w:rFonts w:hint="eastAsia" w:ascii="仿宋" w:hAnsi="仿宋" w:eastAsia="仿宋" w:cs="仿宋"/>
          <w:kern w:val="2"/>
          <w:sz w:val="28"/>
          <w:szCs w:val="28"/>
          <w:lang w:val="en-US" w:eastAsia="zh-CN" w:bidi="ar-SA"/>
        </w:rPr>
        <w:t>80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认为效率高，服务好</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20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认为效率基本可以，但部分工作有待提高</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认为效率差、服务态度恶劣</w:t>
      </w:r>
      <w:r>
        <w:rPr>
          <w:rFonts w:hint="default" w:ascii="仿宋" w:hAnsi="仿宋" w:eastAsia="仿宋" w:cs="仿宋"/>
          <w:kern w:val="2"/>
          <w:sz w:val="28"/>
          <w:szCs w:val="28"/>
          <w:lang w:val="en-US" w:eastAsia="zh-CN" w:bidi="ar-SA"/>
        </w:rPr>
        <w:t>。</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 w:eastAsia="仿宋_GB2312" w:cs="宋体"/>
          <w:color w:val="000000"/>
          <w:kern w:val="0"/>
          <w:sz w:val="24"/>
          <w:szCs w:val="24"/>
          <w:lang w:val="en-US" w:eastAsia="zh-CN"/>
        </w:rPr>
      </w:pPr>
      <w:r>
        <w:rPr>
          <w:rFonts w:hint="eastAsia" w:ascii="仿宋" w:hAnsi="仿宋" w:eastAsia="仿宋" w:cs="仿宋"/>
          <w:kern w:val="2"/>
          <w:sz w:val="28"/>
          <w:szCs w:val="28"/>
          <w:lang w:val="en-US" w:eastAsia="zh-CN" w:bidi="ar-SA"/>
        </w:rPr>
        <w:t>4、您对永济市公安局接报警工作如何评价</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根据调查问卷结果显示，</w:t>
      </w:r>
      <w:r>
        <w:rPr>
          <w:rFonts w:hint="eastAsia" w:ascii="仿宋" w:hAnsi="仿宋" w:eastAsia="仿宋" w:cs="仿宋"/>
          <w:kern w:val="2"/>
          <w:sz w:val="28"/>
          <w:szCs w:val="28"/>
          <w:lang w:val="en-US" w:eastAsia="zh-CN" w:bidi="ar-SA"/>
        </w:rPr>
        <w:t>100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认为做得好，接警认真，出警迅速，处警效率高</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基本满意，大部分都能在规定的时限内处警</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认为接警态度差，出警速度很慢</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5、您对所在辖区的派出所民警深入社区解决辖区治安问题如何评价</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根据调查问卷结果显示，</w:t>
      </w:r>
      <w:r>
        <w:rPr>
          <w:rFonts w:hint="eastAsia" w:ascii="仿宋" w:hAnsi="仿宋" w:eastAsia="仿宋" w:cs="仿宋"/>
          <w:kern w:val="2"/>
          <w:sz w:val="28"/>
          <w:szCs w:val="28"/>
          <w:lang w:val="en-US" w:eastAsia="zh-CN" w:bidi="ar-SA"/>
        </w:rPr>
        <w:t>90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w:t>
      </w:r>
      <w:r>
        <w:rPr>
          <w:rFonts w:hint="default" w:ascii="仿宋" w:hAnsi="仿宋" w:eastAsia="仿宋" w:cs="仿宋"/>
          <w:kern w:val="2"/>
          <w:sz w:val="28"/>
          <w:szCs w:val="28"/>
          <w:lang w:val="en-US" w:eastAsia="zh-CN" w:bidi="ar-SA"/>
        </w:rPr>
        <w:t>民警经常到社区了解治安状况，解决治安问题，</w:t>
      </w:r>
      <w:r>
        <w:rPr>
          <w:rFonts w:hint="eastAsia" w:ascii="仿宋" w:hAnsi="仿宋" w:eastAsia="仿宋" w:cs="仿宋"/>
          <w:kern w:val="2"/>
          <w:sz w:val="28"/>
          <w:szCs w:val="28"/>
          <w:lang w:val="en-US" w:eastAsia="zh-CN" w:bidi="ar-SA"/>
        </w:rPr>
        <w:t>10</w:t>
      </w:r>
      <w:r>
        <w:rPr>
          <w:rFonts w:hint="default" w:ascii="仿宋" w:hAnsi="仿宋" w:eastAsia="仿宋" w:cs="仿宋"/>
          <w:kern w:val="2"/>
          <w:sz w:val="28"/>
          <w:szCs w:val="28"/>
          <w:lang w:val="en-US" w:eastAsia="zh-CN" w:bidi="ar-SA"/>
        </w:rPr>
        <w:t>%的受访者对民警深入社区解决治安问题基本满意，</w:t>
      </w:r>
      <w:r>
        <w:rPr>
          <w:rFonts w:hint="eastAsia" w:ascii="仿宋" w:hAnsi="仿宋" w:eastAsia="仿宋" w:cs="仿宋"/>
          <w:kern w:val="2"/>
          <w:sz w:val="28"/>
          <w:szCs w:val="28"/>
          <w:lang w:val="en-US" w:eastAsia="zh-CN" w:bidi="ar-SA"/>
        </w:rPr>
        <w:t>0</w:t>
      </w:r>
      <w:r>
        <w:rPr>
          <w:rFonts w:hint="default" w:ascii="仿宋" w:hAnsi="仿宋" w:eastAsia="仿宋" w:cs="仿宋"/>
          <w:kern w:val="2"/>
          <w:sz w:val="28"/>
          <w:szCs w:val="28"/>
          <w:lang w:val="en-US" w:eastAsia="zh-CN" w:bidi="ar-SA"/>
        </w:rPr>
        <w:t>%的受访者</w:t>
      </w:r>
      <w:r>
        <w:rPr>
          <w:rFonts w:hint="eastAsia" w:ascii="仿宋" w:hAnsi="仿宋" w:eastAsia="仿宋" w:cs="仿宋"/>
          <w:kern w:val="2"/>
          <w:sz w:val="28"/>
          <w:szCs w:val="28"/>
          <w:lang w:val="en-US" w:eastAsia="zh-CN" w:bidi="ar-SA"/>
        </w:rPr>
        <w:t>认为</w:t>
      </w:r>
      <w:r>
        <w:rPr>
          <w:rFonts w:hint="default" w:ascii="仿宋" w:hAnsi="仿宋" w:eastAsia="仿宋" w:cs="仿宋"/>
          <w:kern w:val="2"/>
          <w:sz w:val="28"/>
          <w:szCs w:val="28"/>
          <w:lang w:val="en-US" w:eastAsia="zh-CN" w:bidi="ar-SA"/>
        </w:rPr>
        <w:t>民警很少到社区了解治安状况和解决治安问题</w:t>
      </w:r>
      <w:r>
        <w:rPr>
          <w:rFonts w:hint="eastAsia" w:ascii="仿宋" w:hAnsi="仿宋" w:eastAsia="仿宋" w:cs="仿宋"/>
          <w:kern w:val="2"/>
          <w:sz w:val="28"/>
          <w:szCs w:val="28"/>
          <w:lang w:val="en-US" w:eastAsia="zh-CN" w:bidi="ar-SA"/>
        </w:rPr>
        <w:t>。</w:t>
      </w:r>
    </w:p>
    <w:p>
      <w:pPr>
        <w:pStyle w:val="9"/>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1"/>
        <w:rPr>
          <w:rFonts w:hint="default" w:ascii="仿宋" w:hAnsi="仿宋" w:eastAsia="仿宋" w:cs="仿宋"/>
          <w:kern w:val="2"/>
          <w:sz w:val="28"/>
          <w:szCs w:val="28"/>
          <w:lang w:val="en-US" w:eastAsia="zh-CN" w:bidi="ar-SA"/>
        </w:rPr>
      </w:pPr>
      <w:bookmarkStart w:id="298" w:name="_Toc23853"/>
      <w:r>
        <w:rPr>
          <w:rFonts w:hint="eastAsia" w:ascii="仿宋" w:hAnsi="仿宋" w:eastAsia="仿宋" w:cs="仿宋"/>
          <w:kern w:val="2"/>
          <w:sz w:val="28"/>
          <w:szCs w:val="28"/>
          <w:lang w:val="en-US" w:eastAsia="zh-CN" w:bidi="ar-SA"/>
        </w:rPr>
        <w:t>（三）</w:t>
      </w:r>
      <w:r>
        <w:rPr>
          <w:rFonts w:hint="default" w:ascii="仿宋" w:hAnsi="仿宋" w:eastAsia="仿宋" w:cs="仿宋"/>
          <w:kern w:val="2"/>
          <w:sz w:val="28"/>
          <w:szCs w:val="28"/>
          <w:lang w:val="en-US" w:eastAsia="zh-CN" w:bidi="ar-SA"/>
        </w:rPr>
        <w:t>满意度分析</w:t>
      </w:r>
      <w:bookmarkEnd w:id="298"/>
    </w:p>
    <w:p>
      <w:pPr>
        <w:pStyle w:val="9"/>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kern w:val="2"/>
          <w:sz w:val="28"/>
          <w:szCs w:val="28"/>
          <w:highlight w:val="none"/>
          <w:lang w:val="en-US" w:eastAsia="zh-CN" w:bidi="ar-SA"/>
        </w:rPr>
      </w:pPr>
      <w:r>
        <w:rPr>
          <w:rFonts w:hint="default" w:ascii="仿宋" w:hAnsi="仿宋" w:eastAsia="仿宋" w:cs="仿宋"/>
          <w:kern w:val="2"/>
          <w:sz w:val="28"/>
          <w:szCs w:val="28"/>
          <w:lang w:val="en-US" w:eastAsia="zh-CN" w:bidi="ar-SA"/>
        </w:rPr>
        <w:t>本次问卷调查，共整理</w:t>
      </w:r>
      <w:r>
        <w:rPr>
          <w:rFonts w:hint="eastAsia" w:ascii="仿宋" w:hAnsi="仿宋" w:eastAsia="仿宋" w:cs="仿宋"/>
          <w:kern w:val="2"/>
          <w:sz w:val="28"/>
          <w:szCs w:val="28"/>
          <w:lang w:val="en-US" w:eastAsia="zh-CN" w:bidi="ar-SA"/>
        </w:rPr>
        <w:t>80</w:t>
      </w:r>
      <w:r>
        <w:rPr>
          <w:rFonts w:hint="default" w:ascii="仿宋" w:hAnsi="仿宋" w:eastAsia="仿宋" w:cs="仿宋"/>
          <w:kern w:val="2"/>
          <w:sz w:val="28"/>
          <w:szCs w:val="28"/>
          <w:highlight w:val="none"/>
          <w:lang w:val="en-US" w:eastAsia="zh-CN" w:bidi="ar-SA"/>
        </w:rPr>
        <w:t>份问卷，综合得分为</w:t>
      </w:r>
      <w:r>
        <w:rPr>
          <w:rFonts w:hint="eastAsia" w:ascii="仿宋" w:hAnsi="仿宋" w:eastAsia="仿宋" w:cs="仿宋"/>
          <w:kern w:val="2"/>
          <w:sz w:val="28"/>
          <w:szCs w:val="28"/>
          <w:highlight w:val="none"/>
          <w:lang w:val="en-US" w:eastAsia="zh-CN" w:bidi="ar-SA"/>
        </w:rPr>
        <w:t>95</w:t>
      </w:r>
      <w:r>
        <w:rPr>
          <w:rFonts w:hint="default" w:ascii="仿宋" w:hAnsi="仿宋" w:eastAsia="仿宋" w:cs="仿宋"/>
          <w:kern w:val="2"/>
          <w:sz w:val="28"/>
          <w:szCs w:val="28"/>
          <w:highlight w:val="none"/>
          <w:lang w:val="en-US" w:eastAsia="zh-CN" w:bidi="ar-SA"/>
        </w:rPr>
        <w:t>分，具体满意度分项得分见附表。</w:t>
      </w:r>
    </w:p>
    <w:p>
      <w:pPr>
        <w:pStyle w:val="9"/>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eastAsia" w:ascii="仿宋" w:hAnsi="仿宋" w:eastAsia="仿宋" w:cs="仿宋"/>
          <w:kern w:val="2"/>
          <w:sz w:val="28"/>
          <w:szCs w:val="28"/>
          <w:lang w:val="en-US" w:eastAsia="zh-CN" w:bidi="ar-SA"/>
        </w:rPr>
      </w:pPr>
      <w:bookmarkStart w:id="299" w:name="_Toc30784"/>
      <w:bookmarkStart w:id="300" w:name="_Toc30594"/>
      <w:bookmarkStart w:id="301" w:name="_Toc5857"/>
      <w:r>
        <w:rPr>
          <w:rFonts w:hint="eastAsia" w:ascii="仿宋" w:hAnsi="仿宋" w:eastAsia="仿宋" w:cs="仿宋"/>
          <w:kern w:val="2"/>
          <w:sz w:val="28"/>
          <w:szCs w:val="28"/>
          <w:lang w:val="en-US" w:eastAsia="zh-CN" w:bidi="ar-SA"/>
        </w:rPr>
        <w:t>附表满意度分析得分情况</w:t>
      </w:r>
      <w:bookmarkEnd w:id="299"/>
      <w:bookmarkEnd w:id="300"/>
      <w:bookmarkEnd w:id="301"/>
    </w:p>
    <w:tbl>
      <w:tblPr>
        <w:tblStyle w:val="18"/>
        <w:tblW w:w="5000" w:type="pct"/>
        <w:tblInd w:w="0" w:type="dxa"/>
        <w:tblLayout w:type="fixed"/>
        <w:tblCellMar>
          <w:top w:w="0" w:type="dxa"/>
          <w:left w:w="108" w:type="dxa"/>
          <w:bottom w:w="0" w:type="dxa"/>
          <w:right w:w="108" w:type="dxa"/>
        </w:tblCellMar>
      </w:tblPr>
      <w:tblGrid>
        <w:gridCol w:w="7064"/>
        <w:gridCol w:w="1458"/>
      </w:tblGrid>
      <w:tr>
        <w:tblPrEx>
          <w:tblCellMar>
            <w:top w:w="0" w:type="dxa"/>
            <w:left w:w="108" w:type="dxa"/>
            <w:bottom w:w="0" w:type="dxa"/>
            <w:right w:w="108" w:type="dxa"/>
          </w:tblCellMar>
        </w:tblPrEx>
        <w:trPr>
          <w:trHeight w:val="446" w:hRule="atLeast"/>
        </w:trPr>
        <w:tc>
          <w:tcPr>
            <w:tcW w:w="41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满意度评价内容</w:t>
            </w:r>
          </w:p>
        </w:tc>
        <w:tc>
          <w:tcPr>
            <w:tcW w:w="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得分率</w:t>
            </w:r>
          </w:p>
        </w:tc>
      </w:tr>
      <w:tr>
        <w:tblPrEx>
          <w:tblCellMar>
            <w:top w:w="0" w:type="dxa"/>
            <w:left w:w="108" w:type="dxa"/>
            <w:bottom w:w="0" w:type="dxa"/>
            <w:right w:w="108" w:type="dxa"/>
          </w:tblCellMar>
        </w:tblPrEx>
        <w:trPr>
          <w:trHeight w:val="446" w:hRule="atLeast"/>
        </w:trPr>
        <w:tc>
          <w:tcPr>
            <w:tcW w:w="4144" w:type="pct"/>
            <w:tcBorders>
              <w:top w:val="single" w:color="000000" w:sz="4" w:space="0"/>
              <w:left w:val="single" w:color="000000" w:sz="4" w:space="0"/>
              <w:bottom w:val="single" w:color="000000" w:sz="4" w:space="0"/>
              <w:right w:val="single" w:color="000000" w:sz="4" w:space="0"/>
            </w:tcBorders>
            <w:noWrap/>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i w:val="0"/>
                <w:iCs w:val="0"/>
                <w:color w:val="000000"/>
                <w:sz w:val="24"/>
                <w:szCs w:val="24"/>
                <w:u w:val="none"/>
              </w:rPr>
            </w:pPr>
            <w:r>
              <w:rPr>
                <w:rFonts w:hint="eastAsia" w:ascii="仿宋" w:hAnsi="仿宋" w:eastAsia="仿宋" w:cs="仿宋"/>
                <w:kern w:val="2"/>
                <w:sz w:val="24"/>
                <w:szCs w:val="24"/>
                <w:lang w:val="en-US" w:eastAsia="zh-CN" w:bidi="ar-SA"/>
              </w:rPr>
              <w:t>1、您对永济市公安局在打击和防范违法犯罪活动方面的工作如何评价</w:t>
            </w:r>
          </w:p>
        </w:tc>
        <w:tc>
          <w:tcPr>
            <w:tcW w:w="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95</w:t>
            </w:r>
          </w:p>
        </w:tc>
      </w:tr>
      <w:tr>
        <w:tblPrEx>
          <w:tblCellMar>
            <w:top w:w="0" w:type="dxa"/>
            <w:left w:w="108" w:type="dxa"/>
            <w:bottom w:w="0" w:type="dxa"/>
            <w:right w:w="108" w:type="dxa"/>
          </w:tblCellMar>
        </w:tblPrEx>
        <w:trPr>
          <w:trHeight w:val="530" w:hRule="atLeast"/>
        </w:trPr>
        <w:tc>
          <w:tcPr>
            <w:tcW w:w="41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2、您对永济市公安局在维护治安秩序、查处治安案件方面的工作如何评价</w:t>
            </w:r>
          </w:p>
        </w:tc>
        <w:tc>
          <w:tcPr>
            <w:tcW w:w="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95</w:t>
            </w:r>
          </w:p>
        </w:tc>
      </w:tr>
      <w:tr>
        <w:tblPrEx>
          <w:tblCellMar>
            <w:top w:w="0" w:type="dxa"/>
            <w:left w:w="108" w:type="dxa"/>
            <w:bottom w:w="0" w:type="dxa"/>
            <w:right w:w="108" w:type="dxa"/>
          </w:tblCellMar>
        </w:tblPrEx>
        <w:trPr>
          <w:trHeight w:val="460" w:hRule="atLeast"/>
        </w:trPr>
        <w:tc>
          <w:tcPr>
            <w:tcW w:w="4144" w:type="pct"/>
            <w:tcBorders>
              <w:top w:val="single" w:color="000000" w:sz="4" w:space="0"/>
              <w:left w:val="single" w:color="000000" w:sz="4" w:space="0"/>
              <w:bottom w:val="single" w:color="000000" w:sz="4" w:space="0"/>
              <w:right w:val="single" w:color="000000" w:sz="4" w:space="0"/>
            </w:tcBorders>
            <w:noWrap/>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3、您对永济市公安局车辆管理部门办理车辆及驾驶人证照工作如何评价</w:t>
            </w:r>
          </w:p>
        </w:tc>
        <w:tc>
          <w:tcPr>
            <w:tcW w:w="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90</w:t>
            </w:r>
          </w:p>
        </w:tc>
      </w:tr>
      <w:tr>
        <w:tblPrEx>
          <w:tblCellMar>
            <w:top w:w="0" w:type="dxa"/>
            <w:left w:w="108" w:type="dxa"/>
            <w:bottom w:w="0" w:type="dxa"/>
            <w:right w:w="108" w:type="dxa"/>
          </w:tblCellMar>
        </w:tblPrEx>
        <w:trPr>
          <w:trHeight w:val="482" w:hRule="atLeast"/>
        </w:trPr>
        <w:tc>
          <w:tcPr>
            <w:tcW w:w="4144" w:type="pct"/>
            <w:tcBorders>
              <w:top w:val="single" w:color="000000" w:sz="4" w:space="0"/>
              <w:left w:val="single" w:color="000000" w:sz="4" w:space="0"/>
              <w:bottom w:val="single" w:color="000000" w:sz="4" w:space="0"/>
              <w:right w:val="single" w:color="000000" w:sz="4" w:space="0"/>
            </w:tcBorders>
            <w:noWrap/>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4、您对永济市公安局接报警工作如何评价</w:t>
            </w:r>
          </w:p>
        </w:tc>
        <w:tc>
          <w:tcPr>
            <w:tcW w:w="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100</w:t>
            </w:r>
          </w:p>
        </w:tc>
      </w:tr>
      <w:tr>
        <w:tblPrEx>
          <w:tblCellMar>
            <w:top w:w="0" w:type="dxa"/>
            <w:left w:w="108" w:type="dxa"/>
            <w:bottom w:w="0" w:type="dxa"/>
            <w:right w:w="108" w:type="dxa"/>
          </w:tblCellMar>
        </w:tblPrEx>
        <w:trPr>
          <w:trHeight w:val="482" w:hRule="atLeast"/>
        </w:trPr>
        <w:tc>
          <w:tcPr>
            <w:tcW w:w="4144" w:type="pct"/>
            <w:tcBorders>
              <w:top w:val="single" w:color="000000" w:sz="4" w:space="0"/>
              <w:left w:val="single" w:color="000000" w:sz="4" w:space="0"/>
              <w:bottom w:val="single" w:color="000000" w:sz="4" w:space="0"/>
              <w:right w:val="single" w:color="000000" w:sz="4" w:space="0"/>
            </w:tcBorders>
            <w:noWrap/>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5、您对所在辖区的派出所民警深入社区解决辖区治安问题如何评价</w:t>
            </w:r>
          </w:p>
        </w:tc>
        <w:tc>
          <w:tcPr>
            <w:tcW w:w="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95</w:t>
            </w:r>
          </w:p>
        </w:tc>
      </w:tr>
      <w:tr>
        <w:tblPrEx>
          <w:tblCellMar>
            <w:top w:w="0" w:type="dxa"/>
            <w:left w:w="108" w:type="dxa"/>
            <w:bottom w:w="0" w:type="dxa"/>
            <w:right w:w="108" w:type="dxa"/>
          </w:tblCellMar>
        </w:tblPrEx>
        <w:trPr>
          <w:trHeight w:val="492" w:hRule="atLeast"/>
        </w:trPr>
        <w:tc>
          <w:tcPr>
            <w:tcW w:w="41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综合满意度</w:t>
            </w:r>
          </w:p>
        </w:tc>
        <w:tc>
          <w:tcPr>
            <w:tcW w:w="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95</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五、在满意度调查时，同时对安全感提升方面进行调查，40%的受访者认为显著提升，60%的受访者认为提升一般，得分率70%。</w:t>
      </w:r>
    </w:p>
    <w:p>
      <w:pPr>
        <w:pStyle w:val="2"/>
        <w:rPr>
          <w:rFonts w:hint="eastAsia" w:ascii="仿宋" w:hAnsi="仿宋" w:eastAsia="仿宋" w:cs="仿宋"/>
          <w:sz w:val="24"/>
          <w:szCs w:val="24"/>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auto"/>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213"/>
        <w:tab w:val="left" w:pos="4959"/>
      </w:tabs>
      <w:jc w:val="center"/>
      <w:rPr>
        <w:rFonts w:hint="default" w:eastAsia="宋体"/>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p>
    <w:pPr>
      <w:pStyle w:val="14"/>
      <w:tabs>
        <w:tab w:val="left" w:pos="4796"/>
        <w:tab w:val="clear" w:pos="4153"/>
      </w:tabs>
      <w:rPr>
        <w:rFonts w:hint="eastAsia" w:eastAsia="宋体"/>
        <w:lang w:eastAsia="zh-CN"/>
      </w:rPr>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47</w:t>
                    </w:r>
                    <w:r>
                      <w:fldChar w:fldCharType="end"/>
                    </w:r>
                  </w:p>
                </w:txbxContent>
              </v:textbox>
            </v:shape>
          </w:pict>
        </mc:Fallback>
      </mc:AlternateContent>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213"/>
        <w:tab w:val="left" w:pos="4959"/>
      </w:tabs>
      <w:jc w:val="center"/>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2" w:leftChars="-1"/>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ascii="仿宋" w:hAnsi="仿宋" w:eastAsia="仿宋"/>
        <w:b/>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A8A5F"/>
    <w:multiLevelType w:val="singleLevel"/>
    <w:tmpl w:val="869A8A5F"/>
    <w:lvl w:ilvl="0" w:tentative="0">
      <w:start w:val="1"/>
      <w:numFmt w:val="chineseCounting"/>
      <w:suff w:val="nothing"/>
      <w:lvlText w:val="%1、"/>
      <w:lvlJc w:val="left"/>
      <w:rPr>
        <w:rFonts w:hint="eastAsia"/>
      </w:rPr>
    </w:lvl>
  </w:abstractNum>
  <w:abstractNum w:abstractNumId="1">
    <w:nsid w:val="98A23EFE"/>
    <w:multiLevelType w:val="singleLevel"/>
    <w:tmpl w:val="98A23EFE"/>
    <w:lvl w:ilvl="0" w:tentative="0">
      <w:start w:val="1"/>
      <w:numFmt w:val="chineseCounting"/>
      <w:suff w:val="nothing"/>
      <w:lvlText w:val="（%1）"/>
      <w:lvlJc w:val="left"/>
      <w:rPr>
        <w:rFonts w:hint="eastAsia"/>
      </w:rPr>
    </w:lvl>
  </w:abstractNum>
  <w:abstractNum w:abstractNumId="2">
    <w:nsid w:val="B0905F8D"/>
    <w:multiLevelType w:val="singleLevel"/>
    <w:tmpl w:val="B0905F8D"/>
    <w:lvl w:ilvl="0" w:tentative="0">
      <w:start w:val="2"/>
      <w:numFmt w:val="chineseCounting"/>
      <w:suff w:val="nothing"/>
      <w:lvlText w:val="%1、"/>
      <w:lvlJc w:val="left"/>
      <w:pPr>
        <w:ind w:left="628" w:leftChars="0" w:firstLine="0" w:firstLineChars="0"/>
      </w:pPr>
      <w:rPr>
        <w:rFonts w:hint="eastAsia"/>
      </w:rPr>
    </w:lvl>
  </w:abstractNum>
  <w:abstractNum w:abstractNumId="3">
    <w:nsid w:val="4C5F04EE"/>
    <w:multiLevelType w:val="singleLevel"/>
    <w:tmpl w:val="4C5F04EE"/>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NjQ2Y2UxYmYzMzc1NTkwZGU0MjkzM2ZlOTMxOTMifQ=="/>
  </w:docVars>
  <w:rsids>
    <w:rsidRoot w:val="00172A27"/>
    <w:rsid w:val="000118E8"/>
    <w:rsid w:val="00012621"/>
    <w:rsid w:val="00017923"/>
    <w:rsid w:val="00023848"/>
    <w:rsid w:val="00025490"/>
    <w:rsid w:val="00034566"/>
    <w:rsid w:val="000376AA"/>
    <w:rsid w:val="00040266"/>
    <w:rsid w:val="000430A7"/>
    <w:rsid w:val="00053254"/>
    <w:rsid w:val="00054DA2"/>
    <w:rsid w:val="0009621F"/>
    <w:rsid w:val="00096E0B"/>
    <w:rsid w:val="000A1895"/>
    <w:rsid w:val="000A4C36"/>
    <w:rsid w:val="000B7DC7"/>
    <w:rsid w:val="000C7EBD"/>
    <w:rsid w:val="001070B6"/>
    <w:rsid w:val="00107FBA"/>
    <w:rsid w:val="0012106E"/>
    <w:rsid w:val="00124A68"/>
    <w:rsid w:val="001256E4"/>
    <w:rsid w:val="00126751"/>
    <w:rsid w:val="00127170"/>
    <w:rsid w:val="00137D91"/>
    <w:rsid w:val="00153C03"/>
    <w:rsid w:val="0015546C"/>
    <w:rsid w:val="00171DF0"/>
    <w:rsid w:val="00172A27"/>
    <w:rsid w:val="00174A95"/>
    <w:rsid w:val="0019468C"/>
    <w:rsid w:val="001963C6"/>
    <w:rsid w:val="00197E09"/>
    <w:rsid w:val="001B1316"/>
    <w:rsid w:val="001B2049"/>
    <w:rsid w:val="001C1CA3"/>
    <w:rsid w:val="001D1750"/>
    <w:rsid w:val="001D6D9F"/>
    <w:rsid w:val="001E3DCA"/>
    <w:rsid w:val="001E6AD9"/>
    <w:rsid w:val="001F4A27"/>
    <w:rsid w:val="001F4B40"/>
    <w:rsid w:val="001F6B44"/>
    <w:rsid w:val="001F6CA0"/>
    <w:rsid w:val="00215E80"/>
    <w:rsid w:val="00220577"/>
    <w:rsid w:val="002364E7"/>
    <w:rsid w:val="00251F12"/>
    <w:rsid w:val="00255781"/>
    <w:rsid w:val="00257C82"/>
    <w:rsid w:val="00263CC6"/>
    <w:rsid w:val="00272B90"/>
    <w:rsid w:val="002758F6"/>
    <w:rsid w:val="002A4779"/>
    <w:rsid w:val="002B46FB"/>
    <w:rsid w:val="002C46FE"/>
    <w:rsid w:val="002D2F8C"/>
    <w:rsid w:val="002D3930"/>
    <w:rsid w:val="002D5836"/>
    <w:rsid w:val="002E2B88"/>
    <w:rsid w:val="003058B8"/>
    <w:rsid w:val="00312D5C"/>
    <w:rsid w:val="00317708"/>
    <w:rsid w:val="003213DE"/>
    <w:rsid w:val="00341F8B"/>
    <w:rsid w:val="00342DD2"/>
    <w:rsid w:val="00353990"/>
    <w:rsid w:val="0035429B"/>
    <w:rsid w:val="00357C46"/>
    <w:rsid w:val="0036182E"/>
    <w:rsid w:val="00372B53"/>
    <w:rsid w:val="003800CE"/>
    <w:rsid w:val="003848BA"/>
    <w:rsid w:val="0039006F"/>
    <w:rsid w:val="00390A99"/>
    <w:rsid w:val="00397FC1"/>
    <w:rsid w:val="003A2B94"/>
    <w:rsid w:val="003A397C"/>
    <w:rsid w:val="003B44D9"/>
    <w:rsid w:val="003B4CBE"/>
    <w:rsid w:val="003B5C10"/>
    <w:rsid w:val="003D0BEC"/>
    <w:rsid w:val="003D4374"/>
    <w:rsid w:val="003D55FD"/>
    <w:rsid w:val="003E27DD"/>
    <w:rsid w:val="003F07FE"/>
    <w:rsid w:val="004156B4"/>
    <w:rsid w:val="004303AD"/>
    <w:rsid w:val="00432BB8"/>
    <w:rsid w:val="00433F7C"/>
    <w:rsid w:val="00434138"/>
    <w:rsid w:val="00436300"/>
    <w:rsid w:val="0043743A"/>
    <w:rsid w:val="0044163B"/>
    <w:rsid w:val="004426BB"/>
    <w:rsid w:val="004430B5"/>
    <w:rsid w:val="0044620C"/>
    <w:rsid w:val="004476A6"/>
    <w:rsid w:val="004565A2"/>
    <w:rsid w:val="00466413"/>
    <w:rsid w:val="0048505A"/>
    <w:rsid w:val="00491C35"/>
    <w:rsid w:val="00492833"/>
    <w:rsid w:val="004B1AEB"/>
    <w:rsid w:val="004B6A2F"/>
    <w:rsid w:val="004B75CA"/>
    <w:rsid w:val="004C4DAE"/>
    <w:rsid w:val="004C733C"/>
    <w:rsid w:val="004D539B"/>
    <w:rsid w:val="004D7814"/>
    <w:rsid w:val="004E18E1"/>
    <w:rsid w:val="004E5761"/>
    <w:rsid w:val="004E634B"/>
    <w:rsid w:val="004E6C04"/>
    <w:rsid w:val="004F15A2"/>
    <w:rsid w:val="00511A87"/>
    <w:rsid w:val="00522D0E"/>
    <w:rsid w:val="00527A73"/>
    <w:rsid w:val="00534E9B"/>
    <w:rsid w:val="00553BB8"/>
    <w:rsid w:val="0055573C"/>
    <w:rsid w:val="00592C72"/>
    <w:rsid w:val="005A3925"/>
    <w:rsid w:val="005B6CC5"/>
    <w:rsid w:val="005B75E6"/>
    <w:rsid w:val="005E2EA2"/>
    <w:rsid w:val="005E371E"/>
    <w:rsid w:val="00602BB1"/>
    <w:rsid w:val="006201BC"/>
    <w:rsid w:val="00634D32"/>
    <w:rsid w:val="00657BDB"/>
    <w:rsid w:val="00665EDB"/>
    <w:rsid w:val="00684390"/>
    <w:rsid w:val="006A141F"/>
    <w:rsid w:val="006A6290"/>
    <w:rsid w:val="006B13AD"/>
    <w:rsid w:val="006D19C8"/>
    <w:rsid w:val="006D3FEC"/>
    <w:rsid w:val="006D785A"/>
    <w:rsid w:val="006E40C1"/>
    <w:rsid w:val="006E75D1"/>
    <w:rsid w:val="006F4A1A"/>
    <w:rsid w:val="006F5C3A"/>
    <w:rsid w:val="006F7FAC"/>
    <w:rsid w:val="00716341"/>
    <w:rsid w:val="00717BDE"/>
    <w:rsid w:val="00721B63"/>
    <w:rsid w:val="0075345E"/>
    <w:rsid w:val="007541D6"/>
    <w:rsid w:val="00761126"/>
    <w:rsid w:val="00776133"/>
    <w:rsid w:val="00783637"/>
    <w:rsid w:val="007948B2"/>
    <w:rsid w:val="007A3187"/>
    <w:rsid w:val="007B2998"/>
    <w:rsid w:val="007B43FD"/>
    <w:rsid w:val="007C2CDB"/>
    <w:rsid w:val="007C386E"/>
    <w:rsid w:val="007C488A"/>
    <w:rsid w:val="007D0DA5"/>
    <w:rsid w:val="007D1A35"/>
    <w:rsid w:val="007E1E45"/>
    <w:rsid w:val="007E4836"/>
    <w:rsid w:val="007F089A"/>
    <w:rsid w:val="008056F9"/>
    <w:rsid w:val="00822963"/>
    <w:rsid w:val="00827C52"/>
    <w:rsid w:val="00840FB2"/>
    <w:rsid w:val="0084582F"/>
    <w:rsid w:val="008477B4"/>
    <w:rsid w:val="00847F8B"/>
    <w:rsid w:val="008503EC"/>
    <w:rsid w:val="0086049C"/>
    <w:rsid w:val="008627BE"/>
    <w:rsid w:val="00866A2D"/>
    <w:rsid w:val="0089040F"/>
    <w:rsid w:val="00897622"/>
    <w:rsid w:val="008C074B"/>
    <w:rsid w:val="008C6EC5"/>
    <w:rsid w:val="008C79D7"/>
    <w:rsid w:val="008C7CF6"/>
    <w:rsid w:val="008F6F7F"/>
    <w:rsid w:val="00900C1D"/>
    <w:rsid w:val="009048FD"/>
    <w:rsid w:val="00905D63"/>
    <w:rsid w:val="00913B65"/>
    <w:rsid w:val="00913D99"/>
    <w:rsid w:val="00923F6B"/>
    <w:rsid w:val="00931D5A"/>
    <w:rsid w:val="00942C67"/>
    <w:rsid w:val="00943736"/>
    <w:rsid w:val="0095006E"/>
    <w:rsid w:val="009603E1"/>
    <w:rsid w:val="009642D0"/>
    <w:rsid w:val="00974B2E"/>
    <w:rsid w:val="0098417E"/>
    <w:rsid w:val="009924EA"/>
    <w:rsid w:val="009A5342"/>
    <w:rsid w:val="009A6D6B"/>
    <w:rsid w:val="009B1C53"/>
    <w:rsid w:val="009C08BB"/>
    <w:rsid w:val="009E0323"/>
    <w:rsid w:val="009E236C"/>
    <w:rsid w:val="009E286E"/>
    <w:rsid w:val="00A03229"/>
    <w:rsid w:val="00A16710"/>
    <w:rsid w:val="00A264CE"/>
    <w:rsid w:val="00A35D00"/>
    <w:rsid w:val="00A406C0"/>
    <w:rsid w:val="00A419BA"/>
    <w:rsid w:val="00A42C69"/>
    <w:rsid w:val="00A4611E"/>
    <w:rsid w:val="00A515B7"/>
    <w:rsid w:val="00A6091A"/>
    <w:rsid w:val="00A73C1E"/>
    <w:rsid w:val="00A81D3B"/>
    <w:rsid w:val="00A8670F"/>
    <w:rsid w:val="00A907BA"/>
    <w:rsid w:val="00A90DCE"/>
    <w:rsid w:val="00A91911"/>
    <w:rsid w:val="00AA051F"/>
    <w:rsid w:val="00AA52D9"/>
    <w:rsid w:val="00AA737A"/>
    <w:rsid w:val="00AB1AAC"/>
    <w:rsid w:val="00AB51B3"/>
    <w:rsid w:val="00AC2747"/>
    <w:rsid w:val="00AC48EB"/>
    <w:rsid w:val="00AD01F8"/>
    <w:rsid w:val="00AE0D9D"/>
    <w:rsid w:val="00AE4855"/>
    <w:rsid w:val="00AF5529"/>
    <w:rsid w:val="00B02B26"/>
    <w:rsid w:val="00B077CF"/>
    <w:rsid w:val="00B12E29"/>
    <w:rsid w:val="00B20980"/>
    <w:rsid w:val="00B22A93"/>
    <w:rsid w:val="00B26152"/>
    <w:rsid w:val="00B26154"/>
    <w:rsid w:val="00B364C7"/>
    <w:rsid w:val="00B405C4"/>
    <w:rsid w:val="00B47262"/>
    <w:rsid w:val="00B516E0"/>
    <w:rsid w:val="00B65BB0"/>
    <w:rsid w:val="00B7221C"/>
    <w:rsid w:val="00B74D36"/>
    <w:rsid w:val="00B759DB"/>
    <w:rsid w:val="00B762F6"/>
    <w:rsid w:val="00B777E4"/>
    <w:rsid w:val="00B84F9C"/>
    <w:rsid w:val="00BA08F8"/>
    <w:rsid w:val="00BC2970"/>
    <w:rsid w:val="00BC38B4"/>
    <w:rsid w:val="00BC482C"/>
    <w:rsid w:val="00BC4A00"/>
    <w:rsid w:val="00BC4A26"/>
    <w:rsid w:val="00BE0749"/>
    <w:rsid w:val="00BF1B96"/>
    <w:rsid w:val="00BF6005"/>
    <w:rsid w:val="00C03554"/>
    <w:rsid w:val="00C165FB"/>
    <w:rsid w:val="00C16D0C"/>
    <w:rsid w:val="00C315B9"/>
    <w:rsid w:val="00C45F5B"/>
    <w:rsid w:val="00C472CA"/>
    <w:rsid w:val="00C63626"/>
    <w:rsid w:val="00C703B5"/>
    <w:rsid w:val="00C90322"/>
    <w:rsid w:val="00C91604"/>
    <w:rsid w:val="00C941D1"/>
    <w:rsid w:val="00C9780B"/>
    <w:rsid w:val="00CB3E5E"/>
    <w:rsid w:val="00CB6FD6"/>
    <w:rsid w:val="00CC7111"/>
    <w:rsid w:val="00CD02A4"/>
    <w:rsid w:val="00CD765E"/>
    <w:rsid w:val="00CE1DBB"/>
    <w:rsid w:val="00D0282B"/>
    <w:rsid w:val="00D06ADB"/>
    <w:rsid w:val="00D17DC9"/>
    <w:rsid w:val="00D25801"/>
    <w:rsid w:val="00D3752A"/>
    <w:rsid w:val="00D402ED"/>
    <w:rsid w:val="00D40561"/>
    <w:rsid w:val="00D518C7"/>
    <w:rsid w:val="00D84F11"/>
    <w:rsid w:val="00D865A7"/>
    <w:rsid w:val="00D97B5D"/>
    <w:rsid w:val="00DC0EDB"/>
    <w:rsid w:val="00DC2F9D"/>
    <w:rsid w:val="00DD4DF7"/>
    <w:rsid w:val="00DD60A2"/>
    <w:rsid w:val="00DE2354"/>
    <w:rsid w:val="00DE3C7B"/>
    <w:rsid w:val="00DF5C73"/>
    <w:rsid w:val="00E04778"/>
    <w:rsid w:val="00E0611C"/>
    <w:rsid w:val="00E124A0"/>
    <w:rsid w:val="00E14783"/>
    <w:rsid w:val="00E15BBF"/>
    <w:rsid w:val="00E17CD2"/>
    <w:rsid w:val="00E23558"/>
    <w:rsid w:val="00E2798D"/>
    <w:rsid w:val="00E54D92"/>
    <w:rsid w:val="00E55C82"/>
    <w:rsid w:val="00E55FEF"/>
    <w:rsid w:val="00E560B6"/>
    <w:rsid w:val="00E56700"/>
    <w:rsid w:val="00E70100"/>
    <w:rsid w:val="00E71746"/>
    <w:rsid w:val="00E72C23"/>
    <w:rsid w:val="00E8022F"/>
    <w:rsid w:val="00E80444"/>
    <w:rsid w:val="00E96CC5"/>
    <w:rsid w:val="00EA6731"/>
    <w:rsid w:val="00EB3BF3"/>
    <w:rsid w:val="00EB4CA4"/>
    <w:rsid w:val="00EB6A88"/>
    <w:rsid w:val="00EC0E86"/>
    <w:rsid w:val="00ED51F9"/>
    <w:rsid w:val="00ED76A8"/>
    <w:rsid w:val="00EE17FD"/>
    <w:rsid w:val="00EE6FA2"/>
    <w:rsid w:val="00F00B02"/>
    <w:rsid w:val="00F010F9"/>
    <w:rsid w:val="00F01932"/>
    <w:rsid w:val="00F13EA7"/>
    <w:rsid w:val="00F264EA"/>
    <w:rsid w:val="00F3125F"/>
    <w:rsid w:val="00F36AB1"/>
    <w:rsid w:val="00F43412"/>
    <w:rsid w:val="00F43C6F"/>
    <w:rsid w:val="00F450FA"/>
    <w:rsid w:val="00F45541"/>
    <w:rsid w:val="00F45D26"/>
    <w:rsid w:val="00F5117B"/>
    <w:rsid w:val="00F533BD"/>
    <w:rsid w:val="00F61B88"/>
    <w:rsid w:val="00F62F9F"/>
    <w:rsid w:val="00F760B6"/>
    <w:rsid w:val="00F80810"/>
    <w:rsid w:val="00F84FBA"/>
    <w:rsid w:val="00F9326B"/>
    <w:rsid w:val="00F94574"/>
    <w:rsid w:val="00FC274E"/>
    <w:rsid w:val="00FC7474"/>
    <w:rsid w:val="00FD7B32"/>
    <w:rsid w:val="00FE3250"/>
    <w:rsid w:val="00FF33BE"/>
    <w:rsid w:val="00FF72F9"/>
    <w:rsid w:val="012B7E3E"/>
    <w:rsid w:val="01655729"/>
    <w:rsid w:val="025E6FD5"/>
    <w:rsid w:val="02B06FA7"/>
    <w:rsid w:val="02E64D83"/>
    <w:rsid w:val="031144BE"/>
    <w:rsid w:val="03B836D4"/>
    <w:rsid w:val="03E7251F"/>
    <w:rsid w:val="043568D8"/>
    <w:rsid w:val="04455AD9"/>
    <w:rsid w:val="04A24CDA"/>
    <w:rsid w:val="04DC3246"/>
    <w:rsid w:val="055A36D1"/>
    <w:rsid w:val="05CE1E79"/>
    <w:rsid w:val="05FE697B"/>
    <w:rsid w:val="0656159C"/>
    <w:rsid w:val="071E541D"/>
    <w:rsid w:val="081D2FF5"/>
    <w:rsid w:val="08383654"/>
    <w:rsid w:val="086C5D2B"/>
    <w:rsid w:val="08851B67"/>
    <w:rsid w:val="08962BB4"/>
    <w:rsid w:val="09665B06"/>
    <w:rsid w:val="098A5141"/>
    <w:rsid w:val="09A41669"/>
    <w:rsid w:val="09AD3DE0"/>
    <w:rsid w:val="09DC5B66"/>
    <w:rsid w:val="0A171CC6"/>
    <w:rsid w:val="0A1D552E"/>
    <w:rsid w:val="0A892D67"/>
    <w:rsid w:val="0AA15796"/>
    <w:rsid w:val="0AC96C71"/>
    <w:rsid w:val="0ACB2DD4"/>
    <w:rsid w:val="0B140BA6"/>
    <w:rsid w:val="0B5F56D3"/>
    <w:rsid w:val="0BB04180"/>
    <w:rsid w:val="0BCA342B"/>
    <w:rsid w:val="0BCA5242"/>
    <w:rsid w:val="0C0A078B"/>
    <w:rsid w:val="0C3D1B8E"/>
    <w:rsid w:val="0CD234B9"/>
    <w:rsid w:val="0CFB58CF"/>
    <w:rsid w:val="0D002EE5"/>
    <w:rsid w:val="0D1A022D"/>
    <w:rsid w:val="0D2349E9"/>
    <w:rsid w:val="0D8655C2"/>
    <w:rsid w:val="0DA43520"/>
    <w:rsid w:val="0DB346B4"/>
    <w:rsid w:val="0DE62162"/>
    <w:rsid w:val="0E372AA3"/>
    <w:rsid w:val="0E481CEF"/>
    <w:rsid w:val="0EBB37EE"/>
    <w:rsid w:val="0EBF22EB"/>
    <w:rsid w:val="0ECA4C67"/>
    <w:rsid w:val="0ECB4C48"/>
    <w:rsid w:val="0EEA34E3"/>
    <w:rsid w:val="0F5512C6"/>
    <w:rsid w:val="0FD516DA"/>
    <w:rsid w:val="10645539"/>
    <w:rsid w:val="106B22D0"/>
    <w:rsid w:val="109B3D8A"/>
    <w:rsid w:val="11024505"/>
    <w:rsid w:val="11654942"/>
    <w:rsid w:val="12206036"/>
    <w:rsid w:val="125440F2"/>
    <w:rsid w:val="13BE566E"/>
    <w:rsid w:val="13D22C6B"/>
    <w:rsid w:val="14773EFC"/>
    <w:rsid w:val="14873159"/>
    <w:rsid w:val="14E97066"/>
    <w:rsid w:val="155F6956"/>
    <w:rsid w:val="1581047F"/>
    <w:rsid w:val="15934820"/>
    <w:rsid w:val="15A35CFD"/>
    <w:rsid w:val="15FF7ED9"/>
    <w:rsid w:val="162F288B"/>
    <w:rsid w:val="164058E2"/>
    <w:rsid w:val="16B014D2"/>
    <w:rsid w:val="16BA2983"/>
    <w:rsid w:val="16CC410E"/>
    <w:rsid w:val="16CF4567"/>
    <w:rsid w:val="170F4A25"/>
    <w:rsid w:val="176B6426"/>
    <w:rsid w:val="17B65201"/>
    <w:rsid w:val="17D3551C"/>
    <w:rsid w:val="183E3DA8"/>
    <w:rsid w:val="18A17188"/>
    <w:rsid w:val="19D0470E"/>
    <w:rsid w:val="1B2B02C2"/>
    <w:rsid w:val="1B780740"/>
    <w:rsid w:val="1BC561B7"/>
    <w:rsid w:val="1CC107A2"/>
    <w:rsid w:val="1CD06C81"/>
    <w:rsid w:val="1D42079F"/>
    <w:rsid w:val="1D544687"/>
    <w:rsid w:val="1E430BB2"/>
    <w:rsid w:val="1E65685E"/>
    <w:rsid w:val="1E830E19"/>
    <w:rsid w:val="1E860893"/>
    <w:rsid w:val="1EA02135"/>
    <w:rsid w:val="1F922657"/>
    <w:rsid w:val="1F9C5839"/>
    <w:rsid w:val="1FA44662"/>
    <w:rsid w:val="1FB3555D"/>
    <w:rsid w:val="1FC319E3"/>
    <w:rsid w:val="1FD26A4F"/>
    <w:rsid w:val="1FFF3961"/>
    <w:rsid w:val="20386B08"/>
    <w:rsid w:val="219E1AD4"/>
    <w:rsid w:val="21CE1699"/>
    <w:rsid w:val="22554145"/>
    <w:rsid w:val="22975A23"/>
    <w:rsid w:val="22B343E1"/>
    <w:rsid w:val="236941EC"/>
    <w:rsid w:val="23A2788A"/>
    <w:rsid w:val="244B07CE"/>
    <w:rsid w:val="24A73F1B"/>
    <w:rsid w:val="24BF6C85"/>
    <w:rsid w:val="252D3653"/>
    <w:rsid w:val="255002CC"/>
    <w:rsid w:val="257C7710"/>
    <w:rsid w:val="25A246E2"/>
    <w:rsid w:val="25B4289D"/>
    <w:rsid w:val="268159F5"/>
    <w:rsid w:val="273854E4"/>
    <w:rsid w:val="27556925"/>
    <w:rsid w:val="28416B8E"/>
    <w:rsid w:val="28646836"/>
    <w:rsid w:val="29394BC6"/>
    <w:rsid w:val="293C16E4"/>
    <w:rsid w:val="29486E43"/>
    <w:rsid w:val="296B349B"/>
    <w:rsid w:val="29F800D8"/>
    <w:rsid w:val="2A2C6CC9"/>
    <w:rsid w:val="2A972582"/>
    <w:rsid w:val="2AD310E3"/>
    <w:rsid w:val="2AE7228F"/>
    <w:rsid w:val="2AE8703B"/>
    <w:rsid w:val="2C0333D5"/>
    <w:rsid w:val="2C24674A"/>
    <w:rsid w:val="2C9C2D96"/>
    <w:rsid w:val="2CB15EA6"/>
    <w:rsid w:val="2CC8314B"/>
    <w:rsid w:val="2D0C7CAA"/>
    <w:rsid w:val="2D31615F"/>
    <w:rsid w:val="2D3A366E"/>
    <w:rsid w:val="2D665D7B"/>
    <w:rsid w:val="2D6669F1"/>
    <w:rsid w:val="2D743999"/>
    <w:rsid w:val="2DDD2638"/>
    <w:rsid w:val="2DF43FEB"/>
    <w:rsid w:val="2E312AA7"/>
    <w:rsid w:val="2E7F0BD1"/>
    <w:rsid w:val="2E851387"/>
    <w:rsid w:val="2E8E7818"/>
    <w:rsid w:val="2EC56E88"/>
    <w:rsid w:val="2F236894"/>
    <w:rsid w:val="2F2D326E"/>
    <w:rsid w:val="2F7B354F"/>
    <w:rsid w:val="2FA01416"/>
    <w:rsid w:val="2FAC1E3E"/>
    <w:rsid w:val="2FB90FA6"/>
    <w:rsid w:val="2FCA302D"/>
    <w:rsid w:val="3046209A"/>
    <w:rsid w:val="30881CA7"/>
    <w:rsid w:val="30EA533D"/>
    <w:rsid w:val="30FD4935"/>
    <w:rsid w:val="311C359A"/>
    <w:rsid w:val="31223F6C"/>
    <w:rsid w:val="313B6681"/>
    <w:rsid w:val="31415BBA"/>
    <w:rsid w:val="318850D4"/>
    <w:rsid w:val="31B278E1"/>
    <w:rsid w:val="31D45D6B"/>
    <w:rsid w:val="31EF2764"/>
    <w:rsid w:val="3223620A"/>
    <w:rsid w:val="328E0520"/>
    <w:rsid w:val="33077D57"/>
    <w:rsid w:val="33642679"/>
    <w:rsid w:val="337A253B"/>
    <w:rsid w:val="3406440D"/>
    <w:rsid w:val="342033A2"/>
    <w:rsid w:val="3422320F"/>
    <w:rsid w:val="3445105A"/>
    <w:rsid w:val="3470327F"/>
    <w:rsid w:val="34CD3B95"/>
    <w:rsid w:val="34D11EF7"/>
    <w:rsid w:val="34DF500B"/>
    <w:rsid w:val="35AF503E"/>
    <w:rsid w:val="35C366DA"/>
    <w:rsid w:val="35F42D38"/>
    <w:rsid w:val="35FE0F64"/>
    <w:rsid w:val="36BA5521"/>
    <w:rsid w:val="36BA58B8"/>
    <w:rsid w:val="37090037"/>
    <w:rsid w:val="37143B5B"/>
    <w:rsid w:val="378E4AC6"/>
    <w:rsid w:val="37972D5A"/>
    <w:rsid w:val="37EB2F9D"/>
    <w:rsid w:val="38C2140B"/>
    <w:rsid w:val="39005C2E"/>
    <w:rsid w:val="392C581A"/>
    <w:rsid w:val="393B2A2C"/>
    <w:rsid w:val="399866F7"/>
    <w:rsid w:val="39A64349"/>
    <w:rsid w:val="39B20E66"/>
    <w:rsid w:val="3A5160C7"/>
    <w:rsid w:val="3A54010E"/>
    <w:rsid w:val="3A810BC6"/>
    <w:rsid w:val="3AC4049F"/>
    <w:rsid w:val="3AD87ACC"/>
    <w:rsid w:val="3B2A0FAA"/>
    <w:rsid w:val="3BFF41E4"/>
    <w:rsid w:val="3C2736CC"/>
    <w:rsid w:val="3C4C121F"/>
    <w:rsid w:val="3C4C631A"/>
    <w:rsid w:val="3C8446EA"/>
    <w:rsid w:val="3CC76334"/>
    <w:rsid w:val="3E1A70B4"/>
    <w:rsid w:val="3E2967D5"/>
    <w:rsid w:val="3F7040BA"/>
    <w:rsid w:val="3FE36265"/>
    <w:rsid w:val="3FFA7F71"/>
    <w:rsid w:val="4116496E"/>
    <w:rsid w:val="41194E66"/>
    <w:rsid w:val="419611DE"/>
    <w:rsid w:val="41AD7188"/>
    <w:rsid w:val="41D659E7"/>
    <w:rsid w:val="432A5783"/>
    <w:rsid w:val="43444DFA"/>
    <w:rsid w:val="43620962"/>
    <w:rsid w:val="43D326C8"/>
    <w:rsid w:val="44071A58"/>
    <w:rsid w:val="441C4E24"/>
    <w:rsid w:val="44394B9A"/>
    <w:rsid w:val="446C43E1"/>
    <w:rsid w:val="4471564B"/>
    <w:rsid w:val="450C54FF"/>
    <w:rsid w:val="45BC6CA2"/>
    <w:rsid w:val="4600391A"/>
    <w:rsid w:val="464F3EF8"/>
    <w:rsid w:val="466E680B"/>
    <w:rsid w:val="46710467"/>
    <w:rsid w:val="46757DA8"/>
    <w:rsid w:val="469B4A2B"/>
    <w:rsid w:val="46AD014C"/>
    <w:rsid w:val="46B76CCB"/>
    <w:rsid w:val="4709790B"/>
    <w:rsid w:val="470E0923"/>
    <w:rsid w:val="47125620"/>
    <w:rsid w:val="479A32A5"/>
    <w:rsid w:val="47AB1FDE"/>
    <w:rsid w:val="47BF5185"/>
    <w:rsid w:val="47C1182C"/>
    <w:rsid w:val="480A08E6"/>
    <w:rsid w:val="481E3030"/>
    <w:rsid w:val="48262287"/>
    <w:rsid w:val="482F3E22"/>
    <w:rsid w:val="48A87DD4"/>
    <w:rsid w:val="48E04AC4"/>
    <w:rsid w:val="492F5277"/>
    <w:rsid w:val="495631FB"/>
    <w:rsid w:val="496651F0"/>
    <w:rsid w:val="49896528"/>
    <w:rsid w:val="49A9283A"/>
    <w:rsid w:val="49E32F1D"/>
    <w:rsid w:val="4A103246"/>
    <w:rsid w:val="4A973719"/>
    <w:rsid w:val="4AB61D6A"/>
    <w:rsid w:val="4AF60496"/>
    <w:rsid w:val="4B115A01"/>
    <w:rsid w:val="4B5421D9"/>
    <w:rsid w:val="4C895014"/>
    <w:rsid w:val="4D237EA7"/>
    <w:rsid w:val="4D8347BA"/>
    <w:rsid w:val="4E55643D"/>
    <w:rsid w:val="4E8B1908"/>
    <w:rsid w:val="4EA2061F"/>
    <w:rsid w:val="4EA67678"/>
    <w:rsid w:val="4ED33302"/>
    <w:rsid w:val="4ED4431A"/>
    <w:rsid w:val="4F5009DF"/>
    <w:rsid w:val="4F93316A"/>
    <w:rsid w:val="5017010E"/>
    <w:rsid w:val="50802791"/>
    <w:rsid w:val="50F665A1"/>
    <w:rsid w:val="518E2CCA"/>
    <w:rsid w:val="51CE566C"/>
    <w:rsid w:val="51F779E0"/>
    <w:rsid w:val="524357F8"/>
    <w:rsid w:val="533050E8"/>
    <w:rsid w:val="53C02053"/>
    <w:rsid w:val="557C4FF2"/>
    <w:rsid w:val="55B01607"/>
    <w:rsid w:val="572A4DAB"/>
    <w:rsid w:val="57CF54E3"/>
    <w:rsid w:val="581369CE"/>
    <w:rsid w:val="58C63C68"/>
    <w:rsid w:val="59A64212"/>
    <w:rsid w:val="59B15636"/>
    <w:rsid w:val="5B382A6F"/>
    <w:rsid w:val="5B43595A"/>
    <w:rsid w:val="5BB92F72"/>
    <w:rsid w:val="5C285D27"/>
    <w:rsid w:val="5C763BF7"/>
    <w:rsid w:val="5CAE112D"/>
    <w:rsid w:val="5D077FE3"/>
    <w:rsid w:val="5D5850AB"/>
    <w:rsid w:val="5D9D7128"/>
    <w:rsid w:val="5E3F1A16"/>
    <w:rsid w:val="5EB26321"/>
    <w:rsid w:val="5ECE039A"/>
    <w:rsid w:val="5F4B6602"/>
    <w:rsid w:val="5F7673D1"/>
    <w:rsid w:val="60470121"/>
    <w:rsid w:val="60555655"/>
    <w:rsid w:val="6079418A"/>
    <w:rsid w:val="608A69C6"/>
    <w:rsid w:val="611B11A0"/>
    <w:rsid w:val="6125317D"/>
    <w:rsid w:val="61A34E7C"/>
    <w:rsid w:val="61C46412"/>
    <w:rsid w:val="620852F1"/>
    <w:rsid w:val="624D095A"/>
    <w:rsid w:val="626E78EE"/>
    <w:rsid w:val="62BB0009"/>
    <w:rsid w:val="63670E21"/>
    <w:rsid w:val="638773F8"/>
    <w:rsid w:val="638E1EFB"/>
    <w:rsid w:val="6407379D"/>
    <w:rsid w:val="64406FC4"/>
    <w:rsid w:val="647C53F7"/>
    <w:rsid w:val="650F1303"/>
    <w:rsid w:val="6518329B"/>
    <w:rsid w:val="653F3FA1"/>
    <w:rsid w:val="65901886"/>
    <w:rsid w:val="65F71905"/>
    <w:rsid w:val="660C204B"/>
    <w:rsid w:val="668E58EC"/>
    <w:rsid w:val="67327F81"/>
    <w:rsid w:val="674270EF"/>
    <w:rsid w:val="679D0FC1"/>
    <w:rsid w:val="67A21D44"/>
    <w:rsid w:val="67CE48E7"/>
    <w:rsid w:val="680E669A"/>
    <w:rsid w:val="68803F14"/>
    <w:rsid w:val="68A349C6"/>
    <w:rsid w:val="69342E70"/>
    <w:rsid w:val="69371C47"/>
    <w:rsid w:val="698C6C23"/>
    <w:rsid w:val="69BD3DB5"/>
    <w:rsid w:val="69E30DE2"/>
    <w:rsid w:val="6A5A565C"/>
    <w:rsid w:val="6AA933EA"/>
    <w:rsid w:val="6AAF0325"/>
    <w:rsid w:val="6AC63828"/>
    <w:rsid w:val="6AC972F4"/>
    <w:rsid w:val="6B12667D"/>
    <w:rsid w:val="6B1D67D6"/>
    <w:rsid w:val="6B974A73"/>
    <w:rsid w:val="6BAA36D9"/>
    <w:rsid w:val="6BBD09A3"/>
    <w:rsid w:val="6BF6522E"/>
    <w:rsid w:val="6C8352F0"/>
    <w:rsid w:val="6CB14960"/>
    <w:rsid w:val="6CBB13C7"/>
    <w:rsid w:val="6CCD7863"/>
    <w:rsid w:val="6CF52916"/>
    <w:rsid w:val="6DBC5AB5"/>
    <w:rsid w:val="6E0C43BB"/>
    <w:rsid w:val="6E5E694C"/>
    <w:rsid w:val="6EB51DCC"/>
    <w:rsid w:val="6EC72090"/>
    <w:rsid w:val="6F442E4C"/>
    <w:rsid w:val="6F4D6A39"/>
    <w:rsid w:val="6FB50A17"/>
    <w:rsid w:val="70763652"/>
    <w:rsid w:val="70A01F58"/>
    <w:rsid w:val="70C42D2B"/>
    <w:rsid w:val="719B03A7"/>
    <w:rsid w:val="71BF1076"/>
    <w:rsid w:val="71E42E63"/>
    <w:rsid w:val="71EE5E15"/>
    <w:rsid w:val="71F535C9"/>
    <w:rsid w:val="71F65122"/>
    <w:rsid w:val="71FC3B7C"/>
    <w:rsid w:val="733C6D88"/>
    <w:rsid w:val="73BC50AE"/>
    <w:rsid w:val="73DE6F71"/>
    <w:rsid w:val="73FC7493"/>
    <w:rsid w:val="7434641A"/>
    <w:rsid w:val="7485494C"/>
    <w:rsid w:val="74924D11"/>
    <w:rsid w:val="749F1AE5"/>
    <w:rsid w:val="74A36F6E"/>
    <w:rsid w:val="74B63003"/>
    <w:rsid w:val="74D8015E"/>
    <w:rsid w:val="74E75493"/>
    <w:rsid w:val="753D44CF"/>
    <w:rsid w:val="757D0B89"/>
    <w:rsid w:val="75A2213D"/>
    <w:rsid w:val="75CE1DA3"/>
    <w:rsid w:val="7612517E"/>
    <w:rsid w:val="76402E54"/>
    <w:rsid w:val="764E2C03"/>
    <w:rsid w:val="778A22C8"/>
    <w:rsid w:val="79812841"/>
    <w:rsid w:val="798D4602"/>
    <w:rsid w:val="79A650CD"/>
    <w:rsid w:val="79DA536E"/>
    <w:rsid w:val="7A2D36EF"/>
    <w:rsid w:val="7A5213A8"/>
    <w:rsid w:val="7A532AC3"/>
    <w:rsid w:val="7A7606C9"/>
    <w:rsid w:val="7A814BD0"/>
    <w:rsid w:val="7A984DC2"/>
    <w:rsid w:val="7AAF380F"/>
    <w:rsid w:val="7ABB6DD0"/>
    <w:rsid w:val="7B560DBD"/>
    <w:rsid w:val="7B852800"/>
    <w:rsid w:val="7B9A6B62"/>
    <w:rsid w:val="7BFF7665"/>
    <w:rsid w:val="7C030BAC"/>
    <w:rsid w:val="7C061F2B"/>
    <w:rsid w:val="7D4732BC"/>
    <w:rsid w:val="7DA343D2"/>
    <w:rsid w:val="7DCB3DC6"/>
    <w:rsid w:val="7DF24721"/>
    <w:rsid w:val="7DF71F18"/>
    <w:rsid w:val="7E2B045F"/>
    <w:rsid w:val="7E975B86"/>
    <w:rsid w:val="7EAB3264"/>
    <w:rsid w:val="7EE1548B"/>
    <w:rsid w:val="7F1654DD"/>
    <w:rsid w:val="7FB57B3D"/>
    <w:rsid w:val="7FC94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paragraph" w:styleId="6">
    <w:name w:val="heading 2"/>
    <w:basedOn w:val="1"/>
    <w:next w:val="1"/>
    <w:link w:val="52"/>
    <w:qFormat/>
    <w:uiPriority w:val="0"/>
    <w:pPr>
      <w:keepNext/>
      <w:keepLines/>
      <w:spacing w:before="260" w:after="260" w:line="413" w:lineRule="auto"/>
      <w:outlineLvl w:val="1"/>
    </w:pPr>
    <w:rPr>
      <w:rFonts w:ascii="Arial" w:hAnsi="Arial" w:eastAsia="黑体"/>
      <w:b/>
      <w:sz w:val="32"/>
    </w:rPr>
  </w:style>
  <w:style w:type="paragraph" w:styleId="7">
    <w:name w:val="heading 3"/>
    <w:basedOn w:val="1"/>
    <w:next w:val="1"/>
    <w:unhideWhenUsed/>
    <w:qFormat/>
    <w:uiPriority w:val="0"/>
    <w:pPr>
      <w:keepNext/>
      <w:keepLines/>
      <w:spacing w:before="260" w:after="260" w:line="413" w:lineRule="auto"/>
      <w:outlineLvl w:val="2"/>
    </w:pPr>
    <w:rPr>
      <w:b/>
      <w:sz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31"/>
    <w:qFormat/>
    <w:uiPriority w:val="0"/>
    <w:rPr>
      <w:rFonts w:ascii="仿宋_GB2312" w:eastAsia="仿宋_GB2312"/>
      <w:sz w:val="30"/>
    </w:rPr>
  </w:style>
  <w:style w:type="paragraph" w:styleId="3">
    <w:name w:val="Body Text Indent 2"/>
    <w:basedOn w:val="1"/>
    <w:next w:val="4"/>
    <w:qFormat/>
    <w:uiPriority w:val="0"/>
    <w:pPr>
      <w:spacing w:line="580" w:lineRule="exact"/>
      <w:ind w:firstLine="200"/>
    </w:pPr>
    <w:rPr>
      <w:rFonts w:ascii="仿宋_GB2312" w:eastAsia="仿宋_GB2312" w:cs="宋体"/>
      <w:sz w:val="32"/>
      <w:szCs w:val="32"/>
    </w:rPr>
  </w:style>
  <w:style w:type="paragraph" w:styleId="4">
    <w:name w:val="Normal (Web)"/>
    <w:basedOn w:val="1"/>
    <w:next w:val="1"/>
    <w:qFormat/>
    <w:uiPriority w:val="0"/>
    <w:pPr>
      <w:spacing w:beforeAutospacing="1" w:afterAutospacing="1"/>
    </w:pPr>
    <w:rPr>
      <w:rFonts w:cs="Times New Roman"/>
      <w:kern w:val="0"/>
      <w:sz w:val="24"/>
    </w:rPr>
  </w:style>
  <w:style w:type="paragraph" w:styleId="8">
    <w:name w:val="table of authorities"/>
    <w:basedOn w:val="1"/>
    <w:next w:val="1"/>
    <w:qFormat/>
    <w:uiPriority w:val="0"/>
    <w:pPr>
      <w:spacing w:line="360" w:lineRule="auto"/>
      <w:ind w:left="420" w:leftChars="200" w:firstLine="640" w:firstLineChars="200"/>
    </w:pPr>
    <w:rPr>
      <w:rFonts w:ascii="宋体" w:hAnsi="宋体" w:eastAsia="仿宋" w:cs="仿宋"/>
      <w:sz w:val="24"/>
    </w:rPr>
  </w:style>
  <w:style w:type="paragraph" w:styleId="9">
    <w:name w:val="Normal Indent"/>
    <w:basedOn w:val="1"/>
    <w:unhideWhenUsed/>
    <w:qFormat/>
    <w:uiPriority w:val="99"/>
    <w:pPr>
      <w:ind w:firstLine="420"/>
    </w:pPr>
    <w:rPr>
      <w:sz w:val="28"/>
    </w:rPr>
  </w:style>
  <w:style w:type="paragraph" w:styleId="10">
    <w:name w:val="Document Map"/>
    <w:basedOn w:val="1"/>
    <w:link w:val="30"/>
    <w:unhideWhenUsed/>
    <w:qFormat/>
    <w:uiPriority w:val="99"/>
    <w:rPr>
      <w:rFonts w:ascii="宋体"/>
      <w:sz w:val="18"/>
      <w:szCs w:val="18"/>
    </w:rPr>
  </w:style>
  <w:style w:type="paragraph" w:styleId="11">
    <w:name w:val="annotation text"/>
    <w:basedOn w:val="1"/>
    <w:semiHidden/>
    <w:unhideWhenUsed/>
    <w:qFormat/>
    <w:uiPriority w:val="99"/>
    <w:pPr>
      <w:jc w:val="left"/>
    </w:pPr>
  </w:style>
  <w:style w:type="paragraph" w:styleId="12">
    <w:name w:val="Date"/>
    <w:basedOn w:val="1"/>
    <w:next w:val="1"/>
    <w:qFormat/>
    <w:uiPriority w:val="0"/>
    <w:pPr>
      <w:ind w:left="100" w:leftChars="2500"/>
    </w:pPr>
  </w:style>
  <w:style w:type="paragraph" w:styleId="13">
    <w:name w:val="Balloon Text"/>
    <w:basedOn w:val="1"/>
    <w:link w:val="28"/>
    <w:unhideWhenUsed/>
    <w:qFormat/>
    <w:uiPriority w:val="99"/>
    <w:rPr>
      <w:sz w:val="18"/>
      <w:szCs w:val="18"/>
    </w:rPr>
  </w:style>
  <w:style w:type="paragraph" w:styleId="14">
    <w:name w:val="footer"/>
    <w:basedOn w:val="1"/>
    <w:link w:val="26"/>
    <w:qFormat/>
    <w:uiPriority w:val="99"/>
    <w:pPr>
      <w:tabs>
        <w:tab w:val="center" w:pos="4153"/>
        <w:tab w:val="right" w:pos="8306"/>
      </w:tabs>
      <w:snapToGrid w:val="0"/>
      <w:jc w:val="left"/>
    </w:pPr>
    <w:rPr>
      <w:sz w:val="18"/>
      <w:szCs w:val="18"/>
    </w:rPr>
  </w:style>
  <w:style w:type="paragraph" w:styleId="15">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widowControl/>
      <w:spacing w:after="100" w:line="276" w:lineRule="auto"/>
      <w:jc w:val="left"/>
    </w:pPr>
    <w:rPr>
      <w:kern w:val="0"/>
      <w:sz w:val="22"/>
    </w:rPr>
  </w:style>
  <w:style w:type="paragraph" w:styleId="17">
    <w:name w:val="toc 2"/>
    <w:basedOn w:val="1"/>
    <w:next w:val="1"/>
    <w:qFormat/>
    <w:uiPriority w:val="99"/>
    <w:pPr>
      <w:widowControl/>
      <w:spacing w:after="100" w:line="276" w:lineRule="auto"/>
      <w:ind w:left="220"/>
      <w:jc w:val="left"/>
    </w:pPr>
    <w:rPr>
      <w:kern w:val="0"/>
      <w:sz w:val="22"/>
    </w:rPr>
  </w:style>
  <w:style w:type="table" w:styleId="19">
    <w:name w:val="Table Grid"/>
    <w:basedOn w:val="18"/>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FollowedHyperlink"/>
    <w:basedOn w:val="20"/>
    <w:semiHidden/>
    <w:unhideWhenUsed/>
    <w:qFormat/>
    <w:uiPriority w:val="99"/>
    <w:rPr>
      <w:color w:val="000000"/>
      <w:u w:val="none"/>
    </w:rPr>
  </w:style>
  <w:style w:type="character" w:styleId="23">
    <w:name w:val="Emphasis"/>
    <w:basedOn w:val="20"/>
    <w:qFormat/>
    <w:uiPriority w:val="20"/>
    <w:rPr>
      <w:rFonts w:ascii="微软雅黑" w:hAnsi="微软雅黑" w:eastAsia="微软雅黑" w:cs="微软雅黑"/>
      <w:sz w:val="24"/>
      <w:szCs w:val="24"/>
      <w:vertAlign w:val="baseline"/>
    </w:rPr>
  </w:style>
  <w:style w:type="character" w:styleId="24">
    <w:name w:val="Hyperlink"/>
    <w:basedOn w:val="20"/>
    <w:semiHidden/>
    <w:unhideWhenUsed/>
    <w:qFormat/>
    <w:uiPriority w:val="99"/>
    <w:rPr>
      <w:color w:val="000000"/>
      <w:u w:val="none"/>
    </w:rPr>
  </w:style>
  <w:style w:type="paragraph" w:customStyle="1" w:styleId="25">
    <w:name w:val="Char"/>
    <w:basedOn w:val="1"/>
    <w:qFormat/>
    <w:uiPriority w:val="0"/>
  </w:style>
  <w:style w:type="character" w:customStyle="1" w:styleId="26">
    <w:name w:val="页脚 Char"/>
    <w:basedOn w:val="20"/>
    <w:link w:val="14"/>
    <w:qFormat/>
    <w:uiPriority w:val="99"/>
    <w:rPr>
      <w:kern w:val="2"/>
      <w:sz w:val="18"/>
      <w:szCs w:val="18"/>
    </w:rPr>
  </w:style>
  <w:style w:type="paragraph" w:customStyle="1" w:styleId="27">
    <w:name w:val="List Paragraph"/>
    <w:basedOn w:val="1"/>
    <w:qFormat/>
    <w:uiPriority w:val="34"/>
    <w:pPr>
      <w:ind w:firstLine="420" w:firstLineChars="200"/>
    </w:pPr>
  </w:style>
  <w:style w:type="character" w:customStyle="1" w:styleId="28">
    <w:name w:val="批注框文本 Char"/>
    <w:basedOn w:val="20"/>
    <w:link w:val="13"/>
    <w:semiHidden/>
    <w:qFormat/>
    <w:uiPriority w:val="99"/>
    <w:rPr>
      <w:kern w:val="2"/>
      <w:sz w:val="18"/>
      <w:szCs w:val="18"/>
    </w:rPr>
  </w:style>
  <w:style w:type="character" w:customStyle="1" w:styleId="29">
    <w:name w:val="Placeholder Text"/>
    <w:basedOn w:val="20"/>
    <w:semiHidden/>
    <w:qFormat/>
    <w:uiPriority w:val="99"/>
    <w:rPr>
      <w:color w:val="808080"/>
    </w:rPr>
  </w:style>
  <w:style w:type="character" w:customStyle="1" w:styleId="30">
    <w:name w:val="文档结构图 Char"/>
    <w:basedOn w:val="20"/>
    <w:link w:val="10"/>
    <w:semiHidden/>
    <w:qFormat/>
    <w:uiPriority w:val="99"/>
    <w:rPr>
      <w:rFonts w:ascii="宋体"/>
      <w:kern w:val="2"/>
      <w:sz w:val="18"/>
      <w:szCs w:val="18"/>
    </w:rPr>
  </w:style>
  <w:style w:type="character" w:customStyle="1" w:styleId="31">
    <w:name w:val="正文文本 Char"/>
    <w:basedOn w:val="20"/>
    <w:link w:val="2"/>
    <w:qFormat/>
    <w:uiPriority w:val="0"/>
    <w:rPr>
      <w:rFonts w:ascii="仿宋_GB2312" w:eastAsia="仿宋_GB2312"/>
      <w:kern w:val="2"/>
      <w:sz w:val="30"/>
      <w:szCs w:val="24"/>
    </w:rPr>
  </w:style>
  <w:style w:type="character" w:customStyle="1" w:styleId="32">
    <w:name w:val="页眉 Char"/>
    <w:basedOn w:val="20"/>
    <w:link w:val="15"/>
    <w:qFormat/>
    <w:uiPriority w:val="0"/>
    <w:rPr>
      <w:kern w:val="2"/>
      <w:sz w:val="18"/>
      <w:szCs w:val="18"/>
    </w:rPr>
  </w:style>
  <w:style w:type="paragraph" w:customStyle="1" w:styleId="33">
    <w:name w:val="p0"/>
    <w:basedOn w:val="1"/>
    <w:qFormat/>
    <w:uiPriority w:val="0"/>
    <w:pPr>
      <w:widowControl/>
      <w:snapToGrid w:val="0"/>
      <w:spacing w:before="120" w:line="360" w:lineRule="auto"/>
      <w:ind w:firstLine="425"/>
      <w:jc w:val="left"/>
    </w:pPr>
    <w:rPr>
      <w:rFonts w:ascii="宋体" w:hAnsi="宋体" w:cs="宋体"/>
      <w:kern w:val="0"/>
      <w:sz w:val="24"/>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character" w:customStyle="1" w:styleId="36">
    <w:name w:val="font41"/>
    <w:basedOn w:val="20"/>
    <w:qFormat/>
    <w:uiPriority w:val="0"/>
    <w:rPr>
      <w:rFonts w:hint="eastAsia" w:ascii="仿宋" w:hAnsi="仿宋" w:eastAsia="仿宋" w:cs="仿宋"/>
      <w:color w:val="000000"/>
      <w:sz w:val="18"/>
      <w:szCs w:val="18"/>
      <w:u w:val="none"/>
    </w:rPr>
  </w:style>
  <w:style w:type="character" w:customStyle="1" w:styleId="37">
    <w:name w:val="font81"/>
    <w:basedOn w:val="20"/>
    <w:qFormat/>
    <w:uiPriority w:val="0"/>
    <w:rPr>
      <w:rFonts w:hint="eastAsia" w:ascii="仿宋" w:hAnsi="仿宋" w:eastAsia="仿宋" w:cs="仿宋"/>
      <w:color w:val="000000"/>
      <w:sz w:val="20"/>
      <w:szCs w:val="20"/>
      <w:u w:val="none"/>
    </w:rPr>
  </w:style>
  <w:style w:type="character" w:customStyle="1" w:styleId="38">
    <w:name w:val="font71"/>
    <w:basedOn w:val="20"/>
    <w:qFormat/>
    <w:uiPriority w:val="0"/>
    <w:rPr>
      <w:rFonts w:hint="eastAsia" w:ascii="仿宋" w:hAnsi="仿宋" w:eastAsia="仿宋" w:cs="仿宋"/>
      <w:color w:val="000000"/>
      <w:sz w:val="20"/>
      <w:szCs w:val="20"/>
      <w:u w:val="none"/>
    </w:rPr>
  </w:style>
  <w:style w:type="character" w:customStyle="1" w:styleId="39">
    <w:name w:val="font91"/>
    <w:basedOn w:val="20"/>
    <w:qFormat/>
    <w:uiPriority w:val="0"/>
    <w:rPr>
      <w:rFonts w:hint="eastAsia" w:ascii="仿宋" w:hAnsi="仿宋" w:eastAsia="仿宋" w:cs="仿宋"/>
      <w:color w:val="000000"/>
      <w:sz w:val="18"/>
      <w:szCs w:val="18"/>
      <w:u w:val="none"/>
    </w:rPr>
  </w:style>
  <w:style w:type="character" w:customStyle="1" w:styleId="40">
    <w:name w:val="font01"/>
    <w:basedOn w:val="20"/>
    <w:qFormat/>
    <w:uiPriority w:val="0"/>
    <w:rPr>
      <w:rFonts w:hint="eastAsia" w:ascii="仿宋" w:hAnsi="仿宋" w:eastAsia="仿宋" w:cs="仿宋"/>
      <w:color w:val="000000"/>
      <w:sz w:val="18"/>
      <w:szCs w:val="18"/>
      <w:u w:val="none"/>
    </w:rPr>
  </w:style>
  <w:style w:type="character" w:customStyle="1" w:styleId="41">
    <w:name w:val="font61"/>
    <w:basedOn w:val="20"/>
    <w:qFormat/>
    <w:uiPriority w:val="0"/>
    <w:rPr>
      <w:rFonts w:hint="eastAsia" w:ascii="仿宋" w:hAnsi="仿宋" w:eastAsia="仿宋" w:cs="仿宋"/>
      <w:color w:val="000000"/>
      <w:sz w:val="20"/>
      <w:szCs w:val="20"/>
      <w:u w:val="none"/>
    </w:rPr>
  </w:style>
  <w:style w:type="character" w:customStyle="1" w:styleId="42">
    <w:name w:val="font112"/>
    <w:basedOn w:val="20"/>
    <w:qFormat/>
    <w:uiPriority w:val="0"/>
    <w:rPr>
      <w:rFonts w:hint="eastAsia" w:ascii="仿宋" w:hAnsi="仿宋" w:eastAsia="仿宋" w:cs="仿宋"/>
      <w:color w:val="000000"/>
      <w:sz w:val="18"/>
      <w:szCs w:val="18"/>
      <w:u w:val="none"/>
    </w:rPr>
  </w:style>
  <w:style w:type="character" w:customStyle="1" w:styleId="43">
    <w:name w:val="font12"/>
    <w:basedOn w:val="20"/>
    <w:qFormat/>
    <w:uiPriority w:val="0"/>
    <w:rPr>
      <w:rFonts w:hint="eastAsia" w:ascii="仿宋" w:hAnsi="仿宋" w:eastAsia="仿宋" w:cs="仿宋"/>
      <w:color w:val="000000"/>
      <w:sz w:val="20"/>
      <w:szCs w:val="20"/>
      <w:u w:val="none"/>
    </w:rPr>
  </w:style>
  <w:style w:type="character" w:customStyle="1" w:styleId="44">
    <w:name w:val="font31"/>
    <w:basedOn w:val="20"/>
    <w:qFormat/>
    <w:uiPriority w:val="0"/>
    <w:rPr>
      <w:rFonts w:hint="eastAsia" w:ascii="仿宋" w:hAnsi="仿宋" w:eastAsia="仿宋" w:cs="仿宋"/>
      <w:color w:val="000000"/>
      <w:sz w:val="20"/>
      <w:szCs w:val="20"/>
      <w:u w:val="none"/>
    </w:rPr>
  </w:style>
  <w:style w:type="character" w:customStyle="1" w:styleId="45">
    <w:name w:val="font122"/>
    <w:basedOn w:val="20"/>
    <w:qFormat/>
    <w:uiPriority w:val="0"/>
    <w:rPr>
      <w:rFonts w:hint="eastAsia" w:ascii="仿宋" w:hAnsi="仿宋" w:eastAsia="仿宋" w:cs="仿宋"/>
      <w:color w:val="000000"/>
      <w:sz w:val="18"/>
      <w:szCs w:val="18"/>
      <w:u w:val="none"/>
    </w:rPr>
  </w:style>
  <w:style w:type="character" w:customStyle="1" w:styleId="46">
    <w:name w:val="font13"/>
    <w:basedOn w:val="20"/>
    <w:qFormat/>
    <w:uiPriority w:val="0"/>
    <w:rPr>
      <w:rFonts w:hint="eastAsia" w:ascii="仿宋" w:hAnsi="仿宋" w:eastAsia="仿宋" w:cs="仿宋"/>
      <w:color w:val="000000"/>
      <w:sz w:val="20"/>
      <w:szCs w:val="20"/>
      <w:u w:val="none"/>
    </w:rPr>
  </w:style>
  <w:style w:type="character" w:customStyle="1" w:styleId="47">
    <w:name w:val="font121"/>
    <w:basedOn w:val="20"/>
    <w:qFormat/>
    <w:uiPriority w:val="0"/>
    <w:rPr>
      <w:rFonts w:hint="eastAsia" w:ascii="仿宋" w:hAnsi="仿宋" w:eastAsia="仿宋" w:cs="仿宋"/>
      <w:color w:val="000000"/>
      <w:sz w:val="18"/>
      <w:szCs w:val="18"/>
      <w:u w:val="none"/>
    </w:rPr>
  </w:style>
  <w:style w:type="character" w:customStyle="1" w:styleId="48">
    <w:name w:val="hover19"/>
    <w:basedOn w:val="20"/>
    <w:qFormat/>
    <w:uiPriority w:val="0"/>
    <w:rPr>
      <w:color w:val="FF6600"/>
    </w:rPr>
  </w:style>
  <w:style w:type="character" w:customStyle="1" w:styleId="49">
    <w:name w:val="font21"/>
    <w:basedOn w:val="20"/>
    <w:qFormat/>
    <w:uiPriority w:val="0"/>
    <w:rPr>
      <w:rFonts w:hint="eastAsia" w:ascii="仿宋" w:hAnsi="仿宋" w:eastAsia="仿宋" w:cs="仿宋"/>
      <w:color w:val="000000"/>
      <w:sz w:val="20"/>
      <w:szCs w:val="20"/>
      <w:u w:val="none"/>
    </w:rPr>
  </w:style>
  <w:style w:type="paragraph" w:customStyle="1" w:styleId="50">
    <w:name w:val="闻政-正文段落文字"/>
    <w:basedOn w:val="1"/>
    <w:qFormat/>
    <w:uiPriority w:val="0"/>
    <w:pPr>
      <w:spacing w:line="500" w:lineRule="exact"/>
      <w:ind w:firstLine="200" w:firstLineChars="200"/>
    </w:pPr>
    <w:rPr>
      <w:rFonts w:eastAsia="仿宋_GB2312"/>
      <w:kern w:val="0"/>
      <w:sz w:val="28"/>
      <w:szCs w:val="28"/>
    </w:rPr>
  </w:style>
  <w:style w:type="paragraph" w:customStyle="1" w:styleId="51">
    <w:name w:val="闻政正文"/>
    <w:qFormat/>
    <w:uiPriority w:val="99"/>
    <w:pPr>
      <w:framePr w:wrap="around" w:vAnchor="margin" w:hAnchor="text" w:yAlign="top"/>
      <w:widowControl w:val="0"/>
      <w:spacing w:line="500" w:lineRule="exact"/>
      <w:ind w:firstLine="560"/>
      <w:jc w:val="both"/>
    </w:pPr>
    <w:rPr>
      <w:rFonts w:ascii="Arial Unicode MS" w:hAnsi="Arial Unicode MS" w:eastAsia="宋体" w:cs="Arial Unicode MS"/>
      <w:color w:val="000000"/>
      <w:sz w:val="28"/>
      <w:szCs w:val="28"/>
      <w:lang w:val="en-US" w:eastAsia="zh-CN" w:bidi="ar-SA"/>
    </w:rPr>
  </w:style>
  <w:style w:type="character" w:customStyle="1" w:styleId="52">
    <w:name w:val="标题 2 Char"/>
    <w:basedOn w:val="20"/>
    <w:link w:val="6"/>
    <w:qFormat/>
    <w:uiPriority w:val="0"/>
    <w:rPr>
      <w:rFonts w:ascii="Arial" w:hAnsi="Arial" w:eastAsia="黑体"/>
      <w:b/>
      <w:sz w:val="32"/>
    </w:rPr>
  </w:style>
  <w:style w:type="paragraph" w:customStyle="1" w:styleId="53">
    <w:name w:val="闻政表"/>
    <w:basedOn w:val="1"/>
    <w:qFormat/>
    <w:uiPriority w:val="0"/>
    <w:pPr>
      <w:spacing w:before="60" w:after="60"/>
      <w:jc w:val="center"/>
    </w:pPr>
    <w:rPr>
      <w:rFonts w:ascii="Times New Roman" w:hAnsi="Times New Roman" w:eastAsia="仿宋_GB2312"/>
      <w:b/>
      <w:kern w:val="0"/>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068D8D-021A-4E80-A53F-B11F7BF4D9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25623</Words>
  <Characters>29060</Characters>
  <Lines>278</Lines>
  <Paragraphs>78</Paragraphs>
  <TotalTime>55</TotalTime>
  <ScaleCrop>false</ScaleCrop>
  <LinksUpToDate>false</LinksUpToDate>
  <CharactersWithSpaces>29328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2014-11-24T00:28:00Z</dcterms:created>
  <dc:creator>xue</dc:creator>
  <cp:lastModifiedBy>杨丽丽</cp:lastModifiedBy>
  <cp:lastPrinted>2022-12-09T03:06:00Z</cp:lastPrinted>
  <dcterms:modified xsi:type="dcterms:W3CDTF">2023-02-13T03:06:32Z</dcterms:modified>
  <dc:title>山西省2010-2012年电力需求侧管理项目</dc:title>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E88DB95DD1304BB0A2EB2818C96D3854</vt:lpwstr>
  </property>
</Properties>
</file>