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仿宋" w:hAnsi="仿宋" w:eastAsia="仿宋" w:cs="仿宋"/>
          <w:b/>
          <w:sz w:val="32"/>
          <w:szCs w:val="32"/>
          <w:highlight w:val="none"/>
          <w:lang w:bidi="ar"/>
        </w:rPr>
      </w:pPr>
    </w:p>
    <w:p>
      <w:pPr>
        <w:spacing w:line="560" w:lineRule="exact"/>
        <w:jc w:val="center"/>
        <w:rPr>
          <w:rFonts w:ascii="仿宋" w:hAnsi="仿宋" w:eastAsia="仿宋" w:cs="仿宋"/>
          <w:b/>
          <w:sz w:val="32"/>
          <w:szCs w:val="32"/>
          <w:highlight w:val="none"/>
          <w:lang w:bidi="ar"/>
        </w:rPr>
      </w:pPr>
    </w:p>
    <w:p>
      <w:pPr>
        <w:spacing w:line="560" w:lineRule="exact"/>
        <w:jc w:val="center"/>
        <w:rPr>
          <w:rFonts w:ascii="仿宋" w:hAnsi="仿宋" w:eastAsia="仿宋" w:cs="仿宋"/>
          <w:b/>
          <w:sz w:val="32"/>
          <w:szCs w:val="32"/>
          <w:highlight w:val="none"/>
          <w:lang w:bidi="ar"/>
        </w:rPr>
      </w:pPr>
    </w:p>
    <w:p>
      <w:pPr>
        <w:spacing w:line="700" w:lineRule="exact"/>
        <w:jc w:val="center"/>
        <w:rPr>
          <w:rFonts w:hint="eastAsia" w:ascii="仿宋" w:hAnsi="仿宋" w:eastAsia="仿宋" w:cs="仿宋"/>
          <w:b/>
          <w:sz w:val="40"/>
          <w:szCs w:val="38"/>
          <w:highlight w:val="none"/>
          <w:lang w:eastAsia="zh-CN" w:bidi="ar"/>
        </w:rPr>
      </w:pPr>
      <w:r>
        <w:rPr>
          <w:rFonts w:hint="eastAsia" w:ascii="仿宋" w:hAnsi="仿宋" w:eastAsia="仿宋" w:cs="仿宋"/>
          <w:b/>
          <w:sz w:val="40"/>
          <w:szCs w:val="38"/>
          <w:highlight w:val="none"/>
          <w:lang w:val="en-US" w:eastAsia="zh-CN" w:bidi="ar"/>
        </w:rPr>
        <w:t>2021年永济市疫情防控</w:t>
      </w:r>
      <w:r>
        <w:rPr>
          <w:rFonts w:hint="eastAsia" w:ascii="仿宋" w:hAnsi="仿宋" w:eastAsia="仿宋" w:cs="仿宋"/>
          <w:b/>
          <w:sz w:val="40"/>
          <w:szCs w:val="38"/>
          <w:highlight w:val="none"/>
          <w:lang w:eastAsia="zh-CN" w:bidi="ar"/>
        </w:rPr>
        <w:t>资金</w:t>
      </w:r>
    </w:p>
    <w:p>
      <w:pPr>
        <w:spacing w:line="700" w:lineRule="exact"/>
        <w:jc w:val="center"/>
        <w:rPr>
          <w:rFonts w:hint="eastAsia" w:ascii="仿宋" w:hAnsi="仿宋" w:eastAsia="仿宋" w:cs="仿宋"/>
          <w:b/>
          <w:sz w:val="40"/>
          <w:szCs w:val="38"/>
          <w:highlight w:val="none"/>
          <w:lang w:eastAsia="zh-CN" w:bidi="ar"/>
        </w:rPr>
      </w:pPr>
      <w:r>
        <w:rPr>
          <w:rFonts w:hint="eastAsia" w:ascii="仿宋" w:hAnsi="仿宋" w:eastAsia="仿宋" w:cs="仿宋"/>
          <w:b/>
          <w:sz w:val="40"/>
          <w:szCs w:val="38"/>
          <w:highlight w:val="none"/>
          <w:lang w:bidi="ar"/>
        </w:rPr>
        <w:t>绩效评价</w:t>
      </w:r>
      <w:r>
        <w:rPr>
          <w:rFonts w:hint="eastAsia" w:ascii="仿宋" w:hAnsi="仿宋" w:eastAsia="仿宋" w:cs="仿宋"/>
          <w:b/>
          <w:sz w:val="40"/>
          <w:szCs w:val="38"/>
          <w:highlight w:val="none"/>
          <w:lang w:val="en-US" w:eastAsia="zh-CN" w:bidi="ar"/>
        </w:rPr>
        <w:t>报告</w:t>
      </w:r>
    </w:p>
    <w:p>
      <w:pPr>
        <w:spacing w:line="560" w:lineRule="exact"/>
        <w:jc w:val="center"/>
        <w:rPr>
          <w:rFonts w:ascii="仿宋" w:hAnsi="仿宋" w:eastAsia="仿宋" w:cs="仿宋"/>
          <w:b/>
          <w:sz w:val="36"/>
          <w:szCs w:val="36"/>
          <w:highlight w:val="none"/>
          <w:lang w:bidi="ar"/>
        </w:rPr>
      </w:pPr>
    </w:p>
    <w:p>
      <w:pPr>
        <w:spacing w:line="560" w:lineRule="exact"/>
        <w:jc w:val="center"/>
        <w:rPr>
          <w:rFonts w:ascii="仿宋" w:hAnsi="仿宋" w:eastAsia="仿宋" w:cs="仿宋"/>
          <w:b/>
          <w:sz w:val="36"/>
          <w:szCs w:val="36"/>
          <w:highlight w:val="none"/>
          <w:lang w:bidi="ar"/>
        </w:rPr>
      </w:pPr>
    </w:p>
    <w:p>
      <w:pPr>
        <w:spacing w:line="560" w:lineRule="exact"/>
        <w:jc w:val="center"/>
        <w:rPr>
          <w:rFonts w:ascii="仿宋" w:hAnsi="仿宋" w:eastAsia="仿宋" w:cs="仿宋"/>
          <w:b/>
          <w:sz w:val="36"/>
          <w:szCs w:val="36"/>
          <w:highlight w:val="none"/>
          <w:lang w:bidi="ar"/>
        </w:rPr>
      </w:pPr>
    </w:p>
    <w:p>
      <w:pPr>
        <w:spacing w:line="560" w:lineRule="exact"/>
        <w:jc w:val="center"/>
        <w:rPr>
          <w:rFonts w:ascii="仿宋" w:hAnsi="仿宋" w:eastAsia="仿宋" w:cs="仿宋"/>
          <w:b/>
          <w:sz w:val="36"/>
          <w:szCs w:val="36"/>
          <w:highlight w:val="none"/>
          <w:lang w:bidi="ar"/>
        </w:rPr>
      </w:pPr>
    </w:p>
    <w:p>
      <w:pPr>
        <w:spacing w:line="560" w:lineRule="exact"/>
        <w:jc w:val="center"/>
        <w:rPr>
          <w:rFonts w:ascii="仿宋" w:hAnsi="仿宋" w:eastAsia="仿宋" w:cs="仿宋"/>
          <w:b/>
          <w:sz w:val="36"/>
          <w:szCs w:val="36"/>
          <w:highlight w:val="none"/>
          <w:lang w:bidi="ar"/>
        </w:rPr>
      </w:pPr>
    </w:p>
    <w:p>
      <w:pPr>
        <w:spacing w:line="560" w:lineRule="exact"/>
        <w:jc w:val="center"/>
        <w:rPr>
          <w:rFonts w:ascii="仿宋" w:hAnsi="仿宋" w:eastAsia="仿宋" w:cs="仿宋"/>
          <w:b/>
          <w:sz w:val="36"/>
          <w:szCs w:val="36"/>
          <w:highlight w:val="none"/>
          <w:lang w:bidi="ar"/>
        </w:rPr>
      </w:pP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367" w:type="dxa"/>
            <w:tcBorders>
              <w:tl2br w:val="nil"/>
              <w:tr2bl w:val="nil"/>
            </w:tcBorders>
            <w:vAlign w:val="top"/>
          </w:tcPr>
          <w:p>
            <w:pP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项目名称：</w:t>
            </w:r>
            <w:r>
              <w:rPr>
                <w:rFonts w:hint="eastAsia" w:ascii="仿宋" w:hAnsi="仿宋" w:eastAsia="仿宋" w:cs="仿宋"/>
                <w:b/>
                <w:bCs/>
                <w:sz w:val="32"/>
                <w:szCs w:val="32"/>
                <w:highlight w:val="none"/>
                <w:lang w:val="en-US" w:eastAsia="zh-CN"/>
              </w:rPr>
              <w:t>2021年永济市疫情防控</w:t>
            </w:r>
            <w:r>
              <w:rPr>
                <w:rFonts w:hint="eastAsia" w:ascii="仿宋" w:hAnsi="仿宋" w:eastAsia="仿宋" w:cs="仿宋"/>
                <w:b/>
                <w:bCs/>
                <w:sz w:val="32"/>
                <w:szCs w:val="32"/>
                <w:highlight w:val="none"/>
                <w:lang w:eastAsia="zh-CN"/>
              </w:rPr>
              <w:t>资金</w:t>
            </w:r>
          </w:p>
          <w:p>
            <w:pPr>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rPr>
              <w:t>项目单位：永济市卫生健康和体育局</w:t>
            </w:r>
          </w:p>
          <w:p>
            <w:pPr>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rPr>
              <w:t>委托单位：</w:t>
            </w:r>
            <w:r>
              <w:rPr>
                <w:rFonts w:hint="eastAsia" w:ascii="仿宋" w:hAnsi="仿宋" w:eastAsia="仿宋" w:cs="仿宋"/>
                <w:b/>
                <w:bCs/>
                <w:sz w:val="32"/>
                <w:szCs w:val="32"/>
                <w:highlight w:val="none"/>
                <w:lang w:val="en-US" w:eastAsia="zh-CN"/>
              </w:rPr>
              <w:t>永济</w:t>
            </w:r>
            <w:r>
              <w:rPr>
                <w:rFonts w:hint="eastAsia" w:ascii="仿宋" w:hAnsi="仿宋" w:eastAsia="仿宋" w:cs="仿宋"/>
                <w:b/>
                <w:bCs/>
                <w:sz w:val="32"/>
                <w:szCs w:val="32"/>
                <w:highlight w:val="none"/>
                <w:lang w:eastAsia="zh-CN"/>
              </w:rPr>
              <w:t>市财政局</w:t>
            </w:r>
          </w:p>
          <w:p>
            <w:pPr>
              <w:rPr>
                <w:rFonts w:ascii="仿宋" w:hAnsi="仿宋" w:eastAsia="仿宋" w:cs="仿宋"/>
                <w:b/>
                <w:sz w:val="32"/>
                <w:szCs w:val="28"/>
                <w:highlight w:val="none"/>
                <w:vertAlign w:val="baseline"/>
              </w:rPr>
            </w:pPr>
            <w:r>
              <w:rPr>
                <w:rFonts w:hint="eastAsia" w:ascii="仿宋" w:hAnsi="仿宋" w:eastAsia="仿宋" w:cs="仿宋"/>
                <w:b/>
                <w:bCs/>
                <w:sz w:val="32"/>
                <w:szCs w:val="32"/>
                <w:highlight w:val="none"/>
              </w:rPr>
              <w:t>评价机构：山西广和会计师事务所有限公司</w:t>
            </w:r>
          </w:p>
        </w:tc>
      </w:tr>
    </w:tbl>
    <w:p>
      <w:pPr>
        <w:ind w:right="225" w:rightChars="107" w:firstLine="283" w:firstLineChars="88"/>
        <w:jc w:val="left"/>
        <w:outlineLvl w:val="9"/>
        <w:rPr>
          <w:rFonts w:ascii="仿宋" w:hAnsi="仿宋" w:eastAsia="仿宋" w:cs="仿宋"/>
          <w:b/>
          <w:sz w:val="32"/>
          <w:szCs w:val="28"/>
          <w:highlight w:val="none"/>
        </w:rPr>
      </w:pPr>
    </w:p>
    <w:p>
      <w:pPr>
        <w:jc w:val="center"/>
        <w:rPr>
          <w:rFonts w:ascii="仿宋" w:hAnsi="仿宋" w:eastAsia="仿宋" w:cs="仿宋"/>
          <w:b/>
          <w:sz w:val="32"/>
          <w:szCs w:val="28"/>
          <w:highlight w:val="none"/>
        </w:rPr>
      </w:pPr>
    </w:p>
    <w:p>
      <w:pPr>
        <w:pStyle w:val="2"/>
        <w:jc w:val="center"/>
        <w:rPr>
          <w:rFonts w:ascii="仿宋" w:hAnsi="仿宋" w:eastAsia="仿宋"/>
          <w:sz w:val="22"/>
          <w:highlight w:val="none"/>
        </w:rPr>
      </w:pPr>
    </w:p>
    <w:p>
      <w:pPr>
        <w:pStyle w:val="2"/>
        <w:jc w:val="center"/>
        <w:rPr>
          <w:rFonts w:ascii="仿宋" w:hAnsi="仿宋" w:eastAsia="仿宋"/>
          <w:sz w:val="22"/>
          <w:highlight w:val="none"/>
        </w:rPr>
      </w:pPr>
    </w:p>
    <w:p>
      <w:pPr>
        <w:pStyle w:val="2"/>
        <w:jc w:val="center"/>
        <w:rPr>
          <w:rFonts w:ascii="仿宋" w:hAnsi="仿宋" w:eastAsia="仿宋"/>
          <w:sz w:val="22"/>
          <w:highlight w:val="none"/>
        </w:rPr>
      </w:pPr>
    </w:p>
    <w:p>
      <w:pPr>
        <w:pStyle w:val="2"/>
        <w:jc w:val="center"/>
        <w:rPr>
          <w:rFonts w:ascii="仿宋" w:hAnsi="仿宋" w:eastAsia="仿宋"/>
          <w:sz w:val="22"/>
          <w:highlight w:val="none"/>
        </w:rPr>
      </w:pPr>
    </w:p>
    <w:p>
      <w:pPr>
        <w:jc w:val="center"/>
        <w:rPr>
          <w:rFonts w:ascii="仿宋" w:hAnsi="仿宋" w:eastAsia="仿宋" w:cs="仿宋"/>
          <w:b/>
          <w:sz w:val="32"/>
          <w:szCs w:val="28"/>
          <w:highlight w:val="none"/>
        </w:rPr>
      </w:pPr>
      <w:r>
        <w:rPr>
          <w:rFonts w:hint="eastAsia" w:ascii="仿宋" w:hAnsi="仿宋" w:eastAsia="仿宋" w:cs="仿宋"/>
          <w:b/>
          <w:sz w:val="32"/>
          <w:szCs w:val="28"/>
          <w:highlight w:val="none"/>
        </w:rPr>
        <w:t>20</w:t>
      </w:r>
      <w:r>
        <w:rPr>
          <w:rFonts w:hint="eastAsia" w:ascii="仿宋" w:hAnsi="仿宋" w:eastAsia="仿宋" w:cs="仿宋"/>
          <w:b/>
          <w:sz w:val="32"/>
          <w:szCs w:val="28"/>
          <w:highlight w:val="none"/>
          <w:lang w:val="en-US" w:eastAsia="zh-CN"/>
        </w:rPr>
        <w:t>22</w:t>
      </w:r>
      <w:r>
        <w:rPr>
          <w:rFonts w:hint="eastAsia" w:ascii="仿宋" w:hAnsi="仿宋" w:eastAsia="仿宋" w:cs="仿宋"/>
          <w:b/>
          <w:sz w:val="32"/>
          <w:szCs w:val="28"/>
          <w:highlight w:val="none"/>
        </w:rPr>
        <w:t>年</w:t>
      </w:r>
      <w:r>
        <w:rPr>
          <w:rFonts w:hint="eastAsia" w:ascii="仿宋" w:hAnsi="仿宋" w:eastAsia="仿宋" w:cs="仿宋"/>
          <w:b/>
          <w:sz w:val="32"/>
          <w:szCs w:val="28"/>
          <w:highlight w:val="none"/>
          <w:lang w:val="en-US" w:eastAsia="zh-CN"/>
        </w:rPr>
        <w:t>12</w:t>
      </w:r>
      <w:r>
        <w:rPr>
          <w:rFonts w:hint="eastAsia" w:ascii="仿宋" w:hAnsi="仿宋" w:eastAsia="仿宋" w:cs="仿宋"/>
          <w:b/>
          <w:sz w:val="32"/>
          <w:szCs w:val="28"/>
          <w:highlight w:val="none"/>
        </w:rPr>
        <w:t>月</w:t>
      </w:r>
    </w:p>
    <w:p>
      <w:pPr>
        <w:spacing w:line="560" w:lineRule="exact"/>
        <w:jc w:val="center"/>
        <w:rPr>
          <w:rFonts w:ascii="仿宋" w:hAnsi="仿宋" w:eastAsia="仿宋" w:cs="仿宋"/>
          <w:b/>
          <w:sz w:val="36"/>
          <w:szCs w:val="36"/>
          <w:highlight w:val="none"/>
          <w:lang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rFonts w:ascii="宋体" w:hAnsi="宋体" w:eastAsia="宋体" w:cstheme="minorBidi"/>
          <w:kern w:val="2"/>
          <w:sz w:val="21"/>
          <w:szCs w:val="24"/>
          <w:highlight w:val="none"/>
          <w:lang w:val="en-US" w:eastAsia="zh-CN" w:bidi="ar-SA"/>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b/>
          <w:bCs/>
          <w:spacing w:val="93"/>
          <w:kern w:val="0"/>
          <w:sz w:val="28"/>
          <w:szCs w:val="36"/>
          <w:highlight w:val="none"/>
          <w:fitText w:val="1120" w:id="1272805786"/>
          <w:lang w:val="en-US" w:eastAsia="zh-CN" w:bidi="ar-SA"/>
        </w:rPr>
        <w:id w:val="147453372"/>
        <w15:color w:val="DBDBDB"/>
        <w:docPartObj>
          <w:docPartGallery w:val="Table of Contents"/>
          <w:docPartUnique/>
        </w:docPartObj>
      </w:sdtPr>
      <w:sdtEndPr>
        <w:rPr>
          <w:rFonts w:ascii="宋体" w:hAnsi="宋体" w:eastAsia="宋体" w:cstheme="minorBidi"/>
          <w:b/>
          <w:bCs/>
          <w:spacing w:val="93"/>
          <w:kern w:val="0"/>
          <w:sz w:val="28"/>
          <w:szCs w:val="36"/>
          <w:highlight w:val="none"/>
          <w:fitText w:val="1120" w:id="1272805786"/>
          <w:lang w:val="en-US" w:eastAsia="zh-CN" w:bidi="ar-SA"/>
        </w:rPr>
      </w:sdtEndPr>
      <w:sdtContent>
        <w:p>
          <w:pPr>
            <w:spacing w:before="0" w:beforeLines="0" w:after="0" w:afterLines="0" w:line="240" w:lineRule="auto"/>
            <w:ind w:left="0" w:leftChars="0" w:right="0" w:rightChars="0" w:firstLine="0" w:firstLineChars="0"/>
            <w:jc w:val="center"/>
            <w:rPr>
              <w:b/>
              <w:bCs/>
              <w:sz w:val="28"/>
              <w:szCs w:val="36"/>
              <w:highlight w:val="none"/>
            </w:rPr>
          </w:pPr>
          <w:r>
            <w:rPr>
              <w:rFonts w:ascii="宋体" w:hAnsi="宋体" w:eastAsia="宋体"/>
              <w:b/>
              <w:bCs/>
              <w:spacing w:val="280"/>
              <w:kern w:val="0"/>
              <w:sz w:val="28"/>
              <w:szCs w:val="36"/>
              <w:highlight w:val="none"/>
              <w:fitText w:val="1120" w:id="1272805786"/>
            </w:rPr>
            <w:t>目</w:t>
          </w:r>
          <w:r>
            <w:rPr>
              <w:rFonts w:ascii="宋体" w:hAnsi="宋体" w:eastAsia="宋体"/>
              <w:b/>
              <w:bCs/>
              <w:spacing w:val="0"/>
              <w:kern w:val="0"/>
              <w:sz w:val="28"/>
              <w:szCs w:val="36"/>
              <w:highlight w:val="none"/>
              <w:fitText w:val="1120" w:id="1272805786"/>
            </w:rPr>
            <w:t>录</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highlight w:val="none"/>
            </w:rPr>
            <w:fldChar w:fldCharType="begin"/>
          </w:r>
          <w:r>
            <w:rPr>
              <w:highlight w:val="none"/>
            </w:rPr>
            <w:instrText xml:space="preserve">TOC \o "1-2" \h \u </w:instrText>
          </w:r>
          <w:r>
            <w:rPr>
              <w:highlight w:val="none"/>
            </w:rPr>
            <w:fldChar w:fldCharType="separate"/>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_Toc2299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6"/>
              <w:highlight w:val="none"/>
            </w:rPr>
            <w:t>摘</w:t>
          </w:r>
          <w:r>
            <w:rPr>
              <w:rFonts w:hint="eastAsia" w:ascii="仿宋" w:hAnsi="仿宋" w:eastAsia="仿宋" w:cs="仿宋"/>
              <w:sz w:val="24"/>
              <w:szCs w:val="36"/>
              <w:highlight w:val="none"/>
              <w:lang w:val="en-US" w:eastAsia="zh-CN"/>
            </w:rPr>
            <w:t xml:space="preserve"> </w:t>
          </w:r>
          <w:r>
            <w:rPr>
              <w:rFonts w:hint="eastAsia" w:ascii="仿宋" w:hAnsi="仿宋" w:eastAsia="仿宋" w:cs="仿宋"/>
              <w:sz w:val="24"/>
              <w:szCs w:val="36"/>
              <w:highlight w:val="none"/>
            </w:rPr>
            <w:t>要</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_Toc2299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1</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_Toc28426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6"/>
              <w:highlight w:val="none"/>
            </w:rPr>
            <w:t>绩效评价</w:t>
          </w:r>
          <w:r>
            <w:rPr>
              <w:rFonts w:hint="eastAsia" w:ascii="仿宋" w:hAnsi="仿宋" w:eastAsia="仿宋" w:cs="仿宋"/>
              <w:sz w:val="24"/>
              <w:szCs w:val="36"/>
              <w:highlight w:val="none"/>
              <w:lang w:val="en-US" w:eastAsia="zh-CN"/>
            </w:rPr>
            <w:t>报告</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_Toc28426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7</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_Toc32477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6"/>
              <w:highlight w:val="none"/>
              <w:lang w:eastAsia="zh-CN" w:bidi="ar"/>
            </w:rPr>
            <w:t xml:space="preserve">一、 </w:t>
          </w:r>
          <w:r>
            <w:rPr>
              <w:rFonts w:hint="eastAsia" w:ascii="仿宋" w:hAnsi="仿宋" w:eastAsia="仿宋" w:cs="仿宋"/>
              <w:sz w:val="24"/>
              <w:szCs w:val="36"/>
              <w:highlight w:val="none"/>
              <w:lang w:val="en-US" w:eastAsia="zh-CN" w:bidi="ar"/>
            </w:rPr>
            <w:t>背景介绍</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_Toc32477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7</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_Toc18451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6"/>
              <w:highlight w:val="none"/>
              <w:lang w:bidi="ar"/>
            </w:rPr>
            <w:t>（一）</w:t>
          </w:r>
          <w:r>
            <w:rPr>
              <w:rFonts w:hint="eastAsia" w:ascii="仿宋" w:hAnsi="仿宋" w:eastAsia="仿宋" w:cs="仿宋"/>
              <w:sz w:val="24"/>
              <w:szCs w:val="36"/>
              <w:highlight w:val="none"/>
              <w:lang w:val="en-US" w:eastAsia="zh-CN" w:bidi="ar"/>
            </w:rPr>
            <w:t>全国疫情发展状况</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_Toc18451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7</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_Toc1617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6"/>
              <w:highlight w:val="none"/>
              <w:lang w:val="en-US" w:eastAsia="zh-CN" w:bidi="ar"/>
            </w:rPr>
            <w:t>（二）项目概况</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_Toc1617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8</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_Toc12839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6"/>
              <w:highlight w:val="none"/>
              <w:lang w:bidi="ar"/>
            </w:rPr>
            <w:t>（</w:t>
          </w:r>
          <w:r>
            <w:rPr>
              <w:rFonts w:hint="eastAsia" w:ascii="仿宋" w:hAnsi="仿宋" w:eastAsia="仿宋" w:cs="仿宋"/>
              <w:sz w:val="24"/>
              <w:szCs w:val="36"/>
              <w:highlight w:val="none"/>
              <w:lang w:val="en-US" w:eastAsia="zh-CN" w:bidi="ar"/>
            </w:rPr>
            <w:t>三</w:t>
          </w:r>
          <w:r>
            <w:rPr>
              <w:rFonts w:hint="eastAsia" w:ascii="仿宋" w:hAnsi="仿宋" w:eastAsia="仿宋" w:cs="仿宋"/>
              <w:sz w:val="24"/>
              <w:szCs w:val="36"/>
              <w:highlight w:val="none"/>
              <w:lang w:bidi="ar"/>
            </w:rPr>
            <w:t>）资金概况</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_Toc12839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9</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_Toc7776 </w:instrText>
          </w:r>
          <w:r>
            <w:rPr>
              <w:rFonts w:hint="eastAsia" w:ascii="仿宋" w:hAnsi="仿宋" w:eastAsia="仿宋" w:cs="仿宋"/>
              <w:sz w:val="24"/>
              <w:szCs w:val="32"/>
              <w:highlight w:val="none"/>
            </w:rPr>
            <w:fldChar w:fldCharType="separate"/>
          </w:r>
          <w:r>
            <w:rPr>
              <w:rFonts w:hint="eastAsia" w:ascii="仿宋" w:hAnsi="仿宋" w:eastAsia="仿宋" w:cs="仿宋"/>
              <w:bCs w:val="0"/>
              <w:sz w:val="24"/>
              <w:szCs w:val="36"/>
              <w:highlight w:val="none"/>
              <w:lang w:val="en-US" w:eastAsia="zh-CN" w:bidi="ar"/>
            </w:rPr>
            <w:t>（四）项目绩效目标</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_Toc7776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11</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_Toc24631 </w:instrText>
          </w:r>
          <w:r>
            <w:rPr>
              <w:rFonts w:hint="eastAsia" w:ascii="仿宋" w:hAnsi="仿宋" w:eastAsia="仿宋" w:cs="仿宋"/>
              <w:sz w:val="24"/>
              <w:szCs w:val="32"/>
              <w:highlight w:val="none"/>
            </w:rPr>
            <w:fldChar w:fldCharType="separate"/>
          </w:r>
          <w:r>
            <w:rPr>
              <w:rFonts w:hint="eastAsia" w:ascii="仿宋" w:hAnsi="仿宋" w:eastAsia="仿宋" w:cs="仿宋"/>
              <w:bCs w:val="0"/>
              <w:sz w:val="24"/>
              <w:szCs w:val="36"/>
              <w:highlight w:val="none"/>
              <w:lang w:val="en-US" w:eastAsia="zh-CN" w:bidi="ar"/>
            </w:rPr>
            <w:t>（五）项目实施情况</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_Toc24631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12</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_Toc17946 </w:instrText>
          </w:r>
          <w:r>
            <w:rPr>
              <w:rFonts w:hint="eastAsia" w:ascii="仿宋" w:hAnsi="仿宋" w:eastAsia="仿宋" w:cs="仿宋"/>
              <w:sz w:val="24"/>
              <w:szCs w:val="32"/>
              <w:highlight w:val="none"/>
            </w:rPr>
            <w:fldChar w:fldCharType="separate"/>
          </w:r>
          <w:r>
            <w:rPr>
              <w:rFonts w:hint="eastAsia" w:ascii="仿宋" w:hAnsi="仿宋" w:eastAsia="仿宋" w:cs="仿宋"/>
              <w:bCs/>
              <w:sz w:val="24"/>
              <w:szCs w:val="36"/>
              <w:highlight w:val="none"/>
            </w:rPr>
            <w:t>二、评价实施思路</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_Toc17946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13</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_Toc5484 </w:instrText>
          </w:r>
          <w:r>
            <w:rPr>
              <w:rFonts w:hint="eastAsia" w:ascii="仿宋" w:hAnsi="仿宋" w:eastAsia="仿宋" w:cs="仿宋"/>
              <w:sz w:val="24"/>
              <w:szCs w:val="32"/>
              <w:highlight w:val="none"/>
            </w:rPr>
            <w:fldChar w:fldCharType="separate"/>
          </w:r>
          <w:r>
            <w:rPr>
              <w:rFonts w:hint="eastAsia" w:ascii="仿宋" w:hAnsi="仿宋" w:eastAsia="仿宋" w:cs="仿宋"/>
              <w:bCs/>
              <w:sz w:val="24"/>
              <w:szCs w:val="36"/>
              <w:highlight w:val="none"/>
            </w:rPr>
            <w:t>（一）评价目的和依据</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_Toc5484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13</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_Toc23285 </w:instrText>
          </w:r>
          <w:r>
            <w:rPr>
              <w:rFonts w:hint="eastAsia" w:ascii="仿宋" w:hAnsi="仿宋" w:eastAsia="仿宋" w:cs="仿宋"/>
              <w:sz w:val="24"/>
              <w:szCs w:val="32"/>
              <w:highlight w:val="none"/>
            </w:rPr>
            <w:fldChar w:fldCharType="separate"/>
          </w:r>
          <w:r>
            <w:rPr>
              <w:rFonts w:hint="eastAsia" w:ascii="仿宋" w:hAnsi="仿宋" w:eastAsia="仿宋" w:cs="仿宋"/>
              <w:bCs/>
              <w:sz w:val="24"/>
              <w:szCs w:val="36"/>
              <w:highlight w:val="none"/>
            </w:rPr>
            <w:t>（二）评价对象和范围</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_Toc23285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14</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_Toc3212 </w:instrText>
          </w:r>
          <w:r>
            <w:rPr>
              <w:rFonts w:hint="eastAsia" w:ascii="仿宋" w:hAnsi="仿宋" w:eastAsia="仿宋" w:cs="仿宋"/>
              <w:sz w:val="24"/>
              <w:szCs w:val="32"/>
              <w:highlight w:val="none"/>
            </w:rPr>
            <w:fldChar w:fldCharType="separate"/>
          </w:r>
          <w:r>
            <w:rPr>
              <w:rFonts w:hint="eastAsia" w:ascii="仿宋" w:hAnsi="仿宋" w:eastAsia="仿宋" w:cs="仿宋"/>
              <w:bCs/>
              <w:sz w:val="24"/>
              <w:szCs w:val="36"/>
              <w:highlight w:val="none"/>
            </w:rPr>
            <w:t>（</w:t>
          </w:r>
          <w:r>
            <w:rPr>
              <w:rFonts w:hint="eastAsia" w:ascii="仿宋" w:hAnsi="仿宋" w:eastAsia="仿宋" w:cs="仿宋"/>
              <w:bCs/>
              <w:sz w:val="24"/>
              <w:szCs w:val="36"/>
              <w:highlight w:val="none"/>
              <w:lang w:val="en-US" w:eastAsia="zh-CN"/>
            </w:rPr>
            <w:t>三</w:t>
          </w:r>
          <w:r>
            <w:rPr>
              <w:rFonts w:hint="eastAsia" w:ascii="仿宋" w:hAnsi="仿宋" w:eastAsia="仿宋" w:cs="仿宋"/>
              <w:bCs/>
              <w:sz w:val="24"/>
              <w:szCs w:val="36"/>
              <w:highlight w:val="none"/>
            </w:rPr>
            <w:t>）绩效评价原则</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_Toc3212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14</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_Toc23331 </w:instrText>
          </w:r>
          <w:r>
            <w:rPr>
              <w:rFonts w:hint="eastAsia" w:ascii="仿宋" w:hAnsi="仿宋" w:eastAsia="仿宋" w:cs="仿宋"/>
              <w:sz w:val="24"/>
              <w:szCs w:val="32"/>
              <w:highlight w:val="none"/>
            </w:rPr>
            <w:fldChar w:fldCharType="separate"/>
          </w:r>
          <w:r>
            <w:rPr>
              <w:rFonts w:hint="eastAsia" w:ascii="仿宋" w:hAnsi="仿宋" w:eastAsia="仿宋" w:cs="仿宋"/>
              <w:bCs/>
              <w:sz w:val="24"/>
              <w:szCs w:val="36"/>
              <w:highlight w:val="none"/>
            </w:rPr>
            <w:t>（</w:t>
          </w:r>
          <w:r>
            <w:rPr>
              <w:rFonts w:hint="eastAsia" w:ascii="仿宋" w:hAnsi="仿宋" w:eastAsia="仿宋" w:cs="仿宋"/>
              <w:bCs/>
              <w:sz w:val="24"/>
              <w:szCs w:val="36"/>
              <w:highlight w:val="none"/>
              <w:lang w:val="en-US" w:eastAsia="zh-CN"/>
            </w:rPr>
            <w:t>四</w:t>
          </w:r>
          <w:r>
            <w:rPr>
              <w:rFonts w:hint="eastAsia" w:ascii="仿宋" w:hAnsi="仿宋" w:eastAsia="仿宋" w:cs="仿宋"/>
              <w:bCs/>
              <w:sz w:val="24"/>
              <w:szCs w:val="36"/>
              <w:highlight w:val="none"/>
            </w:rPr>
            <w:t>）绩效评价方法</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_Toc23331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14</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_Toc18302 </w:instrText>
          </w:r>
          <w:r>
            <w:rPr>
              <w:rFonts w:hint="eastAsia" w:ascii="仿宋" w:hAnsi="仿宋" w:eastAsia="仿宋" w:cs="仿宋"/>
              <w:sz w:val="24"/>
              <w:szCs w:val="32"/>
              <w:highlight w:val="none"/>
            </w:rPr>
            <w:fldChar w:fldCharType="separate"/>
          </w:r>
          <w:r>
            <w:rPr>
              <w:rFonts w:hint="eastAsia" w:ascii="仿宋" w:hAnsi="仿宋" w:eastAsia="仿宋" w:cs="仿宋"/>
              <w:bCs/>
              <w:sz w:val="24"/>
              <w:szCs w:val="36"/>
              <w:highlight w:val="none"/>
            </w:rPr>
            <w:t>（</w:t>
          </w:r>
          <w:r>
            <w:rPr>
              <w:rFonts w:hint="eastAsia" w:ascii="仿宋" w:hAnsi="仿宋" w:eastAsia="仿宋" w:cs="仿宋"/>
              <w:bCs/>
              <w:sz w:val="24"/>
              <w:szCs w:val="36"/>
              <w:highlight w:val="none"/>
              <w:lang w:val="en-US" w:eastAsia="zh-CN"/>
            </w:rPr>
            <w:t>五</w:t>
          </w:r>
          <w:r>
            <w:rPr>
              <w:rFonts w:hint="eastAsia" w:ascii="仿宋" w:hAnsi="仿宋" w:eastAsia="仿宋" w:cs="仿宋"/>
              <w:bCs/>
              <w:sz w:val="24"/>
              <w:szCs w:val="36"/>
              <w:highlight w:val="none"/>
            </w:rPr>
            <w:t>）评价的组织及实施</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_Toc18302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15</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_Toc13182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6"/>
              <w:highlight w:val="none"/>
              <w:lang w:val="en-US" w:eastAsia="zh-CN"/>
            </w:rPr>
            <w:t>（六）绩效评价指标体系</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_Toc13182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16</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_Toc28665 </w:instrText>
          </w:r>
          <w:r>
            <w:rPr>
              <w:rFonts w:hint="eastAsia" w:ascii="仿宋" w:hAnsi="仿宋" w:eastAsia="仿宋" w:cs="仿宋"/>
              <w:sz w:val="24"/>
              <w:szCs w:val="32"/>
              <w:highlight w:val="none"/>
            </w:rPr>
            <w:fldChar w:fldCharType="separate"/>
          </w:r>
          <w:r>
            <w:rPr>
              <w:rFonts w:hint="eastAsia" w:ascii="仿宋" w:hAnsi="仿宋" w:eastAsia="仿宋" w:cs="仿宋"/>
              <w:bCs/>
              <w:sz w:val="24"/>
              <w:szCs w:val="36"/>
              <w:highlight w:val="none"/>
              <w:lang w:val="en-US" w:eastAsia="zh-CN"/>
            </w:rPr>
            <w:t>三、</w:t>
          </w:r>
          <w:r>
            <w:rPr>
              <w:rFonts w:hint="eastAsia" w:ascii="仿宋" w:hAnsi="仿宋" w:eastAsia="仿宋" w:cs="仿宋"/>
              <w:bCs/>
              <w:sz w:val="24"/>
              <w:szCs w:val="36"/>
              <w:highlight w:val="none"/>
              <w:lang w:eastAsia="zh-CN"/>
            </w:rPr>
            <w:t>综合评价情况</w:t>
          </w:r>
          <w:r>
            <w:rPr>
              <w:rFonts w:hint="eastAsia" w:ascii="仿宋" w:hAnsi="仿宋" w:eastAsia="仿宋" w:cs="仿宋"/>
              <w:bCs/>
              <w:sz w:val="24"/>
              <w:szCs w:val="36"/>
              <w:highlight w:val="none"/>
            </w:rPr>
            <w:t>及评价结论</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_Toc28665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19</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_Toc15875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6"/>
              <w:highlight w:val="none"/>
              <w:lang w:val="en-US" w:eastAsia="zh-CN"/>
            </w:rPr>
            <w:t>（一）综合评价情况</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_Toc15875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19</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_Toc31396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6"/>
              <w:highlight w:val="none"/>
              <w:lang w:val="en-US" w:eastAsia="zh-CN"/>
            </w:rPr>
            <w:t>（二）评价结论</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_Toc31396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19</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_Toc31985 </w:instrText>
          </w:r>
          <w:r>
            <w:rPr>
              <w:rFonts w:hint="eastAsia" w:ascii="仿宋" w:hAnsi="仿宋" w:eastAsia="仿宋" w:cs="仿宋"/>
              <w:sz w:val="24"/>
              <w:szCs w:val="32"/>
              <w:highlight w:val="none"/>
            </w:rPr>
            <w:fldChar w:fldCharType="separate"/>
          </w:r>
          <w:r>
            <w:rPr>
              <w:rFonts w:hint="eastAsia" w:ascii="仿宋" w:hAnsi="仿宋" w:eastAsia="仿宋" w:cs="仿宋"/>
              <w:bCs w:val="0"/>
              <w:sz w:val="24"/>
              <w:szCs w:val="36"/>
              <w:highlight w:val="none"/>
              <w:lang w:val="en-US" w:eastAsia="zh-CN"/>
            </w:rPr>
            <w:t>四、绩效评价指标分析情况</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_Toc31985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19</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_Toc2092 </w:instrText>
          </w:r>
          <w:r>
            <w:rPr>
              <w:rFonts w:hint="eastAsia" w:ascii="仿宋" w:hAnsi="仿宋" w:eastAsia="仿宋" w:cs="仿宋"/>
              <w:sz w:val="24"/>
              <w:szCs w:val="32"/>
              <w:highlight w:val="none"/>
            </w:rPr>
            <w:fldChar w:fldCharType="separate"/>
          </w:r>
          <w:r>
            <w:rPr>
              <w:rFonts w:hint="eastAsia" w:ascii="仿宋" w:hAnsi="仿宋" w:eastAsia="仿宋" w:cs="仿宋"/>
              <w:bCs w:val="0"/>
              <w:sz w:val="24"/>
              <w:szCs w:val="36"/>
              <w:highlight w:val="none"/>
              <w:lang w:val="en-US" w:eastAsia="zh-CN"/>
            </w:rPr>
            <w:t>（一）决策情况分析</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_Toc2092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20</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_Toc16385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6"/>
              <w:highlight w:val="none"/>
              <w:lang w:eastAsia="zh-CN"/>
            </w:rPr>
            <w:t>（</w:t>
          </w:r>
          <w:r>
            <w:rPr>
              <w:rFonts w:hint="eastAsia" w:ascii="仿宋" w:hAnsi="仿宋" w:eastAsia="仿宋" w:cs="仿宋"/>
              <w:sz w:val="24"/>
              <w:szCs w:val="36"/>
              <w:highlight w:val="none"/>
              <w:lang w:val="en-US" w:eastAsia="zh-CN"/>
            </w:rPr>
            <w:t>二</w:t>
          </w:r>
          <w:r>
            <w:rPr>
              <w:rFonts w:hint="eastAsia" w:ascii="仿宋" w:hAnsi="仿宋" w:eastAsia="仿宋" w:cs="仿宋"/>
              <w:sz w:val="24"/>
              <w:szCs w:val="36"/>
              <w:highlight w:val="none"/>
              <w:lang w:eastAsia="zh-CN"/>
            </w:rPr>
            <w:t>）</w:t>
          </w:r>
          <w:r>
            <w:rPr>
              <w:rFonts w:hint="eastAsia" w:ascii="仿宋" w:hAnsi="仿宋" w:eastAsia="仿宋" w:cs="仿宋"/>
              <w:sz w:val="24"/>
              <w:szCs w:val="36"/>
              <w:highlight w:val="none"/>
              <w:lang w:val="en-US" w:eastAsia="zh-CN"/>
            </w:rPr>
            <w:t>过程情况分析</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_Toc16385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23</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_Toc7200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6"/>
              <w:highlight w:val="none"/>
              <w:lang w:eastAsia="zh-CN"/>
            </w:rPr>
            <w:t>（三）产出情况分析</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_Toc7200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28</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_Toc3164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6"/>
              <w:highlight w:val="none"/>
              <w:lang w:eastAsia="zh-CN"/>
            </w:rPr>
            <w:t>（</w:t>
          </w:r>
          <w:r>
            <w:rPr>
              <w:rFonts w:hint="eastAsia" w:ascii="仿宋" w:hAnsi="仿宋" w:eastAsia="仿宋" w:cs="仿宋"/>
              <w:sz w:val="24"/>
              <w:szCs w:val="36"/>
              <w:highlight w:val="none"/>
              <w:lang w:val="en-US" w:eastAsia="zh-CN"/>
            </w:rPr>
            <w:t>四</w:t>
          </w:r>
          <w:r>
            <w:rPr>
              <w:rFonts w:hint="eastAsia" w:ascii="仿宋" w:hAnsi="仿宋" w:eastAsia="仿宋" w:cs="仿宋"/>
              <w:sz w:val="24"/>
              <w:szCs w:val="36"/>
              <w:highlight w:val="none"/>
              <w:lang w:eastAsia="zh-CN"/>
            </w:rPr>
            <w:t>）</w:t>
          </w:r>
          <w:r>
            <w:rPr>
              <w:rFonts w:hint="eastAsia" w:ascii="仿宋" w:hAnsi="仿宋" w:eastAsia="仿宋" w:cs="仿宋"/>
              <w:sz w:val="24"/>
              <w:szCs w:val="36"/>
              <w:highlight w:val="none"/>
              <w:lang w:val="en-US" w:eastAsia="zh-CN"/>
            </w:rPr>
            <w:t>效益</w:t>
          </w:r>
          <w:r>
            <w:rPr>
              <w:rFonts w:hint="eastAsia" w:ascii="仿宋" w:hAnsi="仿宋" w:eastAsia="仿宋" w:cs="仿宋"/>
              <w:sz w:val="24"/>
              <w:szCs w:val="36"/>
              <w:highlight w:val="none"/>
              <w:lang w:eastAsia="zh-CN"/>
            </w:rPr>
            <w:t>情况分析</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_Toc3164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32</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_Toc16271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lang w:val="en-US" w:eastAsia="zh-CN"/>
            </w:rPr>
            <w:t>五</w:t>
          </w:r>
          <w:r>
            <w:rPr>
              <w:rFonts w:hint="eastAsia" w:ascii="仿宋" w:hAnsi="仿宋" w:eastAsia="仿宋" w:cs="仿宋"/>
              <w:sz w:val="24"/>
              <w:szCs w:val="32"/>
              <w:highlight w:val="none"/>
            </w:rPr>
            <w:t>、存在的主要问题及</w:t>
          </w:r>
          <w:r>
            <w:rPr>
              <w:rFonts w:hint="eastAsia" w:ascii="仿宋" w:hAnsi="仿宋" w:eastAsia="仿宋" w:cs="仿宋"/>
              <w:sz w:val="24"/>
              <w:szCs w:val="32"/>
              <w:highlight w:val="none"/>
              <w:lang w:eastAsia="zh-CN"/>
            </w:rPr>
            <w:t>建议</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_Toc16271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36</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_Toc9522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6"/>
              <w:highlight w:val="none"/>
            </w:rPr>
            <w:t>（一）存在的主要问题</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_Toc16271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36</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_Toc5568 </w:instrText>
          </w:r>
          <w:r>
            <w:rPr>
              <w:rFonts w:hint="eastAsia" w:ascii="仿宋" w:hAnsi="仿宋" w:eastAsia="仿宋" w:cs="仿宋"/>
              <w:sz w:val="24"/>
              <w:szCs w:val="32"/>
              <w:highlight w:val="none"/>
            </w:rPr>
            <w:fldChar w:fldCharType="separate"/>
          </w:r>
          <w:r>
            <w:rPr>
              <w:rFonts w:hint="eastAsia" w:ascii="仿宋" w:hAnsi="仿宋" w:eastAsia="仿宋" w:cs="仿宋"/>
              <w:bCs w:val="0"/>
              <w:kern w:val="2"/>
              <w:sz w:val="24"/>
              <w:szCs w:val="36"/>
              <w:highlight w:val="none"/>
              <w:lang w:val="en-US" w:eastAsia="zh-CN" w:bidi="ar-SA"/>
            </w:rPr>
            <w:t>（二）相关建议</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_Toc16271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3</w:t>
          </w:r>
          <w:r>
            <w:rPr>
              <w:rFonts w:hint="eastAsia" w:ascii="仿宋" w:hAnsi="仿宋" w:eastAsia="仿宋" w:cs="仿宋"/>
              <w:sz w:val="24"/>
              <w:szCs w:val="32"/>
              <w:highlight w:val="none"/>
              <w:lang w:val="en-US" w:eastAsia="zh-CN"/>
            </w:rPr>
            <w:t>7</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_Toc16934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6"/>
              <w:highlight w:val="none"/>
              <w:lang w:val="en-US" w:eastAsia="zh-CN"/>
            </w:rPr>
            <w:t>六</w:t>
          </w:r>
          <w:r>
            <w:rPr>
              <w:rFonts w:hint="eastAsia" w:ascii="仿宋" w:hAnsi="仿宋" w:eastAsia="仿宋" w:cs="仿宋"/>
              <w:sz w:val="24"/>
              <w:szCs w:val="36"/>
              <w:highlight w:val="none"/>
            </w:rPr>
            <w:t>、绩效评价结果应用建议</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_Toc16934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3</w:t>
          </w:r>
          <w:r>
            <w:rPr>
              <w:rFonts w:hint="eastAsia" w:ascii="仿宋" w:hAnsi="仿宋" w:eastAsia="仿宋" w:cs="仿宋"/>
              <w:sz w:val="24"/>
              <w:szCs w:val="32"/>
              <w:highlight w:val="none"/>
              <w:lang w:val="en-US" w:eastAsia="zh-CN"/>
            </w:rPr>
            <w:t>8</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_Toc23416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lang w:val="en-US" w:eastAsia="zh-CN"/>
            </w:rPr>
            <w:t>附件1：绩效评价指标评分表</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_Toc23416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40</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_Toc19888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22"/>
              <w:highlight w:val="none"/>
              <w:lang w:val="en-US" w:eastAsia="zh-CN"/>
            </w:rPr>
            <w:t>附件2：项目支出合规性检查报告</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_Toc19888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49</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_Toc23191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22"/>
              <w:highlight w:val="none"/>
              <w:lang w:val="en-US" w:eastAsia="zh-CN"/>
            </w:rPr>
            <w:t>附件3：基础信息表</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_Toc23191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51</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32"/>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_Toc30517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22"/>
              <w:highlight w:val="none"/>
              <w:lang w:val="en-US" w:eastAsia="zh-CN"/>
            </w:rPr>
            <w:t>附件4：反映项目绩效的图片</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_Toc30517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59</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highlight w:val="none"/>
            </w:rPr>
          </w:pP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HYPERLINK \l _Toc22674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22"/>
              <w:highlight w:val="none"/>
              <w:lang w:val="en-US" w:eastAsia="zh-CN"/>
            </w:rPr>
            <w:t>附件5：调查问卷分析报告</w:t>
          </w:r>
          <w:r>
            <w:rPr>
              <w:rFonts w:hint="eastAsia" w:ascii="仿宋" w:hAnsi="仿宋" w:eastAsia="仿宋" w:cs="仿宋"/>
              <w:sz w:val="24"/>
              <w:szCs w:val="32"/>
              <w:highlight w:val="none"/>
            </w:rPr>
            <w:tab/>
          </w:r>
          <w:r>
            <w:rPr>
              <w:rFonts w:hint="eastAsia" w:ascii="仿宋" w:hAnsi="仿宋" w:eastAsia="仿宋" w:cs="仿宋"/>
              <w:sz w:val="24"/>
              <w:szCs w:val="32"/>
              <w:highlight w:val="none"/>
            </w:rPr>
            <w:fldChar w:fldCharType="begin"/>
          </w:r>
          <w:r>
            <w:rPr>
              <w:rFonts w:hint="eastAsia" w:ascii="仿宋" w:hAnsi="仿宋" w:eastAsia="仿宋" w:cs="仿宋"/>
              <w:sz w:val="24"/>
              <w:szCs w:val="32"/>
              <w:highlight w:val="none"/>
            </w:rPr>
            <w:instrText xml:space="preserve"> PAGEREF _Toc22674 \h </w:instrText>
          </w:r>
          <w:r>
            <w:rPr>
              <w:rFonts w:hint="eastAsia" w:ascii="仿宋" w:hAnsi="仿宋" w:eastAsia="仿宋" w:cs="仿宋"/>
              <w:sz w:val="24"/>
              <w:szCs w:val="32"/>
              <w:highlight w:val="none"/>
            </w:rPr>
            <w:fldChar w:fldCharType="separate"/>
          </w:r>
          <w:r>
            <w:rPr>
              <w:rFonts w:hint="eastAsia" w:ascii="仿宋" w:hAnsi="仿宋" w:eastAsia="仿宋" w:cs="仿宋"/>
              <w:sz w:val="24"/>
              <w:szCs w:val="32"/>
              <w:highlight w:val="none"/>
            </w:rPr>
            <w:t>62</w:t>
          </w:r>
          <w:r>
            <w:rPr>
              <w:rFonts w:hint="eastAsia" w:ascii="仿宋" w:hAnsi="仿宋" w:eastAsia="仿宋" w:cs="仿宋"/>
              <w:sz w:val="24"/>
              <w:szCs w:val="32"/>
              <w:highlight w:val="none"/>
            </w:rPr>
            <w:fldChar w:fldCharType="end"/>
          </w:r>
          <w:r>
            <w:rPr>
              <w:rFonts w:hint="eastAsia" w:ascii="仿宋" w:hAnsi="仿宋" w:eastAsia="仿宋" w:cs="仿宋"/>
              <w:sz w:val="24"/>
              <w:szCs w:val="32"/>
              <w:highlight w:val="none"/>
            </w:rPr>
            <w:fldChar w:fldCharType="end"/>
          </w:r>
        </w:p>
        <w:p>
          <w:pPr>
            <w:rPr>
              <w:highlight w:val="none"/>
            </w:rPr>
          </w:pPr>
          <w:r>
            <w:rPr>
              <w:highlight w:val="none"/>
            </w:rPr>
            <w:fldChar w:fldCharType="end"/>
          </w:r>
        </w:p>
      </w:sdtContent>
    </w:sdt>
    <w:p>
      <w:pPr>
        <w:spacing w:line="500" w:lineRule="exact"/>
        <w:jc w:val="center"/>
        <w:outlineLvl w:val="9"/>
        <w:rPr>
          <w:rFonts w:hint="eastAsia" w:ascii="仿宋" w:hAnsi="仿宋" w:eastAsia="仿宋"/>
          <w:b/>
          <w:sz w:val="32"/>
          <w:szCs w:val="28"/>
          <w:highlight w:val="none"/>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
        <w:rPr>
          <w:rFonts w:hint="eastAsia"/>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spacing w:line="500" w:lineRule="exact"/>
        <w:jc w:val="center"/>
        <w:outlineLvl w:val="9"/>
        <w:rPr>
          <w:rFonts w:hint="eastAsia" w:ascii="仿宋" w:hAnsi="仿宋" w:eastAsia="仿宋"/>
          <w:b/>
          <w:sz w:val="32"/>
          <w:szCs w:val="28"/>
          <w:highlight w:val="none"/>
        </w:rPr>
      </w:pPr>
      <w:r>
        <w:rPr>
          <w:rFonts w:hint="eastAsia" w:ascii="仿宋" w:hAnsi="仿宋" w:eastAsia="仿宋"/>
          <w:b/>
          <w:sz w:val="32"/>
          <w:szCs w:val="28"/>
          <w:highlight w:val="none"/>
          <w:lang w:val="en-US" w:eastAsia="zh-CN"/>
        </w:rPr>
        <w:t>2021年永济市疫情防控</w:t>
      </w:r>
      <w:r>
        <w:rPr>
          <w:rFonts w:hint="eastAsia" w:ascii="仿宋" w:hAnsi="仿宋" w:eastAsia="仿宋"/>
          <w:b/>
          <w:sz w:val="32"/>
          <w:szCs w:val="28"/>
          <w:highlight w:val="none"/>
          <w:lang w:eastAsia="zh-CN"/>
        </w:rPr>
        <w:t>资金</w:t>
      </w:r>
      <w:r>
        <w:rPr>
          <w:rFonts w:hint="eastAsia" w:ascii="仿宋" w:hAnsi="仿宋" w:eastAsia="仿宋"/>
          <w:b/>
          <w:sz w:val="32"/>
          <w:szCs w:val="28"/>
          <w:highlight w:val="none"/>
        </w:rPr>
        <w:t>绩效评价</w:t>
      </w:r>
      <w:r>
        <w:rPr>
          <w:rFonts w:hint="eastAsia" w:ascii="仿宋" w:hAnsi="仿宋" w:eastAsia="仿宋"/>
          <w:b/>
          <w:sz w:val="32"/>
          <w:szCs w:val="28"/>
          <w:highlight w:val="none"/>
          <w:lang w:val="en-US" w:eastAsia="zh-CN"/>
        </w:rPr>
        <w:t>报告</w:t>
      </w:r>
    </w:p>
    <w:p>
      <w:pPr>
        <w:spacing w:line="500" w:lineRule="exact"/>
        <w:jc w:val="center"/>
        <w:outlineLvl w:val="0"/>
        <w:rPr>
          <w:rFonts w:ascii="仿宋" w:hAnsi="仿宋" w:eastAsia="仿宋"/>
          <w:b/>
          <w:sz w:val="32"/>
          <w:szCs w:val="28"/>
          <w:highlight w:val="none"/>
        </w:rPr>
      </w:pPr>
      <w:bookmarkStart w:id="0" w:name="_Toc10096"/>
      <w:bookmarkStart w:id="1" w:name="_Toc2299"/>
      <w:r>
        <w:rPr>
          <w:rFonts w:hint="eastAsia" w:ascii="仿宋" w:hAnsi="仿宋" w:eastAsia="仿宋"/>
          <w:b/>
          <w:sz w:val="32"/>
          <w:szCs w:val="28"/>
          <w:highlight w:val="none"/>
        </w:rPr>
        <w:t>摘</w:t>
      </w:r>
      <w:r>
        <w:rPr>
          <w:rFonts w:hint="eastAsia" w:ascii="仿宋" w:hAnsi="仿宋" w:eastAsia="仿宋"/>
          <w:b/>
          <w:sz w:val="32"/>
          <w:szCs w:val="28"/>
          <w:highlight w:val="none"/>
          <w:lang w:val="en-US" w:eastAsia="zh-CN"/>
        </w:rPr>
        <w:t xml:space="preserve"> </w:t>
      </w:r>
      <w:r>
        <w:rPr>
          <w:rFonts w:hint="eastAsia" w:ascii="仿宋" w:hAnsi="仿宋" w:eastAsia="仿宋"/>
          <w:b/>
          <w:sz w:val="32"/>
          <w:szCs w:val="28"/>
          <w:highlight w:val="none"/>
        </w:rPr>
        <w:t>要</w:t>
      </w:r>
      <w:bookmarkEnd w:id="0"/>
      <w:bookmarkEnd w:id="1"/>
    </w:p>
    <w:p>
      <w:pPr>
        <w:spacing w:line="560" w:lineRule="exact"/>
        <w:ind w:firstLine="562" w:firstLineChars="200"/>
        <w:outlineLvl w:val="1"/>
        <w:rPr>
          <w:rFonts w:ascii="仿宋" w:hAnsi="仿宋" w:eastAsia="仿宋" w:cs="仿宋"/>
          <w:b/>
          <w:sz w:val="28"/>
          <w:szCs w:val="28"/>
          <w:highlight w:val="none"/>
        </w:rPr>
      </w:pPr>
      <w:bookmarkStart w:id="2" w:name="_Toc6430"/>
      <w:bookmarkStart w:id="3" w:name="_Toc4163_WPSOffice_Level1"/>
      <w:bookmarkStart w:id="4" w:name="_Toc5471_WPSOffice_Level1"/>
      <w:bookmarkStart w:id="5" w:name="_Toc30829_WPSOffice_Level1"/>
      <w:bookmarkStart w:id="6" w:name="_Toc13029"/>
      <w:bookmarkStart w:id="7" w:name="_Toc1029_WPSOffice_Level1"/>
      <w:bookmarkStart w:id="8" w:name="_Toc2027_WPSOffice_Level1"/>
      <w:bookmarkStart w:id="9" w:name="_Toc22334_WPSOffice_Level1"/>
      <w:bookmarkStart w:id="10" w:name="_Toc27454_WPSOffice_Level1"/>
      <w:bookmarkStart w:id="11" w:name="_Toc30907_WPSOffice_Level1"/>
      <w:bookmarkStart w:id="12" w:name="_Toc2335_WPSOffice_Level1"/>
      <w:bookmarkStart w:id="13" w:name="_Toc17004_WPSOffice_Level1"/>
      <w:bookmarkStart w:id="14" w:name="_Toc18121_WPSOffice_Level1"/>
      <w:bookmarkStart w:id="15" w:name="_Toc25311_WPSOffice_Level1"/>
      <w:bookmarkStart w:id="16" w:name="_Toc405_WPSOffice_Level1"/>
      <w:bookmarkStart w:id="17" w:name="_Toc18851_WPSOffice_Level1"/>
      <w:bookmarkStart w:id="18" w:name="_Toc31333_WPSOffice_Level1"/>
      <w:bookmarkStart w:id="19" w:name="_Toc30224_WPSOffice_Level1"/>
      <w:bookmarkStart w:id="20" w:name="_Toc24051_WPSOffice_Level1"/>
      <w:bookmarkStart w:id="21" w:name="_Toc15727"/>
      <w:bookmarkStart w:id="22" w:name="_Toc9404_WPSOffice_Level1"/>
      <w:r>
        <w:rPr>
          <w:rFonts w:hint="eastAsia" w:ascii="仿宋" w:hAnsi="仿宋" w:eastAsia="仿宋" w:cs="仿宋"/>
          <w:b/>
          <w:sz w:val="28"/>
          <w:szCs w:val="28"/>
          <w:highlight w:val="none"/>
        </w:rPr>
        <w:t>一、项目概况</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pPr>
        <w:spacing w:line="560" w:lineRule="exact"/>
        <w:ind w:firstLine="560" w:firstLineChars="200"/>
        <w:jc w:val="left"/>
        <w:outlineLvl w:val="9"/>
        <w:rPr>
          <w:rFonts w:hint="default" w:ascii="仿宋" w:hAnsi="仿宋" w:eastAsia="仿宋" w:cs="仿宋"/>
          <w:b w:val="0"/>
          <w:bCs/>
          <w:sz w:val="28"/>
          <w:szCs w:val="28"/>
          <w:highlight w:val="none"/>
          <w:lang w:val="en-US" w:eastAsia="zh-CN" w:bidi="ar"/>
        </w:rPr>
      </w:pPr>
      <w:r>
        <w:rPr>
          <w:rFonts w:hint="eastAsia" w:ascii="仿宋" w:hAnsi="仿宋" w:eastAsia="仿宋" w:cs="仿宋"/>
          <w:b w:val="0"/>
          <w:bCs/>
          <w:sz w:val="28"/>
          <w:szCs w:val="28"/>
          <w:highlight w:val="none"/>
          <w:lang w:val="en-US" w:eastAsia="zh-CN" w:bidi="ar"/>
        </w:rPr>
        <w:t>2020年5月国务院联防联控机制印发《关于做好新冠肺炎疫情常态化防控工作的指导意见》，该文件指出疫情防控进入常态化阶段，2021年新冠疫情防控均处于常态化防控的政策标准之下。2022年11月11日，国务院应对新型冠状病毒肺炎疫情联防联控机制综合组发布《关于进一步优化新冠肺炎疫情防控措施 科学精准做好防控工作的通知》（联防联控机制综发〔2022〕101号，简称“二十条”），公布了如何科学精准做好疫情防控，同年12月7日，联防联控机制发布《关于进一步优化落实新冠肺炎疫情防控措施的通知》（联防联控机制综发〔2022〕113号，简称“新十条”），更加科学精准防控，解决防控工作中存在的突出问题；2022年12月26日，国家卫生健康委员会发布2022年第7号公告，将新型冠状病毒肺炎更名为新型冠状病毒感染。经国务院批准，自2023年1月8日起，解除对新型冠状病毒感染采取的《中华人民共和国传染病防治法》规定的甲类传染病预防、控制措施；新型冠状病毒感染不再纳入《中华人民共和国国境卫生检疫法》规定的检疫传染病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 w:val="0"/>
          <w:bCs/>
          <w:sz w:val="28"/>
          <w:szCs w:val="28"/>
          <w:highlight w:val="none"/>
          <w:lang w:val="en-US" w:eastAsia="zh-CN" w:bidi="ar"/>
        </w:rPr>
      </w:pPr>
      <w:r>
        <w:rPr>
          <w:rFonts w:hint="eastAsia" w:ascii="仿宋" w:hAnsi="仿宋" w:eastAsia="仿宋" w:cs="仿宋"/>
          <w:b w:val="0"/>
          <w:bCs/>
          <w:sz w:val="28"/>
          <w:szCs w:val="28"/>
          <w:highlight w:val="none"/>
          <w:lang w:val="en-US" w:eastAsia="zh-CN" w:bidi="ar"/>
        </w:rPr>
        <w:t>2020年1月28日，根据中国共产党永济市委员会</w:t>
      </w:r>
      <w:r>
        <w:rPr>
          <w:rFonts w:hint="eastAsia" w:ascii="仿宋" w:hAnsi="仿宋" w:eastAsia="仿宋" w:cs="仿宋"/>
          <w:sz w:val="28"/>
          <w:szCs w:val="28"/>
          <w:highlight w:val="none"/>
          <w:lang w:val="en-US" w:eastAsia="zh-CN"/>
        </w:rPr>
        <w:t>《充实加强</w:t>
      </w:r>
      <w:r>
        <w:rPr>
          <w:rFonts w:hint="eastAsia" w:ascii="仿宋" w:hAnsi="仿宋" w:eastAsia="仿宋" w:cs="仿宋"/>
          <w:b w:val="0"/>
          <w:bCs/>
          <w:sz w:val="28"/>
          <w:szCs w:val="28"/>
          <w:highlight w:val="none"/>
          <w:lang w:val="en-US" w:eastAsia="zh-CN" w:bidi="ar"/>
        </w:rPr>
        <w:t>新型冠状病毒感染的肺炎疫情防控工作领导组（指挥部）的通知》（永字</w:t>
      </w:r>
      <w:r>
        <w:rPr>
          <w:rFonts w:hint="eastAsia" w:ascii="仿宋" w:hAnsi="仿宋" w:eastAsia="仿宋" w:cs="仿宋"/>
          <w:sz w:val="28"/>
          <w:szCs w:val="28"/>
          <w:highlight w:val="none"/>
        </w:rPr>
        <w:t>〔2020〕</w:t>
      </w:r>
      <w:r>
        <w:rPr>
          <w:rFonts w:hint="eastAsia" w:ascii="仿宋" w:hAnsi="仿宋" w:eastAsia="仿宋" w:cs="仿宋"/>
          <w:sz w:val="28"/>
          <w:szCs w:val="28"/>
          <w:highlight w:val="none"/>
          <w:lang w:val="en-US" w:eastAsia="zh-CN"/>
        </w:rPr>
        <w:t>3号</w:t>
      </w:r>
      <w:r>
        <w:rPr>
          <w:rFonts w:hint="eastAsia" w:ascii="仿宋" w:hAnsi="仿宋" w:eastAsia="仿宋" w:cs="仿宋"/>
          <w:b w:val="0"/>
          <w:bCs/>
          <w:sz w:val="28"/>
          <w:szCs w:val="28"/>
          <w:highlight w:val="none"/>
          <w:lang w:val="en-US" w:eastAsia="zh-CN" w:bidi="ar"/>
        </w:rPr>
        <w:t>），确定了指挥部的组长及相关成员。经过疫情防控管制，新冠肺炎疫情防控向好态势进一步巩固，疫情防控已从应急状态转为常态化。永济市抓紧抓实抓细常态化疫情防控工作的决策部署，全面落实“外防输入、内防</w:t>
      </w:r>
      <w:bookmarkStart w:id="410" w:name="_GoBack"/>
      <w:bookmarkEnd w:id="410"/>
      <w:r>
        <w:rPr>
          <w:rFonts w:hint="eastAsia" w:ascii="仿宋" w:hAnsi="仿宋" w:eastAsia="仿宋" w:cs="仿宋"/>
          <w:b w:val="0"/>
          <w:bCs/>
          <w:sz w:val="28"/>
          <w:szCs w:val="28"/>
          <w:highlight w:val="none"/>
          <w:lang w:val="en-US" w:eastAsia="zh-CN" w:bidi="ar"/>
        </w:rPr>
        <w:t>反弹”的总体防控策略，坚持及时发现、快速处置、精准管控、有效救治，有力保障人民群众生命安全和身体健康，有力保障经济社会秩序全面恢复。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b w:val="0"/>
          <w:bCs/>
          <w:sz w:val="28"/>
          <w:szCs w:val="28"/>
          <w:highlight w:val="none"/>
          <w:lang w:val="en-US" w:eastAsia="zh-CN" w:bidi="ar"/>
        </w:rPr>
        <w:t>2021年疫情防控资金涉及3个隔离点营运，4个核酸实验室建设，1个发热门诊建设，配置疫苗接种点23个，10个乡镇街道卡口防控、2021年年底全员核酸3-5日材料储备等多项疫情防控工作。</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val="en-US" w:eastAsia="zh-CN" w:bidi="ar"/>
        </w:rPr>
        <w:t>2021年永济市</w:t>
      </w:r>
      <w:r>
        <w:rPr>
          <w:rFonts w:hint="eastAsia" w:ascii="仿宋" w:hAnsi="仿宋" w:eastAsia="仿宋" w:cs="仿宋"/>
          <w:bCs/>
          <w:sz w:val="28"/>
          <w:szCs w:val="28"/>
          <w:highlight w:val="none"/>
          <w:lang w:eastAsia="zh-CN" w:bidi="ar"/>
        </w:rPr>
        <w:t>新型冠状病毒感染肺炎疫情防控资金</w:t>
      </w:r>
      <w:r>
        <w:rPr>
          <w:rFonts w:hint="eastAsia" w:ascii="仿宋" w:hAnsi="仿宋" w:eastAsia="仿宋" w:cs="仿宋"/>
          <w:bCs/>
          <w:sz w:val="28"/>
          <w:szCs w:val="28"/>
          <w:highlight w:val="none"/>
          <w:lang w:bidi="ar"/>
        </w:rPr>
        <w:t>总额</w:t>
      </w:r>
      <w:r>
        <w:rPr>
          <w:rFonts w:hint="eastAsia" w:ascii="仿宋" w:hAnsi="仿宋" w:eastAsia="仿宋" w:cs="仿宋"/>
          <w:bCs/>
          <w:sz w:val="28"/>
          <w:szCs w:val="28"/>
          <w:highlight w:val="none"/>
          <w:lang w:val="en-US" w:eastAsia="zh-CN" w:bidi="ar"/>
        </w:rPr>
        <w:t>为2375.76</w:t>
      </w:r>
      <w:r>
        <w:rPr>
          <w:rFonts w:hint="eastAsia" w:ascii="仿宋" w:hAnsi="仿宋" w:eastAsia="仿宋" w:cs="仿宋"/>
          <w:bCs/>
          <w:sz w:val="28"/>
          <w:szCs w:val="28"/>
          <w:highlight w:val="none"/>
          <w:lang w:bidi="ar"/>
        </w:rPr>
        <w:t>万元，</w:t>
      </w:r>
      <w:r>
        <w:rPr>
          <w:rFonts w:hint="eastAsia" w:ascii="仿宋" w:hAnsi="仿宋" w:eastAsia="仿宋" w:cs="仿宋"/>
          <w:bCs/>
          <w:sz w:val="28"/>
          <w:szCs w:val="28"/>
          <w:highlight w:val="none"/>
          <w:lang w:val="en-US" w:eastAsia="zh-CN" w:bidi="ar"/>
        </w:rPr>
        <w:t>其中：2020年结余资金118.26万元，2021年拨付资金2257.5万元，2021年拨付资金均为永济市级财政资金。</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bCs/>
          <w:sz w:val="28"/>
          <w:szCs w:val="28"/>
          <w:highlight w:val="none"/>
          <w:lang w:val="en-US" w:eastAsia="zh-CN" w:bidi="ar"/>
        </w:rPr>
        <w:t>2021年12月31日，新冠肺炎疫情防控资金实际使用资金2103.97</w:t>
      </w:r>
      <w:r>
        <w:rPr>
          <w:rFonts w:hint="eastAsia" w:ascii="仿宋" w:hAnsi="仿宋" w:eastAsia="仿宋" w:cs="仿宋"/>
          <w:bCs/>
          <w:sz w:val="28"/>
          <w:szCs w:val="28"/>
          <w:highlight w:val="none"/>
          <w:lang w:bidi="ar"/>
        </w:rPr>
        <w:t>万元，</w:t>
      </w:r>
      <w:r>
        <w:rPr>
          <w:rFonts w:hint="eastAsia" w:ascii="仿宋" w:hAnsi="仿宋" w:eastAsia="仿宋" w:cs="仿宋"/>
          <w:bCs/>
          <w:sz w:val="28"/>
          <w:szCs w:val="28"/>
          <w:highlight w:val="none"/>
          <w:lang w:val="en-US" w:eastAsia="zh-CN" w:bidi="ar"/>
        </w:rPr>
        <w:t>主要用于支持新冠肺炎疫情防控工作，2021年年底财政收回资金67.75万元，剩余资金204.04万元。</w:t>
      </w:r>
    </w:p>
    <w:p>
      <w:pPr>
        <w:spacing w:line="560" w:lineRule="exact"/>
        <w:ind w:firstLine="562" w:firstLineChars="200"/>
        <w:outlineLvl w:val="1"/>
        <w:rPr>
          <w:rFonts w:hint="default" w:ascii="仿宋" w:hAnsi="仿宋" w:eastAsia="仿宋" w:cs="仿宋"/>
          <w:b/>
          <w:sz w:val="28"/>
          <w:szCs w:val="28"/>
          <w:highlight w:val="none"/>
          <w:lang w:val="en-US" w:eastAsia="zh-CN"/>
        </w:rPr>
      </w:pPr>
      <w:bookmarkStart w:id="23" w:name="_Toc7870_WPSOffice_Level1"/>
      <w:bookmarkStart w:id="24" w:name="_Toc24408_WPSOffice_Level1"/>
      <w:bookmarkStart w:id="25" w:name="_Toc24023"/>
      <w:bookmarkStart w:id="26" w:name="_Toc11118"/>
      <w:bookmarkStart w:id="27" w:name="_Toc13714"/>
      <w:r>
        <w:rPr>
          <w:rFonts w:hint="eastAsia" w:ascii="仿宋" w:hAnsi="仿宋" w:eastAsia="仿宋" w:cs="仿宋"/>
          <w:b/>
          <w:sz w:val="28"/>
          <w:szCs w:val="28"/>
          <w:highlight w:val="none"/>
        </w:rPr>
        <w:t>二、评价结果</w:t>
      </w:r>
      <w:bookmarkEnd w:id="23"/>
      <w:bookmarkEnd w:id="24"/>
      <w:r>
        <w:rPr>
          <w:rFonts w:hint="eastAsia" w:ascii="仿宋" w:hAnsi="仿宋" w:eastAsia="仿宋" w:cs="仿宋"/>
          <w:b/>
          <w:sz w:val="28"/>
          <w:szCs w:val="28"/>
          <w:highlight w:val="none"/>
          <w:lang w:val="en-US" w:eastAsia="zh-CN"/>
        </w:rPr>
        <w:t>及结论</w:t>
      </w:r>
      <w:bookmarkEnd w:id="25"/>
      <w:bookmarkEnd w:id="26"/>
      <w:bookmarkEnd w:id="27"/>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eastAsia" w:ascii="仿宋" w:hAnsi="仿宋" w:eastAsia="仿宋" w:cs="仿宋"/>
          <w:b/>
          <w:sz w:val="28"/>
          <w:szCs w:val="28"/>
          <w:highlight w:val="none"/>
          <w:lang w:val="en-US" w:eastAsia="zh-CN"/>
        </w:rPr>
      </w:pPr>
      <w:bookmarkStart w:id="28" w:name="_Toc13511"/>
      <w:bookmarkStart w:id="29" w:name="_Toc12090"/>
      <w:bookmarkStart w:id="30" w:name="_Toc11698"/>
      <w:r>
        <w:rPr>
          <w:rFonts w:hint="eastAsia" w:ascii="仿宋" w:hAnsi="仿宋" w:eastAsia="仿宋" w:cs="仿宋"/>
          <w:b/>
          <w:sz w:val="28"/>
          <w:szCs w:val="28"/>
          <w:highlight w:val="none"/>
          <w:lang w:val="en-US" w:eastAsia="zh-CN"/>
        </w:rPr>
        <w:t>（一）评价结果</w:t>
      </w:r>
      <w:bookmarkEnd w:id="28"/>
      <w:bookmarkEnd w:id="29"/>
      <w:bookmarkEnd w:id="30"/>
    </w:p>
    <w:p>
      <w:pPr>
        <w:pStyle w:val="14"/>
        <w:spacing w:line="560" w:lineRule="exact"/>
        <w:ind w:firstLine="560"/>
        <w:outlineLvl w:val="9"/>
        <w:rPr>
          <w:rFonts w:ascii="仿宋" w:hAnsi="仿宋" w:eastAsia="仿宋"/>
          <w:highlight w:val="none"/>
        </w:rPr>
      </w:pPr>
      <w:r>
        <w:rPr>
          <w:rFonts w:hint="eastAsia" w:ascii="仿宋" w:hAnsi="仿宋" w:eastAsia="仿宋" w:cs="仿宋"/>
          <w:sz w:val="28"/>
          <w:szCs w:val="28"/>
          <w:highlight w:val="none"/>
        </w:rPr>
        <w:t>通过实施数据采集、查阅资料、现场查看等评价程序，根据《</w:t>
      </w:r>
      <w:r>
        <w:rPr>
          <w:rFonts w:hint="eastAsia" w:ascii="仿宋" w:hAnsi="仿宋" w:eastAsia="仿宋" w:cs="仿宋"/>
          <w:sz w:val="28"/>
          <w:szCs w:val="28"/>
          <w:highlight w:val="none"/>
          <w:lang w:val="en-US" w:eastAsia="zh-CN"/>
        </w:rPr>
        <w:t>2021年永济市疫情防控</w:t>
      </w:r>
      <w:r>
        <w:rPr>
          <w:rFonts w:hint="eastAsia" w:ascii="仿宋" w:hAnsi="仿宋" w:eastAsia="仿宋" w:cs="仿宋"/>
          <w:sz w:val="28"/>
          <w:szCs w:val="28"/>
          <w:highlight w:val="none"/>
        </w:rPr>
        <w:t>资金的绩效评价指标评分表》中设定的评价指标体系及评分标准，项目绩效</w:t>
      </w:r>
      <w:r>
        <w:rPr>
          <w:rFonts w:hint="eastAsia" w:ascii="仿宋" w:hAnsi="仿宋" w:eastAsia="仿宋" w:cs="仿宋"/>
          <w:sz w:val="28"/>
          <w:szCs w:val="28"/>
          <w:highlight w:val="none"/>
          <w:lang w:val="en-US" w:eastAsia="zh-CN"/>
        </w:rPr>
        <w:t>评价</w:t>
      </w:r>
      <w:r>
        <w:rPr>
          <w:rFonts w:hint="eastAsia" w:ascii="仿宋" w:hAnsi="仿宋" w:eastAsia="仿宋" w:cs="仿宋"/>
          <w:sz w:val="28"/>
          <w:szCs w:val="28"/>
          <w:highlight w:val="none"/>
        </w:rPr>
        <w:t>总得分</w:t>
      </w:r>
      <w:r>
        <w:rPr>
          <w:rFonts w:hint="eastAsia" w:ascii="仿宋" w:hAnsi="仿宋" w:eastAsia="仿宋" w:cs="仿宋"/>
          <w:sz w:val="28"/>
          <w:szCs w:val="28"/>
          <w:highlight w:val="none"/>
          <w:lang w:val="en-US" w:eastAsia="zh-CN"/>
        </w:rPr>
        <w:t>82.15</w:t>
      </w:r>
      <w:r>
        <w:rPr>
          <w:rFonts w:hint="eastAsia" w:ascii="仿宋" w:hAnsi="仿宋" w:eastAsia="仿宋" w:cs="仿宋"/>
          <w:sz w:val="28"/>
          <w:szCs w:val="28"/>
          <w:highlight w:val="none"/>
        </w:rPr>
        <w:t>分，评价等级为“</w:t>
      </w:r>
      <w:r>
        <w:rPr>
          <w:rFonts w:hint="eastAsia" w:ascii="仿宋" w:hAnsi="仿宋" w:eastAsia="仿宋" w:cs="仿宋"/>
          <w:sz w:val="28"/>
          <w:szCs w:val="28"/>
          <w:highlight w:val="none"/>
          <w:lang w:val="en-US" w:eastAsia="zh-CN"/>
        </w:rPr>
        <w:t>良</w:t>
      </w:r>
      <w:r>
        <w:rPr>
          <w:rFonts w:hint="eastAsia" w:ascii="仿宋" w:hAnsi="仿宋" w:eastAsia="仿宋" w:cs="仿宋"/>
          <w:sz w:val="28"/>
          <w:szCs w:val="28"/>
          <w:highlight w:val="none"/>
        </w:rPr>
        <w:t>”</w:t>
      </w:r>
      <w:r>
        <w:rPr>
          <w:rFonts w:hint="eastAsia" w:ascii="仿宋" w:hAnsi="仿宋" w:eastAsia="仿宋"/>
          <w:highlight w:val="none"/>
        </w:rPr>
        <w:t>，各指标详细打分情况见附件1。</w:t>
      </w:r>
    </w:p>
    <w:p>
      <w:pPr>
        <w:pStyle w:val="15"/>
        <w:framePr w:wrap="auto" w:vAnchor="margin" w:hAnchor="text" w:yAlign="inline"/>
        <w:adjustRightInd w:val="0"/>
        <w:snapToGrid w:val="0"/>
        <w:spacing w:line="560" w:lineRule="exact"/>
        <w:ind w:firstLine="0"/>
        <w:jc w:val="center"/>
        <w:outlineLvl w:val="9"/>
        <w:rPr>
          <w:rFonts w:ascii="仿宋" w:hAnsi="仿宋" w:eastAsia="仿宋" w:cs="楷体_GB2312"/>
          <w:b/>
          <w:bCs/>
          <w:color w:val="auto"/>
          <w:szCs w:val="24"/>
          <w:highlight w:val="none"/>
          <w:lang w:val="zh-TW"/>
        </w:rPr>
      </w:pPr>
      <w:r>
        <w:rPr>
          <w:rFonts w:hint="eastAsia" w:ascii="仿宋" w:hAnsi="仿宋" w:eastAsia="仿宋" w:cs="楷体_GB2312"/>
          <w:b/>
          <w:bCs/>
          <w:color w:val="auto"/>
          <w:szCs w:val="24"/>
          <w:highlight w:val="none"/>
          <w:lang w:val="en-US" w:eastAsia="zh-CN"/>
        </w:rPr>
        <w:t xml:space="preserve"> </w:t>
      </w:r>
      <w:bookmarkStart w:id="31" w:name="_Toc31724"/>
      <w:r>
        <w:rPr>
          <w:rFonts w:hint="eastAsia" w:ascii="仿宋" w:hAnsi="仿宋" w:eastAsia="仿宋" w:cs="楷体_GB2312"/>
          <w:b/>
          <w:bCs/>
          <w:color w:val="auto"/>
          <w:szCs w:val="24"/>
          <w:highlight w:val="none"/>
          <w:lang w:val="zh-TW" w:eastAsia="zh-TW"/>
        </w:rPr>
        <w:t>项目绩效评价得分表</w:t>
      </w:r>
      <w:bookmarkEnd w:id="31"/>
    </w:p>
    <w:tbl>
      <w:tblPr>
        <w:tblStyle w:val="1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66"/>
        <w:gridCol w:w="1600"/>
        <w:gridCol w:w="1413"/>
        <w:gridCol w:w="1413"/>
        <w:gridCol w:w="1413"/>
        <w:gridCol w:w="1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3" w:type="pct"/>
            <w:shd w:val="clear" w:color="auto" w:fill="B3B3B3"/>
            <w:vAlign w:val="center"/>
          </w:tcPr>
          <w:p>
            <w:pPr>
              <w:widowControl/>
              <w:snapToGrid w:val="0"/>
              <w:spacing w:line="0" w:lineRule="atLeast"/>
              <w:jc w:val="center"/>
              <w:outlineLvl w:val="9"/>
              <w:rPr>
                <w:rFonts w:ascii="仿宋" w:hAnsi="仿宋" w:eastAsia="仿宋" w:cs="仿宋"/>
                <w:sz w:val="24"/>
                <w:highlight w:val="none"/>
              </w:rPr>
            </w:pPr>
            <w:r>
              <w:rPr>
                <w:rFonts w:hint="eastAsia" w:ascii="仿宋" w:hAnsi="仿宋" w:eastAsia="仿宋" w:cs="仿宋"/>
                <w:b/>
                <w:bCs/>
                <w:kern w:val="0"/>
                <w:sz w:val="24"/>
                <w:highlight w:val="none"/>
                <w:lang w:val="zh-TW" w:eastAsia="zh-TW"/>
              </w:rPr>
              <w:t>指标</w:t>
            </w:r>
          </w:p>
        </w:tc>
        <w:tc>
          <w:tcPr>
            <w:tcW w:w="939" w:type="pct"/>
            <w:shd w:val="clear" w:color="auto" w:fill="B3B3B3"/>
            <w:vAlign w:val="center"/>
          </w:tcPr>
          <w:p>
            <w:pPr>
              <w:widowControl/>
              <w:snapToGrid w:val="0"/>
              <w:spacing w:line="0" w:lineRule="atLeast"/>
              <w:jc w:val="center"/>
              <w:outlineLvl w:val="9"/>
              <w:rPr>
                <w:rFonts w:hint="eastAsia" w:ascii="仿宋" w:hAnsi="仿宋" w:eastAsia="仿宋" w:cs="仿宋"/>
                <w:b/>
                <w:bCs/>
                <w:kern w:val="0"/>
                <w:sz w:val="24"/>
                <w:highlight w:val="none"/>
                <w:lang w:val="en-US" w:eastAsia="zh-CN"/>
              </w:rPr>
            </w:pPr>
            <w:r>
              <w:rPr>
                <w:rFonts w:hint="eastAsia" w:ascii="仿宋" w:hAnsi="仿宋" w:eastAsia="仿宋" w:cs="仿宋"/>
                <w:b/>
                <w:bCs/>
                <w:kern w:val="0"/>
                <w:sz w:val="24"/>
                <w:highlight w:val="none"/>
                <w:lang w:val="en-US" w:eastAsia="zh-CN"/>
              </w:rPr>
              <w:t>决策</w:t>
            </w:r>
          </w:p>
        </w:tc>
        <w:tc>
          <w:tcPr>
            <w:tcW w:w="829" w:type="pct"/>
            <w:shd w:val="clear" w:color="auto" w:fill="B3B3B3"/>
            <w:vAlign w:val="center"/>
          </w:tcPr>
          <w:p>
            <w:pPr>
              <w:widowControl/>
              <w:snapToGrid w:val="0"/>
              <w:spacing w:line="0" w:lineRule="atLeast"/>
              <w:jc w:val="center"/>
              <w:outlineLvl w:val="9"/>
              <w:rPr>
                <w:rFonts w:ascii="仿宋" w:hAnsi="仿宋" w:eastAsia="仿宋" w:cs="仿宋"/>
                <w:b/>
                <w:bCs/>
                <w:kern w:val="0"/>
                <w:sz w:val="24"/>
                <w:highlight w:val="none"/>
                <w:lang w:val="zh-TW"/>
              </w:rPr>
            </w:pPr>
            <w:r>
              <w:rPr>
                <w:rFonts w:hint="eastAsia" w:ascii="仿宋" w:hAnsi="仿宋" w:eastAsia="仿宋" w:cs="仿宋"/>
                <w:b/>
                <w:bCs/>
                <w:kern w:val="0"/>
                <w:sz w:val="24"/>
                <w:highlight w:val="none"/>
                <w:lang w:val="zh-TW"/>
              </w:rPr>
              <w:t>过程</w:t>
            </w:r>
          </w:p>
        </w:tc>
        <w:tc>
          <w:tcPr>
            <w:tcW w:w="829" w:type="pct"/>
            <w:shd w:val="clear" w:color="auto" w:fill="B3B3B3"/>
            <w:vAlign w:val="center"/>
          </w:tcPr>
          <w:p>
            <w:pPr>
              <w:widowControl/>
              <w:snapToGrid w:val="0"/>
              <w:spacing w:line="0" w:lineRule="atLeast"/>
              <w:jc w:val="center"/>
              <w:outlineLvl w:val="9"/>
              <w:rPr>
                <w:rFonts w:ascii="仿宋" w:hAnsi="仿宋" w:eastAsia="仿宋" w:cs="仿宋"/>
                <w:b/>
                <w:bCs/>
                <w:kern w:val="0"/>
                <w:sz w:val="24"/>
                <w:highlight w:val="none"/>
                <w:lang w:val="zh-TW"/>
              </w:rPr>
            </w:pPr>
            <w:r>
              <w:rPr>
                <w:rFonts w:hint="eastAsia" w:ascii="仿宋" w:hAnsi="仿宋" w:eastAsia="仿宋" w:cs="仿宋"/>
                <w:b/>
                <w:bCs/>
                <w:kern w:val="0"/>
                <w:sz w:val="24"/>
                <w:highlight w:val="none"/>
                <w:lang w:val="zh-TW"/>
              </w:rPr>
              <w:t>产出</w:t>
            </w:r>
          </w:p>
        </w:tc>
        <w:tc>
          <w:tcPr>
            <w:tcW w:w="829" w:type="pct"/>
            <w:shd w:val="clear" w:color="auto" w:fill="B3B3B3"/>
            <w:vAlign w:val="center"/>
          </w:tcPr>
          <w:p>
            <w:pPr>
              <w:widowControl/>
              <w:snapToGrid w:val="0"/>
              <w:spacing w:line="0" w:lineRule="atLeast"/>
              <w:jc w:val="center"/>
              <w:outlineLvl w:val="9"/>
              <w:rPr>
                <w:rFonts w:ascii="仿宋" w:hAnsi="仿宋" w:eastAsia="仿宋" w:cs="仿宋"/>
                <w:b/>
                <w:bCs/>
                <w:kern w:val="0"/>
                <w:sz w:val="24"/>
                <w:highlight w:val="none"/>
                <w:lang w:val="zh-TW"/>
              </w:rPr>
            </w:pPr>
            <w:r>
              <w:rPr>
                <w:rFonts w:hint="eastAsia" w:ascii="仿宋" w:hAnsi="仿宋" w:eastAsia="仿宋" w:cs="仿宋"/>
                <w:b/>
                <w:bCs/>
                <w:kern w:val="0"/>
                <w:sz w:val="24"/>
                <w:highlight w:val="none"/>
                <w:lang w:val="zh-TW"/>
              </w:rPr>
              <w:t>效益</w:t>
            </w:r>
          </w:p>
        </w:tc>
        <w:tc>
          <w:tcPr>
            <w:tcW w:w="829" w:type="pct"/>
            <w:shd w:val="clear" w:color="auto" w:fill="B3B3B3"/>
            <w:vAlign w:val="center"/>
          </w:tcPr>
          <w:p>
            <w:pPr>
              <w:widowControl/>
              <w:snapToGrid w:val="0"/>
              <w:spacing w:line="0" w:lineRule="atLeast"/>
              <w:jc w:val="center"/>
              <w:outlineLvl w:val="9"/>
              <w:rPr>
                <w:rFonts w:ascii="仿宋" w:hAnsi="仿宋" w:eastAsia="仿宋" w:cs="仿宋"/>
                <w:b/>
                <w:bCs/>
                <w:kern w:val="0"/>
                <w:sz w:val="24"/>
                <w:highlight w:val="none"/>
                <w:lang w:val="zh-TW" w:eastAsia="zh-TW"/>
              </w:rPr>
            </w:pPr>
            <w:r>
              <w:rPr>
                <w:rFonts w:hint="eastAsia" w:ascii="仿宋" w:hAnsi="仿宋" w:eastAsia="仿宋" w:cs="仿宋"/>
                <w:b/>
                <w:bCs/>
                <w:kern w:val="0"/>
                <w:sz w:val="24"/>
                <w:highlight w:val="none"/>
                <w:lang w:val="zh-TW" w:eastAsia="zh-TW"/>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3" w:type="pct"/>
            <w:vAlign w:val="center"/>
          </w:tcPr>
          <w:p>
            <w:pPr>
              <w:widowControl/>
              <w:snapToGrid w:val="0"/>
              <w:spacing w:line="0" w:lineRule="atLeast"/>
              <w:jc w:val="center"/>
              <w:outlineLvl w:val="9"/>
              <w:rPr>
                <w:rFonts w:ascii="仿宋" w:hAnsi="仿宋" w:eastAsia="仿宋" w:cs="仿宋"/>
                <w:sz w:val="24"/>
                <w:highlight w:val="none"/>
              </w:rPr>
            </w:pPr>
            <w:r>
              <w:rPr>
                <w:rFonts w:hint="eastAsia" w:ascii="仿宋" w:hAnsi="仿宋" w:eastAsia="仿宋" w:cs="仿宋"/>
                <w:b/>
                <w:bCs/>
                <w:kern w:val="0"/>
                <w:sz w:val="24"/>
                <w:highlight w:val="none"/>
                <w:lang w:val="zh-TW" w:eastAsia="zh-TW"/>
              </w:rPr>
              <w:t>权重</w:t>
            </w:r>
          </w:p>
        </w:tc>
        <w:tc>
          <w:tcPr>
            <w:tcW w:w="1600"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10.00</w:t>
            </w:r>
          </w:p>
        </w:tc>
        <w:tc>
          <w:tcPr>
            <w:tcW w:w="1413"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30.00</w:t>
            </w:r>
          </w:p>
        </w:tc>
        <w:tc>
          <w:tcPr>
            <w:tcW w:w="1413"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30.00</w:t>
            </w:r>
          </w:p>
        </w:tc>
        <w:tc>
          <w:tcPr>
            <w:tcW w:w="1413"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30.00</w:t>
            </w:r>
          </w:p>
        </w:tc>
        <w:tc>
          <w:tcPr>
            <w:tcW w:w="1414"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3" w:type="pct"/>
            <w:vAlign w:val="center"/>
          </w:tcPr>
          <w:p>
            <w:pPr>
              <w:widowControl/>
              <w:snapToGrid w:val="0"/>
              <w:spacing w:line="0" w:lineRule="atLeast"/>
              <w:jc w:val="center"/>
              <w:outlineLvl w:val="9"/>
              <w:rPr>
                <w:rFonts w:ascii="仿宋" w:hAnsi="仿宋" w:eastAsia="仿宋" w:cs="仿宋"/>
                <w:sz w:val="24"/>
                <w:highlight w:val="none"/>
              </w:rPr>
            </w:pPr>
            <w:r>
              <w:rPr>
                <w:rFonts w:hint="eastAsia" w:ascii="仿宋" w:hAnsi="仿宋" w:eastAsia="仿宋" w:cs="仿宋"/>
                <w:b/>
                <w:bCs/>
                <w:kern w:val="0"/>
                <w:sz w:val="24"/>
                <w:highlight w:val="none"/>
                <w:lang w:val="zh-TW" w:eastAsia="zh-TW"/>
              </w:rPr>
              <w:t>分值</w:t>
            </w:r>
          </w:p>
        </w:tc>
        <w:tc>
          <w:tcPr>
            <w:tcW w:w="1600"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7.00</w:t>
            </w:r>
          </w:p>
        </w:tc>
        <w:tc>
          <w:tcPr>
            <w:tcW w:w="1413"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24.66</w:t>
            </w:r>
          </w:p>
        </w:tc>
        <w:tc>
          <w:tcPr>
            <w:tcW w:w="1413"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23.30</w:t>
            </w:r>
          </w:p>
        </w:tc>
        <w:tc>
          <w:tcPr>
            <w:tcW w:w="1413"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27.19</w:t>
            </w:r>
          </w:p>
        </w:tc>
        <w:tc>
          <w:tcPr>
            <w:tcW w:w="1414"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82.15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3" w:type="pct"/>
            <w:vAlign w:val="center"/>
          </w:tcPr>
          <w:p>
            <w:pPr>
              <w:widowControl/>
              <w:snapToGrid w:val="0"/>
              <w:spacing w:line="0" w:lineRule="atLeast"/>
              <w:jc w:val="center"/>
              <w:outlineLvl w:val="9"/>
              <w:rPr>
                <w:rFonts w:ascii="仿宋" w:hAnsi="仿宋" w:eastAsia="仿宋" w:cs="仿宋"/>
                <w:sz w:val="24"/>
                <w:highlight w:val="none"/>
              </w:rPr>
            </w:pPr>
            <w:r>
              <w:rPr>
                <w:rFonts w:hint="eastAsia" w:ascii="仿宋" w:hAnsi="仿宋" w:eastAsia="仿宋" w:cs="仿宋"/>
                <w:b/>
                <w:bCs/>
                <w:kern w:val="0"/>
                <w:sz w:val="24"/>
                <w:highlight w:val="none"/>
                <w:lang w:val="zh-TW" w:eastAsia="zh-TW"/>
              </w:rPr>
              <w:t>得分率</w:t>
            </w:r>
          </w:p>
        </w:tc>
        <w:tc>
          <w:tcPr>
            <w:tcW w:w="1600"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70.00%</w:t>
            </w:r>
          </w:p>
        </w:tc>
        <w:tc>
          <w:tcPr>
            <w:tcW w:w="1413"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82.20%</w:t>
            </w:r>
          </w:p>
        </w:tc>
        <w:tc>
          <w:tcPr>
            <w:tcW w:w="1413"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77.67%</w:t>
            </w:r>
          </w:p>
        </w:tc>
        <w:tc>
          <w:tcPr>
            <w:tcW w:w="1413"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90.63%</w:t>
            </w:r>
          </w:p>
        </w:tc>
        <w:tc>
          <w:tcPr>
            <w:tcW w:w="1414" w:type="dxa"/>
            <w:vAlign w:val="center"/>
          </w:tcPr>
          <w:p>
            <w:pPr>
              <w:widowControl/>
              <w:snapToGrid w:val="0"/>
              <w:spacing w:line="0" w:lineRule="atLeast"/>
              <w:ind w:right="189" w:rightChars="90"/>
              <w:jc w:val="center"/>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82.15%</w:t>
            </w: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仿宋" w:hAnsi="仿宋" w:eastAsia="仿宋" w:cs="仿宋"/>
          <w:b/>
          <w:sz w:val="28"/>
          <w:szCs w:val="28"/>
          <w:highlight w:val="none"/>
          <w:lang w:val="en-US" w:eastAsia="zh-CN"/>
        </w:rPr>
      </w:pPr>
      <w:bookmarkStart w:id="32" w:name="_Toc9568"/>
      <w:r>
        <w:rPr>
          <w:rFonts w:hint="default" w:ascii="仿宋" w:hAnsi="仿宋" w:eastAsia="仿宋" w:cs="仿宋"/>
          <w:b/>
          <w:sz w:val="28"/>
          <w:szCs w:val="28"/>
          <w:highlight w:val="none"/>
          <w:lang w:val="en-US" w:eastAsia="zh-CN"/>
        </w:rPr>
        <w:t>（二）评价结论</w:t>
      </w:r>
      <w:bookmarkEnd w:id="32"/>
    </w:p>
    <w:p>
      <w:pPr>
        <w:numPr>
          <w:ilvl w:val="0"/>
          <w:numId w:val="0"/>
        </w:numPr>
        <w:adjustRightInd w:val="0"/>
        <w:snapToGrid w:val="0"/>
        <w:spacing w:line="560" w:lineRule="exact"/>
        <w:ind w:firstLine="560" w:firstLineChars="200"/>
        <w:outlineLvl w:val="9"/>
        <w:rPr>
          <w:rFonts w:hint="eastAsia" w:ascii="仿宋" w:hAnsi="仿宋" w:eastAsia="仿宋" w:cs="仿宋"/>
          <w:kern w:val="0"/>
          <w:sz w:val="28"/>
          <w:szCs w:val="28"/>
          <w:highlight w:val="none"/>
          <w:lang w:val="en-US" w:eastAsia="zh-CN" w:bidi="ar-SA"/>
        </w:rPr>
      </w:pPr>
      <w:bookmarkStart w:id="33" w:name="_Toc9856"/>
      <w:bookmarkStart w:id="34" w:name="_Toc4781"/>
      <w:bookmarkStart w:id="35" w:name="_Toc6102"/>
      <w:r>
        <w:rPr>
          <w:rFonts w:hint="default" w:ascii="仿宋" w:hAnsi="仿宋" w:eastAsia="仿宋" w:cs="仿宋"/>
          <w:kern w:val="0"/>
          <w:sz w:val="28"/>
          <w:szCs w:val="28"/>
          <w:highlight w:val="none"/>
          <w:lang w:val="en-US" w:eastAsia="zh-CN" w:bidi="ar-SA"/>
        </w:rPr>
        <w:t>经过对</w:t>
      </w:r>
      <w:r>
        <w:rPr>
          <w:rFonts w:hint="eastAsia" w:ascii="仿宋" w:hAnsi="仿宋" w:eastAsia="仿宋" w:cs="仿宋"/>
          <w:sz w:val="28"/>
          <w:szCs w:val="28"/>
          <w:highlight w:val="none"/>
          <w:lang w:val="en-US" w:eastAsia="zh-CN"/>
        </w:rPr>
        <w:t>2021年永济市疫情防控资金</w:t>
      </w:r>
      <w:r>
        <w:rPr>
          <w:rFonts w:hint="default" w:ascii="仿宋" w:hAnsi="仿宋" w:eastAsia="仿宋" w:cs="仿宋"/>
          <w:kern w:val="0"/>
          <w:sz w:val="28"/>
          <w:szCs w:val="28"/>
          <w:highlight w:val="none"/>
          <w:lang w:val="en-US" w:eastAsia="zh-CN" w:bidi="ar-SA"/>
        </w:rPr>
        <w:t>的决策、过程、产出和效益的综合评价，得出以下结论</w:t>
      </w:r>
      <w:r>
        <w:rPr>
          <w:rFonts w:hint="eastAsia" w:ascii="仿宋" w:hAnsi="仿宋" w:eastAsia="仿宋" w:cs="仿宋"/>
          <w:kern w:val="0"/>
          <w:sz w:val="28"/>
          <w:szCs w:val="28"/>
          <w:highlight w:val="none"/>
          <w:lang w:val="en-US" w:eastAsia="zh-CN" w:bidi="ar-SA"/>
        </w:rPr>
        <w:t>：</w:t>
      </w:r>
    </w:p>
    <w:p>
      <w:pPr>
        <w:numPr>
          <w:ilvl w:val="0"/>
          <w:numId w:val="0"/>
        </w:numPr>
        <w:adjustRightInd w:val="0"/>
        <w:snapToGrid w:val="0"/>
        <w:spacing w:line="560" w:lineRule="exact"/>
        <w:ind w:firstLine="560" w:firstLineChars="200"/>
        <w:outlineLvl w:val="9"/>
        <w:rPr>
          <w:rFonts w:hint="eastAsia" w:ascii="仿宋" w:hAnsi="仿宋" w:eastAsia="仿宋" w:cs="仿宋"/>
          <w:b w:val="0"/>
          <w:bCs/>
          <w:sz w:val="28"/>
          <w:szCs w:val="28"/>
          <w:highlight w:val="none"/>
          <w:lang w:val="en-US" w:eastAsia="zh-CN"/>
        </w:rPr>
      </w:pPr>
      <w:r>
        <w:rPr>
          <w:rFonts w:hint="eastAsia" w:ascii="仿宋" w:hAnsi="仿宋" w:eastAsia="仿宋" w:cs="仿宋"/>
          <w:b w:val="0"/>
          <w:bCs/>
          <w:kern w:val="2"/>
          <w:sz w:val="28"/>
          <w:szCs w:val="28"/>
          <w:highlight w:val="none"/>
          <w:lang w:val="en-US" w:eastAsia="zh-CN" w:bidi="ar-SA"/>
        </w:rPr>
        <w:t>1.项目决策类指标得分情况不佳，虽然项目决策依据充分，符合国家疫情联防联控工作组及相关政策要求，相关绩效目标符合疫情防控的总体要求，并且绩效指标清晰、可量化；但是，资金在投入过程中预算编制不科学，主要体现在隔离点酒店租赁费按照满住的标准进行付费，未考虑隔离酒店的实际入住率；其次，核酸检测补助</w:t>
      </w:r>
      <w:r>
        <w:rPr>
          <w:rFonts w:hint="eastAsia" w:ascii="仿宋" w:hAnsi="仿宋" w:eastAsia="仿宋" w:cs="仿宋"/>
          <w:sz w:val="28"/>
          <w:szCs w:val="28"/>
          <w:highlight w:val="none"/>
          <w:lang w:val="en-US" w:eastAsia="zh-CN"/>
        </w:rPr>
        <w:t>预算额度测算依据不充分，未能考虑免费核酸检测的准确人次、各个期间核酸检测的收费标准等；最后，全员核酸检测补助款各医院分配不合理，补助成本存在差异</w:t>
      </w:r>
      <w:r>
        <w:rPr>
          <w:rFonts w:hint="eastAsia" w:ascii="仿宋" w:hAnsi="仿宋" w:eastAsia="仿宋" w:cs="仿宋"/>
          <w:b w:val="0"/>
          <w:bCs/>
          <w:sz w:val="28"/>
          <w:szCs w:val="28"/>
          <w:highlight w:val="none"/>
          <w:lang w:val="en-US" w:eastAsia="zh-CN"/>
        </w:rPr>
        <w:t>。</w:t>
      </w:r>
    </w:p>
    <w:p>
      <w:pPr>
        <w:numPr>
          <w:ilvl w:val="0"/>
          <w:numId w:val="0"/>
        </w:numPr>
        <w:adjustRightInd w:val="0"/>
        <w:snapToGrid w:val="0"/>
        <w:spacing w:line="560" w:lineRule="exact"/>
        <w:ind w:firstLine="560" w:firstLineChars="200"/>
        <w:outlineLvl w:val="9"/>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项目过程类指标共分为两部分，首先是资金管理方面，资金到位情况和执行情况较为良好，但是在资金使用过程中存在个别单位的资金支出超出疫情防控范畴，进入实有账户的资金未能做到单独核算；其次，在组织实施过程中基本能够做到按照相关要求执行疫情防控的各项工作，但是相关资料保管不善、记录不完整，例如：2021年免费核酸检测人员名单未能汇总整理，隔离点隔离期间消杀记录、体温监测等相关记录不完整，隔离人员信息未进行汇总登记，隔离点隔离期间个别记录丢失，管理散乱。</w:t>
      </w:r>
    </w:p>
    <w:p>
      <w:pPr>
        <w:numPr>
          <w:ilvl w:val="0"/>
          <w:numId w:val="0"/>
        </w:numPr>
        <w:shd w:val="clear"/>
        <w:adjustRightInd w:val="0"/>
        <w:snapToGrid w:val="0"/>
        <w:spacing w:line="560" w:lineRule="exact"/>
        <w:ind w:firstLine="560" w:firstLineChars="20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3.各项目单位按照计划的要求完成4个核酸实验室，1个发热门诊的建设工程，并且能够满足5-7日内完成一轮常住人口的核酸检测要求；完成23个接种点的接种设施配置，顺利开展疫苗接种等工作。但是隔离点在运行过程中管理不到位，首先，经调查隔离期间存在自费隔离人员，但是未能准确登记，将自费和免费人员进行区分；其次，隔离期间环境清洁不到位，导致多位隔离人员反映环境较差，无人清理垃圾，隔离感受并不良好；此外，隔离酒店租金结算不合理，例如：滨河假日酒店的入住率在2021年后半年仅为38%，却按照100%的租赁费缴纳房租，免费核酸检测人员名单不准确就发放核酸检测补助，产出成本控制不良，造成财政资金浪费或缺乏依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kern w:val="0"/>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4.通过广大医务工作者及防控工作人员辛苦地工作，促进核酸检测顺利进行、疫苗接种率的不断上升以及公共环境的健康，保障了人民群众生命安全和身体健康，但是由于隔离酒店消杀处理不全面，影响了附近居民及被隔离人员的安全，导致群众满意度不高。</w:t>
      </w:r>
    </w:p>
    <w:p>
      <w:pPr>
        <w:spacing w:line="560" w:lineRule="exact"/>
        <w:ind w:firstLine="562" w:firstLineChars="200"/>
        <w:outlineLvl w:val="1"/>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三</w:t>
      </w:r>
      <w:r>
        <w:rPr>
          <w:rFonts w:hint="eastAsia" w:ascii="仿宋" w:hAnsi="仿宋" w:eastAsia="仿宋" w:cs="仿宋"/>
          <w:b/>
          <w:sz w:val="28"/>
          <w:szCs w:val="28"/>
          <w:highlight w:val="none"/>
        </w:rPr>
        <w:t>、存在的主要问题和</w:t>
      </w:r>
      <w:r>
        <w:rPr>
          <w:rFonts w:hint="eastAsia" w:ascii="仿宋" w:hAnsi="仿宋" w:eastAsia="仿宋" w:cs="仿宋"/>
          <w:b/>
          <w:sz w:val="28"/>
          <w:szCs w:val="28"/>
          <w:highlight w:val="none"/>
          <w:lang w:eastAsia="zh-CN"/>
        </w:rPr>
        <w:t>建议</w:t>
      </w:r>
      <w:bookmarkEnd w:id="33"/>
      <w:bookmarkEnd w:id="34"/>
      <w:bookmarkEnd w:id="35"/>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eastAsia" w:ascii="仿宋" w:hAnsi="仿宋" w:eastAsia="仿宋"/>
          <w:b/>
          <w:sz w:val="28"/>
          <w:szCs w:val="28"/>
          <w:highlight w:val="none"/>
        </w:rPr>
      </w:pPr>
      <w:bookmarkStart w:id="36" w:name="_Toc8777"/>
      <w:r>
        <w:rPr>
          <w:rFonts w:hint="eastAsia" w:ascii="仿宋" w:hAnsi="仿宋" w:eastAsia="仿宋"/>
          <w:b/>
          <w:sz w:val="28"/>
          <w:szCs w:val="28"/>
          <w:highlight w:val="none"/>
        </w:rPr>
        <w:t>（一）存在的主要问题</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仿宋" w:hAnsi="仿宋" w:eastAsia="仿宋" w:cs="仿宋"/>
          <w:b/>
          <w:bCs w:val="0"/>
          <w:sz w:val="28"/>
          <w:szCs w:val="28"/>
          <w:highlight w:val="none"/>
          <w:lang w:val="en-US" w:eastAsia="zh-CN"/>
        </w:rPr>
      </w:pPr>
      <w:r>
        <w:rPr>
          <w:rFonts w:hint="eastAsia" w:ascii="仿宋" w:hAnsi="仿宋" w:eastAsia="仿宋" w:cs="仿宋"/>
          <w:b/>
          <w:bCs w:val="0"/>
          <w:sz w:val="28"/>
          <w:szCs w:val="28"/>
          <w:highlight w:val="none"/>
          <w:lang w:val="en-US" w:eastAsia="zh-CN"/>
        </w:rPr>
        <w:t>1.核酸检测存在的相关问题</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①由相关部门推送的免费检测名单原始资料缺失，无法证实核酸检测的真实性。</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②免费核酸检测人员名单不完整、信息不充分，无法核实免费检测人次的准确性。主要因为：相关部门推送至检测机构的免费检测人员名单未被及时进行汇总整理，导致人员名单不完整；检测机构接诊的免费检测人员，相关信息录入不充分，未标注混采比例；核酸检测公布程序中的信息未及时导出，现已无法获取到数据。</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③免费核酸检测人次不准确，缺少绩效考核或其他核定程序，导致补助资金在测算时缺乏准确依据；全员核酸资金分配存在差异，各医疗机构补助标准不统一。</w:t>
      </w:r>
    </w:p>
    <w:p>
      <w:pPr>
        <w:keepNext w:val="0"/>
        <w:keepLines w:val="0"/>
        <w:pageBreakBefore w:val="0"/>
        <w:widowControl w:val="0"/>
        <w:kinsoku/>
        <w:wordWrap/>
        <w:overflowPunct/>
        <w:topLinePunct w:val="0"/>
        <w:autoSpaceDE/>
        <w:autoSpaceDN/>
        <w:bidi w:val="0"/>
        <w:adjustRightInd/>
        <w:snapToGrid/>
        <w:spacing w:line="560" w:lineRule="exact"/>
        <w:ind w:firstLine="556"/>
        <w:textAlignment w:val="auto"/>
        <w:outlineLvl w:val="3"/>
        <w:rPr>
          <w:rFonts w:hint="default" w:ascii="仿宋" w:hAnsi="仿宋" w:eastAsia="仿宋" w:cs="仿宋"/>
          <w:b/>
          <w:bCs w:val="0"/>
          <w:strike w:val="0"/>
          <w:dstrike w:val="0"/>
          <w:sz w:val="28"/>
          <w:szCs w:val="28"/>
          <w:highlight w:val="none"/>
          <w:lang w:val="en-US" w:eastAsia="zh-CN"/>
        </w:rPr>
      </w:pPr>
      <w:r>
        <w:rPr>
          <w:rFonts w:hint="eastAsia" w:ascii="仿宋" w:hAnsi="仿宋" w:eastAsia="仿宋" w:cs="仿宋"/>
          <w:b/>
          <w:bCs w:val="0"/>
          <w:strike w:val="0"/>
          <w:dstrike w:val="0"/>
          <w:sz w:val="28"/>
          <w:szCs w:val="28"/>
          <w:highlight w:val="none"/>
          <w:lang w:val="en-US" w:eastAsia="zh-CN"/>
        </w:rPr>
        <w:t>2.隔离点存在的相关问题</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①租赁合同内容不合理，未考虑房间的预期入住率，以滨河假日酒店为例，2021年7月30日-2021年12月14日，房间实际入住率仅为38%，而合同以100%的房间数进行租赁，造成财政资金浪费。</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②经调查，2021年存在隔离人员收费的情况，但是相关资料中未将自费人员和免费人员进行区分，人员信息记录不完整。</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③隔离点运行管理不到位，隔离酒店废弃物处理无相关记录，消毒记录不完善，环境卫生不佳。根据永济市卫生健康和体育局出具的卫生监督意见书，鼎泰隔离点管理上未设置安保、医师、负责人轮流值班表，医疗废弃物未建立完善的消毒记录；废弃物处置上污水未达到每日进行余氯检测，同时根据问卷调查及电话回访结果，三个隔离点均存在酒店环境较差、饮食配置不好的情况，群众整体满意度不高。</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④隔离点资料管理不到位，滨河酒店、华晟酒店在2021年年初隔离期间的相关记录丢失，鼎泰隔离酒店2021年隔离期间相关记录未留存。</w:t>
      </w:r>
    </w:p>
    <w:p>
      <w:pPr>
        <w:keepNext w:val="0"/>
        <w:keepLines w:val="0"/>
        <w:pageBreakBefore w:val="0"/>
        <w:widowControl w:val="0"/>
        <w:kinsoku/>
        <w:wordWrap/>
        <w:overflowPunct/>
        <w:topLinePunct w:val="0"/>
        <w:autoSpaceDE/>
        <w:autoSpaceDN/>
        <w:bidi w:val="0"/>
        <w:adjustRightInd/>
        <w:snapToGrid/>
        <w:spacing w:line="560" w:lineRule="exact"/>
        <w:ind w:firstLine="556"/>
        <w:textAlignment w:val="auto"/>
        <w:outlineLvl w:val="3"/>
        <w:rPr>
          <w:rFonts w:hint="default" w:ascii="仿宋" w:hAnsi="仿宋" w:eastAsia="仿宋" w:cs="仿宋"/>
          <w:b/>
          <w:bCs w:val="0"/>
          <w:strike w:val="0"/>
          <w:dstrike w:val="0"/>
          <w:sz w:val="28"/>
          <w:szCs w:val="28"/>
          <w:highlight w:val="none"/>
          <w:lang w:val="en-US" w:eastAsia="zh-CN"/>
        </w:rPr>
      </w:pPr>
      <w:r>
        <w:rPr>
          <w:rFonts w:hint="eastAsia" w:ascii="仿宋" w:hAnsi="仿宋" w:eastAsia="仿宋" w:cs="仿宋"/>
          <w:b/>
          <w:bCs w:val="0"/>
          <w:strike w:val="0"/>
          <w:dstrike w:val="0"/>
          <w:sz w:val="28"/>
          <w:szCs w:val="28"/>
          <w:highlight w:val="none"/>
          <w:lang w:val="en-US" w:eastAsia="zh-CN"/>
        </w:rPr>
        <w:t>3.存在部分支出超出疫情防控范畴</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b w:val="0"/>
          <w:bCs/>
          <w:sz w:val="28"/>
          <w:szCs w:val="28"/>
          <w:highlight w:val="none"/>
          <w:lang w:val="en-US" w:eastAsia="zh-CN"/>
        </w:rPr>
        <w:t>通过资料搜集，发现资金在使用过程中疾控中心资金用途超出疫情防控资金范畴，例如：单位职工流感疫苗款、与疫情无关的差旅费及餐费等</w:t>
      </w:r>
      <w:r>
        <w:rPr>
          <w:rFonts w:hint="eastAsia" w:ascii="仿宋" w:hAnsi="仿宋" w:eastAsia="仿宋" w:cs="仿宋"/>
          <w:sz w:val="28"/>
          <w:szCs w:val="28"/>
          <w:highlight w:val="none"/>
          <w:lang w:val="en-US" w:eastAsia="zh-CN"/>
        </w:rPr>
        <w:t>。</w:t>
      </w:r>
    </w:p>
    <w:bookmarkEnd w:id="36"/>
    <w:p>
      <w:pPr>
        <w:spacing w:line="560" w:lineRule="exact"/>
        <w:ind w:firstLine="562" w:firstLineChars="200"/>
        <w:outlineLvl w:val="2"/>
        <w:rPr>
          <w:rFonts w:hint="eastAsia" w:ascii="仿宋" w:hAnsi="仿宋" w:eastAsia="仿宋"/>
          <w:sz w:val="28"/>
          <w:szCs w:val="28"/>
          <w:highlight w:val="none"/>
          <w:lang w:eastAsia="zh-CN"/>
        </w:rPr>
      </w:pPr>
      <w:r>
        <w:rPr>
          <w:rFonts w:hint="eastAsia" w:ascii="仿宋" w:hAnsi="仿宋" w:eastAsia="仿宋"/>
          <w:b/>
          <w:sz w:val="28"/>
          <w:szCs w:val="28"/>
          <w:highlight w:val="none"/>
        </w:rPr>
        <w:t>（二）</w:t>
      </w:r>
      <w:r>
        <w:rPr>
          <w:rFonts w:hint="eastAsia" w:ascii="仿宋" w:hAnsi="仿宋" w:eastAsia="仿宋"/>
          <w:b/>
          <w:sz w:val="28"/>
          <w:szCs w:val="28"/>
          <w:highlight w:val="none"/>
          <w:lang w:val="en-US" w:eastAsia="zh-CN"/>
        </w:rPr>
        <w:t>相关</w:t>
      </w:r>
      <w:r>
        <w:rPr>
          <w:rFonts w:hint="eastAsia" w:ascii="仿宋" w:hAnsi="仿宋" w:eastAsia="仿宋"/>
          <w:b/>
          <w:sz w:val="28"/>
          <w:szCs w:val="28"/>
          <w:highlight w:val="none"/>
          <w:lang w:eastAsia="zh-CN"/>
        </w:rPr>
        <w:t>建议</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2" w:firstLineChars="200"/>
        <w:textAlignment w:val="auto"/>
        <w:outlineLvl w:val="3"/>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1.积极汇总免费核酸检测人员名单，在核实名单的基础上，确定补助方法和标准</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outlineLvl w:val="9"/>
        <w:rPr>
          <w:rFonts w:hint="default"/>
          <w:highlight w:val="none"/>
          <w:lang w:val="en-US" w:eastAsia="zh-CN"/>
        </w:rPr>
      </w:pPr>
      <w:r>
        <w:rPr>
          <w:rFonts w:hint="eastAsia" w:ascii="仿宋" w:hAnsi="仿宋" w:eastAsia="仿宋" w:cs="仿宋"/>
          <w:b w:val="0"/>
          <w:bCs/>
          <w:kern w:val="2"/>
          <w:sz w:val="28"/>
          <w:szCs w:val="28"/>
          <w:highlight w:val="none"/>
          <w:lang w:val="en-US" w:eastAsia="zh-CN" w:bidi="ar-SA"/>
        </w:rPr>
        <w:t>涉及免费核酸检测的医疗机构应及时将相关人员名单进行汇总，并标明检测日期、人群类别、混采方式、联系方式等信息，并将该名单上报进行论证和检验，经核实后根据最终名单确定免费核酸检测的补助方法和标准，例如：按照日期和混采比例以各阶段的核酸检测收费标准进行补助，或采取平均收费标准等方式。</w:t>
      </w:r>
    </w:p>
    <w:p>
      <w:pPr>
        <w:keepNext w:val="0"/>
        <w:keepLines w:val="0"/>
        <w:pageBreakBefore w:val="0"/>
        <w:widowControl w:val="0"/>
        <w:kinsoku/>
        <w:wordWrap/>
        <w:overflowPunct/>
        <w:topLinePunct w:val="0"/>
        <w:autoSpaceDE/>
        <w:autoSpaceDN/>
        <w:bidi w:val="0"/>
        <w:adjustRightInd/>
        <w:snapToGrid/>
        <w:spacing w:line="560" w:lineRule="exact"/>
        <w:ind w:firstLine="556"/>
        <w:textAlignment w:val="auto"/>
        <w:outlineLvl w:val="3"/>
        <w:rPr>
          <w:rFonts w:hint="default" w:ascii="仿宋" w:hAnsi="仿宋" w:eastAsia="仿宋" w:cs="仿宋"/>
          <w:b/>
          <w:bCs w:val="0"/>
          <w:strike w:val="0"/>
          <w:dstrike w:val="0"/>
          <w:sz w:val="28"/>
          <w:szCs w:val="28"/>
          <w:highlight w:val="none"/>
          <w:lang w:val="en-US" w:eastAsia="zh-CN"/>
        </w:rPr>
      </w:pPr>
      <w:r>
        <w:rPr>
          <w:rFonts w:hint="eastAsia" w:ascii="仿宋" w:hAnsi="仿宋" w:eastAsia="仿宋" w:cs="仿宋"/>
          <w:b/>
          <w:bCs w:val="0"/>
          <w:strike w:val="0"/>
          <w:dstrike w:val="0"/>
          <w:sz w:val="28"/>
          <w:szCs w:val="28"/>
          <w:highlight w:val="none"/>
          <w:lang w:val="en-US" w:eastAsia="zh-CN"/>
        </w:rPr>
        <w:t>2.以合理的金额租赁隔离酒店，同时加强隔离酒店的管理，妥善保管隔离期间相关资料</w:t>
      </w:r>
    </w:p>
    <w:p>
      <w:pPr>
        <w:keepNext w:val="0"/>
        <w:keepLines w:val="0"/>
        <w:pageBreakBefore w:val="0"/>
        <w:widowControl w:val="0"/>
        <w:kinsoku/>
        <w:wordWrap/>
        <w:overflowPunct/>
        <w:topLinePunct w:val="0"/>
        <w:autoSpaceDE/>
        <w:autoSpaceDN/>
        <w:bidi w:val="0"/>
        <w:adjustRightInd/>
        <w:snapToGrid/>
        <w:spacing w:line="560" w:lineRule="exact"/>
        <w:ind w:firstLine="556"/>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可采用先租后付的方式，按照实际的入住房间数计算该期间的租赁费，另外可在此基础上对闲置的房间按照合理的金额予以补偿。</w:t>
      </w:r>
    </w:p>
    <w:p>
      <w:pPr>
        <w:keepNext w:val="0"/>
        <w:keepLines w:val="0"/>
        <w:pageBreakBefore w:val="0"/>
        <w:widowControl w:val="0"/>
        <w:kinsoku/>
        <w:wordWrap/>
        <w:overflowPunct/>
        <w:topLinePunct w:val="0"/>
        <w:autoSpaceDE/>
        <w:autoSpaceDN/>
        <w:bidi w:val="0"/>
        <w:adjustRightInd/>
        <w:snapToGrid/>
        <w:spacing w:line="560" w:lineRule="exact"/>
        <w:ind w:firstLine="556"/>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各隔离点需要加强管理。首先，对隔离期间所需记录的相关信息进行统一规定，建立相关信息台账，确保被隔离人员相关信息完整、准确；其次，严格区分自费和免费人员相关信息，尤其是免费人员应准确标明免费的类型；再次，针对隔离酒店环境卫生、医务人员自身管理等相关程序应制定相关的制度，确保医务人员和被隔离人员的安全和酒店卫生，并将每次执行的过程进行登记记录；最后，执行的相关记录应妥善保管，按照月度/季度/合同周期为标准进行整理，并装订成册，以备查看。</w:t>
      </w:r>
    </w:p>
    <w:p>
      <w:pPr>
        <w:keepNext w:val="0"/>
        <w:keepLines w:val="0"/>
        <w:pageBreakBefore w:val="0"/>
        <w:widowControl w:val="0"/>
        <w:kinsoku/>
        <w:wordWrap/>
        <w:overflowPunct/>
        <w:topLinePunct w:val="0"/>
        <w:autoSpaceDE/>
        <w:autoSpaceDN/>
        <w:bidi w:val="0"/>
        <w:adjustRightInd/>
        <w:snapToGrid/>
        <w:spacing w:line="560" w:lineRule="exact"/>
        <w:ind w:firstLine="556"/>
        <w:textAlignment w:val="auto"/>
        <w:outlineLvl w:val="3"/>
        <w:rPr>
          <w:rFonts w:hint="default" w:ascii="仿宋" w:hAnsi="仿宋" w:eastAsia="仿宋" w:cs="仿宋"/>
          <w:b/>
          <w:bCs w:val="0"/>
          <w:strike w:val="0"/>
          <w:dstrike w:val="0"/>
          <w:sz w:val="28"/>
          <w:szCs w:val="28"/>
          <w:highlight w:val="none"/>
          <w:lang w:val="en-US" w:eastAsia="zh-CN"/>
        </w:rPr>
      </w:pPr>
      <w:r>
        <w:rPr>
          <w:rFonts w:hint="eastAsia" w:ascii="仿宋" w:hAnsi="仿宋" w:eastAsia="仿宋" w:cs="仿宋"/>
          <w:b/>
          <w:bCs w:val="0"/>
          <w:strike w:val="0"/>
          <w:dstrike w:val="0"/>
          <w:sz w:val="28"/>
          <w:szCs w:val="28"/>
          <w:highlight w:val="none"/>
          <w:lang w:val="en-US" w:eastAsia="zh-CN"/>
        </w:rPr>
        <w:t>3.制定相关资金管理制度，规范资金使用范围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kern w:val="0"/>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制定切实可行的资金管理办法，并且将未能够使用完毕的资金及时返回财政，规范资金的使用，精准、有效地支付款项，提高资金的使用效益</w:t>
      </w:r>
      <w:r>
        <w:rPr>
          <w:rFonts w:hint="eastAsia" w:ascii="仿宋" w:hAnsi="仿宋" w:eastAsia="仿宋" w:cs="仿宋"/>
          <w:sz w:val="28"/>
          <w:szCs w:val="28"/>
          <w:highlight w:val="none"/>
          <w:lang w:val="en-US" w:eastAsia="zh-CN"/>
        </w:rPr>
        <w:t>。</w:t>
      </w:r>
    </w:p>
    <w:p>
      <w:pPr>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br w:type="page"/>
      </w:r>
    </w:p>
    <w:p>
      <w:pPr>
        <w:spacing w:line="500" w:lineRule="exact"/>
        <w:jc w:val="center"/>
        <w:outlineLvl w:val="9"/>
        <w:rPr>
          <w:rFonts w:hint="eastAsia" w:ascii="仿宋" w:hAnsi="仿宋" w:eastAsia="仿宋"/>
          <w:b/>
          <w:sz w:val="32"/>
          <w:szCs w:val="28"/>
          <w:highlight w:val="none"/>
        </w:rPr>
      </w:pPr>
      <w:bookmarkStart w:id="37" w:name="_Toc21208"/>
      <w:bookmarkStart w:id="38" w:name="_Toc28426"/>
      <w:bookmarkStart w:id="39" w:name="_Toc27864"/>
      <w:r>
        <w:rPr>
          <w:rFonts w:hint="eastAsia" w:ascii="仿宋" w:hAnsi="仿宋" w:eastAsia="仿宋"/>
          <w:b/>
          <w:sz w:val="32"/>
          <w:szCs w:val="28"/>
          <w:highlight w:val="none"/>
          <w:lang w:val="en-US" w:eastAsia="zh-CN"/>
        </w:rPr>
        <w:t>2021年永济市疫情防控</w:t>
      </w:r>
      <w:r>
        <w:rPr>
          <w:rFonts w:hint="eastAsia" w:ascii="仿宋" w:hAnsi="仿宋" w:eastAsia="仿宋"/>
          <w:b/>
          <w:sz w:val="32"/>
          <w:szCs w:val="28"/>
          <w:highlight w:val="none"/>
          <w:lang w:eastAsia="zh-CN"/>
        </w:rPr>
        <w:t>资金</w:t>
      </w:r>
      <w:r>
        <w:rPr>
          <w:rFonts w:hint="eastAsia" w:ascii="仿宋" w:hAnsi="仿宋" w:eastAsia="仿宋"/>
          <w:b/>
          <w:sz w:val="32"/>
          <w:szCs w:val="28"/>
          <w:highlight w:val="none"/>
        </w:rPr>
        <w:t>绩效评价</w:t>
      </w:r>
      <w:r>
        <w:rPr>
          <w:rFonts w:hint="eastAsia" w:ascii="仿宋" w:hAnsi="仿宋" w:eastAsia="仿宋"/>
          <w:b/>
          <w:sz w:val="32"/>
          <w:szCs w:val="28"/>
          <w:highlight w:val="none"/>
          <w:lang w:val="en-US" w:eastAsia="zh-CN"/>
        </w:rPr>
        <w:t>报告</w:t>
      </w:r>
      <w:bookmarkEnd w:id="37"/>
      <w:bookmarkEnd w:id="38"/>
    </w:p>
    <w:p>
      <w:pPr>
        <w:pStyle w:val="9"/>
        <w:keepNext w:val="0"/>
        <w:keepLines w:val="0"/>
        <w:pageBreakBefore w:val="0"/>
        <w:widowControl/>
        <w:kinsoku/>
        <w:wordWrap/>
        <w:overflowPunct/>
        <w:topLinePunct w:val="0"/>
        <w:autoSpaceDE/>
        <w:autoSpaceDN/>
        <w:bidi w:val="0"/>
        <w:adjustRightInd/>
        <w:snapToGrid w:val="0"/>
        <w:spacing w:before="157" w:beforeLines="50" w:line="560" w:lineRule="exact"/>
        <w:jc w:val="right"/>
        <w:textAlignment w:val="auto"/>
        <w:rPr>
          <w:rFonts w:ascii="仿宋" w:hAnsi="仿宋" w:eastAsia="仿宋" w:cs="Times New Roman"/>
          <w:sz w:val="28"/>
          <w:szCs w:val="28"/>
          <w:highlight w:val="none"/>
        </w:rPr>
      </w:pPr>
      <w:r>
        <w:rPr>
          <w:rFonts w:hint="eastAsia" w:ascii="仿宋" w:hAnsi="仿宋" w:eastAsia="仿宋" w:cs="Times New Roman"/>
          <w:sz w:val="28"/>
          <w:szCs w:val="28"/>
          <w:highlight w:val="none"/>
        </w:rPr>
        <w:t>晋广和绩评（20</w:t>
      </w:r>
      <w:r>
        <w:rPr>
          <w:rFonts w:hint="eastAsia" w:ascii="仿宋" w:hAnsi="仿宋" w:eastAsia="仿宋" w:cs="Times New Roman"/>
          <w:sz w:val="28"/>
          <w:szCs w:val="28"/>
          <w:highlight w:val="none"/>
          <w:lang w:val="en-US" w:eastAsia="zh-CN"/>
        </w:rPr>
        <w:t>22</w:t>
      </w:r>
      <w:r>
        <w:rPr>
          <w:rFonts w:hint="eastAsia" w:ascii="仿宋" w:hAnsi="仿宋" w:eastAsia="仿宋" w:cs="Times New Roman"/>
          <w:sz w:val="28"/>
          <w:szCs w:val="28"/>
          <w:highlight w:val="none"/>
        </w:rPr>
        <w:t>）00</w:t>
      </w:r>
      <w:r>
        <w:rPr>
          <w:rFonts w:hint="eastAsia" w:ascii="仿宋" w:hAnsi="仿宋" w:eastAsia="仿宋" w:cs="Times New Roman"/>
          <w:sz w:val="28"/>
          <w:szCs w:val="28"/>
          <w:highlight w:val="none"/>
          <w:lang w:val="en-US" w:eastAsia="zh-CN"/>
        </w:rPr>
        <w:t>22</w:t>
      </w:r>
      <w:r>
        <w:rPr>
          <w:rFonts w:hint="eastAsia" w:ascii="仿宋" w:hAnsi="仿宋" w:eastAsia="仿宋" w:cs="Times New Roman"/>
          <w:sz w:val="28"/>
          <w:szCs w:val="28"/>
          <w:highlight w:val="none"/>
        </w:rPr>
        <w:t>号</w:t>
      </w:r>
      <w:bookmarkEnd w:id="39"/>
    </w:p>
    <w:p>
      <w:pPr>
        <w:pStyle w:val="9"/>
        <w:keepNext w:val="0"/>
        <w:keepLines w:val="0"/>
        <w:pageBreakBefore w:val="0"/>
        <w:widowControl/>
        <w:kinsoku/>
        <w:wordWrap/>
        <w:overflowPunct/>
        <w:topLinePunct w:val="0"/>
        <w:autoSpaceDE/>
        <w:autoSpaceDN/>
        <w:bidi w:val="0"/>
        <w:adjustRightInd/>
        <w:snapToGrid w:val="0"/>
        <w:spacing w:line="560" w:lineRule="exact"/>
        <w:jc w:val="both"/>
        <w:textAlignment w:val="auto"/>
        <w:rPr>
          <w:rFonts w:ascii="仿宋" w:hAnsi="仿宋" w:eastAsia="仿宋" w:cs="Times New Roman"/>
          <w:b w:val="0"/>
          <w:bCs w:val="0"/>
          <w:sz w:val="28"/>
          <w:szCs w:val="28"/>
          <w:highlight w:val="none"/>
        </w:rPr>
      </w:pPr>
      <w:r>
        <w:rPr>
          <w:rFonts w:hint="eastAsia" w:ascii="仿宋" w:hAnsi="仿宋" w:eastAsia="仿宋" w:cs="Times New Roman"/>
          <w:b w:val="0"/>
          <w:bCs w:val="0"/>
          <w:sz w:val="28"/>
          <w:szCs w:val="28"/>
          <w:highlight w:val="none"/>
          <w:lang w:val="en-US" w:eastAsia="zh-CN"/>
        </w:rPr>
        <w:t>永济市</w:t>
      </w:r>
      <w:r>
        <w:rPr>
          <w:rFonts w:hint="eastAsia" w:ascii="仿宋" w:hAnsi="仿宋" w:eastAsia="仿宋" w:cs="Times New Roman"/>
          <w:b w:val="0"/>
          <w:bCs w:val="0"/>
          <w:sz w:val="28"/>
          <w:szCs w:val="28"/>
          <w:highlight w:val="none"/>
          <w:lang w:eastAsia="zh-CN"/>
        </w:rPr>
        <w:t>财政局</w:t>
      </w:r>
      <w:r>
        <w:rPr>
          <w:rFonts w:hint="eastAsia" w:ascii="仿宋" w:hAnsi="仿宋" w:eastAsia="仿宋" w:cs="Times New Roman"/>
          <w:b w:val="0"/>
          <w:bCs w:val="0"/>
          <w:sz w:val="28"/>
          <w:szCs w:val="28"/>
          <w:highlight w:val="none"/>
        </w:rPr>
        <w:t>：</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both"/>
        <w:textAlignment w:val="auto"/>
        <w:rPr>
          <w:rFonts w:hint="eastAsia"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val="en-US" w:eastAsia="zh-CN" w:bidi="ar"/>
        </w:rPr>
        <w:t>根据《永济市财政局关于印发&lt;永济市财政局2022年重点绩效评价实施方案&gt;的通知》（永财字〔2022〕37号）要求，我单位接受贵局委托，对永济市卫生健康和体育局实施的2021年永济市疫情防控资金进行绩效评价。该项目评价结果为82.15分。有关情况如下：</w:t>
      </w:r>
    </w:p>
    <w:p>
      <w:pPr>
        <w:keepNext w:val="0"/>
        <w:keepLines w:val="0"/>
        <w:pageBreakBefore w:val="0"/>
        <w:numPr>
          <w:ilvl w:val="0"/>
          <w:numId w:val="1"/>
        </w:numPr>
        <w:kinsoku/>
        <w:wordWrap/>
        <w:overflowPunct/>
        <w:topLinePunct w:val="0"/>
        <w:autoSpaceDE/>
        <w:autoSpaceDN/>
        <w:bidi w:val="0"/>
        <w:adjustRightInd/>
        <w:spacing w:line="560" w:lineRule="exact"/>
        <w:ind w:left="420" w:leftChars="200"/>
        <w:jc w:val="both"/>
        <w:textAlignment w:val="auto"/>
        <w:outlineLvl w:val="0"/>
        <w:rPr>
          <w:rFonts w:hint="eastAsia" w:ascii="仿宋" w:hAnsi="仿宋" w:eastAsia="仿宋" w:cs="仿宋"/>
          <w:b/>
          <w:sz w:val="28"/>
          <w:szCs w:val="28"/>
          <w:highlight w:val="none"/>
          <w:lang w:eastAsia="zh-CN" w:bidi="ar"/>
        </w:rPr>
      </w:pPr>
      <w:bookmarkStart w:id="40" w:name="_Toc32477"/>
      <w:bookmarkStart w:id="41" w:name="_Toc19246"/>
      <w:bookmarkStart w:id="42" w:name="_Toc1866_WPSOffice_Level2"/>
      <w:bookmarkStart w:id="43" w:name="_Toc29647_WPSOffice_Level2"/>
      <w:bookmarkStart w:id="44" w:name="_Toc25032_WPSOffice_Level2"/>
      <w:r>
        <w:rPr>
          <w:rFonts w:hint="eastAsia" w:ascii="仿宋" w:hAnsi="仿宋" w:eastAsia="仿宋" w:cs="仿宋"/>
          <w:b/>
          <w:sz w:val="28"/>
          <w:szCs w:val="28"/>
          <w:highlight w:val="none"/>
          <w:lang w:val="en-US" w:eastAsia="zh-CN" w:bidi="ar"/>
        </w:rPr>
        <w:t>背景介绍</w:t>
      </w:r>
      <w:bookmarkEnd w:id="40"/>
      <w:bookmarkEnd w:id="4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outlineLvl w:val="1"/>
        <w:rPr>
          <w:rFonts w:hint="default" w:ascii="仿宋" w:hAnsi="仿宋" w:eastAsia="仿宋" w:cs="仿宋"/>
          <w:b/>
          <w:sz w:val="28"/>
          <w:szCs w:val="28"/>
          <w:highlight w:val="none"/>
          <w:lang w:val="en-US" w:eastAsia="zh-CN"/>
        </w:rPr>
      </w:pPr>
      <w:bookmarkStart w:id="45" w:name="_Toc23599"/>
      <w:bookmarkStart w:id="46" w:name="_Toc18451"/>
      <w:r>
        <w:rPr>
          <w:rFonts w:hint="eastAsia" w:ascii="仿宋" w:hAnsi="仿宋" w:eastAsia="仿宋" w:cs="仿宋"/>
          <w:b/>
          <w:sz w:val="28"/>
          <w:szCs w:val="28"/>
          <w:highlight w:val="none"/>
          <w:lang w:bidi="ar"/>
        </w:rPr>
        <w:t>（一）</w:t>
      </w:r>
      <w:r>
        <w:rPr>
          <w:rFonts w:hint="eastAsia" w:ascii="仿宋" w:hAnsi="仿宋" w:eastAsia="仿宋" w:cs="仿宋"/>
          <w:b/>
          <w:sz w:val="28"/>
          <w:szCs w:val="28"/>
          <w:highlight w:val="none"/>
          <w:lang w:val="en-US" w:eastAsia="zh-CN" w:bidi="ar"/>
        </w:rPr>
        <w:t>全国疫情发展</w:t>
      </w:r>
      <w:bookmarkEnd w:id="42"/>
      <w:bookmarkEnd w:id="43"/>
      <w:bookmarkEnd w:id="44"/>
      <w:r>
        <w:rPr>
          <w:rFonts w:hint="eastAsia" w:ascii="仿宋" w:hAnsi="仿宋" w:eastAsia="仿宋" w:cs="仿宋"/>
          <w:b/>
          <w:sz w:val="28"/>
          <w:szCs w:val="28"/>
          <w:highlight w:val="none"/>
          <w:lang w:val="en-US" w:eastAsia="zh-CN" w:bidi="ar"/>
        </w:rPr>
        <w:t>状况</w:t>
      </w:r>
      <w:bookmarkEnd w:id="45"/>
      <w:bookmarkEnd w:id="46"/>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rPr>
          <w:rFonts w:hint="eastAsia" w:ascii="仿宋" w:hAnsi="仿宋" w:eastAsia="仿宋" w:cs="仿宋"/>
          <w:b w:val="0"/>
          <w:bCs/>
          <w:sz w:val="28"/>
          <w:szCs w:val="28"/>
          <w:highlight w:val="none"/>
          <w:lang w:val="en-US" w:eastAsia="zh-CN" w:bidi="ar"/>
        </w:rPr>
      </w:pPr>
      <w:bookmarkStart w:id="47" w:name="_Toc13351"/>
      <w:r>
        <w:rPr>
          <w:rFonts w:hint="eastAsia" w:ascii="仿宋" w:hAnsi="仿宋" w:eastAsia="仿宋" w:cs="仿宋"/>
          <w:b w:val="0"/>
          <w:bCs/>
          <w:sz w:val="28"/>
          <w:szCs w:val="28"/>
          <w:highlight w:val="none"/>
          <w:lang w:val="en-US" w:eastAsia="zh-CN" w:bidi="ar"/>
        </w:rPr>
        <w:t>2019年12月湖北省</w:t>
      </w:r>
      <w:r>
        <w:rPr>
          <w:rFonts w:hint="eastAsia" w:ascii="仿宋" w:hAnsi="仿宋" w:eastAsia="仿宋" w:cs="仿宋"/>
          <w:b w:val="0"/>
          <w:bCs/>
          <w:sz w:val="28"/>
          <w:szCs w:val="28"/>
          <w:highlight w:val="none"/>
          <w:lang w:bidi="ar"/>
        </w:rPr>
        <w:t>武汉市部分医疗机构陆续出现不明原因肺炎病人</w:t>
      </w:r>
      <w:r>
        <w:rPr>
          <w:rFonts w:hint="eastAsia" w:ascii="仿宋" w:hAnsi="仿宋" w:eastAsia="仿宋" w:cs="仿宋"/>
          <w:b w:val="0"/>
          <w:bCs/>
          <w:sz w:val="28"/>
          <w:szCs w:val="28"/>
          <w:highlight w:val="none"/>
          <w:lang w:eastAsia="zh-CN" w:bidi="ar"/>
        </w:rPr>
        <w:t>；</w:t>
      </w:r>
      <w:r>
        <w:rPr>
          <w:rFonts w:hint="eastAsia" w:ascii="仿宋" w:hAnsi="仿宋" w:eastAsia="仿宋" w:cs="仿宋"/>
          <w:b w:val="0"/>
          <w:bCs/>
          <w:sz w:val="28"/>
          <w:szCs w:val="28"/>
          <w:highlight w:val="none"/>
          <w:lang w:val="en-US" w:eastAsia="zh-CN" w:bidi="ar"/>
        </w:rPr>
        <w:t>2020年1月7日国家卫健委专家组认定其为</w:t>
      </w:r>
      <w:r>
        <w:rPr>
          <w:rFonts w:hint="eastAsia" w:ascii="仿宋" w:hAnsi="仿宋" w:eastAsia="仿宋" w:cs="仿宋"/>
          <w:b w:val="0"/>
          <w:bCs/>
          <w:sz w:val="28"/>
          <w:szCs w:val="28"/>
          <w:highlight w:val="none"/>
          <w:lang w:eastAsia="zh-CN" w:bidi="ar"/>
        </w:rPr>
        <w:t>一种新型冠状病毒感染引起的急性呼吸道传染病；</w:t>
      </w:r>
      <w:r>
        <w:rPr>
          <w:rFonts w:hint="eastAsia" w:ascii="仿宋" w:hAnsi="仿宋" w:eastAsia="仿宋" w:cs="仿宋"/>
          <w:b w:val="0"/>
          <w:bCs/>
          <w:sz w:val="28"/>
          <w:szCs w:val="28"/>
          <w:highlight w:val="none"/>
          <w:lang w:val="en-US" w:eastAsia="zh-CN" w:bidi="ar"/>
        </w:rPr>
        <w:t>同年1月20日，</w:t>
      </w:r>
      <w:r>
        <w:rPr>
          <w:rFonts w:hint="eastAsia" w:ascii="仿宋" w:hAnsi="仿宋" w:eastAsia="仿宋" w:cs="仿宋"/>
          <w:b w:val="0"/>
          <w:bCs/>
          <w:sz w:val="28"/>
          <w:szCs w:val="28"/>
          <w:highlight w:val="none"/>
          <w:lang w:bidi="ar"/>
        </w:rPr>
        <w:t>国家卫健委发布1号公告，将新型冠状病毒感染的肺炎纳入《中华人民共和国传染病防治法》规定的乙类传染病，并采取甲类传染病的预防、控制措施</w:t>
      </w:r>
      <w:r>
        <w:rPr>
          <w:rFonts w:hint="eastAsia" w:ascii="仿宋" w:hAnsi="仿宋" w:eastAsia="仿宋" w:cs="仿宋"/>
          <w:b w:val="0"/>
          <w:bCs/>
          <w:sz w:val="28"/>
          <w:szCs w:val="28"/>
          <w:highlight w:val="none"/>
          <w:lang w:eastAsia="zh-CN" w:bidi="ar"/>
        </w:rPr>
        <w:t>，</w:t>
      </w:r>
      <w:r>
        <w:rPr>
          <w:rFonts w:hint="eastAsia" w:ascii="仿宋" w:hAnsi="仿宋" w:eastAsia="仿宋" w:cs="仿宋"/>
          <w:b w:val="0"/>
          <w:bCs/>
          <w:sz w:val="28"/>
          <w:szCs w:val="28"/>
          <w:highlight w:val="none"/>
          <w:lang w:bidi="ar"/>
        </w:rPr>
        <w:t>将新型冠状病毒感染的肺炎纳入《中华人民共和国国境卫生检疫法》规定的检疫传染病管理</w:t>
      </w:r>
      <w:r>
        <w:rPr>
          <w:rFonts w:hint="eastAsia" w:ascii="仿宋" w:hAnsi="仿宋" w:eastAsia="仿宋" w:cs="仿宋"/>
          <w:b w:val="0"/>
          <w:bCs/>
          <w:sz w:val="28"/>
          <w:szCs w:val="28"/>
          <w:highlight w:val="none"/>
          <w:lang w:val="en-US" w:eastAsia="zh-CN" w:bidi="ar"/>
        </w:rPr>
        <w:t>；同年5月国务院联防联控机制印发《关于做好新冠肺炎疫情常态化防控工作的指导意见》，疫情防控进入常态化阶段。</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rPr>
          <w:rFonts w:hint="eastAsia" w:ascii="仿宋" w:hAnsi="仿宋" w:eastAsia="仿宋" w:cs="仿宋"/>
          <w:b w:val="0"/>
          <w:bCs/>
          <w:sz w:val="28"/>
          <w:szCs w:val="28"/>
          <w:highlight w:val="none"/>
          <w:lang w:val="en-US" w:eastAsia="zh-CN" w:bidi="ar"/>
        </w:rPr>
      </w:pPr>
      <w:r>
        <w:rPr>
          <w:rFonts w:hint="eastAsia" w:ascii="仿宋" w:hAnsi="仿宋" w:eastAsia="仿宋" w:cs="仿宋"/>
          <w:b w:val="0"/>
          <w:bCs/>
          <w:sz w:val="28"/>
          <w:szCs w:val="28"/>
          <w:highlight w:val="none"/>
          <w:lang w:val="en-US" w:eastAsia="zh-CN" w:bidi="ar"/>
        </w:rPr>
        <w:t>2022年11月11日，国务院应对新型冠状病毒肺炎疫情联防联控机制综合组发布《关于进一步优化新冠肺炎疫情防控措施 科学精准做好防控工作的通知》（联防联控机制综发〔2022〕101号，简称“二十条”），公布了如何科学精准做好疫情防控，同年12月7日，联防联控机制发布《关于进一步优化落实新冠肺炎疫情防控措施的通知》（联防联控机制综发〔2022〕113号，简称“新十条”），更加科学精准防控，解决防控工作中存在的突出问题，自此疫情防控进入新篇章。2022年12月26日，国家卫生健康委员会发布2022年第7号公告，将新型冠状病毒肺炎更名为新型冠状病毒感染。经国务院批准，自2023年1月8日起，解除对新型冠状病毒感染采取的《中华人民共和国传染病防治法》规定的甲类传染病预防、控制措施；新型冠状病毒感染不再纳入《中华人民共和国国境卫生检疫法》规定的检疫传染病管理。</w:t>
      </w:r>
      <w:bookmarkEnd w:id="4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outlineLvl w:val="1"/>
        <w:rPr>
          <w:rFonts w:hint="eastAsia" w:ascii="仿宋" w:hAnsi="仿宋" w:eastAsia="仿宋" w:cs="仿宋"/>
          <w:b/>
          <w:sz w:val="28"/>
          <w:szCs w:val="28"/>
          <w:highlight w:val="none"/>
          <w:lang w:val="en-US" w:eastAsia="zh-CN" w:bidi="ar"/>
        </w:rPr>
      </w:pPr>
      <w:bookmarkStart w:id="48" w:name="_Toc15888"/>
      <w:bookmarkStart w:id="49" w:name="_Toc1617"/>
      <w:r>
        <w:rPr>
          <w:rFonts w:hint="eastAsia" w:ascii="仿宋" w:hAnsi="仿宋" w:eastAsia="仿宋" w:cs="仿宋"/>
          <w:b/>
          <w:sz w:val="28"/>
          <w:szCs w:val="28"/>
          <w:highlight w:val="none"/>
          <w:lang w:val="en-US" w:eastAsia="zh-CN" w:bidi="ar"/>
        </w:rPr>
        <w:t>（二）项目概况</w:t>
      </w:r>
      <w:bookmarkEnd w:id="48"/>
      <w:bookmarkEnd w:id="4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outlineLvl w:val="2"/>
        <w:rPr>
          <w:rFonts w:hint="default" w:ascii="仿宋" w:hAnsi="仿宋" w:eastAsia="仿宋" w:cs="仿宋"/>
          <w:b/>
          <w:sz w:val="28"/>
          <w:szCs w:val="28"/>
          <w:highlight w:val="none"/>
          <w:lang w:val="en-US" w:eastAsia="zh-CN" w:bidi="ar"/>
        </w:rPr>
      </w:pPr>
      <w:bookmarkStart w:id="50" w:name="_Toc19770"/>
      <w:bookmarkStart w:id="51" w:name="_Toc16758"/>
      <w:bookmarkStart w:id="52" w:name="_Toc15327"/>
      <w:bookmarkStart w:id="53" w:name="_Toc400"/>
      <w:bookmarkStart w:id="54" w:name="_Toc4655"/>
      <w:r>
        <w:rPr>
          <w:rFonts w:hint="eastAsia" w:ascii="仿宋" w:hAnsi="仿宋" w:eastAsia="仿宋" w:cs="仿宋"/>
          <w:b/>
          <w:sz w:val="28"/>
          <w:szCs w:val="28"/>
          <w:highlight w:val="none"/>
          <w:lang w:val="en-US" w:eastAsia="zh-CN" w:bidi="ar"/>
        </w:rPr>
        <w:t>1.项目</w:t>
      </w:r>
      <w:bookmarkEnd w:id="50"/>
      <w:bookmarkEnd w:id="51"/>
      <w:bookmarkEnd w:id="52"/>
      <w:bookmarkEnd w:id="53"/>
      <w:bookmarkEnd w:id="54"/>
      <w:r>
        <w:rPr>
          <w:rFonts w:hint="eastAsia" w:ascii="仿宋" w:hAnsi="仿宋" w:eastAsia="仿宋" w:cs="仿宋"/>
          <w:b/>
          <w:sz w:val="28"/>
          <w:szCs w:val="28"/>
          <w:highlight w:val="none"/>
          <w:lang w:val="en-US" w:eastAsia="zh-CN" w:bidi="ar"/>
        </w:rPr>
        <w:t>背景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仿宋" w:hAnsi="仿宋" w:eastAsia="仿宋" w:cs="仿宋"/>
          <w:b w:val="0"/>
          <w:bCs/>
          <w:sz w:val="28"/>
          <w:szCs w:val="28"/>
          <w:highlight w:val="none"/>
          <w:lang w:val="en-US" w:eastAsia="zh-CN" w:bidi="ar"/>
        </w:rPr>
      </w:pPr>
      <w:bookmarkStart w:id="55" w:name="_Toc22631"/>
      <w:bookmarkStart w:id="56" w:name="_Toc16138"/>
      <w:bookmarkStart w:id="57" w:name="_Toc14602"/>
      <w:bookmarkStart w:id="58" w:name="_Toc4699"/>
      <w:bookmarkStart w:id="59" w:name="_Toc29143"/>
      <w:r>
        <w:rPr>
          <w:rFonts w:hint="eastAsia" w:ascii="仿宋" w:hAnsi="仿宋" w:eastAsia="仿宋" w:cs="仿宋"/>
          <w:b w:val="0"/>
          <w:bCs/>
          <w:sz w:val="28"/>
          <w:szCs w:val="28"/>
          <w:highlight w:val="none"/>
          <w:lang w:bidi="ar"/>
        </w:rPr>
        <w:t>根据国务院《突发公共卫生事件应急预案》规定，结合当前疫情防控形势，</w:t>
      </w:r>
      <w:r>
        <w:rPr>
          <w:rFonts w:hint="eastAsia" w:ascii="仿宋" w:hAnsi="仿宋" w:eastAsia="仿宋" w:cs="仿宋"/>
          <w:b w:val="0"/>
          <w:bCs/>
          <w:sz w:val="28"/>
          <w:szCs w:val="28"/>
          <w:highlight w:val="none"/>
          <w:lang w:eastAsia="zh-CN" w:bidi="ar"/>
        </w:rPr>
        <w:t>永济市委</w:t>
      </w:r>
      <w:r>
        <w:rPr>
          <w:rFonts w:hint="eastAsia" w:ascii="仿宋" w:hAnsi="仿宋" w:eastAsia="仿宋" w:cs="仿宋"/>
          <w:b w:val="0"/>
          <w:bCs/>
          <w:sz w:val="28"/>
          <w:szCs w:val="28"/>
          <w:highlight w:val="none"/>
          <w:lang w:bidi="ar"/>
        </w:rPr>
        <w:t>、市政府决定，自2020年1月24日起，启动重大突发公共卫生事件一级响应</w:t>
      </w:r>
      <w:r>
        <w:rPr>
          <w:rFonts w:hint="eastAsia" w:ascii="仿宋" w:hAnsi="仿宋" w:eastAsia="仿宋" w:cs="仿宋"/>
          <w:b w:val="0"/>
          <w:bCs/>
          <w:sz w:val="28"/>
          <w:szCs w:val="28"/>
          <w:highlight w:val="none"/>
          <w:lang w:eastAsia="zh-CN" w:bidi="ar"/>
        </w:rPr>
        <w:t>，疫情防控全面进入</w:t>
      </w:r>
      <w:r>
        <w:rPr>
          <w:rFonts w:hint="eastAsia" w:ascii="仿宋" w:hAnsi="仿宋" w:eastAsia="仿宋" w:cs="仿宋"/>
          <w:b w:val="0"/>
          <w:bCs/>
          <w:sz w:val="28"/>
          <w:szCs w:val="28"/>
          <w:highlight w:val="none"/>
          <w:lang w:val="en-US" w:eastAsia="zh-CN" w:bidi="ar"/>
        </w:rPr>
        <w:t>应急状态</w:t>
      </w:r>
      <w:r>
        <w:rPr>
          <w:rFonts w:hint="eastAsia" w:ascii="仿宋" w:hAnsi="仿宋" w:eastAsia="仿宋" w:cs="仿宋"/>
          <w:b w:val="0"/>
          <w:bCs/>
          <w:sz w:val="28"/>
          <w:szCs w:val="28"/>
          <w:highlight w:val="none"/>
          <w:lang w:eastAsia="zh-CN" w:bidi="ar"/>
        </w:rPr>
        <w:t>。</w:t>
      </w:r>
      <w:r>
        <w:rPr>
          <w:rFonts w:hint="eastAsia" w:ascii="仿宋" w:hAnsi="仿宋" w:eastAsia="仿宋" w:cs="仿宋"/>
          <w:b w:val="0"/>
          <w:bCs/>
          <w:sz w:val="28"/>
          <w:szCs w:val="28"/>
          <w:highlight w:val="none"/>
          <w:lang w:val="en-US" w:eastAsia="zh-CN" w:bidi="ar"/>
        </w:rPr>
        <w:t>2020年1月28日，根据中国共产党永济市委员会</w:t>
      </w:r>
      <w:r>
        <w:rPr>
          <w:rFonts w:hint="eastAsia" w:ascii="仿宋" w:hAnsi="仿宋" w:eastAsia="仿宋" w:cs="仿宋"/>
          <w:sz w:val="28"/>
          <w:szCs w:val="28"/>
          <w:highlight w:val="none"/>
          <w:lang w:val="en-US" w:eastAsia="zh-CN"/>
        </w:rPr>
        <w:t>《充实加强</w:t>
      </w:r>
      <w:r>
        <w:rPr>
          <w:rFonts w:hint="eastAsia" w:ascii="仿宋" w:hAnsi="仿宋" w:eastAsia="仿宋" w:cs="仿宋"/>
          <w:b w:val="0"/>
          <w:bCs/>
          <w:sz w:val="28"/>
          <w:szCs w:val="28"/>
          <w:highlight w:val="none"/>
          <w:lang w:val="en-US" w:eastAsia="zh-CN" w:bidi="ar"/>
        </w:rPr>
        <w:t>新型冠状病毒感染的肺炎疫情防控工作领导组（指挥部）的通知》（永字</w:t>
      </w:r>
      <w:r>
        <w:rPr>
          <w:rFonts w:hint="eastAsia" w:ascii="仿宋" w:hAnsi="仿宋" w:eastAsia="仿宋" w:cs="仿宋"/>
          <w:sz w:val="28"/>
          <w:szCs w:val="28"/>
          <w:highlight w:val="none"/>
        </w:rPr>
        <w:t>〔2020〕</w:t>
      </w:r>
      <w:r>
        <w:rPr>
          <w:rFonts w:hint="eastAsia" w:ascii="仿宋" w:hAnsi="仿宋" w:eastAsia="仿宋" w:cs="仿宋"/>
          <w:sz w:val="28"/>
          <w:szCs w:val="28"/>
          <w:highlight w:val="none"/>
          <w:lang w:val="en-US" w:eastAsia="zh-CN"/>
        </w:rPr>
        <w:t>3号</w:t>
      </w:r>
      <w:r>
        <w:rPr>
          <w:rFonts w:hint="eastAsia" w:ascii="仿宋" w:hAnsi="仿宋" w:eastAsia="仿宋" w:cs="仿宋"/>
          <w:b w:val="0"/>
          <w:bCs/>
          <w:sz w:val="28"/>
          <w:szCs w:val="28"/>
          <w:highlight w:val="none"/>
          <w:lang w:val="en-US" w:eastAsia="zh-CN" w:bidi="ar"/>
        </w:rPr>
        <w:t>），确定了指挥部的组长及相关成员。经过疫情防控管制，新冠肺炎疫情防控向好态势进一步巩固，疫情防控已从应急状态转为常态化。永济市抓紧抓实抓细常态化疫情防控工作的决策部署，全面落实“外防输入、内防反弹”的总体防控策略，坚持及时发现、快速处置、精准管控、有效救治，有力保障人民群众生命安全和身体健康，有力保障经济社会秩序全面恢复。根据相关资料，永济市2021年共筹集集中隔离点3个，建立核酸实验室4个。</w:t>
      </w:r>
    </w:p>
    <w:bookmarkEnd w:id="55"/>
    <w:bookmarkEnd w:id="56"/>
    <w:bookmarkEnd w:id="57"/>
    <w:bookmarkEnd w:id="58"/>
    <w:bookmarkEnd w:id="59"/>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2"/>
        <w:rPr>
          <w:rFonts w:ascii="仿宋" w:hAnsi="仿宋" w:eastAsia="仿宋" w:cs="仿宋"/>
          <w:b/>
          <w:sz w:val="28"/>
          <w:szCs w:val="28"/>
          <w:highlight w:val="none"/>
        </w:rPr>
      </w:pPr>
      <w:bookmarkStart w:id="60" w:name="_Toc19653_WPSOffice_Level3"/>
      <w:r>
        <w:rPr>
          <w:rFonts w:hint="eastAsia" w:ascii="仿宋" w:hAnsi="仿宋" w:eastAsia="仿宋" w:cs="仿宋"/>
          <w:b/>
          <w:sz w:val="28"/>
          <w:szCs w:val="28"/>
          <w:highlight w:val="none"/>
          <w:lang w:val="en-US" w:eastAsia="zh-CN" w:bidi="ar"/>
        </w:rPr>
        <w:t>2</w:t>
      </w:r>
      <w:r>
        <w:rPr>
          <w:rFonts w:hint="eastAsia" w:ascii="仿宋" w:hAnsi="仿宋" w:eastAsia="仿宋" w:cs="仿宋"/>
          <w:b/>
          <w:sz w:val="28"/>
          <w:szCs w:val="28"/>
          <w:highlight w:val="none"/>
          <w:lang w:bidi="ar"/>
        </w:rPr>
        <w:t>.项目</w:t>
      </w:r>
      <w:r>
        <w:rPr>
          <w:rFonts w:hint="eastAsia" w:ascii="仿宋" w:hAnsi="仿宋" w:eastAsia="仿宋" w:cs="仿宋"/>
          <w:b/>
          <w:sz w:val="28"/>
          <w:szCs w:val="28"/>
          <w:highlight w:val="none"/>
          <w:lang w:val="en-US" w:eastAsia="zh-CN" w:bidi="ar"/>
        </w:rPr>
        <w:t>决策</w:t>
      </w:r>
      <w:r>
        <w:rPr>
          <w:rFonts w:hint="eastAsia" w:ascii="仿宋" w:hAnsi="仿宋" w:eastAsia="仿宋" w:cs="仿宋"/>
          <w:b/>
          <w:sz w:val="28"/>
          <w:szCs w:val="28"/>
          <w:highlight w:val="none"/>
          <w:lang w:bidi="ar"/>
        </w:rPr>
        <w:t>依据</w:t>
      </w:r>
      <w:bookmarkEnd w:id="6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Cs/>
          <w:sz w:val="28"/>
          <w:szCs w:val="28"/>
          <w:highlight w:val="none"/>
          <w:lang w:eastAsia="zh-CN"/>
        </w:rPr>
      </w:pPr>
      <w:bookmarkStart w:id="61" w:name="_Toc9017_WPSOffice_Level3"/>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1）</w:t>
      </w:r>
      <w:r>
        <w:rPr>
          <w:rFonts w:hint="eastAsia" w:ascii="仿宋" w:hAnsi="仿宋" w:eastAsia="仿宋" w:cs="仿宋"/>
          <w:bCs/>
          <w:sz w:val="28"/>
          <w:szCs w:val="28"/>
          <w:highlight w:val="none"/>
          <w:lang w:eastAsia="zh-CN"/>
        </w:rPr>
        <w:t>《习近平总书记关于新型冠状病毒感染肺炎疫情的重要指示精神》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2）《国家突发公共卫生事件应急预案》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（3）《国务院应对新型冠状病毒感染肺炎疫情联防联控机制关于印发进一步推进新冠病毒核酸检测能力建设工作方案的通知》国办发明电〔2020〕22号）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（4）《国务院应对新型冠状病毒感染肺炎疫情联防联控机制关于进一步做好当前新冠肺炎疫情防控工作的通知》（国办发明电〔2021〕1号）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仿宋" w:hAnsi="仿宋" w:eastAsia="仿宋" w:cs="仿宋"/>
          <w:bCs/>
          <w:sz w:val="28"/>
          <w:szCs w:val="28"/>
          <w:highlight w:val="none"/>
          <w:lang w:val="en-US" w:eastAsia="zh-CN"/>
        </w:rPr>
      </w:pP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5）国务院应对新型冠状病毒肺炎疫情联防联控机制综合组 《关于进一步做好新冠病毒核酸检测服务的通知》（联防联控机制综发〔2021〕26号）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（6）山西省新冠肺炎疫情防控工作领导小组办公室《关于转发进一步做好新冠病毒核酸检测服务的通知》（疫情防控办函〔2021〕76号）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Cs/>
          <w:sz w:val="28"/>
          <w:szCs w:val="28"/>
          <w:highlight w:val="none"/>
        </w:rPr>
      </w:pPr>
      <w:r>
        <w:rPr>
          <w:rFonts w:hint="eastAsia" w:ascii="仿宋" w:hAnsi="仿宋" w:eastAsia="仿宋" w:cs="仿宋"/>
          <w:bCs/>
          <w:sz w:val="28"/>
          <w:szCs w:val="28"/>
          <w:highlight w:val="none"/>
          <w:lang w:val="en-US" w:eastAsia="zh-CN"/>
        </w:rPr>
        <w:t>（7）《关于做好新冠灭活疫苗紧急接种工作的通知</w:t>
      </w:r>
      <w:r>
        <w:rPr>
          <w:rFonts w:hint="eastAsia" w:ascii="仿宋" w:hAnsi="仿宋" w:eastAsia="仿宋" w:cs="仿宋"/>
          <w:bCs/>
          <w:sz w:val="28"/>
          <w:szCs w:val="28"/>
          <w:highlight w:val="none"/>
        </w:rPr>
        <w:t>》</w:t>
      </w:r>
      <w:r>
        <w:rPr>
          <w:rFonts w:hint="eastAsia" w:ascii="仿宋" w:hAnsi="仿宋" w:eastAsia="仿宋" w:cs="仿宋"/>
          <w:bCs/>
          <w:sz w:val="28"/>
          <w:szCs w:val="28"/>
          <w:highlight w:val="none"/>
          <w:lang w:val="en-US" w:eastAsia="zh-CN"/>
        </w:rPr>
        <w:t>（运疫指办函〔2020〕145号）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仿宋" w:hAnsi="仿宋" w:eastAsia="仿宋" w:cs="仿宋"/>
          <w:bCs/>
          <w:sz w:val="28"/>
          <w:szCs w:val="28"/>
          <w:highlight w:val="none"/>
        </w:rPr>
      </w:pPr>
      <w:r>
        <w:rPr>
          <w:rFonts w:hint="eastAsia" w:ascii="仿宋" w:hAnsi="仿宋" w:eastAsia="仿宋" w:cs="仿宋"/>
          <w:bCs/>
          <w:sz w:val="28"/>
          <w:szCs w:val="28"/>
          <w:highlight w:val="none"/>
        </w:rPr>
        <w:t>（</w:t>
      </w:r>
      <w:r>
        <w:rPr>
          <w:rFonts w:hint="eastAsia" w:ascii="仿宋" w:hAnsi="仿宋" w:eastAsia="仿宋" w:cs="仿宋"/>
          <w:bCs/>
          <w:sz w:val="28"/>
          <w:szCs w:val="28"/>
          <w:highlight w:val="none"/>
          <w:lang w:val="en-US" w:eastAsia="zh-CN"/>
        </w:rPr>
        <w:t>8</w:t>
      </w:r>
      <w:r>
        <w:rPr>
          <w:rFonts w:hint="eastAsia" w:ascii="仿宋" w:hAnsi="仿宋" w:eastAsia="仿宋" w:cs="仿宋"/>
          <w:bCs/>
          <w:sz w:val="28"/>
          <w:szCs w:val="28"/>
          <w:highlight w:val="none"/>
        </w:rPr>
        <w:t>）其他相关文件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2"/>
        <w:rPr>
          <w:rFonts w:ascii="仿宋" w:hAnsi="仿宋" w:eastAsia="仿宋" w:cs="仿宋"/>
          <w:sz w:val="28"/>
          <w:szCs w:val="28"/>
          <w:highlight w:val="none"/>
        </w:rPr>
      </w:pPr>
      <w:r>
        <w:rPr>
          <w:rFonts w:hint="eastAsia" w:ascii="仿宋" w:hAnsi="仿宋" w:eastAsia="仿宋" w:cs="仿宋"/>
          <w:b/>
          <w:sz w:val="28"/>
          <w:szCs w:val="28"/>
          <w:highlight w:val="none"/>
          <w:lang w:val="en-US" w:eastAsia="zh-CN" w:bidi="ar"/>
        </w:rPr>
        <w:t>3</w:t>
      </w:r>
      <w:r>
        <w:rPr>
          <w:rFonts w:hint="eastAsia" w:ascii="仿宋" w:hAnsi="仿宋" w:eastAsia="仿宋" w:cs="仿宋"/>
          <w:b/>
          <w:sz w:val="28"/>
          <w:szCs w:val="28"/>
          <w:highlight w:val="none"/>
          <w:lang w:bidi="ar"/>
        </w:rPr>
        <w:t>.</w:t>
      </w:r>
      <w:r>
        <w:rPr>
          <w:rFonts w:hint="eastAsia" w:ascii="仿宋" w:hAnsi="仿宋" w:eastAsia="仿宋" w:cs="仿宋"/>
          <w:b/>
          <w:sz w:val="28"/>
          <w:szCs w:val="28"/>
          <w:highlight w:val="none"/>
          <w:lang w:eastAsia="zh-CN" w:bidi="ar"/>
        </w:rPr>
        <w:t>项目</w:t>
      </w:r>
      <w:r>
        <w:rPr>
          <w:rFonts w:hint="eastAsia" w:ascii="仿宋" w:hAnsi="仿宋" w:eastAsia="仿宋" w:cs="仿宋"/>
          <w:b/>
          <w:sz w:val="28"/>
          <w:szCs w:val="28"/>
          <w:highlight w:val="none"/>
          <w:lang w:bidi="ar"/>
        </w:rPr>
        <w:t>内容</w:t>
      </w:r>
      <w:bookmarkEnd w:id="61"/>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both"/>
        <w:textAlignment w:val="auto"/>
        <w:rPr>
          <w:rFonts w:hint="eastAsia"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val="en-US" w:eastAsia="zh-CN" w:bidi="ar"/>
        </w:rPr>
        <w:t>相关医院的核酸检测及核酸实验室、发热门诊建设</w:t>
      </w:r>
      <w:r>
        <w:rPr>
          <w:rFonts w:hint="eastAsia" w:ascii="仿宋" w:hAnsi="仿宋" w:eastAsia="仿宋" w:cs="仿宋"/>
          <w:bCs/>
          <w:sz w:val="28"/>
          <w:szCs w:val="28"/>
          <w:highlight w:val="none"/>
          <w:lang w:eastAsia="zh-CN" w:bidi="ar"/>
        </w:rPr>
        <w:t>；</w:t>
      </w:r>
      <w:r>
        <w:rPr>
          <w:rFonts w:hint="eastAsia" w:ascii="仿宋" w:hAnsi="仿宋" w:eastAsia="仿宋" w:cs="仿宋"/>
          <w:bCs/>
          <w:sz w:val="28"/>
          <w:szCs w:val="28"/>
          <w:highlight w:val="none"/>
          <w:lang w:val="en-US" w:eastAsia="zh-CN" w:bidi="ar"/>
        </w:rPr>
        <w:t>各乡镇及高速口等设置隔离点、卡点，相关人员执勤补助；</w:t>
      </w:r>
      <w:r>
        <w:rPr>
          <w:rFonts w:hint="eastAsia" w:ascii="仿宋" w:hAnsi="仿宋" w:eastAsia="仿宋" w:cs="仿宋"/>
          <w:bCs/>
          <w:sz w:val="28"/>
          <w:szCs w:val="28"/>
          <w:highlight w:val="none"/>
          <w:lang w:bidi="ar"/>
        </w:rPr>
        <w:t>开展疫情防控工作</w:t>
      </w:r>
      <w:r>
        <w:rPr>
          <w:rFonts w:hint="eastAsia" w:ascii="仿宋" w:hAnsi="仿宋" w:eastAsia="仿宋" w:cs="仿宋"/>
          <w:bCs/>
          <w:sz w:val="28"/>
          <w:szCs w:val="28"/>
          <w:highlight w:val="none"/>
          <w:lang w:val="en-US" w:eastAsia="zh-CN" w:bidi="ar"/>
        </w:rPr>
        <w:t>及基层疫情防控卫生体系建设</w:t>
      </w:r>
      <w:r>
        <w:rPr>
          <w:rFonts w:hint="eastAsia" w:ascii="仿宋" w:hAnsi="仿宋" w:eastAsia="仿宋" w:cs="仿宋"/>
          <w:bCs/>
          <w:sz w:val="28"/>
          <w:szCs w:val="28"/>
          <w:highlight w:val="none"/>
          <w:lang w:eastAsia="zh-CN" w:bidi="ar"/>
        </w:rPr>
        <w:t>；</w:t>
      </w:r>
      <w:r>
        <w:rPr>
          <w:rFonts w:hint="eastAsia" w:ascii="仿宋" w:hAnsi="仿宋" w:eastAsia="仿宋" w:cs="仿宋"/>
          <w:bCs/>
          <w:sz w:val="28"/>
          <w:szCs w:val="28"/>
          <w:highlight w:val="none"/>
          <w:lang w:val="en-US" w:eastAsia="zh-CN" w:bidi="ar"/>
        </w:rPr>
        <w:t>储备防疫相关物资等应对疫情常态化。</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1"/>
        <w:rPr>
          <w:rFonts w:ascii="仿宋" w:hAnsi="仿宋" w:eastAsia="仿宋" w:cs="仿宋"/>
          <w:b/>
          <w:sz w:val="28"/>
          <w:szCs w:val="28"/>
          <w:highlight w:val="none"/>
          <w:lang w:bidi="ar"/>
        </w:rPr>
      </w:pPr>
      <w:bookmarkStart w:id="62" w:name="_Toc12362_WPSOffice_Level2"/>
      <w:bookmarkStart w:id="63" w:name="_Toc4336"/>
      <w:bookmarkStart w:id="64" w:name="_Toc29367_WPSOffice_Level2"/>
      <w:bookmarkStart w:id="65" w:name="_Toc12839"/>
      <w:bookmarkStart w:id="66" w:name="_Toc15842_WPSOffice_Level2"/>
      <w:r>
        <w:rPr>
          <w:rFonts w:hint="eastAsia" w:ascii="仿宋" w:hAnsi="仿宋" w:eastAsia="仿宋" w:cs="仿宋"/>
          <w:b/>
          <w:sz w:val="28"/>
          <w:szCs w:val="28"/>
          <w:highlight w:val="none"/>
          <w:lang w:bidi="ar"/>
        </w:rPr>
        <w:t>（</w:t>
      </w:r>
      <w:r>
        <w:rPr>
          <w:rFonts w:hint="eastAsia" w:ascii="仿宋" w:hAnsi="仿宋" w:eastAsia="仿宋" w:cs="仿宋"/>
          <w:b/>
          <w:sz w:val="28"/>
          <w:szCs w:val="28"/>
          <w:highlight w:val="none"/>
          <w:lang w:val="en-US" w:eastAsia="zh-CN" w:bidi="ar"/>
        </w:rPr>
        <w:t>三</w:t>
      </w:r>
      <w:r>
        <w:rPr>
          <w:rFonts w:hint="eastAsia" w:ascii="仿宋" w:hAnsi="仿宋" w:eastAsia="仿宋" w:cs="仿宋"/>
          <w:b/>
          <w:sz w:val="28"/>
          <w:szCs w:val="28"/>
          <w:highlight w:val="none"/>
          <w:lang w:bidi="ar"/>
        </w:rPr>
        <w:t>）资金概况</w:t>
      </w:r>
      <w:bookmarkEnd w:id="62"/>
      <w:bookmarkEnd w:id="63"/>
      <w:bookmarkEnd w:id="64"/>
      <w:bookmarkEnd w:id="65"/>
      <w:bookmarkEnd w:id="66"/>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2"/>
        <w:rPr>
          <w:rFonts w:hint="eastAsia" w:ascii="仿宋" w:hAnsi="仿宋" w:eastAsia="仿宋" w:cs="仿宋"/>
          <w:b/>
          <w:sz w:val="28"/>
          <w:szCs w:val="28"/>
          <w:highlight w:val="none"/>
          <w:lang w:eastAsia="zh-CN" w:bidi="ar"/>
        </w:rPr>
      </w:pPr>
      <w:bookmarkStart w:id="67" w:name="_Toc9672_WPSOffice_Level3"/>
      <w:r>
        <w:rPr>
          <w:rFonts w:hint="eastAsia" w:ascii="仿宋" w:hAnsi="仿宋" w:eastAsia="仿宋" w:cs="仿宋"/>
          <w:b/>
          <w:sz w:val="28"/>
          <w:szCs w:val="28"/>
          <w:highlight w:val="none"/>
          <w:lang w:bidi="ar"/>
        </w:rPr>
        <w:t>1.项目资金来源</w:t>
      </w:r>
      <w:bookmarkEnd w:id="6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val="en-US" w:eastAsia="zh-CN" w:bidi="ar"/>
        </w:rPr>
        <w:t>2021年永济市</w:t>
      </w:r>
      <w:r>
        <w:rPr>
          <w:rFonts w:hint="eastAsia" w:ascii="仿宋" w:hAnsi="仿宋" w:eastAsia="仿宋" w:cs="仿宋"/>
          <w:bCs/>
          <w:sz w:val="28"/>
          <w:szCs w:val="28"/>
          <w:highlight w:val="none"/>
          <w:lang w:eastAsia="zh-CN" w:bidi="ar"/>
        </w:rPr>
        <w:t>新型冠状病毒感染肺炎疫情防控资金</w:t>
      </w:r>
      <w:r>
        <w:rPr>
          <w:rFonts w:hint="eastAsia" w:ascii="仿宋" w:hAnsi="仿宋" w:eastAsia="仿宋" w:cs="仿宋"/>
          <w:bCs/>
          <w:sz w:val="28"/>
          <w:szCs w:val="28"/>
          <w:highlight w:val="none"/>
          <w:lang w:bidi="ar"/>
        </w:rPr>
        <w:t>总额</w:t>
      </w:r>
      <w:r>
        <w:rPr>
          <w:rFonts w:hint="eastAsia" w:ascii="仿宋" w:hAnsi="仿宋" w:eastAsia="仿宋" w:cs="仿宋"/>
          <w:bCs/>
          <w:sz w:val="28"/>
          <w:szCs w:val="28"/>
          <w:highlight w:val="none"/>
          <w:lang w:val="en-US" w:eastAsia="zh-CN" w:bidi="ar"/>
        </w:rPr>
        <w:t>为2375.76</w:t>
      </w:r>
      <w:r>
        <w:rPr>
          <w:rFonts w:hint="eastAsia" w:ascii="仿宋" w:hAnsi="仿宋" w:eastAsia="仿宋" w:cs="仿宋"/>
          <w:bCs/>
          <w:sz w:val="28"/>
          <w:szCs w:val="28"/>
          <w:highlight w:val="none"/>
          <w:lang w:bidi="ar"/>
        </w:rPr>
        <w:t>万元，</w:t>
      </w:r>
      <w:r>
        <w:rPr>
          <w:rFonts w:hint="eastAsia" w:ascii="仿宋" w:hAnsi="仿宋" w:eastAsia="仿宋" w:cs="仿宋"/>
          <w:bCs/>
          <w:sz w:val="28"/>
          <w:szCs w:val="28"/>
          <w:highlight w:val="none"/>
          <w:lang w:val="en-US" w:eastAsia="zh-CN" w:bidi="ar"/>
        </w:rPr>
        <w:t>其中：2020年结余资金118.26万元，2021年拨付资金2257.5万元，2021年拨付资金均为永济市级财政资金。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val="en-US" w:eastAsia="zh-CN" w:bidi="ar"/>
        </w:rPr>
        <w:t>2021年永济市新冠肺炎疫情防控资金已到位2375.76万元，资金到位率100%。</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2"/>
        <w:rPr>
          <w:rFonts w:ascii="仿宋" w:hAnsi="仿宋" w:eastAsia="仿宋" w:cs="仿宋"/>
          <w:b/>
          <w:sz w:val="28"/>
          <w:szCs w:val="28"/>
          <w:highlight w:val="none"/>
          <w:lang w:bidi="ar"/>
        </w:rPr>
      </w:pPr>
      <w:bookmarkStart w:id="68" w:name="_Toc1305_WPSOffice_Level3"/>
      <w:r>
        <w:rPr>
          <w:rFonts w:hint="eastAsia" w:ascii="仿宋" w:hAnsi="仿宋" w:eastAsia="仿宋" w:cs="仿宋"/>
          <w:b/>
          <w:sz w:val="28"/>
          <w:szCs w:val="28"/>
          <w:highlight w:val="none"/>
          <w:lang w:val="en-US" w:eastAsia="zh-CN" w:bidi="ar"/>
        </w:rPr>
        <w:t>2</w:t>
      </w:r>
      <w:r>
        <w:rPr>
          <w:rFonts w:hint="eastAsia" w:ascii="仿宋" w:hAnsi="仿宋" w:eastAsia="仿宋" w:cs="仿宋"/>
          <w:b/>
          <w:sz w:val="28"/>
          <w:szCs w:val="28"/>
          <w:highlight w:val="none"/>
          <w:lang w:bidi="ar"/>
        </w:rPr>
        <w:t>.资金使用情况</w:t>
      </w:r>
      <w:bookmarkEnd w:id="68"/>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rPr>
          <w:rFonts w:hint="default" w:ascii="仿宋" w:hAnsi="仿宋" w:eastAsia="仿宋" w:cs="仿宋"/>
          <w:bCs/>
          <w:sz w:val="28"/>
          <w:szCs w:val="28"/>
          <w:highlight w:val="none"/>
          <w:lang w:val="en-US" w:bidi="ar"/>
        </w:rPr>
      </w:pPr>
      <w:r>
        <w:rPr>
          <w:rFonts w:hint="eastAsia" w:ascii="仿宋" w:hAnsi="仿宋" w:eastAsia="仿宋" w:cs="仿宋"/>
          <w:bCs/>
          <w:sz w:val="28"/>
          <w:szCs w:val="28"/>
          <w:highlight w:val="none"/>
          <w:lang w:val="en-US" w:eastAsia="zh-CN" w:bidi="ar"/>
        </w:rPr>
        <w:t>2021年12月31日，新冠肺炎疫情防控资金共支付2103.97</w:t>
      </w:r>
      <w:r>
        <w:rPr>
          <w:rFonts w:hint="eastAsia" w:ascii="仿宋" w:hAnsi="仿宋" w:eastAsia="仿宋" w:cs="仿宋"/>
          <w:bCs/>
          <w:sz w:val="28"/>
          <w:szCs w:val="28"/>
          <w:highlight w:val="none"/>
          <w:lang w:bidi="ar"/>
        </w:rPr>
        <w:t>万元，</w:t>
      </w:r>
      <w:r>
        <w:rPr>
          <w:rFonts w:hint="eastAsia" w:ascii="仿宋" w:hAnsi="仿宋" w:eastAsia="仿宋" w:cs="仿宋"/>
          <w:bCs/>
          <w:sz w:val="28"/>
          <w:szCs w:val="28"/>
          <w:highlight w:val="none"/>
          <w:lang w:val="en-US" w:eastAsia="zh-CN" w:bidi="ar"/>
        </w:rPr>
        <w:t>主要用于支持新冠肺炎疫情防控工作，2021年年底财政收回资金67.75万元，剩余资金204.04万元。</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default"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val="en-US" w:eastAsia="zh-CN" w:bidi="ar"/>
        </w:rPr>
        <w:t>2021年下达至卫健局资金共计721.18万元，其中308.84万元下拨至相关单位；下达市医院333.69万元；中医院351.64万元；疾控中心414.5万元。各单位可支配资金及具体资金使用情况如下：</w:t>
      </w:r>
    </w:p>
    <w:p>
      <w:pPr>
        <w:spacing w:line="560" w:lineRule="exact"/>
        <w:jc w:val="center"/>
        <w:rPr>
          <w:rFonts w:hint="eastAsia" w:ascii="仿宋" w:hAnsi="仿宋" w:eastAsia="仿宋" w:cs="仿宋"/>
          <w:b/>
          <w:bCs w:val="0"/>
          <w:sz w:val="28"/>
          <w:szCs w:val="28"/>
          <w:highlight w:val="none"/>
          <w:lang w:val="en-US" w:eastAsia="zh-CN" w:bidi="ar"/>
        </w:rPr>
      </w:pPr>
      <w:r>
        <w:rPr>
          <w:rFonts w:hint="eastAsia" w:ascii="仿宋" w:hAnsi="仿宋" w:eastAsia="仿宋" w:cs="仿宋"/>
          <w:b/>
          <w:bCs w:val="0"/>
          <w:sz w:val="28"/>
          <w:szCs w:val="28"/>
          <w:highlight w:val="none"/>
          <w:lang w:val="en-US" w:eastAsia="zh-CN" w:bidi="ar"/>
        </w:rPr>
        <w:t>表1-1  2021年各单位可支配资金结余情况明细表</w:t>
      </w:r>
    </w:p>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default" w:ascii="仿宋" w:hAnsi="仿宋" w:eastAsia="仿宋" w:cs="仿宋"/>
          <w:bCs/>
          <w:sz w:val="22"/>
          <w:szCs w:val="22"/>
          <w:highlight w:val="none"/>
          <w:vertAlign w:val="baseline"/>
          <w:lang w:val="en-US" w:bidi="ar"/>
        </w:rPr>
      </w:pPr>
      <w:r>
        <w:rPr>
          <w:rFonts w:hint="eastAsia" w:ascii="仿宋" w:hAnsi="仿宋" w:eastAsia="仿宋" w:cs="仿宋"/>
          <w:bCs/>
          <w:sz w:val="22"/>
          <w:szCs w:val="22"/>
          <w:highlight w:val="none"/>
          <w:lang w:val="en-US" w:eastAsia="zh-CN" w:bidi="ar"/>
        </w:rPr>
        <w:t>单位：万元</w:t>
      </w:r>
    </w:p>
    <w:tbl>
      <w:tblPr>
        <w:tblStyle w:val="11"/>
        <w:tblW w:w="9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060"/>
        <w:gridCol w:w="1122"/>
        <w:gridCol w:w="1338"/>
        <w:gridCol w:w="1320"/>
        <w:gridCol w:w="1320"/>
        <w:gridCol w:w="832"/>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0" w:type="dxa"/>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单位</w:t>
            </w:r>
          </w:p>
        </w:tc>
        <w:tc>
          <w:tcPr>
            <w:tcW w:w="1060" w:type="dxa"/>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期初资金</w:t>
            </w:r>
          </w:p>
        </w:tc>
        <w:tc>
          <w:tcPr>
            <w:tcW w:w="1122" w:type="dxa"/>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财政直拨</w:t>
            </w:r>
          </w:p>
        </w:tc>
        <w:tc>
          <w:tcPr>
            <w:tcW w:w="1338" w:type="dxa"/>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卫健局下拨</w:t>
            </w:r>
          </w:p>
        </w:tc>
        <w:tc>
          <w:tcPr>
            <w:tcW w:w="1320" w:type="dxa"/>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可支配资金</w:t>
            </w:r>
          </w:p>
        </w:tc>
        <w:tc>
          <w:tcPr>
            <w:tcW w:w="1320" w:type="dxa"/>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已支付资金</w:t>
            </w:r>
          </w:p>
        </w:tc>
        <w:tc>
          <w:tcPr>
            <w:tcW w:w="832" w:type="dxa"/>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收回</w:t>
            </w:r>
          </w:p>
        </w:tc>
        <w:tc>
          <w:tcPr>
            <w:tcW w:w="1070" w:type="dxa"/>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剩余资金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0" w:type="dxa"/>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卫健局</w:t>
            </w:r>
          </w:p>
        </w:tc>
        <w:tc>
          <w:tcPr>
            <w:tcW w:w="1060"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34.34</w:t>
            </w:r>
          </w:p>
        </w:tc>
        <w:tc>
          <w:tcPr>
            <w:tcW w:w="1122"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721.18</w:t>
            </w:r>
          </w:p>
        </w:tc>
        <w:tc>
          <w:tcPr>
            <w:tcW w:w="1338"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-308.84</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446.68</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260.42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186.26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0" w:type="dxa"/>
            <w:vAlign w:val="center"/>
          </w:tcPr>
          <w:p>
            <w:pPr>
              <w:keepNext w:val="0"/>
              <w:keepLines w:val="0"/>
              <w:pageBreakBefore w:val="0"/>
              <w:kinsoku/>
              <w:wordWrap/>
              <w:overflowPunct/>
              <w:topLinePunct w:val="0"/>
              <w:autoSpaceDE/>
              <w:autoSpaceDN/>
              <w:bidi w:val="0"/>
              <w:adjustRightInd/>
              <w:snapToGrid/>
              <w:spacing w:line="280" w:lineRule="exact"/>
              <w:jc w:val="lef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市医院</w:t>
            </w:r>
          </w:p>
        </w:tc>
        <w:tc>
          <w:tcPr>
            <w:tcW w:w="1060"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p>
        </w:tc>
        <w:tc>
          <w:tcPr>
            <w:tcW w:w="1122"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333.69</w:t>
            </w:r>
          </w:p>
        </w:tc>
        <w:tc>
          <w:tcPr>
            <w:tcW w:w="1338"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0.95</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334.64</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267.17</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67.47</w:t>
            </w: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0" w:type="dxa"/>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中医院</w:t>
            </w:r>
          </w:p>
        </w:tc>
        <w:tc>
          <w:tcPr>
            <w:tcW w:w="1060"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eastAsia" w:ascii="仿宋" w:hAnsi="仿宋" w:eastAsia="仿宋" w:cs="仿宋"/>
                <w:sz w:val="21"/>
                <w:szCs w:val="21"/>
                <w:highlight w:val="none"/>
                <w:vertAlign w:val="baseline"/>
                <w:lang w:val="en-US" w:eastAsia="zh-CN"/>
              </w:rPr>
            </w:pPr>
          </w:p>
        </w:tc>
        <w:tc>
          <w:tcPr>
            <w:tcW w:w="1122"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351.64</w:t>
            </w:r>
          </w:p>
        </w:tc>
        <w:tc>
          <w:tcPr>
            <w:tcW w:w="1338"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19.00</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370.64</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370.64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0" w:type="dxa"/>
            <w:vAlign w:val="center"/>
          </w:tcPr>
          <w:p>
            <w:pPr>
              <w:keepNext w:val="0"/>
              <w:keepLines w:val="0"/>
              <w:pageBreakBefore w:val="0"/>
              <w:kinsoku/>
              <w:wordWrap/>
              <w:overflowPunct/>
              <w:topLinePunct w:val="0"/>
              <w:autoSpaceDE/>
              <w:autoSpaceDN/>
              <w:bidi w:val="0"/>
              <w:adjustRightInd/>
              <w:snapToGrid/>
              <w:spacing w:line="280" w:lineRule="exact"/>
              <w:jc w:val="lef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疾控中心</w:t>
            </w:r>
          </w:p>
        </w:tc>
        <w:tc>
          <w:tcPr>
            <w:tcW w:w="1060"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72.37</w:t>
            </w:r>
          </w:p>
        </w:tc>
        <w:tc>
          <w:tcPr>
            <w:tcW w:w="1122"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414.50</w:t>
            </w:r>
          </w:p>
        </w:tc>
        <w:tc>
          <w:tcPr>
            <w:tcW w:w="1338"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eastAsia" w:ascii="仿宋" w:hAnsi="仿宋" w:eastAsia="仿宋" w:cs="仿宋"/>
                <w:sz w:val="21"/>
                <w:szCs w:val="21"/>
                <w:highlight w:val="none"/>
                <w:vertAlign w:val="baseline"/>
              </w:rPr>
            </w:pP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486.87</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473.68</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0.28</w:t>
            </w: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0" w:type="dxa"/>
            <w:vAlign w:val="center"/>
          </w:tcPr>
          <w:p>
            <w:pPr>
              <w:keepNext w:val="0"/>
              <w:keepLines w:val="0"/>
              <w:pageBreakBefore w:val="0"/>
              <w:kinsoku/>
              <w:wordWrap/>
              <w:overflowPunct/>
              <w:topLinePunct w:val="0"/>
              <w:autoSpaceDE/>
              <w:autoSpaceDN/>
              <w:bidi w:val="0"/>
              <w:adjustRightInd/>
              <w:snapToGrid/>
              <w:spacing w:line="280" w:lineRule="exact"/>
              <w:jc w:val="lef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电机医院</w:t>
            </w:r>
          </w:p>
        </w:tc>
        <w:tc>
          <w:tcPr>
            <w:tcW w:w="1060"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eastAsia" w:ascii="仿宋" w:hAnsi="仿宋" w:eastAsia="仿宋" w:cs="仿宋"/>
                <w:sz w:val="21"/>
                <w:szCs w:val="21"/>
                <w:highlight w:val="none"/>
                <w:vertAlign w:val="baseline"/>
              </w:rPr>
            </w:pPr>
          </w:p>
        </w:tc>
        <w:tc>
          <w:tcPr>
            <w:tcW w:w="1122"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eastAsia" w:ascii="仿宋" w:hAnsi="仿宋" w:eastAsia="仿宋" w:cs="仿宋"/>
                <w:sz w:val="21"/>
                <w:szCs w:val="21"/>
                <w:highlight w:val="none"/>
                <w:vertAlign w:val="baseline"/>
              </w:rPr>
            </w:pPr>
          </w:p>
        </w:tc>
        <w:tc>
          <w:tcPr>
            <w:tcW w:w="1338"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154.69</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eastAsia" w:ascii="仿宋" w:hAnsi="仿宋" w:eastAsia="仿宋" w:cs="仿宋"/>
                <w:sz w:val="21"/>
                <w:szCs w:val="21"/>
                <w:highlight w:val="none"/>
                <w:vertAlign w:val="baseline"/>
              </w:rPr>
            </w:pPr>
            <w:r>
              <w:rPr>
                <w:rFonts w:hint="eastAsia" w:ascii="仿宋" w:hAnsi="仿宋" w:eastAsia="仿宋" w:cs="仿宋"/>
                <w:i w:val="0"/>
                <w:iCs w:val="0"/>
                <w:color w:val="000000"/>
                <w:kern w:val="0"/>
                <w:sz w:val="21"/>
                <w:szCs w:val="21"/>
                <w:highlight w:val="none"/>
                <w:u w:val="none"/>
                <w:lang w:val="en-US" w:eastAsia="zh-CN" w:bidi="ar"/>
              </w:rPr>
              <w:t>154.69</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154.69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0" w:type="dxa"/>
            <w:vAlign w:val="center"/>
          </w:tcPr>
          <w:p>
            <w:pPr>
              <w:keepNext w:val="0"/>
              <w:keepLines w:val="0"/>
              <w:pageBreakBefore w:val="0"/>
              <w:kinsoku/>
              <w:wordWrap/>
              <w:overflowPunct/>
              <w:topLinePunct w:val="0"/>
              <w:autoSpaceDE/>
              <w:autoSpaceDN/>
              <w:bidi w:val="0"/>
              <w:adjustRightInd/>
              <w:snapToGrid/>
              <w:spacing w:line="280" w:lineRule="exact"/>
              <w:jc w:val="lef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城北卫生院</w:t>
            </w:r>
          </w:p>
        </w:tc>
        <w:tc>
          <w:tcPr>
            <w:tcW w:w="1060"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eastAsia" w:ascii="仿宋" w:hAnsi="仿宋" w:eastAsia="仿宋" w:cs="仿宋"/>
                <w:sz w:val="21"/>
                <w:szCs w:val="21"/>
                <w:highlight w:val="none"/>
                <w:vertAlign w:val="baseline"/>
              </w:rPr>
            </w:pPr>
          </w:p>
        </w:tc>
        <w:tc>
          <w:tcPr>
            <w:tcW w:w="1122"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98.46</w:t>
            </w:r>
          </w:p>
        </w:tc>
        <w:tc>
          <w:tcPr>
            <w:tcW w:w="1338"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63.49</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eastAsia" w:ascii="仿宋" w:hAnsi="仿宋" w:eastAsia="仿宋" w:cs="仿宋"/>
                <w:sz w:val="21"/>
                <w:szCs w:val="21"/>
                <w:highlight w:val="none"/>
                <w:vertAlign w:val="baseline"/>
              </w:rPr>
            </w:pPr>
            <w:r>
              <w:rPr>
                <w:rFonts w:hint="eastAsia" w:ascii="仿宋" w:hAnsi="仿宋" w:eastAsia="仿宋" w:cs="仿宋"/>
                <w:i w:val="0"/>
                <w:iCs w:val="0"/>
                <w:color w:val="000000"/>
                <w:kern w:val="0"/>
                <w:sz w:val="21"/>
                <w:szCs w:val="21"/>
                <w:highlight w:val="none"/>
                <w:u w:val="none"/>
                <w:lang w:val="en-US" w:eastAsia="zh-CN" w:bidi="ar"/>
              </w:rPr>
              <w:t>161.95</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158.29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0" w:type="dxa"/>
            <w:vAlign w:val="center"/>
          </w:tcPr>
          <w:p>
            <w:pPr>
              <w:keepNext w:val="0"/>
              <w:keepLines w:val="0"/>
              <w:pageBreakBefore w:val="0"/>
              <w:kinsoku/>
              <w:wordWrap/>
              <w:overflowPunct/>
              <w:topLinePunct w:val="0"/>
              <w:autoSpaceDE/>
              <w:autoSpaceDN/>
              <w:bidi w:val="0"/>
              <w:adjustRightInd/>
              <w:snapToGrid/>
              <w:spacing w:line="280" w:lineRule="exact"/>
              <w:jc w:val="lef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城东卫生院</w:t>
            </w:r>
          </w:p>
        </w:tc>
        <w:tc>
          <w:tcPr>
            <w:tcW w:w="1060"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eastAsia" w:ascii="仿宋" w:hAnsi="仿宋" w:eastAsia="仿宋" w:cs="仿宋"/>
                <w:sz w:val="21"/>
                <w:szCs w:val="21"/>
                <w:highlight w:val="none"/>
                <w:vertAlign w:val="baseline"/>
              </w:rPr>
            </w:pPr>
          </w:p>
        </w:tc>
        <w:tc>
          <w:tcPr>
            <w:tcW w:w="1122"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35.64</w:t>
            </w:r>
          </w:p>
        </w:tc>
        <w:tc>
          <w:tcPr>
            <w:tcW w:w="1338"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33.00</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eastAsia" w:ascii="仿宋" w:hAnsi="仿宋" w:eastAsia="仿宋" w:cs="仿宋"/>
                <w:sz w:val="21"/>
                <w:szCs w:val="21"/>
                <w:highlight w:val="none"/>
                <w:vertAlign w:val="baseline"/>
              </w:rPr>
            </w:pPr>
            <w:r>
              <w:rPr>
                <w:rFonts w:hint="eastAsia" w:ascii="仿宋" w:hAnsi="仿宋" w:eastAsia="仿宋" w:cs="仿宋"/>
                <w:i w:val="0"/>
                <w:iCs w:val="0"/>
                <w:color w:val="000000"/>
                <w:kern w:val="0"/>
                <w:sz w:val="21"/>
                <w:szCs w:val="21"/>
                <w:highlight w:val="none"/>
                <w:u w:val="none"/>
                <w:lang w:val="en-US" w:eastAsia="zh-CN" w:bidi="ar"/>
              </w:rPr>
              <w:t>68.64</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68.64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0" w:type="dxa"/>
            <w:vAlign w:val="center"/>
          </w:tcPr>
          <w:p>
            <w:pPr>
              <w:keepNext w:val="0"/>
              <w:keepLines w:val="0"/>
              <w:pageBreakBefore w:val="0"/>
              <w:kinsoku/>
              <w:wordWrap/>
              <w:overflowPunct/>
              <w:topLinePunct w:val="0"/>
              <w:autoSpaceDE/>
              <w:autoSpaceDN/>
              <w:bidi w:val="0"/>
              <w:adjustRightInd/>
              <w:snapToGrid/>
              <w:spacing w:line="280" w:lineRule="exact"/>
              <w:jc w:val="lef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医保局</w:t>
            </w:r>
          </w:p>
        </w:tc>
        <w:tc>
          <w:tcPr>
            <w:tcW w:w="1060"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eastAsia" w:ascii="仿宋" w:hAnsi="仿宋" w:eastAsia="仿宋" w:cs="仿宋"/>
                <w:sz w:val="21"/>
                <w:szCs w:val="21"/>
                <w:highlight w:val="none"/>
                <w:vertAlign w:val="baseline"/>
              </w:rPr>
            </w:pPr>
          </w:p>
        </w:tc>
        <w:tc>
          <w:tcPr>
            <w:tcW w:w="1122"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191.39</w:t>
            </w:r>
          </w:p>
        </w:tc>
        <w:tc>
          <w:tcPr>
            <w:tcW w:w="1338"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eastAsia" w:ascii="仿宋" w:hAnsi="仿宋" w:eastAsia="仿宋" w:cs="仿宋"/>
                <w:sz w:val="21"/>
                <w:szCs w:val="21"/>
                <w:highlight w:val="none"/>
                <w:vertAlign w:val="baseline"/>
              </w:rPr>
            </w:pPr>
            <w:r>
              <w:rPr>
                <w:rFonts w:hint="eastAsia" w:ascii="仿宋" w:hAnsi="仿宋" w:eastAsia="仿宋" w:cs="仿宋"/>
                <w:i w:val="0"/>
                <w:iCs w:val="0"/>
                <w:color w:val="000000"/>
                <w:kern w:val="0"/>
                <w:sz w:val="21"/>
                <w:szCs w:val="21"/>
                <w:highlight w:val="none"/>
                <w:u w:val="none"/>
                <w:lang w:val="en-US" w:eastAsia="zh-CN" w:bidi="ar"/>
              </w:rPr>
              <w:t>191.39</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191.39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0" w:type="dxa"/>
            <w:vAlign w:val="center"/>
          </w:tcPr>
          <w:p>
            <w:pPr>
              <w:keepNext w:val="0"/>
              <w:keepLines w:val="0"/>
              <w:pageBreakBefore w:val="0"/>
              <w:kinsoku/>
              <w:wordWrap/>
              <w:overflowPunct/>
              <w:topLinePunct w:val="0"/>
              <w:autoSpaceDE/>
              <w:autoSpaceDN/>
              <w:bidi w:val="0"/>
              <w:adjustRightInd/>
              <w:snapToGrid/>
              <w:spacing w:line="280" w:lineRule="exact"/>
              <w:jc w:val="lef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栲栳卫生院</w:t>
            </w:r>
          </w:p>
        </w:tc>
        <w:tc>
          <w:tcPr>
            <w:tcW w:w="1060"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eastAsia" w:ascii="仿宋" w:hAnsi="仿宋" w:eastAsia="仿宋" w:cs="仿宋"/>
                <w:sz w:val="21"/>
                <w:szCs w:val="21"/>
                <w:highlight w:val="none"/>
                <w:vertAlign w:val="baseline"/>
              </w:rPr>
            </w:pPr>
          </w:p>
        </w:tc>
        <w:tc>
          <w:tcPr>
            <w:tcW w:w="1122"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35.00</w:t>
            </w:r>
          </w:p>
        </w:tc>
        <w:tc>
          <w:tcPr>
            <w:tcW w:w="1338"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eastAsia" w:ascii="仿宋" w:hAnsi="仿宋" w:eastAsia="仿宋" w:cs="仿宋"/>
                <w:sz w:val="21"/>
                <w:szCs w:val="21"/>
                <w:highlight w:val="none"/>
                <w:vertAlign w:val="baseline"/>
                <w:lang w:val="en-US" w:eastAsia="zh-CN"/>
              </w:rPr>
            </w:pP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35.00</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35.00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eastAsia"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0" w:type="dxa"/>
            <w:vAlign w:val="center"/>
          </w:tcPr>
          <w:p>
            <w:pPr>
              <w:keepNext w:val="0"/>
              <w:keepLines w:val="0"/>
              <w:pageBreakBefore w:val="0"/>
              <w:kinsoku/>
              <w:wordWrap/>
              <w:overflowPunct/>
              <w:topLinePunct w:val="0"/>
              <w:autoSpaceDE/>
              <w:autoSpaceDN/>
              <w:bidi w:val="0"/>
              <w:adjustRightInd/>
              <w:snapToGrid/>
              <w:spacing w:line="280" w:lineRule="exact"/>
              <w:jc w:val="lef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各乡镇政府及相关部门</w:t>
            </w:r>
          </w:p>
        </w:tc>
        <w:tc>
          <w:tcPr>
            <w:tcW w:w="1060"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11.55</w:t>
            </w:r>
          </w:p>
        </w:tc>
        <w:tc>
          <w:tcPr>
            <w:tcW w:w="1122"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76.00</w:t>
            </w:r>
          </w:p>
        </w:tc>
        <w:tc>
          <w:tcPr>
            <w:tcW w:w="1338" w:type="dxa"/>
            <w:vAlign w:val="center"/>
          </w:tcPr>
          <w:p>
            <w:pPr>
              <w:keepNext w:val="0"/>
              <w:keepLines w:val="0"/>
              <w:pageBreakBefore w:val="0"/>
              <w:kinsoku/>
              <w:wordWrap/>
              <w:overflowPunct/>
              <w:topLinePunct w:val="0"/>
              <w:autoSpaceDE/>
              <w:autoSpaceDN/>
              <w:bidi w:val="0"/>
              <w:adjustRightInd/>
              <w:snapToGrid/>
              <w:spacing w:line="280" w:lineRule="exact"/>
              <w:jc w:val="right"/>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37.71</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eastAsia" w:ascii="仿宋" w:hAnsi="仿宋" w:eastAsia="仿宋" w:cs="仿宋"/>
                <w:sz w:val="21"/>
                <w:szCs w:val="21"/>
                <w:highlight w:val="none"/>
                <w:vertAlign w:val="baseline"/>
              </w:rPr>
            </w:pPr>
            <w:r>
              <w:rPr>
                <w:rFonts w:hint="eastAsia" w:ascii="仿宋" w:hAnsi="仿宋" w:eastAsia="仿宋" w:cs="仿宋"/>
                <w:i w:val="0"/>
                <w:iCs w:val="0"/>
                <w:color w:val="000000"/>
                <w:kern w:val="0"/>
                <w:sz w:val="21"/>
                <w:szCs w:val="21"/>
                <w:highlight w:val="none"/>
                <w:u w:val="none"/>
                <w:lang w:val="en-US" w:eastAsia="zh-CN" w:bidi="ar"/>
              </w:rPr>
              <w:t>125.26</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124.05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0" w:type="dxa"/>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合计</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b/>
                <w:bCs/>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118.26</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b/>
                <w:bCs/>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2257.50</w:t>
            </w:r>
          </w:p>
        </w:tc>
        <w:tc>
          <w:tcPr>
            <w:tcW w:w="1338"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2375.76</w:t>
            </w:r>
          </w:p>
        </w:tc>
        <w:tc>
          <w:tcPr>
            <w:tcW w:w="132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2103.97</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67.75</w:t>
            </w: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204.04</w:t>
            </w:r>
          </w:p>
        </w:tc>
      </w:tr>
    </w:tbl>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bidi="ar"/>
        </w:rPr>
        <w:t>资金使用方向：</w:t>
      </w:r>
      <w:r>
        <w:rPr>
          <w:rFonts w:hint="eastAsia" w:ascii="仿宋" w:hAnsi="仿宋" w:eastAsia="仿宋" w:cs="仿宋"/>
          <w:bCs/>
          <w:sz w:val="28"/>
          <w:szCs w:val="28"/>
          <w:highlight w:val="none"/>
          <w:lang w:val="en-US" w:eastAsia="zh-CN" w:bidi="ar"/>
        </w:rPr>
        <w:t>核酸实验室建设574.88万元，其中核酸实验室建设112.68万元，实验室器械设备462.2万元；隔离点经费396.12万元，包括租赁费、餐费及装修费用；疫苗接种共计378.96万元，其中紧急人员疫苗接种款146.56万元，运城市分摊应上缴医保基金专户的疫苗接种款191.39万元；核酸检测共计229.72万元，其中检测耗材220.32万元，配套设施9.4万元；卡口经费109.43万元；新冠物资159.53万元；冷链建设76万元；发热门诊建设35万元；其他费用143.7万元。</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val="0"/>
          <w:sz w:val="28"/>
          <w:szCs w:val="28"/>
          <w:highlight w:val="none"/>
          <w:lang w:val="en-US" w:eastAsia="zh-CN" w:bidi="ar"/>
        </w:rPr>
      </w:pPr>
      <w:bookmarkStart w:id="69" w:name="_Toc7776"/>
      <w:bookmarkStart w:id="70" w:name="_Toc18740"/>
      <w:r>
        <w:rPr>
          <w:rFonts w:hint="eastAsia" w:ascii="仿宋" w:hAnsi="仿宋" w:eastAsia="仿宋" w:cs="仿宋"/>
          <w:b/>
          <w:bCs w:val="0"/>
          <w:sz w:val="28"/>
          <w:szCs w:val="28"/>
          <w:highlight w:val="none"/>
          <w:lang w:val="en-US" w:eastAsia="zh-CN" w:bidi="ar"/>
        </w:rPr>
        <w:t>（四）项目绩效目标</w:t>
      </w:r>
      <w:bookmarkEnd w:id="69"/>
      <w:bookmarkEnd w:id="70"/>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outlineLvl w:val="2"/>
        <w:rPr>
          <w:rFonts w:hint="default" w:ascii="仿宋" w:hAnsi="仿宋" w:eastAsia="仿宋" w:cs="仿宋"/>
          <w:b/>
          <w:sz w:val="28"/>
          <w:szCs w:val="28"/>
          <w:highlight w:val="none"/>
          <w:lang w:val="en-US" w:eastAsia="zh-CN" w:bidi="ar"/>
        </w:rPr>
      </w:pPr>
      <w:r>
        <w:rPr>
          <w:rFonts w:hint="eastAsia" w:ascii="仿宋" w:hAnsi="仿宋" w:eastAsia="仿宋" w:cs="仿宋"/>
          <w:b/>
          <w:sz w:val="28"/>
          <w:szCs w:val="28"/>
          <w:highlight w:val="none"/>
          <w:lang w:val="en-US" w:eastAsia="zh-CN" w:bidi="ar"/>
        </w:rPr>
        <w:t>1.项目总绩效目标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sz w:val="28"/>
          <w:szCs w:val="28"/>
          <w:highlight w:val="none"/>
          <w:lang w:val="en-US" w:eastAsia="zh-CN" w:bidi="ar"/>
        </w:rPr>
      </w:pPr>
      <w:r>
        <w:rPr>
          <w:rFonts w:hint="eastAsia" w:ascii="仿宋" w:hAnsi="仿宋" w:eastAsia="仿宋" w:cs="仿宋"/>
          <w:bCs/>
          <w:sz w:val="28"/>
          <w:szCs w:val="28"/>
          <w:highlight w:val="none"/>
          <w:lang w:eastAsia="zh-CN" w:bidi="ar"/>
        </w:rPr>
        <w:t>设立该资金的目标是：</w:t>
      </w:r>
      <w:r>
        <w:rPr>
          <w:rFonts w:hint="eastAsia" w:ascii="仿宋" w:hAnsi="仿宋" w:eastAsia="仿宋" w:cs="仿宋"/>
          <w:b w:val="0"/>
          <w:bCs/>
          <w:sz w:val="28"/>
          <w:szCs w:val="28"/>
          <w:highlight w:val="none"/>
          <w:lang w:val="en-US" w:eastAsia="zh-CN" w:bidi="ar"/>
        </w:rPr>
        <w:t>建设核酸实验室，完成永济市5-7日内完成辖区内全员核酸检测；建设一个疫情视频会议室、对永济市疫苗接种点部分设备进行补充、更新，完成新冠疫苗接种工作；完善隔离点所需的设备及医务人员，发挥隔离点的隔离防范作用；严格把控卡口，做好防疫宣传，外防输入、内防反弹；配备相应物资，以应对突发状况等。</w:t>
      </w:r>
      <w:r>
        <w:rPr>
          <w:rFonts w:hint="eastAsia" w:ascii="仿宋" w:hAnsi="仿宋" w:eastAsia="仿宋" w:cs="仿宋"/>
          <w:sz w:val="28"/>
          <w:szCs w:val="28"/>
          <w:highlight w:val="none"/>
          <w:lang w:val="en-US" w:eastAsia="zh-CN"/>
        </w:rPr>
        <w:t>落实国务院联防联控机制，严防聚集性疫情，做好以“外防输入、内防反弹”为策略，做到“早预防、早发现、早报告、早隔离”，保护人民群众身体健康</w:t>
      </w:r>
      <w:r>
        <w:rPr>
          <w:rFonts w:hint="eastAsia" w:ascii="仿宋" w:hAnsi="仿宋" w:eastAsia="仿宋" w:cs="仿宋"/>
          <w:b w:val="0"/>
          <w:bCs/>
          <w:sz w:val="28"/>
          <w:szCs w:val="28"/>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outlineLvl w:val="2"/>
        <w:rPr>
          <w:rFonts w:hint="eastAsia" w:ascii="仿宋" w:hAnsi="仿宋" w:eastAsia="仿宋" w:cs="仿宋"/>
          <w:b/>
          <w:sz w:val="28"/>
          <w:szCs w:val="28"/>
          <w:highlight w:val="none"/>
          <w:lang w:val="en-US" w:eastAsia="zh-CN" w:bidi="ar"/>
        </w:rPr>
      </w:pPr>
      <w:r>
        <w:rPr>
          <w:rFonts w:hint="eastAsia" w:ascii="仿宋" w:hAnsi="仿宋" w:eastAsia="仿宋" w:cs="仿宋"/>
          <w:b/>
          <w:sz w:val="28"/>
          <w:szCs w:val="28"/>
          <w:highlight w:val="none"/>
          <w:lang w:val="en-US" w:eastAsia="zh-CN" w:bidi="ar"/>
        </w:rPr>
        <w:t>2.项目具体绩效目标</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Cs/>
          <w:sz w:val="28"/>
          <w:szCs w:val="28"/>
          <w:highlight w:val="none"/>
          <w:lang w:val="en-US" w:eastAsia="zh-CN" w:bidi="ar"/>
        </w:rPr>
      </w:pPr>
      <w:r>
        <w:rPr>
          <w:rFonts w:hint="default" w:ascii="仿宋" w:hAnsi="仿宋" w:eastAsia="仿宋" w:cs="仿宋"/>
          <w:bCs/>
          <w:sz w:val="28"/>
          <w:szCs w:val="28"/>
          <w:highlight w:val="none"/>
          <w:lang w:val="en-US" w:eastAsia="zh-CN" w:bidi="ar"/>
        </w:rPr>
        <w:t>①</w:t>
      </w:r>
      <w:r>
        <w:rPr>
          <w:rFonts w:hint="eastAsia" w:ascii="仿宋" w:hAnsi="仿宋" w:eastAsia="仿宋" w:cs="仿宋"/>
          <w:bCs/>
          <w:sz w:val="28"/>
          <w:szCs w:val="28"/>
          <w:highlight w:val="none"/>
          <w:lang w:val="en-US" w:eastAsia="zh-CN" w:bidi="ar"/>
        </w:rPr>
        <w:t>完成4个核酸实验室建设，保障pcr实验室的卫生及标准，为核酸检测提供所需的场地。</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kern w:val="2"/>
          <w:sz w:val="28"/>
          <w:szCs w:val="28"/>
          <w:highlight w:val="none"/>
          <w:lang w:val="en-US" w:eastAsia="zh-CN" w:bidi="ar"/>
        </w:rPr>
      </w:pPr>
      <w:r>
        <w:rPr>
          <w:rFonts w:hint="eastAsia" w:ascii="仿宋" w:hAnsi="仿宋" w:eastAsia="仿宋" w:cs="仿宋"/>
          <w:bCs/>
          <w:sz w:val="28"/>
          <w:szCs w:val="28"/>
          <w:highlight w:val="none"/>
          <w:lang w:val="en-US" w:eastAsia="zh-CN" w:bidi="ar"/>
        </w:rPr>
        <w:t>②达到</w:t>
      </w:r>
      <w:r>
        <w:rPr>
          <w:rFonts w:hint="eastAsia" w:ascii="仿宋" w:hAnsi="仿宋" w:eastAsia="仿宋" w:cs="仿宋"/>
          <w:b w:val="0"/>
          <w:bCs/>
          <w:kern w:val="2"/>
          <w:sz w:val="28"/>
          <w:szCs w:val="28"/>
          <w:highlight w:val="none"/>
          <w:lang w:val="en-US" w:eastAsia="zh-CN" w:bidi="ar"/>
        </w:rPr>
        <w:t>核酸检测人数7.65万人次/日，实现“应检尽检、愿检尽检”，5-7日内完成辖区内全员核酸检测的目标。</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b w:val="0"/>
          <w:bCs/>
          <w:kern w:val="2"/>
          <w:sz w:val="28"/>
          <w:szCs w:val="28"/>
          <w:highlight w:val="none"/>
          <w:lang w:val="en-US" w:eastAsia="zh-CN" w:bidi="ar"/>
        </w:rPr>
      </w:pPr>
      <w:r>
        <w:rPr>
          <w:rFonts w:hint="eastAsia" w:ascii="仿宋" w:hAnsi="仿宋" w:eastAsia="仿宋" w:cs="仿宋"/>
          <w:b w:val="0"/>
          <w:bCs/>
          <w:kern w:val="2"/>
          <w:sz w:val="28"/>
          <w:szCs w:val="28"/>
          <w:highlight w:val="none"/>
          <w:lang w:val="en-US" w:eastAsia="zh-CN" w:bidi="ar"/>
        </w:rPr>
        <w:t>③栲栳卫生院完成1个145㎡的发热门诊建设，包括一个预检分诊区、两个留观室、两个缓冲间、两个更衣室、三个诊室等，满足“三区两通道”要求的发热门诊，并投入使用。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 w:val="0"/>
          <w:bCs/>
          <w:kern w:val="2"/>
          <w:sz w:val="28"/>
          <w:szCs w:val="28"/>
          <w:highlight w:val="none"/>
          <w:lang w:val="en-US" w:eastAsia="zh-CN" w:bidi="ar"/>
        </w:rPr>
      </w:pPr>
      <w:r>
        <w:rPr>
          <w:rFonts w:hint="eastAsia" w:ascii="仿宋" w:hAnsi="仿宋" w:eastAsia="仿宋" w:cs="仿宋"/>
          <w:b w:val="0"/>
          <w:bCs/>
          <w:kern w:val="2"/>
          <w:sz w:val="28"/>
          <w:szCs w:val="28"/>
          <w:highlight w:val="none"/>
          <w:lang w:val="en-US" w:eastAsia="zh-CN" w:bidi="ar"/>
        </w:rPr>
        <w:t>④解决永济市各接种点存在的电脑、扫描枪等设备短缺，医用冷藏冷冻箱数量不足、信息化程度不高的问题，完成省政府安排的新冠疫苗接种工作“百日行动”计划。</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 w:val="0"/>
          <w:bCs/>
          <w:kern w:val="2"/>
          <w:sz w:val="28"/>
          <w:szCs w:val="28"/>
          <w:highlight w:val="none"/>
          <w:lang w:val="en-US" w:eastAsia="zh-CN" w:bidi="ar"/>
        </w:rPr>
      </w:pPr>
      <w:r>
        <w:rPr>
          <w:rFonts w:hint="eastAsia" w:ascii="仿宋" w:hAnsi="仿宋" w:eastAsia="仿宋" w:cs="仿宋"/>
          <w:b w:val="0"/>
          <w:bCs/>
          <w:kern w:val="2"/>
          <w:sz w:val="28"/>
          <w:szCs w:val="28"/>
          <w:highlight w:val="none"/>
          <w:lang w:val="en-US" w:eastAsia="zh-CN" w:bidi="ar"/>
        </w:rPr>
        <w:t>⑤提供隔离场所，对</w:t>
      </w:r>
      <w:r>
        <w:rPr>
          <w:rFonts w:hint="default" w:ascii="仿宋" w:hAnsi="仿宋" w:eastAsia="仿宋" w:cs="仿宋"/>
          <w:b w:val="0"/>
          <w:bCs/>
          <w:kern w:val="2"/>
          <w:sz w:val="28"/>
          <w:szCs w:val="28"/>
          <w:highlight w:val="none"/>
          <w:lang w:val="en-US" w:eastAsia="zh-CN" w:bidi="ar"/>
        </w:rPr>
        <w:t>重点人群</w:t>
      </w:r>
      <w:r>
        <w:rPr>
          <w:rFonts w:hint="eastAsia" w:ascii="仿宋" w:hAnsi="仿宋" w:eastAsia="仿宋" w:cs="仿宋"/>
          <w:b w:val="0"/>
          <w:bCs/>
          <w:kern w:val="2"/>
          <w:sz w:val="28"/>
          <w:szCs w:val="28"/>
          <w:highlight w:val="none"/>
          <w:lang w:val="en-US" w:eastAsia="zh-CN" w:bidi="ar"/>
        </w:rPr>
        <w:t>进行隔离，指定专人负责，进行医学观察，并做好后勤保障，医学观察期满及时解除管控措施。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 w:val="0"/>
          <w:bCs/>
          <w:kern w:val="2"/>
          <w:sz w:val="28"/>
          <w:szCs w:val="28"/>
          <w:highlight w:val="none"/>
          <w:lang w:val="en-US" w:eastAsia="zh-CN" w:bidi="ar"/>
        </w:rPr>
      </w:pPr>
      <w:r>
        <w:rPr>
          <w:rFonts w:hint="eastAsia" w:ascii="仿宋" w:hAnsi="仿宋" w:eastAsia="仿宋" w:cs="仿宋"/>
          <w:b w:val="0"/>
          <w:bCs/>
          <w:kern w:val="2"/>
          <w:sz w:val="28"/>
          <w:szCs w:val="28"/>
          <w:highlight w:val="none"/>
          <w:lang w:val="en-US" w:eastAsia="zh-CN" w:bidi="ar"/>
        </w:rPr>
        <w:t>⑥入永防疫卡口值班值守，各交通场站、公路卡口严格排查管控，落实“落地核酸+点对点接返+精准赋码+隔离管控”全链条闭环管理措施；机关企事业单位、各镇（街道）对本辖区、本单位及行业领域，严格执行“五必查”，做到“凡进必扫、扫码必验、验码必严、不扫拒进”。</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 w:val="0"/>
          <w:bCs/>
          <w:kern w:val="2"/>
          <w:sz w:val="28"/>
          <w:szCs w:val="28"/>
          <w:highlight w:val="none"/>
          <w:lang w:val="en-US" w:eastAsia="zh-CN" w:bidi="ar"/>
        </w:rPr>
      </w:pPr>
      <w:r>
        <w:rPr>
          <w:rFonts w:hint="eastAsia" w:ascii="仿宋" w:hAnsi="仿宋" w:eastAsia="仿宋" w:cs="仿宋"/>
          <w:b w:val="0"/>
          <w:bCs/>
          <w:kern w:val="2"/>
          <w:sz w:val="28"/>
          <w:szCs w:val="28"/>
          <w:highlight w:val="none"/>
          <w:lang w:val="en-US" w:eastAsia="zh-CN" w:bidi="ar"/>
        </w:rPr>
        <w:t>⑦宣传</w:t>
      </w:r>
      <w:r>
        <w:rPr>
          <w:rFonts w:hint="default" w:ascii="仿宋" w:hAnsi="仿宋" w:eastAsia="仿宋" w:cs="仿宋"/>
          <w:b w:val="0"/>
          <w:bCs/>
          <w:kern w:val="2"/>
          <w:sz w:val="28"/>
          <w:szCs w:val="28"/>
          <w:highlight w:val="none"/>
          <w:lang w:val="en-US" w:eastAsia="zh-CN" w:bidi="ar"/>
        </w:rPr>
        <w:t>防控知识</w:t>
      </w:r>
      <w:r>
        <w:rPr>
          <w:rFonts w:hint="eastAsia" w:ascii="仿宋" w:hAnsi="仿宋" w:eastAsia="仿宋" w:cs="仿宋"/>
          <w:b w:val="0"/>
          <w:bCs/>
          <w:kern w:val="2"/>
          <w:sz w:val="28"/>
          <w:szCs w:val="28"/>
          <w:highlight w:val="none"/>
          <w:lang w:val="en-US" w:eastAsia="zh-CN" w:bidi="ar"/>
        </w:rPr>
        <w:t>，切实提高群众防范意识，形成人人参与、群防群控的疫情防控格局。</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 w:val="0"/>
          <w:bCs/>
          <w:kern w:val="2"/>
          <w:sz w:val="28"/>
          <w:szCs w:val="28"/>
          <w:highlight w:val="none"/>
          <w:lang w:val="en-US" w:eastAsia="zh-CN" w:bidi="ar"/>
        </w:rPr>
      </w:pPr>
      <w:r>
        <w:rPr>
          <w:rFonts w:hint="eastAsia" w:ascii="仿宋" w:hAnsi="仿宋" w:eastAsia="仿宋" w:cs="仿宋"/>
          <w:b w:val="0"/>
          <w:bCs/>
          <w:kern w:val="2"/>
          <w:sz w:val="28"/>
          <w:szCs w:val="28"/>
          <w:highlight w:val="none"/>
          <w:lang w:val="en-US" w:eastAsia="zh-CN" w:bidi="ar"/>
        </w:rPr>
        <w:t>⑧配置相关物资及设备，健全公共卫生体系和重大疫情防控救治体系。</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val="0"/>
          <w:sz w:val="28"/>
          <w:szCs w:val="28"/>
          <w:highlight w:val="none"/>
          <w:lang w:val="en-US" w:eastAsia="zh-CN" w:bidi="ar"/>
        </w:rPr>
      </w:pPr>
      <w:bookmarkStart w:id="71" w:name="_Toc24631"/>
      <w:bookmarkStart w:id="72" w:name="_Toc32363"/>
      <w:r>
        <w:rPr>
          <w:rFonts w:hint="eastAsia" w:ascii="仿宋" w:hAnsi="仿宋" w:eastAsia="仿宋" w:cs="仿宋"/>
          <w:b/>
          <w:bCs w:val="0"/>
          <w:sz w:val="28"/>
          <w:szCs w:val="28"/>
          <w:highlight w:val="none"/>
          <w:lang w:val="en-US" w:eastAsia="zh-CN" w:bidi="ar"/>
        </w:rPr>
        <w:t>（五）项目实施情况</w:t>
      </w:r>
      <w:bookmarkEnd w:id="71"/>
      <w:bookmarkEnd w:id="72"/>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bCs/>
          <w:sz w:val="28"/>
          <w:szCs w:val="28"/>
          <w:highlight w:val="none"/>
          <w:lang w:bidi="ar"/>
        </w:rPr>
      </w:pPr>
      <w:r>
        <w:rPr>
          <w:rFonts w:hint="eastAsia" w:ascii="仿宋" w:hAnsi="仿宋" w:eastAsia="仿宋" w:cs="仿宋"/>
          <w:b/>
          <w:bCs/>
          <w:kern w:val="2"/>
          <w:sz w:val="28"/>
          <w:szCs w:val="28"/>
          <w:highlight w:val="none"/>
          <w:lang w:val="en-US" w:eastAsia="zh-CN" w:bidi="ar-SA"/>
        </w:rPr>
        <w:t>1.项目的组织管</w:t>
      </w:r>
      <w:r>
        <w:rPr>
          <w:rFonts w:hint="eastAsia" w:ascii="仿宋" w:hAnsi="仿宋" w:eastAsia="仿宋" w:cs="仿宋"/>
          <w:b/>
          <w:bCs/>
          <w:sz w:val="28"/>
          <w:szCs w:val="28"/>
          <w:highlight w:val="none"/>
          <w:lang w:bidi="ar"/>
        </w:rPr>
        <w:t>理</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outlineLvl w:val="3"/>
        <w:rPr>
          <w:rFonts w:ascii="仿宋" w:hAnsi="仿宋" w:eastAsia="仿宋" w:cs="仿宋"/>
          <w:b/>
          <w:bCs/>
          <w:sz w:val="28"/>
          <w:szCs w:val="28"/>
          <w:highlight w:val="none"/>
          <w:lang w:bidi="ar"/>
        </w:rPr>
      </w:pPr>
      <w:bookmarkStart w:id="73" w:name="_Toc18495_WPSOffice_Level3"/>
      <w:r>
        <w:rPr>
          <w:rFonts w:hint="eastAsia" w:ascii="仿宋" w:hAnsi="仿宋" w:eastAsia="仿宋" w:cs="仿宋"/>
          <w:b/>
          <w:bCs/>
          <w:sz w:val="28"/>
          <w:szCs w:val="28"/>
          <w:highlight w:val="none"/>
          <w:lang w:eastAsia="zh-CN" w:bidi="ar"/>
        </w:rPr>
        <w:t>（</w:t>
      </w:r>
      <w:r>
        <w:rPr>
          <w:rFonts w:hint="eastAsia" w:ascii="仿宋" w:hAnsi="仿宋" w:eastAsia="仿宋" w:cs="仿宋"/>
          <w:b/>
          <w:bCs/>
          <w:sz w:val="28"/>
          <w:szCs w:val="28"/>
          <w:highlight w:val="none"/>
          <w:lang w:val="en-US" w:eastAsia="zh-CN" w:bidi="ar"/>
        </w:rPr>
        <w:t>1）</w:t>
      </w:r>
      <w:r>
        <w:rPr>
          <w:rFonts w:hint="eastAsia" w:ascii="仿宋" w:hAnsi="仿宋" w:eastAsia="仿宋" w:cs="仿宋"/>
          <w:b/>
          <w:bCs/>
          <w:sz w:val="28"/>
          <w:szCs w:val="28"/>
          <w:highlight w:val="none"/>
          <w:lang w:bidi="ar"/>
        </w:rPr>
        <w:t>资金拨款部门及职责</w:t>
      </w:r>
      <w:bookmarkEnd w:id="73"/>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仿宋" w:hAnsi="仿宋" w:eastAsia="仿宋" w:cs="仿宋"/>
          <w:sz w:val="28"/>
          <w:szCs w:val="28"/>
          <w:highlight w:val="none"/>
        </w:rPr>
      </w:pPr>
      <w:bookmarkStart w:id="74" w:name="_Toc341_WPSOffice_Level3"/>
      <w:r>
        <w:rPr>
          <w:rFonts w:hint="eastAsia" w:ascii="仿宋" w:hAnsi="仿宋" w:eastAsia="仿宋" w:cs="仿宋"/>
          <w:bCs/>
          <w:sz w:val="28"/>
          <w:szCs w:val="28"/>
          <w:highlight w:val="none"/>
          <w:lang w:val="en-US" w:eastAsia="zh-CN" w:bidi="ar"/>
        </w:rPr>
        <w:t>永济市</w:t>
      </w:r>
      <w:r>
        <w:rPr>
          <w:rFonts w:hint="eastAsia" w:ascii="仿宋" w:hAnsi="仿宋" w:eastAsia="仿宋" w:cs="仿宋"/>
          <w:bCs/>
          <w:sz w:val="28"/>
          <w:szCs w:val="28"/>
          <w:highlight w:val="none"/>
          <w:lang w:eastAsia="zh-CN" w:bidi="ar"/>
        </w:rPr>
        <w:t>财政局</w:t>
      </w:r>
      <w:r>
        <w:rPr>
          <w:rFonts w:hint="eastAsia" w:ascii="仿宋" w:hAnsi="仿宋" w:eastAsia="仿宋" w:cs="仿宋"/>
          <w:bCs/>
          <w:sz w:val="28"/>
          <w:szCs w:val="28"/>
          <w:highlight w:val="none"/>
          <w:lang w:bidi="ar"/>
        </w:rPr>
        <w:t>，负责审批、</w:t>
      </w:r>
      <w:r>
        <w:rPr>
          <w:rFonts w:hint="eastAsia" w:ascii="仿宋" w:hAnsi="仿宋" w:eastAsia="仿宋" w:cs="仿宋"/>
          <w:sz w:val="28"/>
          <w:szCs w:val="28"/>
          <w:highlight w:val="none"/>
        </w:rPr>
        <w:t>拨付预算资金，对专项资金的使用进行监管，组织开展绩效评价工作等。</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outlineLvl w:val="3"/>
        <w:rPr>
          <w:rFonts w:ascii="仿宋" w:hAnsi="仿宋" w:eastAsia="仿宋" w:cs="仿宋"/>
          <w:b/>
          <w:sz w:val="28"/>
          <w:szCs w:val="28"/>
          <w:highlight w:val="none"/>
        </w:rPr>
      </w:pP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rPr>
        <w:t>项目主管部门及职责</w:t>
      </w:r>
      <w:bookmarkEnd w:id="74"/>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永济市疫情</w:t>
      </w:r>
      <w:r>
        <w:rPr>
          <w:rFonts w:hint="eastAsia" w:ascii="仿宋" w:hAnsi="仿宋" w:eastAsia="仿宋" w:cs="仿宋"/>
          <w:sz w:val="28"/>
          <w:szCs w:val="28"/>
          <w:highlight w:val="none"/>
          <w:lang w:val="en-US" w:eastAsia="zh-CN"/>
        </w:rPr>
        <w:t>防控</w:t>
      </w:r>
      <w:r>
        <w:rPr>
          <w:rFonts w:hint="eastAsia" w:ascii="仿宋" w:hAnsi="仿宋" w:eastAsia="仿宋" w:cs="仿宋"/>
          <w:sz w:val="28"/>
          <w:szCs w:val="28"/>
          <w:highlight w:val="none"/>
        </w:rPr>
        <w:t>指挥部，负责</w:t>
      </w:r>
      <w:r>
        <w:rPr>
          <w:rFonts w:hint="eastAsia" w:ascii="仿宋" w:hAnsi="仿宋" w:eastAsia="仿宋" w:cs="仿宋"/>
          <w:sz w:val="28"/>
          <w:szCs w:val="28"/>
          <w:highlight w:val="none"/>
          <w:lang w:val="en-US" w:eastAsia="zh-CN"/>
        </w:rPr>
        <w:t>统一指挥协调</w:t>
      </w:r>
      <w:r>
        <w:rPr>
          <w:rFonts w:hint="eastAsia" w:ascii="仿宋" w:hAnsi="仿宋" w:eastAsia="仿宋" w:cs="仿宋"/>
          <w:sz w:val="28"/>
          <w:szCs w:val="28"/>
          <w:highlight w:val="none"/>
          <w:lang w:eastAsia="zh-CN"/>
        </w:rPr>
        <w:t>新冠肺炎疫情防控工作。</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outlineLvl w:val="3"/>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3</w:t>
      </w:r>
      <w:r>
        <w:rPr>
          <w:rFonts w:hint="eastAsia" w:ascii="仿宋" w:hAnsi="仿宋" w:eastAsia="仿宋" w:cs="仿宋"/>
          <w:b/>
          <w:sz w:val="28"/>
          <w:szCs w:val="28"/>
          <w:highlight w:val="none"/>
          <w:lang w:eastAsia="zh-CN"/>
        </w:rPr>
        <w:t>）项目实施单位</w:t>
      </w:r>
      <w:r>
        <w:rPr>
          <w:rFonts w:hint="eastAsia" w:ascii="仿宋" w:hAnsi="仿宋" w:eastAsia="仿宋" w:cs="仿宋"/>
          <w:b/>
          <w:sz w:val="28"/>
          <w:szCs w:val="28"/>
          <w:highlight w:val="none"/>
          <w:lang w:val="en-US" w:eastAsia="zh-CN"/>
        </w:rPr>
        <w:t>及职责</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sz w:val="28"/>
          <w:szCs w:val="28"/>
          <w:highlight w:val="none"/>
          <w:lang w:val="en-US" w:eastAsia="zh-CN"/>
        </w:rPr>
      </w:pPr>
      <w:bookmarkStart w:id="75" w:name="_Toc30269_WPSOffice_Level2"/>
      <w:bookmarkStart w:id="76" w:name="_Toc30914_WPSOffice_Level2"/>
      <w:bookmarkStart w:id="77" w:name="_Toc9017_WPSOffice_Level2"/>
      <w:r>
        <w:rPr>
          <w:rFonts w:hint="eastAsia" w:ascii="仿宋" w:hAnsi="仿宋" w:eastAsia="仿宋" w:cs="仿宋"/>
          <w:b w:val="0"/>
          <w:bCs/>
          <w:sz w:val="28"/>
          <w:szCs w:val="28"/>
          <w:highlight w:val="none"/>
          <w:lang w:val="en-US" w:eastAsia="zh-CN"/>
        </w:rPr>
        <w:t xml:space="preserve">永济市卫生健康和体育局、永济市人民医院等23家单位为该项目的实施单位，负责组织实施新冠肺炎的预防控制和医疗卫生救援，保障各项防控措施的有效落实。 </w:t>
      </w:r>
    </w:p>
    <w:p>
      <w:pPr>
        <w:spacing w:line="560" w:lineRule="exact"/>
        <w:ind w:firstLine="560"/>
        <w:outlineLvl w:val="2"/>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lang w:eastAsia="zh-CN"/>
        </w:rPr>
        <w:t>利益相关方</w:t>
      </w:r>
      <w:bookmarkEnd w:id="75"/>
      <w:bookmarkEnd w:id="76"/>
      <w:bookmarkEnd w:id="77"/>
    </w:p>
    <w:p>
      <w:pPr>
        <w:spacing w:line="560" w:lineRule="exact"/>
        <w:ind w:firstLine="560" w:firstLineChars="200"/>
        <w:rPr>
          <w:rFonts w:ascii="仿宋" w:hAnsi="仿宋" w:eastAsia="仿宋" w:cs="仿宋"/>
          <w:bCs/>
          <w:sz w:val="28"/>
          <w:szCs w:val="28"/>
          <w:highlight w:val="none"/>
          <w:lang w:bidi="ar"/>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项目拨款部门：</w:t>
      </w:r>
      <w:r>
        <w:rPr>
          <w:rFonts w:hint="eastAsia" w:ascii="仿宋" w:hAnsi="仿宋" w:eastAsia="仿宋" w:cs="仿宋"/>
          <w:sz w:val="28"/>
          <w:szCs w:val="28"/>
          <w:highlight w:val="none"/>
          <w:lang w:val="en-US" w:eastAsia="zh-CN"/>
        </w:rPr>
        <w:t>永济市</w:t>
      </w:r>
      <w:r>
        <w:rPr>
          <w:rFonts w:hint="eastAsia" w:ascii="仿宋" w:hAnsi="仿宋" w:eastAsia="仿宋" w:cs="仿宋"/>
          <w:sz w:val="28"/>
          <w:szCs w:val="28"/>
          <w:highlight w:val="none"/>
          <w:lang w:eastAsia="zh-CN"/>
        </w:rPr>
        <w:t>财政局</w:t>
      </w:r>
    </w:p>
    <w:p>
      <w:pPr>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项目主管部门：永济市疫情</w:t>
      </w:r>
      <w:r>
        <w:rPr>
          <w:rFonts w:hint="eastAsia" w:ascii="仿宋" w:hAnsi="仿宋" w:eastAsia="仿宋" w:cs="仿宋"/>
          <w:sz w:val="28"/>
          <w:szCs w:val="28"/>
          <w:highlight w:val="none"/>
          <w:lang w:val="en-US" w:eastAsia="zh-CN"/>
        </w:rPr>
        <w:t>防控</w:t>
      </w:r>
      <w:r>
        <w:rPr>
          <w:rFonts w:hint="eastAsia" w:ascii="仿宋" w:hAnsi="仿宋" w:eastAsia="仿宋" w:cs="仿宋"/>
          <w:sz w:val="28"/>
          <w:szCs w:val="28"/>
          <w:highlight w:val="none"/>
        </w:rPr>
        <w:t>指挥部</w:t>
      </w:r>
    </w:p>
    <w:p>
      <w:pPr>
        <w:spacing w:line="560" w:lineRule="exact"/>
        <w:ind w:firstLine="560" w:firstLineChars="200"/>
        <w:rPr>
          <w:rFonts w:hint="default" w:ascii="仿宋" w:hAnsi="仿宋" w:eastAsia="仿宋" w:cs="仿宋"/>
          <w:bCs/>
          <w:sz w:val="28"/>
          <w:szCs w:val="28"/>
          <w:highlight w:val="none"/>
          <w:lang w:val="en-US" w:eastAsia="zh-CN" w:bidi="ar"/>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项目实施单位：永济市卫生健康和体育局</w:t>
      </w:r>
      <w:r>
        <w:rPr>
          <w:rFonts w:hint="eastAsia" w:ascii="仿宋" w:hAnsi="仿宋" w:eastAsia="仿宋" w:cs="仿宋"/>
          <w:sz w:val="28"/>
          <w:szCs w:val="28"/>
          <w:highlight w:val="none"/>
          <w:lang w:val="en-US" w:eastAsia="zh-CN"/>
        </w:rPr>
        <w:t>等23家单位</w:t>
      </w:r>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项目</w:t>
      </w:r>
      <w:r>
        <w:rPr>
          <w:rFonts w:hint="eastAsia" w:ascii="仿宋" w:hAnsi="仿宋" w:eastAsia="仿宋" w:cs="仿宋"/>
          <w:sz w:val="28"/>
          <w:szCs w:val="28"/>
          <w:highlight w:val="none"/>
          <w:lang w:val="en-US" w:eastAsia="zh-CN"/>
        </w:rPr>
        <w:t>受益对象</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永济</w:t>
      </w:r>
      <w:r>
        <w:rPr>
          <w:rFonts w:hint="eastAsia" w:ascii="仿宋" w:hAnsi="仿宋" w:eastAsia="仿宋" w:cs="仿宋"/>
          <w:sz w:val="28"/>
          <w:szCs w:val="28"/>
          <w:highlight w:val="none"/>
          <w:lang w:eastAsia="zh-CN"/>
        </w:rPr>
        <w:t>市人民群众</w:t>
      </w:r>
    </w:p>
    <w:p>
      <w:pPr>
        <w:spacing w:line="560" w:lineRule="exact"/>
        <w:ind w:firstLine="562" w:firstLineChars="200"/>
        <w:outlineLvl w:val="0"/>
        <w:rPr>
          <w:rFonts w:ascii="仿宋" w:hAnsi="仿宋" w:eastAsia="仿宋" w:cs="仿宋"/>
          <w:b/>
          <w:bCs/>
          <w:sz w:val="28"/>
          <w:szCs w:val="28"/>
          <w:highlight w:val="none"/>
        </w:rPr>
      </w:pPr>
      <w:bookmarkStart w:id="78" w:name="_Toc9337_WPSOffice_Level1"/>
      <w:bookmarkStart w:id="79" w:name="_Toc29367_WPSOffice_Level1"/>
      <w:bookmarkStart w:id="80" w:name="_Toc12973"/>
      <w:bookmarkStart w:id="81" w:name="_Toc17946"/>
      <w:bookmarkStart w:id="82" w:name="_Toc966_WPSOffice_Level1"/>
      <w:r>
        <w:rPr>
          <w:rFonts w:hint="eastAsia" w:ascii="仿宋" w:hAnsi="仿宋" w:eastAsia="仿宋" w:cs="仿宋"/>
          <w:b/>
          <w:bCs/>
          <w:sz w:val="28"/>
          <w:szCs w:val="28"/>
          <w:highlight w:val="none"/>
        </w:rPr>
        <w:t>二、评价实施思路</w:t>
      </w:r>
      <w:bookmarkEnd w:id="78"/>
      <w:bookmarkEnd w:id="79"/>
      <w:bookmarkEnd w:id="80"/>
      <w:bookmarkEnd w:id="81"/>
      <w:bookmarkEnd w:id="82"/>
    </w:p>
    <w:p>
      <w:pPr>
        <w:spacing w:line="560" w:lineRule="exact"/>
        <w:ind w:firstLine="562" w:firstLineChars="200"/>
        <w:outlineLvl w:val="1"/>
        <w:rPr>
          <w:rFonts w:ascii="仿宋" w:hAnsi="仿宋" w:eastAsia="仿宋" w:cs="仿宋"/>
          <w:b/>
          <w:bCs/>
          <w:sz w:val="28"/>
          <w:szCs w:val="28"/>
          <w:highlight w:val="none"/>
        </w:rPr>
      </w:pPr>
      <w:bookmarkStart w:id="83" w:name="_Toc4193"/>
      <w:bookmarkStart w:id="84" w:name="_Toc9672_WPSOffice_Level2"/>
      <w:bookmarkStart w:id="85" w:name="_Toc29448_WPSOffice_Level2"/>
      <w:bookmarkStart w:id="86" w:name="_Toc6697_WPSOffice_Level2"/>
      <w:bookmarkStart w:id="87" w:name="_Toc5484"/>
      <w:r>
        <w:rPr>
          <w:rFonts w:hint="eastAsia" w:ascii="仿宋" w:hAnsi="仿宋" w:eastAsia="仿宋" w:cs="仿宋"/>
          <w:b/>
          <w:bCs/>
          <w:sz w:val="28"/>
          <w:szCs w:val="28"/>
          <w:highlight w:val="none"/>
        </w:rPr>
        <w:t>（一）评价目的和依据</w:t>
      </w:r>
      <w:bookmarkEnd w:id="83"/>
      <w:bookmarkEnd w:id="84"/>
      <w:bookmarkEnd w:id="85"/>
      <w:bookmarkEnd w:id="86"/>
      <w:bookmarkEnd w:id="87"/>
    </w:p>
    <w:p>
      <w:pPr>
        <w:spacing w:line="560" w:lineRule="exact"/>
        <w:ind w:firstLine="560"/>
        <w:outlineLvl w:val="2"/>
        <w:rPr>
          <w:rFonts w:ascii="仿宋" w:hAnsi="仿宋" w:eastAsia="仿宋" w:cs="仿宋"/>
          <w:b/>
          <w:bCs/>
          <w:sz w:val="28"/>
          <w:szCs w:val="28"/>
          <w:highlight w:val="none"/>
        </w:rPr>
      </w:pPr>
      <w:bookmarkStart w:id="88" w:name="_Toc9340_WPSOffice_Level3"/>
      <w:r>
        <w:rPr>
          <w:rFonts w:hint="eastAsia" w:ascii="仿宋" w:hAnsi="仿宋" w:eastAsia="仿宋" w:cs="仿宋"/>
          <w:b/>
          <w:bCs/>
          <w:sz w:val="28"/>
          <w:szCs w:val="28"/>
          <w:highlight w:val="none"/>
        </w:rPr>
        <w:t>1.评价目的</w:t>
      </w:r>
      <w:bookmarkEnd w:id="88"/>
    </w:p>
    <w:p>
      <w:pPr>
        <w:spacing w:line="560" w:lineRule="exact"/>
        <w:ind w:firstLine="560"/>
        <w:rPr>
          <w:rFonts w:ascii="仿宋" w:hAnsi="仿宋" w:eastAsia="仿宋" w:cs="仿宋"/>
          <w:sz w:val="28"/>
          <w:szCs w:val="28"/>
          <w:highlight w:val="none"/>
        </w:rPr>
      </w:pPr>
      <w:r>
        <w:rPr>
          <w:rFonts w:hint="eastAsia" w:ascii="仿宋" w:hAnsi="仿宋" w:eastAsia="仿宋" w:cs="仿宋"/>
          <w:bCs/>
          <w:sz w:val="28"/>
          <w:szCs w:val="28"/>
          <w:highlight w:val="none"/>
          <w:lang w:bidi="ar"/>
        </w:rPr>
        <w:t>绩效评价旨在通过评价改善预算部门的财政支出管理，优化资源配置及提高公共服务水平。本次绩效评价遵循财政部关于印发《项目支出绩效评价管理办法》的通知（财预〔2020〕10号）等文件的相关规定</w:t>
      </w:r>
      <w:r>
        <w:rPr>
          <w:rFonts w:hint="eastAsia" w:ascii="仿宋" w:hAnsi="仿宋" w:eastAsia="仿宋" w:cs="仿宋"/>
          <w:sz w:val="28"/>
          <w:szCs w:val="28"/>
          <w:highlight w:val="none"/>
        </w:rPr>
        <w:t>，客观、公正、全面地评价</w:t>
      </w:r>
      <w:r>
        <w:rPr>
          <w:rFonts w:hint="eastAsia" w:ascii="仿宋" w:hAnsi="仿宋" w:eastAsia="仿宋" w:cs="仿宋"/>
          <w:sz w:val="28"/>
          <w:szCs w:val="28"/>
          <w:highlight w:val="none"/>
          <w:lang w:eastAsia="zh-CN"/>
        </w:rPr>
        <w:t>新型冠状病毒感染肺炎疫情防控资金的</w:t>
      </w:r>
      <w:r>
        <w:rPr>
          <w:rFonts w:hint="eastAsia" w:ascii="仿宋" w:hAnsi="仿宋" w:eastAsia="仿宋" w:cs="仿宋"/>
          <w:sz w:val="28"/>
          <w:szCs w:val="28"/>
          <w:highlight w:val="none"/>
          <w:lang w:val="en-US" w:eastAsia="zh-CN"/>
        </w:rPr>
        <w:t>决策依据、</w:t>
      </w:r>
      <w:r>
        <w:rPr>
          <w:rFonts w:hint="eastAsia" w:ascii="仿宋" w:hAnsi="仿宋" w:eastAsia="仿宋" w:cs="仿宋"/>
          <w:sz w:val="28"/>
          <w:szCs w:val="28"/>
          <w:highlight w:val="none"/>
          <w:lang w:eastAsia="zh-CN"/>
        </w:rPr>
        <w:t>组织管理</w:t>
      </w:r>
      <w:r>
        <w:rPr>
          <w:rFonts w:hint="eastAsia" w:ascii="仿宋" w:hAnsi="仿宋" w:eastAsia="仿宋" w:cs="仿宋"/>
          <w:sz w:val="28"/>
          <w:szCs w:val="28"/>
          <w:highlight w:val="none"/>
        </w:rPr>
        <w:t>、资金</w:t>
      </w:r>
      <w:r>
        <w:rPr>
          <w:rFonts w:hint="eastAsia" w:ascii="仿宋" w:hAnsi="仿宋" w:eastAsia="仿宋" w:cs="仿宋"/>
          <w:sz w:val="28"/>
          <w:szCs w:val="28"/>
          <w:highlight w:val="none"/>
          <w:lang w:eastAsia="zh-CN"/>
        </w:rPr>
        <w:t>分配</w:t>
      </w:r>
      <w:r>
        <w:rPr>
          <w:rFonts w:hint="eastAsia" w:ascii="仿宋" w:hAnsi="仿宋" w:eastAsia="仿宋" w:cs="仿宋"/>
          <w:sz w:val="28"/>
          <w:szCs w:val="28"/>
          <w:highlight w:val="none"/>
        </w:rPr>
        <w:t>与使用情况、效益实现情况等，总结经验，发现问题，并提出改进的相关措施和建议。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sz w:val="28"/>
          <w:szCs w:val="28"/>
          <w:highlight w:val="none"/>
        </w:rPr>
      </w:pPr>
      <w:bookmarkStart w:id="89" w:name="_Toc15428_WPSOffice_Level3"/>
      <w:r>
        <w:rPr>
          <w:rFonts w:hint="eastAsia" w:ascii="仿宋" w:hAnsi="仿宋" w:eastAsia="仿宋" w:cs="仿宋"/>
          <w:b/>
          <w:bCs/>
          <w:sz w:val="28"/>
          <w:szCs w:val="28"/>
          <w:highlight w:val="none"/>
        </w:rPr>
        <w:t>2.评价依据</w:t>
      </w:r>
      <w:bookmarkEnd w:id="89"/>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cs="仿宋"/>
          <w:sz w:val="28"/>
          <w:szCs w:val="28"/>
          <w:highlight w:val="none"/>
        </w:rPr>
      </w:pPr>
      <w:bookmarkStart w:id="90" w:name="_Toc21790_WPSOffice_Level2"/>
      <w:bookmarkStart w:id="91" w:name="_Toc1941_WPSOffice_Level2"/>
      <w:bookmarkStart w:id="92" w:name="_Toc1305_WPSOffice_Level2"/>
      <w:r>
        <w:rPr>
          <w:rFonts w:hint="eastAsia" w:ascii="仿宋" w:hAnsi="仿宋" w:eastAsia="仿宋" w:cs="仿宋"/>
          <w:sz w:val="28"/>
          <w:szCs w:val="28"/>
          <w:highlight w:val="none"/>
        </w:rPr>
        <w:t>绩效评价依据包括但不限于：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仿宋" w:hAnsi="仿宋" w:eastAsia="仿宋" w:cs="仿宋"/>
          <w:sz w:val="28"/>
          <w:szCs w:val="28"/>
          <w:highlight w:val="none"/>
        </w:rPr>
      </w:pPr>
      <w:r>
        <w:rPr>
          <w:rFonts w:hint="eastAsia" w:ascii="仿宋" w:hAnsi="仿宋" w:eastAsia="仿宋" w:cs="仿宋"/>
          <w:sz w:val="28"/>
          <w:szCs w:val="28"/>
          <w:highlight w:val="none"/>
        </w:rPr>
        <w:t>（1）《中华人民共和国预算法》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2）《财政部关于加强新冠肺炎疫情防控财税政策落实和财政资金监管工作的通知》（财办〔2020〕11号）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bookmarkStart w:id="93" w:name="_Toc6439"/>
      <w:bookmarkStart w:id="94" w:name="_Toc1486"/>
      <w:r>
        <w:rPr>
          <w:rFonts w:hint="eastAsia" w:ascii="仿宋" w:hAnsi="仿宋" w:eastAsia="仿宋" w:cs="仿宋"/>
          <w:sz w:val="28"/>
          <w:szCs w:val="28"/>
          <w:highlight w:val="none"/>
        </w:rPr>
        <w:t>（3）《中共中央 国务院关于全面实施预算绩效管理的意见》（中发〔2018〕34号）</w:t>
      </w:r>
      <w:bookmarkEnd w:id="93"/>
      <w:bookmarkEnd w:id="9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bookmarkStart w:id="95" w:name="_Toc18643"/>
      <w:bookmarkStart w:id="96" w:name="_Toc14351"/>
      <w:bookmarkStart w:id="97" w:name="_Toc6751"/>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）《关于贯彻落实&lt;中共中央 国务院关于全面实施预算绩效管理的意见&gt;的通知》（财预〔2018〕167号）</w:t>
      </w:r>
      <w:bookmarkEnd w:id="95"/>
      <w:bookmarkEnd w:id="96"/>
      <w:bookmarkEnd w:id="9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bookmarkStart w:id="98" w:name="_Toc21258"/>
      <w:bookmarkStart w:id="99" w:name="_Toc27474"/>
      <w:bookmarkStart w:id="100" w:name="_Toc2199"/>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）财政部关于印发《项目支出绩效评价管理办法》的通知（财预〔2020〕10号）</w:t>
      </w:r>
      <w:bookmarkEnd w:id="98"/>
      <w:bookmarkEnd w:id="99"/>
      <w:bookmarkEnd w:id="10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bookmarkStart w:id="101" w:name="_Toc29839"/>
      <w:bookmarkStart w:id="102" w:name="_Toc1177"/>
      <w:bookmarkStart w:id="103" w:name="_Toc19197"/>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rPr>
        <w:t>）财政部关于印发《第三方机构预算绩效评价业务监督管理暂行办法》的通知（财监〔202</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〕4号）</w:t>
      </w:r>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bookmarkStart w:id="104" w:name="_Toc19717"/>
      <w:bookmarkStart w:id="105" w:name="_Toc887"/>
      <w:bookmarkStart w:id="106" w:name="_Toc24975"/>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rPr>
        <w:t>）山西省财政厅关于印发《省级项目支出绩效评价管理办法》的通知（晋财绩〔2020〕17号）</w:t>
      </w:r>
      <w:bookmarkEnd w:id="104"/>
      <w:bookmarkEnd w:id="105"/>
      <w:bookmarkEnd w:id="106"/>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bookmarkStart w:id="107" w:name="_Toc3269"/>
      <w:bookmarkStart w:id="108" w:name="_Toc27409"/>
      <w:bookmarkStart w:id="109" w:name="_Toc19735"/>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rPr>
        <w:t>）中国注册会计师协会关于印发《会计师事务所财政支出绩效评价业务指引》的通知（会协〔2016〕10号）</w:t>
      </w:r>
      <w:bookmarkEnd w:id="107"/>
      <w:bookmarkEnd w:id="108"/>
      <w:bookmarkEnd w:id="109"/>
    </w:p>
    <w:p>
      <w:pPr>
        <w:spacing w:line="560" w:lineRule="exact"/>
        <w:ind w:firstLine="56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rPr>
        <w:t>）其他相关文件及规定</w:t>
      </w:r>
    </w:p>
    <w:bookmarkEnd w:id="90"/>
    <w:bookmarkEnd w:id="91"/>
    <w:bookmarkEnd w:id="92"/>
    <w:p>
      <w:pPr>
        <w:spacing w:line="560" w:lineRule="exact"/>
        <w:ind w:firstLine="562" w:firstLineChars="200"/>
        <w:outlineLvl w:val="1"/>
        <w:rPr>
          <w:rFonts w:ascii="仿宋" w:hAnsi="仿宋" w:eastAsia="仿宋" w:cs="仿宋"/>
          <w:b/>
          <w:bCs/>
          <w:sz w:val="28"/>
          <w:szCs w:val="28"/>
          <w:highlight w:val="none"/>
        </w:rPr>
      </w:pPr>
      <w:bookmarkStart w:id="110" w:name="_Toc27594_WPSOffice_Level2"/>
      <w:bookmarkStart w:id="111" w:name="_Toc25932"/>
      <w:bookmarkStart w:id="112" w:name="_Toc23285"/>
      <w:bookmarkStart w:id="113" w:name="_Toc18748_WPSOffice_Level2"/>
      <w:bookmarkStart w:id="114" w:name="_Toc19833"/>
      <w:bookmarkStart w:id="115" w:name="_Toc20879_WPSOffice_Level2"/>
      <w:bookmarkStart w:id="116" w:name="_Toc3041_WPSOffice_Level2"/>
      <w:bookmarkStart w:id="117" w:name="_Toc25078_WPSOffice_Level2"/>
      <w:bookmarkStart w:id="118" w:name="_Toc769_WPSOffice_Level2"/>
      <w:r>
        <w:rPr>
          <w:rFonts w:hint="eastAsia" w:ascii="仿宋" w:hAnsi="仿宋" w:eastAsia="仿宋" w:cs="仿宋"/>
          <w:b/>
          <w:bCs/>
          <w:sz w:val="28"/>
          <w:szCs w:val="28"/>
          <w:highlight w:val="none"/>
        </w:rPr>
        <w:t>（二）评价对象和范围</w:t>
      </w:r>
      <w:bookmarkEnd w:id="110"/>
      <w:bookmarkEnd w:id="111"/>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本次绩效评价对象是</w:t>
      </w:r>
      <w:r>
        <w:rPr>
          <w:rFonts w:hint="eastAsia" w:ascii="仿宋" w:hAnsi="仿宋" w:eastAsia="仿宋" w:cs="仿宋"/>
          <w:sz w:val="28"/>
          <w:szCs w:val="28"/>
          <w:highlight w:val="none"/>
          <w:lang w:val="en-US" w:eastAsia="zh-CN"/>
        </w:rPr>
        <w:t>永济市2021年</w:t>
      </w:r>
      <w:r>
        <w:rPr>
          <w:rFonts w:hint="eastAsia" w:ascii="仿宋" w:hAnsi="仿宋" w:eastAsia="仿宋" w:cs="仿宋"/>
          <w:sz w:val="28"/>
          <w:szCs w:val="28"/>
          <w:highlight w:val="none"/>
          <w:lang w:eastAsia="zh-CN"/>
        </w:rPr>
        <w:t>疫情防控资金</w:t>
      </w:r>
      <w:r>
        <w:rPr>
          <w:rFonts w:hint="eastAsia" w:ascii="仿宋" w:hAnsi="仿宋" w:eastAsia="仿宋" w:cs="仿宋"/>
          <w:sz w:val="28"/>
          <w:szCs w:val="28"/>
          <w:highlight w:val="none"/>
          <w:lang w:val="en-US" w:eastAsia="zh-CN"/>
        </w:rPr>
        <w:t>2375.98万元，</w:t>
      </w:r>
      <w:r>
        <w:rPr>
          <w:rFonts w:hint="eastAsia" w:ascii="仿宋" w:hAnsi="仿宋" w:eastAsia="仿宋" w:cs="仿宋"/>
          <w:sz w:val="28"/>
          <w:szCs w:val="28"/>
          <w:highlight w:val="none"/>
        </w:rPr>
        <w:t>绩效评价范围为</w:t>
      </w:r>
      <w:r>
        <w:rPr>
          <w:rFonts w:hint="eastAsia" w:ascii="仿宋" w:hAnsi="仿宋" w:eastAsia="仿宋" w:cs="仿宋"/>
          <w:sz w:val="28"/>
          <w:szCs w:val="28"/>
          <w:highlight w:val="none"/>
          <w:lang w:eastAsia="zh-CN"/>
        </w:rPr>
        <w:t>疫情防控</w:t>
      </w:r>
      <w:r>
        <w:rPr>
          <w:rFonts w:hint="eastAsia" w:ascii="仿宋" w:hAnsi="仿宋" w:eastAsia="仿宋" w:cs="仿宋"/>
          <w:sz w:val="28"/>
          <w:szCs w:val="28"/>
          <w:highlight w:val="none"/>
          <w:lang w:val="en-US" w:eastAsia="zh-CN"/>
        </w:rPr>
        <w:t>资金</w:t>
      </w:r>
      <w:r>
        <w:rPr>
          <w:rFonts w:hint="eastAsia" w:ascii="仿宋" w:hAnsi="仿宋" w:eastAsia="仿宋" w:cs="仿宋"/>
          <w:sz w:val="28"/>
          <w:szCs w:val="28"/>
          <w:highlight w:val="none"/>
          <w:lang w:eastAsia="zh-CN"/>
        </w:rPr>
        <w:t>的</w:t>
      </w:r>
      <w:r>
        <w:rPr>
          <w:rFonts w:hint="eastAsia" w:ascii="仿宋" w:hAnsi="仿宋" w:eastAsia="仿宋" w:cs="仿宋"/>
          <w:sz w:val="28"/>
          <w:szCs w:val="28"/>
          <w:highlight w:val="none"/>
          <w:lang w:val="en-US" w:eastAsia="zh-CN"/>
        </w:rPr>
        <w:t>决策依据、</w:t>
      </w:r>
      <w:r>
        <w:rPr>
          <w:rFonts w:hint="eastAsia" w:ascii="仿宋" w:hAnsi="仿宋" w:eastAsia="仿宋" w:cs="仿宋"/>
          <w:sz w:val="28"/>
          <w:szCs w:val="28"/>
          <w:highlight w:val="none"/>
          <w:lang w:eastAsia="zh-CN"/>
        </w:rPr>
        <w:t>组织管理</w:t>
      </w:r>
      <w:r>
        <w:rPr>
          <w:rFonts w:hint="eastAsia" w:ascii="仿宋" w:hAnsi="仿宋" w:eastAsia="仿宋" w:cs="仿宋"/>
          <w:sz w:val="28"/>
          <w:szCs w:val="28"/>
          <w:highlight w:val="none"/>
        </w:rPr>
        <w:t>和资金使用情况及效果。</w:t>
      </w:r>
    </w:p>
    <w:p>
      <w:pPr>
        <w:spacing w:line="560" w:lineRule="exact"/>
        <w:ind w:firstLine="560"/>
        <w:outlineLvl w:val="1"/>
        <w:rPr>
          <w:rFonts w:ascii="仿宋" w:hAnsi="仿宋" w:eastAsia="仿宋" w:cs="仿宋"/>
          <w:sz w:val="28"/>
          <w:szCs w:val="28"/>
          <w:highlight w:val="none"/>
        </w:rPr>
      </w:pPr>
      <w:bookmarkStart w:id="119" w:name="_Toc17447"/>
      <w:bookmarkStart w:id="120" w:name="_Toc3212"/>
      <w:r>
        <w:rPr>
          <w:rFonts w:hint="eastAsia" w:ascii="仿宋" w:hAnsi="仿宋" w:eastAsia="仿宋" w:cs="仿宋"/>
          <w:b/>
          <w:bCs/>
          <w:sz w:val="28"/>
          <w:szCs w:val="28"/>
          <w:highlight w:val="none"/>
        </w:rPr>
        <w:t>（</w:t>
      </w:r>
      <w:r>
        <w:rPr>
          <w:rFonts w:hint="eastAsia" w:ascii="仿宋" w:hAnsi="仿宋" w:eastAsia="仿宋" w:cs="仿宋"/>
          <w:b/>
          <w:bCs/>
          <w:sz w:val="28"/>
          <w:szCs w:val="28"/>
          <w:highlight w:val="none"/>
          <w:lang w:val="en-US" w:eastAsia="zh-CN"/>
        </w:rPr>
        <w:t>三</w:t>
      </w:r>
      <w:r>
        <w:rPr>
          <w:rFonts w:hint="eastAsia" w:ascii="仿宋" w:hAnsi="仿宋" w:eastAsia="仿宋" w:cs="仿宋"/>
          <w:b/>
          <w:bCs/>
          <w:sz w:val="28"/>
          <w:szCs w:val="28"/>
          <w:highlight w:val="none"/>
        </w:rPr>
        <w:t>）绩效评价原则</w:t>
      </w:r>
      <w:bookmarkEnd w:id="116"/>
      <w:bookmarkEnd w:id="117"/>
      <w:bookmarkEnd w:id="118"/>
      <w:bookmarkEnd w:id="119"/>
      <w:bookmarkEnd w:id="120"/>
    </w:p>
    <w:p>
      <w:pPr>
        <w:spacing w:line="560" w:lineRule="exact"/>
        <w:ind w:firstLine="560" w:firstLineChars="200"/>
        <w:rPr>
          <w:rFonts w:hint="eastAsia" w:ascii="仿宋" w:hAnsi="仿宋" w:eastAsia="仿宋" w:cs="仿宋"/>
          <w:bCs/>
          <w:sz w:val="28"/>
          <w:szCs w:val="28"/>
          <w:highlight w:val="none"/>
          <w:lang w:val="en-US" w:eastAsia="zh-CN"/>
        </w:rPr>
      </w:pPr>
      <w:bookmarkStart w:id="121" w:name="_Toc18876_WPSOffice_Level2"/>
      <w:bookmarkStart w:id="122" w:name="_Toc10037_WPSOffice_Level2"/>
      <w:bookmarkStart w:id="123" w:name="_Toc18495_WPSOffice_Level2"/>
      <w:r>
        <w:rPr>
          <w:rFonts w:hint="eastAsia" w:ascii="仿宋" w:hAnsi="仿宋" w:eastAsia="仿宋" w:cs="仿宋"/>
          <w:bCs/>
          <w:sz w:val="28"/>
          <w:szCs w:val="28"/>
          <w:highlight w:val="none"/>
          <w:lang w:val="en-US" w:eastAsia="zh-CN"/>
        </w:rPr>
        <w:t>1.独立原则。在委托方和被评价对象提供工作便利条件和相关资料情况下独立完成委托事项。</w:t>
      </w:r>
    </w:p>
    <w:p>
      <w:pPr>
        <w:spacing w:line="560" w:lineRule="exact"/>
        <w:ind w:firstLine="560" w:firstLineChars="200"/>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2.客观原则。按照协议（合同）约定事项客观公正、实事求是地开展预算绩效评价，不出具不实绩效评价报告。</w:t>
      </w:r>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bCs/>
          <w:sz w:val="28"/>
          <w:szCs w:val="28"/>
          <w:highlight w:val="none"/>
          <w:lang w:val="en-US" w:eastAsia="zh-CN"/>
        </w:rPr>
        <w:t>3.规范原则。履行必要评价程序，合理选取具有代表性的样本，对原始资料进行必要的核查验证，形成结论并出具预算绩效评价报告</w:t>
      </w:r>
      <w:r>
        <w:rPr>
          <w:rFonts w:hint="eastAsia" w:ascii="仿宋" w:hAnsi="仿宋" w:eastAsia="仿宋" w:cs="仿宋"/>
          <w:sz w:val="28"/>
          <w:szCs w:val="28"/>
          <w:highlight w:val="none"/>
        </w:rPr>
        <w:t>。</w:t>
      </w:r>
    </w:p>
    <w:p>
      <w:pPr>
        <w:spacing w:line="560" w:lineRule="exact"/>
        <w:ind w:firstLine="562" w:firstLineChars="200"/>
        <w:outlineLvl w:val="1"/>
        <w:rPr>
          <w:rFonts w:ascii="仿宋" w:hAnsi="仿宋" w:eastAsia="仿宋" w:cs="仿宋"/>
          <w:sz w:val="28"/>
          <w:szCs w:val="28"/>
          <w:highlight w:val="none"/>
        </w:rPr>
      </w:pPr>
      <w:bookmarkStart w:id="124" w:name="_Toc23331"/>
      <w:bookmarkStart w:id="125" w:name="_Toc22445"/>
      <w:r>
        <w:rPr>
          <w:rFonts w:hint="eastAsia" w:ascii="仿宋" w:hAnsi="仿宋" w:eastAsia="仿宋" w:cs="仿宋"/>
          <w:b/>
          <w:bCs/>
          <w:sz w:val="28"/>
          <w:szCs w:val="28"/>
          <w:highlight w:val="none"/>
        </w:rPr>
        <w:t>（</w:t>
      </w:r>
      <w:r>
        <w:rPr>
          <w:rFonts w:hint="eastAsia" w:ascii="仿宋" w:hAnsi="仿宋" w:eastAsia="仿宋" w:cs="仿宋"/>
          <w:b/>
          <w:bCs/>
          <w:sz w:val="28"/>
          <w:szCs w:val="28"/>
          <w:highlight w:val="none"/>
          <w:lang w:val="en-US" w:eastAsia="zh-CN"/>
        </w:rPr>
        <w:t>四</w:t>
      </w:r>
      <w:r>
        <w:rPr>
          <w:rFonts w:hint="eastAsia" w:ascii="仿宋" w:hAnsi="仿宋" w:eastAsia="仿宋" w:cs="仿宋"/>
          <w:b/>
          <w:bCs/>
          <w:sz w:val="28"/>
          <w:szCs w:val="28"/>
          <w:highlight w:val="none"/>
        </w:rPr>
        <w:t>）绩效评价方法</w:t>
      </w:r>
      <w:bookmarkEnd w:id="121"/>
      <w:bookmarkEnd w:id="122"/>
      <w:bookmarkEnd w:id="123"/>
      <w:bookmarkEnd w:id="124"/>
      <w:bookmarkEnd w:id="12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比较分析法：通过对绩效目标和实施效果、历史和当期情况、不同部门和地区同类支出的比较，综合分析绩效目标的实现程度和效果。</w:t>
      </w:r>
      <w:r>
        <w:rPr>
          <w:rFonts w:hint="eastAsia" w:ascii="仿宋" w:hAnsi="仿宋" w:eastAsia="仿宋" w:cs="仿宋"/>
          <w:sz w:val="28"/>
          <w:szCs w:val="28"/>
          <w:highlight w:val="none"/>
          <w:lang w:val="en-US" w:eastAsia="zh-CN"/>
        </w:rPr>
        <w:t>本次</w:t>
      </w:r>
      <w:r>
        <w:rPr>
          <w:rFonts w:hint="eastAsia" w:ascii="仿宋" w:hAnsi="仿宋" w:eastAsia="仿宋" w:cs="仿宋"/>
          <w:sz w:val="28"/>
          <w:szCs w:val="28"/>
          <w:highlight w:val="none"/>
        </w:rPr>
        <w:t>依据相关政策文件，评价</w:t>
      </w:r>
      <w:r>
        <w:rPr>
          <w:rFonts w:hint="eastAsia" w:ascii="仿宋" w:hAnsi="仿宋" w:eastAsia="仿宋" w:cs="仿宋"/>
          <w:sz w:val="28"/>
          <w:szCs w:val="28"/>
          <w:highlight w:val="none"/>
          <w:lang w:eastAsia="zh-CN"/>
        </w:rPr>
        <w:t>该专项资金</w:t>
      </w:r>
      <w:r>
        <w:rPr>
          <w:rFonts w:hint="eastAsia" w:ascii="仿宋" w:hAnsi="仿宋" w:eastAsia="仿宋" w:cs="仿宋"/>
          <w:sz w:val="28"/>
          <w:szCs w:val="28"/>
          <w:highlight w:val="none"/>
        </w:rPr>
        <w:t>支出是否按照规定执行；结合</w:t>
      </w:r>
      <w:r>
        <w:rPr>
          <w:rFonts w:hint="eastAsia" w:ascii="仿宋" w:hAnsi="仿宋" w:eastAsia="仿宋" w:cs="仿宋"/>
          <w:sz w:val="28"/>
          <w:szCs w:val="28"/>
          <w:highlight w:val="none"/>
          <w:lang w:eastAsia="zh-CN"/>
        </w:rPr>
        <w:t>疫情防控工作的目标及周边其他地区的防控成果</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对比</w:t>
      </w:r>
      <w:r>
        <w:rPr>
          <w:rFonts w:hint="eastAsia" w:ascii="仿宋" w:hAnsi="仿宋" w:eastAsia="仿宋" w:cs="仿宋"/>
          <w:sz w:val="28"/>
          <w:szCs w:val="28"/>
          <w:highlight w:val="none"/>
        </w:rPr>
        <w:t>分析判断</w:t>
      </w:r>
      <w:r>
        <w:rPr>
          <w:rFonts w:hint="eastAsia" w:ascii="仿宋" w:hAnsi="仿宋" w:eastAsia="仿宋" w:cs="仿宋"/>
          <w:sz w:val="28"/>
          <w:szCs w:val="28"/>
          <w:highlight w:val="none"/>
          <w:lang w:eastAsia="zh-CN"/>
        </w:rPr>
        <w:t>本地区防控工作成果</w:t>
      </w:r>
      <w:r>
        <w:rPr>
          <w:rFonts w:hint="eastAsia" w:ascii="仿宋" w:hAnsi="仿宋" w:eastAsia="仿宋" w:cs="仿宋"/>
          <w:sz w:val="28"/>
          <w:szCs w:val="28"/>
          <w:highlight w:val="none"/>
        </w:rPr>
        <w:t>的实现情况。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因素分析法：通过综合分析影响绩效目标实现、实施效果的内外因素，评价绩效目标实现程度。本次主要分别就</w:t>
      </w:r>
      <w:r>
        <w:rPr>
          <w:rFonts w:hint="eastAsia" w:ascii="仿宋" w:hAnsi="仿宋" w:eastAsia="仿宋" w:cs="仿宋"/>
          <w:sz w:val="28"/>
          <w:szCs w:val="28"/>
          <w:highlight w:val="none"/>
          <w:lang w:eastAsia="zh-CN"/>
        </w:rPr>
        <w:t>疫情防控</w:t>
      </w:r>
      <w:r>
        <w:rPr>
          <w:rFonts w:hint="eastAsia" w:ascii="仿宋" w:hAnsi="仿宋" w:eastAsia="仿宋" w:cs="仿宋"/>
          <w:sz w:val="28"/>
          <w:szCs w:val="28"/>
          <w:highlight w:val="none"/>
          <w:lang w:val="en-US" w:eastAsia="zh-CN"/>
        </w:rPr>
        <w:t>资金</w:t>
      </w:r>
      <w:r>
        <w:rPr>
          <w:rFonts w:hint="eastAsia" w:ascii="仿宋" w:hAnsi="仿宋" w:eastAsia="仿宋" w:cs="仿宋"/>
          <w:sz w:val="28"/>
          <w:szCs w:val="28"/>
          <w:highlight w:val="none"/>
          <w:lang w:eastAsia="zh-CN"/>
        </w:rPr>
        <w:t>的</w:t>
      </w:r>
      <w:r>
        <w:rPr>
          <w:rFonts w:hint="eastAsia" w:ascii="仿宋" w:hAnsi="仿宋" w:eastAsia="仿宋" w:cs="仿宋"/>
          <w:sz w:val="28"/>
          <w:szCs w:val="28"/>
          <w:highlight w:val="none"/>
          <w:lang w:val="en-US" w:eastAsia="zh-CN"/>
        </w:rPr>
        <w:t>决策依据、</w:t>
      </w:r>
      <w:r>
        <w:rPr>
          <w:rFonts w:hint="eastAsia" w:ascii="仿宋" w:hAnsi="仿宋" w:eastAsia="仿宋" w:cs="仿宋"/>
          <w:sz w:val="28"/>
          <w:szCs w:val="28"/>
          <w:highlight w:val="none"/>
          <w:lang w:eastAsia="zh-CN"/>
        </w:rPr>
        <w:t>资金</w:t>
      </w:r>
      <w:r>
        <w:rPr>
          <w:rFonts w:hint="eastAsia" w:ascii="仿宋" w:hAnsi="仿宋" w:eastAsia="仿宋" w:cs="仿宋"/>
          <w:sz w:val="28"/>
          <w:szCs w:val="28"/>
          <w:highlight w:val="none"/>
          <w:lang w:val="en-US" w:eastAsia="zh-CN"/>
        </w:rPr>
        <w:t>投入及</w:t>
      </w:r>
      <w:r>
        <w:rPr>
          <w:rFonts w:hint="eastAsia" w:ascii="仿宋" w:hAnsi="仿宋" w:eastAsia="仿宋" w:cs="仿宋"/>
          <w:sz w:val="28"/>
          <w:szCs w:val="28"/>
          <w:highlight w:val="none"/>
          <w:lang w:eastAsia="zh-CN"/>
        </w:rPr>
        <w:t>管理、组织</w:t>
      </w:r>
      <w:r>
        <w:rPr>
          <w:rFonts w:hint="eastAsia" w:ascii="仿宋" w:hAnsi="仿宋" w:eastAsia="仿宋" w:cs="仿宋"/>
          <w:sz w:val="28"/>
          <w:szCs w:val="28"/>
          <w:highlight w:val="none"/>
          <w:lang w:val="en-US" w:eastAsia="zh-CN"/>
        </w:rPr>
        <w:t>实施</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核酸实验室的建设情况、核酸检测的完成情况、隔离点管控人员的管控情况、发热门诊的建设情况、</w:t>
      </w:r>
      <w:r>
        <w:rPr>
          <w:rFonts w:hint="eastAsia" w:ascii="仿宋" w:hAnsi="仿宋" w:eastAsia="仿宋" w:cs="仿宋"/>
          <w:sz w:val="28"/>
          <w:szCs w:val="28"/>
          <w:highlight w:val="none"/>
          <w:lang w:eastAsia="zh-CN"/>
        </w:rPr>
        <w:t>防控工作完成情况、</w:t>
      </w:r>
      <w:r>
        <w:rPr>
          <w:rFonts w:hint="eastAsia" w:ascii="仿宋" w:hAnsi="仿宋" w:eastAsia="仿宋" w:cs="仿宋"/>
          <w:sz w:val="28"/>
          <w:szCs w:val="28"/>
          <w:highlight w:val="none"/>
        </w:rPr>
        <w:t>效益等因素进行分析评价。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综合指数评价法：把各项绩效指标的实际水平，对照评价标准值，分别计算各项指标评价得分，再按照设定的各项指标权数计算出综合评价得分，分析评价绩效目标实现情况的评价方法。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公众评判法：通过专家评估、公众问卷及抽样调查等对</w:t>
      </w:r>
      <w:r>
        <w:rPr>
          <w:rFonts w:hint="eastAsia" w:ascii="仿宋" w:hAnsi="仿宋" w:eastAsia="仿宋" w:cs="仿宋"/>
          <w:sz w:val="28"/>
          <w:szCs w:val="28"/>
          <w:highlight w:val="none"/>
          <w:lang w:eastAsia="zh-CN"/>
        </w:rPr>
        <w:t>新冠肺炎疫情防控</w:t>
      </w:r>
      <w:r>
        <w:rPr>
          <w:rFonts w:hint="eastAsia" w:ascii="仿宋" w:hAnsi="仿宋" w:eastAsia="仿宋" w:cs="仿宋"/>
          <w:sz w:val="28"/>
          <w:szCs w:val="28"/>
          <w:highlight w:val="none"/>
        </w:rPr>
        <w:t>进行评判，评价绩效目标实现程度。</w:t>
      </w:r>
    </w:p>
    <w:p>
      <w:pPr>
        <w:spacing w:line="560" w:lineRule="exact"/>
        <w:ind w:firstLine="562" w:firstLineChars="200"/>
        <w:outlineLvl w:val="1"/>
        <w:rPr>
          <w:rFonts w:ascii="仿宋" w:hAnsi="仿宋" w:eastAsia="仿宋" w:cs="仿宋"/>
          <w:b/>
          <w:bCs/>
          <w:sz w:val="28"/>
          <w:szCs w:val="28"/>
          <w:highlight w:val="none"/>
        </w:rPr>
      </w:pPr>
      <w:bookmarkStart w:id="126" w:name="_Toc341_WPSOffice_Level2"/>
      <w:bookmarkStart w:id="127" w:name="_Toc19084_WPSOffice_Level2"/>
      <w:bookmarkStart w:id="128" w:name="_Toc29189"/>
      <w:bookmarkStart w:id="129" w:name="_Toc27934_WPSOffice_Level2"/>
      <w:bookmarkStart w:id="130" w:name="_Toc18302"/>
      <w:r>
        <w:rPr>
          <w:rFonts w:hint="eastAsia" w:ascii="仿宋" w:hAnsi="仿宋" w:eastAsia="仿宋" w:cs="仿宋"/>
          <w:b/>
          <w:bCs/>
          <w:sz w:val="28"/>
          <w:szCs w:val="28"/>
          <w:highlight w:val="none"/>
        </w:rPr>
        <w:t>（</w:t>
      </w:r>
      <w:r>
        <w:rPr>
          <w:rFonts w:hint="eastAsia" w:ascii="仿宋" w:hAnsi="仿宋" w:eastAsia="仿宋" w:cs="仿宋"/>
          <w:b/>
          <w:bCs/>
          <w:sz w:val="28"/>
          <w:szCs w:val="28"/>
          <w:highlight w:val="none"/>
          <w:lang w:val="en-US" w:eastAsia="zh-CN"/>
        </w:rPr>
        <w:t>五</w:t>
      </w:r>
      <w:r>
        <w:rPr>
          <w:rFonts w:hint="eastAsia" w:ascii="仿宋" w:hAnsi="仿宋" w:eastAsia="仿宋" w:cs="仿宋"/>
          <w:b/>
          <w:bCs/>
          <w:sz w:val="28"/>
          <w:szCs w:val="28"/>
          <w:highlight w:val="none"/>
        </w:rPr>
        <w:t>）评价的组织及实施</w:t>
      </w:r>
      <w:bookmarkEnd w:id="126"/>
      <w:bookmarkEnd w:id="127"/>
      <w:bookmarkEnd w:id="128"/>
      <w:bookmarkEnd w:id="129"/>
      <w:bookmarkEnd w:id="130"/>
    </w:p>
    <w:p>
      <w:pPr>
        <w:spacing w:line="560" w:lineRule="exact"/>
        <w:ind w:firstLine="562" w:firstLineChars="200"/>
        <w:outlineLvl w:val="2"/>
        <w:rPr>
          <w:rFonts w:ascii="仿宋" w:hAnsi="仿宋" w:eastAsia="仿宋" w:cs="仿宋"/>
          <w:b/>
          <w:bCs/>
          <w:sz w:val="28"/>
          <w:szCs w:val="28"/>
          <w:highlight w:val="none"/>
        </w:rPr>
      </w:pPr>
      <w:bookmarkStart w:id="131" w:name="_Toc28969_WPSOffice_Level3"/>
      <w:r>
        <w:rPr>
          <w:rFonts w:hint="eastAsia" w:ascii="仿宋" w:hAnsi="仿宋" w:eastAsia="仿宋" w:cs="仿宋"/>
          <w:b/>
          <w:bCs/>
          <w:sz w:val="28"/>
          <w:szCs w:val="28"/>
          <w:highlight w:val="none"/>
        </w:rPr>
        <w:t>1.人员分工</w:t>
      </w:r>
      <w:bookmarkEnd w:id="131"/>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根据</w:t>
      </w:r>
      <w:r>
        <w:rPr>
          <w:rFonts w:hint="eastAsia" w:ascii="仿宋" w:hAnsi="仿宋" w:eastAsia="仿宋" w:cs="仿宋"/>
          <w:sz w:val="28"/>
          <w:szCs w:val="28"/>
          <w:highlight w:val="none"/>
          <w:lang w:eastAsia="zh-CN"/>
        </w:rPr>
        <w:t>新型冠状病毒感染肺炎疫情防控资金</w:t>
      </w:r>
      <w:r>
        <w:rPr>
          <w:rFonts w:hint="eastAsia" w:ascii="仿宋" w:hAnsi="仿宋" w:eastAsia="仿宋" w:cs="仿宋"/>
          <w:sz w:val="28"/>
          <w:szCs w:val="28"/>
          <w:highlight w:val="none"/>
        </w:rPr>
        <w:t>情况，成立绩效评价工作组。本次绩效评价工作组成员名单见下表：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highlight w:val="none"/>
          <w:lang w:val="en-US" w:eastAsia="zh-CN"/>
        </w:rPr>
      </w:pPr>
      <w:bookmarkStart w:id="132" w:name="_Toc26280_WPSOffice_Level3"/>
      <w:r>
        <w:rPr>
          <w:rFonts w:hint="eastAsia" w:ascii="仿宋" w:hAnsi="仿宋" w:eastAsia="仿宋" w:cs="仿宋"/>
          <w:b/>
          <w:bCs/>
          <w:sz w:val="28"/>
          <w:szCs w:val="28"/>
          <w:highlight w:val="none"/>
          <w:lang w:val="en-US" w:eastAsia="zh-CN"/>
        </w:rPr>
        <w:t>表2-1  评价组成员分工表</w:t>
      </w:r>
    </w:p>
    <w:tbl>
      <w:tblPr>
        <w:tblStyle w:val="10"/>
        <w:tblW w:w="88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992"/>
        <w:gridCol w:w="1323"/>
        <w:gridCol w:w="1512"/>
        <w:gridCol w:w="4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blHeader/>
          <w:jc w:val="center"/>
        </w:trPr>
        <w:tc>
          <w:tcPr>
            <w:tcW w:w="85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序号</w:t>
            </w:r>
          </w:p>
        </w:tc>
        <w:tc>
          <w:tcPr>
            <w:tcW w:w="99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姓  名</w:t>
            </w:r>
          </w:p>
        </w:tc>
        <w:tc>
          <w:tcPr>
            <w:tcW w:w="132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在本项目中担任职责</w:t>
            </w:r>
          </w:p>
        </w:tc>
        <w:tc>
          <w:tcPr>
            <w:tcW w:w="151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技术职称</w:t>
            </w:r>
          </w:p>
        </w:tc>
        <w:tc>
          <w:tcPr>
            <w:tcW w:w="420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工作内容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5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kern w:val="0"/>
                <w:sz w:val="22"/>
                <w:szCs w:val="22"/>
                <w:highlight w:val="none"/>
              </w:rPr>
            </w:pPr>
            <w:r>
              <w:rPr>
                <w:rFonts w:hint="eastAsia" w:ascii="仿宋" w:hAnsi="仿宋" w:eastAsia="仿宋" w:cs="宋体"/>
                <w:kern w:val="0"/>
                <w:sz w:val="22"/>
                <w:szCs w:val="22"/>
                <w:highlight w:val="none"/>
              </w:rPr>
              <w:t>1</w:t>
            </w:r>
          </w:p>
        </w:tc>
        <w:tc>
          <w:tcPr>
            <w:tcW w:w="99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kern w:val="0"/>
                <w:sz w:val="22"/>
                <w:szCs w:val="22"/>
                <w:highlight w:val="none"/>
              </w:rPr>
            </w:pPr>
            <w:r>
              <w:rPr>
                <w:rFonts w:hint="eastAsia" w:ascii="仿宋" w:hAnsi="仿宋" w:eastAsia="仿宋" w:cs="宋体"/>
                <w:kern w:val="0"/>
                <w:sz w:val="22"/>
                <w:szCs w:val="22"/>
                <w:highlight w:val="none"/>
              </w:rPr>
              <w:t>陈创存</w:t>
            </w:r>
          </w:p>
        </w:tc>
        <w:tc>
          <w:tcPr>
            <w:tcW w:w="132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kern w:val="0"/>
                <w:sz w:val="22"/>
                <w:szCs w:val="22"/>
                <w:highlight w:val="none"/>
              </w:rPr>
            </w:pPr>
            <w:r>
              <w:rPr>
                <w:rFonts w:hint="eastAsia" w:ascii="仿宋" w:hAnsi="仿宋" w:eastAsia="仿宋" w:cs="宋体"/>
                <w:kern w:val="0"/>
                <w:sz w:val="22"/>
                <w:szCs w:val="22"/>
                <w:highlight w:val="none"/>
              </w:rPr>
              <w:t>质量控制复核人</w:t>
            </w:r>
          </w:p>
        </w:tc>
        <w:tc>
          <w:tcPr>
            <w:tcW w:w="151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kern w:val="0"/>
                <w:sz w:val="22"/>
                <w:szCs w:val="22"/>
                <w:highlight w:val="none"/>
              </w:rPr>
            </w:pPr>
            <w:r>
              <w:rPr>
                <w:rFonts w:hint="eastAsia" w:ascii="仿宋" w:hAnsi="仿宋" w:eastAsia="仿宋" w:cs="宋体"/>
                <w:kern w:val="0"/>
                <w:sz w:val="22"/>
                <w:szCs w:val="22"/>
                <w:highlight w:val="none"/>
              </w:rPr>
              <w:t>注册会计师、评估师</w:t>
            </w:r>
          </w:p>
        </w:tc>
        <w:tc>
          <w:tcPr>
            <w:tcW w:w="420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仿宋" w:hAnsi="仿宋" w:eastAsia="仿宋" w:cs="宋体"/>
                <w:kern w:val="0"/>
                <w:sz w:val="22"/>
                <w:szCs w:val="22"/>
                <w:highlight w:val="none"/>
              </w:rPr>
            </w:pPr>
            <w:r>
              <w:rPr>
                <w:rFonts w:hint="eastAsia" w:ascii="仿宋" w:hAnsi="仿宋" w:eastAsia="仿宋" w:cs="宋体"/>
                <w:kern w:val="0"/>
                <w:sz w:val="22"/>
                <w:szCs w:val="22"/>
                <w:highlight w:val="none"/>
              </w:rPr>
              <w:t>协调沟通，参与制定实施方案，修改绩效评价报告，督导项目进度和项目质量。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5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kern w:val="0"/>
                <w:sz w:val="22"/>
                <w:szCs w:val="22"/>
                <w:highlight w:val="none"/>
              </w:rPr>
            </w:pPr>
            <w:r>
              <w:rPr>
                <w:rFonts w:hint="eastAsia" w:ascii="仿宋" w:hAnsi="仿宋" w:eastAsia="仿宋" w:cs="宋体"/>
                <w:kern w:val="0"/>
                <w:sz w:val="22"/>
                <w:szCs w:val="22"/>
                <w:highlight w:val="none"/>
              </w:rPr>
              <w:t>2</w:t>
            </w:r>
          </w:p>
        </w:tc>
        <w:tc>
          <w:tcPr>
            <w:tcW w:w="99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kern w:val="0"/>
                <w:sz w:val="22"/>
                <w:szCs w:val="22"/>
                <w:highlight w:val="none"/>
              </w:rPr>
            </w:pPr>
            <w:r>
              <w:rPr>
                <w:rFonts w:hint="eastAsia" w:ascii="仿宋" w:hAnsi="仿宋" w:eastAsia="仿宋" w:cs="宋体"/>
                <w:kern w:val="0"/>
                <w:sz w:val="22"/>
                <w:szCs w:val="22"/>
                <w:highlight w:val="none"/>
              </w:rPr>
              <w:t>阴文平</w:t>
            </w:r>
          </w:p>
        </w:tc>
        <w:tc>
          <w:tcPr>
            <w:tcW w:w="132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kern w:val="0"/>
                <w:sz w:val="22"/>
                <w:szCs w:val="22"/>
                <w:highlight w:val="none"/>
              </w:rPr>
            </w:pPr>
            <w:r>
              <w:rPr>
                <w:rFonts w:hint="eastAsia" w:ascii="仿宋" w:hAnsi="仿宋" w:eastAsia="仿宋" w:cs="宋体"/>
                <w:kern w:val="0"/>
                <w:sz w:val="22"/>
                <w:szCs w:val="22"/>
                <w:highlight w:val="none"/>
              </w:rPr>
              <w:t>二级复核人</w:t>
            </w:r>
          </w:p>
        </w:tc>
        <w:tc>
          <w:tcPr>
            <w:tcW w:w="151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kern w:val="0"/>
                <w:sz w:val="22"/>
                <w:szCs w:val="22"/>
                <w:highlight w:val="none"/>
              </w:rPr>
            </w:pPr>
            <w:r>
              <w:rPr>
                <w:rFonts w:hint="eastAsia" w:ascii="仿宋" w:hAnsi="仿宋" w:eastAsia="仿宋" w:cs="宋体"/>
                <w:kern w:val="0"/>
                <w:sz w:val="22"/>
                <w:szCs w:val="22"/>
                <w:highlight w:val="none"/>
              </w:rPr>
              <w:t>注册会计师</w:t>
            </w:r>
          </w:p>
        </w:tc>
        <w:tc>
          <w:tcPr>
            <w:tcW w:w="420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仿宋" w:hAnsi="仿宋" w:eastAsia="仿宋" w:cs="宋体"/>
                <w:kern w:val="0"/>
                <w:sz w:val="22"/>
                <w:szCs w:val="22"/>
                <w:highlight w:val="none"/>
              </w:rPr>
            </w:pPr>
            <w:r>
              <w:rPr>
                <w:rFonts w:hint="eastAsia" w:ascii="仿宋" w:hAnsi="仿宋" w:eastAsia="仿宋" w:cs="宋体"/>
                <w:kern w:val="0"/>
                <w:sz w:val="22"/>
                <w:szCs w:val="22"/>
                <w:highlight w:val="none"/>
              </w:rPr>
              <w:t>参与制定实施方案，督促</w:t>
            </w:r>
            <w:r>
              <w:rPr>
                <w:rFonts w:hint="eastAsia" w:ascii="仿宋" w:hAnsi="仿宋" w:eastAsia="仿宋" w:cs="宋体"/>
                <w:kern w:val="0"/>
                <w:sz w:val="22"/>
                <w:szCs w:val="22"/>
                <w:highlight w:val="none"/>
                <w:lang w:eastAsia="zh-CN"/>
              </w:rPr>
              <w:t>项目</w:t>
            </w:r>
            <w:r>
              <w:rPr>
                <w:rFonts w:hint="eastAsia" w:ascii="仿宋" w:hAnsi="仿宋" w:eastAsia="仿宋" w:cs="宋体"/>
                <w:kern w:val="0"/>
                <w:sz w:val="22"/>
                <w:szCs w:val="22"/>
                <w:highlight w:val="none"/>
              </w:rPr>
              <w:t>组按照时间进度执行业务，参与报告修改，审核报告。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5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 w:hAnsi="仿宋" w:eastAsia="仿宋" w:cs="宋体"/>
                <w:kern w:val="0"/>
                <w:sz w:val="22"/>
                <w:szCs w:val="22"/>
                <w:highlight w:val="none"/>
                <w:lang w:eastAsia="zh-CN"/>
              </w:rPr>
            </w:pPr>
            <w:r>
              <w:rPr>
                <w:rFonts w:hint="eastAsia" w:ascii="仿宋" w:hAnsi="仿宋" w:eastAsia="仿宋" w:cs="宋体"/>
                <w:kern w:val="0"/>
                <w:sz w:val="22"/>
                <w:szCs w:val="22"/>
                <w:highlight w:val="none"/>
                <w:lang w:val="en-US" w:eastAsia="zh-CN"/>
              </w:rPr>
              <w:t>3</w:t>
            </w:r>
          </w:p>
        </w:tc>
        <w:tc>
          <w:tcPr>
            <w:tcW w:w="99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 w:hAnsi="仿宋" w:eastAsia="仿宋" w:cs="宋体"/>
                <w:color w:val="000000"/>
                <w:kern w:val="0"/>
                <w:sz w:val="22"/>
                <w:szCs w:val="22"/>
                <w:highlight w:val="none"/>
                <w:lang w:eastAsia="zh-CN"/>
              </w:rPr>
            </w:pPr>
            <w:r>
              <w:rPr>
                <w:rFonts w:hint="eastAsia" w:ascii="仿宋" w:hAnsi="仿宋" w:eastAsia="仿宋" w:cs="宋体"/>
                <w:color w:val="000000"/>
                <w:kern w:val="0"/>
                <w:sz w:val="22"/>
                <w:szCs w:val="22"/>
                <w:highlight w:val="none"/>
                <w:lang w:eastAsia="zh-CN"/>
              </w:rPr>
              <w:t>薛丽芳</w:t>
            </w:r>
          </w:p>
        </w:tc>
        <w:tc>
          <w:tcPr>
            <w:tcW w:w="132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 w:hAnsi="仿宋" w:eastAsia="仿宋" w:cs="宋体"/>
                <w:color w:val="000000"/>
                <w:kern w:val="0"/>
                <w:sz w:val="22"/>
                <w:szCs w:val="22"/>
                <w:highlight w:val="none"/>
                <w:lang w:eastAsia="zh-CN"/>
              </w:rPr>
            </w:pPr>
            <w:r>
              <w:rPr>
                <w:rFonts w:hint="eastAsia" w:ascii="仿宋" w:hAnsi="仿宋" w:eastAsia="仿宋" w:cs="宋体"/>
                <w:color w:val="000000"/>
                <w:kern w:val="0"/>
                <w:sz w:val="22"/>
                <w:szCs w:val="22"/>
                <w:highlight w:val="none"/>
                <w:lang w:val="en-US" w:eastAsia="zh-CN"/>
              </w:rPr>
              <w:t>主评人</w:t>
            </w:r>
          </w:p>
        </w:tc>
        <w:tc>
          <w:tcPr>
            <w:tcW w:w="151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注册会计师</w:t>
            </w:r>
          </w:p>
        </w:tc>
        <w:tc>
          <w:tcPr>
            <w:tcW w:w="420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参与制定实施方案</w:t>
            </w:r>
            <w:r>
              <w:rPr>
                <w:rFonts w:hint="eastAsia" w:ascii="仿宋" w:hAnsi="仿宋" w:eastAsia="仿宋" w:cs="宋体"/>
                <w:color w:val="000000"/>
                <w:kern w:val="0"/>
                <w:sz w:val="22"/>
                <w:szCs w:val="22"/>
                <w:highlight w:val="none"/>
                <w:lang w:eastAsia="zh-CN"/>
              </w:rPr>
              <w:t>、现场绩效评价及</w:t>
            </w:r>
            <w:r>
              <w:rPr>
                <w:rFonts w:hint="eastAsia" w:ascii="仿宋" w:hAnsi="仿宋" w:eastAsia="仿宋" w:cs="宋体"/>
                <w:color w:val="000000"/>
                <w:kern w:val="0"/>
                <w:sz w:val="22"/>
                <w:szCs w:val="22"/>
                <w:highlight w:val="none"/>
              </w:rPr>
              <w:t>总报告</w:t>
            </w:r>
            <w:r>
              <w:rPr>
                <w:rFonts w:hint="eastAsia" w:ascii="仿宋" w:hAnsi="仿宋" w:eastAsia="仿宋" w:cs="宋体"/>
                <w:color w:val="000000"/>
                <w:kern w:val="0"/>
                <w:sz w:val="22"/>
                <w:szCs w:val="22"/>
                <w:highlight w:val="none"/>
                <w:lang w:eastAsia="zh-CN"/>
              </w:rPr>
              <w:t>撰写</w:t>
            </w:r>
            <w:r>
              <w:rPr>
                <w:rFonts w:hint="eastAsia" w:ascii="仿宋" w:hAnsi="仿宋" w:eastAsia="仿宋" w:cs="宋体"/>
                <w:color w:val="000000"/>
                <w:kern w:val="0"/>
                <w:sz w:val="22"/>
                <w:szCs w:val="22"/>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5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 w:hAnsi="仿宋" w:eastAsia="仿宋" w:cs="宋体"/>
                <w:kern w:val="0"/>
                <w:sz w:val="22"/>
                <w:szCs w:val="22"/>
                <w:highlight w:val="none"/>
                <w:lang w:eastAsia="zh-CN"/>
              </w:rPr>
            </w:pPr>
            <w:r>
              <w:rPr>
                <w:rFonts w:hint="eastAsia" w:ascii="仿宋" w:hAnsi="仿宋" w:eastAsia="仿宋" w:cs="宋体"/>
                <w:kern w:val="0"/>
                <w:sz w:val="22"/>
                <w:szCs w:val="22"/>
                <w:highlight w:val="none"/>
                <w:lang w:val="en-US" w:eastAsia="zh-CN"/>
              </w:rPr>
              <w:t>4</w:t>
            </w:r>
          </w:p>
        </w:tc>
        <w:tc>
          <w:tcPr>
            <w:tcW w:w="99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马国霞</w:t>
            </w:r>
          </w:p>
        </w:tc>
        <w:tc>
          <w:tcPr>
            <w:tcW w:w="132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绩效评价组成员</w:t>
            </w:r>
          </w:p>
        </w:tc>
        <w:tc>
          <w:tcPr>
            <w:tcW w:w="151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kern w:val="0"/>
                <w:sz w:val="22"/>
                <w:szCs w:val="22"/>
                <w:highlight w:val="none"/>
              </w:rPr>
            </w:pPr>
            <w:r>
              <w:rPr>
                <w:rFonts w:hint="eastAsia" w:ascii="仿宋" w:hAnsi="仿宋" w:eastAsia="仿宋" w:cs="宋体"/>
                <w:kern w:val="0"/>
                <w:sz w:val="22"/>
                <w:szCs w:val="22"/>
                <w:highlight w:val="none"/>
              </w:rPr>
              <w:t>中级会计师</w:t>
            </w:r>
          </w:p>
        </w:tc>
        <w:tc>
          <w:tcPr>
            <w:tcW w:w="420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参与现场绩效评价、问卷调查等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5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5</w:t>
            </w:r>
          </w:p>
        </w:tc>
        <w:tc>
          <w:tcPr>
            <w:tcW w:w="99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张云</w:t>
            </w:r>
          </w:p>
        </w:tc>
        <w:tc>
          <w:tcPr>
            <w:tcW w:w="132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绩效评价组成员</w:t>
            </w:r>
          </w:p>
        </w:tc>
        <w:tc>
          <w:tcPr>
            <w:tcW w:w="151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 w:hAnsi="仿宋" w:eastAsia="仿宋" w:cs="宋体"/>
                <w:color w:val="000000"/>
                <w:kern w:val="0"/>
                <w:sz w:val="22"/>
                <w:szCs w:val="22"/>
                <w:highlight w:val="none"/>
                <w:lang w:eastAsia="zh-CN"/>
              </w:rPr>
            </w:pPr>
            <w:r>
              <w:rPr>
                <w:rFonts w:hint="eastAsia" w:ascii="仿宋" w:hAnsi="仿宋" w:eastAsia="仿宋" w:cs="宋体"/>
                <w:kern w:val="0"/>
                <w:sz w:val="22"/>
                <w:szCs w:val="22"/>
                <w:highlight w:val="none"/>
                <w:lang w:eastAsia="zh-CN"/>
              </w:rPr>
              <w:t>助理</w:t>
            </w:r>
          </w:p>
        </w:tc>
        <w:tc>
          <w:tcPr>
            <w:tcW w:w="420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参与现场绩效评价、问卷调查等</w:t>
            </w: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bCs/>
          <w:sz w:val="28"/>
          <w:szCs w:val="28"/>
          <w:highlight w:val="none"/>
        </w:rPr>
      </w:pPr>
      <w:r>
        <w:rPr>
          <w:rFonts w:hint="eastAsia" w:ascii="仿宋" w:hAnsi="仿宋" w:eastAsia="仿宋" w:cs="仿宋"/>
          <w:b/>
          <w:bCs/>
          <w:sz w:val="28"/>
          <w:szCs w:val="28"/>
          <w:highlight w:val="none"/>
        </w:rPr>
        <w:t>2.评价时间及主要工作进程安排</w:t>
      </w:r>
      <w:bookmarkEnd w:id="132"/>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绩效评价工作分为评价准备阶段、评价实施阶段和评价报告撰写阶段。</w:t>
      </w:r>
    </w:p>
    <w:p>
      <w:pPr>
        <w:keepNext w:val="0"/>
        <w:keepLines w:val="0"/>
        <w:pageBreakBefore w:val="0"/>
        <w:widowControl w:val="0"/>
        <w:numPr>
          <w:ilvl w:val="0"/>
          <w:numId w:val="0"/>
        </w:numPr>
        <w:tabs>
          <w:tab w:val="left" w:pos="4813"/>
        </w:tabs>
        <w:kinsoku/>
        <w:wordWrap/>
        <w:overflowPunct/>
        <w:topLinePunct w:val="0"/>
        <w:autoSpaceDE/>
        <w:autoSpaceDN/>
        <w:bidi w:val="0"/>
        <w:adjustRightInd/>
        <w:snapToGrid/>
        <w:spacing w:line="560" w:lineRule="exact"/>
        <w:ind w:firstLine="560" w:firstLineChars="200"/>
        <w:jc w:val="left"/>
        <w:textAlignment w:val="auto"/>
        <w:outlineLvl w:val="3"/>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（1）评价准备阶段（2022年9月6日-9月23日）</w:t>
      </w:r>
    </w:p>
    <w:p>
      <w:pPr>
        <w:keepNext w:val="0"/>
        <w:keepLines w:val="0"/>
        <w:pageBreakBefore w:val="0"/>
        <w:widowControl w:val="0"/>
        <w:numPr>
          <w:ilvl w:val="0"/>
          <w:numId w:val="0"/>
        </w:numPr>
        <w:tabs>
          <w:tab w:val="left" w:pos="4813"/>
        </w:tabs>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制定项目评价实施方案。评价人员与被评价</w:t>
      </w:r>
      <w:r>
        <w:rPr>
          <w:rFonts w:hint="eastAsia" w:ascii="仿宋" w:hAnsi="仿宋" w:eastAsia="仿宋" w:cs="仿宋"/>
          <w:b w:val="0"/>
          <w:bCs w:val="0"/>
          <w:sz w:val="28"/>
          <w:szCs w:val="28"/>
          <w:highlight w:val="none"/>
          <w:lang w:val="en-US" w:eastAsia="zh-CN"/>
        </w:rPr>
        <w:t>项目</w:t>
      </w:r>
      <w:r>
        <w:rPr>
          <w:rFonts w:hint="eastAsia" w:ascii="仿宋" w:hAnsi="仿宋" w:eastAsia="仿宋" w:cs="仿宋"/>
          <w:b w:val="0"/>
          <w:bCs w:val="0"/>
          <w:kern w:val="2"/>
          <w:sz w:val="28"/>
          <w:szCs w:val="28"/>
          <w:highlight w:val="none"/>
          <w:lang w:val="en-US" w:eastAsia="zh-CN" w:bidi="ar-SA"/>
        </w:rPr>
        <w:t>负责人进行沟通、了解，并在收集、审核相关资料的基础上，根据项目具体情况制定绩效评价实施方案，拟定评价指标体系，细化评分标准，上报永济市财政局绩效评审中心评审，</w:t>
      </w:r>
      <w:r>
        <w:rPr>
          <w:rFonts w:hint="eastAsia" w:ascii="仿宋" w:hAnsi="仿宋" w:eastAsia="仿宋" w:cs="仿宋"/>
          <w:sz w:val="28"/>
          <w:szCs w:val="28"/>
          <w:highlight w:val="none"/>
        </w:rPr>
        <w:t>评价小组根据审核论证意见对方案和指标进行修改并完善，确定绩效评价方案、指标体系、调查问卷及访谈内容</w:t>
      </w:r>
      <w:r>
        <w:rPr>
          <w:rFonts w:hint="eastAsia" w:ascii="仿宋" w:hAnsi="仿宋" w:eastAsia="仿宋" w:cs="仿宋"/>
          <w:b w:val="0"/>
          <w:bCs w:val="0"/>
          <w:kern w:val="2"/>
          <w:sz w:val="28"/>
          <w:szCs w:val="28"/>
          <w:highlight w:val="none"/>
          <w:lang w:val="en-US" w:eastAsia="zh-CN" w:bidi="ar-SA"/>
        </w:rPr>
        <w:t>。</w:t>
      </w:r>
    </w:p>
    <w:p>
      <w:pPr>
        <w:keepNext w:val="0"/>
        <w:keepLines w:val="0"/>
        <w:pageBreakBefore w:val="0"/>
        <w:widowControl w:val="0"/>
        <w:numPr>
          <w:ilvl w:val="0"/>
          <w:numId w:val="0"/>
        </w:numPr>
        <w:tabs>
          <w:tab w:val="left" w:pos="4813"/>
        </w:tabs>
        <w:kinsoku/>
        <w:wordWrap/>
        <w:overflowPunct/>
        <w:topLinePunct w:val="0"/>
        <w:autoSpaceDE/>
        <w:autoSpaceDN/>
        <w:bidi w:val="0"/>
        <w:adjustRightInd/>
        <w:snapToGrid/>
        <w:spacing w:line="560" w:lineRule="exact"/>
        <w:ind w:firstLine="560" w:firstLineChars="200"/>
        <w:jc w:val="left"/>
        <w:textAlignment w:val="auto"/>
        <w:outlineLvl w:val="3"/>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（2）评价实施阶段（2022年9月24日-12月11日）</w:t>
      </w:r>
    </w:p>
    <w:p>
      <w:pPr>
        <w:keepNext w:val="0"/>
        <w:keepLines w:val="0"/>
        <w:pageBreakBefore w:val="0"/>
        <w:widowControl w:val="0"/>
        <w:numPr>
          <w:ilvl w:val="0"/>
          <w:numId w:val="0"/>
        </w:numPr>
        <w:tabs>
          <w:tab w:val="left" w:pos="4813"/>
        </w:tabs>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评价组根据确定的工作方案，下发基础表、资料清单等至被评价单位，由项目负责人填写基础表，准备相关资料。评价组进行实地数据采集，完善评价基础资料，并进行查验，深入了解项目情况。同时，对该项目进行问卷调查。</w:t>
      </w:r>
    </w:p>
    <w:p>
      <w:pPr>
        <w:keepNext w:val="0"/>
        <w:keepLines w:val="0"/>
        <w:pageBreakBefore w:val="0"/>
        <w:widowControl w:val="0"/>
        <w:numPr>
          <w:ilvl w:val="0"/>
          <w:numId w:val="0"/>
        </w:numPr>
        <w:tabs>
          <w:tab w:val="left" w:pos="4813"/>
        </w:tabs>
        <w:kinsoku/>
        <w:wordWrap/>
        <w:overflowPunct/>
        <w:topLinePunct w:val="0"/>
        <w:autoSpaceDE/>
        <w:autoSpaceDN/>
        <w:bidi w:val="0"/>
        <w:adjustRightInd/>
        <w:snapToGrid/>
        <w:spacing w:line="560" w:lineRule="exact"/>
        <w:ind w:firstLine="560" w:firstLineChars="200"/>
        <w:jc w:val="left"/>
        <w:textAlignment w:val="auto"/>
        <w:outlineLvl w:val="3"/>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（3）评价报告撰写阶段（2022年12月12日-12月30日）</w:t>
      </w:r>
    </w:p>
    <w:p>
      <w:pPr>
        <w:keepNext w:val="0"/>
        <w:keepLines w:val="0"/>
        <w:pageBreakBefore w:val="0"/>
        <w:widowControl w:val="0"/>
        <w:numPr>
          <w:ilvl w:val="0"/>
          <w:numId w:val="0"/>
        </w:numPr>
        <w:tabs>
          <w:tab w:val="left" w:pos="4813"/>
        </w:tabs>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评价组整理、综合分析项目相关信息，根据评价指标体系、评价标准和评价方法，对评价对象的绩效情况进行全面的定量、定性分析和综合评价，提炼结论撰写绩效评价报告，并提交至永济市财政局绩效管理股征求意见，根据专家审核意见修改绩效评价报告，于2022年12月30日前提交至永济市财政局绩效管理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sz w:val="28"/>
          <w:szCs w:val="28"/>
          <w:highlight w:val="none"/>
          <w:lang w:val="en-US" w:eastAsia="zh-CN"/>
        </w:rPr>
      </w:pPr>
      <w:bookmarkStart w:id="133" w:name="_Toc13491"/>
      <w:bookmarkStart w:id="134" w:name="_Toc30269_WPSOffice_Level1"/>
      <w:bookmarkStart w:id="135" w:name="_Toc19653_WPSOffice_Level1"/>
      <w:bookmarkStart w:id="136" w:name="_Toc325"/>
      <w:bookmarkStart w:id="137" w:name="_Toc13182"/>
      <w:r>
        <w:rPr>
          <w:rFonts w:hint="eastAsia" w:ascii="仿宋" w:hAnsi="仿宋" w:eastAsia="仿宋" w:cs="仿宋"/>
          <w:b/>
          <w:sz w:val="28"/>
          <w:szCs w:val="28"/>
          <w:highlight w:val="none"/>
          <w:lang w:val="en-US" w:eastAsia="zh-CN"/>
        </w:rPr>
        <w:t>（六）绩效评价指标体系</w:t>
      </w:r>
      <w:bookmarkEnd w:id="133"/>
      <w:bookmarkEnd w:id="134"/>
      <w:bookmarkEnd w:id="135"/>
      <w:bookmarkEnd w:id="136"/>
      <w:bookmarkEnd w:id="137"/>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bCs/>
          <w:sz w:val="28"/>
          <w:szCs w:val="28"/>
          <w:highlight w:val="none"/>
        </w:rPr>
      </w:pPr>
      <w:bookmarkStart w:id="138" w:name="_Toc10901_WPSOffice_Level2"/>
      <w:bookmarkStart w:id="139" w:name="_Toc9216_WPSOffice_Level2"/>
      <w:r>
        <w:rPr>
          <w:rFonts w:hint="eastAsia" w:ascii="仿宋" w:hAnsi="仿宋" w:eastAsia="仿宋" w:cs="仿宋"/>
          <w:b/>
          <w:bCs/>
          <w:sz w:val="28"/>
          <w:szCs w:val="28"/>
          <w:highlight w:val="none"/>
          <w:lang w:val="en-US" w:eastAsia="zh-CN"/>
        </w:rPr>
        <w:t>1.</w:t>
      </w:r>
      <w:r>
        <w:rPr>
          <w:rFonts w:hint="eastAsia" w:ascii="仿宋" w:hAnsi="仿宋" w:eastAsia="仿宋" w:cs="仿宋"/>
          <w:b/>
          <w:bCs/>
          <w:sz w:val="28"/>
          <w:szCs w:val="28"/>
          <w:highlight w:val="none"/>
        </w:rPr>
        <w:t>指标体系设计思路</w:t>
      </w:r>
      <w:bookmarkEnd w:id="138"/>
      <w:bookmarkEnd w:id="139"/>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Cs/>
          <w:sz w:val="28"/>
          <w:szCs w:val="28"/>
          <w:highlight w:val="none"/>
        </w:rPr>
      </w:pPr>
      <w:bookmarkStart w:id="140" w:name="_Toc14543"/>
      <w:r>
        <w:rPr>
          <w:rFonts w:hint="eastAsia" w:ascii="仿宋" w:hAnsi="仿宋" w:eastAsia="仿宋" w:cs="仿宋"/>
          <w:bCs/>
          <w:sz w:val="28"/>
          <w:szCs w:val="28"/>
          <w:highlight w:val="none"/>
        </w:rPr>
        <w:t>根据绩效评价的基本原理、原则和项目特点，结合绩效目标，根据</w:t>
      </w:r>
      <w:r>
        <w:rPr>
          <w:rFonts w:hint="eastAsia" w:ascii="仿宋" w:hAnsi="仿宋" w:eastAsia="仿宋" w:cs="仿宋"/>
          <w:bCs/>
          <w:sz w:val="28"/>
          <w:szCs w:val="28"/>
          <w:highlight w:val="none"/>
          <w:lang w:val="en-US" w:eastAsia="zh-CN"/>
        </w:rPr>
        <w:t>财政部</w:t>
      </w:r>
      <w:r>
        <w:rPr>
          <w:rFonts w:hint="eastAsia" w:ascii="仿宋" w:hAnsi="仿宋" w:eastAsia="仿宋" w:cs="仿宋"/>
          <w:bCs/>
          <w:sz w:val="28"/>
          <w:szCs w:val="28"/>
          <w:highlight w:val="none"/>
        </w:rPr>
        <w:t>关于印发《项目支出绩效评价管理办法》的通知</w:t>
      </w:r>
      <w:r>
        <w:rPr>
          <w:rFonts w:hint="eastAsia" w:ascii="仿宋" w:hAnsi="仿宋" w:eastAsia="仿宋" w:cs="仿宋"/>
          <w:sz w:val="28"/>
          <w:szCs w:val="28"/>
          <w:highlight w:val="none"/>
          <w:lang w:val="en-US" w:eastAsia="zh-CN"/>
        </w:rPr>
        <w:t>（财预〔2020〕10号）</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永济市财政局</w:t>
      </w:r>
      <w:r>
        <w:rPr>
          <w:rFonts w:hint="eastAsia" w:ascii="仿宋" w:hAnsi="仿宋" w:eastAsia="仿宋" w:cs="仿宋"/>
          <w:sz w:val="28"/>
          <w:szCs w:val="28"/>
          <w:highlight w:val="none"/>
          <w:lang w:val="en-US" w:eastAsia="zh-CN"/>
        </w:rPr>
        <w:t>《2022年重点绩效评价实施方案》（永财字〔2022〕37号）</w:t>
      </w:r>
      <w:r>
        <w:rPr>
          <w:rFonts w:hint="eastAsia" w:ascii="仿宋" w:hAnsi="仿宋" w:eastAsia="仿宋" w:cs="仿宋"/>
          <w:bCs/>
          <w:sz w:val="28"/>
          <w:szCs w:val="28"/>
          <w:highlight w:val="none"/>
        </w:rPr>
        <w:t>等相关文件规定，按照“</w:t>
      </w:r>
      <w:r>
        <w:rPr>
          <w:rFonts w:hint="eastAsia" w:ascii="仿宋" w:hAnsi="仿宋" w:eastAsia="仿宋" w:cs="仿宋"/>
          <w:bCs/>
          <w:sz w:val="28"/>
          <w:szCs w:val="28"/>
          <w:highlight w:val="none"/>
          <w:lang w:val="en-US" w:eastAsia="zh-CN"/>
        </w:rPr>
        <w:t>决策-过程-</w:t>
      </w:r>
      <w:r>
        <w:rPr>
          <w:rFonts w:hint="eastAsia" w:ascii="仿宋" w:hAnsi="仿宋" w:eastAsia="仿宋" w:cs="仿宋"/>
          <w:bCs/>
          <w:sz w:val="28"/>
          <w:szCs w:val="28"/>
          <w:highlight w:val="none"/>
        </w:rPr>
        <w:t>产出-效益”的逻辑思路对绩效目标进行分解，结合计划标准、通用标准等制定指标目标值，形成</w:t>
      </w:r>
      <w:r>
        <w:rPr>
          <w:rFonts w:hint="eastAsia" w:ascii="仿宋" w:hAnsi="仿宋" w:eastAsia="仿宋" w:cs="仿宋"/>
          <w:bCs/>
          <w:sz w:val="28"/>
          <w:szCs w:val="28"/>
          <w:highlight w:val="none"/>
          <w:lang w:val="en-US" w:eastAsia="zh-CN"/>
        </w:rPr>
        <w:t>2021年永济市</w:t>
      </w:r>
      <w:r>
        <w:rPr>
          <w:rFonts w:hint="eastAsia" w:ascii="仿宋" w:hAnsi="仿宋" w:eastAsia="仿宋" w:cs="仿宋"/>
          <w:bCs/>
          <w:sz w:val="28"/>
          <w:szCs w:val="28"/>
          <w:highlight w:val="none"/>
          <w:lang w:eastAsia="zh-CN"/>
        </w:rPr>
        <w:t>疫情防控资金</w:t>
      </w:r>
      <w:r>
        <w:rPr>
          <w:rFonts w:hint="eastAsia" w:ascii="仿宋" w:hAnsi="仿宋" w:eastAsia="仿宋" w:cs="仿宋"/>
          <w:bCs/>
          <w:sz w:val="28"/>
          <w:szCs w:val="28"/>
          <w:highlight w:val="none"/>
        </w:rPr>
        <w:t>绩效评价指标体系。</w:t>
      </w:r>
      <w:bookmarkEnd w:id="140"/>
      <w:bookmarkStart w:id="141" w:name="_Toc8936_WPSOffice_Level2"/>
      <w:bookmarkStart w:id="142" w:name="_Toc9340_WPSOffice_Level2"/>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bCs/>
          <w:sz w:val="28"/>
          <w:szCs w:val="28"/>
          <w:highlight w:val="none"/>
        </w:rPr>
      </w:pPr>
      <w:bookmarkStart w:id="143" w:name="_Toc23824"/>
      <w:r>
        <w:rPr>
          <w:rFonts w:hint="eastAsia" w:ascii="仿宋" w:hAnsi="仿宋" w:eastAsia="仿宋" w:cs="仿宋"/>
          <w:b/>
          <w:bCs/>
          <w:sz w:val="28"/>
          <w:szCs w:val="28"/>
          <w:highlight w:val="none"/>
          <w:lang w:val="en-US" w:eastAsia="zh-CN"/>
        </w:rPr>
        <w:t>2.</w:t>
      </w:r>
      <w:r>
        <w:rPr>
          <w:rFonts w:hint="eastAsia" w:ascii="仿宋" w:hAnsi="仿宋" w:eastAsia="仿宋" w:cs="仿宋"/>
          <w:b/>
          <w:bCs/>
          <w:sz w:val="28"/>
          <w:szCs w:val="28"/>
          <w:highlight w:val="none"/>
        </w:rPr>
        <w:t>评价指标设置</w:t>
      </w:r>
      <w:bookmarkEnd w:id="141"/>
      <w:bookmarkEnd w:id="142"/>
      <w:bookmarkEnd w:id="14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Cs/>
          <w:sz w:val="28"/>
          <w:szCs w:val="28"/>
          <w:highlight w:val="none"/>
        </w:rPr>
      </w:pPr>
      <w:bookmarkStart w:id="144" w:name="_Toc31629_WPSOffice_Level3"/>
      <w:r>
        <w:rPr>
          <w:rFonts w:hint="eastAsia" w:ascii="仿宋" w:hAnsi="仿宋" w:eastAsia="仿宋" w:cs="仿宋"/>
          <w:bCs/>
          <w:sz w:val="28"/>
          <w:szCs w:val="28"/>
          <w:highlight w:val="none"/>
        </w:rPr>
        <w:t>本次绩效评价</w:t>
      </w:r>
      <w:r>
        <w:rPr>
          <w:rFonts w:hint="eastAsia" w:ascii="仿宋" w:hAnsi="仿宋" w:eastAsia="仿宋" w:cs="仿宋"/>
          <w:bCs/>
          <w:sz w:val="28"/>
          <w:szCs w:val="28"/>
          <w:highlight w:val="none"/>
          <w:lang w:eastAsia="zh-CN"/>
        </w:rPr>
        <w:t>主要</w:t>
      </w:r>
      <w:r>
        <w:rPr>
          <w:rFonts w:hint="eastAsia" w:ascii="仿宋" w:hAnsi="仿宋" w:eastAsia="仿宋" w:cs="仿宋"/>
          <w:bCs/>
          <w:sz w:val="28"/>
          <w:szCs w:val="28"/>
          <w:highlight w:val="none"/>
        </w:rPr>
        <w:t>从</w:t>
      </w:r>
      <w:r>
        <w:rPr>
          <w:rFonts w:hint="eastAsia" w:ascii="仿宋" w:hAnsi="仿宋" w:eastAsia="仿宋" w:cs="仿宋"/>
          <w:bCs/>
          <w:sz w:val="28"/>
          <w:szCs w:val="28"/>
          <w:highlight w:val="none"/>
          <w:lang w:val="en-US" w:eastAsia="zh-CN"/>
        </w:rPr>
        <w:t>决策</w:t>
      </w:r>
      <w:r>
        <w:rPr>
          <w:rFonts w:hint="eastAsia" w:ascii="仿宋" w:hAnsi="仿宋" w:eastAsia="仿宋" w:cs="仿宋"/>
          <w:bCs/>
          <w:sz w:val="28"/>
          <w:szCs w:val="28"/>
          <w:highlight w:val="none"/>
        </w:rPr>
        <w:t>、</w:t>
      </w:r>
      <w:r>
        <w:rPr>
          <w:rFonts w:hint="eastAsia" w:ascii="仿宋" w:hAnsi="仿宋" w:eastAsia="仿宋" w:cs="仿宋"/>
          <w:bCs/>
          <w:sz w:val="28"/>
          <w:szCs w:val="28"/>
          <w:highlight w:val="none"/>
          <w:lang w:val="en-US" w:eastAsia="zh-CN"/>
        </w:rPr>
        <w:t>过程、</w:t>
      </w:r>
      <w:r>
        <w:rPr>
          <w:rFonts w:hint="eastAsia" w:ascii="仿宋" w:hAnsi="仿宋" w:eastAsia="仿宋" w:cs="仿宋"/>
          <w:bCs/>
          <w:sz w:val="28"/>
          <w:szCs w:val="28"/>
          <w:highlight w:val="none"/>
        </w:rPr>
        <w:t>产出、效益</w:t>
      </w:r>
      <w:r>
        <w:rPr>
          <w:rFonts w:hint="eastAsia" w:ascii="仿宋" w:hAnsi="仿宋" w:eastAsia="仿宋" w:cs="仿宋"/>
          <w:bCs/>
          <w:sz w:val="28"/>
          <w:szCs w:val="28"/>
          <w:highlight w:val="none"/>
          <w:lang w:eastAsia="zh-CN"/>
        </w:rPr>
        <w:t>四</w:t>
      </w:r>
      <w:r>
        <w:rPr>
          <w:rFonts w:hint="eastAsia" w:ascii="仿宋" w:hAnsi="仿宋" w:eastAsia="仿宋" w:cs="仿宋"/>
          <w:bCs/>
          <w:sz w:val="28"/>
          <w:szCs w:val="28"/>
          <w:highlight w:val="none"/>
        </w:rPr>
        <w:t>方面进行评价。绩效评价指标共分三级。一级指标</w:t>
      </w:r>
      <w:r>
        <w:rPr>
          <w:rFonts w:hint="eastAsia" w:ascii="仿宋" w:hAnsi="仿宋" w:eastAsia="仿宋" w:cs="仿宋"/>
          <w:bCs/>
          <w:sz w:val="28"/>
          <w:szCs w:val="28"/>
          <w:highlight w:val="none"/>
          <w:lang w:eastAsia="zh-CN"/>
        </w:rPr>
        <w:t>四</w:t>
      </w:r>
      <w:r>
        <w:rPr>
          <w:rFonts w:hint="eastAsia" w:ascii="仿宋" w:hAnsi="仿宋" w:eastAsia="仿宋" w:cs="仿宋"/>
          <w:bCs/>
          <w:sz w:val="28"/>
          <w:szCs w:val="28"/>
          <w:highlight w:val="none"/>
        </w:rPr>
        <w:t>个：</w:t>
      </w:r>
      <w:r>
        <w:rPr>
          <w:rFonts w:hint="eastAsia" w:ascii="仿宋" w:hAnsi="仿宋" w:eastAsia="仿宋" w:cs="仿宋"/>
          <w:bCs/>
          <w:sz w:val="28"/>
          <w:szCs w:val="28"/>
          <w:highlight w:val="none"/>
          <w:lang w:val="en-US" w:eastAsia="zh-CN"/>
        </w:rPr>
        <w:t>决策</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10分）、过程</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30分）、</w:t>
      </w:r>
      <w:r>
        <w:rPr>
          <w:rFonts w:hint="eastAsia" w:ascii="仿宋" w:hAnsi="仿宋" w:eastAsia="仿宋" w:cs="仿宋"/>
          <w:bCs/>
          <w:sz w:val="28"/>
          <w:szCs w:val="28"/>
          <w:highlight w:val="none"/>
        </w:rPr>
        <w:t>产出（</w:t>
      </w:r>
      <w:r>
        <w:rPr>
          <w:rFonts w:hint="eastAsia" w:ascii="仿宋" w:hAnsi="仿宋" w:eastAsia="仿宋" w:cs="仿宋"/>
          <w:bCs/>
          <w:sz w:val="28"/>
          <w:szCs w:val="28"/>
          <w:highlight w:val="none"/>
          <w:lang w:val="en-US" w:eastAsia="zh-CN"/>
        </w:rPr>
        <w:t>30</w:t>
      </w:r>
      <w:r>
        <w:rPr>
          <w:rFonts w:hint="eastAsia" w:ascii="仿宋" w:hAnsi="仿宋" w:eastAsia="仿宋" w:cs="仿宋"/>
          <w:bCs/>
          <w:sz w:val="28"/>
          <w:szCs w:val="28"/>
          <w:highlight w:val="none"/>
        </w:rPr>
        <w:t>分）、效</w:t>
      </w:r>
      <w:r>
        <w:rPr>
          <w:rFonts w:hint="eastAsia" w:ascii="仿宋" w:hAnsi="仿宋" w:eastAsia="仿宋" w:cs="仿宋"/>
          <w:bCs/>
          <w:sz w:val="28"/>
          <w:szCs w:val="28"/>
          <w:highlight w:val="none"/>
          <w:lang w:eastAsia="zh-CN"/>
        </w:rPr>
        <w:t>益</w:t>
      </w:r>
      <w:r>
        <w:rPr>
          <w:rFonts w:hint="eastAsia" w:ascii="仿宋" w:hAnsi="仿宋" w:eastAsia="仿宋" w:cs="仿宋"/>
          <w:bCs/>
          <w:sz w:val="28"/>
          <w:szCs w:val="28"/>
          <w:highlight w:val="none"/>
        </w:rPr>
        <w:t>（</w:t>
      </w:r>
      <w:r>
        <w:rPr>
          <w:rFonts w:hint="eastAsia" w:ascii="仿宋" w:hAnsi="仿宋" w:eastAsia="仿宋" w:cs="仿宋"/>
          <w:bCs/>
          <w:sz w:val="28"/>
          <w:szCs w:val="28"/>
          <w:highlight w:val="none"/>
          <w:lang w:val="en-US" w:eastAsia="zh-CN"/>
        </w:rPr>
        <w:t>30</w:t>
      </w:r>
      <w:r>
        <w:rPr>
          <w:rFonts w:hint="eastAsia" w:ascii="仿宋" w:hAnsi="仿宋" w:eastAsia="仿宋" w:cs="仿宋"/>
          <w:bCs/>
          <w:sz w:val="28"/>
          <w:szCs w:val="28"/>
          <w:highlight w:val="none"/>
        </w:rPr>
        <w:t>分）；二级指标</w:t>
      </w:r>
      <w:r>
        <w:rPr>
          <w:rFonts w:hint="eastAsia" w:ascii="仿宋" w:hAnsi="仿宋" w:eastAsia="仿宋" w:cs="仿宋"/>
          <w:bCs/>
          <w:sz w:val="28"/>
          <w:szCs w:val="28"/>
          <w:highlight w:val="none"/>
          <w:lang w:val="en-US" w:eastAsia="zh-CN"/>
        </w:rPr>
        <w:t>十五</w:t>
      </w:r>
      <w:r>
        <w:rPr>
          <w:rFonts w:hint="eastAsia" w:ascii="仿宋" w:hAnsi="仿宋" w:eastAsia="仿宋" w:cs="仿宋"/>
          <w:bCs/>
          <w:sz w:val="28"/>
          <w:szCs w:val="28"/>
          <w:highlight w:val="none"/>
        </w:rPr>
        <w:t>个：</w:t>
      </w:r>
      <w:r>
        <w:rPr>
          <w:rFonts w:hint="eastAsia" w:ascii="仿宋" w:hAnsi="仿宋" w:eastAsia="仿宋" w:cs="仿宋"/>
          <w:bCs/>
          <w:sz w:val="28"/>
          <w:szCs w:val="28"/>
          <w:highlight w:val="none"/>
          <w:lang w:val="en-US" w:eastAsia="zh-CN"/>
        </w:rPr>
        <w:t>项目决策</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绩效目标</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资金投入</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资金管理</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组织实施</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核酸检测设施完善情况、隔离点隔离情况、紧急接种人员及接种点设施配套情况、发热门诊、防疫工作、产出时效、产出成本、</w:t>
      </w:r>
      <w:r>
        <w:rPr>
          <w:rFonts w:hint="eastAsia" w:ascii="仿宋" w:hAnsi="仿宋" w:eastAsia="仿宋" w:cs="仿宋"/>
          <w:bCs/>
          <w:sz w:val="28"/>
          <w:szCs w:val="28"/>
          <w:highlight w:val="none"/>
          <w:lang w:eastAsia="zh-CN"/>
        </w:rPr>
        <w:t>社会效益、可持续影响、满意度评价</w:t>
      </w:r>
      <w:r>
        <w:rPr>
          <w:rFonts w:hint="eastAsia" w:ascii="仿宋" w:hAnsi="仿宋" w:eastAsia="仿宋" w:cs="仿宋"/>
          <w:bCs/>
          <w:sz w:val="28"/>
          <w:szCs w:val="28"/>
          <w:highlight w:val="none"/>
        </w:rPr>
        <w:t>；三级指标</w:t>
      </w:r>
      <w:r>
        <w:rPr>
          <w:rFonts w:hint="eastAsia" w:ascii="仿宋" w:hAnsi="仿宋" w:eastAsia="仿宋" w:cs="仿宋"/>
          <w:bCs/>
          <w:sz w:val="28"/>
          <w:szCs w:val="28"/>
          <w:highlight w:val="none"/>
          <w:lang w:val="en-US" w:eastAsia="zh-CN"/>
        </w:rPr>
        <w:t>三十二</w:t>
      </w:r>
      <w:r>
        <w:rPr>
          <w:rFonts w:hint="eastAsia" w:ascii="仿宋" w:hAnsi="仿宋" w:eastAsia="仿宋" w:cs="仿宋"/>
          <w:bCs/>
          <w:sz w:val="28"/>
          <w:szCs w:val="28"/>
          <w:highlight w:val="none"/>
        </w:rPr>
        <w:t>个，其中</w:t>
      </w:r>
      <w:r>
        <w:rPr>
          <w:rFonts w:hint="eastAsia" w:ascii="仿宋" w:hAnsi="仿宋" w:eastAsia="仿宋" w:cs="仿宋"/>
          <w:bCs/>
          <w:sz w:val="28"/>
          <w:szCs w:val="28"/>
          <w:highlight w:val="none"/>
          <w:lang w:val="en-US" w:eastAsia="zh-CN"/>
        </w:rPr>
        <w:t>决策类五</w:t>
      </w:r>
      <w:r>
        <w:rPr>
          <w:rFonts w:hint="eastAsia" w:ascii="仿宋" w:hAnsi="仿宋" w:eastAsia="仿宋" w:cs="仿宋"/>
          <w:bCs/>
          <w:sz w:val="28"/>
          <w:szCs w:val="28"/>
          <w:highlight w:val="none"/>
          <w:lang w:eastAsia="zh-CN"/>
        </w:rPr>
        <w:t>个、</w:t>
      </w:r>
      <w:r>
        <w:rPr>
          <w:rFonts w:hint="eastAsia" w:ascii="仿宋" w:hAnsi="仿宋" w:eastAsia="仿宋" w:cs="仿宋"/>
          <w:bCs/>
          <w:sz w:val="28"/>
          <w:szCs w:val="28"/>
          <w:highlight w:val="none"/>
          <w:lang w:val="en-US" w:eastAsia="zh-CN"/>
        </w:rPr>
        <w:t>过程</w:t>
      </w:r>
      <w:r>
        <w:rPr>
          <w:rFonts w:hint="eastAsia" w:ascii="仿宋" w:hAnsi="仿宋" w:eastAsia="仿宋" w:cs="仿宋"/>
          <w:bCs/>
          <w:sz w:val="28"/>
          <w:szCs w:val="28"/>
          <w:highlight w:val="none"/>
          <w:lang w:eastAsia="zh-CN"/>
        </w:rPr>
        <w:t>类</w:t>
      </w:r>
      <w:r>
        <w:rPr>
          <w:rFonts w:hint="eastAsia" w:ascii="仿宋" w:hAnsi="仿宋" w:eastAsia="仿宋" w:cs="仿宋"/>
          <w:bCs/>
          <w:sz w:val="28"/>
          <w:szCs w:val="28"/>
          <w:highlight w:val="none"/>
          <w:lang w:val="en-US" w:eastAsia="zh-CN"/>
        </w:rPr>
        <w:t>十</w:t>
      </w:r>
      <w:r>
        <w:rPr>
          <w:rFonts w:hint="eastAsia" w:ascii="仿宋" w:hAnsi="仿宋" w:eastAsia="仿宋" w:cs="仿宋"/>
          <w:bCs/>
          <w:sz w:val="28"/>
          <w:szCs w:val="28"/>
          <w:highlight w:val="none"/>
        </w:rPr>
        <w:t>个、产出类</w:t>
      </w:r>
      <w:r>
        <w:rPr>
          <w:rFonts w:hint="eastAsia" w:ascii="仿宋" w:hAnsi="仿宋" w:eastAsia="仿宋" w:cs="仿宋"/>
          <w:bCs/>
          <w:sz w:val="28"/>
          <w:szCs w:val="28"/>
          <w:highlight w:val="none"/>
          <w:lang w:val="en-US" w:eastAsia="zh-CN"/>
        </w:rPr>
        <w:t>十一</w:t>
      </w:r>
      <w:r>
        <w:rPr>
          <w:rFonts w:hint="eastAsia" w:ascii="仿宋" w:hAnsi="仿宋" w:eastAsia="仿宋" w:cs="仿宋"/>
          <w:bCs/>
          <w:sz w:val="28"/>
          <w:szCs w:val="28"/>
          <w:highlight w:val="none"/>
        </w:rPr>
        <w:t>个、效益类</w:t>
      </w:r>
      <w:r>
        <w:rPr>
          <w:rFonts w:hint="eastAsia" w:ascii="仿宋" w:hAnsi="仿宋" w:eastAsia="仿宋" w:cs="仿宋"/>
          <w:bCs/>
          <w:sz w:val="28"/>
          <w:szCs w:val="28"/>
          <w:highlight w:val="none"/>
          <w:lang w:val="en-US" w:eastAsia="zh-CN"/>
        </w:rPr>
        <w:t>六个</w:t>
      </w:r>
      <w:r>
        <w:rPr>
          <w:rFonts w:hint="eastAsia" w:ascii="仿宋" w:hAnsi="仿宋" w:eastAsia="仿宋" w:cs="仿宋"/>
          <w:bCs/>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eastAsia" w:ascii="仿宋" w:hAnsi="仿宋" w:eastAsia="仿宋" w:cs="仿宋"/>
          <w:b/>
          <w:bCs w:val="0"/>
          <w:sz w:val="28"/>
          <w:szCs w:val="28"/>
          <w:highlight w:val="none"/>
          <w:lang w:val="en-US" w:eastAsia="zh-CN"/>
        </w:rPr>
      </w:pPr>
      <w:r>
        <w:rPr>
          <w:rFonts w:hint="eastAsia" w:ascii="仿宋" w:hAnsi="仿宋" w:eastAsia="仿宋" w:cs="仿宋"/>
          <w:b/>
          <w:bCs w:val="0"/>
          <w:sz w:val="28"/>
          <w:szCs w:val="28"/>
          <w:highlight w:val="none"/>
          <w:lang w:val="en-US" w:eastAsia="zh-CN"/>
        </w:rPr>
        <w:t>（1）决策类指标设置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决策类指标从项目决策、绩效目标、资金投入三方面进行评价，其中项目决策从决策依据充分性进行评价；绩效目标从绩效目标合理性、绩效指标明确性两方面进行评价；资金投入从预算编制科学性、资金分配合理性两方面进行评价。决策类共设置3个二级指标、5个三级指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eastAsia" w:ascii="仿宋" w:hAnsi="仿宋" w:eastAsia="仿宋" w:cs="仿宋"/>
          <w:b/>
          <w:bCs w:val="0"/>
          <w:sz w:val="28"/>
          <w:szCs w:val="28"/>
          <w:highlight w:val="none"/>
          <w:lang w:val="en-US" w:eastAsia="zh-CN"/>
        </w:rPr>
      </w:pPr>
      <w:r>
        <w:rPr>
          <w:rFonts w:hint="eastAsia" w:ascii="仿宋" w:hAnsi="仿宋" w:eastAsia="仿宋" w:cs="仿宋"/>
          <w:b/>
          <w:bCs w:val="0"/>
          <w:sz w:val="28"/>
          <w:szCs w:val="28"/>
          <w:highlight w:val="none"/>
          <w:lang w:val="en-US" w:eastAsia="zh-CN"/>
        </w:rPr>
        <w:t>（2）过程类指标设置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过程类指标从资金管理、组织实施两方面进行评价，其中资金管理从资金到位率、预算执行率、资金使用合规性三方面进行评价；组织实施从防控指挥部的成立、防疫制度健全性、核酸检测、组织疫苗接种、隔离点的管理、物资及设备采购、卡点及社区等地防控七面进行评价。过程类指标共设置2个二级指标、10个三级指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eastAsia" w:ascii="仿宋" w:hAnsi="仿宋" w:eastAsia="仿宋" w:cs="仿宋"/>
          <w:b/>
          <w:bCs w:val="0"/>
          <w:sz w:val="28"/>
          <w:szCs w:val="28"/>
          <w:highlight w:val="none"/>
          <w:lang w:val="en-US" w:eastAsia="zh-CN"/>
        </w:rPr>
      </w:pPr>
      <w:r>
        <w:rPr>
          <w:rFonts w:hint="eastAsia" w:ascii="仿宋" w:hAnsi="仿宋" w:eastAsia="仿宋" w:cs="仿宋"/>
          <w:b/>
          <w:bCs w:val="0"/>
          <w:sz w:val="28"/>
          <w:szCs w:val="28"/>
          <w:highlight w:val="none"/>
          <w:lang w:val="en-US" w:eastAsia="zh-CN"/>
        </w:rPr>
        <w:t>（3）产出类指标设置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产出类指标主要是核酸检测设施情况、隔离点隔离情况、紧急接种人员及接种点设施配套情况、发热门诊、防疫工作、产出时效、产出成本七方面进行评价，其中核酸检测设施完善情况从核酸检测设施完成情况、核酸检测质量保障情况两方面进行评价；隔离点隔离情况从隔离点数量、隔离点运营情况、隔离点质量保障情况三方面进行评价；紧急接种人员及接种点设施配套情况从紧急接种人员疫苗接种完成情况、接种点设施配套情况两方面进行评价；发热门诊评价栲栳卫生院发热门诊的建设及使用；防疫工作从卡点防控情况进行评价；产出时效评价相关项目的完成及时性，产出成本评价项目产出成本节约情况。产出共设置7个二级指标、11个三级指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eastAsia" w:ascii="仿宋" w:hAnsi="仿宋" w:eastAsia="仿宋" w:cs="仿宋"/>
          <w:bCs/>
          <w:sz w:val="28"/>
          <w:szCs w:val="28"/>
          <w:highlight w:val="none"/>
          <w:lang w:val="en-US" w:eastAsia="zh-CN"/>
        </w:rPr>
      </w:pPr>
      <w:r>
        <w:rPr>
          <w:rFonts w:hint="eastAsia" w:ascii="仿宋" w:hAnsi="仿宋" w:eastAsia="仿宋" w:cs="仿宋"/>
          <w:b/>
          <w:bCs w:val="0"/>
          <w:sz w:val="28"/>
          <w:szCs w:val="28"/>
          <w:highlight w:val="none"/>
          <w:lang w:val="en-US" w:eastAsia="zh-CN"/>
        </w:rPr>
        <w:t>（4）效益类指标设置</w:t>
      </w:r>
    </w:p>
    <w:bookmarkEnd w:id="144"/>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Cs/>
          <w:sz w:val="28"/>
          <w:szCs w:val="28"/>
          <w:highlight w:val="none"/>
          <w:lang w:val="en-US" w:eastAsia="zh-CN"/>
        </w:rPr>
      </w:pPr>
      <w:r>
        <w:rPr>
          <w:rFonts w:hint="default" w:ascii="仿宋" w:hAnsi="仿宋" w:eastAsia="仿宋" w:cs="仿宋"/>
          <w:bCs/>
          <w:sz w:val="28"/>
          <w:szCs w:val="28"/>
          <w:highlight w:val="none"/>
          <w:lang w:val="en-US" w:eastAsia="zh-CN"/>
        </w:rPr>
        <w:t>效益类指标从社会效益、可持续影响、满意度评价三方面进行评价，其中社会效益从保障人民群众生命安全和身体健康、促进人民群众合理流动</w:t>
      </w:r>
      <w:r>
        <w:rPr>
          <w:rFonts w:hint="eastAsia" w:ascii="仿宋" w:hAnsi="仿宋" w:eastAsia="仿宋" w:cs="仿宋"/>
          <w:bCs/>
          <w:sz w:val="28"/>
          <w:szCs w:val="28"/>
          <w:highlight w:val="none"/>
          <w:lang w:val="en-US" w:eastAsia="zh-CN"/>
        </w:rPr>
        <w:t>两</w:t>
      </w:r>
      <w:r>
        <w:rPr>
          <w:rFonts w:hint="default" w:ascii="仿宋" w:hAnsi="仿宋" w:eastAsia="仿宋" w:cs="仿宋"/>
          <w:bCs/>
          <w:sz w:val="28"/>
          <w:szCs w:val="28"/>
          <w:highlight w:val="none"/>
          <w:lang w:val="en-US" w:eastAsia="zh-CN"/>
        </w:rPr>
        <w:t>方面进行评价；可持续影响从提升重大疫情防控及应急管理能力、健全公共卫生体系</w:t>
      </w:r>
      <w:r>
        <w:rPr>
          <w:rFonts w:hint="eastAsia" w:ascii="仿宋" w:hAnsi="仿宋" w:eastAsia="仿宋" w:cs="仿宋"/>
          <w:bCs/>
          <w:sz w:val="28"/>
          <w:szCs w:val="28"/>
          <w:highlight w:val="none"/>
          <w:lang w:val="en-US" w:eastAsia="zh-CN"/>
        </w:rPr>
        <w:t>、持续开展爱国卫生运动三</w:t>
      </w:r>
      <w:r>
        <w:rPr>
          <w:rFonts w:hint="default" w:ascii="仿宋" w:hAnsi="仿宋" w:eastAsia="仿宋" w:cs="仿宋"/>
          <w:bCs/>
          <w:sz w:val="28"/>
          <w:szCs w:val="28"/>
          <w:highlight w:val="none"/>
          <w:lang w:val="en-US" w:eastAsia="zh-CN"/>
        </w:rPr>
        <w:t>方面进行评价；满意度评价从社会公众满意度进行评价。效益共设置3个二级指标、</w:t>
      </w:r>
      <w:r>
        <w:rPr>
          <w:rFonts w:hint="eastAsia" w:ascii="仿宋" w:hAnsi="仿宋" w:eastAsia="仿宋" w:cs="仿宋"/>
          <w:bCs/>
          <w:sz w:val="28"/>
          <w:szCs w:val="28"/>
          <w:highlight w:val="none"/>
          <w:lang w:val="en-US" w:eastAsia="zh-CN"/>
        </w:rPr>
        <w:t>6</w:t>
      </w:r>
      <w:r>
        <w:rPr>
          <w:rFonts w:hint="default" w:ascii="仿宋" w:hAnsi="仿宋" w:eastAsia="仿宋" w:cs="仿宋"/>
          <w:bCs/>
          <w:sz w:val="28"/>
          <w:szCs w:val="28"/>
          <w:highlight w:val="none"/>
          <w:lang w:val="en-US" w:eastAsia="zh-CN"/>
        </w:rPr>
        <w:t>个三级指标。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Cs/>
          <w:color w:val="auto"/>
          <w:sz w:val="28"/>
          <w:szCs w:val="28"/>
          <w:highlight w:val="none"/>
          <w:lang w:val="en-US" w:eastAsia="zh-CN"/>
        </w:rPr>
      </w:pPr>
      <w:r>
        <w:rPr>
          <w:rFonts w:hint="default" w:ascii="仿宋" w:hAnsi="仿宋" w:eastAsia="仿宋" w:cs="仿宋"/>
          <w:bCs/>
          <w:color w:val="auto"/>
          <w:sz w:val="28"/>
          <w:szCs w:val="28"/>
          <w:highlight w:val="none"/>
          <w:lang w:val="en-US" w:eastAsia="zh-CN"/>
        </w:rPr>
        <w:t>具体评价指标设置、权重、指标解释、评分依据、评分标准见附件1。</w:t>
      </w:r>
    </w:p>
    <w:p>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outlineLvl w:val="2"/>
        <w:rPr>
          <w:rFonts w:hint="default" w:ascii="仿宋" w:hAnsi="仿宋" w:eastAsia="仿宋" w:cs="仿宋"/>
          <w:bCs/>
          <w:sz w:val="28"/>
          <w:szCs w:val="28"/>
          <w:highlight w:val="none"/>
          <w:lang w:val="en-US" w:eastAsia="zh-CN" w:bidi="ar"/>
        </w:rPr>
      </w:pPr>
      <w:bookmarkStart w:id="145" w:name="_Toc1257_WPSOffice_Level2"/>
      <w:bookmarkStart w:id="146" w:name="_Toc8801"/>
      <w:r>
        <w:rPr>
          <w:rFonts w:hint="eastAsia" w:ascii="仿宋" w:hAnsi="仿宋" w:eastAsia="仿宋" w:cs="仿宋"/>
          <w:b/>
          <w:bCs w:val="0"/>
          <w:sz w:val="28"/>
          <w:szCs w:val="28"/>
          <w:highlight w:val="none"/>
          <w:lang w:val="en-US" w:eastAsia="zh-CN" w:bidi="ar"/>
        </w:rPr>
        <w:t>3.项目</w:t>
      </w:r>
      <w:r>
        <w:rPr>
          <w:rFonts w:hint="default" w:ascii="仿宋" w:hAnsi="仿宋" w:eastAsia="仿宋" w:cs="仿宋"/>
          <w:b/>
          <w:bCs w:val="0"/>
          <w:sz w:val="28"/>
          <w:szCs w:val="28"/>
          <w:highlight w:val="none"/>
          <w:lang w:val="en-US" w:eastAsia="zh-CN" w:bidi="ar"/>
        </w:rPr>
        <w:t>分值评级</w:t>
      </w:r>
      <w:bookmarkEnd w:id="145"/>
      <w:bookmarkEnd w:id="146"/>
    </w:p>
    <w:p>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rightChars="0" w:firstLine="560" w:firstLineChars="200"/>
        <w:jc w:val="both"/>
        <w:textAlignment w:val="auto"/>
        <w:rPr>
          <w:rFonts w:hint="eastAsia" w:ascii="仿宋" w:hAnsi="仿宋" w:eastAsia="仿宋" w:cs="仿宋"/>
          <w:b w:val="0"/>
          <w:bCs/>
          <w:color w:val="000000"/>
          <w:sz w:val="28"/>
          <w:szCs w:val="28"/>
          <w:highlight w:val="none"/>
          <w:lang w:val="en-US" w:eastAsia="zh-CN"/>
        </w:rPr>
      </w:pPr>
      <w:r>
        <w:rPr>
          <w:rFonts w:hint="eastAsia" w:ascii="仿宋" w:hAnsi="仿宋" w:eastAsia="仿宋" w:cs="仿宋"/>
          <w:b w:val="0"/>
          <w:bCs/>
          <w:color w:val="000000"/>
          <w:sz w:val="28"/>
          <w:szCs w:val="28"/>
          <w:highlight w:val="none"/>
          <w:lang w:val="en-US" w:eastAsia="zh-CN"/>
        </w:rPr>
        <w:t>项目评价结果分为优、良、中、差四个档次，根据评价分值，确定评价对象对应的档次。具体分值与档次见下表：</w:t>
      </w:r>
    </w:p>
    <w:p>
      <w:pPr>
        <w:spacing w:line="560" w:lineRule="exact"/>
        <w:ind w:firstLine="562" w:firstLineChars="200"/>
        <w:jc w:val="center"/>
        <w:outlineLvl w:val="9"/>
        <w:rPr>
          <w:rFonts w:hint="default" w:ascii="仿宋" w:hAnsi="仿宋" w:eastAsia="仿宋" w:cs="仿宋"/>
          <w:b/>
          <w:bCs/>
          <w:kern w:val="2"/>
          <w:sz w:val="28"/>
          <w:szCs w:val="28"/>
          <w:highlight w:val="none"/>
          <w:lang w:val="en-US" w:eastAsia="zh-CN" w:bidi="ar-SA"/>
        </w:rPr>
      </w:pPr>
      <w:bookmarkStart w:id="147" w:name="_Toc30421_WPSOffice_Level2"/>
      <w:r>
        <w:rPr>
          <w:rFonts w:hint="eastAsia" w:ascii="仿宋" w:hAnsi="仿宋" w:eastAsia="仿宋" w:cs="仿宋"/>
          <w:b/>
          <w:bCs/>
          <w:kern w:val="2"/>
          <w:sz w:val="28"/>
          <w:szCs w:val="28"/>
          <w:highlight w:val="none"/>
          <w:lang w:val="en-US" w:eastAsia="zh-CN" w:bidi="ar-SA"/>
        </w:rPr>
        <w:t xml:space="preserve">表2-2  </w:t>
      </w:r>
      <w:r>
        <w:rPr>
          <w:rFonts w:hint="default" w:ascii="仿宋" w:hAnsi="仿宋" w:eastAsia="仿宋" w:cs="仿宋"/>
          <w:b/>
          <w:bCs/>
          <w:kern w:val="2"/>
          <w:sz w:val="28"/>
          <w:szCs w:val="28"/>
          <w:highlight w:val="none"/>
          <w:lang w:val="en-US" w:eastAsia="zh-CN" w:bidi="ar-SA"/>
        </w:rPr>
        <w:t>评价分值与评价等级表</w:t>
      </w:r>
      <w:bookmarkEnd w:id="147"/>
    </w:p>
    <w:tbl>
      <w:tblPr>
        <w:tblStyle w:val="10"/>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4"/>
        <w:gridCol w:w="1703"/>
        <w:gridCol w:w="1704"/>
        <w:gridCol w:w="1704"/>
        <w:gridCol w:w="17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17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仿宋"/>
                <w:color w:val="000000"/>
                <w:kern w:val="0"/>
                <w:sz w:val="24"/>
                <w:szCs w:val="24"/>
                <w:highlight w:val="none"/>
              </w:rPr>
            </w:pPr>
            <w:r>
              <w:rPr>
                <w:rFonts w:hint="default" w:ascii="仿宋" w:hAnsi="仿宋" w:eastAsia="仿宋" w:cs="仿宋"/>
                <w:color w:val="000000"/>
                <w:kern w:val="0"/>
                <w:sz w:val="24"/>
                <w:szCs w:val="24"/>
                <w:highlight w:val="none"/>
              </w:rPr>
              <w:t>等级</w:t>
            </w:r>
          </w:p>
        </w:tc>
        <w:tc>
          <w:tcPr>
            <w:tcW w:w="1703" w:type="dxa"/>
            <w:tcBorders>
              <w:top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仿宋"/>
                <w:color w:val="000000"/>
                <w:kern w:val="0"/>
                <w:sz w:val="24"/>
                <w:szCs w:val="24"/>
                <w:highlight w:val="none"/>
              </w:rPr>
            </w:pPr>
            <w:r>
              <w:rPr>
                <w:rFonts w:hint="default" w:ascii="仿宋" w:hAnsi="仿宋" w:eastAsia="仿宋" w:cs="仿宋"/>
                <w:color w:val="000000"/>
                <w:kern w:val="0"/>
                <w:sz w:val="24"/>
                <w:szCs w:val="24"/>
                <w:highlight w:val="none"/>
              </w:rPr>
              <w:t>优</w:t>
            </w:r>
          </w:p>
        </w:tc>
        <w:tc>
          <w:tcPr>
            <w:tcW w:w="1704" w:type="dxa"/>
            <w:tcBorders>
              <w:top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仿宋"/>
                <w:color w:val="000000"/>
                <w:kern w:val="0"/>
                <w:sz w:val="24"/>
                <w:szCs w:val="24"/>
                <w:highlight w:val="none"/>
              </w:rPr>
            </w:pPr>
            <w:r>
              <w:rPr>
                <w:rFonts w:hint="default" w:ascii="仿宋" w:hAnsi="仿宋" w:eastAsia="仿宋" w:cs="仿宋"/>
                <w:color w:val="000000"/>
                <w:kern w:val="0"/>
                <w:sz w:val="24"/>
                <w:szCs w:val="24"/>
                <w:highlight w:val="none"/>
              </w:rPr>
              <w:t>良</w:t>
            </w:r>
          </w:p>
        </w:tc>
        <w:tc>
          <w:tcPr>
            <w:tcW w:w="1704" w:type="dxa"/>
            <w:tcBorders>
              <w:top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lang w:eastAsia="zh-CN"/>
              </w:rPr>
              <w:t>中</w:t>
            </w:r>
          </w:p>
        </w:tc>
        <w:tc>
          <w:tcPr>
            <w:tcW w:w="1707" w:type="dxa"/>
            <w:tcBorders>
              <w:top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lang w:eastAsia="zh-CN"/>
              </w:rPr>
              <w:t>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17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仿宋"/>
                <w:color w:val="000000"/>
                <w:kern w:val="0"/>
                <w:sz w:val="24"/>
                <w:szCs w:val="24"/>
                <w:highlight w:val="none"/>
              </w:rPr>
            </w:pPr>
            <w:r>
              <w:rPr>
                <w:rFonts w:hint="default" w:ascii="仿宋" w:hAnsi="仿宋" w:eastAsia="仿宋" w:cs="仿宋"/>
                <w:color w:val="000000"/>
                <w:kern w:val="0"/>
                <w:sz w:val="24"/>
                <w:szCs w:val="24"/>
                <w:highlight w:val="none"/>
              </w:rPr>
              <w:t>分值</w:t>
            </w:r>
          </w:p>
        </w:tc>
        <w:tc>
          <w:tcPr>
            <w:tcW w:w="1703" w:type="dxa"/>
            <w:tcBorders>
              <w:top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仿宋"/>
                <w:color w:val="000000"/>
                <w:kern w:val="0"/>
                <w:sz w:val="24"/>
                <w:szCs w:val="24"/>
                <w:highlight w:val="none"/>
              </w:rPr>
            </w:pPr>
            <w:r>
              <w:rPr>
                <w:rFonts w:hint="default" w:ascii="仿宋" w:hAnsi="仿宋" w:eastAsia="仿宋" w:cs="仿宋"/>
                <w:color w:val="000000"/>
                <w:kern w:val="0"/>
                <w:sz w:val="24"/>
                <w:szCs w:val="24"/>
                <w:highlight w:val="none"/>
              </w:rPr>
              <w:t>≥90</w:t>
            </w:r>
          </w:p>
        </w:tc>
        <w:tc>
          <w:tcPr>
            <w:tcW w:w="1704" w:type="dxa"/>
            <w:tcBorders>
              <w:top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90＜分值≤80</w:t>
            </w:r>
          </w:p>
        </w:tc>
        <w:tc>
          <w:tcPr>
            <w:tcW w:w="1704" w:type="dxa"/>
            <w:tcBorders>
              <w:top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仿宋"/>
                <w:color w:val="000000"/>
                <w:kern w:val="0"/>
                <w:sz w:val="24"/>
                <w:szCs w:val="24"/>
                <w:highlight w:val="none"/>
                <w:lang w:val="en-US"/>
              </w:rPr>
            </w:pPr>
            <w:r>
              <w:rPr>
                <w:rFonts w:hint="eastAsia" w:ascii="仿宋" w:hAnsi="仿宋" w:eastAsia="仿宋" w:cs="仿宋"/>
                <w:color w:val="000000"/>
                <w:kern w:val="0"/>
                <w:sz w:val="24"/>
                <w:szCs w:val="24"/>
                <w:highlight w:val="none"/>
                <w:lang w:val="en-US" w:eastAsia="zh-CN"/>
              </w:rPr>
              <w:t>80＜分值≤60</w:t>
            </w:r>
          </w:p>
        </w:tc>
        <w:tc>
          <w:tcPr>
            <w:tcW w:w="1707" w:type="dxa"/>
            <w:tcBorders>
              <w:top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仿宋"/>
                <w:color w:val="000000"/>
                <w:kern w:val="0"/>
                <w:sz w:val="24"/>
                <w:szCs w:val="24"/>
                <w:highlight w:val="none"/>
              </w:rPr>
            </w:pPr>
            <w:r>
              <w:rPr>
                <w:rFonts w:hint="default"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6</w:t>
            </w:r>
            <w:r>
              <w:rPr>
                <w:rFonts w:hint="default" w:ascii="仿宋" w:hAnsi="仿宋" w:eastAsia="仿宋" w:cs="仿宋"/>
                <w:color w:val="000000"/>
                <w:kern w:val="0"/>
                <w:sz w:val="24"/>
                <w:szCs w:val="24"/>
                <w:highlight w:val="none"/>
              </w:rPr>
              <w:t>0</w:t>
            </w:r>
          </w:p>
        </w:tc>
      </w:tr>
    </w:tbl>
    <w:p>
      <w:pPr>
        <w:spacing w:line="560" w:lineRule="exact"/>
        <w:ind w:firstLine="562" w:firstLineChars="200"/>
        <w:outlineLvl w:val="0"/>
        <w:rPr>
          <w:rFonts w:hint="eastAsia" w:ascii="仿宋" w:hAnsi="仿宋" w:eastAsia="仿宋" w:cs="仿宋"/>
          <w:b/>
          <w:bCs/>
          <w:sz w:val="28"/>
          <w:szCs w:val="28"/>
          <w:highlight w:val="none"/>
        </w:rPr>
      </w:pPr>
      <w:bookmarkStart w:id="148" w:name="_Toc28665"/>
      <w:bookmarkStart w:id="149" w:name="_Toc17980"/>
      <w:r>
        <w:rPr>
          <w:rFonts w:hint="eastAsia" w:ascii="仿宋" w:hAnsi="仿宋" w:eastAsia="仿宋" w:cs="仿宋"/>
          <w:b/>
          <w:bCs/>
          <w:sz w:val="28"/>
          <w:szCs w:val="28"/>
          <w:highlight w:val="none"/>
          <w:lang w:val="en-US" w:eastAsia="zh-CN"/>
        </w:rPr>
        <w:t>三、</w:t>
      </w:r>
      <w:bookmarkStart w:id="150" w:name="_Toc19468_WPSOffice_Level1"/>
      <w:bookmarkStart w:id="151" w:name="_Toc19816_WPSOffice_Level1"/>
      <w:bookmarkStart w:id="152" w:name="_Toc10483_WPSOffice_Level1"/>
      <w:bookmarkStart w:id="153" w:name="_Toc23522_WPSOffice_Level1"/>
      <w:bookmarkStart w:id="154" w:name="_Toc14295_WPSOffice_Level1"/>
      <w:bookmarkStart w:id="155" w:name="_Toc29054_WPSOffice_Level1"/>
      <w:bookmarkStart w:id="156" w:name="_Toc17147_WPSOffice_Level1"/>
      <w:r>
        <w:rPr>
          <w:rFonts w:hint="eastAsia" w:ascii="仿宋" w:hAnsi="仿宋" w:eastAsia="仿宋" w:cs="仿宋"/>
          <w:b/>
          <w:bCs/>
          <w:sz w:val="28"/>
          <w:szCs w:val="28"/>
          <w:highlight w:val="none"/>
          <w:lang w:eastAsia="zh-CN"/>
        </w:rPr>
        <w:t>综合评价情况</w:t>
      </w:r>
      <w:r>
        <w:rPr>
          <w:rFonts w:hint="eastAsia" w:ascii="仿宋" w:hAnsi="仿宋" w:eastAsia="仿宋" w:cs="仿宋"/>
          <w:b/>
          <w:bCs/>
          <w:sz w:val="28"/>
          <w:szCs w:val="28"/>
          <w:highlight w:val="none"/>
        </w:rPr>
        <w:t>及评价结论</w:t>
      </w:r>
      <w:bookmarkEnd w:id="148"/>
      <w:bookmarkEnd w:id="149"/>
      <w:bookmarkEnd w:id="150"/>
      <w:bookmarkEnd w:id="151"/>
      <w:bookmarkEnd w:id="152"/>
      <w:bookmarkEnd w:id="153"/>
      <w:bookmarkEnd w:id="154"/>
      <w:bookmarkEnd w:id="155"/>
      <w:bookmarkEnd w:id="156"/>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仿宋" w:hAnsi="仿宋" w:eastAsia="仿宋" w:cs="仿宋"/>
          <w:b/>
          <w:sz w:val="28"/>
          <w:szCs w:val="28"/>
          <w:highlight w:val="none"/>
          <w:lang w:val="en-US" w:eastAsia="zh-CN"/>
        </w:rPr>
      </w:pPr>
      <w:bookmarkStart w:id="157" w:name="_Toc18615"/>
      <w:bookmarkStart w:id="158" w:name="_Toc15875"/>
      <w:bookmarkStart w:id="159" w:name="_Toc13216"/>
      <w:bookmarkStart w:id="160" w:name="_Toc6357"/>
      <w:r>
        <w:rPr>
          <w:rFonts w:hint="eastAsia" w:ascii="仿宋" w:hAnsi="仿宋" w:eastAsia="仿宋" w:cs="仿宋"/>
          <w:b/>
          <w:sz w:val="28"/>
          <w:szCs w:val="28"/>
          <w:highlight w:val="none"/>
          <w:lang w:val="en-US" w:eastAsia="zh-CN"/>
        </w:rPr>
        <w:t>（一）综合评价情况</w:t>
      </w:r>
      <w:bookmarkEnd w:id="157"/>
      <w:bookmarkEnd w:id="158"/>
      <w:bookmarkEnd w:id="159"/>
      <w:bookmarkEnd w:id="160"/>
    </w:p>
    <w:p>
      <w:pPr>
        <w:pStyle w:val="14"/>
        <w:spacing w:line="560" w:lineRule="exact"/>
        <w:ind w:firstLine="560"/>
        <w:rPr>
          <w:rFonts w:ascii="仿宋" w:hAnsi="仿宋" w:eastAsia="仿宋"/>
          <w:highlight w:val="none"/>
        </w:rPr>
      </w:pPr>
      <w:r>
        <w:rPr>
          <w:rFonts w:hint="eastAsia" w:ascii="仿宋" w:hAnsi="仿宋" w:eastAsia="仿宋" w:cs="仿宋"/>
          <w:sz w:val="28"/>
          <w:szCs w:val="28"/>
          <w:highlight w:val="none"/>
        </w:rPr>
        <w:t>通过实施数据采集、查阅资料、现场查看等评价程序，根据《</w:t>
      </w:r>
      <w:r>
        <w:rPr>
          <w:rFonts w:hint="eastAsia" w:ascii="仿宋" w:hAnsi="仿宋" w:eastAsia="仿宋" w:cs="仿宋"/>
          <w:sz w:val="28"/>
          <w:szCs w:val="28"/>
          <w:highlight w:val="none"/>
          <w:lang w:val="en-US" w:eastAsia="zh-CN"/>
        </w:rPr>
        <w:t>2021年永济市</w:t>
      </w:r>
      <w:r>
        <w:rPr>
          <w:rFonts w:hint="eastAsia" w:ascii="仿宋" w:hAnsi="仿宋" w:eastAsia="仿宋" w:cs="仿宋"/>
          <w:sz w:val="28"/>
          <w:szCs w:val="28"/>
          <w:highlight w:val="none"/>
        </w:rPr>
        <w:t>疫情防控资金的绩效评价指标评分表》中设定的评价指标体系及评分标准，项目绩效评分总得分</w:t>
      </w:r>
      <w:r>
        <w:rPr>
          <w:rFonts w:hint="eastAsia" w:ascii="仿宋" w:hAnsi="仿宋" w:eastAsia="仿宋" w:cs="仿宋"/>
          <w:sz w:val="28"/>
          <w:szCs w:val="28"/>
          <w:highlight w:val="none"/>
          <w:lang w:val="en-US" w:eastAsia="zh-CN"/>
        </w:rPr>
        <w:t>82.15</w:t>
      </w:r>
      <w:r>
        <w:rPr>
          <w:rFonts w:hint="eastAsia" w:ascii="仿宋" w:hAnsi="仿宋" w:eastAsia="仿宋" w:cs="仿宋"/>
          <w:sz w:val="28"/>
          <w:szCs w:val="28"/>
          <w:highlight w:val="none"/>
        </w:rPr>
        <w:t>分，评价等级为“</w:t>
      </w:r>
      <w:r>
        <w:rPr>
          <w:rFonts w:hint="eastAsia" w:ascii="仿宋" w:hAnsi="仿宋" w:eastAsia="仿宋" w:cs="仿宋"/>
          <w:sz w:val="28"/>
          <w:szCs w:val="28"/>
          <w:highlight w:val="none"/>
          <w:lang w:val="en-US" w:eastAsia="zh-CN"/>
        </w:rPr>
        <w:t>良</w:t>
      </w:r>
      <w:r>
        <w:rPr>
          <w:rFonts w:hint="eastAsia" w:ascii="仿宋" w:hAnsi="仿宋" w:eastAsia="仿宋" w:cs="仿宋"/>
          <w:sz w:val="28"/>
          <w:szCs w:val="28"/>
          <w:highlight w:val="none"/>
        </w:rPr>
        <w:t>”</w:t>
      </w:r>
      <w:r>
        <w:rPr>
          <w:rFonts w:hint="eastAsia" w:ascii="仿宋" w:hAnsi="仿宋" w:eastAsia="仿宋"/>
          <w:highlight w:val="none"/>
        </w:rPr>
        <w:t>，各指标详细打分情况见附件1。</w:t>
      </w:r>
    </w:p>
    <w:p>
      <w:pPr>
        <w:pStyle w:val="15"/>
        <w:framePr w:wrap="auto" w:vAnchor="margin" w:hAnchor="text" w:yAlign="inline"/>
        <w:adjustRightInd w:val="0"/>
        <w:snapToGrid w:val="0"/>
        <w:spacing w:line="560" w:lineRule="exact"/>
        <w:ind w:firstLine="0"/>
        <w:jc w:val="center"/>
        <w:outlineLvl w:val="9"/>
        <w:rPr>
          <w:rFonts w:ascii="仿宋" w:hAnsi="仿宋" w:eastAsia="仿宋" w:cs="楷体_GB2312"/>
          <w:b/>
          <w:bCs/>
          <w:color w:val="auto"/>
          <w:szCs w:val="24"/>
          <w:highlight w:val="none"/>
          <w:lang w:val="zh-TW"/>
        </w:rPr>
      </w:pPr>
      <w:bookmarkStart w:id="161" w:name="_Toc9796"/>
      <w:r>
        <w:rPr>
          <w:rFonts w:hint="eastAsia" w:ascii="仿宋" w:hAnsi="仿宋" w:eastAsia="仿宋" w:cs="楷体_GB2312"/>
          <w:b/>
          <w:bCs/>
          <w:color w:val="auto"/>
          <w:szCs w:val="24"/>
          <w:highlight w:val="none"/>
          <w:lang w:val="en-US" w:eastAsia="zh-CN"/>
        </w:rPr>
        <w:t xml:space="preserve">表3  </w:t>
      </w:r>
      <w:r>
        <w:rPr>
          <w:rFonts w:hint="eastAsia" w:ascii="仿宋" w:hAnsi="仿宋" w:eastAsia="仿宋" w:cs="楷体_GB2312"/>
          <w:b/>
          <w:bCs/>
          <w:color w:val="auto"/>
          <w:szCs w:val="24"/>
          <w:highlight w:val="none"/>
          <w:lang w:val="zh-TW" w:eastAsia="zh-TW"/>
        </w:rPr>
        <w:t>项目绩效评价得分表</w:t>
      </w:r>
      <w:bookmarkEnd w:id="161"/>
    </w:p>
    <w:tbl>
      <w:tblPr>
        <w:tblStyle w:val="1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66"/>
        <w:gridCol w:w="1600"/>
        <w:gridCol w:w="1413"/>
        <w:gridCol w:w="1413"/>
        <w:gridCol w:w="1413"/>
        <w:gridCol w:w="1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3" w:type="pct"/>
            <w:shd w:val="clear" w:color="auto" w:fill="B3B3B3"/>
            <w:vAlign w:val="center"/>
          </w:tcPr>
          <w:p>
            <w:pPr>
              <w:widowControl/>
              <w:snapToGrid w:val="0"/>
              <w:spacing w:line="0" w:lineRule="atLeast"/>
              <w:jc w:val="center"/>
              <w:rPr>
                <w:rFonts w:ascii="仿宋" w:hAnsi="仿宋" w:eastAsia="仿宋" w:cs="仿宋"/>
                <w:sz w:val="24"/>
                <w:szCs w:val="24"/>
                <w:highlight w:val="none"/>
              </w:rPr>
            </w:pPr>
            <w:r>
              <w:rPr>
                <w:rFonts w:hint="eastAsia" w:ascii="仿宋" w:hAnsi="仿宋" w:eastAsia="仿宋" w:cs="仿宋"/>
                <w:b/>
                <w:bCs/>
                <w:kern w:val="0"/>
                <w:sz w:val="24"/>
                <w:szCs w:val="24"/>
                <w:highlight w:val="none"/>
                <w:lang w:val="zh-TW" w:eastAsia="zh-TW"/>
              </w:rPr>
              <w:t>指标</w:t>
            </w:r>
          </w:p>
        </w:tc>
        <w:tc>
          <w:tcPr>
            <w:tcW w:w="939" w:type="pct"/>
            <w:shd w:val="clear" w:color="auto" w:fill="B3B3B3"/>
            <w:vAlign w:val="center"/>
          </w:tcPr>
          <w:p>
            <w:pPr>
              <w:widowControl/>
              <w:snapToGrid w:val="0"/>
              <w:spacing w:line="0" w:lineRule="atLeast"/>
              <w:jc w:val="center"/>
              <w:rPr>
                <w:rFonts w:hint="eastAsia" w:ascii="仿宋" w:hAnsi="仿宋" w:eastAsia="仿宋" w:cs="仿宋"/>
                <w:b/>
                <w:bCs/>
                <w:kern w:val="0"/>
                <w:sz w:val="24"/>
                <w:szCs w:val="24"/>
                <w:highlight w:val="none"/>
                <w:lang w:val="en-US" w:eastAsia="zh-CN"/>
              </w:rPr>
            </w:pPr>
            <w:r>
              <w:rPr>
                <w:rFonts w:hint="eastAsia" w:ascii="仿宋" w:hAnsi="仿宋" w:eastAsia="仿宋" w:cs="仿宋"/>
                <w:b/>
                <w:bCs/>
                <w:kern w:val="0"/>
                <w:sz w:val="24"/>
                <w:szCs w:val="24"/>
                <w:highlight w:val="none"/>
                <w:lang w:val="en-US" w:eastAsia="zh-CN"/>
              </w:rPr>
              <w:t>决策</w:t>
            </w:r>
          </w:p>
        </w:tc>
        <w:tc>
          <w:tcPr>
            <w:tcW w:w="829" w:type="pct"/>
            <w:shd w:val="clear" w:color="auto" w:fill="B3B3B3"/>
            <w:vAlign w:val="center"/>
          </w:tcPr>
          <w:p>
            <w:pPr>
              <w:widowControl/>
              <w:snapToGrid w:val="0"/>
              <w:spacing w:line="0" w:lineRule="atLeast"/>
              <w:jc w:val="center"/>
              <w:rPr>
                <w:rFonts w:ascii="仿宋" w:hAnsi="仿宋" w:eastAsia="仿宋" w:cs="仿宋"/>
                <w:b/>
                <w:bCs/>
                <w:kern w:val="0"/>
                <w:sz w:val="24"/>
                <w:szCs w:val="24"/>
                <w:highlight w:val="none"/>
                <w:lang w:val="zh-TW"/>
              </w:rPr>
            </w:pPr>
            <w:r>
              <w:rPr>
                <w:rFonts w:hint="eastAsia" w:ascii="仿宋" w:hAnsi="仿宋" w:eastAsia="仿宋" w:cs="仿宋"/>
                <w:b/>
                <w:bCs/>
                <w:kern w:val="0"/>
                <w:sz w:val="24"/>
                <w:szCs w:val="24"/>
                <w:highlight w:val="none"/>
                <w:lang w:val="zh-TW"/>
              </w:rPr>
              <w:t>过程</w:t>
            </w:r>
          </w:p>
        </w:tc>
        <w:tc>
          <w:tcPr>
            <w:tcW w:w="829" w:type="pct"/>
            <w:shd w:val="clear" w:color="auto" w:fill="B3B3B3"/>
            <w:vAlign w:val="center"/>
          </w:tcPr>
          <w:p>
            <w:pPr>
              <w:widowControl/>
              <w:snapToGrid w:val="0"/>
              <w:spacing w:line="0" w:lineRule="atLeast"/>
              <w:jc w:val="center"/>
              <w:rPr>
                <w:rFonts w:ascii="仿宋" w:hAnsi="仿宋" w:eastAsia="仿宋" w:cs="仿宋"/>
                <w:b/>
                <w:bCs/>
                <w:kern w:val="0"/>
                <w:sz w:val="24"/>
                <w:szCs w:val="24"/>
                <w:highlight w:val="none"/>
                <w:lang w:val="zh-TW"/>
              </w:rPr>
            </w:pPr>
            <w:r>
              <w:rPr>
                <w:rFonts w:hint="eastAsia" w:ascii="仿宋" w:hAnsi="仿宋" w:eastAsia="仿宋" w:cs="仿宋"/>
                <w:b/>
                <w:bCs/>
                <w:kern w:val="0"/>
                <w:sz w:val="24"/>
                <w:szCs w:val="24"/>
                <w:highlight w:val="none"/>
                <w:lang w:val="zh-TW"/>
              </w:rPr>
              <w:t>产出</w:t>
            </w:r>
          </w:p>
        </w:tc>
        <w:tc>
          <w:tcPr>
            <w:tcW w:w="829" w:type="pct"/>
            <w:shd w:val="clear" w:color="auto" w:fill="B3B3B3"/>
            <w:vAlign w:val="center"/>
          </w:tcPr>
          <w:p>
            <w:pPr>
              <w:widowControl/>
              <w:snapToGrid w:val="0"/>
              <w:spacing w:line="0" w:lineRule="atLeast"/>
              <w:jc w:val="center"/>
              <w:rPr>
                <w:rFonts w:ascii="仿宋" w:hAnsi="仿宋" w:eastAsia="仿宋" w:cs="仿宋"/>
                <w:b/>
                <w:bCs/>
                <w:kern w:val="0"/>
                <w:sz w:val="24"/>
                <w:szCs w:val="24"/>
                <w:highlight w:val="none"/>
                <w:lang w:val="zh-TW"/>
              </w:rPr>
            </w:pPr>
            <w:r>
              <w:rPr>
                <w:rFonts w:hint="eastAsia" w:ascii="仿宋" w:hAnsi="仿宋" w:eastAsia="仿宋" w:cs="仿宋"/>
                <w:b/>
                <w:bCs/>
                <w:kern w:val="0"/>
                <w:sz w:val="24"/>
                <w:szCs w:val="24"/>
                <w:highlight w:val="none"/>
                <w:lang w:val="zh-TW"/>
              </w:rPr>
              <w:t>效益</w:t>
            </w:r>
          </w:p>
        </w:tc>
        <w:tc>
          <w:tcPr>
            <w:tcW w:w="829" w:type="pct"/>
            <w:shd w:val="clear" w:color="auto" w:fill="B3B3B3"/>
            <w:vAlign w:val="center"/>
          </w:tcPr>
          <w:p>
            <w:pPr>
              <w:widowControl/>
              <w:snapToGrid w:val="0"/>
              <w:spacing w:line="0" w:lineRule="atLeast"/>
              <w:jc w:val="center"/>
              <w:rPr>
                <w:rFonts w:ascii="仿宋" w:hAnsi="仿宋" w:eastAsia="仿宋" w:cs="仿宋"/>
                <w:b/>
                <w:bCs/>
                <w:kern w:val="0"/>
                <w:sz w:val="24"/>
                <w:szCs w:val="24"/>
                <w:highlight w:val="none"/>
                <w:lang w:val="zh-TW" w:eastAsia="zh-TW"/>
              </w:rPr>
            </w:pPr>
            <w:r>
              <w:rPr>
                <w:rFonts w:hint="eastAsia" w:ascii="仿宋" w:hAnsi="仿宋" w:eastAsia="仿宋" w:cs="仿宋"/>
                <w:b/>
                <w:bCs/>
                <w:kern w:val="0"/>
                <w:sz w:val="24"/>
                <w:szCs w:val="24"/>
                <w:highlight w:val="none"/>
                <w:lang w:val="zh-TW" w:eastAsia="zh-TW"/>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3" w:type="pct"/>
            <w:vAlign w:val="center"/>
          </w:tcPr>
          <w:p>
            <w:pPr>
              <w:widowControl/>
              <w:snapToGrid w:val="0"/>
              <w:spacing w:line="0" w:lineRule="atLeast"/>
              <w:jc w:val="center"/>
              <w:rPr>
                <w:rFonts w:ascii="仿宋" w:hAnsi="仿宋" w:eastAsia="仿宋" w:cs="仿宋"/>
                <w:sz w:val="24"/>
                <w:szCs w:val="24"/>
                <w:highlight w:val="none"/>
              </w:rPr>
            </w:pPr>
            <w:r>
              <w:rPr>
                <w:rFonts w:hint="eastAsia" w:ascii="仿宋" w:hAnsi="仿宋" w:eastAsia="仿宋" w:cs="仿宋"/>
                <w:b/>
                <w:bCs/>
                <w:kern w:val="0"/>
                <w:sz w:val="24"/>
                <w:szCs w:val="24"/>
                <w:highlight w:val="none"/>
                <w:lang w:val="zh-TW" w:eastAsia="zh-TW"/>
              </w:rPr>
              <w:t>权重</w:t>
            </w:r>
          </w:p>
        </w:tc>
        <w:tc>
          <w:tcPr>
            <w:tcW w:w="1600"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10.00</w:t>
            </w:r>
          </w:p>
        </w:tc>
        <w:tc>
          <w:tcPr>
            <w:tcW w:w="1413"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30.00</w:t>
            </w:r>
          </w:p>
        </w:tc>
        <w:tc>
          <w:tcPr>
            <w:tcW w:w="1413"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30.00</w:t>
            </w:r>
          </w:p>
        </w:tc>
        <w:tc>
          <w:tcPr>
            <w:tcW w:w="1413"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30.00</w:t>
            </w:r>
          </w:p>
        </w:tc>
        <w:tc>
          <w:tcPr>
            <w:tcW w:w="1414"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3" w:type="pct"/>
            <w:vAlign w:val="center"/>
          </w:tcPr>
          <w:p>
            <w:pPr>
              <w:widowControl/>
              <w:snapToGrid w:val="0"/>
              <w:spacing w:line="0" w:lineRule="atLeast"/>
              <w:jc w:val="center"/>
              <w:rPr>
                <w:rFonts w:ascii="仿宋" w:hAnsi="仿宋" w:eastAsia="仿宋" w:cs="仿宋"/>
                <w:sz w:val="24"/>
                <w:szCs w:val="24"/>
                <w:highlight w:val="none"/>
              </w:rPr>
            </w:pPr>
            <w:r>
              <w:rPr>
                <w:rFonts w:hint="eastAsia" w:ascii="仿宋" w:hAnsi="仿宋" w:eastAsia="仿宋" w:cs="仿宋"/>
                <w:b/>
                <w:bCs/>
                <w:kern w:val="0"/>
                <w:sz w:val="24"/>
                <w:szCs w:val="24"/>
                <w:highlight w:val="none"/>
                <w:lang w:val="zh-TW" w:eastAsia="zh-TW"/>
              </w:rPr>
              <w:t>分值</w:t>
            </w:r>
          </w:p>
        </w:tc>
        <w:tc>
          <w:tcPr>
            <w:tcW w:w="1600"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7.00</w:t>
            </w:r>
          </w:p>
        </w:tc>
        <w:tc>
          <w:tcPr>
            <w:tcW w:w="1413"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24.66</w:t>
            </w:r>
          </w:p>
        </w:tc>
        <w:tc>
          <w:tcPr>
            <w:tcW w:w="1413"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23.30</w:t>
            </w:r>
          </w:p>
        </w:tc>
        <w:tc>
          <w:tcPr>
            <w:tcW w:w="1413"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27.19</w:t>
            </w:r>
          </w:p>
        </w:tc>
        <w:tc>
          <w:tcPr>
            <w:tcW w:w="1414"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3" w:type="pct"/>
            <w:vAlign w:val="center"/>
          </w:tcPr>
          <w:p>
            <w:pPr>
              <w:widowControl/>
              <w:snapToGrid w:val="0"/>
              <w:spacing w:line="0" w:lineRule="atLeast"/>
              <w:jc w:val="center"/>
              <w:rPr>
                <w:rFonts w:ascii="仿宋" w:hAnsi="仿宋" w:eastAsia="仿宋" w:cs="仿宋"/>
                <w:sz w:val="24"/>
                <w:szCs w:val="24"/>
                <w:highlight w:val="none"/>
              </w:rPr>
            </w:pPr>
            <w:r>
              <w:rPr>
                <w:rFonts w:hint="eastAsia" w:ascii="仿宋" w:hAnsi="仿宋" w:eastAsia="仿宋" w:cs="仿宋"/>
                <w:b/>
                <w:bCs/>
                <w:kern w:val="0"/>
                <w:sz w:val="24"/>
                <w:szCs w:val="24"/>
                <w:highlight w:val="none"/>
                <w:lang w:val="zh-TW" w:eastAsia="zh-TW"/>
              </w:rPr>
              <w:t>得分率</w:t>
            </w:r>
          </w:p>
        </w:tc>
        <w:tc>
          <w:tcPr>
            <w:tcW w:w="1600"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70.00%</w:t>
            </w:r>
          </w:p>
        </w:tc>
        <w:tc>
          <w:tcPr>
            <w:tcW w:w="1413"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82.20%</w:t>
            </w:r>
          </w:p>
        </w:tc>
        <w:tc>
          <w:tcPr>
            <w:tcW w:w="1413"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77.67%</w:t>
            </w:r>
          </w:p>
        </w:tc>
        <w:tc>
          <w:tcPr>
            <w:tcW w:w="1413"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90.63%</w:t>
            </w:r>
          </w:p>
        </w:tc>
        <w:tc>
          <w:tcPr>
            <w:tcW w:w="1414" w:type="dxa"/>
            <w:vAlign w:val="center"/>
          </w:tcPr>
          <w:p>
            <w:pPr>
              <w:widowControl/>
              <w:snapToGrid w:val="0"/>
              <w:spacing w:line="0" w:lineRule="atLeast"/>
              <w:ind w:right="189" w:rightChars="9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82.15%</w:t>
            </w: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仿宋" w:hAnsi="仿宋" w:eastAsia="仿宋" w:cs="仿宋"/>
          <w:b/>
          <w:sz w:val="28"/>
          <w:szCs w:val="28"/>
          <w:highlight w:val="none"/>
          <w:lang w:val="en-US" w:eastAsia="zh-CN"/>
        </w:rPr>
      </w:pPr>
      <w:bookmarkStart w:id="162" w:name="_Toc31396"/>
      <w:bookmarkStart w:id="163" w:name="_Toc4000"/>
      <w:r>
        <w:rPr>
          <w:rFonts w:hint="default" w:ascii="仿宋" w:hAnsi="仿宋" w:eastAsia="仿宋" w:cs="仿宋"/>
          <w:b/>
          <w:sz w:val="28"/>
          <w:szCs w:val="28"/>
          <w:highlight w:val="none"/>
          <w:lang w:val="en-US" w:eastAsia="zh-CN"/>
        </w:rPr>
        <w:t>（二）评价结论</w:t>
      </w:r>
      <w:bookmarkEnd w:id="162"/>
      <w:bookmarkEnd w:id="163"/>
    </w:p>
    <w:p>
      <w:pPr>
        <w:numPr>
          <w:ilvl w:val="0"/>
          <w:numId w:val="0"/>
        </w:numPr>
        <w:adjustRightInd w:val="0"/>
        <w:snapToGrid w:val="0"/>
        <w:spacing w:line="560" w:lineRule="exact"/>
        <w:ind w:firstLine="560" w:firstLineChars="200"/>
        <w:outlineLvl w:val="9"/>
        <w:rPr>
          <w:rFonts w:hint="eastAsia" w:ascii="仿宋" w:hAnsi="仿宋" w:eastAsia="仿宋" w:cs="仿宋"/>
          <w:kern w:val="0"/>
          <w:sz w:val="28"/>
          <w:szCs w:val="28"/>
          <w:highlight w:val="none"/>
          <w:lang w:val="en-US" w:eastAsia="zh-CN" w:bidi="ar-SA"/>
        </w:rPr>
      </w:pPr>
      <w:bookmarkStart w:id="164" w:name="_Toc4845"/>
      <w:bookmarkStart w:id="165" w:name="_Toc31985"/>
      <w:bookmarkStart w:id="166" w:name="_Toc21037"/>
      <w:r>
        <w:rPr>
          <w:rFonts w:hint="default" w:ascii="仿宋" w:hAnsi="仿宋" w:eastAsia="仿宋" w:cs="仿宋"/>
          <w:kern w:val="0"/>
          <w:sz w:val="28"/>
          <w:szCs w:val="28"/>
          <w:highlight w:val="none"/>
          <w:lang w:val="en-US" w:eastAsia="zh-CN" w:bidi="ar-SA"/>
        </w:rPr>
        <w:t>经过对</w:t>
      </w:r>
      <w:r>
        <w:rPr>
          <w:rFonts w:hint="eastAsia" w:ascii="仿宋" w:hAnsi="仿宋" w:eastAsia="仿宋" w:cs="仿宋"/>
          <w:sz w:val="28"/>
          <w:szCs w:val="28"/>
          <w:highlight w:val="none"/>
          <w:lang w:val="en-US" w:eastAsia="zh-CN"/>
        </w:rPr>
        <w:t>2021年永济市疫情防控资金</w:t>
      </w:r>
      <w:r>
        <w:rPr>
          <w:rFonts w:hint="default" w:ascii="仿宋" w:hAnsi="仿宋" w:eastAsia="仿宋" w:cs="仿宋"/>
          <w:kern w:val="0"/>
          <w:sz w:val="28"/>
          <w:szCs w:val="28"/>
          <w:highlight w:val="none"/>
          <w:lang w:val="en-US" w:eastAsia="zh-CN" w:bidi="ar-SA"/>
        </w:rPr>
        <w:t>的决策、过程、产出和效益的综合评价，得出以下结论</w:t>
      </w:r>
      <w:r>
        <w:rPr>
          <w:rFonts w:hint="eastAsia" w:ascii="仿宋" w:hAnsi="仿宋" w:eastAsia="仿宋" w:cs="仿宋"/>
          <w:kern w:val="0"/>
          <w:sz w:val="28"/>
          <w:szCs w:val="28"/>
          <w:highlight w:val="none"/>
          <w:lang w:val="en-US" w:eastAsia="zh-CN" w:bidi="ar-SA"/>
        </w:rPr>
        <w:t>：</w:t>
      </w:r>
    </w:p>
    <w:p>
      <w:pPr>
        <w:numPr>
          <w:ilvl w:val="0"/>
          <w:numId w:val="0"/>
        </w:numPr>
        <w:adjustRightInd w:val="0"/>
        <w:snapToGrid w:val="0"/>
        <w:spacing w:line="560" w:lineRule="exact"/>
        <w:ind w:firstLine="560" w:firstLineChars="200"/>
        <w:outlineLvl w:val="9"/>
        <w:rPr>
          <w:rFonts w:hint="eastAsia" w:ascii="仿宋" w:hAnsi="仿宋" w:eastAsia="仿宋" w:cs="仿宋"/>
          <w:b w:val="0"/>
          <w:bCs/>
          <w:sz w:val="28"/>
          <w:szCs w:val="28"/>
          <w:highlight w:val="none"/>
          <w:lang w:val="en-US" w:eastAsia="zh-CN"/>
        </w:rPr>
      </w:pPr>
      <w:r>
        <w:rPr>
          <w:rFonts w:hint="eastAsia" w:ascii="仿宋" w:hAnsi="仿宋" w:eastAsia="仿宋" w:cs="仿宋"/>
          <w:b w:val="0"/>
          <w:bCs/>
          <w:kern w:val="2"/>
          <w:sz w:val="28"/>
          <w:szCs w:val="28"/>
          <w:highlight w:val="none"/>
          <w:lang w:val="en-US" w:eastAsia="zh-CN" w:bidi="ar-SA"/>
        </w:rPr>
        <w:t>1.项目决策类指标得分情况不佳，虽然项目决策依据充分，符合国家疫情联防联控工作组及相关政策要求，相关绩效目标符合疫情防控的总体要求，并且绩效指标清晰、可量化；但是，资金在投入过程中预算编制不科学，主要体现在隔离点酒店租赁费按照满住的标准进行付费，未考虑隔离酒店的实际入住率；其次，核酸检测补助</w:t>
      </w:r>
      <w:r>
        <w:rPr>
          <w:rFonts w:hint="eastAsia" w:ascii="仿宋" w:hAnsi="仿宋" w:eastAsia="仿宋" w:cs="仿宋"/>
          <w:sz w:val="28"/>
          <w:szCs w:val="28"/>
          <w:highlight w:val="none"/>
          <w:lang w:val="en-US" w:eastAsia="zh-CN"/>
        </w:rPr>
        <w:t>预算额度测算依据不充分，未能考虑免费核酸检测的准确人次、各个期间核酸检测的收费标准等；最后，全员核酸检测补助款各医院分配不合理，补助成本存在差异</w:t>
      </w:r>
      <w:r>
        <w:rPr>
          <w:rFonts w:hint="eastAsia" w:ascii="仿宋" w:hAnsi="仿宋" w:eastAsia="仿宋" w:cs="仿宋"/>
          <w:b w:val="0"/>
          <w:bCs/>
          <w:sz w:val="28"/>
          <w:szCs w:val="28"/>
          <w:highlight w:val="none"/>
          <w:lang w:val="en-US" w:eastAsia="zh-CN"/>
        </w:rPr>
        <w:t>。</w:t>
      </w:r>
    </w:p>
    <w:p>
      <w:pPr>
        <w:numPr>
          <w:ilvl w:val="0"/>
          <w:numId w:val="0"/>
        </w:numPr>
        <w:adjustRightInd w:val="0"/>
        <w:snapToGrid w:val="0"/>
        <w:spacing w:line="560" w:lineRule="exact"/>
        <w:ind w:firstLine="560" w:firstLineChars="200"/>
        <w:outlineLvl w:val="9"/>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项目过程类指标共分为两部分，首先是资金管理方面，资金到位情况和执行情况较为良好，但是在资金使用过程中存在个别单位的资金支出超出疫情防控范畴，进入实有账户的资金未能做到单独核算；其次，在组织实施过程中基本能够做到按照相关要求执行疫情防控的各项工作，但是相关资料保管不善、记录不完整，例如：2021年免费核酸检测人员名单未能汇总整理，隔离点隔离期间消杀记录、体温监测等相关记录不完整，隔离人员信息未进行汇总登记，隔离点隔离期间个别记录丢失，管理散乱。</w:t>
      </w:r>
    </w:p>
    <w:p>
      <w:pPr>
        <w:numPr>
          <w:ilvl w:val="0"/>
          <w:numId w:val="0"/>
        </w:numPr>
        <w:shd w:val="clear"/>
        <w:adjustRightInd w:val="0"/>
        <w:snapToGrid w:val="0"/>
        <w:spacing w:line="560" w:lineRule="exact"/>
        <w:ind w:firstLine="560" w:firstLineChars="200"/>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3.各项目单位按照计划的要求完成4个核酸实验室，1个发热门诊的建设工程，并且能够满足5-7日内完成一轮常住人口的核酸检测要求；完成23个接种点的接种设施配置，顺利开展疫苗接种等工作。但是隔离点在运行过程中管理不到位，首先，经调查隔离期间存在自费隔离人员，但是未能准确登记，将自费和免费人员进行区分；其次，隔离期间环境清洁不到位，导致多位隔离人员反映环境较差，无人清理垃圾，隔离感受并不良好；此外，隔离酒店租金结算不合理，例如：滨河假日酒店的入住率在2021年后半年仅为38%，却按照100%的租赁费缴纳房租，免费核酸检测人员名单不准确就发放核酸检测补助，产出成本控制不良，造成财政资金浪费或缺乏依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kern w:val="0"/>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4.通过广大医务工作者及防控工作人员辛苦地工作，促进核酸检测顺利进行、疫苗接种率的不断上升以及公共环境的健康，保障了人民群众生命安全和身体健康，但是由于隔离酒店消杀处理不全面，影响了附近居民及被隔离人员的安全，导致群众满意度不高。</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560" w:lineRule="exact"/>
        <w:ind w:right="0" w:rightChars="0" w:firstLine="562" w:firstLineChars="200"/>
        <w:jc w:val="both"/>
        <w:textAlignment w:val="auto"/>
        <w:outlineLvl w:val="0"/>
        <w:rPr>
          <w:rFonts w:hint="eastAsia" w:ascii="仿宋" w:hAnsi="仿宋" w:eastAsia="仿宋" w:cs="仿宋"/>
          <w:b/>
          <w:bCs w:val="0"/>
          <w:color w:val="000000"/>
          <w:sz w:val="28"/>
          <w:szCs w:val="28"/>
          <w:highlight w:val="none"/>
          <w:lang w:val="en-US" w:eastAsia="zh-CN"/>
        </w:rPr>
      </w:pPr>
      <w:r>
        <w:rPr>
          <w:rFonts w:hint="eastAsia" w:ascii="仿宋" w:hAnsi="仿宋" w:eastAsia="仿宋" w:cs="仿宋"/>
          <w:b/>
          <w:bCs w:val="0"/>
          <w:color w:val="000000"/>
          <w:sz w:val="28"/>
          <w:szCs w:val="28"/>
          <w:highlight w:val="none"/>
          <w:lang w:val="en-US" w:eastAsia="zh-CN"/>
        </w:rPr>
        <w:t>四、绩效评价指标分析情况</w:t>
      </w:r>
      <w:bookmarkEnd w:id="164"/>
      <w:bookmarkEnd w:id="165"/>
      <w:bookmarkEnd w:id="166"/>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val="0"/>
          <w:color w:val="000000"/>
          <w:sz w:val="28"/>
          <w:szCs w:val="28"/>
          <w:highlight w:val="none"/>
          <w:lang w:val="en-US" w:eastAsia="zh-CN"/>
        </w:rPr>
      </w:pPr>
      <w:bookmarkStart w:id="167" w:name="_Toc30127"/>
      <w:bookmarkStart w:id="168" w:name="_Toc23250"/>
      <w:bookmarkStart w:id="169" w:name="_Toc30636"/>
      <w:bookmarkStart w:id="170" w:name="_Toc2092"/>
      <w:r>
        <w:rPr>
          <w:rFonts w:hint="eastAsia" w:ascii="仿宋" w:hAnsi="仿宋" w:eastAsia="仿宋" w:cs="仿宋"/>
          <w:b/>
          <w:bCs w:val="0"/>
          <w:color w:val="000000"/>
          <w:sz w:val="28"/>
          <w:szCs w:val="28"/>
          <w:highlight w:val="none"/>
          <w:lang w:val="en-US" w:eastAsia="zh-CN"/>
        </w:rPr>
        <w:t>（一）决策情况分析</w:t>
      </w:r>
      <w:bookmarkEnd w:id="167"/>
      <w:bookmarkEnd w:id="168"/>
      <w:bookmarkEnd w:id="169"/>
      <w:bookmarkEnd w:id="17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仿宋" w:hAnsi="仿宋" w:eastAsia="仿宋" w:cs="仿宋"/>
          <w:sz w:val="28"/>
          <w:szCs w:val="28"/>
          <w:highlight w:val="none"/>
        </w:rPr>
      </w:pPr>
      <w:bookmarkStart w:id="171" w:name="_Toc19970"/>
      <w:bookmarkStart w:id="172" w:name="_Toc1963"/>
      <w:bookmarkStart w:id="173" w:name="_Toc7330"/>
      <w:r>
        <w:rPr>
          <w:rFonts w:hint="eastAsia" w:ascii="仿宋" w:hAnsi="仿宋" w:eastAsia="仿宋" w:cs="仿宋"/>
          <w:sz w:val="28"/>
          <w:szCs w:val="28"/>
          <w:highlight w:val="none"/>
          <w:lang w:val="en-US" w:eastAsia="zh-CN"/>
        </w:rPr>
        <w:t>决策</w:t>
      </w:r>
      <w:r>
        <w:rPr>
          <w:rFonts w:hint="eastAsia" w:ascii="仿宋" w:hAnsi="仿宋" w:eastAsia="仿宋" w:cs="仿宋"/>
          <w:sz w:val="28"/>
          <w:szCs w:val="28"/>
          <w:highlight w:val="none"/>
        </w:rPr>
        <w:t>情况</w:t>
      </w:r>
      <w:r>
        <w:rPr>
          <w:rFonts w:ascii="仿宋" w:hAnsi="仿宋" w:eastAsia="仿宋" w:cs="仿宋"/>
          <w:sz w:val="28"/>
          <w:szCs w:val="28"/>
          <w:highlight w:val="none"/>
        </w:rPr>
        <w:t>分别从</w:t>
      </w:r>
      <w:r>
        <w:rPr>
          <w:rFonts w:hint="eastAsia" w:ascii="仿宋" w:hAnsi="仿宋" w:eastAsia="仿宋" w:cs="仿宋"/>
          <w:sz w:val="28"/>
          <w:szCs w:val="28"/>
          <w:highlight w:val="none"/>
          <w:lang w:val="en-US" w:eastAsia="zh-CN"/>
        </w:rPr>
        <w:t>项目决策、绩效目标、资金投入三个</w:t>
      </w:r>
      <w:r>
        <w:rPr>
          <w:rFonts w:hint="eastAsia" w:ascii="仿宋" w:hAnsi="仿宋" w:eastAsia="仿宋" w:cs="仿宋"/>
          <w:sz w:val="28"/>
          <w:szCs w:val="28"/>
          <w:highlight w:val="none"/>
        </w:rPr>
        <w:t>方面进行</w:t>
      </w:r>
      <w:r>
        <w:rPr>
          <w:rFonts w:hint="eastAsia" w:ascii="仿宋" w:hAnsi="仿宋" w:eastAsia="仿宋" w:cs="仿宋"/>
          <w:sz w:val="28"/>
          <w:szCs w:val="28"/>
          <w:highlight w:val="none"/>
          <w:lang w:val="en-US" w:eastAsia="zh-CN"/>
        </w:rPr>
        <w:t>分析</w:t>
      </w:r>
      <w:r>
        <w:rPr>
          <w:rFonts w:hint="eastAsia" w:ascii="仿宋" w:hAnsi="仿宋" w:eastAsia="仿宋" w:cs="仿宋"/>
          <w:sz w:val="28"/>
          <w:szCs w:val="28"/>
          <w:highlight w:val="none"/>
        </w:rPr>
        <w:t>，共设置</w:t>
      </w: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rPr>
        <w:t>个二级指标</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个三级指标</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决策类分值10</w:t>
      </w:r>
      <w:r>
        <w:rPr>
          <w:rFonts w:hint="eastAsia" w:ascii="仿宋" w:hAnsi="仿宋" w:eastAsia="仿宋" w:cs="仿宋"/>
          <w:sz w:val="28"/>
          <w:szCs w:val="28"/>
          <w:highlight w:val="none"/>
        </w:rPr>
        <w:t>分，实际得分</w:t>
      </w:r>
      <w:r>
        <w:rPr>
          <w:rFonts w:hint="eastAsia" w:ascii="仿宋" w:hAnsi="仿宋" w:eastAsia="仿宋" w:cs="仿宋"/>
          <w:sz w:val="28"/>
          <w:szCs w:val="28"/>
          <w:highlight w:val="none"/>
          <w:lang w:val="en-US" w:eastAsia="zh-CN"/>
        </w:rPr>
        <w:t>7.00</w:t>
      </w:r>
      <w:r>
        <w:rPr>
          <w:rFonts w:hint="eastAsia" w:ascii="仿宋" w:hAnsi="仿宋" w:eastAsia="仿宋" w:cs="仿宋"/>
          <w:sz w:val="28"/>
          <w:szCs w:val="28"/>
          <w:highlight w:val="none"/>
        </w:rPr>
        <w:t>分，得分率</w:t>
      </w:r>
      <w:r>
        <w:rPr>
          <w:rFonts w:hint="eastAsia" w:ascii="仿宋" w:hAnsi="仿宋" w:eastAsia="仿宋" w:cs="仿宋"/>
          <w:sz w:val="28"/>
          <w:szCs w:val="28"/>
          <w:highlight w:val="none"/>
          <w:lang w:val="en-US" w:eastAsia="zh-CN"/>
        </w:rPr>
        <w:t>70</w:t>
      </w:r>
      <w:r>
        <w:rPr>
          <w:rFonts w:ascii="仿宋" w:hAnsi="仿宋" w:eastAsia="仿宋" w:cs="仿宋"/>
          <w:sz w:val="28"/>
          <w:szCs w:val="28"/>
          <w:highlight w:val="none"/>
        </w:rPr>
        <w:t>%</w:t>
      </w:r>
      <w:r>
        <w:rPr>
          <w:rFonts w:hint="eastAsia" w:ascii="仿宋" w:hAnsi="仿宋" w:eastAsia="仿宋" w:cs="仿宋"/>
          <w:sz w:val="28"/>
          <w:szCs w:val="28"/>
          <w:highlight w:val="none"/>
        </w:rPr>
        <w:t>。各分项指标得分及绩效分析如下：</w:t>
      </w:r>
      <w:bookmarkEnd w:id="171"/>
      <w:bookmarkEnd w:id="172"/>
      <w:bookmarkEnd w:id="173"/>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ascii="仿宋" w:hAnsi="仿宋" w:eastAsia="仿宋" w:cs="仿宋"/>
          <w:b/>
          <w:sz w:val="28"/>
          <w:szCs w:val="28"/>
          <w:highlight w:val="none"/>
        </w:rPr>
      </w:pPr>
      <w:bookmarkStart w:id="174" w:name="_Toc7017"/>
      <w:bookmarkStart w:id="175" w:name="_Toc32200"/>
      <w:bookmarkStart w:id="176" w:name="_Toc16117"/>
      <w:bookmarkStart w:id="177" w:name="_Toc9605"/>
      <w:r>
        <w:rPr>
          <w:rFonts w:hint="eastAsia" w:ascii="仿宋" w:hAnsi="仿宋" w:eastAsia="仿宋" w:cs="仿宋"/>
          <w:b/>
          <w:sz w:val="28"/>
          <w:szCs w:val="28"/>
          <w:highlight w:val="none"/>
        </w:rPr>
        <w:t>表</w:t>
      </w:r>
      <w:r>
        <w:rPr>
          <w:rFonts w:hint="eastAsia" w:ascii="仿宋" w:hAnsi="仿宋" w:eastAsia="仿宋" w:cs="仿宋"/>
          <w:b/>
          <w:sz w:val="28"/>
          <w:szCs w:val="28"/>
          <w:highlight w:val="none"/>
          <w:lang w:val="en-US" w:eastAsia="zh-CN"/>
        </w:rPr>
        <w:t>4</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1</w:t>
      </w:r>
      <w:r>
        <w:rPr>
          <w:rFonts w:ascii="仿宋" w:hAnsi="仿宋" w:eastAsia="仿宋" w:cs="仿宋"/>
          <w:b/>
          <w:sz w:val="28"/>
          <w:szCs w:val="28"/>
          <w:highlight w:val="none"/>
        </w:rPr>
        <w:t xml:space="preserve"> </w:t>
      </w:r>
      <w:r>
        <w:rPr>
          <w:rFonts w:hint="eastAsia" w:ascii="仿宋" w:hAnsi="仿宋" w:eastAsia="仿宋" w:cs="仿宋"/>
          <w:b/>
          <w:sz w:val="28"/>
          <w:szCs w:val="28"/>
          <w:highlight w:val="none"/>
          <w:lang w:val="en-US" w:eastAsia="zh-CN"/>
        </w:rPr>
        <w:t>决策</w:t>
      </w:r>
      <w:r>
        <w:rPr>
          <w:rFonts w:hint="eastAsia" w:ascii="仿宋" w:hAnsi="仿宋" w:eastAsia="仿宋" w:cs="仿宋"/>
          <w:b/>
          <w:sz w:val="28"/>
          <w:szCs w:val="28"/>
          <w:highlight w:val="none"/>
        </w:rPr>
        <w:t>类指标得分情况</w:t>
      </w:r>
      <w:bookmarkEnd w:id="174"/>
      <w:bookmarkEnd w:id="175"/>
      <w:bookmarkEnd w:id="176"/>
      <w:bookmarkEnd w:id="177"/>
    </w:p>
    <w:tbl>
      <w:tblPr>
        <w:tblStyle w:val="11"/>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4253"/>
        <w:gridCol w:w="1169"/>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1688" w:type="dxa"/>
            <w:shd w:val="clear" w:color="auto" w:fill="BEBEBE" w:themeFill="background1" w:themeFillShade="BF"/>
            <w:vAlign w:val="center"/>
          </w:tcPr>
          <w:p>
            <w:pPr>
              <w:jc w:val="center"/>
              <w:rPr>
                <w:rFonts w:ascii="仿宋" w:hAnsi="仿宋" w:eastAsia="仿宋" w:cs="仿宋"/>
                <w:b/>
                <w:bCs/>
                <w:sz w:val="24"/>
                <w:highlight w:val="none"/>
              </w:rPr>
            </w:pPr>
            <w:r>
              <w:rPr>
                <w:rFonts w:hint="eastAsia" w:ascii="仿宋" w:hAnsi="仿宋" w:eastAsia="仿宋" w:cs="仿宋"/>
                <w:b/>
                <w:bCs/>
                <w:sz w:val="24"/>
                <w:highlight w:val="none"/>
              </w:rPr>
              <w:t>二级指标</w:t>
            </w:r>
          </w:p>
        </w:tc>
        <w:tc>
          <w:tcPr>
            <w:tcW w:w="4253" w:type="dxa"/>
            <w:shd w:val="clear" w:color="auto" w:fill="BEBEBE" w:themeFill="background1" w:themeFillShade="BF"/>
            <w:vAlign w:val="center"/>
          </w:tcPr>
          <w:p>
            <w:pPr>
              <w:jc w:val="center"/>
              <w:rPr>
                <w:rFonts w:ascii="仿宋" w:hAnsi="仿宋" w:eastAsia="仿宋" w:cs="仿宋"/>
                <w:b/>
                <w:bCs/>
                <w:sz w:val="24"/>
                <w:highlight w:val="none"/>
              </w:rPr>
            </w:pPr>
            <w:r>
              <w:rPr>
                <w:rFonts w:hint="eastAsia" w:ascii="仿宋" w:hAnsi="仿宋" w:eastAsia="仿宋" w:cs="仿宋"/>
                <w:b/>
                <w:bCs/>
                <w:sz w:val="24"/>
                <w:highlight w:val="none"/>
              </w:rPr>
              <w:t>三级指标</w:t>
            </w:r>
          </w:p>
        </w:tc>
        <w:tc>
          <w:tcPr>
            <w:tcW w:w="1169" w:type="dxa"/>
            <w:shd w:val="clear" w:color="auto" w:fill="BEBEBE" w:themeFill="background1" w:themeFillShade="BF"/>
            <w:vAlign w:val="center"/>
          </w:tcPr>
          <w:p>
            <w:pPr>
              <w:jc w:val="center"/>
              <w:rPr>
                <w:rFonts w:ascii="仿宋" w:hAnsi="仿宋" w:eastAsia="仿宋" w:cs="仿宋"/>
                <w:b/>
                <w:bCs/>
                <w:sz w:val="24"/>
                <w:highlight w:val="none"/>
              </w:rPr>
            </w:pPr>
            <w:r>
              <w:rPr>
                <w:rFonts w:hint="eastAsia" w:ascii="仿宋" w:hAnsi="仿宋" w:eastAsia="仿宋" w:cs="仿宋"/>
                <w:b/>
                <w:bCs/>
                <w:sz w:val="24"/>
                <w:highlight w:val="none"/>
              </w:rPr>
              <w:t>权重</w:t>
            </w:r>
          </w:p>
        </w:tc>
        <w:tc>
          <w:tcPr>
            <w:tcW w:w="1170" w:type="dxa"/>
            <w:shd w:val="clear" w:color="auto" w:fill="BEBEBE" w:themeFill="background1" w:themeFillShade="BF"/>
            <w:vAlign w:val="center"/>
          </w:tcPr>
          <w:p>
            <w:pPr>
              <w:jc w:val="center"/>
              <w:rPr>
                <w:rFonts w:ascii="仿宋" w:hAnsi="仿宋" w:eastAsia="仿宋" w:cs="仿宋"/>
                <w:b/>
                <w:bCs/>
                <w:sz w:val="24"/>
                <w:highlight w:val="none"/>
              </w:rPr>
            </w:pPr>
            <w:r>
              <w:rPr>
                <w:rFonts w:hint="eastAsia" w:ascii="仿宋" w:hAnsi="仿宋" w:eastAsia="仿宋" w:cs="仿宋"/>
                <w:b/>
                <w:bCs/>
                <w:sz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exact"/>
          <w:jc w:val="center"/>
        </w:trPr>
        <w:tc>
          <w:tcPr>
            <w:tcW w:w="1688" w:type="dxa"/>
            <w:vMerge w:val="restart"/>
            <w:vAlign w:val="center"/>
          </w:tcPr>
          <w:p>
            <w:pPr>
              <w:jc w:val="center"/>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A</w:t>
            </w:r>
            <w:r>
              <w:rPr>
                <w:rFonts w:ascii="仿宋" w:hAnsi="仿宋" w:eastAsia="仿宋" w:cs="仿宋"/>
                <w:sz w:val="22"/>
                <w:szCs w:val="22"/>
                <w:highlight w:val="none"/>
              </w:rPr>
              <w:t>1</w:t>
            </w:r>
            <w:r>
              <w:rPr>
                <w:rFonts w:hint="eastAsia" w:ascii="仿宋" w:hAnsi="仿宋" w:eastAsia="仿宋" w:cs="仿宋"/>
                <w:sz w:val="22"/>
                <w:szCs w:val="22"/>
                <w:highlight w:val="none"/>
              </w:rPr>
              <w:t>项目</w:t>
            </w:r>
            <w:r>
              <w:rPr>
                <w:rFonts w:hint="eastAsia" w:ascii="仿宋" w:hAnsi="仿宋" w:eastAsia="仿宋" w:cs="仿宋"/>
                <w:sz w:val="22"/>
                <w:szCs w:val="22"/>
                <w:highlight w:val="none"/>
                <w:lang w:val="en-US" w:eastAsia="zh-CN"/>
              </w:rPr>
              <w:t>决策</w:t>
            </w:r>
          </w:p>
        </w:tc>
        <w:tc>
          <w:tcPr>
            <w:tcW w:w="4253" w:type="dxa"/>
            <w:vAlign w:val="center"/>
          </w:tcPr>
          <w:p>
            <w:pPr>
              <w:jc w:val="left"/>
              <w:rPr>
                <w:rFonts w:ascii="仿宋" w:hAnsi="仿宋" w:eastAsia="仿宋" w:cs="仿宋"/>
                <w:sz w:val="22"/>
                <w:szCs w:val="22"/>
                <w:highlight w:val="none"/>
              </w:rPr>
            </w:pPr>
            <w:r>
              <w:rPr>
                <w:rFonts w:hint="eastAsia" w:ascii="仿宋" w:hAnsi="仿宋" w:eastAsia="仿宋" w:cs="仿宋"/>
                <w:sz w:val="22"/>
                <w:szCs w:val="22"/>
                <w:highlight w:val="none"/>
                <w:lang w:val="en-US" w:eastAsia="zh-CN"/>
              </w:rPr>
              <w:t>决策依据充分性</w:t>
            </w:r>
          </w:p>
        </w:tc>
        <w:tc>
          <w:tcPr>
            <w:tcW w:w="1169"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c>
          <w:tcPr>
            <w:tcW w:w="1170"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688" w:type="dxa"/>
            <w:vMerge w:val="continue"/>
            <w:vAlign w:val="center"/>
          </w:tcPr>
          <w:p>
            <w:pPr>
              <w:jc w:val="center"/>
              <w:rPr>
                <w:rFonts w:ascii="仿宋" w:hAnsi="仿宋" w:eastAsia="仿宋" w:cs="仿宋"/>
                <w:sz w:val="22"/>
                <w:szCs w:val="22"/>
                <w:highlight w:val="none"/>
              </w:rPr>
            </w:pPr>
          </w:p>
        </w:tc>
        <w:tc>
          <w:tcPr>
            <w:tcW w:w="4253" w:type="dxa"/>
            <w:vAlign w:val="center"/>
          </w:tcPr>
          <w:p>
            <w:pPr>
              <w:jc w:val="center"/>
              <w:rPr>
                <w:rFonts w:ascii="仿宋" w:hAnsi="仿宋" w:eastAsia="仿宋" w:cs="仿宋"/>
                <w:sz w:val="22"/>
                <w:szCs w:val="22"/>
                <w:highlight w:val="none"/>
              </w:rPr>
            </w:pPr>
            <w:r>
              <w:rPr>
                <w:rFonts w:hint="eastAsia" w:ascii="仿宋" w:hAnsi="仿宋" w:eastAsia="仿宋" w:cs="仿宋"/>
                <w:sz w:val="22"/>
                <w:szCs w:val="22"/>
                <w:highlight w:val="none"/>
              </w:rPr>
              <w:t>小计</w:t>
            </w:r>
          </w:p>
        </w:tc>
        <w:tc>
          <w:tcPr>
            <w:tcW w:w="1169"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c>
          <w:tcPr>
            <w:tcW w:w="1170"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688" w:type="dxa"/>
            <w:vMerge w:val="restart"/>
            <w:vAlign w:val="center"/>
          </w:tcPr>
          <w:p>
            <w:pPr>
              <w:jc w:val="center"/>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A</w:t>
            </w:r>
            <w:r>
              <w:rPr>
                <w:rFonts w:ascii="仿宋" w:hAnsi="仿宋" w:eastAsia="仿宋" w:cs="仿宋"/>
                <w:sz w:val="22"/>
                <w:szCs w:val="22"/>
                <w:highlight w:val="none"/>
              </w:rPr>
              <w:t>2</w:t>
            </w:r>
            <w:r>
              <w:rPr>
                <w:rFonts w:hint="eastAsia" w:ascii="仿宋" w:hAnsi="仿宋" w:eastAsia="仿宋" w:cs="仿宋"/>
                <w:sz w:val="22"/>
                <w:szCs w:val="22"/>
                <w:highlight w:val="none"/>
                <w:lang w:val="en-US" w:eastAsia="zh-CN"/>
              </w:rPr>
              <w:t>绩效目标</w:t>
            </w:r>
          </w:p>
        </w:tc>
        <w:tc>
          <w:tcPr>
            <w:tcW w:w="4253" w:type="dxa"/>
            <w:vAlign w:val="center"/>
          </w:tcPr>
          <w:p>
            <w:pPr>
              <w:jc w:val="left"/>
              <w:rPr>
                <w:rFonts w:ascii="仿宋" w:hAnsi="仿宋" w:eastAsia="仿宋" w:cs="仿宋"/>
                <w:sz w:val="22"/>
                <w:szCs w:val="22"/>
                <w:highlight w:val="none"/>
              </w:rPr>
            </w:pPr>
            <w:r>
              <w:rPr>
                <w:rFonts w:hint="eastAsia" w:ascii="仿宋" w:hAnsi="仿宋" w:eastAsia="仿宋" w:cs="仿宋"/>
                <w:sz w:val="22"/>
                <w:szCs w:val="22"/>
                <w:highlight w:val="none"/>
                <w:lang w:val="en-US" w:eastAsia="zh-CN"/>
              </w:rPr>
              <w:t>A2</w:t>
            </w:r>
            <w:r>
              <w:rPr>
                <w:rFonts w:ascii="仿宋" w:hAnsi="仿宋" w:eastAsia="仿宋" w:cs="仿宋"/>
                <w:sz w:val="22"/>
                <w:szCs w:val="22"/>
                <w:highlight w:val="none"/>
              </w:rPr>
              <w:t>-1</w:t>
            </w:r>
            <w:r>
              <w:rPr>
                <w:rFonts w:hint="eastAsia" w:ascii="仿宋" w:hAnsi="仿宋" w:eastAsia="仿宋" w:cs="仿宋"/>
                <w:sz w:val="22"/>
                <w:szCs w:val="22"/>
                <w:highlight w:val="none"/>
                <w:lang w:val="en-US" w:eastAsia="zh-CN"/>
              </w:rPr>
              <w:t>绩效目标合理性</w:t>
            </w:r>
          </w:p>
        </w:tc>
        <w:tc>
          <w:tcPr>
            <w:tcW w:w="1169"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c>
          <w:tcPr>
            <w:tcW w:w="1170"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exact"/>
          <w:jc w:val="center"/>
        </w:trPr>
        <w:tc>
          <w:tcPr>
            <w:tcW w:w="1688" w:type="dxa"/>
            <w:vMerge w:val="continue"/>
            <w:vAlign w:val="center"/>
          </w:tcPr>
          <w:p>
            <w:pPr>
              <w:jc w:val="center"/>
              <w:rPr>
                <w:rFonts w:ascii="仿宋" w:hAnsi="仿宋" w:eastAsia="仿宋" w:cs="仿宋"/>
                <w:sz w:val="22"/>
                <w:szCs w:val="22"/>
                <w:highlight w:val="none"/>
              </w:rPr>
            </w:pPr>
          </w:p>
        </w:tc>
        <w:tc>
          <w:tcPr>
            <w:tcW w:w="4253" w:type="dxa"/>
            <w:vAlign w:val="center"/>
          </w:tcPr>
          <w:p>
            <w:pPr>
              <w:jc w:val="left"/>
              <w:rPr>
                <w:rFonts w:ascii="仿宋" w:hAnsi="仿宋" w:eastAsia="仿宋" w:cs="仿宋"/>
                <w:sz w:val="22"/>
                <w:szCs w:val="22"/>
                <w:highlight w:val="none"/>
              </w:rPr>
            </w:pPr>
            <w:r>
              <w:rPr>
                <w:rFonts w:hint="eastAsia" w:ascii="仿宋" w:hAnsi="仿宋" w:eastAsia="仿宋" w:cs="仿宋"/>
                <w:sz w:val="22"/>
                <w:szCs w:val="22"/>
                <w:highlight w:val="none"/>
                <w:lang w:val="en-US" w:eastAsia="zh-CN"/>
              </w:rPr>
              <w:t>A2</w:t>
            </w:r>
            <w:r>
              <w:rPr>
                <w:rFonts w:ascii="仿宋" w:hAnsi="仿宋" w:eastAsia="仿宋" w:cs="仿宋"/>
                <w:sz w:val="22"/>
                <w:szCs w:val="22"/>
                <w:highlight w:val="none"/>
              </w:rPr>
              <w:t>-2</w:t>
            </w:r>
            <w:r>
              <w:rPr>
                <w:rFonts w:hint="eastAsia" w:ascii="仿宋" w:hAnsi="仿宋" w:eastAsia="仿宋" w:cs="仿宋"/>
                <w:sz w:val="22"/>
                <w:szCs w:val="22"/>
                <w:highlight w:val="none"/>
                <w:lang w:val="en-US" w:eastAsia="zh-CN"/>
              </w:rPr>
              <w:t>绩效指标明确性</w:t>
            </w:r>
          </w:p>
        </w:tc>
        <w:tc>
          <w:tcPr>
            <w:tcW w:w="1169"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c>
          <w:tcPr>
            <w:tcW w:w="1170"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688" w:type="dxa"/>
            <w:vMerge w:val="continue"/>
            <w:vAlign w:val="center"/>
          </w:tcPr>
          <w:p>
            <w:pPr>
              <w:jc w:val="center"/>
              <w:rPr>
                <w:rFonts w:ascii="仿宋" w:hAnsi="仿宋" w:eastAsia="仿宋" w:cs="仿宋"/>
                <w:sz w:val="22"/>
                <w:szCs w:val="22"/>
                <w:highlight w:val="none"/>
              </w:rPr>
            </w:pPr>
          </w:p>
        </w:tc>
        <w:tc>
          <w:tcPr>
            <w:tcW w:w="4253" w:type="dxa"/>
            <w:vAlign w:val="center"/>
          </w:tcPr>
          <w:p>
            <w:pPr>
              <w:jc w:val="center"/>
              <w:rPr>
                <w:rFonts w:ascii="仿宋" w:hAnsi="仿宋" w:eastAsia="仿宋" w:cs="仿宋"/>
                <w:sz w:val="22"/>
                <w:szCs w:val="22"/>
                <w:highlight w:val="none"/>
              </w:rPr>
            </w:pPr>
            <w:r>
              <w:rPr>
                <w:rFonts w:hint="eastAsia" w:ascii="仿宋" w:hAnsi="仿宋" w:eastAsia="仿宋" w:cs="仿宋"/>
                <w:sz w:val="22"/>
                <w:szCs w:val="22"/>
                <w:highlight w:val="none"/>
              </w:rPr>
              <w:t>小计</w:t>
            </w:r>
          </w:p>
        </w:tc>
        <w:tc>
          <w:tcPr>
            <w:tcW w:w="1169"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4.00</w:t>
            </w:r>
          </w:p>
        </w:tc>
        <w:tc>
          <w:tcPr>
            <w:tcW w:w="1170"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688" w:type="dxa"/>
            <w:vMerge w:val="restart"/>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A3资金投入</w:t>
            </w:r>
          </w:p>
        </w:tc>
        <w:tc>
          <w:tcPr>
            <w:tcW w:w="4253" w:type="dxa"/>
            <w:vAlign w:val="center"/>
          </w:tcPr>
          <w:p>
            <w:pPr>
              <w:jc w:val="both"/>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A3-1预算编制科学性</w:t>
            </w:r>
          </w:p>
        </w:tc>
        <w:tc>
          <w:tcPr>
            <w:tcW w:w="1169" w:type="dxa"/>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2.00</w:t>
            </w:r>
          </w:p>
        </w:tc>
        <w:tc>
          <w:tcPr>
            <w:tcW w:w="1170" w:type="dxa"/>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688" w:type="dxa"/>
            <w:vMerge w:val="continue"/>
            <w:vAlign w:val="center"/>
          </w:tcPr>
          <w:p>
            <w:pPr>
              <w:jc w:val="center"/>
              <w:rPr>
                <w:rFonts w:hint="eastAsia" w:ascii="仿宋" w:hAnsi="仿宋" w:eastAsia="仿宋" w:cs="仿宋"/>
                <w:b w:val="0"/>
                <w:bCs/>
                <w:sz w:val="22"/>
                <w:szCs w:val="22"/>
                <w:highlight w:val="none"/>
              </w:rPr>
            </w:pPr>
          </w:p>
        </w:tc>
        <w:tc>
          <w:tcPr>
            <w:tcW w:w="4253" w:type="dxa"/>
            <w:vAlign w:val="center"/>
          </w:tcPr>
          <w:p>
            <w:pPr>
              <w:jc w:val="both"/>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A3-2资金分配合理性</w:t>
            </w:r>
          </w:p>
        </w:tc>
        <w:tc>
          <w:tcPr>
            <w:tcW w:w="1169" w:type="dxa"/>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2.00</w:t>
            </w:r>
          </w:p>
        </w:tc>
        <w:tc>
          <w:tcPr>
            <w:tcW w:w="1170" w:type="dxa"/>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688" w:type="dxa"/>
            <w:vMerge w:val="continue"/>
            <w:vAlign w:val="center"/>
          </w:tcPr>
          <w:p>
            <w:pPr>
              <w:jc w:val="center"/>
              <w:rPr>
                <w:rFonts w:hint="eastAsia" w:ascii="仿宋" w:hAnsi="仿宋" w:eastAsia="仿宋" w:cs="仿宋"/>
                <w:b w:val="0"/>
                <w:bCs/>
                <w:sz w:val="22"/>
                <w:szCs w:val="22"/>
                <w:highlight w:val="none"/>
              </w:rPr>
            </w:pPr>
          </w:p>
        </w:tc>
        <w:tc>
          <w:tcPr>
            <w:tcW w:w="4253" w:type="dxa"/>
            <w:vAlign w:val="center"/>
          </w:tcPr>
          <w:p>
            <w:pPr>
              <w:jc w:val="center"/>
              <w:rPr>
                <w:rFonts w:hint="eastAsia"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小计</w:t>
            </w:r>
          </w:p>
        </w:tc>
        <w:tc>
          <w:tcPr>
            <w:tcW w:w="1169" w:type="dxa"/>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4.00</w:t>
            </w:r>
          </w:p>
        </w:tc>
        <w:tc>
          <w:tcPr>
            <w:tcW w:w="1170" w:type="dxa"/>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688" w:type="dxa"/>
            <w:vAlign w:val="center"/>
          </w:tcPr>
          <w:p>
            <w:pPr>
              <w:jc w:val="center"/>
              <w:rPr>
                <w:rFonts w:hint="eastAsia" w:ascii="仿宋" w:hAnsi="仿宋" w:eastAsia="仿宋" w:cs="仿宋"/>
                <w:b/>
                <w:sz w:val="22"/>
                <w:szCs w:val="22"/>
                <w:highlight w:val="none"/>
                <w:lang w:val="en-US" w:eastAsia="zh-CN"/>
              </w:rPr>
            </w:pPr>
            <w:r>
              <w:rPr>
                <w:rFonts w:hint="eastAsia" w:ascii="仿宋" w:hAnsi="仿宋" w:eastAsia="仿宋" w:cs="仿宋"/>
                <w:b/>
                <w:sz w:val="22"/>
                <w:szCs w:val="22"/>
                <w:highlight w:val="none"/>
                <w:lang w:val="en-US" w:eastAsia="zh-CN"/>
              </w:rPr>
              <w:t>决策</w:t>
            </w:r>
          </w:p>
        </w:tc>
        <w:tc>
          <w:tcPr>
            <w:tcW w:w="4253" w:type="dxa"/>
            <w:vAlign w:val="center"/>
          </w:tcPr>
          <w:p>
            <w:pPr>
              <w:jc w:val="center"/>
              <w:rPr>
                <w:rFonts w:ascii="仿宋" w:hAnsi="仿宋" w:eastAsia="仿宋" w:cs="仿宋"/>
                <w:b/>
                <w:sz w:val="22"/>
                <w:szCs w:val="22"/>
                <w:highlight w:val="none"/>
              </w:rPr>
            </w:pPr>
            <w:r>
              <w:rPr>
                <w:rFonts w:hint="eastAsia" w:ascii="仿宋" w:hAnsi="仿宋" w:eastAsia="仿宋" w:cs="仿宋"/>
                <w:b/>
                <w:sz w:val="22"/>
                <w:szCs w:val="22"/>
                <w:highlight w:val="none"/>
              </w:rPr>
              <w:t>合计</w:t>
            </w:r>
          </w:p>
        </w:tc>
        <w:tc>
          <w:tcPr>
            <w:tcW w:w="1169" w:type="dxa"/>
            <w:vAlign w:val="center"/>
          </w:tcPr>
          <w:p>
            <w:pPr>
              <w:jc w:val="center"/>
              <w:rPr>
                <w:rFonts w:hint="default" w:ascii="仿宋" w:hAnsi="仿宋" w:eastAsia="仿宋" w:cs="仿宋"/>
                <w:b/>
                <w:sz w:val="22"/>
                <w:szCs w:val="22"/>
                <w:highlight w:val="none"/>
                <w:lang w:val="en-US" w:eastAsia="zh-CN"/>
              </w:rPr>
            </w:pPr>
            <w:r>
              <w:rPr>
                <w:rFonts w:hint="eastAsia" w:ascii="仿宋" w:hAnsi="仿宋" w:eastAsia="仿宋" w:cs="仿宋"/>
                <w:b/>
                <w:sz w:val="22"/>
                <w:szCs w:val="22"/>
                <w:highlight w:val="none"/>
                <w:lang w:val="en-US" w:eastAsia="zh-CN"/>
              </w:rPr>
              <w:t>10.00</w:t>
            </w:r>
          </w:p>
        </w:tc>
        <w:tc>
          <w:tcPr>
            <w:tcW w:w="1170" w:type="dxa"/>
            <w:vAlign w:val="center"/>
          </w:tcPr>
          <w:p>
            <w:pPr>
              <w:jc w:val="center"/>
              <w:rPr>
                <w:rFonts w:hint="default" w:ascii="仿宋" w:hAnsi="仿宋" w:eastAsia="仿宋" w:cs="仿宋"/>
                <w:b/>
                <w:sz w:val="22"/>
                <w:szCs w:val="22"/>
                <w:highlight w:val="none"/>
                <w:lang w:val="en-US" w:eastAsia="zh-CN"/>
              </w:rPr>
            </w:pPr>
            <w:r>
              <w:rPr>
                <w:rFonts w:hint="eastAsia" w:ascii="仿宋" w:hAnsi="仿宋" w:eastAsia="仿宋" w:cs="仿宋"/>
                <w:b/>
                <w:sz w:val="22"/>
                <w:szCs w:val="22"/>
                <w:highlight w:val="none"/>
                <w:lang w:val="en-US" w:eastAsia="zh-CN"/>
              </w:rPr>
              <w:t>7.00</w:t>
            </w: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sz w:val="28"/>
          <w:szCs w:val="28"/>
          <w:highlight w:val="none"/>
        </w:rPr>
      </w:pPr>
      <w:bookmarkStart w:id="178" w:name="_Toc9582"/>
      <w:bookmarkStart w:id="179" w:name="_Toc21740"/>
      <w:bookmarkStart w:id="180" w:name="_Toc10495"/>
      <w:bookmarkStart w:id="181" w:name="_Toc10500"/>
      <w:bookmarkStart w:id="182" w:name="_Toc22332"/>
      <w:bookmarkStart w:id="183" w:name="_Toc182"/>
      <w:r>
        <w:rPr>
          <w:rFonts w:hint="eastAsia" w:ascii="仿宋" w:hAnsi="仿宋" w:eastAsia="仿宋" w:cs="仿宋"/>
          <w:b/>
          <w:sz w:val="28"/>
          <w:szCs w:val="28"/>
          <w:highlight w:val="none"/>
        </w:rPr>
        <w:t>1</w:t>
      </w:r>
      <w:r>
        <w:rPr>
          <w:rFonts w:ascii="仿宋" w:hAnsi="仿宋" w:eastAsia="仿宋" w:cs="仿宋"/>
          <w:b/>
          <w:sz w:val="28"/>
          <w:szCs w:val="28"/>
          <w:highlight w:val="none"/>
        </w:rPr>
        <w:t>.</w:t>
      </w:r>
      <w:r>
        <w:rPr>
          <w:rFonts w:hint="eastAsia" w:ascii="仿宋" w:hAnsi="仿宋" w:eastAsia="仿宋" w:cs="仿宋"/>
          <w:b/>
          <w:sz w:val="28"/>
          <w:szCs w:val="28"/>
          <w:highlight w:val="none"/>
          <w:lang w:val="en-US" w:eastAsia="zh-CN"/>
        </w:rPr>
        <w:t>A</w:t>
      </w:r>
      <w:r>
        <w:rPr>
          <w:rFonts w:ascii="仿宋" w:hAnsi="仿宋" w:eastAsia="仿宋" w:cs="仿宋"/>
          <w:b/>
          <w:sz w:val="28"/>
          <w:szCs w:val="28"/>
          <w:highlight w:val="none"/>
        </w:rPr>
        <w:t>1</w:t>
      </w:r>
      <w:r>
        <w:rPr>
          <w:rFonts w:hint="eastAsia" w:ascii="仿宋" w:hAnsi="仿宋" w:eastAsia="仿宋" w:cs="仿宋"/>
          <w:b/>
          <w:sz w:val="28"/>
          <w:szCs w:val="28"/>
          <w:highlight w:val="none"/>
        </w:rPr>
        <w:t>项目</w:t>
      </w:r>
      <w:r>
        <w:rPr>
          <w:rFonts w:hint="eastAsia" w:ascii="仿宋" w:hAnsi="仿宋" w:eastAsia="仿宋" w:cs="仿宋"/>
          <w:b/>
          <w:sz w:val="28"/>
          <w:szCs w:val="28"/>
          <w:highlight w:val="none"/>
          <w:lang w:val="en-US" w:eastAsia="zh-CN"/>
        </w:rPr>
        <w:t>决策</w:t>
      </w:r>
      <w:r>
        <w:rPr>
          <w:rFonts w:hint="eastAsia" w:ascii="仿宋" w:hAnsi="仿宋" w:eastAsia="仿宋" w:cs="仿宋"/>
          <w:b/>
          <w:sz w:val="28"/>
          <w:szCs w:val="28"/>
          <w:highlight w:val="none"/>
        </w:rPr>
        <w:t>，</w:t>
      </w:r>
      <w:r>
        <w:rPr>
          <w:rFonts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rPr>
        <w:t>分，得分</w:t>
      </w:r>
      <w:r>
        <w:rPr>
          <w:rFonts w:hint="eastAsia" w:ascii="仿宋" w:hAnsi="仿宋" w:eastAsia="仿宋" w:cs="仿宋"/>
          <w:b/>
          <w:sz w:val="28"/>
          <w:szCs w:val="28"/>
          <w:highlight w:val="none"/>
          <w:lang w:val="en-US" w:eastAsia="zh-CN"/>
        </w:rPr>
        <w:t>2</w:t>
      </w:r>
      <w:r>
        <w:rPr>
          <w:rFonts w:ascii="仿宋" w:hAnsi="仿宋" w:eastAsia="仿宋" w:cs="仿宋"/>
          <w:b/>
          <w:sz w:val="28"/>
          <w:szCs w:val="28"/>
          <w:highlight w:val="none"/>
        </w:rPr>
        <w:t>分</w:t>
      </w:r>
      <w:bookmarkEnd w:id="178"/>
      <w:bookmarkEnd w:id="179"/>
      <w:bookmarkEnd w:id="180"/>
      <w:bookmarkEnd w:id="181"/>
      <w:bookmarkEnd w:id="182"/>
      <w:bookmarkEnd w:id="183"/>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val="0"/>
          <w:sz w:val="28"/>
          <w:szCs w:val="28"/>
          <w:highlight w:val="none"/>
          <w:lang w:val="en-US" w:eastAsia="zh-CN"/>
        </w:rPr>
      </w:pPr>
      <w:bookmarkStart w:id="184" w:name="_Toc7293"/>
      <w:r>
        <w:rPr>
          <w:rFonts w:hint="eastAsia" w:ascii="仿宋" w:hAnsi="仿宋" w:eastAsia="仿宋" w:cs="仿宋"/>
          <w:b/>
          <w:bCs w:val="0"/>
          <w:sz w:val="28"/>
          <w:szCs w:val="28"/>
          <w:highlight w:val="none"/>
          <w:lang w:val="en-US" w:eastAsia="zh-CN"/>
        </w:rPr>
        <w:t>决策依据充分性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自疫情逐渐常态化以来，永济市政府依据防疫的多项政策设立新冠疫情应急处置经费、新冠疫苗接种、核酸检测能力提升等多项资金，以全面落实“外防输入、内防反弹”的防控策略，坚持“预防为主、防治结合、依法科学、分级分类”的原则，坚持常态化精准防控和局部应急处置有机结合的要求，不断巩固疫情防控成果，切实维护人民群众生命安全和身体健康。根据评分标准，本指标得2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2.A2绩效目标，权重4分，得分4分</w:t>
      </w:r>
      <w:bookmarkEnd w:id="184"/>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185" w:name="_Toc15241"/>
      <w:r>
        <w:rPr>
          <w:rFonts w:hint="eastAsia" w:ascii="仿宋" w:hAnsi="仿宋" w:eastAsia="仿宋" w:cs="仿宋"/>
          <w:b/>
          <w:sz w:val="28"/>
          <w:szCs w:val="28"/>
          <w:highlight w:val="none"/>
          <w:lang w:val="en-US" w:eastAsia="zh-CN"/>
        </w:rPr>
        <w:t>（1）A2-1绩效目标合理性</w:t>
      </w:r>
      <w:bookmarkEnd w:id="18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Cs/>
          <w:sz w:val="28"/>
          <w:szCs w:val="28"/>
          <w:highlight w:val="none"/>
          <w:lang w:val="en-US" w:eastAsia="zh-CN" w:bidi="ar"/>
        </w:rPr>
      </w:pPr>
      <w:bookmarkStart w:id="186" w:name="_Toc29791"/>
      <w:r>
        <w:rPr>
          <w:rFonts w:hint="eastAsia" w:ascii="仿宋" w:hAnsi="仿宋" w:eastAsia="仿宋" w:cs="仿宋"/>
          <w:sz w:val="28"/>
          <w:szCs w:val="28"/>
          <w:highlight w:val="none"/>
          <w:lang w:val="en-US" w:eastAsia="zh-CN"/>
        </w:rPr>
        <w:t>项目绩效目标为：</w:t>
      </w:r>
      <w:r>
        <w:rPr>
          <w:rFonts w:hint="eastAsia" w:ascii="仿宋" w:hAnsi="仿宋" w:eastAsia="仿宋" w:cs="仿宋"/>
          <w:b w:val="0"/>
          <w:bCs/>
          <w:sz w:val="28"/>
          <w:szCs w:val="28"/>
          <w:highlight w:val="none"/>
          <w:lang w:val="en-US" w:eastAsia="zh-CN" w:bidi="ar"/>
        </w:rPr>
        <w:t>建设核酸实验室，完成永济市5-7日内完成辖区内全员核酸检测；建设一个疫情视频会议室、对永济市疫苗接种点部分设备进行补充、更新，完成新冠疫苗接种工作；完善隔离点所需的设备及医务人员，发挥隔离点的隔离防范作用；严格把控卡口，做好防疫宣传，外防输入、内防反弹；配备相应物资，以应对突发状况等。</w:t>
      </w:r>
      <w:bookmarkEnd w:id="186"/>
      <w:bookmarkStart w:id="187" w:name="_Toc19342"/>
      <w:r>
        <w:rPr>
          <w:rFonts w:hint="eastAsia" w:ascii="仿宋" w:hAnsi="仿宋" w:eastAsia="仿宋" w:cs="仿宋"/>
          <w:sz w:val="28"/>
          <w:szCs w:val="28"/>
          <w:highlight w:val="none"/>
          <w:lang w:val="en-US" w:eastAsia="zh-CN"/>
        </w:rPr>
        <w:t>落实国务院联防联控机制，严防聚集性疫情，做好以“外防输入、内防反弹”为策略，做到“早预防、早发现、早报告、早隔离”，保护人民群众身体健康。根据项目单位提供的绩效目标申报表，</w:t>
      </w:r>
      <w:r>
        <w:rPr>
          <w:rFonts w:hint="eastAsia" w:ascii="仿宋" w:hAnsi="仿宋" w:eastAsia="仿宋" w:cs="仿宋"/>
          <w:sz w:val="28"/>
          <w:szCs w:val="28"/>
          <w:highlight w:val="none"/>
        </w:rPr>
        <w:t>项目</w:t>
      </w:r>
      <w:r>
        <w:rPr>
          <w:rFonts w:hint="eastAsia" w:ascii="仿宋" w:hAnsi="仿宋" w:eastAsia="仿宋" w:cs="仿宋"/>
          <w:sz w:val="28"/>
          <w:szCs w:val="28"/>
          <w:highlight w:val="none"/>
          <w:lang w:val="en-US" w:eastAsia="zh-CN"/>
        </w:rPr>
        <w:t>已</w:t>
      </w:r>
      <w:r>
        <w:rPr>
          <w:rFonts w:hint="eastAsia" w:ascii="仿宋" w:hAnsi="仿宋" w:eastAsia="仿宋" w:cs="仿宋"/>
          <w:sz w:val="28"/>
          <w:szCs w:val="28"/>
          <w:highlight w:val="none"/>
        </w:rPr>
        <w:t>设立绩效目标</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且该目标与实际工作内容相关</w:t>
      </w:r>
      <w:r>
        <w:rPr>
          <w:rFonts w:hint="eastAsia" w:ascii="仿宋" w:hAnsi="仿宋" w:eastAsia="仿宋" w:cs="仿宋"/>
          <w:sz w:val="28"/>
          <w:szCs w:val="28"/>
          <w:highlight w:val="none"/>
        </w:rPr>
        <w:t>；绩效目标与预算确定的资金量相匹配</w:t>
      </w:r>
      <w:r>
        <w:rPr>
          <w:rFonts w:hint="eastAsia" w:ascii="仿宋" w:hAnsi="仿宋" w:eastAsia="仿宋" w:cs="仿宋"/>
          <w:sz w:val="28"/>
          <w:szCs w:val="28"/>
          <w:highlight w:val="none"/>
          <w:lang w:eastAsia="zh-CN"/>
        </w:rPr>
        <w:t>。</w:t>
      </w:r>
      <w:r>
        <w:rPr>
          <w:rFonts w:hint="eastAsia" w:ascii="仿宋" w:hAnsi="仿宋" w:eastAsia="仿宋" w:cs="仿宋"/>
          <w:bCs/>
          <w:sz w:val="28"/>
          <w:szCs w:val="28"/>
          <w:highlight w:val="none"/>
          <w:lang w:val="en-US" w:eastAsia="zh-CN" w:bidi="ar"/>
        </w:rPr>
        <w:t>依据评分</w:t>
      </w:r>
      <w:r>
        <w:rPr>
          <w:rFonts w:hint="eastAsia" w:ascii="仿宋" w:hAnsi="仿宋" w:eastAsia="仿宋" w:cs="仿宋"/>
          <w:bCs/>
          <w:sz w:val="28"/>
          <w:szCs w:val="28"/>
          <w:highlight w:val="none"/>
          <w:lang w:eastAsia="zh-CN" w:bidi="ar"/>
        </w:rPr>
        <w:t>标准，本指标得</w:t>
      </w:r>
      <w:r>
        <w:rPr>
          <w:rFonts w:hint="eastAsia" w:ascii="仿宋" w:hAnsi="仿宋" w:eastAsia="仿宋" w:cs="仿宋"/>
          <w:bCs/>
          <w:sz w:val="28"/>
          <w:szCs w:val="28"/>
          <w:highlight w:val="none"/>
          <w:lang w:val="en-US" w:eastAsia="zh-CN" w:bidi="ar"/>
        </w:rPr>
        <w:t>2分。</w:t>
      </w:r>
      <w:bookmarkEnd w:id="187"/>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188" w:name="_Toc31835"/>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A2</w:t>
      </w:r>
      <w:r>
        <w:rPr>
          <w:rFonts w:ascii="仿宋" w:hAnsi="仿宋" w:eastAsia="仿宋" w:cs="仿宋"/>
          <w:b/>
          <w:sz w:val="28"/>
          <w:szCs w:val="28"/>
          <w:highlight w:val="none"/>
        </w:rPr>
        <w:t>-</w:t>
      </w:r>
      <w:r>
        <w:rPr>
          <w:rFonts w:hint="eastAsia" w:ascii="仿宋" w:hAnsi="仿宋" w:eastAsia="仿宋" w:cs="仿宋"/>
          <w:b/>
          <w:sz w:val="28"/>
          <w:szCs w:val="28"/>
          <w:highlight w:val="none"/>
          <w:lang w:val="en-US" w:eastAsia="zh-CN"/>
        </w:rPr>
        <w:t>2绩效指标明确性</w:t>
      </w:r>
      <w:bookmarkEnd w:id="188"/>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1"/>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通过相关资料搜集，项目单位将绩效目标细化分解为具体的产出指标和效益指标，通过清晰、可衡量的指标值予以体现，与项目目标任务数对应，例如：建设核酸实验室数量4个，购买实验室设备≥40个，紧急接种疫苗人数≥3664人，新冠疫苗数量≥7300支，隔离点3个，疫情卡点数量15个等。依据评分标准，本指标得2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sz w:val="28"/>
          <w:szCs w:val="28"/>
          <w:highlight w:val="none"/>
        </w:rPr>
      </w:pPr>
      <w:bookmarkStart w:id="189" w:name="_Toc18709"/>
      <w:bookmarkStart w:id="190" w:name="_Toc23173"/>
      <w:bookmarkStart w:id="191" w:name="_Toc2863"/>
      <w:r>
        <w:rPr>
          <w:rFonts w:hint="eastAsia" w:ascii="仿宋" w:hAnsi="仿宋" w:eastAsia="仿宋" w:cs="仿宋"/>
          <w:b/>
          <w:sz w:val="28"/>
          <w:szCs w:val="28"/>
          <w:highlight w:val="none"/>
          <w:lang w:val="en-US" w:eastAsia="zh-CN"/>
        </w:rPr>
        <w:t>3</w:t>
      </w:r>
      <w:r>
        <w:rPr>
          <w:rFonts w:ascii="仿宋" w:hAnsi="仿宋" w:eastAsia="仿宋" w:cs="仿宋"/>
          <w:b/>
          <w:sz w:val="28"/>
          <w:szCs w:val="28"/>
          <w:highlight w:val="none"/>
        </w:rPr>
        <w:t>.</w:t>
      </w:r>
      <w:r>
        <w:rPr>
          <w:rFonts w:hint="eastAsia" w:ascii="仿宋" w:hAnsi="仿宋" w:eastAsia="仿宋" w:cs="仿宋"/>
          <w:b/>
          <w:sz w:val="28"/>
          <w:szCs w:val="28"/>
          <w:highlight w:val="none"/>
          <w:lang w:val="en-US" w:eastAsia="zh-CN"/>
        </w:rPr>
        <w:t>A3资金投入</w:t>
      </w:r>
      <w:r>
        <w:rPr>
          <w:rFonts w:hint="eastAsia" w:ascii="仿宋" w:hAnsi="仿宋" w:eastAsia="仿宋" w:cs="仿宋"/>
          <w:b/>
          <w:sz w:val="28"/>
          <w:szCs w:val="28"/>
          <w:highlight w:val="none"/>
        </w:rPr>
        <w:t>，</w:t>
      </w:r>
      <w:r>
        <w:rPr>
          <w:rFonts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4</w:t>
      </w:r>
      <w:r>
        <w:rPr>
          <w:rFonts w:hint="eastAsia" w:ascii="仿宋" w:hAnsi="仿宋" w:eastAsia="仿宋" w:cs="仿宋"/>
          <w:b/>
          <w:sz w:val="28"/>
          <w:szCs w:val="28"/>
          <w:highlight w:val="none"/>
        </w:rPr>
        <w:t>分，得分</w:t>
      </w:r>
      <w:r>
        <w:rPr>
          <w:rFonts w:hint="eastAsia" w:ascii="仿宋" w:hAnsi="仿宋" w:eastAsia="仿宋" w:cs="仿宋"/>
          <w:b/>
          <w:sz w:val="28"/>
          <w:szCs w:val="28"/>
          <w:highlight w:val="none"/>
          <w:lang w:val="en-US" w:eastAsia="zh-CN"/>
        </w:rPr>
        <w:t>1</w:t>
      </w:r>
      <w:r>
        <w:rPr>
          <w:rFonts w:ascii="仿宋" w:hAnsi="仿宋" w:eastAsia="仿宋" w:cs="仿宋"/>
          <w:b/>
          <w:sz w:val="28"/>
          <w:szCs w:val="28"/>
          <w:highlight w:val="none"/>
        </w:rPr>
        <w:t>分</w:t>
      </w:r>
      <w:bookmarkEnd w:id="189"/>
      <w:bookmarkEnd w:id="190"/>
      <w:bookmarkEnd w:id="191"/>
    </w:p>
    <w:p>
      <w:pPr>
        <w:spacing w:line="560" w:lineRule="exact"/>
        <w:ind w:firstLine="562" w:firstLineChars="200"/>
        <w:outlineLvl w:val="3"/>
        <w:rPr>
          <w:rFonts w:hint="eastAsia" w:ascii="仿宋" w:hAnsi="仿宋" w:eastAsia="仿宋" w:cs="仿宋"/>
          <w:b/>
          <w:bCs/>
          <w:sz w:val="28"/>
          <w:szCs w:val="28"/>
          <w:highlight w:val="none"/>
          <w:lang w:val="en-US" w:eastAsia="zh-CN"/>
        </w:rPr>
      </w:pPr>
      <w:bookmarkStart w:id="192" w:name="_Toc3412"/>
      <w:bookmarkStart w:id="193" w:name="_Toc28821"/>
      <w:bookmarkStart w:id="194" w:name="_Toc32505"/>
      <w:r>
        <w:rPr>
          <w:rFonts w:hint="eastAsia" w:ascii="仿宋" w:hAnsi="仿宋" w:eastAsia="仿宋" w:cs="仿宋"/>
          <w:b/>
          <w:bCs/>
          <w:sz w:val="28"/>
          <w:szCs w:val="28"/>
          <w:highlight w:val="none"/>
        </w:rPr>
        <w:t>（1）</w:t>
      </w:r>
      <w:r>
        <w:rPr>
          <w:rFonts w:hint="eastAsia" w:ascii="仿宋" w:hAnsi="仿宋" w:eastAsia="仿宋" w:cs="仿宋"/>
          <w:b/>
          <w:bCs/>
          <w:sz w:val="28"/>
          <w:szCs w:val="28"/>
          <w:highlight w:val="none"/>
          <w:lang w:val="en-US" w:eastAsia="zh-CN"/>
        </w:rPr>
        <w:t>A3</w:t>
      </w:r>
      <w:r>
        <w:rPr>
          <w:rFonts w:hint="eastAsia" w:ascii="仿宋" w:hAnsi="仿宋" w:eastAsia="仿宋" w:cs="仿宋"/>
          <w:b/>
          <w:bCs/>
          <w:sz w:val="28"/>
          <w:szCs w:val="28"/>
          <w:highlight w:val="none"/>
        </w:rPr>
        <w:t>-1</w:t>
      </w:r>
      <w:r>
        <w:rPr>
          <w:rFonts w:hint="eastAsia" w:ascii="仿宋" w:hAnsi="仿宋" w:eastAsia="仿宋" w:cs="仿宋"/>
          <w:b/>
          <w:bCs/>
          <w:sz w:val="28"/>
          <w:szCs w:val="28"/>
          <w:highlight w:val="none"/>
          <w:lang w:val="en-US" w:eastAsia="zh-CN"/>
        </w:rPr>
        <w:t>预算编制科学性</w:t>
      </w:r>
      <w:bookmarkEnd w:id="192"/>
      <w:bookmarkEnd w:id="193"/>
      <w:bookmarkEnd w:id="19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bookmarkStart w:id="195" w:name="_Toc7368"/>
      <w:r>
        <w:rPr>
          <w:rFonts w:hint="eastAsia" w:ascii="仿宋" w:hAnsi="仿宋" w:eastAsia="仿宋" w:cs="仿宋"/>
          <w:sz w:val="28"/>
          <w:szCs w:val="28"/>
          <w:highlight w:val="none"/>
          <w:lang w:val="en-US" w:eastAsia="zh-CN"/>
        </w:rPr>
        <w:t>根据各单位的申请资料，核酸实验室建设、紧急接种人员的疫苗接种、隔离区住宿及餐饮的标准等都经过相关论证或统一规定（例如紧急接种人员疫苗接种按400元/2剂、隔离区住宿100元/间、餐费60元/天等），预算编制基本依据充分，测算准确。但存在以下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①核酸检测补助款预算额度测算依据不充分，预算编制不够精准明确，例如：具体的测算方法不明确、项目单位申请预算中核酸检测免费人群数量未经过具体核定、补助标准不清晰等；②隔离点房屋租赁费用在签订合同时考虑因素不全面，未考虑隔离人员实际入住率、自费人员自行承担隔离费用、未入住房间如何结算费用等相关因素，导致预算编制依据不够充分，测算不够准确；预算确定的项目投资额或资金量与相关的任务量不匹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依据评分标准，本指标得0分。</w:t>
      </w:r>
      <w:bookmarkEnd w:id="195"/>
    </w:p>
    <w:p>
      <w:pPr>
        <w:spacing w:line="560" w:lineRule="exact"/>
        <w:ind w:firstLine="562" w:firstLineChars="200"/>
        <w:outlineLvl w:val="3"/>
        <w:rPr>
          <w:rFonts w:hint="eastAsia" w:ascii="仿宋" w:hAnsi="仿宋" w:eastAsia="仿宋" w:cs="仿宋"/>
          <w:b/>
          <w:bCs/>
          <w:sz w:val="28"/>
          <w:szCs w:val="28"/>
          <w:highlight w:val="none"/>
          <w:lang w:val="en-US" w:eastAsia="zh-CN"/>
        </w:rPr>
      </w:pPr>
      <w:bookmarkStart w:id="196" w:name="_Toc3504"/>
      <w:bookmarkStart w:id="197" w:name="_Toc28884"/>
      <w:bookmarkStart w:id="198" w:name="_Toc2517"/>
      <w:r>
        <w:rPr>
          <w:rFonts w:hint="eastAsia" w:ascii="仿宋" w:hAnsi="仿宋" w:eastAsia="仿宋" w:cs="仿宋"/>
          <w:b/>
          <w:bCs/>
          <w:sz w:val="28"/>
          <w:szCs w:val="28"/>
          <w:highlight w:val="none"/>
          <w:lang w:val="en-US" w:eastAsia="zh-CN"/>
        </w:rPr>
        <w:t>（2）A3-2资金分配合理性</w:t>
      </w:r>
      <w:bookmarkEnd w:id="196"/>
      <w:bookmarkEnd w:id="197"/>
      <w:bookmarkEnd w:id="198"/>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bookmarkStart w:id="199" w:name="_Toc13989"/>
      <w:r>
        <w:rPr>
          <w:rFonts w:hint="default" w:ascii="仿宋" w:hAnsi="仿宋" w:eastAsia="仿宋" w:cs="仿宋"/>
          <w:sz w:val="28"/>
          <w:szCs w:val="28"/>
          <w:highlight w:val="none"/>
          <w:lang w:val="en-US" w:eastAsia="zh-CN"/>
        </w:rPr>
        <w:t>资金分配依据充分</w:t>
      </w:r>
      <w:r>
        <w:rPr>
          <w:rFonts w:hint="eastAsia" w:ascii="仿宋" w:hAnsi="仿宋" w:eastAsia="仿宋" w:cs="仿宋"/>
          <w:sz w:val="28"/>
          <w:szCs w:val="28"/>
          <w:highlight w:val="none"/>
          <w:lang w:val="en-US" w:eastAsia="zh-CN"/>
        </w:rPr>
        <w:t>，指挥部根据各卡口、接种点、隔离点等召开会议进行资金分配和数量确定，该分配符合疫情防控的需要；核酸检测实验室建设、设备购置所需资金与目标检测量基本相匹配；但是核酸检测补助款的分配缺乏依据，与目标检测量存在差异，全员核酸耗材补助款各医院标准存在差异，以10混为标准，其中市医院单价4.9元/人次，中医院、疾控3元/人次，电机医院5.2元/人次；其次，隔离酒店的租赁费用与实际占用酒店房间数存在较大差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依据评分标准，本指标得1分。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sz w:val="28"/>
          <w:szCs w:val="28"/>
          <w:highlight w:val="none"/>
          <w:lang w:val="en-US" w:eastAsia="zh-CN"/>
        </w:rPr>
      </w:pPr>
      <w:bookmarkStart w:id="200" w:name="_Toc19561"/>
      <w:bookmarkStart w:id="201" w:name="_Toc16385"/>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二</w:t>
      </w:r>
      <w:r>
        <w:rPr>
          <w:rFonts w:hint="eastAsia" w:ascii="仿宋" w:hAnsi="仿宋" w:eastAsia="仿宋" w:cs="仿宋"/>
          <w:b/>
          <w:sz w:val="28"/>
          <w:szCs w:val="28"/>
          <w:highlight w:val="none"/>
          <w:lang w:eastAsia="zh-CN"/>
        </w:rPr>
        <w:t>）</w:t>
      </w:r>
      <w:bookmarkStart w:id="202" w:name="_Toc28405"/>
      <w:bookmarkStart w:id="203" w:name="_Toc28114_WPSOffice_Level2"/>
      <w:r>
        <w:rPr>
          <w:rFonts w:hint="eastAsia" w:ascii="仿宋" w:hAnsi="仿宋" w:eastAsia="仿宋" w:cs="仿宋"/>
          <w:b/>
          <w:sz w:val="28"/>
          <w:szCs w:val="28"/>
          <w:highlight w:val="none"/>
          <w:lang w:val="en-US" w:eastAsia="zh-CN"/>
        </w:rPr>
        <w:t>过程情况分析</w:t>
      </w:r>
      <w:bookmarkEnd w:id="199"/>
      <w:bookmarkEnd w:id="200"/>
      <w:bookmarkEnd w:id="201"/>
      <w:bookmarkEnd w:id="202"/>
      <w:bookmarkEnd w:id="20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仿宋" w:hAnsi="仿宋" w:eastAsia="仿宋" w:cs="仿宋"/>
          <w:sz w:val="28"/>
          <w:szCs w:val="28"/>
          <w:highlight w:val="none"/>
        </w:rPr>
      </w:pPr>
      <w:bookmarkStart w:id="204" w:name="_Toc20985"/>
      <w:bookmarkStart w:id="205" w:name="_Toc729"/>
      <w:bookmarkStart w:id="206" w:name="_Toc17300"/>
      <w:bookmarkStart w:id="207" w:name="_Toc28134"/>
      <w:r>
        <w:rPr>
          <w:rFonts w:hint="eastAsia" w:ascii="仿宋" w:hAnsi="仿宋" w:eastAsia="仿宋" w:cs="仿宋"/>
          <w:sz w:val="28"/>
          <w:szCs w:val="28"/>
          <w:highlight w:val="none"/>
        </w:rPr>
        <w:t>过程情况</w:t>
      </w:r>
      <w:r>
        <w:rPr>
          <w:rFonts w:ascii="仿宋" w:hAnsi="仿宋" w:eastAsia="仿宋" w:cs="仿宋"/>
          <w:sz w:val="28"/>
          <w:szCs w:val="28"/>
          <w:highlight w:val="none"/>
        </w:rPr>
        <w:t>分别从</w:t>
      </w:r>
      <w:r>
        <w:rPr>
          <w:rFonts w:hint="eastAsia" w:ascii="仿宋" w:hAnsi="仿宋" w:eastAsia="仿宋" w:cs="仿宋"/>
          <w:sz w:val="28"/>
          <w:szCs w:val="28"/>
          <w:highlight w:val="none"/>
          <w:lang w:val="en-US" w:eastAsia="zh-CN"/>
        </w:rPr>
        <w:t>组织实施</w:t>
      </w:r>
      <w:r>
        <w:rPr>
          <w:rFonts w:hint="eastAsia" w:ascii="仿宋" w:hAnsi="仿宋" w:eastAsia="仿宋" w:cs="仿宋"/>
          <w:sz w:val="28"/>
          <w:szCs w:val="28"/>
          <w:highlight w:val="none"/>
        </w:rPr>
        <w:t>和</w:t>
      </w:r>
      <w:r>
        <w:rPr>
          <w:rFonts w:hint="eastAsia" w:ascii="仿宋" w:hAnsi="仿宋" w:eastAsia="仿宋" w:cs="仿宋"/>
          <w:sz w:val="28"/>
          <w:szCs w:val="28"/>
          <w:highlight w:val="none"/>
          <w:lang w:val="en-US" w:eastAsia="zh-CN"/>
        </w:rPr>
        <w:t>资金</w:t>
      </w:r>
      <w:r>
        <w:rPr>
          <w:rFonts w:hint="eastAsia" w:ascii="仿宋" w:hAnsi="仿宋" w:eastAsia="仿宋" w:cs="仿宋"/>
          <w:sz w:val="28"/>
          <w:szCs w:val="28"/>
          <w:highlight w:val="none"/>
        </w:rPr>
        <w:t>管理两个方面进行分析，共设置</w:t>
      </w:r>
      <w:r>
        <w:rPr>
          <w:rFonts w:hint="eastAsia" w:ascii="仿宋" w:hAnsi="仿宋" w:eastAsia="仿宋" w:cs="仿宋"/>
          <w:sz w:val="28"/>
          <w:szCs w:val="28"/>
          <w:highlight w:val="none"/>
          <w:lang w:val="en-US" w:eastAsia="zh-CN"/>
        </w:rPr>
        <w:t>两</w:t>
      </w:r>
      <w:r>
        <w:rPr>
          <w:rFonts w:hint="eastAsia" w:ascii="仿宋" w:hAnsi="仿宋" w:eastAsia="仿宋" w:cs="仿宋"/>
          <w:sz w:val="28"/>
          <w:szCs w:val="28"/>
          <w:highlight w:val="none"/>
        </w:rPr>
        <w:t>个二级指标</w:t>
      </w:r>
      <w:r>
        <w:rPr>
          <w:rFonts w:hint="eastAsia" w:ascii="仿宋" w:hAnsi="仿宋" w:eastAsia="仿宋" w:cs="仿宋"/>
          <w:sz w:val="28"/>
          <w:szCs w:val="28"/>
          <w:highlight w:val="none"/>
          <w:lang w:val="en-US" w:eastAsia="zh-CN"/>
        </w:rPr>
        <w:t>十</w:t>
      </w:r>
      <w:r>
        <w:rPr>
          <w:rFonts w:hint="eastAsia" w:ascii="仿宋" w:hAnsi="仿宋" w:eastAsia="仿宋" w:cs="仿宋"/>
          <w:sz w:val="28"/>
          <w:szCs w:val="28"/>
          <w:highlight w:val="none"/>
        </w:rPr>
        <w:t>个三级指标。过程类指标分值</w:t>
      </w:r>
      <w:r>
        <w:rPr>
          <w:rFonts w:hint="eastAsia" w:ascii="仿宋" w:hAnsi="仿宋" w:eastAsia="仿宋" w:cs="仿宋"/>
          <w:sz w:val="28"/>
          <w:szCs w:val="28"/>
          <w:highlight w:val="none"/>
          <w:lang w:val="en-US" w:eastAsia="zh-CN"/>
        </w:rPr>
        <w:t>30</w:t>
      </w:r>
      <w:r>
        <w:rPr>
          <w:rFonts w:hint="eastAsia" w:ascii="仿宋" w:hAnsi="仿宋" w:eastAsia="仿宋" w:cs="仿宋"/>
          <w:sz w:val="28"/>
          <w:szCs w:val="28"/>
          <w:highlight w:val="none"/>
        </w:rPr>
        <w:t>分，实际得分</w:t>
      </w:r>
      <w:r>
        <w:rPr>
          <w:rFonts w:hint="eastAsia" w:ascii="仿宋" w:hAnsi="仿宋" w:eastAsia="仿宋" w:cs="仿宋"/>
          <w:sz w:val="28"/>
          <w:szCs w:val="28"/>
          <w:highlight w:val="none"/>
          <w:lang w:val="en-US" w:eastAsia="zh-CN"/>
        </w:rPr>
        <w:t>24.66</w:t>
      </w:r>
      <w:r>
        <w:rPr>
          <w:rFonts w:hint="eastAsia" w:ascii="仿宋" w:hAnsi="仿宋" w:eastAsia="仿宋" w:cs="仿宋"/>
          <w:sz w:val="28"/>
          <w:szCs w:val="28"/>
          <w:highlight w:val="none"/>
        </w:rPr>
        <w:t>分，得分率</w:t>
      </w:r>
      <w:r>
        <w:rPr>
          <w:rFonts w:hint="eastAsia" w:ascii="仿宋" w:hAnsi="仿宋" w:eastAsia="仿宋" w:cs="仿宋"/>
          <w:sz w:val="28"/>
          <w:szCs w:val="28"/>
          <w:highlight w:val="none"/>
          <w:lang w:val="en-US" w:eastAsia="zh-CN"/>
        </w:rPr>
        <w:t>82.20</w:t>
      </w:r>
      <w:r>
        <w:rPr>
          <w:rFonts w:ascii="仿宋" w:hAnsi="仿宋" w:eastAsia="仿宋" w:cs="仿宋"/>
          <w:sz w:val="28"/>
          <w:szCs w:val="28"/>
          <w:highlight w:val="none"/>
        </w:rPr>
        <w:t>%</w:t>
      </w:r>
      <w:r>
        <w:rPr>
          <w:rFonts w:hint="eastAsia" w:ascii="仿宋" w:hAnsi="仿宋" w:eastAsia="仿宋" w:cs="仿宋"/>
          <w:sz w:val="28"/>
          <w:szCs w:val="28"/>
          <w:highlight w:val="none"/>
        </w:rPr>
        <w:t>。各分项指标得分情况如下表</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2</w:t>
      </w:r>
      <w:r>
        <w:rPr>
          <w:rFonts w:ascii="仿宋" w:hAnsi="仿宋" w:eastAsia="仿宋" w:cs="仿宋"/>
          <w:sz w:val="28"/>
          <w:szCs w:val="28"/>
          <w:highlight w:val="none"/>
        </w:rPr>
        <w:t>所示</w:t>
      </w:r>
      <w:r>
        <w:rPr>
          <w:rFonts w:hint="eastAsia" w:ascii="仿宋" w:hAnsi="仿宋" w:eastAsia="仿宋" w:cs="仿宋"/>
          <w:sz w:val="28"/>
          <w:szCs w:val="28"/>
          <w:highlight w:val="none"/>
        </w:rPr>
        <w:t>：</w:t>
      </w:r>
      <w:bookmarkEnd w:id="204"/>
      <w:bookmarkEnd w:id="205"/>
      <w:bookmarkEnd w:id="206"/>
      <w:bookmarkEnd w:id="207"/>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ascii="仿宋" w:hAnsi="仿宋" w:eastAsia="仿宋" w:cs="仿宋"/>
          <w:b/>
          <w:sz w:val="28"/>
          <w:szCs w:val="28"/>
          <w:highlight w:val="none"/>
        </w:rPr>
      </w:pPr>
      <w:bookmarkStart w:id="208" w:name="_Toc29290_WPSOffice_Level2"/>
      <w:bookmarkStart w:id="209" w:name="_Toc22075"/>
      <w:bookmarkStart w:id="210" w:name="_Toc14013_WPSOffice_Level2"/>
      <w:bookmarkStart w:id="211" w:name="_Toc5760_WPSOffice_Level2"/>
      <w:bookmarkStart w:id="212" w:name="_Toc224_WPSOffice_Level2"/>
      <w:bookmarkStart w:id="213" w:name="_Toc10374_WPSOffice_Level2"/>
      <w:bookmarkStart w:id="214" w:name="_Toc2213"/>
      <w:bookmarkStart w:id="215" w:name="_Toc19395"/>
      <w:bookmarkStart w:id="216" w:name="_Toc31868_WPSOffice_Level2"/>
      <w:bookmarkStart w:id="217" w:name="_Toc30298_WPSOffice_Level2"/>
      <w:bookmarkStart w:id="218" w:name="_Toc28048"/>
      <w:bookmarkStart w:id="219" w:name="_Toc30281_WPSOffice_Level2"/>
      <w:bookmarkStart w:id="220" w:name="_Toc26043_WPSOffice_Level2"/>
      <w:r>
        <w:rPr>
          <w:rFonts w:hint="eastAsia" w:ascii="仿宋" w:hAnsi="仿宋" w:eastAsia="仿宋" w:cs="仿宋"/>
          <w:b/>
          <w:sz w:val="28"/>
          <w:szCs w:val="28"/>
          <w:highlight w:val="none"/>
        </w:rPr>
        <w:t>表</w:t>
      </w:r>
      <w:r>
        <w:rPr>
          <w:rFonts w:hint="eastAsia" w:ascii="仿宋" w:hAnsi="仿宋" w:eastAsia="仿宋" w:cs="仿宋"/>
          <w:b/>
          <w:sz w:val="28"/>
          <w:szCs w:val="28"/>
          <w:highlight w:val="none"/>
          <w:lang w:val="en-US" w:eastAsia="zh-CN"/>
        </w:rPr>
        <w:t>4</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2</w:t>
      </w:r>
      <w:r>
        <w:rPr>
          <w:rFonts w:ascii="仿宋" w:hAnsi="仿宋" w:eastAsia="仿宋" w:cs="仿宋"/>
          <w:b/>
          <w:sz w:val="28"/>
          <w:szCs w:val="28"/>
          <w:highlight w:val="none"/>
        </w:rPr>
        <w:t xml:space="preserve"> </w:t>
      </w:r>
      <w:r>
        <w:rPr>
          <w:rFonts w:hint="eastAsia" w:ascii="仿宋" w:hAnsi="仿宋" w:eastAsia="仿宋" w:cs="仿宋"/>
          <w:b/>
          <w:sz w:val="28"/>
          <w:szCs w:val="28"/>
          <w:highlight w:val="none"/>
        </w:rPr>
        <w:t>过程类指标得分情况</w:t>
      </w:r>
      <w:bookmarkEnd w:id="208"/>
      <w:bookmarkEnd w:id="209"/>
      <w:bookmarkEnd w:id="210"/>
      <w:bookmarkEnd w:id="211"/>
      <w:bookmarkEnd w:id="212"/>
      <w:bookmarkEnd w:id="213"/>
      <w:bookmarkEnd w:id="214"/>
      <w:bookmarkEnd w:id="215"/>
      <w:bookmarkEnd w:id="216"/>
      <w:bookmarkEnd w:id="217"/>
      <w:bookmarkEnd w:id="218"/>
      <w:bookmarkEnd w:id="219"/>
      <w:bookmarkEnd w:id="220"/>
    </w:p>
    <w:tbl>
      <w:tblPr>
        <w:tblStyle w:val="11"/>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4073"/>
        <w:gridCol w:w="1198"/>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1827" w:type="dxa"/>
            <w:shd w:val="clear" w:color="auto" w:fill="BEBEBE" w:themeFill="background1" w:themeFillShade="BF"/>
            <w:vAlign w:val="center"/>
          </w:tcPr>
          <w:p>
            <w:pPr>
              <w:jc w:val="center"/>
              <w:rPr>
                <w:rFonts w:ascii="仿宋" w:hAnsi="仿宋" w:eastAsia="仿宋" w:cs="仿宋"/>
                <w:b/>
                <w:bCs/>
                <w:sz w:val="22"/>
                <w:szCs w:val="22"/>
                <w:highlight w:val="none"/>
              </w:rPr>
            </w:pPr>
            <w:r>
              <w:rPr>
                <w:rFonts w:hint="eastAsia" w:ascii="仿宋" w:hAnsi="仿宋" w:eastAsia="仿宋" w:cs="仿宋"/>
                <w:b/>
                <w:bCs/>
                <w:sz w:val="22"/>
                <w:szCs w:val="22"/>
                <w:highlight w:val="none"/>
              </w:rPr>
              <w:t>二级指标</w:t>
            </w:r>
          </w:p>
        </w:tc>
        <w:tc>
          <w:tcPr>
            <w:tcW w:w="4073" w:type="dxa"/>
            <w:shd w:val="clear" w:color="auto" w:fill="BEBEBE" w:themeFill="background1" w:themeFillShade="BF"/>
            <w:vAlign w:val="center"/>
          </w:tcPr>
          <w:p>
            <w:pPr>
              <w:jc w:val="center"/>
              <w:rPr>
                <w:rFonts w:ascii="仿宋" w:hAnsi="仿宋" w:eastAsia="仿宋" w:cs="仿宋"/>
                <w:b/>
                <w:bCs/>
                <w:sz w:val="22"/>
                <w:szCs w:val="22"/>
                <w:highlight w:val="none"/>
              </w:rPr>
            </w:pPr>
            <w:r>
              <w:rPr>
                <w:rFonts w:hint="eastAsia" w:ascii="仿宋" w:hAnsi="仿宋" w:eastAsia="仿宋" w:cs="仿宋"/>
                <w:b/>
                <w:bCs/>
                <w:sz w:val="22"/>
                <w:szCs w:val="22"/>
                <w:highlight w:val="none"/>
              </w:rPr>
              <w:t>三级指标</w:t>
            </w:r>
          </w:p>
        </w:tc>
        <w:tc>
          <w:tcPr>
            <w:tcW w:w="1198" w:type="dxa"/>
            <w:shd w:val="clear" w:color="auto" w:fill="BEBEBE" w:themeFill="background1" w:themeFillShade="BF"/>
            <w:vAlign w:val="center"/>
          </w:tcPr>
          <w:p>
            <w:pPr>
              <w:jc w:val="center"/>
              <w:rPr>
                <w:rFonts w:ascii="仿宋" w:hAnsi="仿宋" w:eastAsia="仿宋" w:cs="仿宋"/>
                <w:b/>
                <w:bCs/>
                <w:sz w:val="22"/>
                <w:szCs w:val="22"/>
                <w:highlight w:val="none"/>
              </w:rPr>
            </w:pPr>
            <w:r>
              <w:rPr>
                <w:rFonts w:hint="eastAsia" w:ascii="仿宋" w:hAnsi="仿宋" w:eastAsia="仿宋" w:cs="仿宋"/>
                <w:b/>
                <w:bCs/>
                <w:sz w:val="22"/>
                <w:szCs w:val="22"/>
                <w:highlight w:val="none"/>
              </w:rPr>
              <w:t>权重</w:t>
            </w:r>
          </w:p>
        </w:tc>
        <w:tc>
          <w:tcPr>
            <w:tcW w:w="1198" w:type="dxa"/>
            <w:shd w:val="clear" w:color="auto" w:fill="BEBEBE" w:themeFill="background1" w:themeFillShade="BF"/>
            <w:vAlign w:val="center"/>
          </w:tcPr>
          <w:p>
            <w:pPr>
              <w:jc w:val="center"/>
              <w:rPr>
                <w:rFonts w:ascii="仿宋" w:hAnsi="仿宋" w:eastAsia="仿宋" w:cs="仿宋"/>
                <w:b/>
                <w:bCs/>
                <w:sz w:val="22"/>
                <w:szCs w:val="22"/>
                <w:highlight w:val="none"/>
              </w:rPr>
            </w:pPr>
            <w:r>
              <w:rPr>
                <w:rFonts w:hint="eastAsia" w:ascii="仿宋" w:hAnsi="仿宋" w:eastAsia="仿宋" w:cs="仿宋"/>
                <w:b/>
                <w:bCs/>
                <w:sz w:val="22"/>
                <w:szCs w:val="22"/>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27" w:type="dxa"/>
            <w:vMerge w:val="restart"/>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B1资金管理</w:t>
            </w:r>
          </w:p>
        </w:tc>
        <w:tc>
          <w:tcPr>
            <w:tcW w:w="4073" w:type="dxa"/>
            <w:vAlign w:val="center"/>
          </w:tcPr>
          <w:p>
            <w:pP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B</w:t>
            </w:r>
            <w:r>
              <w:rPr>
                <w:rFonts w:ascii="仿宋" w:hAnsi="仿宋" w:eastAsia="仿宋" w:cs="仿宋"/>
                <w:sz w:val="22"/>
                <w:szCs w:val="22"/>
                <w:highlight w:val="none"/>
              </w:rPr>
              <w:t>1-1</w:t>
            </w:r>
            <w:r>
              <w:rPr>
                <w:rFonts w:hint="eastAsia" w:ascii="仿宋" w:hAnsi="仿宋" w:eastAsia="仿宋" w:cs="仿宋"/>
                <w:sz w:val="22"/>
                <w:szCs w:val="22"/>
                <w:highlight w:val="none"/>
                <w:lang w:val="en-US" w:eastAsia="zh-CN"/>
              </w:rPr>
              <w:t>资金到位率</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3.00</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27" w:type="dxa"/>
            <w:vMerge w:val="continue"/>
            <w:vAlign w:val="center"/>
          </w:tcPr>
          <w:p>
            <w:pPr>
              <w:jc w:val="center"/>
              <w:rPr>
                <w:rFonts w:hint="eastAsia" w:ascii="仿宋" w:hAnsi="仿宋" w:eastAsia="仿宋" w:cs="仿宋"/>
                <w:b w:val="0"/>
                <w:bCs/>
                <w:sz w:val="22"/>
                <w:szCs w:val="22"/>
                <w:highlight w:val="none"/>
                <w:lang w:val="en-US" w:eastAsia="zh-CN"/>
              </w:rPr>
            </w:pPr>
          </w:p>
        </w:tc>
        <w:tc>
          <w:tcPr>
            <w:tcW w:w="4073" w:type="dxa"/>
            <w:vAlign w:val="center"/>
          </w:tcPr>
          <w:p>
            <w:pP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B</w:t>
            </w:r>
            <w:r>
              <w:rPr>
                <w:rFonts w:ascii="仿宋" w:hAnsi="仿宋" w:eastAsia="仿宋" w:cs="仿宋"/>
                <w:sz w:val="22"/>
                <w:szCs w:val="22"/>
                <w:highlight w:val="none"/>
              </w:rPr>
              <w:t>1-2</w:t>
            </w:r>
            <w:r>
              <w:rPr>
                <w:rFonts w:hint="eastAsia" w:ascii="仿宋" w:hAnsi="仿宋" w:eastAsia="仿宋" w:cs="仿宋"/>
                <w:sz w:val="22"/>
                <w:szCs w:val="22"/>
                <w:highlight w:val="none"/>
                <w:lang w:val="en-US" w:eastAsia="zh-CN"/>
              </w:rPr>
              <w:t>预算执行率</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3.00</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27" w:type="dxa"/>
            <w:vMerge w:val="continue"/>
            <w:vAlign w:val="center"/>
          </w:tcPr>
          <w:p>
            <w:pPr>
              <w:jc w:val="center"/>
              <w:rPr>
                <w:rFonts w:hint="eastAsia" w:ascii="仿宋" w:hAnsi="仿宋" w:eastAsia="仿宋" w:cs="仿宋"/>
                <w:b w:val="0"/>
                <w:bCs/>
                <w:sz w:val="22"/>
                <w:szCs w:val="22"/>
                <w:highlight w:val="none"/>
                <w:lang w:val="en-US" w:eastAsia="zh-CN"/>
              </w:rPr>
            </w:pPr>
          </w:p>
        </w:tc>
        <w:tc>
          <w:tcPr>
            <w:tcW w:w="4073" w:type="dxa"/>
            <w:vAlign w:val="center"/>
          </w:tcPr>
          <w:p>
            <w:pP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B</w:t>
            </w:r>
            <w:r>
              <w:rPr>
                <w:rFonts w:ascii="仿宋" w:hAnsi="仿宋" w:eastAsia="仿宋" w:cs="仿宋"/>
                <w:sz w:val="22"/>
                <w:szCs w:val="22"/>
                <w:highlight w:val="none"/>
              </w:rPr>
              <w:t>1-</w:t>
            </w:r>
            <w:r>
              <w:rPr>
                <w:rFonts w:hint="eastAsia" w:ascii="仿宋" w:hAnsi="仿宋" w:eastAsia="仿宋" w:cs="仿宋"/>
                <w:sz w:val="22"/>
                <w:szCs w:val="22"/>
                <w:highlight w:val="none"/>
                <w:lang w:val="en-US" w:eastAsia="zh-CN"/>
              </w:rPr>
              <w:t>3资金使用合规性</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4.00</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27" w:type="dxa"/>
            <w:vMerge w:val="continue"/>
            <w:vAlign w:val="center"/>
          </w:tcPr>
          <w:p>
            <w:pPr>
              <w:jc w:val="center"/>
              <w:rPr>
                <w:rFonts w:hint="eastAsia" w:ascii="仿宋" w:hAnsi="仿宋" w:eastAsia="仿宋" w:cs="仿宋"/>
                <w:b w:val="0"/>
                <w:bCs/>
                <w:sz w:val="22"/>
                <w:szCs w:val="22"/>
                <w:highlight w:val="none"/>
                <w:lang w:val="en-US" w:eastAsia="zh-CN"/>
              </w:rPr>
            </w:pPr>
          </w:p>
        </w:tc>
        <w:tc>
          <w:tcPr>
            <w:tcW w:w="4073" w:type="dxa"/>
            <w:vAlign w:val="center"/>
          </w:tcPr>
          <w:p>
            <w:pPr>
              <w:jc w:val="center"/>
              <w:rPr>
                <w:rFonts w:ascii="仿宋" w:hAnsi="仿宋" w:eastAsia="仿宋" w:cs="仿宋"/>
                <w:sz w:val="22"/>
                <w:szCs w:val="22"/>
                <w:highlight w:val="none"/>
              </w:rPr>
            </w:pPr>
            <w:r>
              <w:rPr>
                <w:rFonts w:hint="eastAsia" w:ascii="仿宋" w:hAnsi="仿宋" w:eastAsia="仿宋" w:cs="仿宋"/>
                <w:sz w:val="22"/>
                <w:szCs w:val="22"/>
                <w:highlight w:val="none"/>
              </w:rPr>
              <w:t>小计</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10.00</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27" w:type="dxa"/>
            <w:vMerge w:val="restart"/>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B2组织实施</w:t>
            </w:r>
          </w:p>
        </w:tc>
        <w:tc>
          <w:tcPr>
            <w:tcW w:w="4073" w:type="dxa"/>
            <w:vAlign w:val="center"/>
          </w:tcPr>
          <w:p>
            <w:pP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B</w:t>
            </w:r>
            <w:r>
              <w:rPr>
                <w:rFonts w:ascii="仿宋" w:hAnsi="仿宋" w:eastAsia="仿宋" w:cs="仿宋"/>
                <w:sz w:val="22"/>
                <w:szCs w:val="22"/>
                <w:highlight w:val="none"/>
              </w:rPr>
              <w:t>2-1</w:t>
            </w:r>
            <w:r>
              <w:rPr>
                <w:rFonts w:hint="eastAsia" w:ascii="仿宋" w:hAnsi="仿宋" w:eastAsia="仿宋" w:cs="仿宋"/>
                <w:sz w:val="22"/>
                <w:szCs w:val="22"/>
                <w:highlight w:val="none"/>
                <w:lang w:val="en-US" w:eastAsia="zh-CN"/>
              </w:rPr>
              <w:t>防控指挥部的成立</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27" w:type="dxa"/>
            <w:vMerge w:val="continue"/>
            <w:vAlign w:val="center"/>
          </w:tcPr>
          <w:p>
            <w:pPr>
              <w:rPr>
                <w:rFonts w:ascii="仿宋" w:hAnsi="仿宋" w:eastAsia="仿宋" w:cs="仿宋"/>
                <w:sz w:val="22"/>
                <w:szCs w:val="22"/>
                <w:highlight w:val="none"/>
              </w:rPr>
            </w:pPr>
          </w:p>
        </w:tc>
        <w:tc>
          <w:tcPr>
            <w:tcW w:w="4073" w:type="dxa"/>
            <w:vAlign w:val="center"/>
          </w:tcPr>
          <w:p>
            <w:pP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B</w:t>
            </w:r>
            <w:r>
              <w:rPr>
                <w:rFonts w:ascii="仿宋" w:hAnsi="仿宋" w:eastAsia="仿宋" w:cs="仿宋"/>
                <w:sz w:val="22"/>
                <w:szCs w:val="22"/>
                <w:highlight w:val="none"/>
              </w:rPr>
              <w:t>2-2</w:t>
            </w:r>
            <w:r>
              <w:rPr>
                <w:rFonts w:hint="eastAsia" w:ascii="仿宋" w:hAnsi="仿宋" w:eastAsia="仿宋" w:cs="仿宋"/>
                <w:sz w:val="22"/>
                <w:szCs w:val="22"/>
                <w:highlight w:val="none"/>
                <w:lang w:val="en-US" w:eastAsia="zh-CN"/>
              </w:rPr>
              <w:t>防疫制度健全性</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27" w:type="dxa"/>
            <w:vMerge w:val="continue"/>
            <w:vAlign w:val="center"/>
          </w:tcPr>
          <w:p>
            <w:pPr>
              <w:rPr>
                <w:rFonts w:ascii="仿宋" w:hAnsi="仿宋" w:eastAsia="仿宋" w:cs="仿宋"/>
                <w:sz w:val="22"/>
                <w:szCs w:val="22"/>
                <w:highlight w:val="none"/>
              </w:rPr>
            </w:pPr>
          </w:p>
        </w:tc>
        <w:tc>
          <w:tcPr>
            <w:tcW w:w="4073" w:type="dxa"/>
            <w:vAlign w:val="center"/>
          </w:tcPr>
          <w:p>
            <w:pPr>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B</w:t>
            </w:r>
            <w:r>
              <w:rPr>
                <w:rFonts w:ascii="仿宋" w:hAnsi="仿宋" w:eastAsia="仿宋" w:cs="仿宋"/>
                <w:sz w:val="22"/>
                <w:szCs w:val="22"/>
                <w:highlight w:val="none"/>
              </w:rPr>
              <w:t>2-</w:t>
            </w:r>
            <w:r>
              <w:rPr>
                <w:rFonts w:hint="eastAsia" w:ascii="仿宋" w:hAnsi="仿宋" w:eastAsia="仿宋" w:cs="仿宋"/>
                <w:sz w:val="22"/>
                <w:szCs w:val="22"/>
                <w:highlight w:val="none"/>
                <w:lang w:val="en-US" w:eastAsia="zh-CN"/>
              </w:rPr>
              <w:t>3核酸检测</w:t>
            </w:r>
          </w:p>
        </w:tc>
        <w:tc>
          <w:tcPr>
            <w:tcW w:w="1198" w:type="dxa"/>
            <w:vAlign w:val="center"/>
          </w:tcPr>
          <w:p>
            <w:pPr>
              <w:jc w:val="center"/>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7.00</w:t>
            </w:r>
          </w:p>
        </w:tc>
        <w:tc>
          <w:tcPr>
            <w:tcW w:w="1198" w:type="dxa"/>
            <w:vAlign w:val="center"/>
          </w:tcPr>
          <w:p>
            <w:pPr>
              <w:jc w:val="center"/>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27" w:type="dxa"/>
            <w:vMerge w:val="continue"/>
            <w:vAlign w:val="center"/>
          </w:tcPr>
          <w:p>
            <w:pPr>
              <w:rPr>
                <w:rFonts w:ascii="仿宋" w:hAnsi="仿宋" w:eastAsia="仿宋" w:cs="仿宋"/>
                <w:sz w:val="22"/>
                <w:szCs w:val="22"/>
                <w:highlight w:val="none"/>
              </w:rPr>
            </w:pPr>
          </w:p>
        </w:tc>
        <w:tc>
          <w:tcPr>
            <w:tcW w:w="4073" w:type="dxa"/>
            <w:vAlign w:val="center"/>
          </w:tcPr>
          <w:p>
            <w:pP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B</w:t>
            </w:r>
            <w:r>
              <w:rPr>
                <w:rFonts w:ascii="仿宋" w:hAnsi="仿宋" w:eastAsia="仿宋" w:cs="仿宋"/>
                <w:sz w:val="22"/>
                <w:szCs w:val="22"/>
                <w:highlight w:val="none"/>
              </w:rPr>
              <w:t>2-</w:t>
            </w:r>
            <w:r>
              <w:rPr>
                <w:rFonts w:hint="eastAsia" w:ascii="仿宋" w:hAnsi="仿宋" w:eastAsia="仿宋" w:cs="仿宋"/>
                <w:sz w:val="22"/>
                <w:szCs w:val="22"/>
                <w:highlight w:val="none"/>
                <w:lang w:val="en-US" w:eastAsia="zh-CN"/>
              </w:rPr>
              <w:t>4组织疫苗接种</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1.00</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27" w:type="dxa"/>
            <w:vMerge w:val="continue"/>
            <w:vAlign w:val="center"/>
          </w:tcPr>
          <w:p>
            <w:pPr>
              <w:rPr>
                <w:rFonts w:ascii="仿宋" w:hAnsi="仿宋" w:eastAsia="仿宋" w:cs="仿宋"/>
                <w:sz w:val="22"/>
                <w:szCs w:val="22"/>
                <w:highlight w:val="none"/>
              </w:rPr>
            </w:pPr>
          </w:p>
        </w:tc>
        <w:tc>
          <w:tcPr>
            <w:tcW w:w="4073" w:type="dxa"/>
            <w:vAlign w:val="center"/>
          </w:tcPr>
          <w:p>
            <w:pP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B2-5隔离点的管理</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4.00</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27" w:type="dxa"/>
            <w:vMerge w:val="continue"/>
            <w:vAlign w:val="center"/>
          </w:tcPr>
          <w:p>
            <w:pPr>
              <w:rPr>
                <w:rFonts w:ascii="仿宋" w:hAnsi="仿宋" w:eastAsia="仿宋" w:cs="仿宋"/>
                <w:sz w:val="22"/>
                <w:szCs w:val="22"/>
                <w:highlight w:val="none"/>
              </w:rPr>
            </w:pPr>
          </w:p>
        </w:tc>
        <w:tc>
          <w:tcPr>
            <w:tcW w:w="4073" w:type="dxa"/>
            <w:vAlign w:val="center"/>
          </w:tcPr>
          <w:p>
            <w:pP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B2-6物资、设备采购管理制度</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27" w:type="dxa"/>
            <w:vMerge w:val="continue"/>
            <w:vAlign w:val="center"/>
          </w:tcPr>
          <w:p>
            <w:pPr>
              <w:rPr>
                <w:rFonts w:ascii="仿宋" w:hAnsi="仿宋" w:eastAsia="仿宋" w:cs="仿宋"/>
                <w:sz w:val="22"/>
                <w:szCs w:val="22"/>
                <w:highlight w:val="none"/>
              </w:rPr>
            </w:pPr>
          </w:p>
        </w:tc>
        <w:tc>
          <w:tcPr>
            <w:tcW w:w="4073" w:type="dxa"/>
            <w:vAlign w:val="center"/>
          </w:tcPr>
          <w:p>
            <w:pP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B2-7卡点及社区等地防控</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27" w:type="dxa"/>
            <w:vMerge w:val="continue"/>
            <w:vAlign w:val="center"/>
          </w:tcPr>
          <w:p>
            <w:pPr>
              <w:rPr>
                <w:rFonts w:ascii="仿宋" w:hAnsi="仿宋" w:eastAsia="仿宋" w:cs="仿宋"/>
                <w:sz w:val="22"/>
                <w:szCs w:val="22"/>
                <w:highlight w:val="none"/>
              </w:rPr>
            </w:pPr>
          </w:p>
        </w:tc>
        <w:tc>
          <w:tcPr>
            <w:tcW w:w="4073" w:type="dxa"/>
            <w:vAlign w:val="center"/>
          </w:tcPr>
          <w:p>
            <w:pPr>
              <w:jc w:val="center"/>
              <w:rPr>
                <w:rFonts w:ascii="仿宋" w:hAnsi="仿宋" w:eastAsia="仿宋" w:cs="仿宋"/>
                <w:sz w:val="22"/>
                <w:szCs w:val="22"/>
                <w:highlight w:val="none"/>
              </w:rPr>
            </w:pPr>
            <w:r>
              <w:rPr>
                <w:rFonts w:hint="eastAsia" w:ascii="仿宋" w:hAnsi="仿宋" w:eastAsia="仿宋" w:cs="仿宋"/>
                <w:sz w:val="22"/>
                <w:szCs w:val="22"/>
                <w:highlight w:val="none"/>
              </w:rPr>
              <w:t>小计</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20.00</w:t>
            </w:r>
          </w:p>
        </w:tc>
        <w:tc>
          <w:tcPr>
            <w:tcW w:w="1198" w:type="dxa"/>
            <w:vAlign w:val="center"/>
          </w:tcPr>
          <w:p>
            <w:pPr>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27" w:type="dxa"/>
            <w:vAlign w:val="center"/>
          </w:tcPr>
          <w:p>
            <w:pPr>
              <w:jc w:val="center"/>
              <w:rPr>
                <w:rFonts w:ascii="仿宋" w:hAnsi="仿宋" w:eastAsia="仿宋" w:cs="仿宋"/>
                <w:b/>
                <w:sz w:val="22"/>
                <w:szCs w:val="22"/>
                <w:highlight w:val="none"/>
              </w:rPr>
            </w:pPr>
            <w:r>
              <w:rPr>
                <w:rFonts w:hint="eastAsia" w:ascii="仿宋" w:hAnsi="仿宋" w:eastAsia="仿宋" w:cs="仿宋"/>
                <w:b/>
                <w:sz w:val="22"/>
                <w:szCs w:val="22"/>
                <w:highlight w:val="none"/>
              </w:rPr>
              <w:t>过程</w:t>
            </w:r>
          </w:p>
        </w:tc>
        <w:tc>
          <w:tcPr>
            <w:tcW w:w="4073" w:type="dxa"/>
            <w:vAlign w:val="center"/>
          </w:tcPr>
          <w:p>
            <w:pPr>
              <w:jc w:val="center"/>
              <w:rPr>
                <w:rFonts w:ascii="仿宋" w:hAnsi="仿宋" w:eastAsia="仿宋" w:cs="仿宋"/>
                <w:b/>
                <w:sz w:val="22"/>
                <w:szCs w:val="22"/>
                <w:highlight w:val="none"/>
              </w:rPr>
            </w:pPr>
            <w:r>
              <w:rPr>
                <w:rFonts w:hint="eastAsia" w:ascii="仿宋" w:hAnsi="仿宋" w:eastAsia="仿宋" w:cs="仿宋"/>
                <w:b/>
                <w:sz w:val="22"/>
                <w:szCs w:val="22"/>
                <w:highlight w:val="none"/>
              </w:rPr>
              <w:t>合计</w:t>
            </w:r>
          </w:p>
        </w:tc>
        <w:tc>
          <w:tcPr>
            <w:tcW w:w="1198" w:type="dxa"/>
            <w:vAlign w:val="center"/>
          </w:tcPr>
          <w:p>
            <w:pPr>
              <w:jc w:val="center"/>
              <w:rPr>
                <w:rFonts w:hint="default" w:ascii="仿宋" w:hAnsi="仿宋" w:eastAsia="仿宋" w:cs="仿宋"/>
                <w:b/>
                <w:sz w:val="22"/>
                <w:szCs w:val="22"/>
                <w:highlight w:val="none"/>
                <w:lang w:val="en-US" w:eastAsia="zh-CN"/>
              </w:rPr>
            </w:pPr>
            <w:r>
              <w:rPr>
                <w:rFonts w:hint="eastAsia" w:ascii="仿宋" w:hAnsi="仿宋" w:eastAsia="仿宋" w:cs="仿宋"/>
                <w:b/>
                <w:sz w:val="22"/>
                <w:szCs w:val="22"/>
                <w:highlight w:val="none"/>
                <w:lang w:val="en-US" w:eastAsia="zh-CN"/>
              </w:rPr>
              <w:t>30.00</w:t>
            </w:r>
          </w:p>
        </w:tc>
        <w:tc>
          <w:tcPr>
            <w:tcW w:w="1198" w:type="dxa"/>
            <w:vAlign w:val="center"/>
          </w:tcPr>
          <w:p>
            <w:pPr>
              <w:jc w:val="center"/>
              <w:rPr>
                <w:rFonts w:hint="default" w:ascii="仿宋" w:hAnsi="仿宋" w:eastAsia="仿宋" w:cs="仿宋"/>
                <w:b/>
                <w:sz w:val="22"/>
                <w:szCs w:val="22"/>
                <w:highlight w:val="none"/>
                <w:lang w:val="en-US" w:eastAsia="zh-CN"/>
              </w:rPr>
            </w:pPr>
            <w:r>
              <w:rPr>
                <w:rFonts w:hint="eastAsia" w:ascii="仿宋" w:hAnsi="仿宋" w:eastAsia="仿宋" w:cs="仿宋"/>
                <w:b/>
                <w:sz w:val="22"/>
                <w:szCs w:val="22"/>
                <w:highlight w:val="none"/>
                <w:lang w:val="en-US" w:eastAsia="zh-CN"/>
              </w:rPr>
              <w:t>24.66</w:t>
            </w: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sz w:val="28"/>
          <w:szCs w:val="28"/>
          <w:highlight w:val="none"/>
        </w:rPr>
      </w:pPr>
      <w:bookmarkStart w:id="221" w:name="_Toc9978_WPSOffice_Level3"/>
      <w:bookmarkStart w:id="222" w:name="_Toc20501_WPSOffice_Level3"/>
      <w:bookmarkStart w:id="223" w:name="_Toc18097"/>
      <w:bookmarkStart w:id="224" w:name="_Toc28577"/>
      <w:bookmarkStart w:id="225" w:name="_Toc13073"/>
      <w:bookmarkStart w:id="226" w:name="_Toc13443"/>
      <w:r>
        <w:rPr>
          <w:rFonts w:ascii="仿宋" w:hAnsi="仿宋" w:eastAsia="仿宋" w:cs="仿宋"/>
          <w:b/>
          <w:sz w:val="28"/>
          <w:szCs w:val="28"/>
          <w:highlight w:val="none"/>
        </w:rPr>
        <w:t>1.</w:t>
      </w:r>
      <w:r>
        <w:rPr>
          <w:rFonts w:hint="eastAsia" w:ascii="仿宋" w:hAnsi="仿宋" w:eastAsia="仿宋" w:cs="仿宋"/>
          <w:b/>
          <w:sz w:val="28"/>
          <w:szCs w:val="28"/>
          <w:highlight w:val="none"/>
          <w:lang w:val="en-US" w:eastAsia="zh-CN"/>
        </w:rPr>
        <w:t>B</w:t>
      </w:r>
      <w:r>
        <w:rPr>
          <w:rFonts w:ascii="仿宋" w:hAnsi="仿宋" w:eastAsia="仿宋" w:cs="仿宋"/>
          <w:b/>
          <w:sz w:val="28"/>
          <w:szCs w:val="28"/>
          <w:highlight w:val="none"/>
        </w:rPr>
        <w:t>1</w:t>
      </w:r>
      <w:r>
        <w:rPr>
          <w:rFonts w:hint="eastAsia" w:ascii="仿宋" w:hAnsi="仿宋" w:eastAsia="仿宋" w:cs="仿宋"/>
          <w:b/>
          <w:sz w:val="28"/>
          <w:szCs w:val="28"/>
          <w:highlight w:val="none"/>
          <w:lang w:val="en-US" w:eastAsia="zh-CN"/>
        </w:rPr>
        <w:t>资金管理</w:t>
      </w:r>
      <w:r>
        <w:rPr>
          <w:rFonts w:hint="eastAsia" w:ascii="仿宋" w:hAnsi="仿宋" w:eastAsia="仿宋" w:cs="仿宋"/>
          <w:b/>
          <w:sz w:val="28"/>
          <w:szCs w:val="28"/>
          <w:highlight w:val="none"/>
        </w:rPr>
        <w:t>，</w:t>
      </w:r>
      <w:r>
        <w:rPr>
          <w:rFonts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10</w:t>
      </w:r>
      <w:r>
        <w:rPr>
          <w:rFonts w:ascii="仿宋" w:hAnsi="仿宋" w:eastAsia="仿宋" w:cs="仿宋"/>
          <w:b/>
          <w:sz w:val="28"/>
          <w:szCs w:val="28"/>
          <w:highlight w:val="none"/>
        </w:rPr>
        <w:t>分</w:t>
      </w:r>
      <w:r>
        <w:rPr>
          <w:rFonts w:hint="eastAsia" w:ascii="仿宋" w:hAnsi="仿宋" w:eastAsia="仿宋" w:cs="仿宋"/>
          <w:b/>
          <w:sz w:val="28"/>
          <w:szCs w:val="28"/>
          <w:highlight w:val="none"/>
        </w:rPr>
        <w:t>，</w:t>
      </w:r>
      <w:r>
        <w:rPr>
          <w:rFonts w:ascii="仿宋" w:hAnsi="仿宋" w:eastAsia="仿宋" w:cs="仿宋"/>
          <w:b/>
          <w:sz w:val="28"/>
          <w:szCs w:val="28"/>
          <w:highlight w:val="none"/>
        </w:rPr>
        <w:t>得分</w:t>
      </w:r>
      <w:r>
        <w:rPr>
          <w:rFonts w:hint="eastAsia" w:ascii="仿宋" w:hAnsi="仿宋" w:eastAsia="仿宋" w:cs="仿宋"/>
          <w:b/>
          <w:sz w:val="28"/>
          <w:szCs w:val="28"/>
          <w:highlight w:val="none"/>
          <w:lang w:val="en-US" w:eastAsia="zh-CN"/>
        </w:rPr>
        <w:t>8.66</w:t>
      </w:r>
      <w:r>
        <w:rPr>
          <w:rFonts w:ascii="仿宋" w:hAnsi="仿宋" w:eastAsia="仿宋" w:cs="仿宋"/>
          <w:b/>
          <w:sz w:val="28"/>
          <w:szCs w:val="28"/>
          <w:highlight w:val="none"/>
        </w:rPr>
        <w:t>分</w:t>
      </w:r>
      <w:bookmarkEnd w:id="221"/>
      <w:bookmarkEnd w:id="222"/>
      <w:bookmarkEnd w:id="223"/>
      <w:bookmarkEnd w:id="224"/>
      <w:bookmarkEnd w:id="225"/>
      <w:bookmarkEnd w:id="226"/>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eastAsia" w:ascii="仿宋" w:hAnsi="仿宋" w:eastAsia="仿宋" w:cs="仿宋"/>
          <w:b/>
          <w:sz w:val="28"/>
          <w:szCs w:val="28"/>
          <w:highlight w:val="none"/>
          <w:lang w:val="en-US" w:eastAsia="zh-CN"/>
        </w:rPr>
      </w:pPr>
      <w:bookmarkStart w:id="227" w:name="_Toc25817"/>
      <w:bookmarkStart w:id="228" w:name="_Toc10033"/>
      <w:bookmarkStart w:id="229" w:name="_Toc17320"/>
      <w:bookmarkStart w:id="230" w:name="_Toc17640"/>
      <w:r>
        <w:rPr>
          <w:rFonts w:hint="eastAsia" w:ascii="仿宋" w:hAnsi="仿宋" w:eastAsia="仿宋" w:cs="仿宋"/>
          <w:b/>
          <w:sz w:val="28"/>
          <w:szCs w:val="28"/>
          <w:highlight w:val="none"/>
          <w:lang w:val="en-US" w:eastAsia="zh-CN"/>
        </w:rPr>
        <w:t>（1）B1-1</w:t>
      </w:r>
      <w:bookmarkEnd w:id="227"/>
      <w:bookmarkEnd w:id="228"/>
      <w:bookmarkEnd w:id="229"/>
      <w:r>
        <w:rPr>
          <w:rFonts w:hint="eastAsia" w:ascii="仿宋" w:hAnsi="仿宋" w:eastAsia="仿宋" w:cs="仿宋"/>
          <w:b/>
          <w:sz w:val="28"/>
          <w:szCs w:val="28"/>
          <w:highlight w:val="none"/>
          <w:lang w:val="en-US" w:eastAsia="zh-CN"/>
        </w:rPr>
        <w:t>资金到位率</w:t>
      </w:r>
      <w:bookmarkEnd w:id="23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z w:val="28"/>
          <w:szCs w:val="28"/>
          <w:highlight w:val="none"/>
          <w:lang w:val="en-US" w:eastAsia="zh-CN"/>
        </w:rPr>
      </w:pPr>
      <w:bookmarkStart w:id="231" w:name="_Toc27945"/>
      <w:r>
        <w:rPr>
          <w:rFonts w:hint="eastAsia" w:ascii="仿宋" w:hAnsi="仿宋" w:eastAsia="仿宋" w:cs="仿宋"/>
          <w:bCs/>
          <w:sz w:val="28"/>
          <w:szCs w:val="28"/>
          <w:highlight w:val="none"/>
          <w:lang w:val="en-US" w:eastAsia="zh-CN" w:bidi="ar"/>
        </w:rPr>
        <w:t>2021年永济市疫情防控</w:t>
      </w:r>
      <w:r>
        <w:rPr>
          <w:rFonts w:hint="eastAsia" w:ascii="仿宋" w:hAnsi="仿宋" w:eastAsia="仿宋" w:cs="仿宋"/>
          <w:bCs/>
          <w:sz w:val="28"/>
          <w:szCs w:val="28"/>
          <w:highlight w:val="none"/>
          <w:lang w:eastAsia="zh-CN" w:bidi="ar"/>
        </w:rPr>
        <w:t>资金</w:t>
      </w:r>
      <w:r>
        <w:rPr>
          <w:rFonts w:hint="eastAsia" w:ascii="仿宋" w:hAnsi="仿宋" w:eastAsia="仿宋" w:cs="仿宋"/>
          <w:bCs/>
          <w:sz w:val="28"/>
          <w:szCs w:val="28"/>
          <w:highlight w:val="none"/>
          <w:lang w:bidi="ar"/>
        </w:rPr>
        <w:t>总额</w:t>
      </w:r>
      <w:r>
        <w:rPr>
          <w:rFonts w:hint="eastAsia" w:ascii="仿宋" w:hAnsi="仿宋" w:eastAsia="仿宋" w:cs="仿宋"/>
          <w:bCs/>
          <w:sz w:val="28"/>
          <w:szCs w:val="28"/>
          <w:highlight w:val="none"/>
          <w:lang w:val="en-US" w:eastAsia="zh-CN" w:bidi="ar"/>
        </w:rPr>
        <w:t>为2375.76</w:t>
      </w:r>
      <w:r>
        <w:rPr>
          <w:rFonts w:hint="eastAsia" w:ascii="仿宋" w:hAnsi="仿宋" w:eastAsia="仿宋" w:cs="仿宋"/>
          <w:bCs/>
          <w:sz w:val="28"/>
          <w:szCs w:val="28"/>
          <w:highlight w:val="none"/>
          <w:lang w:bidi="ar"/>
        </w:rPr>
        <w:t>万，</w:t>
      </w:r>
      <w:r>
        <w:rPr>
          <w:rFonts w:hint="eastAsia" w:ascii="仿宋" w:hAnsi="仿宋" w:eastAsia="仿宋" w:cs="仿宋"/>
          <w:bCs/>
          <w:sz w:val="28"/>
          <w:szCs w:val="28"/>
          <w:highlight w:val="none"/>
          <w:lang w:val="en-US" w:eastAsia="zh-CN" w:bidi="ar"/>
        </w:rPr>
        <w:t>其中：2020年结余资金118.27万，2021年拨付资金2257.5万。通过搜集相关资料，2021年永济市新冠肺炎疫情防控资金已到位2375.76万，资金到位率100%</w:t>
      </w:r>
      <w:bookmarkEnd w:id="231"/>
      <w:r>
        <w:rPr>
          <w:rFonts w:hint="eastAsia" w:ascii="仿宋" w:hAnsi="仿宋" w:eastAsia="仿宋" w:cs="仿宋"/>
          <w:bCs/>
          <w:sz w:val="28"/>
          <w:szCs w:val="28"/>
          <w:highlight w:val="none"/>
          <w:lang w:val="en-US" w:eastAsia="zh-CN" w:bidi="ar"/>
        </w:rPr>
        <w:t>，依据评分标准，本指标得3分。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232" w:name="_Toc8825"/>
      <w:bookmarkStart w:id="233" w:name="_Toc140"/>
      <w:bookmarkStart w:id="234" w:name="_Toc29784"/>
      <w:bookmarkStart w:id="235" w:name="_Toc5797"/>
      <w:r>
        <w:rPr>
          <w:rFonts w:hint="eastAsia" w:ascii="仿宋" w:hAnsi="仿宋" w:eastAsia="仿宋" w:cs="仿宋"/>
          <w:b/>
          <w:sz w:val="28"/>
          <w:szCs w:val="28"/>
          <w:highlight w:val="none"/>
          <w:lang w:val="en-US" w:eastAsia="zh-CN"/>
        </w:rPr>
        <w:t>（2）B1-2预算执行情况</w:t>
      </w:r>
      <w:bookmarkEnd w:id="232"/>
      <w:bookmarkEnd w:id="233"/>
      <w:bookmarkEnd w:id="234"/>
      <w:bookmarkEnd w:id="23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b w:val="0"/>
          <w:bCs/>
          <w:sz w:val="28"/>
          <w:szCs w:val="28"/>
          <w:highlight w:val="none"/>
          <w:lang w:val="en-US" w:eastAsia="zh-CN"/>
        </w:rPr>
      </w:pPr>
      <w:bookmarkStart w:id="236" w:name="_Toc23275"/>
      <w:bookmarkStart w:id="237" w:name="_Toc21158"/>
      <w:bookmarkStart w:id="238" w:name="_Toc28966"/>
      <w:bookmarkStart w:id="239" w:name="_Toc31752"/>
      <w:r>
        <w:rPr>
          <w:rFonts w:hint="eastAsia" w:ascii="仿宋" w:hAnsi="仿宋" w:eastAsia="仿宋" w:cs="仿宋"/>
          <w:b w:val="0"/>
          <w:bCs/>
          <w:sz w:val="28"/>
          <w:szCs w:val="28"/>
          <w:highlight w:val="none"/>
          <w:lang w:val="en-US" w:eastAsia="zh-CN"/>
        </w:rPr>
        <w:t>通过相关财务资料的整理和搜集</w:t>
      </w:r>
      <w:r>
        <w:rPr>
          <w:rFonts w:hint="default" w:ascii="仿宋" w:hAnsi="仿宋" w:eastAsia="仿宋" w:cs="仿宋"/>
          <w:b w:val="0"/>
          <w:bCs/>
          <w:sz w:val="28"/>
          <w:szCs w:val="28"/>
          <w:highlight w:val="none"/>
          <w:lang w:val="en-US" w:eastAsia="zh-CN"/>
        </w:rPr>
        <w:t>，</w:t>
      </w:r>
      <w:r>
        <w:rPr>
          <w:rFonts w:hint="eastAsia" w:ascii="仿宋" w:hAnsi="仿宋" w:eastAsia="仿宋" w:cs="仿宋"/>
          <w:b w:val="0"/>
          <w:bCs/>
          <w:sz w:val="28"/>
          <w:szCs w:val="28"/>
          <w:highlight w:val="none"/>
          <w:lang w:val="en-US" w:eastAsia="zh-CN"/>
        </w:rPr>
        <w:t>2021年本项目涉及的各部门共计支付资金2103.97万元，预算执行率为88.56%，依据评分标准，本指标得=88.56%*3=2.66分。</w:t>
      </w:r>
      <w:bookmarkEnd w:id="236"/>
      <w:bookmarkEnd w:id="237"/>
      <w:bookmarkEnd w:id="238"/>
      <w:bookmarkEnd w:id="239"/>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val="0"/>
          <w:bCs/>
          <w:sz w:val="28"/>
          <w:szCs w:val="28"/>
          <w:highlight w:val="none"/>
          <w:lang w:val="en-US" w:eastAsia="zh-CN"/>
        </w:rPr>
      </w:pPr>
      <w:bookmarkStart w:id="240" w:name="_Toc18526"/>
      <w:r>
        <w:rPr>
          <w:rFonts w:hint="eastAsia" w:ascii="仿宋" w:hAnsi="仿宋" w:eastAsia="仿宋" w:cs="仿宋"/>
          <w:b/>
          <w:sz w:val="28"/>
          <w:szCs w:val="28"/>
          <w:highlight w:val="none"/>
          <w:lang w:val="en-US" w:eastAsia="zh-CN"/>
        </w:rPr>
        <w:t>（3）B1-3资金使用合规性</w:t>
      </w:r>
      <w:bookmarkEnd w:id="24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b w:val="0"/>
          <w:bCs/>
          <w:sz w:val="28"/>
          <w:szCs w:val="28"/>
          <w:highlight w:val="none"/>
          <w:lang w:val="en-US" w:eastAsia="zh-CN"/>
        </w:rPr>
      </w:pPr>
      <w:bookmarkStart w:id="241" w:name="_Toc26491"/>
      <w:bookmarkStart w:id="242" w:name="_Toc32634"/>
      <w:bookmarkStart w:id="243" w:name="_Toc20601"/>
      <w:r>
        <w:rPr>
          <w:rFonts w:hint="eastAsia" w:ascii="仿宋" w:hAnsi="仿宋" w:eastAsia="仿宋" w:cs="仿宋"/>
          <w:b w:val="0"/>
          <w:bCs/>
          <w:sz w:val="28"/>
          <w:szCs w:val="28"/>
          <w:highlight w:val="none"/>
          <w:lang w:val="en-US" w:eastAsia="zh-CN"/>
        </w:rPr>
        <w:t>通过抽查部分用款单位财务资料，被抽查单位的项目资金使用</w:t>
      </w:r>
      <w:r>
        <w:rPr>
          <w:rFonts w:hint="default" w:ascii="仿宋" w:hAnsi="仿宋" w:eastAsia="仿宋" w:cs="仿宋"/>
          <w:b w:val="0"/>
          <w:bCs/>
          <w:sz w:val="28"/>
          <w:szCs w:val="28"/>
          <w:highlight w:val="none"/>
          <w:lang w:val="en-US" w:eastAsia="zh-CN"/>
        </w:rPr>
        <w:t>符合国家财经法规和财务管理制度以及有关专项资金管理办法的规定</w:t>
      </w:r>
      <w:r>
        <w:rPr>
          <w:rFonts w:hint="eastAsia" w:ascii="仿宋" w:hAnsi="仿宋" w:eastAsia="仿宋" w:cs="仿宋"/>
          <w:b w:val="0"/>
          <w:bCs/>
          <w:sz w:val="28"/>
          <w:szCs w:val="28"/>
          <w:highlight w:val="none"/>
          <w:lang w:val="en-US" w:eastAsia="zh-CN"/>
        </w:rPr>
        <w:t>；</w:t>
      </w:r>
      <w:r>
        <w:rPr>
          <w:rFonts w:hint="default" w:ascii="仿宋" w:hAnsi="仿宋" w:eastAsia="仿宋" w:cs="仿宋"/>
          <w:b w:val="0"/>
          <w:bCs/>
          <w:sz w:val="28"/>
          <w:szCs w:val="28"/>
          <w:highlight w:val="none"/>
          <w:lang w:val="en-US" w:eastAsia="zh-CN"/>
        </w:rPr>
        <w:t>资金的拨付有完整的审批程序和手续</w:t>
      </w:r>
      <w:r>
        <w:rPr>
          <w:rFonts w:hint="eastAsia" w:ascii="仿宋" w:hAnsi="仿宋" w:eastAsia="仿宋" w:cs="仿宋"/>
          <w:b w:val="0"/>
          <w:bCs/>
          <w:sz w:val="28"/>
          <w:szCs w:val="28"/>
          <w:highlight w:val="none"/>
          <w:lang w:val="en-US" w:eastAsia="zh-CN"/>
        </w:rPr>
        <w:t>；</w:t>
      </w:r>
      <w:r>
        <w:rPr>
          <w:rFonts w:hint="default" w:ascii="仿宋" w:hAnsi="仿宋" w:eastAsia="仿宋" w:cs="仿宋"/>
          <w:b w:val="0"/>
          <w:bCs/>
          <w:sz w:val="28"/>
          <w:szCs w:val="28"/>
          <w:highlight w:val="none"/>
          <w:lang w:val="en-US" w:eastAsia="zh-CN"/>
        </w:rPr>
        <w:t>资金核算做到专款专用</w:t>
      </w:r>
      <w:r>
        <w:rPr>
          <w:rFonts w:hint="eastAsia" w:ascii="仿宋" w:hAnsi="仿宋" w:eastAsia="仿宋" w:cs="仿宋"/>
          <w:b w:val="0"/>
          <w:bCs/>
          <w:sz w:val="28"/>
          <w:szCs w:val="28"/>
          <w:highlight w:val="none"/>
          <w:lang w:val="en-US" w:eastAsia="zh-CN"/>
        </w:rPr>
        <w:t>，未发现</w:t>
      </w:r>
      <w:r>
        <w:rPr>
          <w:rFonts w:hint="default" w:ascii="仿宋" w:hAnsi="仿宋" w:eastAsia="仿宋" w:cs="仿宋"/>
          <w:b w:val="0"/>
          <w:bCs/>
          <w:sz w:val="28"/>
          <w:szCs w:val="28"/>
          <w:highlight w:val="none"/>
          <w:lang w:val="en-US" w:eastAsia="zh-CN"/>
        </w:rPr>
        <w:t>截留、挤占、挪用、虚列支出</w:t>
      </w:r>
      <w:r>
        <w:rPr>
          <w:rFonts w:hint="eastAsia" w:ascii="仿宋" w:hAnsi="仿宋" w:eastAsia="仿宋" w:cs="仿宋"/>
          <w:b w:val="0"/>
          <w:bCs/>
          <w:sz w:val="28"/>
          <w:szCs w:val="28"/>
          <w:highlight w:val="none"/>
          <w:lang w:val="en-US" w:eastAsia="zh-CN"/>
        </w:rPr>
        <w:t>等情况。但是资金的使用过程中发现个别机构资金用途与规定用途不符，例如：单位职工流感疫苗款、与疫情无关的差旅费及餐费等；2021年初拨付入实有资金账户的资金存在个别单位未能够单独核算，考虑到疫情的严峻性和紧迫性，本指标扣1分。根据评分标准，本指标得3分。</w:t>
      </w:r>
      <w:bookmarkEnd w:id="241"/>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sz w:val="28"/>
          <w:szCs w:val="28"/>
          <w:highlight w:val="none"/>
        </w:rPr>
      </w:pPr>
      <w:bookmarkStart w:id="244" w:name="_Toc11638"/>
      <w:r>
        <w:rPr>
          <w:rFonts w:hint="eastAsia" w:ascii="仿宋" w:hAnsi="仿宋" w:eastAsia="仿宋" w:cs="仿宋"/>
          <w:b/>
          <w:sz w:val="28"/>
          <w:szCs w:val="28"/>
          <w:highlight w:val="none"/>
          <w:lang w:val="en-US" w:eastAsia="zh-CN"/>
        </w:rPr>
        <w:t>2</w:t>
      </w:r>
      <w:r>
        <w:rPr>
          <w:rFonts w:ascii="仿宋" w:hAnsi="仿宋" w:eastAsia="仿宋" w:cs="仿宋"/>
          <w:b/>
          <w:sz w:val="28"/>
          <w:szCs w:val="28"/>
          <w:highlight w:val="none"/>
        </w:rPr>
        <w:t>.</w:t>
      </w:r>
      <w:r>
        <w:rPr>
          <w:rFonts w:hint="eastAsia" w:ascii="仿宋" w:hAnsi="仿宋" w:eastAsia="仿宋" w:cs="仿宋"/>
          <w:b/>
          <w:sz w:val="28"/>
          <w:szCs w:val="28"/>
          <w:highlight w:val="none"/>
          <w:lang w:val="en-US" w:eastAsia="zh-CN"/>
        </w:rPr>
        <w:t>B2组织实施</w:t>
      </w:r>
      <w:r>
        <w:rPr>
          <w:rFonts w:hint="eastAsia" w:ascii="仿宋" w:hAnsi="仿宋" w:eastAsia="仿宋" w:cs="仿宋"/>
          <w:b/>
          <w:sz w:val="28"/>
          <w:szCs w:val="28"/>
          <w:highlight w:val="none"/>
        </w:rPr>
        <w:t>，</w:t>
      </w:r>
      <w:r>
        <w:rPr>
          <w:rFonts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20</w:t>
      </w:r>
      <w:r>
        <w:rPr>
          <w:rFonts w:hint="eastAsia" w:ascii="仿宋" w:hAnsi="仿宋" w:eastAsia="仿宋" w:cs="仿宋"/>
          <w:b/>
          <w:sz w:val="28"/>
          <w:szCs w:val="28"/>
          <w:highlight w:val="none"/>
        </w:rPr>
        <w:t>分，得分</w:t>
      </w:r>
      <w:r>
        <w:rPr>
          <w:rFonts w:hint="eastAsia" w:ascii="仿宋" w:hAnsi="仿宋" w:eastAsia="仿宋" w:cs="仿宋"/>
          <w:b/>
          <w:sz w:val="28"/>
          <w:szCs w:val="28"/>
          <w:highlight w:val="none"/>
          <w:lang w:val="en-US" w:eastAsia="zh-CN"/>
        </w:rPr>
        <w:t>16</w:t>
      </w:r>
      <w:r>
        <w:rPr>
          <w:rFonts w:ascii="仿宋" w:hAnsi="仿宋" w:eastAsia="仿宋" w:cs="仿宋"/>
          <w:b/>
          <w:sz w:val="28"/>
          <w:szCs w:val="28"/>
          <w:highlight w:val="none"/>
        </w:rPr>
        <w:t>分</w:t>
      </w:r>
      <w:bookmarkEnd w:id="242"/>
      <w:bookmarkEnd w:id="243"/>
      <w:bookmarkEnd w:id="244"/>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eastAsia" w:ascii="仿宋" w:hAnsi="仿宋" w:eastAsia="仿宋" w:cs="仿宋"/>
          <w:b/>
          <w:sz w:val="28"/>
          <w:szCs w:val="28"/>
          <w:highlight w:val="none"/>
          <w:lang w:val="en-US" w:eastAsia="zh-CN"/>
        </w:rPr>
      </w:pPr>
      <w:bookmarkStart w:id="245" w:name="_Toc16708"/>
      <w:bookmarkStart w:id="246" w:name="_Toc2046"/>
      <w:bookmarkStart w:id="247" w:name="_Toc25061"/>
      <w:r>
        <w:rPr>
          <w:rFonts w:hint="eastAsia" w:ascii="仿宋" w:hAnsi="仿宋" w:eastAsia="仿宋" w:cs="仿宋"/>
          <w:b/>
          <w:sz w:val="28"/>
          <w:szCs w:val="28"/>
          <w:highlight w:val="none"/>
        </w:rPr>
        <w:t>（1）</w:t>
      </w:r>
      <w:r>
        <w:rPr>
          <w:rFonts w:hint="eastAsia" w:ascii="仿宋" w:hAnsi="仿宋" w:eastAsia="仿宋" w:cs="仿宋"/>
          <w:b/>
          <w:sz w:val="28"/>
          <w:szCs w:val="28"/>
          <w:highlight w:val="none"/>
          <w:lang w:val="en-US" w:eastAsia="zh-CN"/>
        </w:rPr>
        <w:t>B2-1防控指挥部的成立</w:t>
      </w:r>
      <w:bookmarkEnd w:id="245"/>
      <w:bookmarkEnd w:id="246"/>
      <w:bookmarkEnd w:id="247"/>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自武汉市爆发新冠疫情以来，永济市及时成立疫情防控领导指挥部，孙中全任组长，指导疫情的相关工作，明确划分各单位主要职责。2021年8月4日，经市委、市政府决定调整新型冠状病毒感染的肺炎疫情防控工作领导组（指挥部）组成人员，对各单位主要职责又进行了准确的划分。根据评分标准，本指标得2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248" w:name="_Toc9611"/>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B2-2防疫制度健全性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永济市在防疫过程中严格按照国家公布的《新型冠状病毒肺炎防控方案》（简称《方案》）执行，紧扣《方案》落实相关政策，同时根据疫情发展状况及时调整相关政策内容。此外，资金在使用过程中按照先申请后支付的方式进行，基本按照申请目的进行资金支付，统筹使用。依据评分标准，本指标得2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3</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B2-3核酸检测</w:t>
      </w:r>
      <w:bookmarkEnd w:id="248"/>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①永济市目前共有核酸检测机构4家，采样点覆盖整个永济市辖区，并且各机构均针对核酸检测的采样、检测制定了相应的管理制度和操作办法，得1分；</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②通过资料收集，2021年核酸检测收费标准共经过3次调整，各检测机构基本按照要求严格执行，但是2021年12月1日存在单人检测按照64.8元/人次标准执行，不符合相关文件要求；根据各检测机构全员核酸物资储备测算记录，2021年12月，</w:t>
      </w:r>
      <w:r>
        <w:rPr>
          <w:rFonts w:hint="eastAsia" w:ascii="仿宋" w:hAnsi="仿宋" w:eastAsia="仿宋" w:cs="仿宋"/>
          <w:sz w:val="28"/>
          <w:szCs w:val="28"/>
          <w:highlight w:val="none"/>
          <w:lang w:val="en-US" w:eastAsia="zh-CN"/>
        </w:rPr>
        <w:t>全员核酸耗材补助款（以10混为标准），其中市医院单价4.9元/人次，中医院、疾控3元/人次，电机医院5.2元/人次</w:t>
      </w:r>
      <w:r>
        <w:rPr>
          <w:rFonts w:hint="eastAsia" w:ascii="仿宋" w:hAnsi="仿宋" w:eastAsia="仿宋" w:cs="仿宋"/>
          <w:b w:val="0"/>
          <w:bCs/>
          <w:sz w:val="28"/>
          <w:szCs w:val="28"/>
          <w:highlight w:val="none"/>
          <w:lang w:val="en-US" w:eastAsia="zh-CN"/>
        </w:rPr>
        <w:t>，本项得1分。</w:t>
      </w:r>
    </w:p>
    <w:p>
      <w:pPr>
        <w:pStyle w:val="2"/>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仿宋" w:hAnsi="仿宋" w:eastAsia="仿宋" w:cs="仿宋"/>
          <w:b/>
          <w:bCs w:val="0"/>
          <w:sz w:val="28"/>
          <w:szCs w:val="28"/>
          <w:highlight w:val="none"/>
          <w:lang w:val="en-US" w:eastAsia="zh-CN"/>
        </w:rPr>
      </w:pPr>
      <w:r>
        <w:rPr>
          <w:rFonts w:hint="eastAsia" w:ascii="仿宋" w:hAnsi="仿宋" w:eastAsia="仿宋" w:cs="仿宋"/>
          <w:b/>
          <w:bCs w:val="0"/>
          <w:sz w:val="28"/>
          <w:szCs w:val="28"/>
          <w:highlight w:val="none"/>
          <w:lang w:val="en-US" w:eastAsia="zh-CN"/>
        </w:rPr>
        <w:t>表4-2-1 绩效评价期间核酸检测收费标准统计表</w:t>
      </w:r>
    </w:p>
    <w:tbl>
      <w:tblPr>
        <w:tblStyle w:val="10"/>
        <w:tblW w:w="5296" w:type="pct"/>
        <w:jc w:val="center"/>
        <w:tblLayout w:type="fixed"/>
        <w:tblCellMar>
          <w:top w:w="0" w:type="dxa"/>
          <w:left w:w="108" w:type="dxa"/>
          <w:bottom w:w="0" w:type="dxa"/>
          <w:right w:w="108" w:type="dxa"/>
        </w:tblCellMar>
      </w:tblPr>
      <w:tblGrid>
        <w:gridCol w:w="2994"/>
        <w:gridCol w:w="2374"/>
        <w:gridCol w:w="800"/>
        <w:gridCol w:w="2860"/>
      </w:tblGrid>
      <w:tr>
        <w:tblPrEx>
          <w:tblCellMar>
            <w:top w:w="0" w:type="dxa"/>
            <w:left w:w="108" w:type="dxa"/>
            <w:bottom w:w="0" w:type="dxa"/>
            <w:right w:w="108" w:type="dxa"/>
          </w:tblCellMar>
        </w:tblPrEx>
        <w:trPr>
          <w:trHeight w:val="425" w:hRule="atLeast"/>
          <w:tblHeader/>
          <w:jc w:val="center"/>
        </w:trPr>
        <w:tc>
          <w:tcPr>
            <w:tcW w:w="165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bCs w:val="0"/>
                <w:sz w:val="22"/>
                <w:szCs w:val="22"/>
                <w:highlight w:val="none"/>
                <w:lang w:val="en-US" w:eastAsia="zh-CN"/>
              </w:rPr>
            </w:pPr>
            <w:r>
              <w:rPr>
                <w:rFonts w:hint="eastAsia" w:ascii="仿宋" w:hAnsi="仿宋" w:eastAsia="仿宋" w:cs="仿宋"/>
                <w:b/>
                <w:bCs w:val="0"/>
                <w:sz w:val="22"/>
                <w:szCs w:val="22"/>
                <w:highlight w:val="none"/>
                <w:lang w:val="en-US" w:eastAsia="zh-CN"/>
              </w:rPr>
              <w:t>文件号</w:t>
            </w:r>
          </w:p>
        </w:tc>
        <w:tc>
          <w:tcPr>
            <w:tcW w:w="13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bCs w:val="0"/>
                <w:kern w:val="0"/>
                <w:sz w:val="22"/>
                <w:szCs w:val="22"/>
                <w:highlight w:val="none"/>
                <w:lang w:val="en-US" w:eastAsia="zh-CN"/>
              </w:rPr>
            </w:pPr>
            <w:r>
              <w:rPr>
                <w:rFonts w:hint="eastAsia" w:ascii="仿宋" w:hAnsi="仿宋" w:eastAsia="仿宋" w:cs="宋体"/>
                <w:b/>
                <w:bCs w:val="0"/>
                <w:kern w:val="0"/>
                <w:sz w:val="22"/>
                <w:szCs w:val="22"/>
                <w:highlight w:val="none"/>
                <w:lang w:val="en-US" w:eastAsia="zh-CN"/>
              </w:rPr>
              <w:t>日期</w:t>
            </w:r>
          </w:p>
        </w:tc>
        <w:tc>
          <w:tcPr>
            <w:tcW w:w="44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bCs w:val="0"/>
                <w:kern w:val="0"/>
                <w:sz w:val="22"/>
                <w:szCs w:val="22"/>
                <w:highlight w:val="none"/>
                <w:lang w:val="en-US" w:eastAsia="zh-CN"/>
              </w:rPr>
            </w:pPr>
            <w:r>
              <w:rPr>
                <w:rFonts w:hint="eastAsia" w:ascii="仿宋" w:hAnsi="仿宋" w:eastAsia="仿宋" w:cs="宋体"/>
                <w:b/>
                <w:bCs w:val="0"/>
                <w:kern w:val="0"/>
                <w:sz w:val="22"/>
                <w:szCs w:val="22"/>
                <w:highlight w:val="none"/>
                <w:lang w:val="en-US" w:eastAsia="zh-CN"/>
              </w:rPr>
              <w:t>类别</w:t>
            </w:r>
          </w:p>
        </w:tc>
        <w:tc>
          <w:tcPr>
            <w:tcW w:w="15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bCs w:val="0"/>
                <w:kern w:val="0"/>
                <w:sz w:val="22"/>
                <w:szCs w:val="22"/>
                <w:highlight w:val="none"/>
                <w:lang w:val="en-US" w:eastAsia="zh-CN"/>
              </w:rPr>
            </w:pPr>
            <w:r>
              <w:rPr>
                <w:rFonts w:hint="eastAsia" w:ascii="仿宋" w:hAnsi="仿宋" w:eastAsia="仿宋" w:cs="宋体"/>
                <w:b/>
                <w:bCs w:val="0"/>
                <w:kern w:val="0"/>
                <w:sz w:val="22"/>
                <w:szCs w:val="22"/>
                <w:highlight w:val="none"/>
                <w:lang w:val="en-US" w:eastAsia="zh-CN"/>
              </w:rPr>
              <w:t>收费标准</w:t>
            </w:r>
          </w:p>
        </w:tc>
      </w:tr>
      <w:tr>
        <w:tblPrEx>
          <w:tblCellMar>
            <w:top w:w="0" w:type="dxa"/>
            <w:left w:w="108" w:type="dxa"/>
            <w:bottom w:w="0" w:type="dxa"/>
            <w:right w:w="108" w:type="dxa"/>
          </w:tblCellMar>
        </w:tblPrEx>
        <w:trPr>
          <w:trHeight w:val="425" w:hRule="atLeast"/>
          <w:jc w:val="center"/>
        </w:trPr>
        <w:tc>
          <w:tcPr>
            <w:tcW w:w="165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晋医保发〔2020〕12号</w:t>
            </w:r>
          </w:p>
        </w:tc>
        <w:tc>
          <w:tcPr>
            <w:tcW w:w="1314"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2020/6/15-2021/2/5</w:t>
            </w:r>
          </w:p>
        </w:tc>
        <w:tc>
          <w:tcPr>
            <w:tcW w:w="44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单管</w:t>
            </w:r>
          </w:p>
        </w:tc>
        <w:tc>
          <w:tcPr>
            <w:tcW w:w="158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60元+检测试剂费用（零差销售）执行74.8元/人次</w:t>
            </w:r>
          </w:p>
        </w:tc>
      </w:tr>
      <w:tr>
        <w:tblPrEx>
          <w:tblCellMar>
            <w:top w:w="0" w:type="dxa"/>
            <w:left w:w="108" w:type="dxa"/>
            <w:bottom w:w="0" w:type="dxa"/>
            <w:right w:w="108" w:type="dxa"/>
          </w:tblCellMar>
        </w:tblPrEx>
        <w:trPr>
          <w:trHeight w:val="340" w:hRule="exact"/>
          <w:jc w:val="center"/>
        </w:trPr>
        <w:tc>
          <w:tcPr>
            <w:tcW w:w="1658"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b w:val="0"/>
                <w:bCs/>
                <w:i w:val="0"/>
                <w:iCs w:val="0"/>
                <w:color w:val="000000"/>
                <w:kern w:val="2"/>
                <w:sz w:val="24"/>
                <w:szCs w:val="24"/>
                <w:highlight w:val="none"/>
                <w:u w:val="none"/>
                <w:lang w:val="en-US" w:eastAsia="zh-CN" w:bidi="ar-SA"/>
              </w:rPr>
            </w:pPr>
            <w:r>
              <w:rPr>
                <w:rFonts w:hint="eastAsia" w:ascii="仿宋" w:hAnsi="仿宋" w:eastAsia="仿宋" w:cs="宋体"/>
                <w:b w:val="0"/>
                <w:bCs/>
                <w:kern w:val="0"/>
                <w:sz w:val="22"/>
                <w:szCs w:val="22"/>
                <w:highlight w:val="none"/>
                <w:lang w:val="en-US" w:eastAsia="zh-CN"/>
              </w:rPr>
              <w:t>晋发改收费发〔2021〕50号</w:t>
            </w:r>
          </w:p>
        </w:tc>
        <w:tc>
          <w:tcPr>
            <w:tcW w:w="131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bidi="ar-SA"/>
              </w:rPr>
            </w:pPr>
            <w:r>
              <w:rPr>
                <w:rFonts w:hint="eastAsia" w:ascii="仿宋" w:hAnsi="仿宋" w:eastAsia="仿宋" w:cs="宋体"/>
                <w:b w:val="0"/>
                <w:bCs/>
                <w:kern w:val="0"/>
                <w:sz w:val="22"/>
                <w:szCs w:val="22"/>
                <w:highlight w:val="none"/>
                <w:lang w:val="en-US" w:eastAsia="zh-CN" w:bidi="ar-SA"/>
              </w:rPr>
              <w:t>2021/2/5-2021/9/6</w:t>
            </w:r>
          </w:p>
        </w:tc>
        <w:tc>
          <w:tcPr>
            <w:tcW w:w="44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bidi="ar-SA"/>
              </w:rPr>
            </w:pPr>
            <w:r>
              <w:rPr>
                <w:rFonts w:hint="eastAsia" w:ascii="仿宋" w:hAnsi="仿宋" w:eastAsia="仿宋" w:cs="宋体"/>
                <w:b w:val="0"/>
                <w:bCs/>
                <w:kern w:val="0"/>
                <w:sz w:val="22"/>
                <w:szCs w:val="22"/>
                <w:highlight w:val="none"/>
                <w:lang w:val="en-US" w:eastAsia="zh-CN" w:bidi="ar-SA"/>
              </w:rPr>
              <w:t>单管</w:t>
            </w:r>
          </w:p>
        </w:tc>
        <w:tc>
          <w:tcPr>
            <w:tcW w:w="15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bidi="ar-SA"/>
              </w:rPr>
            </w:pPr>
            <w:r>
              <w:rPr>
                <w:rFonts w:hint="eastAsia" w:ascii="仿宋" w:hAnsi="仿宋" w:eastAsia="仿宋" w:cs="宋体"/>
                <w:b w:val="0"/>
                <w:bCs/>
                <w:kern w:val="0"/>
                <w:sz w:val="22"/>
                <w:szCs w:val="22"/>
                <w:highlight w:val="none"/>
                <w:lang w:val="en-US" w:eastAsia="zh-CN" w:bidi="ar-SA"/>
              </w:rPr>
              <w:t>未规定，执行74.8元/人次</w:t>
            </w:r>
          </w:p>
        </w:tc>
      </w:tr>
      <w:tr>
        <w:tblPrEx>
          <w:tblCellMar>
            <w:top w:w="0" w:type="dxa"/>
            <w:left w:w="108" w:type="dxa"/>
            <w:bottom w:w="0" w:type="dxa"/>
            <w:right w:w="108" w:type="dxa"/>
          </w:tblCellMar>
        </w:tblPrEx>
        <w:trPr>
          <w:trHeight w:val="340" w:hRule="exact"/>
          <w:jc w:val="center"/>
        </w:trPr>
        <w:tc>
          <w:tcPr>
            <w:tcW w:w="165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p>
        </w:tc>
        <w:tc>
          <w:tcPr>
            <w:tcW w:w="44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5混</w:t>
            </w:r>
          </w:p>
        </w:tc>
        <w:tc>
          <w:tcPr>
            <w:tcW w:w="15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30元/人次</w:t>
            </w:r>
          </w:p>
        </w:tc>
      </w:tr>
      <w:tr>
        <w:tblPrEx>
          <w:tblCellMar>
            <w:top w:w="0" w:type="dxa"/>
            <w:left w:w="108" w:type="dxa"/>
            <w:bottom w:w="0" w:type="dxa"/>
            <w:right w:w="108" w:type="dxa"/>
          </w:tblCellMar>
        </w:tblPrEx>
        <w:trPr>
          <w:trHeight w:val="340" w:hRule="exact"/>
          <w:jc w:val="center"/>
        </w:trPr>
        <w:tc>
          <w:tcPr>
            <w:tcW w:w="165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val="0"/>
                <w:bCs/>
                <w:sz w:val="22"/>
                <w:szCs w:val="22"/>
                <w:highlight w:val="none"/>
                <w:lang w:val="en-US" w:eastAsia="zh-CN"/>
              </w:rPr>
            </w:pP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p>
        </w:tc>
        <w:tc>
          <w:tcPr>
            <w:tcW w:w="44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10混</w:t>
            </w:r>
          </w:p>
        </w:tc>
        <w:tc>
          <w:tcPr>
            <w:tcW w:w="15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20元/人次</w:t>
            </w:r>
          </w:p>
        </w:tc>
      </w:tr>
      <w:tr>
        <w:tblPrEx>
          <w:tblCellMar>
            <w:top w:w="0" w:type="dxa"/>
            <w:left w:w="108" w:type="dxa"/>
            <w:bottom w:w="0" w:type="dxa"/>
            <w:right w:w="108" w:type="dxa"/>
          </w:tblCellMar>
        </w:tblPrEx>
        <w:trPr>
          <w:trHeight w:val="340" w:hRule="exact"/>
          <w:jc w:val="center"/>
        </w:trPr>
        <w:tc>
          <w:tcPr>
            <w:tcW w:w="1658"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val="0"/>
                <w:bCs/>
                <w:sz w:val="22"/>
                <w:szCs w:val="22"/>
                <w:highlight w:val="none"/>
                <w:lang w:val="en-US" w:eastAsia="zh-CN"/>
              </w:rPr>
            </w:pPr>
            <w:r>
              <w:rPr>
                <w:rFonts w:hint="default" w:ascii="仿宋" w:hAnsi="仿宋" w:eastAsia="仿宋" w:cs="仿宋"/>
                <w:b w:val="0"/>
                <w:bCs/>
                <w:sz w:val="22"/>
                <w:szCs w:val="22"/>
                <w:highlight w:val="none"/>
                <w:lang w:val="en-US" w:eastAsia="zh-CN"/>
              </w:rPr>
              <w:t>晋发改收费发</w:t>
            </w:r>
            <w:r>
              <w:rPr>
                <w:rFonts w:hint="eastAsia" w:ascii="仿宋" w:hAnsi="仿宋" w:eastAsia="仿宋" w:cs="仿宋"/>
                <w:b w:val="0"/>
                <w:bCs/>
                <w:sz w:val="22"/>
                <w:szCs w:val="22"/>
                <w:highlight w:val="none"/>
                <w:lang w:val="en-US" w:eastAsia="zh-CN"/>
              </w:rPr>
              <w:t>〔</w:t>
            </w:r>
            <w:r>
              <w:rPr>
                <w:rFonts w:hint="default" w:ascii="仿宋" w:hAnsi="仿宋" w:eastAsia="仿宋" w:cs="仿宋"/>
                <w:b w:val="0"/>
                <w:bCs/>
                <w:sz w:val="22"/>
                <w:szCs w:val="22"/>
                <w:highlight w:val="none"/>
                <w:lang w:val="en-US" w:eastAsia="zh-CN"/>
              </w:rPr>
              <w:t>2021</w:t>
            </w:r>
            <w:r>
              <w:rPr>
                <w:rFonts w:hint="eastAsia" w:ascii="仿宋" w:hAnsi="仿宋" w:eastAsia="仿宋" w:cs="仿宋"/>
                <w:b w:val="0"/>
                <w:bCs/>
                <w:sz w:val="22"/>
                <w:szCs w:val="22"/>
                <w:highlight w:val="none"/>
                <w:lang w:val="en-US" w:eastAsia="zh-CN"/>
              </w:rPr>
              <w:t>〕</w:t>
            </w:r>
            <w:r>
              <w:rPr>
                <w:rFonts w:hint="default" w:ascii="仿宋" w:hAnsi="仿宋" w:eastAsia="仿宋" w:cs="仿宋"/>
                <w:b w:val="0"/>
                <w:bCs/>
                <w:sz w:val="22"/>
                <w:szCs w:val="22"/>
                <w:highlight w:val="none"/>
                <w:lang w:val="en-US" w:eastAsia="zh-CN"/>
              </w:rPr>
              <w:t>366号</w:t>
            </w:r>
          </w:p>
        </w:tc>
        <w:tc>
          <w:tcPr>
            <w:tcW w:w="131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2021/9/6-2021/12/1</w:t>
            </w:r>
          </w:p>
        </w:tc>
        <w:tc>
          <w:tcPr>
            <w:tcW w:w="44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bidi="ar-SA"/>
              </w:rPr>
              <w:t>单管</w:t>
            </w:r>
          </w:p>
        </w:tc>
        <w:tc>
          <w:tcPr>
            <w:tcW w:w="15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bidi="ar-SA"/>
              </w:rPr>
              <w:t>未规定，执行74.8元/人次</w:t>
            </w:r>
          </w:p>
        </w:tc>
      </w:tr>
      <w:tr>
        <w:tblPrEx>
          <w:tblCellMar>
            <w:top w:w="0" w:type="dxa"/>
            <w:left w:w="108" w:type="dxa"/>
            <w:bottom w:w="0" w:type="dxa"/>
            <w:right w:w="108" w:type="dxa"/>
          </w:tblCellMar>
        </w:tblPrEx>
        <w:trPr>
          <w:trHeight w:val="340" w:hRule="exact"/>
          <w:jc w:val="center"/>
        </w:trPr>
        <w:tc>
          <w:tcPr>
            <w:tcW w:w="165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val="0"/>
                <w:bCs/>
                <w:sz w:val="22"/>
                <w:szCs w:val="22"/>
                <w:highlight w:val="none"/>
                <w:lang w:val="en-US" w:eastAsia="zh-CN"/>
              </w:rPr>
            </w:pP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p>
        </w:tc>
        <w:tc>
          <w:tcPr>
            <w:tcW w:w="44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5混</w:t>
            </w:r>
          </w:p>
        </w:tc>
        <w:tc>
          <w:tcPr>
            <w:tcW w:w="15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25元/人次</w:t>
            </w:r>
          </w:p>
        </w:tc>
      </w:tr>
      <w:tr>
        <w:tblPrEx>
          <w:tblCellMar>
            <w:top w:w="0" w:type="dxa"/>
            <w:left w:w="108" w:type="dxa"/>
            <w:bottom w:w="0" w:type="dxa"/>
            <w:right w:w="108" w:type="dxa"/>
          </w:tblCellMar>
        </w:tblPrEx>
        <w:trPr>
          <w:trHeight w:val="340" w:hRule="exact"/>
          <w:jc w:val="center"/>
        </w:trPr>
        <w:tc>
          <w:tcPr>
            <w:tcW w:w="165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val="0"/>
                <w:bCs/>
                <w:sz w:val="22"/>
                <w:szCs w:val="22"/>
                <w:highlight w:val="none"/>
                <w:lang w:val="en-US" w:eastAsia="zh-CN"/>
              </w:rPr>
            </w:pP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p>
        </w:tc>
        <w:tc>
          <w:tcPr>
            <w:tcW w:w="44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10混</w:t>
            </w:r>
          </w:p>
        </w:tc>
        <w:tc>
          <w:tcPr>
            <w:tcW w:w="15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15元/人次</w:t>
            </w:r>
          </w:p>
        </w:tc>
      </w:tr>
      <w:tr>
        <w:tblPrEx>
          <w:tblCellMar>
            <w:top w:w="0" w:type="dxa"/>
            <w:left w:w="108" w:type="dxa"/>
            <w:bottom w:w="0" w:type="dxa"/>
            <w:right w:w="108" w:type="dxa"/>
          </w:tblCellMar>
        </w:tblPrEx>
        <w:trPr>
          <w:trHeight w:val="425" w:hRule="atLeast"/>
          <w:jc w:val="center"/>
        </w:trPr>
        <w:tc>
          <w:tcPr>
            <w:tcW w:w="1658"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val="0"/>
                <w:bCs/>
                <w:sz w:val="22"/>
                <w:szCs w:val="22"/>
                <w:highlight w:val="none"/>
                <w:lang w:val="en-US" w:eastAsia="zh-CN"/>
              </w:rPr>
            </w:pPr>
            <w:r>
              <w:rPr>
                <w:rFonts w:hint="default" w:ascii="仿宋" w:hAnsi="仿宋" w:eastAsia="仿宋" w:cs="仿宋"/>
                <w:b w:val="0"/>
                <w:bCs/>
                <w:sz w:val="22"/>
                <w:szCs w:val="22"/>
                <w:highlight w:val="none"/>
                <w:lang w:val="en-US" w:eastAsia="zh-CN"/>
              </w:rPr>
              <w:t>晋发改收费发</w:t>
            </w:r>
            <w:r>
              <w:rPr>
                <w:rFonts w:hint="eastAsia" w:ascii="仿宋" w:hAnsi="仿宋" w:eastAsia="仿宋" w:cs="仿宋"/>
                <w:b w:val="0"/>
                <w:bCs/>
                <w:sz w:val="22"/>
                <w:szCs w:val="22"/>
                <w:highlight w:val="none"/>
                <w:lang w:val="en-US" w:eastAsia="zh-CN"/>
              </w:rPr>
              <w:t>〔</w:t>
            </w:r>
            <w:r>
              <w:rPr>
                <w:rFonts w:hint="default" w:ascii="仿宋" w:hAnsi="仿宋" w:eastAsia="仿宋" w:cs="仿宋"/>
                <w:b w:val="0"/>
                <w:bCs/>
                <w:sz w:val="22"/>
                <w:szCs w:val="22"/>
                <w:highlight w:val="none"/>
                <w:lang w:val="en-US" w:eastAsia="zh-CN"/>
              </w:rPr>
              <w:t>2021</w:t>
            </w:r>
            <w:r>
              <w:rPr>
                <w:rFonts w:hint="eastAsia" w:ascii="仿宋" w:hAnsi="仿宋" w:eastAsia="仿宋" w:cs="仿宋"/>
                <w:b w:val="0"/>
                <w:bCs/>
                <w:sz w:val="22"/>
                <w:szCs w:val="22"/>
                <w:highlight w:val="none"/>
                <w:lang w:val="en-US" w:eastAsia="zh-CN"/>
              </w:rPr>
              <w:t>〕</w:t>
            </w:r>
            <w:r>
              <w:rPr>
                <w:rFonts w:hint="default" w:ascii="仿宋" w:hAnsi="仿宋" w:eastAsia="仿宋" w:cs="仿宋"/>
                <w:b w:val="0"/>
                <w:bCs/>
                <w:sz w:val="22"/>
                <w:szCs w:val="22"/>
                <w:highlight w:val="none"/>
                <w:lang w:val="en-US" w:eastAsia="zh-CN"/>
              </w:rPr>
              <w:t>452号</w:t>
            </w:r>
          </w:p>
        </w:tc>
        <w:tc>
          <w:tcPr>
            <w:tcW w:w="131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2021/12/1-2022/5/31</w:t>
            </w:r>
          </w:p>
        </w:tc>
        <w:tc>
          <w:tcPr>
            <w:tcW w:w="44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bidi="ar-SA"/>
              </w:rPr>
              <w:t>单管</w:t>
            </w:r>
          </w:p>
        </w:tc>
        <w:tc>
          <w:tcPr>
            <w:tcW w:w="15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总费用不得超过40元/人次</w:t>
            </w:r>
          </w:p>
        </w:tc>
      </w:tr>
      <w:tr>
        <w:tblPrEx>
          <w:tblCellMar>
            <w:top w:w="0" w:type="dxa"/>
            <w:left w:w="108" w:type="dxa"/>
            <w:bottom w:w="0" w:type="dxa"/>
            <w:right w:w="108" w:type="dxa"/>
          </w:tblCellMar>
        </w:tblPrEx>
        <w:trPr>
          <w:trHeight w:val="425" w:hRule="atLeast"/>
          <w:jc w:val="center"/>
        </w:trPr>
        <w:tc>
          <w:tcPr>
            <w:tcW w:w="165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val="0"/>
                <w:bCs/>
                <w:sz w:val="22"/>
                <w:szCs w:val="22"/>
                <w:highlight w:val="none"/>
                <w:lang w:val="en-US" w:eastAsia="zh-CN"/>
              </w:rPr>
            </w:pP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p>
        </w:tc>
        <w:tc>
          <w:tcPr>
            <w:tcW w:w="44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5混</w:t>
            </w:r>
          </w:p>
        </w:tc>
        <w:tc>
          <w:tcPr>
            <w:tcW w:w="15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10元/人次</w:t>
            </w:r>
          </w:p>
        </w:tc>
      </w:tr>
      <w:tr>
        <w:tblPrEx>
          <w:tblCellMar>
            <w:top w:w="0" w:type="dxa"/>
            <w:left w:w="108" w:type="dxa"/>
            <w:bottom w:w="0" w:type="dxa"/>
            <w:right w:w="108" w:type="dxa"/>
          </w:tblCellMar>
        </w:tblPrEx>
        <w:trPr>
          <w:trHeight w:val="425" w:hRule="atLeast"/>
          <w:jc w:val="center"/>
        </w:trPr>
        <w:tc>
          <w:tcPr>
            <w:tcW w:w="165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default" w:ascii="仿宋" w:hAnsi="仿宋" w:eastAsia="仿宋" w:cs="仿宋"/>
                <w:b w:val="0"/>
                <w:bCs/>
                <w:sz w:val="22"/>
                <w:szCs w:val="22"/>
                <w:highlight w:val="none"/>
                <w:lang w:val="en-US" w:eastAsia="zh-CN"/>
              </w:rPr>
            </w:pP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仿宋" w:hAnsi="仿宋" w:eastAsia="仿宋" w:cs="宋体"/>
                <w:b w:val="0"/>
                <w:bCs/>
                <w:kern w:val="0"/>
                <w:sz w:val="22"/>
                <w:szCs w:val="22"/>
                <w:highlight w:val="none"/>
                <w:lang w:val="en-US" w:eastAsia="zh-CN"/>
              </w:rPr>
            </w:pPr>
          </w:p>
        </w:tc>
        <w:tc>
          <w:tcPr>
            <w:tcW w:w="44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10混</w:t>
            </w:r>
          </w:p>
        </w:tc>
        <w:tc>
          <w:tcPr>
            <w:tcW w:w="15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 w:hAnsi="仿宋" w:eastAsia="仿宋" w:cs="宋体"/>
                <w:b w:val="0"/>
                <w:bCs/>
                <w:kern w:val="0"/>
                <w:sz w:val="22"/>
                <w:szCs w:val="22"/>
                <w:highlight w:val="none"/>
                <w:lang w:val="en-US" w:eastAsia="zh-CN"/>
              </w:rPr>
            </w:pPr>
            <w:r>
              <w:rPr>
                <w:rFonts w:hint="eastAsia" w:ascii="仿宋" w:hAnsi="仿宋" w:eastAsia="仿宋" w:cs="宋体"/>
                <w:b w:val="0"/>
                <w:bCs/>
                <w:kern w:val="0"/>
                <w:sz w:val="22"/>
                <w:szCs w:val="22"/>
                <w:highlight w:val="none"/>
                <w:lang w:val="en-US" w:eastAsia="zh-CN"/>
              </w:rPr>
              <w:t>10元/人次</w:t>
            </w:r>
          </w:p>
        </w:tc>
      </w:tr>
    </w:tbl>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③经过现场搜集资料，2021年免费核酸检测人员名单未及时进行整理汇总，目前已无法获取完整、准确的免费检测名单。具体原因如下：</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首先，各检测机构按照相关部门推送的免费检测名单进行检测，但是执行过程的原始资料已丢失；其次，使用的相关软件现已无法使用，无法获取已上传的检测人员信息；最后，医院信息系统中涵盖的免费人员未能够涵盖非就诊人员的名单信息，不能完整体现免费检测人次，针对推送的8类免费检测人员各检测机构未及时进行整理汇总。</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由于准确的免费核酸检测名单已无法获取，但是根据提供部分花名未发现不符合免费核酸检测人员，依据评分标准，本项得0.5分。</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④相关人员对试剂的使用、领用等拥有严格的登记制度，进行出入库管理或使用记录，检测人员符合相关标准持证上岗，得1分；根据运城市卫生健康委员会的官方网站记录，永济市已向社会公布辖区内核酸检测机构名单、工作时间等信息，得1分。</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依据评分标准，本指标得4.5分。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249" w:name="_Toc12570"/>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4</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B2-4组织疫苗接种</w:t>
      </w:r>
      <w:bookmarkEnd w:id="249"/>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本次共设计23个疫苗接种点，包括20个社区接种点，人民医院方仓、中医院临时接种点、电机医院流动接种点3个临时接种点，接种点选择基本覆盖永济市辖区内所有地区，选择合理、科学；新冠疫苗的运输由疾控中心统一负责配送，疾控中心制定了有关免疫规划疫苗管理工作流程，包括入库前、入库、出库、启运等步骤应进行的相关工作，除此以外还制定了有关疫苗保存过程中的冷链管理制度、报废和过期疫苗处置制度等，满足评分点的评分要求。根据评分标准，本指标得1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250" w:name="_Toc24216"/>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5</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B2-5隔离点的管理</w:t>
      </w:r>
      <w:bookmarkEnd w:id="25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kern w:val="2"/>
          <w:sz w:val="28"/>
          <w:szCs w:val="28"/>
          <w:highlight w:val="none"/>
          <w:lang w:val="en-US" w:eastAsia="zh-CN" w:bidi="ar-SA"/>
        </w:rPr>
      </w:pPr>
      <w:bookmarkStart w:id="251" w:name="_Toc19725"/>
      <w:r>
        <w:rPr>
          <w:rFonts w:hint="eastAsia" w:ascii="仿宋" w:hAnsi="仿宋" w:eastAsia="仿宋" w:cs="仿宋"/>
          <w:b w:val="0"/>
          <w:bCs/>
          <w:kern w:val="2"/>
          <w:sz w:val="28"/>
          <w:szCs w:val="28"/>
          <w:highlight w:val="none"/>
          <w:lang w:val="en-US" w:eastAsia="zh-CN" w:bidi="ar-SA"/>
        </w:rPr>
        <w:t>通过搜集相关资料，各隔离点自行制定了相关的管理制度，包括废弃物处置等，但是并未对隔离人员信息如何记录进行统一规定，隔离人员信息记录不完整（例如：是否免费隔离），本项得0.5分；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本次绩效评价获取了滨河隔离酒店、华晟隔离酒店2021年7月之后隔离期间相关执行记录资料，但2021年1月份隔离期间的执行记录未装订成册，管理散乱，部分资料已丢失；鼎泰隔离酒店2021年隔离期间相关执行记录资料已丢失</w:t>
      </w:r>
      <w:bookmarkEnd w:id="251"/>
      <w:r>
        <w:rPr>
          <w:rFonts w:hint="eastAsia" w:ascii="仿宋" w:hAnsi="仿宋" w:eastAsia="仿宋" w:cs="仿宋"/>
          <w:b w:val="0"/>
          <w:bCs/>
          <w:kern w:val="2"/>
          <w:sz w:val="28"/>
          <w:szCs w:val="28"/>
          <w:highlight w:val="none"/>
          <w:lang w:val="en-US" w:eastAsia="zh-CN" w:bidi="ar-SA"/>
        </w:rPr>
        <w:t>，扣1分，</w:t>
      </w:r>
      <w:r>
        <w:rPr>
          <w:rFonts w:hint="eastAsia" w:ascii="仿宋" w:hAnsi="仿宋" w:eastAsia="仿宋" w:cs="仿宋"/>
          <w:sz w:val="28"/>
          <w:szCs w:val="28"/>
          <w:highlight w:val="none"/>
          <w:lang w:val="en-US" w:eastAsia="zh-CN"/>
        </w:rPr>
        <w:t>本项得2分。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b w:val="0"/>
          <w:bCs/>
          <w:kern w:val="2"/>
          <w:sz w:val="28"/>
          <w:szCs w:val="28"/>
          <w:highlight w:val="none"/>
          <w:lang w:val="en-US" w:eastAsia="zh-CN" w:bidi="ar-SA"/>
        </w:rPr>
      </w:pPr>
      <w:bookmarkStart w:id="252" w:name="_Toc14899"/>
      <w:r>
        <w:rPr>
          <w:rFonts w:hint="eastAsia" w:ascii="仿宋" w:hAnsi="仿宋" w:eastAsia="仿宋" w:cs="仿宋"/>
          <w:b w:val="0"/>
          <w:bCs/>
          <w:kern w:val="2"/>
          <w:sz w:val="28"/>
          <w:szCs w:val="28"/>
          <w:highlight w:val="none"/>
          <w:lang w:val="en-US" w:eastAsia="zh-CN" w:bidi="ar-SA"/>
        </w:rPr>
        <w:t>依据评分标准，本指标得2.5分。</w:t>
      </w:r>
      <w:bookmarkEnd w:id="252"/>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253" w:name="_Toc17635"/>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6</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B2-6物资及设备采购管理制度</w:t>
      </w:r>
      <w:bookmarkEnd w:id="253"/>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根据抽查的部分用款单位的财务资料，物资严格按照采购流程进行采购；核酸实验室建设及设备基本按照询价或竞争性磋商的采购方式进行采购，其余单位按照医疗集团的采购要求进行采购，审批流程合规、完整；签订的采购或建设类合同，要素齐全、合法合规；疫情防控采购项目的采购文件、备案资料、凭证等，各单位均归档管理，以备查看。依据评分标准，本指标得2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254" w:name="_Toc8616"/>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7</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B2-7卡点及社区等地防控</w:t>
      </w:r>
      <w:bookmarkEnd w:id="254"/>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由于疫情的常态化，永济市在高铁站、汽车站等相关地点设置相关卡点，按照中高风险的划分标准对返永人员实行“落地核酸+点对点接返+精准赋码+隔离管控”，并及时在人流量大或疫情严重期间增加卡口数量，加大排查力度。依据评分标准，本指标得2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sz w:val="28"/>
          <w:szCs w:val="28"/>
          <w:highlight w:val="none"/>
          <w:lang w:eastAsia="zh-CN"/>
        </w:rPr>
      </w:pPr>
      <w:bookmarkStart w:id="255" w:name="_Toc6096"/>
      <w:bookmarkStart w:id="256" w:name="_Toc7200"/>
      <w:bookmarkStart w:id="257" w:name="_Toc6258"/>
      <w:r>
        <w:rPr>
          <w:rFonts w:hint="eastAsia" w:ascii="仿宋" w:hAnsi="仿宋" w:eastAsia="仿宋" w:cs="仿宋"/>
          <w:b/>
          <w:sz w:val="28"/>
          <w:szCs w:val="28"/>
          <w:highlight w:val="none"/>
          <w:lang w:eastAsia="zh-CN"/>
        </w:rPr>
        <w:t>（三）产出情况分析</w:t>
      </w:r>
      <w:bookmarkEnd w:id="255"/>
      <w:bookmarkEnd w:id="256"/>
      <w:bookmarkEnd w:id="25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bookmarkStart w:id="258" w:name="_Toc24607"/>
      <w:bookmarkStart w:id="259" w:name="_Toc16252"/>
      <w:bookmarkStart w:id="260" w:name="_Toc1342"/>
      <w:bookmarkStart w:id="261" w:name="_Toc29036"/>
      <w:r>
        <w:rPr>
          <w:rFonts w:hint="eastAsia" w:ascii="仿宋" w:hAnsi="仿宋" w:eastAsia="仿宋" w:cs="仿宋"/>
          <w:b w:val="0"/>
          <w:bCs/>
          <w:sz w:val="28"/>
          <w:szCs w:val="28"/>
          <w:highlight w:val="none"/>
          <w:lang w:val="en-US" w:eastAsia="zh-CN"/>
        </w:rPr>
        <w:t>产出情况分别从核酸检测设施完善情况、隔离点隔离情况、紧急接种人员及接种点设施配套情况、发热门诊、防疫工作、产出时效、产出成本七</w:t>
      </w:r>
      <w:r>
        <w:rPr>
          <w:rFonts w:hint="eastAsia" w:ascii="仿宋" w:hAnsi="仿宋" w:eastAsia="仿宋" w:cs="仿宋"/>
          <w:sz w:val="28"/>
          <w:szCs w:val="28"/>
          <w:highlight w:val="none"/>
        </w:rPr>
        <w:t>个方面进行分析，共设置</w:t>
      </w:r>
      <w:r>
        <w:rPr>
          <w:rFonts w:hint="eastAsia" w:ascii="仿宋" w:hAnsi="仿宋" w:eastAsia="仿宋" w:cs="仿宋"/>
          <w:sz w:val="28"/>
          <w:szCs w:val="28"/>
          <w:highlight w:val="none"/>
          <w:lang w:val="en-US" w:eastAsia="zh-CN"/>
        </w:rPr>
        <w:t>六</w:t>
      </w:r>
      <w:r>
        <w:rPr>
          <w:rFonts w:hint="eastAsia" w:ascii="仿宋" w:hAnsi="仿宋" w:eastAsia="仿宋" w:cs="仿宋"/>
          <w:sz w:val="28"/>
          <w:szCs w:val="28"/>
          <w:highlight w:val="none"/>
        </w:rPr>
        <w:t>个二级指标</w:t>
      </w:r>
      <w:r>
        <w:rPr>
          <w:rFonts w:hint="eastAsia" w:ascii="仿宋" w:hAnsi="仿宋" w:eastAsia="仿宋" w:cs="仿宋"/>
          <w:sz w:val="28"/>
          <w:szCs w:val="28"/>
          <w:highlight w:val="none"/>
          <w:lang w:val="en-US" w:eastAsia="zh-CN"/>
        </w:rPr>
        <w:t>十</w:t>
      </w:r>
      <w:r>
        <w:rPr>
          <w:rFonts w:hint="eastAsia" w:ascii="仿宋" w:hAnsi="仿宋" w:eastAsia="仿宋" w:cs="仿宋"/>
          <w:sz w:val="28"/>
          <w:szCs w:val="28"/>
          <w:highlight w:val="none"/>
        </w:rPr>
        <w:t>个三级指标。产出类指标分值</w:t>
      </w:r>
      <w:r>
        <w:rPr>
          <w:rFonts w:hint="eastAsia" w:ascii="仿宋" w:hAnsi="仿宋" w:eastAsia="仿宋" w:cs="仿宋"/>
          <w:sz w:val="28"/>
          <w:szCs w:val="28"/>
          <w:highlight w:val="none"/>
          <w:lang w:val="en-US" w:eastAsia="zh-CN"/>
        </w:rPr>
        <w:t>30</w:t>
      </w:r>
      <w:r>
        <w:rPr>
          <w:rFonts w:hint="eastAsia" w:ascii="仿宋" w:hAnsi="仿宋" w:eastAsia="仿宋" w:cs="仿宋"/>
          <w:sz w:val="28"/>
          <w:szCs w:val="28"/>
          <w:highlight w:val="none"/>
        </w:rPr>
        <w:t>分，实际得分</w:t>
      </w:r>
      <w:r>
        <w:rPr>
          <w:rFonts w:hint="eastAsia" w:ascii="仿宋" w:hAnsi="仿宋" w:eastAsia="仿宋" w:cs="仿宋"/>
          <w:sz w:val="28"/>
          <w:szCs w:val="28"/>
          <w:highlight w:val="none"/>
          <w:lang w:val="en-US" w:eastAsia="zh-CN"/>
        </w:rPr>
        <w:t>23.30</w:t>
      </w:r>
      <w:r>
        <w:rPr>
          <w:rFonts w:hint="eastAsia" w:ascii="仿宋" w:hAnsi="仿宋" w:eastAsia="仿宋" w:cs="仿宋"/>
          <w:sz w:val="28"/>
          <w:szCs w:val="28"/>
          <w:highlight w:val="none"/>
        </w:rPr>
        <w:t>分，得分率</w:t>
      </w:r>
      <w:r>
        <w:rPr>
          <w:rFonts w:hint="eastAsia" w:ascii="仿宋" w:hAnsi="仿宋" w:eastAsia="仿宋" w:cs="仿宋"/>
          <w:sz w:val="28"/>
          <w:szCs w:val="28"/>
          <w:highlight w:val="none"/>
          <w:lang w:val="en-US" w:eastAsia="zh-CN"/>
        </w:rPr>
        <w:t>77.67</w:t>
      </w:r>
      <w:r>
        <w:rPr>
          <w:rFonts w:ascii="仿宋" w:hAnsi="仿宋" w:eastAsia="仿宋" w:cs="仿宋"/>
          <w:sz w:val="28"/>
          <w:szCs w:val="28"/>
          <w:highlight w:val="none"/>
        </w:rPr>
        <w:t>%</w:t>
      </w:r>
      <w:r>
        <w:rPr>
          <w:rFonts w:hint="eastAsia" w:ascii="仿宋" w:hAnsi="仿宋" w:eastAsia="仿宋" w:cs="仿宋"/>
          <w:sz w:val="28"/>
          <w:szCs w:val="28"/>
          <w:highlight w:val="none"/>
        </w:rPr>
        <w:t>。各分项指标得分情况如下表</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3</w:t>
      </w:r>
      <w:r>
        <w:rPr>
          <w:rFonts w:ascii="仿宋" w:hAnsi="仿宋" w:eastAsia="仿宋" w:cs="仿宋"/>
          <w:sz w:val="28"/>
          <w:szCs w:val="28"/>
          <w:highlight w:val="none"/>
        </w:rPr>
        <w:t>所示</w:t>
      </w:r>
      <w:r>
        <w:rPr>
          <w:rFonts w:hint="eastAsia" w:ascii="仿宋" w:hAnsi="仿宋" w:eastAsia="仿宋" w:cs="仿宋"/>
          <w:sz w:val="28"/>
          <w:szCs w:val="28"/>
          <w:highlight w:val="none"/>
        </w:rPr>
        <w:t>：</w:t>
      </w:r>
      <w:bookmarkEnd w:id="258"/>
      <w:bookmarkEnd w:id="259"/>
      <w:bookmarkEnd w:id="260"/>
      <w:bookmarkEnd w:id="26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ascii="仿宋" w:hAnsi="仿宋" w:eastAsia="仿宋" w:cs="仿宋"/>
          <w:b/>
          <w:sz w:val="28"/>
          <w:szCs w:val="28"/>
          <w:highlight w:val="none"/>
        </w:rPr>
      </w:pPr>
      <w:bookmarkStart w:id="262" w:name="_Toc6621"/>
      <w:bookmarkStart w:id="263" w:name="_Toc32572_WPSOffice_Level2"/>
      <w:bookmarkStart w:id="264" w:name="_Toc641_WPSOffice_Level2"/>
      <w:bookmarkStart w:id="265" w:name="_Toc2795_WPSOffice_Level2"/>
      <w:bookmarkStart w:id="266" w:name="_Toc30454_WPSOffice_Level2"/>
      <w:bookmarkStart w:id="267" w:name="_Toc9615"/>
      <w:bookmarkStart w:id="268" w:name="_Toc13458_WPSOffice_Level2"/>
      <w:bookmarkStart w:id="269" w:name="_Toc15966_WPSOffice_Level2"/>
      <w:bookmarkStart w:id="270" w:name="_Toc30096_WPSOffice_Level2"/>
      <w:bookmarkStart w:id="271" w:name="_Toc19184_WPSOffice_Level2"/>
      <w:bookmarkStart w:id="272" w:name="_Toc24214"/>
      <w:bookmarkStart w:id="273" w:name="_Toc14655"/>
      <w:bookmarkStart w:id="274" w:name="_Toc23439_WPSOffice_Level2"/>
      <w:bookmarkStart w:id="275" w:name="_Toc3031_WPSOffice_Level2"/>
      <w:r>
        <w:rPr>
          <w:rFonts w:hint="eastAsia" w:ascii="仿宋" w:hAnsi="仿宋" w:eastAsia="仿宋" w:cs="仿宋"/>
          <w:b/>
          <w:sz w:val="28"/>
          <w:szCs w:val="28"/>
          <w:highlight w:val="none"/>
        </w:rPr>
        <w:t>表</w:t>
      </w:r>
      <w:r>
        <w:rPr>
          <w:rFonts w:hint="eastAsia" w:ascii="仿宋" w:hAnsi="仿宋" w:eastAsia="仿宋" w:cs="仿宋"/>
          <w:b/>
          <w:sz w:val="28"/>
          <w:szCs w:val="28"/>
          <w:highlight w:val="none"/>
          <w:lang w:val="en-US" w:eastAsia="zh-CN"/>
        </w:rPr>
        <w:t>4</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3</w:t>
      </w:r>
      <w:r>
        <w:rPr>
          <w:rFonts w:ascii="仿宋" w:hAnsi="仿宋" w:eastAsia="仿宋" w:cs="仿宋"/>
          <w:b/>
          <w:sz w:val="28"/>
          <w:szCs w:val="28"/>
          <w:highlight w:val="none"/>
        </w:rPr>
        <w:t xml:space="preserve"> 产出</w:t>
      </w:r>
      <w:r>
        <w:rPr>
          <w:rFonts w:hint="eastAsia" w:ascii="仿宋" w:hAnsi="仿宋" w:eastAsia="仿宋" w:cs="仿宋"/>
          <w:b/>
          <w:sz w:val="28"/>
          <w:szCs w:val="28"/>
          <w:highlight w:val="none"/>
        </w:rPr>
        <w:t>类指标得分情况</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tbl>
      <w:tblPr>
        <w:tblStyle w:val="10"/>
        <w:tblW w:w="8404" w:type="dxa"/>
        <w:tblInd w:w="0" w:type="dxa"/>
        <w:tblLayout w:type="fixed"/>
        <w:tblCellMar>
          <w:top w:w="0" w:type="dxa"/>
          <w:left w:w="108" w:type="dxa"/>
          <w:bottom w:w="0" w:type="dxa"/>
          <w:right w:w="108" w:type="dxa"/>
        </w:tblCellMar>
      </w:tblPr>
      <w:tblGrid>
        <w:gridCol w:w="1878"/>
        <w:gridCol w:w="4346"/>
        <w:gridCol w:w="1100"/>
        <w:gridCol w:w="1080"/>
      </w:tblGrid>
      <w:tr>
        <w:tblPrEx>
          <w:tblCellMar>
            <w:top w:w="0" w:type="dxa"/>
            <w:left w:w="108" w:type="dxa"/>
            <w:bottom w:w="0" w:type="dxa"/>
            <w:right w:w="108" w:type="dxa"/>
          </w:tblCellMar>
        </w:tblPrEx>
        <w:trPr>
          <w:trHeight w:val="425" w:hRule="atLeast"/>
          <w:tblHeader/>
        </w:trPr>
        <w:tc>
          <w:tcPr>
            <w:tcW w:w="187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jc w:val="center"/>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二级指标</w:t>
            </w:r>
          </w:p>
        </w:tc>
        <w:tc>
          <w:tcPr>
            <w:tcW w:w="4346"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widowControl/>
              <w:jc w:val="center"/>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三级指标</w:t>
            </w:r>
          </w:p>
        </w:tc>
        <w:tc>
          <w:tcPr>
            <w:tcW w:w="1100"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widowControl/>
              <w:jc w:val="center"/>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权重</w:t>
            </w:r>
          </w:p>
        </w:tc>
        <w:tc>
          <w:tcPr>
            <w:tcW w:w="1080"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widowControl/>
              <w:jc w:val="center"/>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得分</w:t>
            </w:r>
          </w:p>
        </w:tc>
      </w:tr>
      <w:tr>
        <w:tblPrEx>
          <w:tblCellMar>
            <w:top w:w="0" w:type="dxa"/>
            <w:left w:w="108" w:type="dxa"/>
            <w:bottom w:w="0" w:type="dxa"/>
            <w:right w:w="108" w:type="dxa"/>
          </w:tblCellMar>
        </w:tblPrEx>
        <w:trPr>
          <w:trHeight w:val="425" w:hRule="atLeast"/>
        </w:trPr>
        <w:tc>
          <w:tcPr>
            <w:tcW w:w="1878" w:type="dxa"/>
            <w:vMerge w:val="restart"/>
            <w:tcBorders>
              <w:top w:val="single" w:color="auto" w:sz="4" w:space="0"/>
              <w:left w:val="single" w:color="auto" w:sz="4" w:space="0"/>
              <w:right w:val="single" w:color="auto" w:sz="4" w:space="0"/>
            </w:tcBorders>
            <w:shd w:val="clear" w:color="auto" w:fill="auto"/>
            <w:vAlign w:val="center"/>
          </w:tcPr>
          <w:p>
            <w:pPr>
              <w:jc w:val="center"/>
              <w:rPr>
                <w:rFonts w:hint="eastAsia"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C1核酸检测设施完善情况</w:t>
            </w: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C1-1核酸检测设施完成情况</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6.00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6.00</w:t>
            </w:r>
          </w:p>
        </w:tc>
      </w:tr>
      <w:tr>
        <w:tblPrEx>
          <w:tblCellMar>
            <w:top w:w="0" w:type="dxa"/>
            <w:left w:w="108" w:type="dxa"/>
            <w:bottom w:w="0" w:type="dxa"/>
            <w:right w:w="108" w:type="dxa"/>
          </w:tblCellMar>
        </w:tblPrEx>
        <w:trPr>
          <w:trHeight w:val="425" w:hRule="atLeast"/>
        </w:trPr>
        <w:tc>
          <w:tcPr>
            <w:tcW w:w="1878" w:type="dxa"/>
            <w:vMerge w:val="continue"/>
            <w:tcBorders>
              <w:left w:val="single" w:color="auto" w:sz="4" w:space="0"/>
              <w:right w:val="single" w:color="auto" w:sz="4" w:space="0"/>
            </w:tcBorders>
            <w:shd w:val="clear" w:color="auto" w:fill="auto"/>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C1-2核酸检测质量保障情况</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5.00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4.00</w:t>
            </w:r>
          </w:p>
        </w:tc>
      </w:tr>
      <w:tr>
        <w:tblPrEx>
          <w:tblCellMar>
            <w:top w:w="0" w:type="dxa"/>
            <w:left w:w="108" w:type="dxa"/>
            <w:bottom w:w="0" w:type="dxa"/>
            <w:right w:w="108" w:type="dxa"/>
          </w:tblCellMar>
        </w:tblPrEx>
        <w:trPr>
          <w:trHeight w:val="425" w:hRule="atLeast"/>
        </w:trPr>
        <w:tc>
          <w:tcPr>
            <w:tcW w:w="1878"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小计</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11.00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10.00</w:t>
            </w:r>
          </w:p>
        </w:tc>
      </w:tr>
      <w:tr>
        <w:tblPrEx>
          <w:tblCellMar>
            <w:top w:w="0" w:type="dxa"/>
            <w:left w:w="108" w:type="dxa"/>
            <w:bottom w:w="0" w:type="dxa"/>
            <w:right w:w="108" w:type="dxa"/>
          </w:tblCellMar>
        </w:tblPrEx>
        <w:trPr>
          <w:trHeight w:val="425" w:hRule="atLeast"/>
        </w:trPr>
        <w:tc>
          <w:tcPr>
            <w:tcW w:w="1878"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C2隔离点隔离情况</w:t>
            </w:r>
          </w:p>
        </w:tc>
        <w:tc>
          <w:tcPr>
            <w:tcW w:w="4346" w:type="dxa"/>
            <w:tcBorders>
              <w:top w:val="single" w:color="auto" w:sz="4" w:space="0"/>
              <w:left w:val="nil"/>
              <w:right w:val="single" w:color="auto" w:sz="4" w:space="0"/>
            </w:tcBorders>
            <w:shd w:val="clear" w:color="auto" w:fill="auto"/>
            <w:vAlign w:val="center"/>
          </w:tcPr>
          <w:p>
            <w:pPr>
              <w:widowControl/>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C1-1隔离点数量</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1.00</w:t>
            </w:r>
          </w:p>
        </w:tc>
      </w:tr>
      <w:tr>
        <w:tblPrEx>
          <w:tblCellMar>
            <w:top w:w="0" w:type="dxa"/>
            <w:left w:w="108" w:type="dxa"/>
            <w:bottom w:w="0" w:type="dxa"/>
            <w:right w:w="108" w:type="dxa"/>
          </w:tblCellMar>
        </w:tblPrEx>
        <w:trPr>
          <w:trHeight w:val="425" w:hRule="atLeast"/>
        </w:trPr>
        <w:tc>
          <w:tcPr>
            <w:tcW w:w="1878" w:type="dxa"/>
            <w:vMerge w:val="continue"/>
            <w:tcBorders>
              <w:left w:val="single" w:color="auto" w:sz="4" w:space="0"/>
              <w:right w:val="single" w:color="auto" w:sz="4" w:space="0"/>
            </w:tcBorders>
            <w:shd w:val="clear" w:color="auto" w:fill="auto"/>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right w:val="single" w:color="auto" w:sz="4" w:space="0"/>
            </w:tcBorders>
            <w:shd w:val="clear" w:color="auto" w:fill="auto"/>
            <w:vAlign w:val="center"/>
          </w:tcPr>
          <w:p>
            <w:pPr>
              <w:widowControl/>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C1-2隔离点运营情况</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2.00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1.00</w:t>
            </w:r>
          </w:p>
        </w:tc>
      </w:tr>
      <w:tr>
        <w:tblPrEx>
          <w:tblCellMar>
            <w:top w:w="0" w:type="dxa"/>
            <w:left w:w="108" w:type="dxa"/>
            <w:bottom w:w="0" w:type="dxa"/>
            <w:right w:w="108" w:type="dxa"/>
          </w:tblCellMar>
        </w:tblPrEx>
        <w:trPr>
          <w:trHeight w:val="425" w:hRule="atLeast"/>
        </w:trPr>
        <w:tc>
          <w:tcPr>
            <w:tcW w:w="1878" w:type="dxa"/>
            <w:vMerge w:val="continue"/>
            <w:tcBorders>
              <w:left w:val="single" w:color="auto" w:sz="4" w:space="0"/>
              <w:right w:val="single" w:color="auto" w:sz="4" w:space="0"/>
            </w:tcBorders>
            <w:shd w:val="clear" w:color="auto" w:fill="auto"/>
            <w:vAlign w:val="center"/>
          </w:tcPr>
          <w:p>
            <w:pPr>
              <w:jc w:val="center"/>
              <w:rPr>
                <w:rFonts w:hint="default" w:ascii="仿宋" w:hAnsi="仿宋" w:eastAsia="仿宋" w:cs="仿宋"/>
                <w:b w:val="0"/>
                <w:bCs/>
                <w:sz w:val="22"/>
                <w:szCs w:val="22"/>
                <w:highlight w:val="none"/>
                <w:lang w:val="en-US" w:eastAsia="zh-CN"/>
              </w:rPr>
            </w:pPr>
          </w:p>
        </w:tc>
        <w:tc>
          <w:tcPr>
            <w:tcW w:w="4346" w:type="dxa"/>
            <w:tcBorders>
              <w:top w:val="single" w:color="auto" w:sz="4" w:space="0"/>
              <w:left w:val="nil"/>
              <w:right w:val="single" w:color="auto" w:sz="4" w:space="0"/>
            </w:tcBorders>
            <w:shd w:val="clear" w:color="auto" w:fill="auto"/>
            <w:vAlign w:val="center"/>
          </w:tcPr>
          <w:p>
            <w:pPr>
              <w:widowControl/>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C1-3隔离点质量保障情况</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3.00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1.00</w:t>
            </w:r>
          </w:p>
        </w:tc>
      </w:tr>
      <w:tr>
        <w:tblPrEx>
          <w:tblCellMar>
            <w:top w:w="0" w:type="dxa"/>
            <w:left w:w="108" w:type="dxa"/>
            <w:bottom w:w="0" w:type="dxa"/>
            <w:right w:w="108" w:type="dxa"/>
          </w:tblCellMar>
        </w:tblPrEx>
        <w:trPr>
          <w:trHeight w:val="425" w:hRule="atLeast"/>
        </w:trPr>
        <w:tc>
          <w:tcPr>
            <w:tcW w:w="1878"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小计</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6.00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3.00</w:t>
            </w:r>
          </w:p>
        </w:tc>
      </w:tr>
      <w:tr>
        <w:tblPrEx>
          <w:tblCellMar>
            <w:top w:w="0" w:type="dxa"/>
            <w:left w:w="108" w:type="dxa"/>
            <w:bottom w:w="0" w:type="dxa"/>
            <w:right w:w="108" w:type="dxa"/>
          </w:tblCellMar>
        </w:tblPrEx>
        <w:trPr>
          <w:trHeight w:val="425" w:hRule="atLeast"/>
        </w:trPr>
        <w:tc>
          <w:tcPr>
            <w:tcW w:w="1878"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C3紧急接种人员及接种点设施配套情况</w:t>
            </w:r>
          </w:p>
        </w:tc>
        <w:tc>
          <w:tcPr>
            <w:tcW w:w="4346" w:type="dxa"/>
            <w:tcBorders>
              <w:top w:val="single" w:color="auto" w:sz="4" w:space="0"/>
              <w:left w:val="nil"/>
              <w:bottom w:val="nil"/>
              <w:right w:val="single" w:color="auto" w:sz="4" w:space="0"/>
            </w:tcBorders>
            <w:shd w:val="clear" w:color="auto" w:fill="auto"/>
            <w:vAlign w:val="center"/>
          </w:tcPr>
          <w:p>
            <w:pPr>
              <w:widowControl/>
              <w:rPr>
                <w:rFonts w:hint="default" w:ascii="仿宋" w:hAnsi="仿宋" w:eastAsia="仿宋" w:cs="宋体"/>
                <w:kern w:val="0"/>
                <w:sz w:val="22"/>
                <w:szCs w:val="22"/>
                <w:highlight w:val="none"/>
                <w:lang w:val="en-US"/>
              </w:rPr>
            </w:pPr>
            <w:r>
              <w:rPr>
                <w:rFonts w:hint="eastAsia" w:ascii="仿宋" w:hAnsi="仿宋" w:eastAsia="仿宋" w:cs="宋体"/>
                <w:kern w:val="0"/>
                <w:sz w:val="22"/>
                <w:szCs w:val="22"/>
                <w:highlight w:val="none"/>
                <w:lang w:val="en-US" w:eastAsia="zh-CN"/>
              </w:rPr>
              <w:t>C3-1紧急接种人员疫苗接种完成情况</w:t>
            </w:r>
          </w:p>
        </w:tc>
        <w:tc>
          <w:tcPr>
            <w:tcW w:w="1100" w:type="dxa"/>
            <w:tcBorders>
              <w:top w:val="single" w:color="auto" w:sz="4" w:space="0"/>
              <w:left w:val="nil"/>
              <w:bottom w:val="nil"/>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2.00</w:t>
            </w:r>
          </w:p>
        </w:tc>
        <w:tc>
          <w:tcPr>
            <w:tcW w:w="1080" w:type="dxa"/>
            <w:tcBorders>
              <w:top w:val="single" w:color="auto" w:sz="4" w:space="0"/>
              <w:left w:val="nil"/>
              <w:bottom w:val="nil"/>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1.50</w:t>
            </w:r>
          </w:p>
        </w:tc>
      </w:tr>
      <w:tr>
        <w:tblPrEx>
          <w:tblCellMar>
            <w:top w:w="0" w:type="dxa"/>
            <w:left w:w="108" w:type="dxa"/>
            <w:bottom w:w="0" w:type="dxa"/>
            <w:right w:w="108" w:type="dxa"/>
          </w:tblCellMar>
        </w:tblPrEx>
        <w:trPr>
          <w:trHeight w:val="425" w:hRule="atLeast"/>
        </w:trPr>
        <w:tc>
          <w:tcPr>
            <w:tcW w:w="1878" w:type="dxa"/>
            <w:vMerge w:val="continue"/>
            <w:tcBorders>
              <w:left w:val="single" w:color="auto" w:sz="4" w:space="0"/>
              <w:right w:val="single" w:color="auto" w:sz="4" w:space="0"/>
            </w:tcBorders>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rPr>
                <w:rFonts w:hint="default" w:ascii="仿宋" w:hAnsi="仿宋" w:eastAsia="仿宋" w:cs="宋体"/>
                <w:kern w:val="0"/>
                <w:sz w:val="22"/>
                <w:szCs w:val="22"/>
                <w:highlight w:val="none"/>
                <w:lang w:val="en-US"/>
              </w:rPr>
            </w:pPr>
            <w:r>
              <w:rPr>
                <w:rFonts w:hint="eastAsia" w:ascii="仿宋" w:hAnsi="仿宋" w:eastAsia="仿宋" w:cs="宋体"/>
                <w:kern w:val="0"/>
                <w:sz w:val="22"/>
                <w:szCs w:val="22"/>
                <w:highlight w:val="none"/>
                <w:lang w:val="en-US" w:eastAsia="zh-CN"/>
              </w:rPr>
              <w:t>C3-2接种点设施配套情况</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3.00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3.00</w:t>
            </w:r>
          </w:p>
        </w:tc>
      </w:tr>
      <w:tr>
        <w:tblPrEx>
          <w:tblCellMar>
            <w:top w:w="0" w:type="dxa"/>
            <w:left w:w="108" w:type="dxa"/>
            <w:bottom w:w="0" w:type="dxa"/>
            <w:right w:w="108" w:type="dxa"/>
          </w:tblCellMar>
        </w:tblPrEx>
        <w:trPr>
          <w:trHeight w:val="425" w:hRule="atLeast"/>
        </w:trPr>
        <w:tc>
          <w:tcPr>
            <w:tcW w:w="1878"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bottom w:val="nil"/>
              <w:right w:val="single" w:color="auto" w:sz="4"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小计</w:t>
            </w:r>
          </w:p>
        </w:tc>
        <w:tc>
          <w:tcPr>
            <w:tcW w:w="1100" w:type="dxa"/>
            <w:tcBorders>
              <w:top w:val="single" w:color="auto" w:sz="4" w:space="0"/>
              <w:left w:val="nil"/>
              <w:bottom w:val="nil"/>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5.00</w:t>
            </w:r>
          </w:p>
        </w:tc>
        <w:tc>
          <w:tcPr>
            <w:tcW w:w="1080" w:type="dxa"/>
            <w:tcBorders>
              <w:top w:val="single" w:color="auto" w:sz="4" w:space="0"/>
              <w:left w:val="nil"/>
              <w:bottom w:val="nil"/>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4.50</w:t>
            </w:r>
          </w:p>
        </w:tc>
      </w:tr>
      <w:tr>
        <w:tblPrEx>
          <w:tblCellMar>
            <w:top w:w="0" w:type="dxa"/>
            <w:left w:w="108" w:type="dxa"/>
            <w:bottom w:w="0" w:type="dxa"/>
            <w:right w:w="108" w:type="dxa"/>
          </w:tblCellMar>
        </w:tblPrEx>
        <w:trPr>
          <w:trHeight w:val="425" w:hRule="atLeast"/>
        </w:trPr>
        <w:tc>
          <w:tcPr>
            <w:tcW w:w="1878" w:type="dxa"/>
            <w:vMerge w:val="restart"/>
            <w:tcBorders>
              <w:left w:val="single" w:color="auto" w:sz="4" w:space="0"/>
              <w:right w:val="single" w:color="auto" w:sz="4" w:space="0"/>
            </w:tcBorders>
            <w:shd w:val="clear" w:color="auto" w:fill="auto"/>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C4发热门诊</w:t>
            </w:r>
          </w:p>
        </w:tc>
        <w:tc>
          <w:tcPr>
            <w:tcW w:w="4346" w:type="dxa"/>
            <w:tcBorders>
              <w:top w:val="single" w:color="auto" w:sz="4" w:space="0"/>
              <w:left w:val="nil"/>
              <w:bottom w:val="nil"/>
              <w:right w:val="single" w:color="auto" w:sz="4" w:space="0"/>
            </w:tcBorders>
            <w:shd w:val="clear" w:color="auto" w:fill="auto"/>
            <w:vAlign w:val="center"/>
          </w:tcPr>
          <w:p>
            <w:pPr>
              <w:widowControl/>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发热门诊建设及使用情况</w:t>
            </w:r>
          </w:p>
        </w:tc>
        <w:tc>
          <w:tcPr>
            <w:tcW w:w="1100" w:type="dxa"/>
            <w:tcBorders>
              <w:top w:val="single" w:color="auto" w:sz="4" w:space="0"/>
              <w:left w:val="nil"/>
              <w:bottom w:val="nil"/>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1.00</w:t>
            </w:r>
          </w:p>
        </w:tc>
        <w:tc>
          <w:tcPr>
            <w:tcW w:w="1080" w:type="dxa"/>
            <w:tcBorders>
              <w:top w:val="single" w:color="auto" w:sz="4" w:space="0"/>
              <w:left w:val="nil"/>
              <w:bottom w:val="nil"/>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1.00</w:t>
            </w:r>
          </w:p>
        </w:tc>
      </w:tr>
      <w:tr>
        <w:tblPrEx>
          <w:tblCellMar>
            <w:top w:w="0" w:type="dxa"/>
            <w:left w:w="108" w:type="dxa"/>
            <w:bottom w:w="0" w:type="dxa"/>
            <w:right w:w="108" w:type="dxa"/>
          </w:tblCellMar>
        </w:tblPrEx>
        <w:trPr>
          <w:trHeight w:val="425" w:hRule="atLeast"/>
        </w:trPr>
        <w:tc>
          <w:tcPr>
            <w:tcW w:w="1878"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2"/>
                <w:szCs w:val="22"/>
                <w:highlight w:val="none"/>
              </w:rPr>
            </w:pPr>
            <w:r>
              <w:rPr>
                <w:rFonts w:hint="eastAsia" w:ascii="仿宋" w:hAnsi="仿宋" w:eastAsia="仿宋" w:cs="宋体"/>
                <w:kern w:val="0"/>
                <w:sz w:val="22"/>
                <w:szCs w:val="22"/>
                <w:highlight w:val="none"/>
              </w:rPr>
              <w:t>小计</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1.00</w:t>
            </w:r>
          </w:p>
        </w:tc>
      </w:tr>
      <w:tr>
        <w:tblPrEx>
          <w:tblCellMar>
            <w:top w:w="0" w:type="dxa"/>
            <w:left w:w="108" w:type="dxa"/>
            <w:bottom w:w="0" w:type="dxa"/>
            <w:right w:w="108" w:type="dxa"/>
          </w:tblCellMar>
        </w:tblPrEx>
        <w:trPr>
          <w:trHeight w:val="425" w:hRule="atLeast"/>
        </w:trPr>
        <w:tc>
          <w:tcPr>
            <w:tcW w:w="187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C5防疫工作</w:t>
            </w: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jc w:val="both"/>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卡点防控情况</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2.00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1.80</w:t>
            </w:r>
          </w:p>
        </w:tc>
      </w:tr>
      <w:tr>
        <w:tblPrEx>
          <w:tblCellMar>
            <w:top w:w="0" w:type="dxa"/>
            <w:left w:w="108" w:type="dxa"/>
            <w:bottom w:w="0" w:type="dxa"/>
            <w:right w:w="108" w:type="dxa"/>
          </w:tblCellMar>
        </w:tblPrEx>
        <w:trPr>
          <w:trHeight w:val="425" w:hRule="atLeast"/>
        </w:trPr>
        <w:tc>
          <w:tcPr>
            <w:tcW w:w="187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小计</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2.00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1.80</w:t>
            </w:r>
          </w:p>
        </w:tc>
      </w:tr>
      <w:tr>
        <w:tblPrEx>
          <w:tblCellMar>
            <w:top w:w="0" w:type="dxa"/>
            <w:left w:w="108" w:type="dxa"/>
            <w:bottom w:w="0" w:type="dxa"/>
            <w:right w:w="108" w:type="dxa"/>
          </w:tblCellMar>
        </w:tblPrEx>
        <w:trPr>
          <w:trHeight w:val="425" w:hRule="atLeast"/>
        </w:trPr>
        <w:tc>
          <w:tcPr>
            <w:tcW w:w="187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C6产出时效</w:t>
            </w:r>
          </w:p>
        </w:tc>
        <w:tc>
          <w:tcPr>
            <w:tcW w:w="43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完成及时情况</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2.00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2.00</w:t>
            </w:r>
          </w:p>
        </w:tc>
      </w:tr>
      <w:tr>
        <w:tblPrEx>
          <w:tblCellMar>
            <w:top w:w="0" w:type="dxa"/>
            <w:left w:w="108" w:type="dxa"/>
            <w:bottom w:w="0" w:type="dxa"/>
            <w:right w:w="108" w:type="dxa"/>
          </w:tblCellMar>
        </w:tblPrEx>
        <w:trPr>
          <w:trHeight w:val="425" w:hRule="atLeast"/>
        </w:trPr>
        <w:tc>
          <w:tcPr>
            <w:tcW w:w="1878"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小计</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2.00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2.00</w:t>
            </w:r>
          </w:p>
        </w:tc>
      </w:tr>
      <w:tr>
        <w:tblPrEx>
          <w:tblCellMar>
            <w:top w:w="0" w:type="dxa"/>
            <w:left w:w="108" w:type="dxa"/>
            <w:bottom w:w="0" w:type="dxa"/>
            <w:right w:w="108" w:type="dxa"/>
          </w:tblCellMar>
        </w:tblPrEx>
        <w:trPr>
          <w:trHeight w:val="425" w:hRule="atLeast"/>
        </w:trPr>
        <w:tc>
          <w:tcPr>
            <w:tcW w:w="1878" w:type="dxa"/>
            <w:tcBorders>
              <w:left w:val="single" w:color="auto" w:sz="4" w:space="0"/>
              <w:bottom w:val="single" w:color="auto" w:sz="4" w:space="0"/>
              <w:right w:val="single" w:color="auto" w:sz="4" w:space="0"/>
            </w:tcBorders>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C7产出成本</w:t>
            </w: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成本节约情况</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3.00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1.00</w:t>
            </w:r>
          </w:p>
        </w:tc>
      </w:tr>
      <w:tr>
        <w:tblPrEx>
          <w:tblCellMar>
            <w:top w:w="0" w:type="dxa"/>
            <w:left w:w="108" w:type="dxa"/>
            <w:bottom w:w="0" w:type="dxa"/>
            <w:right w:w="108" w:type="dxa"/>
          </w:tblCellMar>
        </w:tblPrEx>
        <w:trPr>
          <w:trHeight w:val="425" w:hRule="atLeast"/>
        </w:trPr>
        <w:tc>
          <w:tcPr>
            <w:tcW w:w="1878" w:type="dxa"/>
            <w:tcBorders>
              <w:left w:val="single" w:color="auto" w:sz="4" w:space="0"/>
              <w:bottom w:val="single" w:color="auto" w:sz="4" w:space="0"/>
              <w:right w:val="single" w:color="auto" w:sz="4" w:space="0"/>
            </w:tcBorders>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小计</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3.00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1.00</w:t>
            </w:r>
          </w:p>
        </w:tc>
      </w:tr>
      <w:tr>
        <w:tblPrEx>
          <w:tblCellMar>
            <w:top w:w="0" w:type="dxa"/>
            <w:left w:w="108" w:type="dxa"/>
            <w:bottom w:w="0" w:type="dxa"/>
            <w:right w:w="108" w:type="dxa"/>
          </w:tblCellMar>
        </w:tblPrEx>
        <w:trPr>
          <w:trHeight w:val="425" w:hRule="atLeast"/>
        </w:trPr>
        <w:tc>
          <w:tcPr>
            <w:tcW w:w="1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kern w:val="0"/>
                <w:sz w:val="22"/>
                <w:szCs w:val="22"/>
                <w:highlight w:val="none"/>
              </w:rPr>
            </w:pPr>
            <w:r>
              <w:rPr>
                <w:rFonts w:hint="eastAsia" w:ascii="仿宋" w:hAnsi="仿宋" w:eastAsia="仿宋" w:cs="宋体"/>
                <w:b/>
                <w:kern w:val="0"/>
                <w:sz w:val="22"/>
                <w:szCs w:val="22"/>
                <w:highlight w:val="none"/>
              </w:rPr>
              <w:t>产出</w:t>
            </w:r>
          </w:p>
        </w:tc>
        <w:tc>
          <w:tcPr>
            <w:tcW w:w="43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kern w:val="0"/>
                <w:sz w:val="22"/>
                <w:szCs w:val="22"/>
                <w:highlight w:val="none"/>
              </w:rPr>
            </w:pPr>
            <w:r>
              <w:rPr>
                <w:rFonts w:hint="eastAsia" w:ascii="仿宋" w:hAnsi="仿宋" w:eastAsia="仿宋" w:cs="宋体"/>
                <w:b/>
                <w:kern w:val="0"/>
                <w:sz w:val="22"/>
                <w:szCs w:val="22"/>
                <w:highlight w:val="none"/>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b/>
                <w:bCs/>
                <w:kern w:val="0"/>
                <w:sz w:val="22"/>
                <w:szCs w:val="22"/>
                <w:highlight w:val="none"/>
                <w:lang w:val="en-US" w:eastAsia="zh-CN"/>
              </w:rPr>
            </w:pPr>
            <w:r>
              <w:rPr>
                <w:rFonts w:hint="eastAsia" w:ascii="仿宋" w:hAnsi="仿宋" w:eastAsia="仿宋" w:cs="宋体"/>
                <w:b/>
                <w:bCs/>
                <w:kern w:val="0"/>
                <w:sz w:val="22"/>
                <w:szCs w:val="22"/>
                <w:highlight w:val="none"/>
                <w:lang w:val="en-US" w:eastAsia="zh-CN"/>
              </w:rPr>
              <w:t>30.00</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b/>
                <w:bCs/>
                <w:kern w:val="0"/>
                <w:sz w:val="22"/>
                <w:szCs w:val="22"/>
                <w:highlight w:val="none"/>
                <w:lang w:val="en-US" w:eastAsia="zh-CN"/>
              </w:rPr>
            </w:pPr>
            <w:r>
              <w:rPr>
                <w:rFonts w:hint="eastAsia" w:ascii="仿宋" w:hAnsi="仿宋" w:eastAsia="仿宋" w:cs="宋体"/>
                <w:b/>
                <w:bCs/>
                <w:kern w:val="0"/>
                <w:sz w:val="22"/>
                <w:szCs w:val="22"/>
                <w:highlight w:val="none"/>
                <w:lang w:val="en-US" w:eastAsia="zh-CN"/>
              </w:rPr>
              <w:t>23.30</w:t>
            </w: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sz w:val="28"/>
          <w:szCs w:val="28"/>
          <w:highlight w:val="none"/>
        </w:rPr>
      </w:pPr>
      <w:bookmarkStart w:id="276" w:name="_Toc30003"/>
      <w:bookmarkStart w:id="277" w:name="_Toc24529_WPSOffice_Level3"/>
      <w:bookmarkStart w:id="278" w:name="_Toc4701"/>
      <w:bookmarkStart w:id="279" w:name="_Toc24466"/>
      <w:bookmarkStart w:id="280" w:name="_Toc9316"/>
      <w:bookmarkStart w:id="281" w:name="_Toc1067"/>
      <w:bookmarkStart w:id="282" w:name="_Toc29752_WPSOffice_Level3"/>
      <w:bookmarkStart w:id="283" w:name="_Toc24093"/>
      <w:r>
        <w:rPr>
          <w:rFonts w:hint="eastAsia" w:ascii="仿宋" w:hAnsi="仿宋" w:eastAsia="仿宋" w:cs="仿宋"/>
          <w:b/>
          <w:sz w:val="28"/>
          <w:szCs w:val="28"/>
          <w:highlight w:val="none"/>
        </w:rPr>
        <w:t>1</w:t>
      </w:r>
      <w:r>
        <w:rPr>
          <w:rFonts w:ascii="仿宋" w:hAnsi="仿宋" w:eastAsia="仿宋" w:cs="仿宋"/>
          <w:b/>
          <w:sz w:val="28"/>
          <w:szCs w:val="28"/>
          <w:highlight w:val="none"/>
        </w:rPr>
        <w:t>.</w:t>
      </w:r>
      <w:r>
        <w:rPr>
          <w:rFonts w:hint="eastAsia" w:ascii="仿宋" w:hAnsi="仿宋" w:eastAsia="仿宋" w:cs="仿宋"/>
          <w:b/>
          <w:sz w:val="28"/>
          <w:szCs w:val="28"/>
          <w:highlight w:val="none"/>
          <w:lang w:val="en-US" w:eastAsia="zh-CN"/>
        </w:rPr>
        <w:t>C</w:t>
      </w:r>
      <w:r>
        <w:rPr>
          <w:rFonts w:hint="eastAsia" w:ascii="仿宋" w:hAnsi="仿宋" w:eastAsia="仿宋" w:cs="仿宋"/>
          <w:b/>
          <w:sz w:val="28"/>
          <w:szCs w:val="28"/>
          <w:highlight w:val="none"/>
        </w:rPr>
        <w:t>1</w:t>
      </w:r>
      <w:r>
        <w:rPr>
          <w:rFonts w:hint="eastAsia" w:ascii="仿宋" w:hAnsi="仿宋" w:eastAsia="仿宋" w:cs="仿宋"/>
          <w:b/>
          <w:sz w:val="28"/>
          <w:szCs w:val="28"/>
          <w:highlight w:val="none"/>
          <w:lang w:val="en-US" w:eastAsia="zh-CN"/>
        </w:rPr>
        <w:t>核酸检测设施完善情况</w:t>
      </w:r>
      <w:r>
        <w:rPr>
          <w:rFonts w:hint="eastAsia"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11</w:t>
      </w:r>
      <w:r>
        <w:rPr>
          <w:rFonts w:hint="eastAsia" w:ascii="仿宋" w:hAnsi="仿宋" w:eastAsia="仿宋" w:cs="仿宋"/>
          <w:b/>
          <w:sz w:val="28"/>
          <w:szCs w:val="28"/>
          <w:highlight w:val="none"/>
        </w:rPr>
        <w:t>分，得分</w:t>
      </w:r>
      <w:r>
        <w:rPr>
          <w:rFonts w:hint="eastAsia" w:ascii="仿宋" w:hAnsi="仿宋" w:eastAsia="仿宋" w:cs="仿宋"/>
          <w:b/>
          <w:sz w:val="28"/>
          <w:szCs w:val="28"/>
          <w:highlight w:val="none"/>
          <w:lang w:val="en-US" w:eastAsia="zh-CN"/>
        </w:rPr>
        <w:t>10</w:t>
      </w:r>
      <w:r>
        <w:rPr>
          <w:rFonts w:hint="eastAsia" w:ascii="仿宋" w:hAnsi="仿宋" w:eastAsia="仿宋" w:cs="仿宋"/>
          <w:b/>
          <w:sz w:val="28"/>
          <w:szCs w:val="28"/>
          <w:highlight w:val="none"/>
        </w:rPr>
        <w:t>分</w:t>
      </w:r>
      <w:bookmarkEnd w:id="276"/>
      <w:bookmarkEnd w:id="277"/>
      <w:bookmarkEnd w:id="278"/>
      <w:bookmarkEnd w:id="279"/>
      <w:bookmarkEnd w:id="280"/>
      <w:bookmarkEnd w:id="281"/>
      <w:bookmarkEnd w:id="282"/>
      <w:bookmarkEnd w:id="283"/>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284" w:name="_Toc7913"/>
      <w:bookmarkStart w:id="285" w:name="_Toc8239"/>
      <w:bookmarkStart w:id="286" w:name="_Toc11125"/>
      <w:bookmarkStart w:id="287" w:name="_Toc4109"/>
      <w:bookmarkStart w:id="288" w:name="_Toc15963"/>
      <w:bookmarkStart w:id="289" w:name="_Toc1962"/>
      <w:r>
        <w:rPr>
          <w:rFonts w:hint="eastAsia" w:ascii="仿宋" w:hAnsi="仿宋" w:eastAsia="仿宋" w:cs="仿宋"/>
          <w:b/>
          <w:sz w:val="28"/>
          <w:szCs w:val="28"/>
          <w:highlight w:val="none"/>
        </w:rPr>
        <w:t>（1）</w:t>
      </w:r>
      <w:r>
        <w:rPr>
          <w:rFonts w:hint="eastAsia" w:ascii="仿宋" w:hAnsi="仿宋" w:eastAsia="仿宋" w:cs="仿宋"/>
          <w:b/>
          <w:sz w:val="28"/>
          <w:szCs w:val="28"/>
          <w:highlight w:val="none"/>
          <w:lang w:val="en-US" w:eastAsia="zh-CN"/>
        </w:rPr>
        <w:t>C</w:t>
      </w:r>
      <w:r>
        <w:rPr>
          <w:rFonts w:hint="eastAsia" w:ascii="仿宋" w:hAnsi="仿宋" w:eastAsia="仿宋" w:cs="仿宋"/>
          <w:b/>
          <w:sz w:val="28"/>
          <w:szCs w:val="28"/>
          <w:highlight w:val="none"/>
        </w:rPr>
        <w:t>1-</w:t>
      </w:r>
      <w:bookmarkEnd w:id="284"/>
      <w:bookmarkEnd w:id="285"/>
      <w:bookmarkEnd w:id="286"/>
      <w:bookmarkEnd w:id="287"/>
      <w:bookmarkEnd w:id="288"/>
      <w:r>
        <w:rPr>
          <w:rFonts w:hint="eastAsia" w:ascii="仿宋" w:hAnsi="仿宋" w:eastAsia="仿宋" w:cs="仿宋"/>
          <w:b/>
          <w:sz w:val="28"/>
          <w:szCs w:val="28"/>
          <w:highlight w:val="none"/>
          <w:lang w:val="en-US" w:eastAsia="zh-CN"/>
        </w:rPr>
        <w:t>1核酸检测设施完成情况</w:t>
      </w:r>
      <w:bookmarkEnd w:id="289"/>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sz w:val="28"/>
          <w:szCs w:val="28"/>
          <w:highlight w:val="none"/>
          <w:lang w:val="en-US" w:eastAsia="zh-CN"/>
        </w:rPr>
      </w:pPr>
      <w:bookmarkStart w:id="290" w:name="_Toc294"/>
      <w:r>
        <w:rPr>
          <w:rFonts w:hint="eastAsia" w:ascii="仿宋" w:hAnsi="仿宋" w:eastAsia="仿宋" w:cs="仿宋"/>
          <w:sz w:val="28"/>
          <w:szCs w:val="28"/>
          <w:highlight w:val="none"/>
          <w:lang w:val="en-US" w:eastAsia="zh-CN"/>
        </w:rPr>
        <w:t>经现场查看，计划建设核酸检测实验室共4个（永济市人民医院、永济市中医医院、永济电机医院、永济市</w:t>
      </w:r>
      <w:r>
        <w:rPr>
          <w:rFonts w:hint="eastAsia" w:ascii="仿宋" w:hAnsi="仿宋" w:eastAsia="仿宋" w:cs="仿宋"/>
          <w:b w:val="0"/>
          <w:bCs/>
          <w:sz w:val="28"/>
          <w:szCs w:val="28"/>
          <w:highlight w:val="none"/>
          <w:lang w:val="en-US" w:eastAsia="zh-CN"/>
        </w:rPr>
        <w:t>疾病预防控制中心</w:t>
      </w:r>
      <w:r>
        <w:rPr>
          <w:rFonts w:hint="eastAsia" w:ascii="仿宋" w:hAnsi="仿宋" w:eastAsia="仿宋" w:cs="仿宋"/>
          <w:sz w:val="28"/>
          <w:szCs w:val="28"/>
          <w:highlight w:val="none"/>
          <w:lang w:val="en-US" w:eastAsia="zh-CN"/>
        </w:rPr>
        <w:t>），2021年2月，全部验收合格并投入使用；根据《永济市核酸检测材料储备工作方案》可知，四个实验室最大日检测量为8100份，按照10:1混采，能够达到8.1万份，能够在5-7日内完成常住人口的核酸检测，满足计划的检测要求。依据评分标准，本指标得6分。</w:t>
      </w:r>
      <w:bookmarkEnd w:id="290"/>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291" w:name="_Toc13940"/>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C</w:t>
      </w:r>
      <w:r>
        <w:rPr>
          <w:rFonts w:hint="eastAsia" w:ascii="仿宋" w:hAnsi="仿宋" w:eastAsia="仿宋" w:cs="仿宋"/>
          <w:b/>
          <w:sz w:val="28"/>
          <w:szCs w:val="28"/>
          <w:highlight w:val="none"/>
        </w:rPr>
        <w:t>1-</w:t>
      </w:r>
      <w:r>
        <w:rPr>
          <w:rFonts w:hint="eastAsia" w:ascii="仿宋" w:hAnsi="仿宋" w:eastAsia="仿宋" w:cs="仿宋"/>
          <w:b/>
          <w:sz w:val="28"/>
          <w:szCs w:val="28"/>
          <w:highlight w:val="none"/>
          <w:lang w:val="en-US" w:eastAsia="zh-CN"/>
        </w:rPr>
        <w:t>2核酸检测质量保障情况</w:t>
      </w:r>
      <w:bookmarkEnd w:id="291"/>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核酸实验室由运城市卫生健康管理委员会或运城市疾控中心出具验收合格单，满足核酸检测工作区域的条件；所有检测人员均培训合格，持有pcr工作证；满足4-6小时出具核酸检测结果的要求，2021年检测结果由国务院客户端、永济市医疗集团小程序均可查询。但是由于核酸检测名单整理不及时，免费核酸检测人群记录已无法获取，免费检测人员采取何种混采比例进行检测亦无法查询，检测记录不够完整、清晰；根据已获取的部分名单，未发现不符合免费核酸检测人群的相关记录。</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依据评分标准，本指标得4分。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sz w:val="28"/>
          <w:szCs w:val="28"/>
          <w:highlight w:val="none"/>
        </w:rPr>
      </w:pPr>
      <w:bookmarkStart w:id="292" w:name="_Toc20019"/>
      <w:r>
        <w:rPr>
          <w:rFonts w:hint="eastAsia" w:ascii="仿宋" w:hAnsi="仿宋" w:eastAsia="仿宋" w:cs="仿宋"/>
          <w:b/>
          <w:sz w:val="28"/>
          <w:szCs w:val="28"/>
          <w:highlight w:val="none"/>
          <w:lang w:val="en-US" w:eastAsia="zh-CN"/>
        </w:rPr>
        <w:t>2</w:t>
      </w:r>
      <w:r>
        <w:rPr>
          <w:rFonts w:ascii="仿宋" w:hAnsi="仿宋" w:eastAsia="仿宋" w:cs="仿宋"/>
          <w:b/>
          <w:sz w:val="28"/>
          <w:szCs w:val="28"/>
          <w:highlight w:val="none"/>
        </w:rPr>
        <w:t>.</w:t>
      </w:r>
      <w:r>
        <w:rPr>
          <w:rFonts w:hint="eastAsia" w:ascii="仿宋" w:hAnsi="仿宋" w:eastAsia="仿宋" w:cs="仿宋"/>
          <w:b/>
          <w:sz w:val="28"/>
          <w:szCs w:val="28"/>
          <w:highlight w:val="none"/>
          <w:lang w:val="en-US" w:eastAsia="zh-CN"/>
        </w:rPr>
        <w:t>C2隔离点隔离情况</w:t>
      </w:r>
      <w:r>
        <w:rPr>
          <w:rFonts w:hint="eastAsia"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6</w:t>
      </w:r>
      <w:r>
        <w:rPr>
          <w:rFonts w:hint="eastAsia" w:ascii="仿宋" w:hAnsi="仿宋" w:eastAsia="仿宋" w:cs="仿宋"/>
          <w:b/>
          <w:sz w:val="28"/>
          <w:szCs w:val="28"/>
          <w:highlight w:val="none"/>
        </w:rPr>
        <w:t>分，得分</w:t>
      </w:r>
      <w:r>
        <w:rPr>
          <w:rFonts w:hint="eastAsia" w:ascii="仿宋" w:hAnsi="仿宋" w:eastAsia="仿宋" w:cs="仿宋"/>
          <w:b/>
          <w:sz w:val="28"/>
          <w:szCs w:val="28"/>
          <w:highlight w:val="none"/>
          <w:lang w:val="en-US" w:eastAsia="zh-CN"/>
        </w:rPr>
        <w:t>3</w:t>
      </w:r>
      <w:r>
        <w:rPr>
          <w:rFonts w:hint="eastAsia" w:ascii="仿宋" w:hAnsi="仿宋" w:eastAsia="仿宋" w:cs="仿宋"/>
          <w:b/>
          <w:sz w:val="28"/>
          <w:szCs w:val="28"/>
          <w:highlight w:val="none"/>
        </w:rPr>
        <w:t>分</w:t>
      </w:r>
      <w:bookmarkEnd w:id="292"/>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293" w:name="_Toc18733"/>
      <w:r>
        <w:rPr>
          <w:rFonts w:hint="eastAsia" w:ascii="仿宋" w:hAnsi="仿宋" w:eastAsia="仿宋" w:cs="仿宋"/>
          <w:b/>
          <w:sz w:val="28"/>
          <w:szCs w:val="28"/>
          <w:highlight w:val="none"/>
          <w:lang w:val="en-US" w:eastAsia="zh-CN"/>
        </w:rPr>
        <w:t>（1）C2-1隔离点数量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永济市指挥部在2021年共筹划3个隔离点，均召开相关会议进行讨论，根据实际情况进行启用，相关部门严格按照指挥部精神落实隔离点的使用，完成3个隔离点的使用。依据评分标准，本指标得1分。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（2）C2-2隔离点运营情况</w:t>
      </w:r>
    </w:p>
    <w:p>
      <w:pPr>
        <w:pStyle w:val="2"/>
        <w:keepNext w:val="0"/>
        <w:keepLines w:val="0"/>
        <w:pageBreakBefore w:val="0"/>
        <w:widowControl w:val="0"/>
        <w:shd w:val="clear"/>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永济市共设立3个隔离点，分别为鼎泰、滨河假日、华晟酒店，</w:t>
      </w:r>
      <w:r>
        <w:rPr>
          <w:rFonts w:hint="eastAsia" w:ascii="仿宋" w:hAnsi="仿宋" w:eastAsia="仿宋" w:cs="仿宋"/>
          <w:b w:val="0"/>
          <w:bCs/>
          <w:kern w:val="2"/>
          <w:sz w:val="28"/>
          <w:szCs w:val="28"/>
          <w:highlight w:val="none"/>
          <w:lang w:val="en-US" w:eastAsia="zh-CN" w:bidi="ar-SA"/>
        </w:rPr>
        <w:t>其中鼎泰隔离点40间，华晟酒店84间，滨河假日酒店71间。</w:t>
      </w:r>
      <w:r>
        <w:rPr>
          <w:rFonts w:hint="eastAsia" w:ascii="仿宋" w:hAnsi="仿宋" w:eastAsia="仿宋" w:cs="仿宋"/>
          <w:b w:val="0"/>
          <w:bCs/>
          <w:sz w:val="28"/>
          <w:szCs w:val="28"/>
          <w:highlight w:val="none"/>
          <w:lang w:val="en-US" w:eastAsia="zh-CN"/>
        </w:rPr>
        <w:t>本次绩效评价资金涉及的隔离点运营期间如下：</w:t>
      </w:r>
    </w:p>
    <w:p>
      <w:pPr>
        <w:pStyle w:val="2"/>
        <w:keepNext w:val="0"/>
        <w:keepLines w:val="0"/>
        <w:pageBreakBefore w:val="0"/>
        <w:widowControl w:val="0"/>
        <w:shd w:val="clear"/>
        <w:kinsoku/>
        <w:wordWrap/>
        <w:overflowPunct/>
        <w:topLinePunct w:val="0"/>
        <w:autoSpaceDE/>
        <w:autoSpaceDN/>
        <w:bidi w:val="0"/>
        <w:adjustRightInd/>
        <w:snapToGrid/>
        <w:spacing w:after="0" w:line="560" w:lineRule="exact"/>
        <w:jc w:val="center"/>
        <w:textAlignment w:val="auto"/>
        <w:rPr>
          <w:rFonts w:hint="default" w:ascii="仿宋" w:hAnsi="仿宋" w:eastAsia="仿宋" w:cs="仿宋"/>
          <w:b/>
          <w:bCs w:val="0"/>
          <w:sz w:val="28"/>
          <w:szCs w:val="28"/>
          <w:highlight w:val="none"/>
          <w:lang w:val="en-US" w:eastAsia="zh-CN"/>
        </w:rPr>
      </w:pPr>
      <w:r>
        <w:rPr>
          <w:rFonts w:hint="eastAsia" w:ascii="仿宋" w:hAnsi="仿宋" w:eastAsia="仿宋" w:cs="仿宋"/>
          <w:b/>
          <w:bCs w:val="0"/>
          <w:sz w:val="28"/>
          <w:szCs w:val="28"/>
          <w:highlight w:val="none"/>
          <w:lang w:val="en-US" w:eastAsia="zh-CN"/>
        </w:rPr>
        <w:t>表4-3-1 2021年评价资金涉及的隔离点运营期间表</w:t>
      </w:r>
    </w:p>
    <w:tbl>
      <w:tblPr>
        <w:tblStyle w:val="10"/>
        <w:tblW w:w="4998" w:type="pct"/>
        <w:tblInd w:w="0" w:type="dxa"/>
        <w:tblLayout w:type="autofit"/>
        <w:tblCellMar>
          <w:top w:w="0" w:type="dxa"/>
          <w:left w:w="108" w:type="dxa"/>
          <w:bottom w:w="0" w:type="dxa"/>
          <w:right w:w="108" w:type="dxa"/>
        </w:tblCellMar>
      </w:tblPr>
      <w:tblGrid>
        <w:gridCol w:w="1865"/>
        <w:gridCol w:w="2909"/>
        <w:gridCol w:w="1130"/>
        <w:gridCol w:w="2615"/>
      </w:tblGrid>
      <w:tr>
        <w:tblPrEx>
          <w:tblCellMar>
            <w:top w:w="0" w:type="dxa"/>
            <w:left w:w="108" w:type="dxa"/>
            <w:bottom w:w="0" w:type="dxa"/>
            <w:right w:w="108" w:type="dxa"/>
          </w:tblCellMar>
        </w:tblPrEx>
        <w:trPr>
          <w:trHeight w:val="454" w:hRule="atLeast"/>
          <w:tblHeader/>
        </w:trPr>
        <w:tc>
          <w:tcPr>
            <w:tcW w:w="1094" w:type="pct"/>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仿宋" w:hAnsi="仿宋" w:eastAsia="仿宋" w:cs="仿宋"/>
                <w:b/>
                <w:bCs w:val="0"/>
                <w:sz w:val="22"/>
                <w:szCs w:val="22"/>
                <w:highlight w:val="none"/>
                <w:lang w:val="en-US" w:eastAsia="zh-CN"/>
              </w:rPr>
            </w:pPr>
            <w:r>
              <w:rPr>
                <w:rFonts w:hint="eastAsia" w:ascii="仿宋" w:hAnsi="仿宋" w:eastAsia="仿宋" w:cs="仿宋"/>
                <w:b/>
                <w:bCs w:val="0"/>
                <w:sz w:val="22"/>
                <w:szCs w:val="22"/>
                <w:highlight w:val="none"/>
                <w:lang w:val="en-US" w:eastAsia="zh-CN"/>
              </w:rPr>
              <w:t>隔离点</w:t>
            </w:r>
          </w:p>
        </w:tc>
        <w:tc>
          <w:tcPr>
            <w:tcW w:w="1707" w:type="pct"/>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仿宋" w:hAnsi="仿宋" w:eastAsia="仿宋" w:cs="宋体"/>
                <w:b/>
                <w:bCs w:val="0"/>
                <w:kern w:val="0"/>
                <w:sz w:val="22"/>
                <w:szCs w:val="22"/>
                <w:highlight w:val="none"/>
                <w:lang w:val="en-US" w:eastAsia="zh-CN"/>
              </w:rPr>
            </w:pPr>
            <w:r>
              <w:rPr>
                <w:rFonts w:hint="eastAsia" w:ascii="仿宋" w:hAnsi="仿宋" w:eastAsia="仿宋" w:cs="宋体"/>
                <w:b/>
                <w:bCs w:val="0"/>
                <w:kern w:val="0"/>
                <w:sz w:val="22"/>
                <w:szCs w:val="22"/>
                <w:highlight w:val="none"/>
                <w:lang w:val="en-US" w:eastAsia="zh-CN"/>
              </w:rPr>
              <w:t>启用日期</w:t>
            </w:r>
          </w:p>
        </w:tc>
        <w:tc>
          <w:tcPr>
            <w:tcW w:w="663" w:type="pct"/>
            <w:tcBorders>
              <w:top w:val="single" w:color="auto" w:sz="4" w:space="0"/>
              <w:left w:val="nil"/>
              <w:bottom w:val="single" w:color="auto" w:sz="4" w:space="0"/>
              <w:right w:val="single" w:color="auto" w:sz="4" w:space="0"/>
            </w:tcBorders>
            <w:shd w:val="clear" w:color="auto" w:fill="auto"/>
            <w:noWrap/>
            <w:vAlign w:val="center"/>
          </w:tcPr>
          <w:p>
            <w:pPr>
              <w:widowControl/>
              <w:shd w:val="clear"/>
              <w:jc w:val="center"/>
              <w:rPr>
                <w:rFonts w:hint="default" w:ascii="仿宋" w:hAnsi="仿宋" w:eastAsia="仿宋" w:cs="宋体"/>
                <w:b/>
                <w:bCs w:val="0"/>
                <w:kern w:val="0"/>
                <w:sz w:val="22"/>
                <w:szCs w:val="22"/>
                <w:highlight w:val="none"/>
                <w:lang w:val="en-US" w:eastAsia="zh-CN"/>
              </w:rPr>
            </w:pPr>
            <w:r>
              <w:rPr>
                <w:rFonts w:hint="eastAsia" w:ascii="仿宋" w:hAnsi="仿宋" w:eastAsia="仿宋" w:cs="宋体"/>
                <w:b/>
                <w:bCs w:val="0"/>
                <w:kern w:val="0"/>
                <w:sz w:val="22"/>
                <w:szCs w:val="22"/>
                <w:highlight w:val="none"/>
                <w:lang w:val="en-US" w:eastAsia="zh-CN"/>
              </w:rPr>
              <w:t>天数</w:t>
            </w:r>
          </w:p>
        </w:tc>
        <w:tc>
          <w:tcPr>
            <w:tcW w:w="1534" w:type="pct"/>
            <w:tcBorders>
              <w:top w:val="single" w:color="auto" w:sz="4" w:space="0"/>
              <w:left w:val="nil"/>
              <w:bottom w:val="single" w:color="auto" w:sz="4" w:space="0"/>
              <w:right w:val="single" w:color="auto" w:sz="4" w:space="0"/>
            </w:tcBorders>
            <w:shd w:val="clear" w:color="auto" w:fill="auto"/>
            <w:noWrap/>
            <w:vAlign w:val="center"/>
          </w:tcPr>
          <w:p>
            <w:pPr>
              <w:widowControl/>
              <w:shd w:val="clear"/>
              <w:jc w:val="center"/>
              <w:rPr>
                <w:rFonts w:hint="default" w:ascii="仿宋" w:hAnsi="仿宋" w:eastAsia="仿宋" w:cs="宋体"/>
                <w:b/>
                <w:bCs w:val="0"/>
                <w:kern w:val="0"/>
                <w:sz w:val="22"/>
                <w:szCs w:val="22"/>
                <w:highlight w:val="none"/>
                <w:lang w:val="en-US" w:eastAsia="zh-CN"/>
              </w:rPr>
            </w:pPr>
            <w:r>
              <w:rPr>
                <w:rFonts w:hint="eastAsia" w:ascii="仿宋" w:hAnsi="仿宋" w:eastAsia="仿宋" w:cs="宋体"/>
                <w:b/>
                <w:bCs w:val="0"/>
                <w:kern w:val="0"/>
                <w:sz w:val="22"/>
                <w:szCs w:val="22"/>
                <w:highlight w:val="none"/>
                <w:lang w:val="en-US" w:eastAsia="zh-CN"/>
              </w:rPr>
              <w:t>负责医疗机构</w:t>
            </w:r>
          </w:p>
        </w:tc>
      </w:tr>
      <w:tr>
        <w:tblPrEx>
          <w:tblCellMar>
            <w:top w:w="0" w:type="dxa"/>
            <w:left w:w="108" w:type="dxa"/>
            <w:bottom w:w="0" w:type="dxa"/>
            <w:right w:w="108" w:type="dxa"/>
          </w:tblCellMar>
        </w:tblPrEx>
        <w:trPr>
          <w:trHeight w:val="454" w:hRule="atLeast"/>
        </w:trPr>
        <w:tc>
          <w:tcPr>
            <w:tcW w:w="10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鼎泰酒店</w:t>
            </w:r>
          </w:p>
        </w:tc>
        <w:tc>
          <w:tcPr>
            <w:tcW w:w="1707" w:type="pct"/>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2021/1/1-2021/8/16</w:t>
            </w:r>
          </w:p>
        </w:tc>
        <w:tc>
          <w:tcPr>
            <w:tcW w:w="66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hd w:val="clear"/>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227天</w:t>
            </w:r>
          </w:p>
        </w:tc>
        <w:tc>
          <w:tcPr>
            <w:tcW w:w="1534" w:type="pct"/>
            <w:tcBorders>
              <w:top w:val="single" w:color="auto" w:sz="4" w:space="0"/>
              <w:left w:val="nil"/>
              <w:bottom w:val="single" w:color="auto" w:sz="4" w:space="0"/>
              <w:right w:val="single" w:color="auto" w:sz="4" w:space="0"/>
            </w:tcBorders>
            <w:shd w:val="clear" w:color="auto" w:fill="auto"/>
            <w:noWrap/>
            <w:vAlign w:val="center"/>
          </w:tcPr>
          <w:p>
            <w:pPr>
              <w:widowControl/>
              <w:shd w:val="clear"/>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永济市中医医院</w:t>
            </w:r>
          </w:p>
        </w:tc>
      </w:tr>
      <w:tr>
        <w:tblPrEx>
          <w:tblCellMar>
            <w:top w:w="0" w:type="dxa"/>
            <w:left w:w="108" w:type="dxa"/>
            <w:bottom w:w="0" w:type="dxa"/>
            <w:right w:w="108" w:type="dxa"/>
          </w:tblCellMar>
        </w:tblPrEx>
        <w:trPr>
          <w:trHeight w:val="454" w:hRule="atLeast"/>
        </w:trPr>
        <w:tc>
          <w:tcPr>
            <w:tcW w:w="1094" w:type="pct"/>
            <w:vMerge w:val="restart"/>
            <w:tcBorders>
              <w:top w:val="single" w:color="auto" w:sz="4" w:space="0"/>
              <w:left w:val="single" w:color="auto" w:sz="4" w:space="0"/>
              <w:bottom w:val="single" w:color="auto" w:sz="4" w:space="0"/>
              <w:right w:val="single" w:color="auto" w:sz="4" w:space="0"/>
            </w:tcBorders>
            <w:vAlign w:val="center"/>
          </w:tcPr>
          <w:p>
            <w:pPr>
              <w:widowControl/>
              <w:shd w:val="clear"/>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滨河假日酒店</w:t>
            </w:r>
          </w:p>
        </w:tc>
        <w:tc>
          <w:tcPr>
            <w:tcW w:w="1707" w:type="pct"/>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2021/1/17-2021/2/6</w:t>
            </w:r>
          </w:p>
        </w:tc>
        <w:tc>
          <w:tcPr>
            <w:tcW w:w="663" w:type="pct"/>
            <w:tcBorders>
              <w:top w:val="single" w:color="auto" w:sz="4" w:space="0"/>
              <w:left w:val="nil"/>
              <w:bottom w:val="single" w:color="auto" w:sz="4" w:space="0"/>
              <w:right w:val="single" w:color="auto" w:sz="4" w:space="0"/>
            </w:tcBorders>
            <w:shd w:val="clear" w:color="auto" w:fill="auto"/>
            <w:noWrap/>
            <w:vAlign w:val="center"/>
          </w:tcPr>
          <w:p>
            <w:pPr>
              <w:widowControl/>
              <w:shd w:val="clear"/>
              <w:jc w:val="center"/>
              <w:rPr>
                <w:rFonts w:hint="default" w:ascii="仿宋" w:hAnsi="仿宋" w:eastAsia="仿宋" w:cs="宋体"/>
                <w:kern w:val="0"/>
                <w:sz w:val="22"/>
                <w:szCs w:val="22"/>
                <w:highlight w:val="none"/>
                <w:lang w:val="en-US" w:eastAsia="zh-CN" w:bidi="ar-SA"/>
              </w:rPr>
            </w:pPr>
            <w:r>
              <w:rPr>
                <w:rFonts w:hint="eastAsia" w:ascii="仿宋" w:hAnsi="仿宋" w:eastAsia="仿宋" w:cs="宋体"/>
                <w:kern w:val="0"/>
                <w:sz w:val="22"/>
                <w:szCs w:val="22"/>
                <w:highlight w:val="none"/>
                <w:lang w:val="en-US" w:eastAsia="zh-CN" w:bidi="ar-SA"/>
              </w:rPr>
              <w:t>20天</w:t>
            </w:r>
          </w:p>
        </w:tc>
        <w:tc>
          <w:tcPr>
            <w:tcW w:w="1534" w:type="pct"/>
            <w:tcBorders>
              <w:top w:val="single" w:color="auto" w:sz="4" w:space="0"/>
              <w:left w:val="nil"/>
              <w:bottom w:val="single" w:color="auto" w:sz="4" w:space="0"/>
              <w:right w:val="single" w:color="auto" w:sz="4" w:space="0"/>
            </w:tcBorders>
            <w:shd w:val="clear" w:color="auto" w:fill="auto"/>
            <w:noWrap/>
            <w:vAlign w:val="center"/>
          </w:tcPr>
          <w:p>
            <w:pPr>
              <w:widowControl/>
              <w:shd w:val="clear"/>
              <w:jc w:val="center"/>
              <w:rPr>
                <w:rFonts w:hint="default" w:ascii="仿宋" w:hAnsi="仿宋" w:eastAsia="仿宋" w:cs="宋体"/>
                <w:kern w:val="0"/>
                <w:sz w:val="22"/>
                <w:szCs w:val="22"/>
                <w:highlight w:val="none"/>
                <w:lang w:val="en-US" w:eastAsia="zh-CN" w:bidi="ar-SA"/>
              </w:rPr>
            </w:pPr>
            <w:r>
              <w:rPr>
                <w:rFonts w:hint="eastAsia" w:ascii="仿宋" w:hAnsi="仿宋" w:eastAsia="仿宋" w:cs="宋体"/>
                <w:kern w:val="0"/>
                <w:sz w:val="22"/>
                <w:szCs w:val="22"/>
                <w:highlight w:val="none"/>
                <w:lang w:val="en-US" w:eastAsia="zh-CN"/>
              </w:rPr>
              <w:t>城东街道社区服务中心</w:t>
            </w:r>
          </w:p>
        </w:tc>
      </w:tr>
      <w:tr>
        <w:trPr>
          <w:trHeight w:val="454" w:hRule="atLeast"/>
        </w:trPr>
        <w:tc>
          <w:tcPr>
            <w:tcW w:w="1094" w:type="pct"/>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center"/>
              <w:rPr>
                <w:rFonts w:hint="eastAsia" w:ascii="仿宋" w:hAnsi="仿宋" w:eastAsia="仿宋" w:cs="宋体"/>
                <w:kern w:val="0"/>
                <w:sz w:val="22"/>
                <w:szCs w:val="22"/>
                <w:highlight w:val="none"/>
                <w:lang w:val="en-US" w:eastAsia="zh-CN"/>
              </w:rPr>
            </w:pPr>
          </w:p>
        </w:tc>
        <w:tc>
          <w:tcPr>
            <w:tcW w:w="1707" w:type="pct"/>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2021/7/30-2021/12/14</w:t>
            </w:r>
          </w:p>
        </w:tc>
        <w:tc>
          <w:tcPr>
            <w:tcW w:w="663" w:type="pct"/>
            <w:tcBorders>
              <w:top w:val="single" w:color="auto" w:sz="4" w:space="0"/>
              <w:left w:val="nil"/>
              <w:bottom w:val="single" w:color="auto" w:sz="4" w:space="0"/>
              <w:right w:val="single" w:color="auto" w:sz="4" w:space="0"/>
            </w:tcBorders>
            <w:shd w:val="clear" w:color="auto" w:fill="auto"/>
            <w:noWrap/>
            <w:vAlign w:val="center"/>
          </w:tcPr>
          <w:p>
            <w:pPr>
              <w:widowControl/>
              <w:shd w:val="clear"/>
              <w:jc w:val="center"/>
              <w:rPr>
                <w:rFonts w:hint="default" w:ascii="仿宋" w:hAnsi="仿宋" w:eastAsia="仿宋" w:cs="宋体"/>
                <w:kern w:val="0"/>
                <w:sz w:val="22"/>
                <w:szCs w:val="22"/>
                <w:highlight w:val="none"/>
                <w:lang w:val="en-US" w:eastAsia="zh-CN" w:bidi="ar-SA"/>
              </w:rPr>
            </w:pPr>
            <w:r>
              <w:rPr>
                <w:rFonts w:hint="eastAsia" w:ascii="仿宋" w:hAnsi="仿宋" w:eastAsia="仿宋" w:cs="宋体"/>
                <w:kern w:val="0"/>
                <w:sz w:val="22"/>
                <w:szCs w:val="22"/>
                <w:highlight w:val="none"/>
                <w:lang w:val="en-US" w:eastAsia="zh-CN" w:bidi="ar-SA"/>
              </w:rPr>
              <w:t>108天</w:t>
            </w:r>
          </w:p>
        </w:tc>
        <w:tc>
          <w:tcPr>
            <w:tcW w:w="1534" w:type="pct"/>
            <w:tcBorders>
              <w:top w:val="single" w:color="auto" w:sz="4" w:space="0"/>
              <w:left w:val="nil"/>
              <w:bottom w:val="single" w:color="auto" w:sz="4" w:space="0"/>
              <w:right w:val="single" w:color="auto" w:sz="4" w:space="0"/>
            </w:tcBorders>
            <w:shd w:val="clear" w:color="auto" w:fill="auto"/>
            <w:noWrap/>
            <w:vAlign w:val="center"/>
          </w:tcPr>
          <w:p>
            <w:pPr>
              <w:widowControl/>
              <w:shd w:val="clear"/>
              <w:jc w:val="center"/>
              <w:rPr>
                <w:rFonts w:hint="default" w:ascii="仿宋" w:hAnsi="仿宋" w:eastAsia="仿宋" w:cs="宋体"/>
                <w:kern w:val="0"/>
                <w:sz w:val="22"/>
                <w:szCs w:val="22"/>
                <w:highlight w:val="none"/>
                <w:lang w:val="en-US" w:eastAsia="zh-CN" w:bidi="ar-SA"/>
              </w:rPr>
            </w:pPr>
            <w:r>
              <w:rPr>
                <w:rFonts w:hint="eastAsia" w:ascii="仿宋" w:hAnsi="仿宋" w:eastAsia="仿宋" w:cs="宋体"/>
                <w:kern w:val="0"/>
                <w:sz w:val="22"/>
                <w:szCs w:val="22"/>
                <w:highlight w:val="none"/>
                <w:lang w:val="en-US" w:eastAsia="zh-CN" w:bidi="ar-SA"/>
              </w:rPr>
              <w:t>城北街道社区服务中心</w:t>
            </w:r>
          </w:p>
        </w:tc>
      </w:tr>
      <w:tr>
        <w:tblPrEx>
          <w:tblCellMar>
            <w:top w:w="0" w:type="dxa"/>
            <w:left w:w="108" w:type="dxa"/>
            <w:bottom w:w="0" w:type="dxa"/>
            <w:right w:w="108" w:type="dxa"/>
          </w:tblCellMar>
        </w:tblPrEx>
        <w:trPr>
          <w:trHeight w:val="454" w:hRule="atLeast"/>
        </w:trPr>
        <w:tc>
          <w:tcPr>
            <w:tcW w:w="1094" w:type="pct"/>
            <w:vMerge w:val="restart"/>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仿宋" w:hAnsi="仿宋" w:eastAsia="仿宋" w:cs="宋体"/>
                <w:b/>
                <w:bCs w:val="0"/>
                <w:kern w:val="0"/>
                <w:sz w:val="22"/>
                <w:szCs w:val="22"/>
                <w:highlight w:val="none"/>
                <w:lang w:val="en-US" w:eastAsia="zh-CN"/>
              </w:rPr>
            </w:pPr>
            <w:r>
              <w:rPr>
                <w:rFonts w:hint="eastAsia" w:ascii="仿宋" w:hAnsi="仿宋" w:eastAsia="仿宋" w:cs="宋体"/>
                <w:kern w:val="0"/>
                <w:sz w:val="22"/>
                <w:szCs w:val="22"/>
                <w:highlight w:val="none"/>
                <w:lang w:val="en-US" w:eastAsia="zh-CN"/>
              </w:rPr>
              <w:t>华晟酒店</w:t>
            </w:r>
          </w:p>
        </w:tc>
        <w:tc>
          <w:tcPr>
            <w:tcW w:w="1707" w:type="pct"/>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2021/1/7-2021/2/5</w:t>
            </w:r>
          </w:p>
        </w:tc>
        <w:tc>
          <w:tcPr>
            <w:tcW w:w="663" w:type="pct"/>
            <w:tcBorders>
              <w:top w:val="single" w:color="auto" w:sz="4" w:space="0"/>
              <w:left w:val="nil"/>
              <w:bottom w:val="single" w:color="auto" w:sz="4" w:space="0"/>
              <w:right w:val="single" w:color="auto" w:sz="4" w:space="0"/>
            </w:tcBorders>
            <w:shd w:val="clear" w:color="auto" w:fill="auto"/>
            <w:noWrap/>
            <w:vAlign w:val="center"/>
          </w:tcPr>
          <w:p>
            <w:pPr>
              <w:widowControl/>
              <w:shd w:val="clear"/>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19天</w:t>
            </w:r>
          </w:p>
        </w:tc>
        <w:tc>
          <w:tcPr>
            <w:tcW w:w="1534" w:type="pct"/>
            <w:tcBorders>
              <w:top w:val="single" w:color="auto" w:sz="4" w:space="0"/>
              <w:left w:val="nil"/>
              <w:bottom w:val="single" w:color="auto" w:sz="4" w:space="0"/>
              <w:right w:val="single" w:color="auto" w:sz="4" w:space="0"/>
            </w:tcBorders>
            <w:shd w:val="clear" w:color="auto" w:fill="auto"/>
            <w:noWrap/>
            <w:vAlign w:val="center"/>
          </w:tcPr>
          <w:p>
            <w:pPr>
              <w:widowControl/>
              <w:shd w:val="clear"/>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城北街道社区服务中心</w:t>
            </w:r>
          </w:p>
        </w:tc>
      </w:tr>
      <w:tr>
        <w:tblPrEx>
          <w:tblCellMar>
            <w:top w:w="0" w:type="dxa"/>
            <w:left w:w="108" w:type="dxa"/>
            <w:bottom w:w="0" w:type="dxa"/>
            <w:right w:w="108" w:type="dxa"/>
          </w:tblCellMar>
        </w:tblPrEx>
        <w:trPr>
          <w:trHeight w:val="454" w:hRule="atLeast"/>
        </w:trPr>
        <w:tc>
          <w:tcPr>
            <w:tcW w:w="1094" w:type="pct"/>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仿宋" w:hAnsi="仿宋" w:eastAsia="仿宋" w:cs="仿宋"/>
                <w:b/>
                <w:bCs w:val="0"/>
                <w:sz w:val="22"/>
                <w:szCs w:val="22"/>
                <w:highlight w:val="none"/>
                <w:lang w:val="en-US" w:eastAsia="zh-CN"/>
              </w:rPr>
            </w:pPr>
          </w:p>
        </w:tc>
        <w:tc>
          <w:tcPr>
            <w:tcW w:w="17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2021/10/26-2021/11/25</w:t>
            </w:r>
          </w:p>
        </w:tc>
        <w:tc>
          <w:tcPr>
            <w:tcW w:w="663" w:type="pct"/>
            <w:tcBorders>
              <w:top w:val="single" w:color="auto" w:sz="4" w:space="0"/>
              <w:left w:val="nil"/>
              <w:bottom w:val="single" w:color="auto" w:sz="4" w:space="0"/>
              <w:right w:val="single" w:color="auto" w:sz="4" w:space="0"/>
            </w:tcBorders>
            <w:shd w:val="clear" w:color="auto" w:fill="auto"/>
            <w:noWrap/>
            <w:vAlign w:val="center"/>
          </w:tcPr>
          <w:p>
            <w:pPr>
              <w:widowControl/>
              <w:shd w:val="clear"/>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31天</w:t>
            </w:r>
          </w:p>
        </w:tc>
        <w:tc>
          <w:tcPr>
            <w:tcW w:w="1534" w:type="pct"/>
            <w:tcBorders>
              <w:top w:val="single" w:color="auto" w:sz="4" w:space="0"/>
              <w:left w:val="nil"/>
              <w:bottom w:val="single" w:color="auto" w:sz="4" w:space="0"/>
              <w:right w:val="single" w:color="auto" w:sz="4" w:space="0"/>
            </w:tcBorders>
            <w:shd w:val="clear" w:color="auto" w:fill="auto"/>
            <w:noWrap/>
            <w:vAlign w:val="center"/>
          </w:tcPr>
          <w:p>
            <w:pPr>
              <w:widowControl/>
              <w:shd w:val="clear"/>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城东街道社区服务中心</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经了解，隔离点人员均表示2021年集中隔离不收取任何费用，相关记录中未显示对自费和免费人员进行区分，但是经查阅相关资料，发现2021年1月29日一位境外返永人员在华晟酒店隔离，每日缴纳160元房费及餐费，及385元核酸检测费用。本次通过电话回访及问卷调查的方式进行抽查，仍有三位人员表示隔离期间收取相关费用，扣1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依据评分标准，本指标得1分。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（3）C2-3隔离点质量保障情况</w:t>
      </w:r>
      <w:bookmarkEnd w:id="29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sz w:val="28"/>
          <w:szCs w:val="28"/>
          <w:highlight w:val="none"/>
          <w:lang w:val="en-US" w:eastAsia="zh-CN"/>
        </w:rPr>
      </w:pPr>
      <w:bookmarkStart w:id="294" w:name="_Toc5646"/>
      <w:r>
        <w:rPr>
          <w:rFonts w:hint="eastAsia" w:ascii="仿宋" w:hAnsi="仿宋" w:eastAsia="仿宋" w:cs="仿宋"/>
          <w:sz w:val="28"/>
          <w:szCs w:val="28"/>
          <w:highlight w:val="none"/>
          <w:lang w:val="en-US" w:eastAsia="zh-CN"/>
        </w:rPr>
        <w:t>经查阅相关资料和记录，各隔离点在隔离期间均由负责医院指定相关人员负责；废弃物处置、消杀、核酸检测等按照规定执行。但是，滨河假日酒店和华晟酒店年初相关执行记录未留存，消杀等相关记录笼统、不明确；鼎泰隔离酒店</w:t>
      </w:r>
      <w:bookmarkEnd w:id="294"/>
      <w:bookmarkStart w:id="295" w:name="_Toc10420"/>
      <w:r>
        <w:rPr>
          <w:rFonts w:hint="eastAsia" w:ascii="仿宋" w:hAnsi="仿宋" w:eastAsia="仿宋" w:cs="仿宋"/>
          <w:sz w:val="28"/>
          <w:szCs w:val="28"/>
          <w:highlight w:val="none"/>
          <w:lang w:val="en-US" w:eastAsia="zh-CN"/>
        </w:rPr>
        <w:t>被强制关停，并建议鼎泰隔离点“设置安保、医师、负责人轮流值班；污水应每日有余氯检测；医疗废弃物每日应建立完善的消毒记录；隔离点应建立工作人员值班表；根据《传染病防治法》限该酒店立即关停”，酒店执行记录不完整，执行情况不佳；</w:t>
      </w:r>
      <w:bookmarkEnd w:id="295"/>
      <w:r>
        <w:rPr>
          <w:rFonts w:hint="eastAsia" w:ascii="仿宋" w:hAnsi="仿宋" w:eastAsia="仿宋" w:cs="仿宋"/>
          <w:sz w:val="28"/>
          <w:szCs w:val="28"/>
          <w:highlight w:val="none"/>
          <w:lang w:val="en-US" w:eastAsia="zh-CN"/>
        </w:rPr>
        <w:t>并且经过电话回访，相关人员表示隔离酒店环境较差，饮食情况不佳。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bookmarkStart w:id="296" w:name="_Toc18762"/>
      <w:r>
        <w:rPr>
          <w:rFonts w:hint="eastAsia" w:ascii="仿宋" w:hAnsi="仿宋" w:eastAsia="仿宋" w:cs="仿宋"/>
          <w:sz w:val="28"/>
          <w:szCs w:val="28"/>
          <w:highlight w:val="none"/>
          <w:lang w:val="en-US" w:eastAsia="zh-CN"/>
        </w:rPr>
        <w:t>通过抽查部分人员的隔离记录、核酸检测记录等相关资料，隔离人员基本满足应隔离的天数及解除要求，但是对被隔离人员信息记录不完整，留存的信息也未整理汇总，考虑到基本的核酸检测记录有留存，本项得1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根据评分标准，本指标得1分。</w:t>
      </w:r>
      <w:bookmarkEnd w:id="296"/>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sz w:val="28"/>
          <w:szCs w:val="28"/>
          <w:highlight w:val="none"/>
        </w:rPr>
      </w:pPr>
      <w:bookmarkStart w:id="297" w:name="_Toc4489"/>
      <w:r>
        <w:rPr>
          <w:rFonts w:hint="eastAsia" w:ascii="仿宋" w:hAnsi="仿宋" w:eastAsia="仿宋" w:cs="仿宋"/>
          <w:b/>
          <w:sz w:val="28"/>
          <w:szCs w:val="28"/>
          <w:highlight w:val="none"/>
          <w:lang w:val="en-US" w:eastAsia="zh-CN"/>
        </w:rPr>
        <w:t>3</w:t>
      </w:r>
      <w:r>
        <w:rPr>
          <w:rFonts w:ascii="仿宋" w:hAnsi="仿宋" w:eastAsia="仿宋" w:cs="仿宋"/>
          <w:b/>
          <w:sz w:val="28"/>
          <w:szCs w:val="28"/>
          <w:highlight w:val="none"/>
        </w:rPr>
        <w:t>.</w:t>
      </w:r>
      <w:r>
        <w:rPr>
          <w:rFonts w:hint="eastAsia" w:ascii="仿宋" w:hAnsi="仿宋" w:eastAsia="仿宋" w:cs="仿宋"/>
          <w:b/>
          <w:sz w:val="28"/>
          <w:szCs w:val="28"/>
          <w:highlight w:val="none"/>
          <w:lang w:val="en-US" w:eastAsia="zh-CN"/>
        </w:rPr>
        <w:t>C3紧急接种人员及接种点设施配套情况</w:t>
      </w:r>
      <w:r>
        <w:rPr>
          <w:rFonts w:hint="eastAsia"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5</w:t>
      </w:r>
      <w:r>
        <w:rPr>
          <w:rFonts w:hint="eastAsia" w:ascii="仿宋" w:hAnsi="仿宋" w:eastAsia="仿宋" w:cs="仿宋"/>
          <w:b/>
          <w:sz w:val="28"/>
          <w:szCs w:val="28"/>
          <w:highlight w:val="none"/>
        </w:rPr>
        <w:t>分，得分</w:t>
      </w:r>
      <w:r>
        <w:rPr>
          <w:rFonts w:hint="eastAsia" w:ascii="仿宋" w:hAnsi="仿宋" w:eastAsia="仿宋" w:cs="仿宋"/>
          <w:b/>
          <w:sz w:val="28"/>
          <w:szCs w:val="28"/>
          <w:highlight w:val="none"/>
          <w:lang w:val="en-US" w:eastAsia="zh-CN"/>
        </w:rPr>
        <w:t>4.5</w:t>
      </w:r>
      <w:r>
        <w:rPr>
          <w:rFonts w:hint="eastAsia" w:ascii="仿宋" w:hAnsi="仿宋" w:eastAsia="仿宋" w:cs="仿宋"/>
          <w:b/>
          <w:sz w:val="28"/>
          <w:szCs w:val="28"/>
          <w:highlight w:val="none"/>
        </w:rPr>
        <w:t>分</w:t>
      </w:r>
      <w:bookmarkEnd w:id="297"/>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298" w:name="_Toc18169"/>
      <w:r>
        <w:rPr>
          <w:rFonts w:hint="eastAsia" w:ascii="仿宋" w:hAnsi="仿宋" w:eastAsia="仿宋" w:cs="仿宋"/>
          <w:b/>
          <w:sz w:val="28"/>
          <w:szCs w:val="28"/>
          <w:highlight w:val="none"/>
        </w:rPr>
        <w:t>（1）</w:t>
      </w:r>
      <w:r>
        <w:rPr>
          <w:rFonts w:hint="eastAsia" w:ascii="仿宋" w:hAnsi="仿宋" w:eastAsia="仿宋" w:cs="仿宋"/>
          <w:b/>
          <w:sz w:val="28"/>
          <w:szCs w:val="28"/>
          <w:highlight w:val="none"/>
          <w:lang w:val="en-US" w:eastAsia="zh-CN"/>
        </w:rPr>
        <w:t>C3</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1紧急接种人员疫苗接种完成情况</w:t>
      </w:r>
      <w:bookmarkEnd w:id="298"/>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sz w:val="28"/>
          <w:szCs w:val="28"/>
          <w:highlight w:val="none"/>
          <w:lang w:val="en-US" w:eastAsia="zh-CN"/>
        </w:rPr>
      </w:pPr>
      <w:bookmarkStart w:id="299" w:name="_Toc21332"/>
      <w:r>
        <w:rPr>
          <w:rFonts w:hint="eastAsia" w:ascii="仿宋" w:hAnsi="仿宋" w:eastAsia="仿宋" w:cs="仿宋"/>
          <w:sz w:val="28"/>
          <w:szCs w:val="28"/>
          <w:highlight w:val="none"/>
          <w:lang w:val="en-US" w:eastAsia="zh-CN"/>
        </w:rPr>
        <w:t>根据《关于做好新冠灭活疫苗紧急接种工作的通知》文件精神，按照“知情自愿，逐级申报”的要求，永济市共统计3664人需要紧急接种新冠疫苗，但是未留存相关接种人员名单，根据评分标准，得0.5分；根据永济市医保局提供的运城市疫苗接种财政补助到位资金情况统计表，永济市已完成应上缴的补助款，得1分。依据评分标准，本指标得1.5分。</w:t>
      </w:r>
      <w:bookmarkEnd w:id="299"/>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2" w:firstLineChars="200"/>
        <w:textAlignment w:val="auto"/>
        <w:outlineLvl w:val="3"/>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C3</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2接种点设施配套情况</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根据资料搜集及现场查看，永济市疾控中心完成了23个接种点设施配套，包括读卡器61个、冰箱23台、温控器23个、保温箱60个、扫码枪60把、电脑61台、打印机23台，使各接种点顺利开展疫苗接种工作，得1分；经问卷及现场抽查，接种人员的信息均在金苗系统上记录，上网可查，并且接种过程中未出现不能使用的情况，得1分；疫苗在运输过程中未出现影响疫苗使用效力的情况，得1分。依据评分标准，本指标得3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sz w:val="28"/>
          <w:szCs w:val="28"/>
          <w:highlight w:val="none"/>
        </w:rPr>
      </w:pPr>
      <w:bookmarkStart w:id="300" w:name="_Toc25262"/>
      <w:r>
        <w:rPr>
          <w:rFonts w:hint="eastAsia" w:ascii="仿宋" w:hAnsi="仿宋" w:eastAsia="仿宋" w:cs="仿宋"/>
          <w:b/>
          <w:sz w:val="28"/>
          <w:szCs w:val="28"/>
          <w:highlight w:val="none"/>
          <w:lang w:val="en-US" w:eastAsia="zh-CN"/>
        </w:rPr>
        <w:t>4</w:t>
      </w:r>
      <w:r>
        <w:rPr>
          <w:rFonts w:ascii="仿宋" w:hAnsi="仿宋" w:eastAsia="仿宋" w:cs="仿宋"/>
          <w:b/>
          <w:sz w:val="28"/>
          <w:szCs w:val="28"/>
          <w:highlight w:val="none"/>
        </w:rPr>
        <w:t>.</w:t>
      </w:r>
      <w:r>
        <w:rPr>
          <w:rFonts w:hint="eastAsia" w:ascii="仿宋" w:hAnsi="仿宋" w:eastAsia="仿宋" w:cs="仿宋"/>
          <w:b/>
          <w:sz w:val="28"/>
          <w:szCs w:val="28"/>
          <w:highlight w:val="none"/>
          <w:lang w:val="en-US" w:eastAsia="zh-CN"/>
        </w:rPr>
        <w:t>C4发热门诊</w:t>
      </w:r>
      <w:r>
        <w:rPr>
          <w:rFonts w:hint="eastAsia"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1</w:t>
      </w:r>
      <w:r>
        <w:rPr>
          <w:rFonts w:hint="eastAsia" w:ascii="仿宋" w:hAnsi="仿宋" w:eastAsia="仿宋" w:cs="仿宋"/>
          <w:b/>
          <w:sz w:val="28"/>
          <w:szCs w:val="28"/>
          <w:highlight w:val="none"/>
        </w:rPr>
        <w:t>分，得分</w:t>
      </w:r>
      <w:r>
        <w:rPr>
          <w:rFonts w:hint="eastAsia" w:ascii="仿宋" w:hAnsi="仿宋" w:eastAsia="仿宋" w:cs="仿宋"/>
          <w:b/>
          <w:sz w:val="28"/>
          <w:szCs w:val="28"/>
          <w:highlight w:val="none"/>
          <w:lang w:val="en-US" w:eastAsia="zh-CN"/>
        </w:rPr>
        <w:t>1</w:t>
      </w:r>
      <w:r>
        <w:rPr>
          <w:rFonts w:hint="eastAsia" w:ascii="仿宋" w:hAnsi="仿宋" w:eastAsia="仿宋" w:cs="仿宋"/>
          <w:b/>
          <w:sz w:val="28"/>
          <w:szCs w:val="28"/>
          <w:highlight w:val="none"/>
        </w:rPr>
        <w:t>分</w:t>
      </w:r>
      <w:bookmarkEnd w:id="300"/>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lang w:val="en-US" w:eastAsia="zh-CN"/>
        </w:rPr>
      </w:pPr>
      <w:bookmarkStart w:id="301" w:name="_Toc2981"/>
      <w:r>
        <w:rPr>
          <w:rFonts w:hint="eastAsia" w:ascii="仿宋" w:hAnsi="仿宋" w:eastAsia="仿宋" w:cs="仿宋"/>
          <w:b/>
          <w:bCs/>
          <w:sz w:val="28"/>
          <w:szCs w:val="28"/>
          <w:highlight w:val="none"/>
          <w:lang w:val="en-US" w:eastAsia="zh-CN"/>
        </w:rPr>
        <w:t>发热门诊建设及使用情况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经过查阅相关资料和现场照片，栲栳卫生院完成145m</w:t>
      </w:r>
      <w:r>
        <w:rPr>
          <w:rFonts w:hint="eastAsia" w:ascii="仿宋" w:hAnsi="仿宋" w:eastAsia="仿宋" w:cs="仿宋"/>
          <w:sz w:val="28"/>
          <w:szCs w:val="28"/>
          <w:highlight w:val="none"/>
          <w:vertAlign w:val="superscript"/>
          <w:lang w:val="en-US" w:eastAsia="zh-CN"/>
        </w:rPr>
        <w:t>2</w:t>
      </w:r>
      <w:r>
        <w:rPr>
          <w:rFonts w:hint="eastAsia" w:ascii="仿宋" w:hAnsi="仿宋" w:eastAsia="仿宋" w:cs="仿宋"/>
          <w:sz w:val="28"/>
          <w:szCs w:val="28"/>
          <w:highlight w:val="none"/>
          <w:lang w:val="en-US" w:eastAsia="zh-CN"/>
        </w:rPr>
        <w:t>发热门诊建设并投入使用，设有一个预检分诊区、两个留观室、两个缓冲间等，符合三区两通道要求；相关设备使用状况良好，未出现影响使用或无法使用的情况。依据评分标准，本指标得1分。</w:t>
      </w:r>
    </w:p>
    <w:bookmarkEnd w:id="301"/>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sz w:val="28"/>
          <w:szCs w:val="28"/>
          <w:highlight w:val="none"/>
        </w:rPr>
      </w:pPr>
      <w:bookmarkStart w:id="302" w:name="_Toc23544"/>
      <w:r>
        <w:rPr>
          <w:rFonts w:hint="eastAsia" w:ascii="仿宋" w:hAnsi="仿宋" w:eastAsia="仿宋" w:cs="仿宋"/>
          <w:b/>
          <w:sz w:val="28"/>
          <w:szCs w:val="28"/>
          <w:highlight w:val="none"/>
          <w:lang w:val="en-US" w:eastAsia="zh-CN"/>
        </w:rPr>
        <w:t>5</w:t>
      </w:r>
      <w:r>
        <w:rPr>
          <w:rFonts w:ascii="仿宋" w:hAnsi="仿宋" w:eastAsia="仿宋" w:cs="仿宋"/>
          <w:b/>
          <w:sz w:val="28"/>
          <w:szCs w:val="28"/>
          <w:highlight w:val="none"/>
        </w:rPr>
        <w:t>.</w:t>
      </w:r>
      <w:r>
        <w:rPr>
          <w:rFonts w:hint="eastAsia" w:ascii="仿宋" w:hAnsi="仿宋" w:eastAsia="仿宋" w:cs="仿宋"/>
          <w:b/>
          <w:sz w:val="28"/>
          <w:szCs w:val="28"/>
          <w:highlight w:val="none"/>
          <w:lang w:val="en-US" w:eastAsia="zh-CN"/>
        </w:rPr>
        <w:t>C5防疫工作</w:t>
      </w:r>
      <w:r>
        <w:rPr>
          <w:rFonts w:hint="eastAsia"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rPr>
        <w:t>分，得分</w:t>
      </w:r>
      <w:r>
        <w:rPr>
          <w:rFonts w:hint="eastAsia" w:ascii="仿宋" w:hAnsi="仿宋" w:eastAsia="仿宋" w:cs="仿宋"/>
          <w:b/>
          <w:sz w:val="28"/>
          <w:szCs w:val="28"/>
          <w:highlight w:val="none"/>
          <w:lang w:val="en-US" w:eastAsia="zh-CN"/>
        </w:rPr>
        <w:t>1.8</w:t>
      </w:r>
      <w:r>
        <w:rPr>
          <w:rFonts w:hint="eastAsia" w:ascii="仿宋" w:hAnsi="仿宋" w:eastAsia="仿宋" w:cs="仿宋"/>
          <w:b/>
          <w:sz w:val="28"/>
          <w:szCs w:val="28"/>
          <w:highlight w:val="none"/>
        </w:rPr>
        <w:t>分</w:t>
      </w:r>
      <w:bookmarkEnd w:id="302"/>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仿宋" w:hAnsi="仿宋" w:eastAsia="仿宋" w:cs="仿宋"/>
          <w:b/>
          <w:sz w:val="28"/>
          <w:szCs w:val="28"/>
          <w:highlight w:val="none"/>
          <w:lang w:val="en-US" w:eastAsia="zh-CN"/>
        </w:rPr>
      </w:pPr>
      <w:bookmarkStart w:id="303" w:name="_Toc30476"/>
      <w:r>
        <w:rPr>
          <w:rFonts w:hint="eastAsia" w:ascii="仿宋" w:hAnsi="仿宋" w:eastAsia="仿宋" w:cs="仿宋"/>
          <w:b/>
          <w:sz w:val="28"/>
          <w:szCs w:val="28"/>
          <w:highlight w:val="none"/>
          <w:lang w:val="en-US" w:eastAsia="zh-CN"/>
        </w:rPr>
        <w:t>卡点防控情况</w:t>
      </w:r>
      <w:bookmarkEnd w:id="30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sz w:val="28"/>
          <w:szCs w:val="28"/>
          <w:highlight w:val="none"/>
          <w:lang w:val="en-US" w:eastAsia="zh-CN"/>
        </w:rPr>
      </w:pPr>
      <w:bookmarkStart w:id="304" w:name="_Toc18774"/>
      <w:r>
        <w:rPr>
          <w:rFonts w:hint="eastAsia" w:ascii="仿宋" w:hAnsi="仿宋" w:eastAsia="仿宋" w:cs="仿宋"/>
          <w:sz w:val="28"/>
          <w:szCs w:val="28"/>
          <w:highlight w:val="none"/>
          <w:lang w:val="en-US" w:eastAsia="zh-CN"/>
        </w:rPr>
        <w:t>根据搜集的资料信息，针对</w:t>
      </w:r>
      <w:r>
        <w:rPr>
          <w:rFonts w:hint="eastAsia" w:ascii="仿宋" w:hAnsi="仿宋" w:eastAsia="仿宋" w:cs="仿宋"/>
          <w:b w:val="0"/>
          <w:bCs/>
          <w:sz w:val="28"/>
          <w:szCs w:val="28"/>
          <w:highlight w:val="none"/>
          <w:lang w:val="en-US" w:eastAsia="zh-CN"/>
        </w:rPr>
        <w:t>高铁站、火车站、汽车站等卡点均制定了标识牌、条幅版面等进行宣传，并且根据疫情发展状况及时增加或减少卡点相关数量，在疫情严重期间，对返永人员做到了100%检测，但是根据指挥部的防控文件，永济高铁北站存在核酸检测频次不够的情况。依据评分标准，本指标得1.8分。</w:t>
      </w:r>
      <w:bookmarkEnd w:id="304"/>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sz w:val="28"/>
          <w:szCs w:val="28"/>
          <w:highlight w:val="none"/>
        </w:rPr>
      </w:pPr>
      <w:bookmarkStart w:id="305" w:name="_Toc20695"/>
      <w:r>
        <w:rPr>
          <w:rFonts w:hint="eastAsia" w:ascii="仿宋" w:hAnsi="仿宋" w:eastAsia="仿宋" w:cs="仿宋"/>
          <w:b/>
          <w:sz w:val="28"/>
          <w:szCs w:val="28"/>
          <w:highlight w:val="none"/>
          <w:lang w:val="en-US" w:eastAsia="zh-CN"/>
        </w:rPr>
        <w:t>6</w:t>
      </w:r>
      <w:r>
        <w:rPr>
          <w:rFonts w:ascii="仿宋" w:hAnsi="仿宋" w:eastAsia="仿宋" w:cs="仿宋"/>
          <w:b/>
          <w:sz w:val="28"/>
          <w:szCs w:val="28"/>
          <w:highlight w:val="none"/>
        </w:rPr>
        <w:t>.</w:t>
      </w:r>
      <w:r>
        <w:rPr>
          <w:rFonts w:hint="eastAsia" w:ascii="仿宋" w:hAnsi="仿宋" w:eastAsia="仿宋" w:cs="仿宋"/>
          <w:b/>
          <w:sz w:val="28"/>
          <w:szCs w:val="28"/>
          <w:highlight w:val="none"/>
          <w:lang w:val="en-US" w:eastAsia="zh-CN"/>
        </w:rPr>
        <w:t>C6产出时效</w:t>
      </w:r>
      <w:r>
        <w:rPr>
          <w:rFonts w:hint="eastAsia"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rPr>
        <w:t>分，得分</w:t>
      </w: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rPr>
        <w:t>分</w:t>
      </w:r>
      <w:bookmarkEnd w:id="305"/>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完成及时情况</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永济市人民医院2020年6月完成核酸实验室的建设，其余实验室根据资金申请报告的时间要求，在2021年2月完成验收，并投入使用，符合规定的时间；根据《关于印发 运城市新冠病毒疫苗接种“百日攻坚行动”实施方案 的通知》（运疫指办发</w:t>
      </w:r>
      <w:r>
        <w:rPr>
          <w:rFonts w:hint="eastAsia" w:ascii="仿宋" w:hAnsi="仿宋" w:eastAsia="仿宋" w:cs="仿宋"/>
          <w:sz w:val="28"/>
          <w:szCs w:val="28"/>
          <w:highlight w:val="none"/>
        </w:rPr>
        <w:t>〔2</w:t>
      </w:r>
      <w:r>
        <w:rPr>
          <w:rFonts w:hint="eastAsia" w:ascii="仿宋" w:hAnsi="仿宋" w:eastAsia="仿宋" w:cs="仿宋"/>
          <w:sz w:val="28"/>
          <w:szCs w:val="28"/>
          <w:highlight w:val="none"/>
          <w:lang w:val="en-US" w:eastAsia="zh-CN"/>
        </w:rPr>
        <w:t>021</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44号）文件，要求在5月前完成各种设施及调试工作，开始集中攻坚接种期，永济市疾控中心于4月份前完成基础相关配套设施的采购及分配，使疫苗接种点顺利开展疫苗接种工作。依据评分标准，本指标得2分。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sz w:val="28"/>
          <w:szCs w:val="28"/>
          <w:highlight w:val="none"/>
        </w:rPr>
      </w:pPr>
      <w:bookmarkStart w:id="306" w:name="_Toc7177"/>
      <w:bookmarkStart w:id="307" w:name="_Toc3164"/>
      <w:r>
        <w:rPr>
          <w:rFonts w:hint="eastAsia" w:ascii="仿宋" w:hAnsi="仿宋" w:eastAsia="仿宋" w:cs="仿宋"/>
          <w:b/>
          <w:sz w:val="28"/>
          <w:szCs w:val="28"/>
          <w:highlight w:val="none"/>
          <w:lang w:val="en-US" w:eastAsia="zh-CN"/>
        </w:rPr>
        <w:t>7</w:t>
      </w:r>
      <w:r>
        <w:rPr>
          <w:rFonts w:ascii="仿宋" w:hAnsi="仿宋" w:eastAsia="仿宋" w:cs="仿宋"/>
          <w:b/>
          <w:sz w:val="28"/>
          <w:szCs w:val="28"/>
          <w:highlight w:val="none"/>
        </w:rPr>
        <w:t>.</w:t>
      </w:r>
      <w:r>
        <w:rPr>
          <w:rFonts w:hint="eastAsia" w:ascii="仿宋" w:hAnsi="仿宋" w:eastAsia="仿宋" w:cs="仿宋"/>
          <w:b/>
          <w:sz w:val="28"/>
          <w:szCs w:val="28"/>
          <w:highlight w:val="none"/>
          <w:lang w:val="en-US" w:eastAsia="zh-CN"/>
        </w:rPr>
        <w:t>C7产出成本</w:t>
      </w:r>
      <w:r>
        <w:rPr>
          <w:rFonts w:hint="eastAsia"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3</w:t>
      </w:r>
      <w:r>
        <w:rPr>
          <w:rFonts w:hint="eastAsia" w:ascii="仿宋" w:hAnsi="仿宋" w:eastAsia="仿宋" w:cs="仿宋"/>
          <w:b/>
          <w:sz w:val="28"/>
          <w:szCs w:val="28"/>
          <w:highlight w:val="none"/>
        </w:rPr>
        <w:t>分，得分</w:t>
      </w:r>
      <w:r>
        <w:rPr>
          <w:rFonts w:hint="eastAsia" w:ascii="仿宋" w:hAnsi="仿宋" w:eastAsia="仿宋" w:cs="仿宋"/>
          <w:b/>
          <w:sz w:val="28"/>
          <w:szCs w:val="28"/>
          <w:highlight w:val="none"/>
          <w:lang w:val="en-US" w:eastAsia="zh-CN"/>
        </w:rPr>
        <w:t>1</w:t>
      </w:r>
      <w:r>
        <w:rPr>
          <w:rFonts w:hint="eastAsia" w:ascii="仿宋" w:hAnsi="仿宋" w:eastAsia="仿宋" w:cs="仿宋"/>
          <w:b/>
          <w:sz w:val="28"/>
          <w:szCs w:val="28"/>
          <w:highlight w:val="none"/>
        </w:rPr>
        <w:t>分</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成本节约情况</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成本节约情况从隔离酒店、全员核酸、免费核酸检测补助三方面成本控制情况进行评价。</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经统计，隔离点入住率并不高，以滨河假日酒店为例：2021年7月30日至2021年12月14日，累计入住3901人，入住房间3620间，平均每天入住29人，入住房间27间，该期间平均房间入住率仅为38%，并且在租赁期间未考虑自费人员的相关成本，依据评分标准，隔离酒店实际入住率低于60%，本项不得分。</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全员核酸检测耗材每家医疗机构按照3-5天最高检测量进行储备，经测算检测费用（10混为例），其中市医院单价4.9元/人次，中医院、疾控3元/人次，电机医院5.2元/人次，成本低于山西省发展和改革委员会 山西省财政厅《关于进一步降低新型冠状病毒核酸检测收费标准的通知》（晋发改收费发〔2021〕452号）2021年12月1日起执行的10混价格标准10元/人次，本点得1分。</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因免费核酸检测（应检尽检）人群检测记录已无法获取，免费检测人员采取何种混采比例进行检测亦无法查询，根据评分标准，本项不得分。</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highlight w:val="none"/>
          <w:lang w:val="en-US" w:eastAsia="zh-CN"/>
        </w:rPr>
      </w:pPr>
      <w:r>
        <w:rPr>
          <w:rFonts w:hint="eastAsia" w:ascii="仿宋" w:hAnsi="仿宋" w:eastAsia="仿宋" w:cs="仿宋"/>
          <w:sz w:val="28"/>
          <w:szCs w:val="28"/>
          <w:highlight w:val="none"/>
          <w:lang w:val="en-US" w:eastAsia="zh-CN"/>
        </w:rPr>
        <w:t>依据评分标准，本指标得1分。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四</w:t>
      </w: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效益</w:t>
      </w:r>
      <w:r>
        <w:rPr>
          <w:rFonts w:hint="eastAsia" w:ascii="仿宋" w:hAnsi="仿宋" w:eastAsia="仿宋" w:cs="仿宋"/>
          <w:b/>
          <w:sz w:val="28"/>
          <w:szCs w:val="28"/>
          <w:highlight w:val="none"/>
          <w:lang w:eastAsia="zh-CN"/>
        </w:rPr>
        <w:t>情况分析</w:t>
      </w:r>
      <w:bookmarkEnd w:id="306"/>
      <w:bookmarkEnd w:id="30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bCs/>
          <w:sz w:val="28"/>
          <w:szCs w:val="28"/>
          <w:highlight w:val="none"/>
        </w:rPr>
      </w:pPr>
      <w:bookmarkStart w:id="308" w:name="_Toc31736"/>
      <w:r>
        <w:rPr>
          <w:rFonts w:hint="eastAsia" w:ascii="仿宋" w:hAnsi="仿宋" w:eastAsia="仿宋" w:cs="仿宋"/>
          <w:b w:val="0"/>
          <w:bCs/>
          <w:sz w:val="28"/>
          <w:szCs w:val="28"/>
          <w:highlight w:val="none"/>
          <w:lang w:val="en-US" w:eastAsia="zh-CN"/>
        </w:rPr>
        <w:t>效益情况分别从社会效益、可持续影响、满意度评价三</w:t>
      </w:r>
      <w:r>
        <w:rPr>
          <w:rFonts w:hint="eastAsia" w:ascii="仿宋" w:hAnsi="仿宋" w:eastAsia="仿宋" w:cs="仿宋"/>
          <w:sz w:val="28"/>
          <w:szCs w:val="28"/>
          <w:highlight w:val="none"/>
        </w:rPr>
        <w:t>个方面进行分析，共设置</w:t>
      </w: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rPr>
        <w:t>个二级指标</w:t>
      </w:r>
      <w:r>
        <w:rPr>
          <w:rFonts w:hint="eastAsia" w:ascii="仿宋" w:hAnsi="仿宋" w:eastAsia="仿宋" w:cs="仿宋"/>
          <w:sz w:val="28"/>
          <w:szCs w:val="28"/>
          <w:highlight w:val="none"/>
          <w:lang w:val="en-US" w:eastAsia="zh-CN"/>
        </w:rPr>
        <w:t>六</w:t>
      </w:r>
      <w:r>
        <w:rPr>
          <w:rFonts w:hint="eastAsia" w:ascii="仿宋" w:hAnsi="仿宋" w:eastAsia="仿宋" w:cs="仿宋"/>
          <w:sz w:val="28"/>
          <w:szCs w:val="28"/>
          <w:highlight w:val="none"/>
        </w:rPr>
        <w:t>个三级指标。</w:t>
      </w:r>
      <w:r>
        <w:rPr>
          <w:rFonts w:hint="eastAsia" w:ascii="仿宋" w:hAnsi="仿宋" w:eastAsia="仿宋" w:cs="仿宋"/>
          <w:sz w:val="28"/>
          <w:szCs w:val="28"/>
          <w:highlight w:val="none"/>
          <w:lang w:val="en-US" w:eastAsia="zh-CN"/>
        </w:rPr>
        <w:t>效益</w:t>
      </w:r>
      <w:r>
        <w:rPr>
          <w:rFonts w:hint="eastAsia" w:ascii="仿宋" w:hAnsi="仿宋" w:eastAsia="仿宋" w:cs="仿宋"/>
          <w:sz w:val="28"/>
          <w:szCs w:val="28"/>
          <w:highlight w:val="none"/>
        </w:rPr>
        <w:t>类指标分值</w:t>
      </w:r>
      <w:r>
        <w:rPr>
          <w:rFonts w:hint="eastAsia" w:ascii="仿宋" w:hAnsi="仿宋" w:eastAsia="仿宋" w:cs="仿宋"/>
          <w:sz w:val="28"/>
          <w:szCs w:val="28"/>
          <w:highlight w:val="none"/>
          <w:lang w:val="en-US" w:eastAsia="zh-CN"/>
        </w:rPr>
        <w:t>30</w:t>
      </w:r>
      <w:r>
        <w:rPr>
          <w:rFonts w:hint="eastAsia" w:ascii="仿宋" w:hAnsi="仿宋" w:eastAsia="仿宋" w:cs="仿宋"/>
          <w:sz w:val="28"/>
          <w:szCs w:val="28"/>
          <w:highlight w:val="none"/>
        </w:rPr>
        <w:t>分，实际得分</w:t>
      </w:r>
      <w:r>
        <w:rPr>
          <w:rFonts w:hint="eastAsia" w:ascii="仿宋" w:hAnsi="仿宋" w:eastAsia="仿宋" w:cs="仿宋"/>
          <w:sz w:val="28"/>
          <w:szCs w:val="28"/>
          <w:highlight w:val="none"/>
          <w:lang w:val="en-US" w:eastAsia="zh-CN"/>
        </w:rPr>
        <w:t>27.19</w:t>
      </w:r>
      <w:r>
        <w:rPr>
          <w:rFonts w:hint="eastAsia" w:ascii="仿宋" w:hAnsi="仿宋" w:eastAsia="仿宋" w:cs="仿宋"/>
          <w:sz w:val="28"/>
          <w:szCs w:val="28"/>
          <w:highlight w:val="none"/>
        </w:rPr>
        <w:t>分，得分率</w:t>
      </w:r>
      <w:r>
        <w:rPr>
          <w:rFonts w:hint="eastAsia" w:ascii="仿宋" w:hAnsi="仿宋" w:eastAsia="仿宋" w:cs="仿宋"/>
          <w:sz w:val="28"/>
          <w:szCs w:val="28"/>
          <w:highlight w:val="none"/>
          <w:lang w:val="en-US" w:eastAsia="zh-CN"/>
        </w:rPr>
        <w:t>90.63</w:t>
      </w:r>
      <w:r>
        <w:rPr>
          <w:rFonts w:ascii="仿宋" w:hAnsi="仿宋" w:eastAsia="仿宋" w:cs="仿宋"/>
          <w:sz w:val="28"/>
          <w:szCs w:val="28"/>
          <w:highlight w:val="none"/>
        </w:rPr>
        <w:t>%</w:t>
      </w:r>
      <w:r>
        <w:rPr>
          <w:rFonts w:hint="eastAsia" w:ascii="仿宋" w:hAnsi="仿宋" w:eastAsia="仿宋" w:cs="仿宋"/>
          <w:sz w:val="28"/>
          <w:szCs w:val="28"/>
          <w:highlight w:val="none"/>
        </w:rPr>
        <w:t>。各分项指标得分情况如下表</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4</w:t>
      </w:r>
      <w:r>
        <w:rPr>
          <w:rFonts w:ascii="仿宋" w:hAnsi="仿宋" w:eastAsia="仿宋" w:cs="仿宋"/>
          <w:sz w:val="28"/>
          <w:szCs w:val="28"/>
          <w:highlight w:val="none"/>
        </w:rPr>
        <w:t>所示</w:t>
      </w:r>
      <w:r>
        <w:rPr>
          <w:rFonts w:hint="eastAsia" w:ascii="仿宋" w:hAnsi="仿宋" w:eastAsia="仿宋" w:cs="仿宋"/>
          <w:sz w:val="28"/>
          <w:szCs w:val="28"/>
          <w:highlight w:val="none"/>
        </w:rPr>
        <w:t>：</w:t>
      </w:r>
      <w:bookmarkEnd w:id="308"/>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ascii="仿宋" w:hAnsi="仿宋" w:eastAsia="仿宋" w:cs="仿宋"/>
          <w:b/>
          <w:sz w:val="28"/>
          <w:szCs w:val="28"/>
          <w:highlight w:val="none"/>
        </w:rPr>
      </w:pPr>
      <w:bookmarkStart w:id="309" w:name="_Toc19771"/>
      <w:r>
        <w:rPr>
          <w:rFonts w:hint="eastAsia" w:ascii="仿宋" w:hAnsi="仿宋" w:eastAsia="仿宋" w:cs="仿宋"/>
          <w:b/>
          <w:sz w:val="28"/>
          <w:szCs w:val="28"/>
          <w:highlight w:val="none"/>
        </w:rPr>
        <w:t>表</w:t>
      </w:r>
      <w:r>
        <w:rPr>
          <w:rFonts w:hint="eastAsia" w:ascii="仿宋" w:hAnsi="仿宋" w:eastAsia="仿宋" w:cs="仿宋"/>
          <w:b/>
          <w:sz w:val="28"/>
          <w:szCs w:val="28"/>
          <w:highlight w:val="none"/>
          <w:lang w:val="en-US" w:eastAsia="zh-CN"/>
        </w:rPr>
        <w:t>4</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4</w:t>
      </w:r>
      <w:r>
        <w:rPr>
          <w:rFonts w:ascii="仿宋" w:hAnsi="仿宋" w:eastAsia="仿宋" w:cs="仿宋"/>
          <w:b/>
          <w:sz w:val="28"/>
          <w:szCs w:val="28"/>
          <w:highlight w:val="none"/>
        </w:rPr>
        <w:t xml:space="preserve"> </w:t>
      </w:r>
      <w:r>
        <w:rPr>
          <w:rFonts w:hint="eastAsia" w:ascii="仿宋" w:hAnsi="仿宋" w:eastAsia="仿宋" w:cs="仿宋"/>
          <w:b/>
          <w:sz w:val="28"/>
          <w:szCs w:val="28"/>
          <w:highlight w:val="none"/>
          <w:lang w:val="en-US" w:eastAsia="zh-CN"/>
        </w:rPr>
        <w:t>效益</w:t>
      </w:r>
      <w:r>
        <w:rPr>
          <w:rFonts w:hint="eastAsia" w:ascii="仿宋" w:hAnsi="仿宋" w:eastAsia="仿宋" w:cs="仿宋"/>
          <w:b/>
          <w:sz w:val="28"/>
          <w:szCs w:val="28"/>
          <w:highlight w:val="none"/>
        </w:rPr>
        <w:t>类指标得分情况</w:t>
      </w:r>
      <w:bookmarkEnd w:id="309"/>
    </w:p>
    <w:tbl>
      <w:tblPr>
        <w:tblStyle w:val="10"/>
        <w:tblW w:w="8404" w:type="dxa"/>
        <w:tblInd w:w="0" w:type="dxa"/>
        <w:tblLayout w:type="fixed"/>
        <w:tblCellMar>
          <w:top w:w="0" w:type="dxa"/>
          <w:left w:w="108" w:type="dxa"/>
          <w:bottom w:w="0" w:type="dxa"/>
          <w:right w:w="108" w:type="dxa"/>
        </w:tblCellMar>
      </w:tblPr>
      <w:tblGrid>
        <w:gridCol w:w="1878"/>
        <w:gridCol w:w="4346"/>
        <w:gridCol w:w="1100"/>
        <w:gridCol w:w="1080"/>
      </w:tblGrid>
      <w:tr>
        <w:tblPrEx>
          <w:tblCellMar>
            <w:top w:w="0" w:type="dxa"/>
            <w:left w:w="108" w:type="dxa"/>
            <w:bottom w:w="0" w:type="dxa"/>
            <w:right w:w="108" w:type="dxa"/>
          </w:tblCellMar>
        </w:tblPrEx>
        <w:trPr>
          <w:trHeight w:val="425" w:hRule="exact"/>
          <w:tblHeader/>
        </w:trPr>
        <w:tc>
          <w:tcPr>
            <w:tcW w:w="187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widowControl/>
              <w:jc w:val="center"/>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二级指标</w:t>
            </w:r>
          </w:p>
        </w:tc>
        <w:tc>
          <w:tcPr>
            <w:tcW w:w="4346"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widowControl/>
              <w:jc w:val="center"/>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三级指标</w:t>
            </w:r>
          </w:p>
        </w:tc>
        <w:tc>
          <w:tcPr>
            <w:tcW w:w="1100"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widowControl/>
              <w:jc w:val="center"/>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权重</w:t>
            </w:r>
          </w:p>
        </w:tc>
        <w:tc>
          <w:tcPr>
            <w:tcW w:w="1080"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widowControl/>
              <w:jc w:val="center"/>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得分</w:t>
            </w:r>
          </w:p>
        </w:tc>
      </w:tr>
      <w:tr>
        <w:tblPrEx>
          <w:tblCellMar>
            <w:top w:w="0" w:type="dxa"/>
            <w:left w:w="108" w:type="dxa"/>
            <w:bottom w:w="0" w:type="dxa"/>
            <w:right w:w="108" w:type="dxa"/>
          </w:tblCellMar>
        </w:tblPrEx>
        <w:trPr>
          <w:trHeight w:val="425" w:hRule="exact"/>
        </w:trPr>
        <w:tc>
          <w:tcPr>
            <w:tcW w:w="187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D1社会效益</w:t>
            </w: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D1-1保障人民群众生命安全和身体健康</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6.00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5.00</w:t>
            </w:r>
          </w:p>
        </w:tc>
      </w:tr>
      <w:tr>
        <w:trPr>
          <w:trHeight w:val="425" w:hRule="exact"/>
        </w:trPr>
        <w:tc>
          <w:tcPr>
            <w:tcW w:w="187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D1-2推动人民群众合理流动</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6.00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6.00</w:t>
            </w:r>
          </w:p>
        </w:tc>
      </w:tr>
      <w:tr>
        <w:tblPrEx>
          <w:tblCellMar>
            <w:top w:w="0" w:type="dxa"/>
            <w:left w:w="108" w:type="dxa"/>
            <w:bottom w:w="0" w:type="dxa"/>
            <w:right w:w="108" w:type="dxa"/>
          </w:tblCellMar>
        </w:tblPrEx>
        <w:trPr>
          <w:trHeight w:val="425" w:hRule="exact"/>
        </w:trPr>
        <w:tc>
          <w:tcPr>
            <w:tcW w:w="187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小计</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12.00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11.00</w:t>
            </w:r>
          </w:p>
        </w:tc>
      </w:tr>
      <w:tr>
        <w:tblPrEx>
          <w:tblCellMar>
            <w:top w:w="0" w:type="dxa"/>
            <w:left w:w="108" w:type="dxa"/>
            <w:bottom w:w="0" w:type="dxa"/>
            <w:right w:w="108" w:type="dxa"/>
          </w:tblCellMar>
        </w:tblPrEx>
        <w:trPr>
          <w:trHeight w:val="425" w:hRule="exact"/>
        </w:trPr>
        <w:tc>
          <w:tcPr>
            <w:tcW w:w="187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D2可持续影响</w:t>
            </w:r>
          </w:p>
        </w:tc>
        <w:tc>
          <w:tcPr>
            <w:tcW w:w="4346" w:type="dxa"/>
            <w:tcBorders>
              <w:top w:val="single" w:color="auto" w:sz="4" w:space="0"/>
              <w:left w:val="nil"/>
              <w:bottom w:val="nil"/>
              <w:right w:val="single" w:color="auto" w:sz="4" w:space="0"/>
            </w:tcBorders>
            <w:shd w:val="clear" w:color="auto" w:fill="auto"/>
            <w:vAlign w:val="center"/>
          </w:tcPr>
          <w:p>
            <w:pPr>
              <w:widowControl/>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D2-1提升重大疫情防控及应急管理能力</w:t>
            </w:r>
          </w:p>
        </w:tc>
        <w:tc>
          <w:tcPr>
            <w:tcW w:w="1100" w:type="dxa"/>
            <w:tcBorders>
              <w:top w:val="single" w:color="auto" w:sz="4" w:space="0"/>
              <w:left w:val="nil"/>
              <w:bottom w:val="nil"/>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4.00</w:t>
            </w:r>
          </w:p>
        </w:tc>
        <w:tc>
          <w:tcPr>
            <w:tcW w:w="1080" w:type="dxa"/>
            <w:tcBorders>
              <w:top w:val="single" w:color="auto" w:sz="4" w:space="0"/>
              <w:left w:val="nil"/>
              <w:bottom w:val="nil"/>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4.00</w:t>
            </w:r>
          </w:p>
        </w:tc>
      </w:tr>
      <w:tr>
        <w:tblPrEx>
          <w:tblCellMar>
            <w:top w:w="0" w:type="dxa"/>
            <w:left w:w="108" w:type="dxa"/>
            <w:bottom w:w="0" w:type="dxa"/>
            <w:right w:w="108" w:type="dxa"/>
          </w:tblCellMar>
        </w:tblPrEx>
        <w:trPr>
          <w:trHeight w:val="425" w:hRule="exact"/>
        </w:trPr>
        <w:tc>
          <w:tcPr>
            <w:tcW w:w="187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D2-2</w:t>
            </w:r>
            <w:r>
              <w:rPr>
                <w:rFonts w:hint="eastAsia" w:ascii="仿宋" w:hAnsi="仿宋" w:eastAsia="仿宋" w:cs="宋体"/>
                <w:b w:val="0"/>
                <w:bCs w:val="0"/>
                <w:kern w:val="0"/>
                <w:sz w:val="22"/>
                <w:szCs w:val="22"/>
                <w:highlight w:val="none"/>
                <w:lang w:val="en-US" w:eastAsia="zh-CN"/>
              </w:rPr>
              <w:t>健全公共卫生体系</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4.00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4.00</w:t>
            </w:r>
          </w:p>
        </w:tc>
      </w:tr>
      <w:tr>
        <w:trPr>
          <w:trHeight w:val="425" w:hRule="exact"/>
        </w:trPr>
        <w:tc>
          <w:tcPr>
            <w:tcW w:w="187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bottom w:val="nil"/>
              <w:right w:val="single" w:color="auto" w:sz="4" w:space="0"/>
            </w:tcBorders>
            <w:shd w:val="clear" w:color="auto" w:fill="auto"/>
            <w:vAlign w:val="center"/>
          </w:tcPr>
          <w:p>
            <w:pPr>
              <w:widowControl/>
              <w:jc w:val="left"/>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D2-3持续开展爱国卫生运动</w:t>
            </w:r>
          </w:p>
        </w:tc>
        <w:tc>
          <w:tcPr>
            <w:tcW w:w="1100" w:type="dxa"/>
            <w:tcBorders>
              <w:top w:val="single" w:color="auto" w:sz="4" w:space="0"/>
              <w:left w:val="nil"/>
              <w:bottom w:val="nil"/>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4.00</w:t>
            </w:r>
          </w:p>
        </w:tc>
        <w:tc>
          <w:tcPr>
            <w:tcW w:w="1080" w:type="dxa"/>
            <w:tcBorders>
              <w:top w:val="single" w:color="auto" w:sz="4" w:space="0"/>
              <w:left w:val="nil"/>
              <w:bottom w:val="nil"/>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4.00</w:t>
            </w:r>
          </w:p>
        </w:tc>
      </w:tr>
      <w:tr>
        <w:tblPrEx>
          <w:tblCellMar>
            <w:top w:w="0" w:type="dxa"/>
            <w:left w:w="108" w:type="dxa"/>
            <w:bottom w:w="0" w:type="dxa"/>
            <w:right w:w="108" w:type="dxa"/>
          </w:tblCellMar>
        </w:tblPrEx>
        <w:trPr>
          <w:trHeight w:val="425" w:hRule="exact"/>
        </w:trPr>
        <w:tc>
          <w:tcPr>
            <w:tcW w:w="187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小计</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12.00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12.00</w:t>
            </w:r>
          </w:p>
        </w:tc>
      </w:tr>
      <w:tr>
        <w:tblPrEx>
          <w:tblCellMar>
            <w:top w:w="0" w:type="dxa"/>
            <w:left w:w="108" w:type="dxa"/>
            <w:bottom w:w="0" w:type="dxa"/>
            <w:right w:w="108" w:type="dxa"/>
          </w:tblCellMar>
        </w:tblPrEx>
        <w:trPr>
          <w:trHeight w:val="425" w:hRule="exact"/>
        </w:trPr>
        <w:tc>
          <w:tcPr>
            <w:tcW w:w="187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仿宋"/>
                <w:b w:val="0"/>
                <w:bCs/>
                <w:sz w:val="22"/>
                <w:szCs w:val="22"/>
                <w:highlight w:val="none"/>
                <w:lang w:val="en-US" w:eastAsia="zh-CN"/>
              </w:rPr>
            </w:pPr>
            <w:r>
              <w:rPr>
                <w:rFonts w:hint="eastAsia" w:ascii="仿宋" w:hAnsi="仿宋" w:eastAsia="仿宋" w:cs="仿宋"/>
                <w:b w:val="0"/>
                <w:bCs/>
                <w:sz w:val="22"/>
                <w:szCs w:val="22"/>
                <w:highlight w:val="none"/>
                <w:lang w:val="en-US" w:eastAsia="zh-CN"/>
              </w:rPr>
              <w:t>D3满意度评价</w:t>
            </w:r>
          </w:p>
        </w:tc>
        <w:tc>
          <w:tcPr>
            <w:tcW w:w="4346" w:type="dxa"/>
            <w:tcBorders>
              <w:top w:val="single" w:color="auto" w:sz="4" w:space="0"/>
              <w:left w:val="nil"/>
              <w:bottom w:val="nil"/>
              <w:right w:val="single" w:color="auto" w:sz="4" w:space="0"/>
            </w:tcBorders>
            <w:shd w:val="clear" w:color="auto" w:fill="auto"/>
            <w:vAlign w:val="center"/>
          </w:tcPr>
          <w:p>
            <w:pPr>
              <w:widowControl/>
              <w:jc w:val="both"/>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社会公众满意度</w:t>
            </w:r>
          </w:p>
        </w:tc>
        <w:tc>
          <w:tcPr>
            <w:tcW w:w="1100" w:type="dxa"/>
            <w:tcBorders>
              <w:top w:val="single" w:color="auto" w:sz="4" w:space="0"/>
              <w:left w:val="nil"/>
              <w:bottom w:val="nil"/>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6.00</w:t>
            </w:r>
          </w:p>
        </w:tc>
        <w:tc>
          <w:tcPr>
            <w:tcW w:w="1080" w:type="dxa"/>
            <w:tcBorders>
              <w:top w:val="single" w:color="auto" w:sz="4" w:space="0"/>
              <w:left w:val="nil"/>
              <w:bottom w:val="nil"/>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4.19</w:t>
            </w:r>
          </w:p>
        </w:tc>
      </w:tr>
      <w:tr>
        <w:tblPrEx>
          <w:tblCellMar>
            <w:top w:w="0" w:type="dxa"/>
            <w:left w:w="108" w:type="dxa"/>
            <w:bottom w:w="0" w:type="dxa"/>
            <w:right w:w="108" w:type="dxa"/>
          </w:tblCellMar>
        </w:tblPrEx>
        <w:trPr>
          <w:trHeight w:val="425" w:hRule="exact"/>
        </w:trPr>
        <w:tc>
          <w:tcPr>
            <w:tcW w:w="187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val="0"/>
                <w:bCs/>
                <w:sz w:val="22"/>
                <w:szCs w:val="22"/>
                <w:highlight w:val="none"/>
                <w:lang w:val="en-US" w:eastAsia="zh-CN"/>
              </w:rPr>
            </w:pPr>
          </w:p>
        </w:tc>
        <w:tc>
          <w:tcPr>
            <w:tcW w:w="43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小计</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6.00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4.19</w:t>
            </w:r>
          </w:p>
        </w:tc>
      </w:tr>
      <w:tr>
        <w:tblPrEx>
          <w:tblCellMar>
            <w:top w:w="0" w:type="dxa"/>
            <w:left w:w="108" w:type="dxa"/>
            <w:bottom w:w="0" w:type="dxa"/>
            <w:right w:w="108" w:type="dxa"/>
          </w:tblCellMar>
        </w:tblPrEx>
        <w:trPr>
          <w:trHeight w:val="425" w:hRule="exact"/>
        </w:trPr>
        <w:tc>
          <w:tcPr>
            <w:tcW w:w="18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kern w:val="0"/>
                <w:sz w:val="22"/>
                <w:szCs w:val="22"/>
                <w:highlight w:val="none"/>
              </w:rPr>
            </w:pPr>
            <w:r>
              <w:rPr>
                <w:rFonts w:hint="eastAsia" w:ascii="仿宋" w:hAnsi="仿宋" w:eastAsia="仿宋" w:cs="宋体"/>
                <w:b/>
                <w:kern w:val="0"/>
                <w:sz w:val="22"/>
                <w:szCs w:val="22"/>
                <w:highlight w:val="none"/>
              </w:rPr>
              <w:t>产出</w:t>
            </w:r>
          </w:p>
        </w:tc>
        <w:tc>
          <w:tcPr>
            <w:tcW w:w="43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kern w:val="0"/>
                <w:sz w:val="22"/>
                <w:szCs w:val="22"/>
                <w:highlight w:val="none"/>
              </w:rPr>
            </w:pPr>
            <w:r>
              <w:rPr>
                <w:rFonts w:hint="eastAsia" w:ascii="仿宋" w:hAnsi="仿宋" w:eastAsia="仿宋" w:cs="宋体"/>
                <w:b/>
                <w:kern w:val="0"/>
                <w:sz w:val="22"/>
                <w:szCs w:val="22"/>
                <w:highlight w:val="none"/>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b/>
                <w:bCs/>
                <w:kern w:val="0"/>
                <w:sz w:val="22"/>
                <w:szCs w:val="22"/>
                <w:highlight w:val="none"/>
                <w:lang w:val="en-US" w:eastAsia="zh-CN"/>
              </w:rPr>
            </w:pPr>
            <w:r>
              <w:rPr>
                <w:rFonts w:hint="eastAsia" w:ascii="仿宋" w:hAnsi="仿宋" w:eastAsia="仿宋" w:cs="宋体"/>
                <w:b/>
                <w:bCs/>
                <w:kern w:val="0"/>
                <w:sz w:val="22"/>
                <w:szCs w:val="22"/>
                <w:highlight w:val="none"/>
                <w:lang w:val="en-US" w:eastAsia="zh-CN"/>
              </w:rPr>
              <w:t>30.00</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b/>
                <w:bCs/>
                <w:kern w:val="0"/>
                <w:sz w:val="22"/>
                <w:szCs w:val="22"/>
                <w:highlight w:val="none"/>
                <w:lang w:val="en-US" w:eastAsia="zh-CN"/>
              </w:rPr>
            </w:pPr>
            <w:r>
              <w:rPr>
                <w:rFonts w:hint="eastAsia" w:ascii="仿宋" w:hAnsi="仿宋" w:eastAsia="仿宋" w:cs="宋体"/>
                <w:b/>
                <w:bCs/>
                <w:kern w:val="0"/>
                <w:sz w:val="22"/>
                <w:szCs w:val="22"/>
                <w:highlight w:val="none"/>
                <w:lang w:val="en-US" w:eastAsia="zh-CN"/>
              </w:rPr>
              <w:t>27.19</w:t>
            </w: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sz w:val="28"/>
          <w:szCs w:val="28"/>
          <w:highlight w:val="none"/>
        </w:rPr>
      </w:pPr>
      <w:bookmarkStart w:id="310" w:name="_Toc9581"/>
      <w:r>
        <w:rPr>
          <w:rFonts w:hint="eastAsia" w:ascii="仿宋" w:hAnsi="仿宋" w:eastAsia="仿宋" w:cs="仿宋"/>
          <w:b/>
          <w:sz w:val="28"/>
          <w:szCs w:val="28"/>
          <w:highlight w:val="none"/>
        </w:rPr>
        <w:t>1</w:t>
      </w:r>
      <w:r>
        <w:rPr>
          <w:rFonts w:ascii="仿宋" w:hAnsi="仿宋" w:eastAsia="仿宋" w:cs="仿宋"/>
          <w:b/>
          <w:sz w:val="28"/>
          <w:szCs w:val="28"/>
          <w:highlight w:val="none"/>
        </w:rPr>
        <w:t>.</w:t>
      </w:r>
      <w:r>
        <w:rPr>
          <w:rFonts w:hint="eastAsia" w:ascii="仿宋" w:hAnsi="仿宋" w:eastAsia="仿宋" w:cs="仿宋"/>
          <w:b/>
          <w:sz w:val="28"/>
          <w:szCs w:val="28"/>
          <w:highlight w:val="none"/>
          <w:lang w:val="en-US" w:eastAsia="zh-CN"/>
        </w:rPr>
        <w:t>D</w:t>
      </w:r>
      <w:r>
        <w:rPr>
          <w:rFonts w:hint="eastAsia" w:ascii="仿宋" w:hAnsi="仿宋" w:eastAsia="仿宋" w:cs="仿宋"/>
          <w:b/>
          <w:sz w:val="28"/>
          <w:szCs w:val="28"/>
          <w:highlight w:val="none"/>
        </w:rPr>
        <w:t>1</w:t>
      </w:r>
      <w:r>
        <w:rPr>
          <w:rFonts w:hint="eastAsia" w:ascii="仿宋" w:hAnsi="仿宋" w:eastAsia="仿宋" w:cs="仿宋"/>
          <w:b/>
          <w:sz w:val="28"/>
          <w:szCs w:val="28"/>
          <w:highlight w:val="none"/>
          <w:lang w:val="en-US" w:eastAsia="zh-CN"/>
        </w:rPr>
        <w:t>社会效益</w:t>
      </w:r>
      <w:r>
        <w:rPr>
          <w:rFonts w:hint="eastAsia"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12</w:t>
      </w:r>
      <w:r>
        <w:rPr>
          <w:rFonts w:hint="eastAsia" w:ascii="仿宋" w:hAnsi="仿宋" w:eastAsia="仿宋" w:cs="仿宋"/>
          <w:b/>
          <w:sz w:val="28"/>
          <w:szCs w:val="28"/>
          <w:highlight w:val="none"/>
        </w:rPr>
        <w:t>分，得分</w:t>
      </w:r>
      <w:r>
        <w:rPr>
          <w:rFonts w:hint="eastAsia" w:ascii="仿宋" w:hAnsi="仿宋" w:eastAsia="仿宋" w:cs="仿宋"/>
          <w:b/>
          <w:sz w:val="28"/>
          <w:szCs w:val="28"/>
          <w:highlight w:val="none"/>
          <w:lang w:val="en-US" w:eastAsia="zh-CN"/>
        </w:rPr>
        <w:t>11</w:t>
      </w:r>
      <w:r>
        <w:rPr>
          <w:rFonts w:hint="eastAsia" w:ascii="仿宋" w:hAnsi="仿宋" w:eastAsia="仿宋" w:cs="仿宋"/>
          <w:b/>
          <w:sz w:val="28"/>
          <w:szCs w:val="28"/>
          <w:highlight w:val="none"/>
        </w:rPr>
        <w:t>分</w:t>
      </w:r>
      <w:bookmarkEnd w:id="310"/>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311" w:name="_Toc23831"/>
      <w:r>
        <w:rPr>
          <w:rFonts w:hint="eastAsia" w:ascii="仿宋" w:hAnsi="仿宋" w:eastAsia="仿宋" w:cs="仿宋"/>
          <w:b/>
          <w:sz w:val="28"/>
          <w:szCs w:val="28"/>
          <w:highlight w:val="none"/>
        </w:rPr>
        <w:t>（1）</w:t>
      </w:r>
      <w:r>
        <w:rPr>
          <w:rFonts w:hint="eastAsia" w:ascii="仿宋" w:hAnsi="仿宋" w:eastAsia="仿宋" w:cs="仿宋"/>
          <w:b/>
          <w:sz w:val="28"/>
          <w:szCs w:val="28"/>
          <w:highlight w:val="none"/>
          <w:lang w:val="en-US" w:eastAsia="zh-CN"/>
        </w:rPr>
        <w:t>D</w:t>
      </w:r>
      <w:r>
        <w:rPr>
          <w:rFonts w:hint="eastAsia" w:ascii="仿宋" w:hAnsi="仿宋" w:eastAsia="仿宋" w:cs="仿宋"/>
          <w:b/>
          <w:sz w:val="28"/>
          <w:szCs w:val="28"/>
          <w:highlight w:val="none"/>
        </w:rPr>
        <w:t>1-</w:t>
      </w:r>
      <w:r>
        <w:rPr>
          <w:rFonts w:hint="eastAsia" w:ascii="仿宋" w:hAnsi="仿宋" w:eastAsia="仿宋" w:cs="仿宋"/>
          <w:b/>
          <w:sz w:val="28"/>
          <w:szCs w:val="28"/>
          <w:highlight w:val="none"/>
          <w:lang w:val="en-US" w:eastAsia="zh-CN"/>
        </w:rPr>
        <w:t>1保障人民群众生命安全和身体健康</w:t>
      </w:r>
      <w:bookmarkEnd w:id="311"/>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sz w:val="28"/>
          <w:szCs w:val="28"/>
          <w:highlight w:val="none"/>
          <w:lang w:val="en-US" w:eastAsia="zh-CN"/>
        </w:rPr>
      </w:pPr>
      <w:bookmarkStart w:id="312" w:name="_Toc18638"/>
      <w:r>
        <w:rPr>
          <w:rFonts w:hint="eastAsia" w:ascii="仿宋" w:hAnsi="仿宋" w:eastAsia="仿宋" w:cs="仿宋"/>
          <w:sz w:val="28"/>
          <w:szCs w:val="28"/>
          <w:highlight w:val="none"/>
          <w:lang w:val="en-US" w:eastAsia="zh-CN"/>
        </w:rPr>
        <w:t>2021年12月31日，永济市12岁以上新冠疫苗接种第一剂接种任务完成率83.48%，第二剂接种任务完成率88.8%，第三剂接种任务完成率98.76%，接种率不断上升；同时永济市针对农贸市场、快递外卖、交通运输等特定服务场所和行业人员进行免费核酸检测，确保人员安全。但是隔离酒店管理存在漏洞，消杀不充分、环境不整洁，给周边人群及隔离人员带来安全隐患，扣1分</w:t>
      </w:r>
      <w:r>
        <w:rPr>
          <w:rFonts w:hint="eastAsia" w:ascii="仿宋" w:hAnsi="仿宋" w:eastAsia="仿宋" w:cs="仿宋"/>
          <w:b w:val="0"/>
          <w:bCs/>
          <w:sz w:val="28"/>
          <w:szCs w:val="28"/>
          <w:highlight w:val="none"/>
          <w:lang w:val="en-US" w:eastAsia="zh-CN"/>
        </w:rPr>
        <w:t>。依据评分标准，本指标得5分。</w:t>
      </w:r>
      <w:bookmarkEnd w:id="312"/>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313" w:name="_Toc4918"/>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D</w:t>
      </w:r>
      <w:r>
        <w:rPr>
          <w:rFonts w:hint="eastAsia" w:ascii="仿宋" w:hAnsi="仿宋" w:eastAsia="仿宋" w:cs="仿宋"/>
          <w:b/>
          <w:sz w:val="28"/>
          <w:szCs w:val="28"/>
          <w:highlight w:val="none"/>
        </w:rPr>
        <w:t>1-</w:t>
      </w:r>
      <w:r>
        <w:rPr>
          <w:rFonts w:hint="eastAsia" w:ascii="仿宋" w:hAnsi="仿宋" w:eastAsia="仿宋" w:cs="仿宋"/>
          <w:b/>
          <w:sz w:val="28"/>
          <w:szCs w:val="28"/>
          <w:highlight w:val="none"/>
          <w:lang w:val="en-US" w:eastAsia="zh-CN"/>
        </w:rPr>
        <w:t>2促进人民群众合理流动</w:t>
      </w:r>
      <w:bookmarkEnd w:id="313"/>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通过高铁站、火车站、汽车站及各乡镇核酸检测点和疫苗接种点的设立，保障人员能够及时进行核酸检测和疫苗接种，同时通过主动摸排、大数据推送等多种方式进行排查，加大检测和排查力度，扩大检测范围，提高了人民群众的流动性、推动社会经济和生活秩序的全面恢复。</w:t>
      </w:r>
      <w:r>
        <w:rPr>
          <w:rFonts w:hint="eastAsia" w:ascii="仿宋" w:hAnsi="仿宋" w:eastAsia="仿宋" w:cs="仿宋"/>
          <w:b w:val="0"/>
          <w:bCs/>
          <w:sz w:val="28"/>
          <w:szCs w:val="28"/>
          <w:highlight w:val="none"/>
          <w:lang w:val="en-US" w:eastAsia="zh-CN"/>
        </w:rPr>
        <w:t>依据评分标准，本指标得6分。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sz w:val="28"/>
          <w:szCs w:val="28"/>
          <w:highlight w:val="none"/>
        </w:rPr>
      </w:pPr>
      <w:bookmarkStart w:id="314" w:name="_Toc31298"/>
      <w:r>
        <w:rPr>
          <w:rFonts w:hint="eastAsia" w:ascii="仿宋" w:hAnsi="仿宋" w:eastAsia="仿宋" w:cs="仿宋"/>
          <w:b/>
          <w:sz w:val="28"/>
          <w:szCs w:val="28"/>
          <w:highlight w:val="none"/>
          <w:lang w:val="en-US" w:eastAsia="zh-CN"/>
        </w:rPr>
        <w:t>2</w:t>
      </w:r>
      <w:r>
        <w:rPr>
          <w:rFonts w:ascii="仿宋" w:hAnsi="仿宋" w:eastAsia="仿宋" w:cs="仿宋"/>
          <w:b/>
          <w:sz w:val="28"/>
          <w:szCs w:val="28"/>
          <w:highlight w:val="none"/>
        </w:rPr>
        <w:t>.</w:t>
      </w:r>
      <w:r>
        <w:rPr>
          <w:rFonts w:hint="eastAsia" w:ascii="仿宋" w:hAnsi="仿宋" w:eastAsia="仿宋" w:cs="仿宋"/>
          <w:b/>
          <w:sz w:val="28"/>
          <w:szCs w:val="28"/>
          <w:highlight w:val="none"/>
          <w:lang w:val="en-US" w:eastAsia="zh-CN"/>
        </w:rPr>
        <w:t>D2可持续影响</w:t>
      </w:r>
      <w:r>
        <w:rPr>
          <w:rFonts w:hint="eastAsia"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12</w:t>
      </w:r>
      <w:r>
        <w:rPr>
          <w:rFonts w:hint="eastAsia" w:ascii="仿宋" w:hAnsi="仿宋" w:eastAsia="仿宋" w:cs="仿宋"/>
          <w:b/>
          <w:sz w:val="28"/>
          <w:szCs w:val="28"/>
          <w:highlight w:val="none"/>
        </w:rPr>
        <w:t>分，得分</w:t>
      </w:r>
      <w:r>
        <w:rPr>
          <w:rFonts w:hint="eastAsia" w:ascii="仿宋" w:hAnsi="仿宋" w:eastAsia="仿宋" w:cs="仿宋"/>
          <w:b/>
          <w:sz w:val="28"/>
          <w:szCs w:val="28"/>
          <w:highlight w:val="none"/>
          <w:lang w:val="en-US" w:eastAsia="zh-CN"/>
        </w:rPr>
        <w:t>12</w:t>
      </w:r>
      <w:r>
        <w:rPr>
          <w:rFonts w:hint="eastAsia" w:ascii="仿宋" w:hAnsi="仿宋" w:eastAsia="仿宋" w:cs="仿宋"/>
          <w:b/>
          <w:sz w:val="28"/>
          <w:szCs w:val="28"/>
          <w:highlight w:val="none"/>
        </w:rPr>
        <w:t>分</w:t>
      </w:r>
      <w:bookmarkEnd w:id="314"/>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315" w:name="_Toc25989"/>
      <w:r>
        <w:rPr>
          <w:rFonts w:hint="eastAsia" w:ascii="仿宋" w:hAnsi="仿宋" w:eastAsia="仿宋" w:cs="仿宋"/>
          <w:b/>
          <w:sz w:val="28"/>
          <w:szCs w:val="28"/>
          <w:highlight w:val="none"/>
        </w:rPr>
        <w:t>（1）</w:t>
      </w:r>
      <w:r>
        <w:rPr>
          <w:rFonts w:hint="eastAsia" w:ascii="仿宋" w:hAnsi="仿宋" w:eastAsia="仿宋" w:cs="仿宋"/>
          <w:b/>
          <w:sz w:val="28"/>
          <w:szCs w:val="28"/>
          <w:highlight w:val="none"/>
          <w:lang w:val="en-US" w:eastAsia="zh-CN"/>
        </w:rPr>
        <w:t>D2</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1提升重大疫情防控及应急管理能力</w:t>
      </w:r>
      <w:bookmarkEnd w:id="31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sz w:val="28"/>
          <w:szCs w:val="28"/>
          <w:highlight w:val="none"/>
          <w:lang w:val="en-US" w:eastAsia="zh-CN"/>
        </w:rPr>
      </w:pPr>
      <w:bookmarkStart w:id="316" w:name="_Toc10487"/>
      <w:r>
        <w:rPr>
          <w:rFonts w:hint="eastAsia" w:ascii="仿宋" w:hAnsi="仿宋" w:eastAsia="仿宋" w:cs="仿宋"/>
          <w:sz w:val="28"/>
          <w:szCs w:val="28"/>
          <w:highlight w:val="none"/>
          <w:lang w:val="en-US" w:eastAsia="zh-CN"/>
        </w:rPr>
        <w:t>随着疫情的常态化，防疫管理不断加强。相关单位紧跟中央、省、市有关疫情实时变动的需求，及时</w:t>
      </w:r>
      <w:r>
        <w:rPr>
          <w:rFonts w:hint="eastAsia" w:ascii="仿宋" w:hAnsi="仿宋" w:eastAsia="仿宋" w:cs="仿宋"/>
          <w:b w:val="0"/>
          <w:bCs/>
          <w:sz w:val="28"/>
          <w:szCs w:val="28"/>
          <w:highlight w:val="none"/>
          <w:lang w:val="en-US" w:eastAsia="zh-CN"/>
        </w:rPr>
        <w:t>研究、修订疫情防控策略、政策、应对预案和重大措施，密切跟进、时刻准备，完善了各项传染病防治及防控的相关制度，加强了永济市重大传染病疫情联防联控工作机制。同时，永济市举行了疫情防控演练，一定程度上提升了应急管理能力。依据评分标准，本指标得4分。</w:t>
      </w:r>
      <w:bookmarkEnd w:id="316"/>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317" w:name="_Toc23456"/>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D2</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2健全公共卫生体系</w:t>
      </w:r>
      <w:bookmarkEnd w:id="317"/>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新型冠状病毒是我国新中国成立以来传播速度最快、感染范围最广、防控难度最大的一次突发公共卫生事件，暴露出我国基层医疗卫生机构在重大疫情防控、公共卫生应急管理体系中存在的短板和不足。永济市以疫情防控为契机，提升了</w:t>
      </w:r>
      <w:r>
        <w:rPr>
          <w:rFonts w:hint="eastAsia" w:ascii="仿宋" w:hAnsi="仿宋" w:eastAsia="仿宋" w:cs="仿宋"/>
          <w:b w:val="0"/>
          <w:bCs/>
          <w:sz w:val="28"/>
          <w:szCs w:val="28"/>
          <w:highlight w:val="none"/>
          <w:lang w:val="en-US" w:eastAsia="zh-CN"/>
        </w:rPr>
        <w:t>镇（街道）村（社区）基层公共卫生服务能力，建设发热门诊、购置相关设备、提升乡镇医务人员的诊治水平。依据评分标准，本指标得4分。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仿宋" w:hAnsi="仿宋" w:eastAsia="仿宋" w:cs="仿宋"/>
          <w:b/>
          <w:sz w:val="28"/>
          <w:szCs w:val="28"/>
          <w:highlight w:val="none"/>
          <w:lang w:val="en-US" w:eastAsia="zh-CN"/>
        </w:rPr>
      </w:pPr>
      <w:bookmarkStart w:id="318" w:name="_Toc20217"/>
      <w:r>
        <w:rPr>
          <w:rFonts w:hint="eastAsia" w:ascii="仿宋" w:hAnsi="仿宋" w:eastAsia="仿宋" w:cs="仿宋"/>
          <w:b/>
          <w:sz w:val="28"/>
          <w:szCs w:val="28"/>
          <w:highlight w:val="none"/>
          <w:lang w:val="en-US" w:eastAsia="zh-CN"/>
        </w:rPr>
        <w:t>（3）D2</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3持续开展爱国卫生运动</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为落实各项防控工作，维护当前的疫情防控成果，永济市针对农贸市场、客运场站、快递物流、城市客运、执法工作者等地方和机构进行严格监督；广泛宣传防疫公益广告、进行核酸检测；积极倡导永济市民接种新冠疫苗，注意公厕卫生，并加强公厕和人口密集地环境的消杀工作；宣传</w:t>
      </w:r>
      <w:r>
        <w:rPr>
          <w:rFonts w:hint="eastAsia" w:ascii="仿宋" w:hAnsi="仿宋" w:eastAsia="仿宋" w:cs="仿宋"/>
          <w:b w:val="0"/>
          <w:bCs/>
          <w:sz w:val="28"/>
          <w:szCs w:val="28"/>
          <w:highlight w:val="none"/>
          <w:lang w:val="en-US" w:eastAsia="zh-CN"/>
        </w:rPr>
        <w:t>防控知识为重点的健康知识；切实发挥爱国卫生运动在疫情防控工作的基础性作用。依据评分标准，本指标得4分。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仿宋" w:hAnsi="仿宋" w:eastAsia="仿宋" w:cs="仿宋"/>
          <w:b/>
          <w:sz w:val="28"/>
          <w:szCs w:val="28"/>
          <w:highlight w:val="none"/>
        </w:rPr>
      </w:pPr>
      <w:r>
        <w:rPr>
          <w:rFonts w:hint="eastAsia" w:ascii="仿宋" w:hAnsi="仿宋" w:eastAsia="仿宋" w:cs="仿宋"/>
          <w:b/>
          <w:sz w:val="28"/>
          <w:szCs w:val="28"/>
          <w:highlight w:val="none"/>
          <w:lang w:val="en-US" w:eastAsia="zh-CN"/>
        </w:rPr>
        <w:t>3</w:t>
      </w:r>
      <w:r>
        <w:rPr>
          <w:rFonts w:ascii="仿宋" w:hAnsi="仿宋" w:eastAsia="仿宋" w:cs="仿宋"/>
          <w:b/>
          <w:sz w:val="28"/>
          <w:szCs w:val="28"/>
          <w:highlight w:val="none"/>
        </w:rPr>
        <w:t>.</w:t>
      </w:r>
      <w:r>
        <w:rPr>
          <w:rFonts w:hint="eastAsia" w:ascii="仿宋" w:hAnsi="仿宋" w:eastAsia="仿宋" w:cs="仿宋"/>
          <w:b/>
          <w:sz w:val="28"/>
          <w:szCs w:val="28"/>
          <w:highlight w:val="none"/>
          <w:lang w:val="en-US" w:eastAsia="zh-CN"/>
        </w:rPr>
        <w:t>D3满意度评价</w:t>
      </w:r>
      <w:r>
        <w:rPr>
          <w:rFonts w:hint="eastAsia" w:ascii="仿宋" w:hAnsi="仿宋" w:eastAsia="仿宋" w:cs="仿宋"/>
          <w:b/>
          <w:sz w:val="28"/>
          <w:szCs w:val="28"/>
          <w:highlight w:val="none"/>
        </w:rPr>
        <w:t>，权重</w:t>
      </w:r>
      <w:r>
        <w:rPr>
          <w:rFonts w:hint="eastAsia" w:ascii="仿宋" w:hAnsi="仿宋" w:eastAsia="仿宋" w:cs="仿宋"/>
          <w:b/>
          <w:sz w:val="28"/>
          <w:szCs w:val="28"/>
          <w:highlight w:val="none"/>
          <w:lang w:val="en-US" w:eastAsia="zh-CN"/>
        </w:rPr>
        <w:t>6</w:t>
      </w:r>
      <w:r>
        <w:rPr>
          <w:rFonts w:hint="eastAsia" w:ascii="仿宋" w:hAnsi="仿宋" w:eastAsia="仿宋" w:cs="仿宋"/>
          <w:b/>
          <w:sz w:val="28"/>
          <w:szCs w:val="28"/>
          <w:highlight w:val="none"/>
        </w:rPr>
        <w:t>分，得分</w:t>
      </w:r>
      <w:r>
        <w:rPr>
          <w:rFonts w:hint="eastAsia" w:ascii="仿宋" w:hAnsi="仿宋" w:eastAsia="仿宋" w:cs="仿宋"/>
          <w:b/>
          <w:sz w:val="28"/>
          <w:szCs w:val="28"/>
          <w:highlight w:val="none"/>
          <w:lang w:val="en-US" w:eastAsia="zh-CN"/>
        </w:rPr>
        <w:t>4.19</w:t>
      </w:r>
      <w:r>
        <w:rPr>
          <w:rFonts w:hint="eastAsia" w:ascii="仿宋" w:hAnsi="仿宋" w:eastAsia="仿宋" w:cs="仿宋"/>
          <w:b/>
          <w:sz w:val="28"/>
          <w:szCs w:val="28"/>
          <w:highlight w:val="none"/>
        </w:rPr>
        <w:t>分</w:t>
      </w:r>
      <w:bookmarkEnd w:id="318"/>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sz w:val="28"/>
          <w:szCs w:val="28"/>
          <w:highlight w:val="none"/>
          <w:lang w:val="en-US" w:eastAsia="zh-CN"/>
        </w:rPr>
      </w:pPr>
      <w:bookmarkStart w:id="319" w:name="_Toc25447"/>
      <w:r>
        <w:rPr>
          <w:rFonts w:hint="eastAsia" w:ascii="仿宋" w:hAnsi="仿宋" w:eastAsia="仿宋" w:cs="仿宋"/>
          <w:b/>
          <w:sz w:val="28"/>
          <w:szCs w:val="28"/>
          <w:highlight w:val="none"/>
          <w:lang w:val="en-US" w:eastAsia="zh-CN"/>
        </w:rPr>
        <w:t>社会公众满意度</w:t>
      </w:r>
      <w:bookmarkEnd w:id="319"/>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b w:val="0"/>
          <w:bCs/>
          <w:sz w:val="28"/>
          <w:szCs w:val="28"/>
          <w:highlight w:val="none"/>
          <w:lang w:val="en-US" w:eastAsia="zh-CN"/>
        </w:rPr>
      </w:pPr>
      <w:bookmarkStart w:id="320" w:name="_Toc16678"/>
      <w:bookmarkStart w:id="321" w:name="_Toc12727"/>
      <w:r>
        <w:rPr>
          <w:rFonts w:hint="eastAsia" w:ascii="仿宋" w:hAnsi="仿宋" w:eastAsia="仿宋" w:cs="仿宋"/>
          <w:b w:val="0"/>
          <w:bCs/>
          <w:sz w:val="28"/>
          <w:szCs w:val="28"/>
          <w:highlight w:val="none"/>
          <w:lang w:val="en-US" w:eastAsia="zh-CN"/>
        </w:rPr>
        <w:t>本次对新冠肺炎疫情防控工作整体满意度进行问卷调查，共计收回问卷95份，有效问卷95份。满意度调查结果见下表4-4-1</w:t>
      </w:r>
      <w:bookmarkEnd w:id="320"/>
      <w:r>
        <w:rPr>
          <w:rFonts w:hint="eastAsia" w:ascii="仿宋" w:hAnsi="仿宋" w:eastAsia="仿宋" w:cs="仿宋"/>
          <w:b w:val="0"/>
          <w:bCs/>
          <w:sz w:val="28"/>
          <w:szCs w:val="28"/>
          <w:highlight w:val="none"/>
          <w:lang w:val="en-US" w:eastAsia="zh-CN"/>
        </w:rPr>
        <w:t>：</w:t>
      </w:r>
    </w:p>
    <w:p>
      <w:pPr>
        <w:spacing w:line="560" w:lineRule="exact"/>
        <w:jc w:val="center"/>
        <w:outlineLvl w:val="9"/>
        <w:rPr>
          <w:rFonts w:hint="eastAsia" w:ascii="仿宋" w:hAnsi="仿宋" w:eastAsia="仿宋" w:cs="仿宋"/>
          <w:b/>
          <w:bCs w:val="0"/>
          <w:sz w:val="28"/>
          <w:szCs w:val="28"/>
          <w:highlight w:val="none"/>
          <w:lang w:val="en-US" w:eastAsia="zh-CN"/>
        </w:rPr>
      </w:pPr>
      <w:bookmarkStart w:id="322" w:name="_Toc3008"/>
      <w:r>
        <w:rPr>
          <w:rFonts w:hint="eastAsia" w:ascii="仿宋" w:hAnsi="仿宋" w:eastAsia="仿宋" w:cs="仿宋"/>
          <w:b/>
          <w:bCs w:val="0"/>
          <w:sz w:val="28"/>
          <w:szCs w:val="28"/>
          <w:highlight w:val="none"/>
          <w:lang w:val="en-US" w:eastAsia="zh-CN"/>
        </w:rPr>
        <w:t>表4-4-1 新冠肺炎疫情防控工作整体满意度问卷调查结果</w:t>
      </w:r>
      <w:bookmarkEnd w:id="322"/>
    </w:p>
    <w:p>
      <w:pPr>
        <w:pStyle w:val="2"/>
        <w:rPr>
          <w:rFonts w:hint="default"/>
          <w:highlight w:val="none"/>
          <w:lang w:val="en-US" w:eastAsia="zh-CN"/>
        </w:rPr>
      </w:pPr>
    </w:p>
    <w:tbl>
      <w:tblPr>
        <w:tblStyle w:val="10"/>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071"/>
        <w:gridCol w:w="1648"/>
        <w:gridCol w:w="3803"/>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454" w:hRule="exact"/>
          <w:tblHeader/>
        </w:trPr>
        <w:tc>
          <w:tcPr>
            <w:shd w:val="clear" w:color="auto" w:fill="F5F5F5"/>
            <w:vAlign w:val="center"/>
          </w:tcPr>
          <w:p>
            <w:pPr>
              <w:jc w:val="center"/>
              <w:rPr>
                <w:rFonts w:hint="eastAsia" w:ascii="仿宋" w:hAnsi="仿宋" w:eastAsia="仿宋" w:cs="仿宋"/>
                <w:sz w:val="24"/>
                <w:szCs w:val="24"/>
                <w:highlight w:val="none"/>
              </w:rPr>
            </w:pPr>
            <w:bookmarkStart w:id="323" w:name="_Toc8608"/>
            <w:bookmarkStart w:id="324" w:name="_Toc11956"/>
            <w:bookmarkStart w:id="325" w:name="_Toc8235"/>
            <w:r>
              <w:rPr>
                <w:rFonts w:hint="eastAsia" w:ascii="仿宋" w:hAnsi="仿宋" w:eastAsia="仿宋" w:cs="仿宋"/>
                <w:sz w:val="24"/>
                <w:szCs w:val="24"/>
                <w:highlight w:val="none"/>
              </w:rPr>
              <w:t>选项</w:t>
            </w:r>
          </w:p>
        </w:tc>
        <w:tc>
          <w:tcPr>
            <w:tcW w:w="967" w:type="pct"/>
            <w:shd w:val="clear" w:color="auto" w:fill="F5F5F5"/>
            <w:vAlign w:val="center"/>
          </w:tcPr>
          <w:p>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小计</w:t>
            </w:r>
          </w:p>
        </w:tc>
        <w:tc>
          <w:tcPr>
            <w:tcW w:w="2231" w:type="pct"/>
            <w:shd w:val="clear" w:color="auto" w:fill="F5F5F5"/>
            <w:vAlign w:val="center"/>
          </w:tcPr>
          <w:p>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454" w:hRule="exact"/>
        </w:trPr>
        <w:tc>
          <w:tcPr>
            <w:shd w:val="clear" w:color="auto" w:fill="FFFFFF"/>
            <w:vAlign w:val="center"/>
          </w:tcPr>
          <w:p>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非常满意</w:t>
            </w:r>
          </w:p>
        </w:tc>
        <w:tc>
          <w:tcPr>
            <w:tcW w:w="967" w:type="pct"/>
            <w:shd w:val="clear" w:color="auto" w:fill="FFFFFF"/>
            <w:vAlign w:val="center"/>
          </w:tcPr>
          <w:p>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48</w:t>
            </w:r>
          </w:p>
        </w:tc>
        <w:tc>
          <w:tcPr>
            <w:tcW w:w="2231" w:type="pct"/>
            <w:shd w:val="clear" w:color="auto" w:fill="FFFFFF"/>
            <w:vAlign w:val="center"/>
          </w:tcPr>
          <w:p>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676275" cy="11430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676275" cy="114300"/>
                          </a:xfrm>
                          <a:prstGeom prst="rect">
                            <a:avLst/>
                          </a:prstGeom>
                          <a:noFill/>
                          <a:ln>
                            <a:noFill/>
                          </a:ln>
                        </pic:spPr>
                      </pic:pic>
                    </a:graphicData>
                  </a:graphic>
                </wp:inline>
              </w:drawing>
            </w:r>
            <w:r>
              <w:rPr>
                <w:rFonts w:hint="eastAsia" w:ascii="仿宋" w:hAnsi="仿宋" w:eastAsia="仿宋" w:cs="仿宋"/>
                <w:sz w:val="24"/>
                <w:szCs w:val="24"/>
                <w:highlight w:val="none"/>
              </w:rPr>
              <w:drawing>
                <wp:inline distT="0" distB="0" distL="114300" distR="114300">
                  <wp:extent cx="676275" cy="11430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676275" cy="114300"/>
                          </a:xfrm>
                          <a:prstGeom prst="rect">
                            <a:avLst/>
                          </a:prstGeom>
                          <a:noFill/>
                          <a:ln>
                            <a:noFill/>
                          </a:ln>
                        </pic:spPr>
                      </pic:pic>
                    </a:graphicData>
                  </a:graphic>
                </wp:inline>
              </w:drawing>
            </w:r>
            <w:r>
              <w:rPr>
                <w:rFonts w:hint="eastAsia" w:ascii="仿宋" w:hAnsi="仿宋" w:eastAsia="仿宋" w:cs="仿宋"/>
                <w:sz w:val="24"/>
                <w:szCs w:val="24"/>
                <w:highlight w:val="none"/>
              </w:rPr>
              <w:t>50.53%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454" w:hRule="exact"/>
        </w:trPr>
        <w:tc>
          <w:tcPr>
            <w:shd w:val="clear" w:color="auto" w:fill="FAFAFA"/>
            <w:vAlign w:val="center"/>
          </w:tcPr>
          <w:p>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比较满意</w:t>
            </w:r>
          </w:p>
        </w:tc>
        <w:tc>
          <w:tcPr>
            <w:tcW w:w="967" w:type="pct"/>
            <w:shd w:val="clear" w:color="auto" w:fill="FAFAFA"/>
            <w:vAlign w:val="center"/>
          </w:tcPr>
          <w:p>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26</w:t>
            </w:r>
          </w:p>
        </w:tc>
        <w:tc>
          <w:tcPr>
            <w:tcW w:w="2231" w:type="pct"/>
            <w:shd w:val="clear" w:color="auto" w:fill="FAFAFA"/>
            <w:vAlign w:val="center"/>
          </w:tcPr>
          <w:p>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361950" cy="114300"/>
                  <wp:effectExtent l="0" t="0" r="635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361950" cy="114300"/>
                          </a:xfrm>
                          <a:prstGeom prst="rect">
                            <a:avLst/>
                          </a:prstGeom>
                          <a:noFill/>
                          <a:ln>
                            <a:noFill/>
                          </a:ln>
                        </pic:spPr>
                      </pic:pic>
                    </a:graphicData>
                  </a:graphic>
                </wp:inline>
              </w:drawing>
            </w:r>
            <w:r>
              <w:rPr>
                <w:rFonts w:hint="eastAsia" w:ascii="仿宋" w:hAnsi="仿宋" w:eastAsia="仿宋" w:cs="仿宋"/>
                <w:sz w:val="24"/>
                <w:szCs w:val="24"/>
                <w:highlight w:val="none"/>
              </w:rPr>
              <w:drawing>
                <wp:inline distT="0" distB="0" distL="114300" distR="114300">
                  <wp:extent cx="990600" cy="11430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7"/>
                          <a:stretch>
                            <a:fillRect/>
                          </a:stretch>
                        </pic:blipFill>
                        <pic:spPr>
                          <a:xfrm>
                            <a:off x="0" y="0"/>
                            <a:ext cx="990600" cy="114300"/>
                          </a:xfrm>
                          <a:prstGeom prst="rect">
                            <a:avLst/>
                          </a:prstGeom>
                          <a:noFill/>
                          <a:ln>
                            <a:noFill/>
                          </a:ln>
                        </pic:spPr>
                      </pic:pic>
                    </a:graphicData>
                  </a:graphic>
                </wp:inline>
              </w:drawing>
            </w:r>
            <w:r>
              <w:rPr>
                <w:rFonts w:hint="eastAsia" w:ascii="仿宋" w:hAnsi="仿宋" w:eastAsia="仿宋" w:cs="仿宋"/>
                <w:sz w:val="24"/>
                <w:szCs w:val="24"/>
                <w:highlight w:val="none"/>
              </w:rPr>
              <w:t>27.37%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454" w:hRule="exact"/>
        </w:trPr>
        <w:tc>
          <w:tcPr>
            <w:shd w:val="clear" w:color="auto" w:fill="FFFFFF"/>
            <w:vAlign w:val="center"/>
          </w:tcPr>
          <w:p>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基本满意</w:t>
            </w:r>
          </w:p>
        </w:tc>
        <w:tc>
          <w:tcPr>
            <w:tcW w:w="967" w:type="pct"/>
            <w:shd w:val="clear" w:color="auto" w:fill="FFFFFF"/>
            <w:vAlign w:val="center"/>
          </w:tcPr>
          <w:p>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18</w:t>
            </w:r>
          </w:p>
        </w:tc>
        <w:tc>
          <w:tcPr>
            <w:tcW w:w="2231" w:type="pct"/>
            <w:shd w:val="clear" w:color="auto" w:fill="FFFFFF"/>
            <w:vAlign w:val="center"/>
          </w:tcPr>
          <w:p>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247650" cy="114300"/>
                  <wp:effectExtent l="0" t="0" r="635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8"/>
                          <a:stretch>
                            <a:fillRect/>
                          </a:stretch>
                        </pic:blipFill>
                        <pic:spPr>
                          <a:xfrm>
                            <a:off x="0" y="0"/>
                            <a:ext cx="247650" cy="114300"/>
                          </a:xfrm>
                          <a:prstGeom prst="rect">
                            <a:avLst/>
                          </a:prstGeom>
                          <a:noFill/>
                          <a:ln>
                            <a:noFill/>
                          </a:ln>
                        </pic:spPr>
                      </pic:pic>
                    </a:graphicData>
                  </a:graphic>
                </wp:inline>
              </w:drawing>
            </w:r>
            <w:r>
              <w:rPr>
                <w:rFonts w:hint="eastAsia" w:ascii="仿宋" w:hAnsi="仿宋" w:eastAsia="仿宋" w:cs="仿宋"/>
                <w:sz w:val="24"/>
                <w:szCs w:val="24"/>
                <w:highlight w:val="none"/>
              </w:rPr>
              <w:drawing>
                <wp:inline distT="0" distB="0" distL="114300" distR="114300">
                  <wp:extent cx="1104900" cy="114300"/>
                  <wp:effectExtent l="0" t="0" r="0"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9"/>
                          <a:stretch>
                            <a:fillRect/>
                          </a:stretch>
                        </pic:blipFill>
                        <pic:spPr>
                          <a:xfrm>
                            <a:off x="0" y="0"/>
                            <a:ext cx="1104900" cy="114300"/>
                          </a:xfrm>
                          <a:prstGeom prst="rect">
                            <a:avLst/>
                          </a:prstGeom>
                          <a:noFill/>
                          <a:ln>
                            <a:noFill/>
                          </a:ln>
                        </pic:spPr>
                      </pic:pic>
                    </a:graphicData>
                  </a:graphic>
                </wp:inline>
              </w:drawing>
            </w:r>
            <w:r>
              <w:rPr>
                <w:rFonts w:hint="eastAsia" w:ascii="仿宋" w:hAnsi="仿宋" w:eastAsia="仿宋" w:cs="仿宋"/>
                <w:sz w:val="24"/>
                <w:szCs w:val="24"/>
                <w:highlight w:val="none"/>
              </w:rPr>
              <w:t>18.95%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454" w:hRule="exact"/>
        </w:trPr>
        <w:tc>
          <w:tcPr>
            <w:shd w:val="clear" w:color="auto" w:fill="FAFAFA"/>
            <w:vAlign w:val="center"/>
          </w:tcPr>
          <w:p>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不满意</w:t>
            </w:r>
          </w:p>
        </w:tc>
        <w:tc>
          <w:tcPr>
            <w:tcW w:w="967" w:type="pct"/>
            <w:shd w:val="clear" w:color="auto" w:fill="FAFAFA"/>
            <w:vAlign w:val="center"/>
          </w:tcPr>
          <w:p>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2231" w:type="pct"/>
            <w:shd w:val="clear" w:color="auto" w:fill="FAFAFA"/>
            <w:vAlign w:val="center"/>
          </w:tcPr>
          <w:p>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9050" cy="114300"/>
                  <wp:effectExtent l="0" t="0" r="635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0"/>
                          <a:stretch>
                            <a:fillRect/>
                          </a:stretch>
                        </pic:blipFill>
                        <pic:spPr>
                          <a:xfrm>
                            <a:off x="0" y="0"/>
                            <a:ext cx="19050" cy="114300"/>
                          </a:xfrm>
                          <a:prstGeom prst="rect">
                            <a:avLst/>
                          </a:prstGeom>
                          <a:noFill/>
                          <a:ln>
                            <a:noFill/>
                          </a:ln>
                        </pic:spPr>
                      </pic:pic>
                    </a:graphicData>
                  </a:graphic>
                </wp:inline>
              </w:drawing>
            </w:r>
            <w:r>
              <w:rPr>
                <w:rFonts w:hint="eastAsia" w:ascii="仿宋" w:hAnsi="仿宋" w:eastAsia="仿宋" w:cs="仿宋"/>
                <w:sz w:val="24"/>
                <w:szCs w:val="24"/>
                <w:highlight w:val="none"/>
              </w:rPr>
              <w:drawing>
                <wp:inline distT="0" distB="0" distL="114300" distR="114300">
                  <wp:extent cx="1333500" cy="114300"/>
                  <wp:effectExtent l="0" t="0" r="0" b="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1"/>
                          <a:stretch>
                            <a:fillRect/>
                          </a:stretch>
                        </pic:blipFill>
                        <pic:spPr>
                          <a:xfrm>
                            <a:off x="0" y="0"/>
                            <a:ext cx="1333500" cy="114300"/>
                          </a:xfrm>
                          <a:prstGeom prst="rect">
                            <a:avLst/>
                          </a:prstGeom>
                          <a:noFill/>
                          <a:ln>
                            <a:noFill/>
                          </a:ln>
                        </pic:spPr>
                      </pic:pic>
                    </a:graphicData>
                  </a:graphic>
                </wp:inline>
              </w:drawing>
            </w:r>
            <w:r>
              <w:rPr>
                <w:rFonts w:hint="eastAsia" w:ascii="仿宋" w:hAnsi="仿宋" w:eastAsia="仿宋" w:cs="仿宋"/>
                <w:sz w:val="24"/>
                <w:szCs w:val="24"/>
                <w:highlight w:val="none"/>
              </w:rPr>
              <w:t>2.11%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454" w:hRule="exact"/>
        </w:trPr>
        <w:tc>
          <w:tcPr>
            <w:shd w:val="clear" w:color="auto" w:fill="FFFFFF"/>
            <w:vAlign w:val="center"/>
          </w:tcPr>
          <w:p>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非常不满意</w:t>
            </w:r>
          </w:p>
        </w:tc>
        <w:tc>
          <w:tcPr>
            <w:tcW w:w="967" w:type="pct"/>
            <w:shd w:val="clear" w:color="auto" w:fill="FFFFFF"/>
            <w:vAlign w:val="center"/>
          </w:tcPr>
          <w:p>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231" w:type="pct"/>
            <w:shd w:val="clear" w:color="auto" w:fill="FFFFFF"/>
            <w:vAlign w:val="center"/>
          </w:tcPr>
          <w:p>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9525" cy="114300"/>
                  <wp:effectExtent l="0" t="0" r="3175" b="0"/>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22"/>
                          <a:stretch>
                            <a:fillRect/>
                          </a:stretch>
                        </pic:blipFill>
                        <pic:spPr>
                          <a:xfrm>
                            <a:off x="0" y="0"/>
                            <a:ext cx="9525" cy="114300"/>
                          </a:xfrm>
                          <a:prstGeom prst="rect">
                            <a:avLst/>
                          </a:prstGeom>
                          <a:noFill/>
                          <a:ln>
                            <a:noFill/>
                          </a:ln>
                        </pic:spPr>
                      </pic:pic>
                    </a:graphicData>
                  </a:graphic>
                </wp:inline>
              </w:drawing>
            </w:r>
            <w:r>
              <w:rPr>
                <w:rFonts w:hint="eastAsia" w:ascii="仿宋" w:hAnsi="仿宋" w:eastAsia="仿宋" w:cs="仿宋"/>
                <w:sz w:val="24"/>
                <w:szCs w:val="24"/>
                <w:highlight w:val="none"/>
              </w:rPr>
              <w:drawing>
                <wp:inline distT="0" distB="0" distL="114300" distR="114300">
                  <wp:extent cx="1343025" cy="114300"/>
                  <wp:effectExtent l="0" t="0" r="3175" b="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23"/>
                          <a:stretch>
                            <a:fillRect/>
                          </a:stretch>
                        </pic:blipFill>
                        <pic:spPr>
                          <a:xfrm>
                            <a:off x="0" y="0"/>
                            <a:ext cx="1343025" cy="114300"/>
                          </a:xfrm>
                          <a:prstGeom prst="rect">
                            <a:avLst/>
                          </a:prstGeom>
                          <a:noFill/>
                          <a:ln>
                            <a:noFill/>
                          </a:ln>
                        </pic:spPr>
                      </pic:pic>
                    </a:graphicData>
                  </a:graphic>
                </wp:inline>
              </w:drawing>
            </w:r>
            <w:r>
              <w:rPr>
                <w:rFonts w:hint="eastAsia" w:ascii="仿宋" w:hAnsi="仿宋" w:eastAsia="仿宋" w:cs="仿宋"/>
                <w:sz w:val="24"/>
                <w:szCs w:val="24"/>
                <w:highlight w:val="none"/>
              </w:rPr>
              <w:t>1.05%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454" w:hRule="exact"/>
        </w:trPr>
        <w:tc>
          <w:tcPr>
            <w:shd w:val="clear" w:color="auto" w:fill="F5F5F5"/>
            <w:vAlign w:val="center"/>
          </w:tcPr>
          <w:p>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本题有效填写人次</w:t>
            </w:r>
          </w:p>
        </w:tc>
        <w:tc>
          <w:tcPr>
            <w:tcW w:w="967" w:type="pct"/>
            <w:shd w:val="clear" w:color="auto" w:fill="F5F5F5"/>
            <w:vAlign w:val="center"/>
          </w:tcPr>
          <w:p>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95</w:t>
            </w:r>
          </w:p>
        </w:tc>
        <w:tc>
          <w:tcPr>
            <w:tcW w:w="2231" w:type="pct"/>
            <w:shd w:val="clear" w:color="auto" w:fill="F5F5F5"/>
            <w:vAlign w:val="center"/>
          </w:tcPr>
          <w:p>
            <w:pPr>
              <w:jc w:val="left"/>
              <w:rPr>
                <w:rFonts w:hint="eastAsia" w:ascii="仿宋" w:hAnsi="仿宋" w:eastAsia="仿宋" w:cs="仿宋"/>
                <w:sz w:val="24"/>
                <w:szCs w:val="24"/>
                <w:highlight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根据评分规则：5个满意度选项“非常满意”“比较满意”“基本满意”“不太满意”“非常不满意”分数100分、80分、60分、30分、0分，得出各项满意度得分和平均得分。满意度平均得分为84.42分。</w:t>
      </w:r>
      <w:bookmarkEnd w:id="323"/>
      <w:bookmarkEnd w:id="324"/>
      <w:bookmarkEnd w:id="325"/>
      <w:bookmarkStart w:id="326" w:name="_Toc23402"/>
      <w:r>
        <w:rPr>
          <w:rFonts w:hint="eastAsia" w:ascii="仿宋" w:hAnsi="仿宋" w:eastAsia="仿宋" w:cs="仿宋"/>
          <w:b w:val="0"/>
          <w:bCs/>
          <w:sz w:val="28"/>
          <w:szCs w:val="28"/>
          <w:highlight w:val="none"/>
          <w:lang w:val="en-US" w:eastAsia="zh-CN"/>
        </w:rPr>
        <w:t>依据评分规则，本指标得分=（84.42-60）÷（95-60）×6=4.19分。</w:t>
      </w:r>
      <w:bookmarkEnd w:id="326"/>
    </w:p>
    <w:bookmarkEnd w:id="321"/>
    <w:p>
      <w:pPr>
        <w:pStyle w:val="14"/>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highlight w:val="none"/>
          <w:lang w:eastAsia="zh-CN"/>
        </w:rPr>
      </w:pPr>
      <w:bookmarkStart w:id="327" w:name="_Toc7336_WPSOffice_Level1"/>
      <w:bookmarkStart w:id="328" w:name="_Toc16710_WPSOffice_Level1"/>
      <w:bookmarkStart w:id="329" w:name="_Toc10497_WPSOffice_Level1"/>
      <w:bookmarkStart w:id="330" w:name="_Toc2096_WPSOffice_Level1"/>
      <w:bookmarkStart w:id="331" w:name="_Toc2890_WPSOffice_Level1"/>
      <w:bookmarkStart w:id="332" w:name="_Toc11386_WPSOffice_Level1"/>
      <w:bookmarkStart w:id="333" w:name="_Toc23046_WPSOffice_Level1"/>
      <w:bookmarkStart w:id="334" w:name="_Toc24208_WPSOffice_Level1"/>
      <w:bookmarkStart w:id="335" w:name="_Toc14858"/>
      <w:bookmarkStart w:id="336" w:name="_Toc18139"/>
      <w:bookmarkStart w:id="337" w:name="_Toc16271"/>
      <w:r>
        <w:rPr>
          <w:rFonts w:hint="eastAsia" w:ascii="仿宋" w:hAnsi="仿宋" w:eastAsia="仿宋" w:cs="仿宋"/>
          <w:b/>
          <w:highlight w:val="none"/>
          <w:lang w:val="en-US" w:eastAsia="zh-CN"/>
        </w:rPr>
        <w:t>五</w:t>
      </w:r>
      <w:r>
        <w:rPr>
          <w:rFonts w:hint="eastAsia" w:ascii="仿宋" w:hAnsi="仿宋" w:eastAsia="仿宋" w:cs="仿宋"/>
          <w:b/>
          <w:highlight w:val="none"/>
        </w:rPr>
        <w:t>、存在的主要问题及</w:t>
      </w:r>
      <w:bookmarkEnd w:id="327"/>
      <w:bookmarkEnd w:id="328"/>
      <w:bookmarkEnd w:id="329"/>
      <w:bookmarkEnd w:id="330"/>
      <w:bookmarkEnd w:id="331"/>
      <w:bookmarkEnd w:id="332"/>
      <w:bookmarkEnd w:id="333"/>
      <w:r>
        <w:rPr>
          <w:rFonts w:hint="eastAsia" w:ascii="仿宋" w:hAnsi="仿宋" w:eastAsia="仿宋" w:cs="仿宋"/>
          <w:b/>
          <w:highlight w:val="none"/>
          <w:lang w:eastAsia="zh-CN"/>
        </w:rPr>
        <w:t>建议</w:t>
      </w:r>
      <w:bookmarkEnd w:id="334"/>
      <w:bookmarkEnd w:id="335"/>
      <w:bookmarkEnd w:id="336"/>
      <w:bookmarkEnd w:id="337"/>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eastAsia" w:ascii="仿宋" w:hAnsi="仿宋" w:eastAsia="仿宋"/>
          <w:b/>
          <w:sz w:val="28"/>
          <w:szCs w:val="28"/>
          <w:highlight w:val="none"/>
        </w:rPr>
      </w:pPr>
      <w:bookmarkStart w:id="338" w:name="_Toc16934"/>
      <w:bookmarkStart w:id="339" w:name="_Toc18636"/>
      <w:bookmarkStart w:id="340" w:name="_Toc7206"/>
      <w:r>
        <w:rPr>
          <w:rFonts w:hint="eastAsia" w:ascii="仿宋" w:hAnsi="仿宋" w:eastAsia="仿宋"/>
          <w:b/>
          <w:sz w:val="28"/>
          <w:szCs w:val="28"/>
          <w:highlight w:val="none"/>
        </w:rPr>
        <w:t>（一）存在的主要问题</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仿宋" w:hAnsi="仿宋" w:eastAsia="仿宋" w:cs="仿宋"/>
          <w:b/>
          <w:bCs w:val="0"/>
          <w:sz w:val="28"/>
          <w:szCs w:val="28"/>
          <w:highlight w:val="none"/>
          <w:lang w:val="en-US" w:eastAsia="zh-CN"/>
        </w:rPr>
      </w:pPr>
      <w:r>
        <w:rPr>
          <w:rFonts w:hint="eastAsia" w:ascii="仿宋" w:hAnsi="仿宋" w:eastAsia="仿宋" w:cs="仿宋"/>
          <w:b/>
          <w:bCs w:val="0"/>
          <w:sz w:val="28"/>
          <w:szCs w:val="28"/>
          <w:highlight w:val="none"/>
          <w:lang w:val="en-US" w:eastAsia="zh-CN"/>
        </w:rPr>
        <w:t>1.核酸检测存在的相关问题</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①由相关部门推送的免费检测名单原始资料缺失，无法证实核酸检测的真实性。</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②免费核酸检测人员名单不完整、信息不充分，无法核实免费检测人次的准确性。主要因为：相关部门推送至检测机构的免费检测人员名单未被及时进行汇总整理，导致人员名单不完整；检测机构接诊的免费检测人员，相关信息录入不充分，未标注混采比例；核酸检测公布程序中的信息未及时导出，现已无法获取到数据。</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③免费核酸检测人次不准确，缺少绩效考核或其他核定程序，导致补助资金在测算时缺乏准确依据；全员核酸资金分配存在差异，各医疗机构补助标准不统一。</w:t>
      </w:r>
    </w:p>
    <w:p>
      <w:pPr>
        <w:keepNext w:val="0"/>
        <w:keepLines w:val="0"/>
        <w:pageBreakBefore w:val="0"/>
        <w:widowControl w:val="0"/>
        <w:kinsoku/>
        <w:wordWrap/>
        <w:overflowPunct/>
        <w:topLinePunct w:val="0"/>
        <w:autoSpaceDE/>
        <w:autoSpaceDN/>
        <w:bidi w:val="0"/>
        <w:adjustRightInd/>
        <w:snapToGrid/>
        <w:spacing w:line="560" w:lineRule="exact"/>
        <w:ind w:firstLine="556"/>
        <w:textAlignment w:val="auto"/>
        <w:outlineLvl w:val="3"/>
        <w:rPr>
          <w:rFonts w:hint="default" w:ascii="仿宋" w:hAnsi="仿宋" w:eastAsia="仿宋" w:cs="仿宋"/>
          <w:b/>
          <w:bCs w:val="0"/>
          <w:strike w:val="0"/>
          <w:dstrike w:val="0"/>
          <w:sz w:val="28"/>
          <w:szCs w:val="28"/>
          <w:highlight w:val="none"/>
          <w:lang w:val="en-US" w:eastAsia="zh-CN"/>
        </w:rPr>
      </w:pPr>
      <w:r>
        <w:rPr>
          <w:rFonts w:hint="eastAsia" w:ascii="仿宋" w:hAnsi="仿宋" w:eastAsia="仿宋" w:cs="仿宋"/>
          <w:b/>
          <w:bCs w:val="0"/>
          <w:strike w:val="0"/>
          <w:dstrike w:val="0"/>
          <w:sz w:val="28"/>
          <w:szCs w:val="28"/>
          <w:highlight w:val="none"/>
          <w:lang w:val="en-US" w:eastAsia="zh-CN"/>
        </w:rPr>
        <w:t>2.隔离点存在的相关问题</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①租赁合同内容不合理，未考虑房间的预期入住率，以滨河假日酒店为例，2021年7月30日-2021年12月14日，房间实际入住率仅为38%，而合同以100%的房间数进行租赁，造成财政资金浪费。</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②经调查，2021年存在隔离人员收费的情况，但是相关资料中未将自费人员和免费人员进行区分，人员信息记录不完整。</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③隔离点运行管理不到位，隔离酒店废弃物处理无相关记录，消毒记录不完善，环境卫生不佳。根据永济市卫生健康和体育局出具的卫生监督意见书，鼎泰隔离点管理上未设置安保、医师、负责人轮流值班表，医疗废弃物未建立完善的消毒记录；废弃物处置上污水未达到每日进行余氯检测，同时根据问卷调查及电话回访结果，三个隔离点均存在酒店环境较差、饮食配置不好的情况，群众整体满意度不高。</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④隔离点资料管理不到位，滨河酒店、华晟酒店在2021年年初隔离期间的相关记录丢失，鼎泰隔离酒店2021年隔离期间相关记录未留存。</w:t>
      </w:r>
    </w:p>
    <w:p>
      <w:pPr>
        <w:keepNext w:val="0"/>
        <w:keepLines w:val="0"/>
        <w:pageBreakBefore w:val="0"/>
        <w:widowControl w:val="0"/>
        <w:kinsoku/>
        <w:wordWrap/>
        <w:overflowPunct/>
        <w:topLinePunct w:val="0"/>
        <w:autoSpaceDE/>
        <w:autoSpaceDN/>
        <w:bidi w:val="0"/>
        <w:adjustRightInd/>
        <w:snapToGrid/>
        <w:spacing w:line="560" w:lineRule="exact"/>
        <w:ind w:firstLine="556"/>
        <w:textAlignment w:val="auto"/>
        <w:outlineLvl w:val="3"/>
        <w:rPr>
          <w:rFonts w:hint="default" w:ascii="仿宋" w:hAnsi="仿宋" w:eastAsia="仿宋" w:cs="仿宋"/>
          <w:b/>
          <w:bCs w:val="0"/>
          <w:strike w:val="0"/>
          <w:dstrike w:val="0"/>
          <w:sz w:val="28"/>
          <w:szCs w:val="28"/>
          <w:highlight w:val="none"/>
          <w:lang w:val="en-US" w:eastAsia="zh-CN"/>
        </w:rPr>
      </w:pPr>
      <w:r>
        <w:rPr>
          <w:rFonts w:hint="eastAsia" w:ascii="仿宋" w:hAnsi="仿宋" w:eastAsia="仿宋" w:cs="仿宋"/>
          <w:b/>
          <w:bCs w:val="0"/>
          <w:strike w:val="0"/>
          <w:dstrike w:val="0"/>
          <w:sz w:val="28"/>
          <w:szCs w:val="28"/>
          <w:highlight w:val="none"/>
          <w:lang w:val="en-US" w:eastAsia="zh-CN"/>
        </w:rPr>
        <w:t>3.存在部分支出超出疫情防控范畴</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b w:val="0"/>
          <w:bCs/>
          <w:sz w:val="28"/>
          <w:szCs w:val="28"/>
          <w:highlight w:val="none"/>
          <w:lang w:val="en-US" w:eastAsia="zh-CN"/>
        </w:rPr>
        <w:t>通过资料搜集，发现资金在使用过程中疾控中心资金用途超出疫情防控资金范畴，例如：单位职工流感疫苗款、与疫情无关的差旅费及餐费等</w:t>
      </w:r>
      <w:r>
        <w:rPr>
          <w:rFonts w:hint="eastAsia" w:ascii="仿宋" w:hAnsi="仿宋" w:eastAsia="仿宋" w:cs="仿宋"/>
          <w:sz w:val="28"/>
          <w:szCs w:val="28"/>
          <w:highlight w:val="none"/>
          <w:lang w:val="en-US" w:eastAsia="zh-CN"/>
        </w:rPr>
        <w:t>。</w:t>
      </w:r>
    </w:p>
    <w:p>
      <w:pPr>
        <w:spacing w:line="560" w:lineRule="exact"/>
        <w:ind w:firstLine="562" w:firstLineChars="200"/>
        <w:outlineLvl w:val="2"/>
        <w:rPr>
          <w:rFonts w:hint="eastAsia" w:ascii="仿宋" w:hAnsi="仿宋" w:eastAsia="仿宋"/>
          <w:sz w:val="28"/>
          <w:szCs w:val="28"/>
          <w:highlight w:val="none"/>
          <w:lang w:eastAsia="zh-CN"/>
        </w:rPr>
      </w:pPr>
      <w:r>
        <w:rPr>
          <w:rFonts w:hint="eastAsia" w:ascii="仿宋" w:hAnsi="仿宋" w:eastAsia="仿宋"/>
          <w:b/>
          <w:sz w:val="28"/>
          <w:szCs w:val="28"/>
          <w:highlight w:val="none"/>
        </w:rPr>
        <w:t>（二）</w:t>
      </w:r>
      <w:r>
        <w:rPr>
          <w:rFonts w:hint="eastAsia" w:ascii="仿宋" w:hAnsi="仿宋" w:eastAsia="仿宋"/>
          <w:b/>
          <w:sz w:val="28"/>
          <w:szCs w:val="28"/>
          <w:highlight w:val="none"/>
          <w:lang w:val="en-US" w:eastAsia="zh-CN"/>
        </w:rPr>
        <w:t>相关</w:t>
      </w:r>
      <w:r>
        <w:rPr>
          <w:rFonts w:hint="eastAsia" w:ascii="仿宋" w:hAnsi="仿宋" w:eastAsia="仿宋"/>
          <w:b/>
          <w:sz w:val="28"/>
          <w:szCs w:val="28"/>
          <w:highlight w:val="none"/>
          <w:lang w:eastAsia="zh-CN"/>
        </w:rPr>
        <w:t>建议</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2" w:firstLineChars="200"/>
        <w:textAlignment w:val="auto"/>
        <w:outlineLvl w:val="3"/>
        <w:rPr>
          <w:rFonts w:hint="default"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1.积极汇总免费核酸检测人员名单，在核实名单的基础上，确定补助方法和标准</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outlineLvl w:val="9"/>
        <w:rPr>
          <w:rFonts w:hint="default"/>
          <w:highlight w:val="none"/>
          <w:lang w:val="en-US" w:eastAsia="zh-CN"/>
        </w:rPr>
      </w:pPr>
      <w:r>
        <w:rPr>
          <w:rFonts w:hint="eastAsia" w:ascii="仿宋" w:hAnsi="仿宋" w:eastAsia="仿宋" w:cs="仿宋"/>
          <w:b w:val="0"/>
          <w:bCs/>
          <w:kern w:val="2"/>
          <w:sz w:val="28"/>
          <w:szCs w:val="28"/>
          <w:highlight w:val="none"/>
          <w:lang w:val="en-US" w:eastAsia="zh-CN" w:bidi="ar-SA"/>
        </w:rPr>
        <w:t>涉及免费核酸检测的医疗机构应及时将相关人员名单进行汇总，并标明检测日期、人群类别、混采方式、联系方式等信息，并将该名单上报进行论证和检验，经核实后根据最终名单确定免费核酸检测的补助方法和标准，例如：按照日期和混采比例以各阶段的核酸检测收费标准进行补助，或采取平均收费标准等方式。</w:t>
      </w:r>
    </w:p>
    <w:p>
      <w:pPr>
        <w:keepNext w:val="0"/>
        <w:keepLines w:val="0"/>
        <w:pageBreakBefore w:val="0"/>
        <w:widowControl w:val="0"/>
        <w:kinsoku/>
        <w:wordWrap/>
        <w:overflowPunct/>
        <w:topLinePunct w:val="0"/>
        <w:autoSpaceDE/>
        <w:autoSpaceDN/>
        <w:bidi w:val="0"/>
        <w:adjustRightInd/>
        <w:snapToGrid/>
        <w:spacing w:line="560" w:lineRule="exact"/>
        <w:ind w:firstLine="556"/>
        <w:textAlignment w:val="auto"/>
        <w:outlineLvl w:val="3"/>
        <w:rPr>
          <w:rFonts w:hint="default" w:ascii="仿宋" w:hAnsi="仿宋" w:eastAsia="仿宋" w:cs="仿宋"/>
          <w:b/>
          <w:bCs w:val="0"/>
          <w:strike w:val="0"/>
          <w:dstrike w:val="0"/>
          <w:sz w:val="28"/>
          <w:szCs w:val="28"/>
          <w:highlight w:val="none"/>
          <w:lang w:val="en-US" w:eastAsia="zh-CN"/>
        </w:rPr>
      </w:pPr>
      <w:r>
        <w:rPr>
          <w:rFonts w:hint="eastAsia" w:ascii="仿宋" w:hAnsi="仿宋" w:eastAsia="仿宋" w:cs="仿宋"/>
          <w:b/>
          <w:bCs w:val="0"/>
          <w:strike w:val="0"/>
          <w:dstrike w:val="0"/>
          <w:sz w:val="28"/>
          <w:szCs w:val="28"/>
          <w:highlight w:val="none"/>
          <w:lang w:val="en-US" w:eastAsia="zh-CN"/>
        </w:rPr>
        <w:t>2.以合理的金额租赁隔离酒店，同时加强隔离酒店的管理，妥善保管隔离期间相关资料</w:t>
      </w:r>
    </w:p>
    <w:p>
      <w:pPr>
        <w:keepNext w:val="0"/>
        <w:keepLines w:val="0"/>
        <w:pageBreakBefore w:val="0"/>
        <w:widowControl w:val="0"/>
        <w:kinsoku/>
        <w:wordWrap/>
        <w:overflowPunct/>
        <w:topLinePunct w:val="0"/>
        <w:autoSpaceDE/>
        <w:autoSpaceDN/>
        <w:bidi w:val="0"/>
        <w:adjustRightInd/>
        <w:snapToGrid/>
        <w:spacing w:line="560" w:lineRule="exact"/>
        <w:ind w:firstLine="556"/>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可采用先租后付的方式，按照实际的入住房间数计算该期间的租赁费，另外可在此基础上对闲置的房间按照合理的金额予以补偿。</w:t>
      </w:r>
    </w:p>
    <w:p>
      <w:pPr>
        <w:keepNext w:val="0"/>
        <w:keepLines w:val="0"/>
        <w:pageBreakBefore w:val="0"/>
        <w:widowControl w:val="0"/>
        <w:kinsoku/>
        <w:wordWrap/>
        <w:overflowPunct/>
        <w:topLinePunct w:val="0"/>
        <w:autoSpaceDE/>
        <w:autoSpaceDN/>
        <w:bidi w:val="0"/>
        <w:adjustRightInd/>
        <w:snapToGrid/>
        <w:spacing w:line="560" w:lineRule="exact"/>
        <w:ind w:firstLine="556"/>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各隔离点需要加强管理。首先，对隔离期间所需记录的相关信息进行统一规定，建立相关信息台账，确保被隔离人员相关信息完整、准确；其次，严格区分自费和免费人员相关信息，尤其是免费人员应准确标明免费的类型；再次，针对隔离酒店环境卫生、医务人员自身管理等相关程序应制定相关的制度，确保医务人员和被隔离人员的安全和酒店卫生，并将每次执行的过程进行登记记录；最后，执行的相关记录应妥善保管，按照月度/季度/合同周期为标准进行整理，并装订成册，以备查看。</w:t>
      </w:r>
    </w:p>
    <w:p>
      <w:pPr>
        <w:keepNext w:val="0"/>
        <w:keepLines w:val="0"/>
        <w:pageBreakBefore w:val="0"/>
        <w:widowControl w:val="0"/>
        <w:kinsoku/>
        <w:wordWrap/>
        <w:overflowPunct/>
        <w:topLinePunct w:val="0"/>
        <w:autoSpaceDE/>
        <w:autoSpaceDN/>
        <w:bidi w:val="0"/>
        <w:adjustRightInd/>
        <w:snapToGrid/>
        <w:spacing w:line="560" w:lineRule="exact"/>
        <w:ind w:firstLine="556"/>
        <w:textAlignment w:val="auto"/>
        <w:outlineLvl w:val="3"/>
        <w:rPr>
          <w:rFonts w:hint="default" w:ascii="仿宋" w:hAnsi="仿宋" w:eastAsia="仿宋" w:cs="仿宋"/>
          <w:b/>
          <w:bCs w:val="0"/>
          <w:strike w:val="0"/>
          <w:dstrike w:val="0"/>
          <w:sz w:val="28"/>
          <w:szCs w:val="28"/>
          <w:highlight w:val="none"/>
          <w:lang w:val="en-US" w:eastAsia="zh-CN"/>
        </w:rPr>
      </w:pPr>
      <w:r>
        <w:rPr>
          <w:rFonts w:hint="eastAsia" w:ascii="仿宋" w:hAnsi="仿宋" w:eastAsia="仿宋" w:cs="仿宋"/>
          <w:b/>
          <w:bCs w:val="0"/>
          <w:strike w:val="0"/>
          <w:dstrike w:val="0"/>
          <w:sz w:val="28"/>
          <w:szCs w:val="28"/>
          <w:highlight w:val="none"/>
          <w:lang w:val="en-US" w:eastAsia="zh-CN"/>
        </w:rPr>
        <w:t>3.制定相关资金管理制度，规范资金使用范围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kern w:val="0"/>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制定切实可行的资金管理办法，并且将未能够使用完毕的资金及时返回财政，规范资金的使用，精准、有效地支付款项，提高资金的使用效益</w:t>
      </w:r>
      <w:r>
        <w:rPr>
          <w:rFonts w:hint="eastAsia" w:ascii="仿宋" w:hAnsi="仿宋" w:eastAsia="仿宋" w:cs="仿宋"/>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0"/>
        <w:rPr>
          <w:rFonts w:ascii="仿宋" w:hAnsi="仿宋" w:eastAsia="仿宋" w:cs="仿宋"/>
          <w:b/>
          <w:sz w:val="28"/>
          <w:szCs w:val="28"/>
          <w:highlight w:val="none"/>
        </w:rPr>
      </w:pPr>
      <w:r>
        <w:rPr>
          <w:rFonts w:hint="eastAsia" w:ascii="仿宋" w:hAnsi="仿宋" w:eastAsia="仿宋" w:cs="仿宋"/>
          <w:b/>
          <w:sz w:val="28"/>
          <w:szCs w:val="28"/>
          <w:highlight w:val="none"/>
          <w:lang w:val="en-US" w:eastAsia="zh-CN"/>
        </w:rPr>
        <w:t>六</w:t>
      </w:r>
      <w:r>
        <w:rPr>
          <w:rFonts w:hint="eastAsia" w:ascii="仿宋" w:hAnsi="仿宋" w:eastAsia="仿宋" w:cs="仿宋"/>
          <w:b/>
          <w:sz w:val="28"/>
          <w:szCs w:val="28"/>
          <w:highlight w:val="none"/>
        </w:rPr>
        <w:t>、</w:t>
      </w:r>
      <w:r>
        <w:rPr>
          <w:rFonts w:ascii="仿宋" w:hAnsi="仿宋" w:eastAsia="仿宋" w:cs="仿宋"/>
          <w:b/>
          <w:sz w:val="28"/>
          <w:szCs w:val="28"/>
          <w:highlight w:val="none"/>
        </w:rPr>
        <w:t>绩效评价结果应用建议</w:t>
      </w:r>
      <w:bookmarkEnd w:id="338"/>
      <w:bookmarkEnd w:id="339"/>
      <w:bookmarkEnd w:id="34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仿宋" w:hAnsi="仿宋" w:eastAsia="仿宋" w:cs="仿宋"/>
          <w:sz w:val="28"/>
          <w:szCs w:val="28"/>
          <w:highlight w:val="none"/>
        </w:rPr>
      </w:pPr>
      <w:bookmarkStart w:id="341" w:name="_Toc18540"/>
      <w:bookmarkStart w:id="342" w:name="_Toc15067"/>
      <w:bookmarkStart w:id="343" w:name="_Toc11870"/>
      <w:r>
        <w:rPr>
          <w:rFonts w:hint="eastAsia" w:ascii="仿宋" w:hAnsi="仿宋" w:eastAsia="仿宋" w:cs="仿宋"/>
          <w:sz w:val="28"/>
          <w:szCs w:val="28"/>
          <w:highlight w:val="none"/>
        </w:rPr>
        <w:t>绩效评价结果应用，既是开展绩效评价工作的重要后续环节，又是加强财政支出管理、增强资金绩效理念、合理配置公共资源、优化财政支出结构、强化资金管理水平、提高资金使用效益的重要手段。为此，特提出以下</w:t>
      </w: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rPr>
        <w:t>点建议。</w:t>
      </w:r>
      <w:bookmarkEnd w:id="341"/>
      <w:bookmarkEnd w:id="342"/>
      <w:bookmarkEnd w:id="34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仿宋" w:hAnsi="仿宋" w:eastAsia="仿宋" w:cs="仿宋"/>
          <w:sz w:val="28"/>
          <w:szCs w:val="28"/>
          <w:highlight w:val="none"/>
        </w:rPr>
      </w:pPr>
      <w:bookmarkStart w:id="344" w:name="_Toc17379"/>
      <w:bookmarkStart w:id="345" w:name="_Toc14362"/>
      <w:bookmarkStart w:id="346" w:name="_Toc14538"/>
      <w:r>
        <w:rPr>
          <w:rFonts w:hint="eastAsia" w:ascii="仿宋" w:hAnsi="仿宋" w:eastAsia="仿宋" w:cs="仿宋"/>
          <w:sz w:val="28"/>
          <w:szCs w:val="28"/>
          <w:highlight w:val="none"/>
        </w:rPr>
        <w:t>（一）应将评价结果反馈告知项目实施单位。将评价项目绩效分值、等级，存在的问题及相关建议及时反馈给项目资金使用单位，使其了解绩效评价结果，并针对性地结合绩效评价要求，巩固成果，整改问题，延续绩效评价结果的导向与激励作用。</w:t>
      </w:r>
      <w:bookmarkEnd w:id="344"/>
      <w:bookmarkEnd w:id="345"/>
      <w:bookmarkEnd w:id="346"/>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仿宋" w:hAnsi="仿宋" w:eastAsia="仿宋" w:cs="仿宋"/>
          <w:bCs/>
          <w:sz w:val="28"/>
          <w:szCs w:val="28"/>
          <w:highlight w:val="none"/>
        </w:rPr>
      </w:pPr>
      <w:bookmarkStart w:id="347" w:name="_Toc10293"/>
      <w:bookmarkStart w:id="348" w:name="_Toc7170"/>
      <w:bookmarkStart w:id="349" w:name="_Toc29767"/>
      <w:r>
        <w:rPr>
          <w:rFonts w:hint="eastAsia" w:ascii="仿宋" w:hAnsi="仿宋" w:eastAsia="仿宋" w:cs="仿宋"/>
          <w:sz w:val="28"/>
          <w:szCs w:val="28"/>
          <w:highlight w:val="none"/>
        </w:rPr>
        <w:t>（二）应在一定范围内通报或公示绩效评价结果。依据《政府信息公开条例》等相关规定，对绩效评价情况在一定范围内公开，或在相关网站，采取内部通报、公示的形式，公开绩效评价结果。促进和增强项目实施单位及社会各界对绩效评价工作重要性的认识，逐步形成社会监督机制，进一步提高财政资金绩效评价结果的影响和社会的理解认同。</w:t>
      </w:r>
      <w:bookmarkEnd w:id="347"/>
      <w:bookmarkEnd w:id="348"/>
      <w:bookmarkEnd w:id="349"/>
      <w:bookmarkStart w:id="350" w:name="_Toc29777_WPSOffice_Level1"/>
      <w:bookmarkStart w:id="351" w:name="_Toc17050_WPSOffice_Level1"/>
      <w:bookmarkStart w:id="352" w:name="_Toc4995_WPSOffice_Level1"/>
      <w:bookmarkStart w:id="353" w:name="_Toc3643_WPSOffice_Level1"/>
      <w:bookmarkStart w:id="354" w:name="_Toc6564_WPSOffice_Level1"/>
      <w:bookmarkStart w:id="355" w:name="_Toc28236_WPSOffice_Level1"/>
      <w:bookmarkStart w:id="356" w:name="_Toc6427_WPSOffice_Level1"/>
      <w:bookmarkStart w:id="357" w:name="_Toc21511_WPSOffice_Level1"/>
      <w:bookmarkStart w:id="358" w:name="_Toc7342_WPSOffice_Level1"/>
      <w:bookmarkStart w:id="359" w:name="_Toc23457_WPSOffice_Level1"/>
      <w:bookmarkStart w:id="360" w:name="_Toc31184_WPSOffice_Level1"/>
      <w:bookmarkStart w:id="361" w:name="_Toc1166_WPSOffice_Level1"/>
      <w:bookmarkStart w:id="362" w:name="_Toc828_WPSOffice_Level1"/>
      <w:bookmarkStart w:id="363" w:name="_Toc22410_WPSOffice_Level1"/>
    </w:p>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仿宋" w:hAnsi="仿宋" w:eastAsia="仿宋" w:cs="仿宋"/>
          <w:bCs/>
          <w:sz w:val="28"/>
          <w:szCs w:val="28"/>
          <w:highlight w:val="none"/>
        </w:rPr>
      </w:pPr>
      <w:bookmarkStart w:id="364" w:name="_Toc20119"/>
      <w:r>
        <w:rPr>
          <w:rFonts w:hint="eastAsia" w:ascii="仿宋" w:hAnsi="仿宋" w:eastAsia="仿宋" w:cs="仿宋"/>
          <w:sz w:val="28"/>
          <w:szCs w:val="28"/>
          <w:highlight w:val="none"/>
        </w:rPr>
        <w:t>（三）将此次绩效评价结果作为财政部门资金分配的</w:t>
      </w:r>
      <w:r>
        <w:rPr>
          <w:rFonts w:hint="eastAsia" w:ascii="仿宋" w:hAnsi="仿宋" w:eastAsia="仿宋" w:cs="仿宋"/>
          <w:sz w:val="28"/>
          <w:szCs w:val="28"/>
          <w:highlight w:val="none"/>
          <w:lang w:val="en-US" w:eastAsia="zh-CN"/>
        </w:rPr>
        <w:t>参考</w:t>
      </w:r>
      <w:r>
        <w:rPr>
          <w:rFonts w:hint="eastAsia" w:ascii="仿宋" w:hAnsi="仿宋" w:eastAsia="仿宋" w:cs="仿宋"/>
          <w:sz w:val="28"/>
          <w:szCs w:val="28"/>
          <w:highlight w:val="none"/>
        </w:rPr>
        <w:t>依据。</w:t>
      </w:r>
      <w:r>
        <w:rPr>
          <w:rFonts w:hint="eastAsia" w:ascii="仿宋" w:hAnsi="仿宋" w:eastAsia="仿宋" w:cs="仿宋"/>
          <w:sz w:val="28"/>
          <w:szCs w:val="28"/>
          <w:highlight w:val="none"/>
          <w:lang w:val="en-US" w:eastAsia="zh-CN"/>
        </w:rPr>
        <w:t>建议将本次评价结果与相关主管单位资金扣减相挂钩，存在问题并未达到相应标准的项目单位应扣减项目资金，确保财政资金的使用效益。</w:t>
      </w:r>
    </w:p>
    <w:p>
      <w:pPr>
        <w:keepNext w:val="0"/>
        <w:keepLines w:val="0"/>
        <w:pageBreakBefore w:val="0"/>
        <w:widowControl w:val="0"/>
        <w:kinsoku/>
        <w:wordWrap/>
        <w:overflowPunct/>
        <w:topLinePunct w:val="0"/>
        <w:autoSpaceDE/>
        <w:autoSpaceDN/>
        <w:bidi w:val="0"/>
        <w:adjustRightInd/>
        <w:snapToGrid/>
        <w:spacing w:before="157" w:beforeLines="50" w:line="560" w:lineRule="exact"/>
        <w:ind w:firstLine="560" w:firstLineChars="200"/>
        <w:jc w:val="left"/>
        <w:textAlignment w:val="auto"/>
        <w:outlineLvl w:val="9"/>
        <w:rPr>
          <w:rFonts w:hint="eastAsia" w:ascii="仿宋" w:hAnsi="仿宋" w:eastAsia="仿宋" w:cs="仿宋"/>
          <w:bCs/>
          <w:sz w:val="28"/>
          <w:szCs w:val="28"/>
          <w:highlight w:val="none"/>
        </w:rPr>
      </w:pPr>
    </w:p>
    <w:p>
      <w:pPr>
        <w:keepNext w:val="0"/>
        <w:keepLines w:val="0"/>
        <w:pageBreakBefore w:val="0"/>
        <w:widowControl w:val="0"/>
        <w:kinsoku/>
        <w:wordWrap/>
        <w:overflowPunct/>
        <w:topLinePunct w:val="0"/>
        <w:autoSpaceDE/>
        <w:autoSpaceDN/>
        <w:bidi w:val="0"/>
        <w:adjustRightInd/>
        <w:snapToGrid/>
        <w:spacing w:before="157" w:beforeLines="50" w:line="560" w:lineRule="exact"/>
        <w:ind w:firstLine="560" w:firstLineChars="200"/>
        <w:jc w:val="left"/>
        <w:textAlignment w:val="auto"/>
        <w:outlineLvl w:val="9"/>
        <w:rPr>
          <w:rFonts w:ascii="仿宋" w:hAnsi="仿宋" w:eastAsia="仿宋" w:cs="仿宋"/>
          <w:bCs/>
          <w:sz w:val="28"/>
          <w:szCs w:val="28"/>
          <w:highlight w:val="none"/>
        </w:rPr>
      </w:pPr>
      <w:r>
        <w:rPr>
          <w:rFonts w:hint="eastAsia" w:ascii="仿宋" w:hAnsi="仿宋" w:eastAsia="仿宋" w:cs="仿宋"/>
          <w:bCs/>
          <w:sz w:val="28"/>
          <w:szCs w:val="28"/>
          <w:highlight w:val="none"/>
        </w:rPr>
        <w:t>附件1：绩效评价指标评分表</w:t>
      </w:r>
      <w:bookmarkEnd w:id="36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Cs/>
          <w:sz w:val="28"/>
          <w:szCs w:val="28"/>
          <w:highlight w:val="none"/>
          <w:lang w:val="en-US" w:eastAsia="zh-CN"/>
        </w:rPr>
      </w:pPr>
      <w:bookmarkStart w:id="365" w:name="_Toc19521_WPSOffice_Level1"/>
      <w:bookmarkStart w:id="366" w:name="_Toc32331_WPSOffice_Level1"/>
      <w:bookmarkStart w:id="367" w:name="_Toc19501_WPSOffice_Level1"/>
      <w:bookmarkStart w:id="368" w:name="_Toc32669_WPSOffice_Level1"/>
      <w:bookmarkStart w:id="369" w:name="_Toc14928_WPSOffice_Level1"/>
      <w:bookmarkStart w:id="370" w:name="_Toc17504"/>
      <w:bookmarkStart w:id="371" w:name="_Toc10460_WPSOffice_Level1"/>
      <w:bookmarkStart w:id="372" w:name="_Toc28491_WPSOffice_Level1"/>
      <w:bookmarkStart w:id="373" w:name="_Toc23617_WPSOffice_Level1"/>
      <w:bookmarkStart w:id="374" w:name="_Toc25268_WPSOffice_Level1"/>
      <w:bookmarkStart w:id="375" w:name="_Toc1812_WPSOffice_Level1"/>
      <w:bookmarkStart w:id="376" w:name="_Toc6837_WPSOffice_Level1"/>
      <w:bookmarkStart w:id="377" w:name="_Toc23757_WPSOffice_Level1"/>
      <w:bookmarkStart w:id="378" w:name="_Toc20234_WPSOffice_Level1"/>
      <w:bookmarkStart w:id="379" w:name="_Toc17413_WPSOffice_Level1"/>
      <w:r>
        <w:rPr>
          <w:rFonts w:hint="eastAsia" w:ascii="仿宋" w:hAnsi="仿宋" w:eastAsia="仿宋" w:cs="仿宋"/>
          <w:bCs/>
          <w:sz w:val="28"/>
          <w:szCs w:val="28"/>
          <w:highlight w:val="none"/>
          <w:lang w:val="en-US" w:eastAsia="zh-CN"/>
        </w:rPr>
        <w:t>附件2：项目支出绩效评价合规性检查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default"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附件3：基础信息表</w:t>
      </w:r>
    </w:p>
    <w:p>
      <w:pPr>
        <w:spacing w:line="560" w:lineRule="exact"/>
        <w:ind w:firstLine="560" w:firstLineChars="200"/>
        <w:jc w:val="left"/>
        <w:outlineLvl w:val="9"/>
        <w:rPr>
          <w:rFonts w:ascii="仿宋" w:hAnsi="仿宋" w:eastAsia="仿宋" w:cs="仿宋"/>
          <w:bCs/>
          <w:sz w:val="28"/>
          <w:szCs w:val="28"/>
          <w:highlight w:val="none"/>
        </w:rPr>
      </w:pPr>
      <w:r>
        <w:rPr>
          <w:rFonts w:hint="eastAsia" w:ascii="仿宋" w:hAnsi="仿宋" w:eastAsia="仿宋" w:cs="仿宋"/>
          <w:bCs/>
          <w:sz w:val="28"/>
          <w:szCs w:val="28"/>
          <w:highlight w:val="none"/>
        </w:rPr>
        <w:t>附件</w:t>
      </w:r>
      <w:r>
        <w:rPr>
          <w:rFonts w:hint="eastAsia" w:ascii="仿宋" w:hAnsi="仿宋" w:eastAsia="仿宋" w:cs="仿宋"/>
          <w:bCs/>
          <w:sz w:val="28"/>
          <w:szCs w:val="28"/>
          <w:highlight w:val="none"/>
          <w:lang w:val="en-US" w:eastAsia="zh-CN"/>
        </w:rPr>
        <w:t>4</w:t>
      </w:r>
      <w:r>
        <w:rPr>
          <w:rFonts w:hint="eastAsia" w:ascii="仿宋" w:hAnsi="仿宋" w:eastAsia="仿宋" w:cs="仿宋"/>
          <w:bCs/>
          <w:sz w:val="28"/>
          <w:szCs w:val="28"/>
          <w:highlight w:val="none"/>
        </w:rPr>
        <w:t>：反映项目绩效的照片</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pPr>
        <w:spacing w:line="560" w:lineRule="exact"/>
        <w:ind w:firstLine="560" w:firstLineChars="200"/>
        <w:jc w:val="left"/>
        <w:outlineLvl w:val="9"/>
        <w:rPr>
          <w:rFonts w:hint="eastAsia" w:ascii="仿宋" w:hAnsi="仿宋" w:eastAsia="仿宋" w:cs="仿宋"/>
          <w:sz w:val="28"/>
          <w:szCs w:val="28"/>
          <w:highlight w:val="none"/>
        </w:rPr>
      </w:pPr>
      <w:bookmarkStart w:id="380" w:name="_Toc26483_WPSOffice_Level1"/>
      <w:bookmarkStart w:id="381" w:name="_Toc10767_WPSOffice_Level1"/>
      <w:bookmarkStart w:id="382" w:name="_Toc5800_WPSOffice_Level1"/>
      <w:bookmarkStart w:id="383" w:name="_Toc10661_WPSOffice_Level1"/>
      <w:bookmarkStart w:id="384" w:name="_Toc3703_WPSOffice_Level1"/>
      <w:bookmarkStart w:id="385" w:name="_Toc8903_WPSOffice_Level1"/>
      <w:bookmarkStart w:id="386" w:name="_Toc13567_WPSOffice_Level1"/>
      <w:bookmarkStart w:id="387" w:name="_Toc25524_WPSOffice_Level1"/>
      <w:bookmarkStart w:id="388" w:name="_Toc2871_WPSOffice_Level1"/>
      <w:bookmarkStart w:id="389" w:name="_Toc16586_WPSOffice_Level1"/>
      <w:bookmarkStart w:id="390" w:name="_Toc4966_WPSOffice_Level1"/>
      <w:bookmarkStart w:id="391" w:name="_Toc24243_WPSOffice_Level1"/>
      <w:bookmarkStart w:id="392" w:name="_Toc11054_WPSOffice_Level1"/>
      <w:bookmarkStart w:id="393" w:name="_Toc2713"/>
      <w:bookmarkStart w:id="394" w:name="_Toc23722_WPSOffice_Level1"/>
      <w:r>
        <w:rPr>
          <w:rFonts w:hint="eastAsia" w:ascii="仿宋" w:hAnsi="仿宋" w:eastAsia="仿宋" w:cs="仿宋"/>
          <w:bCs/>
          <w:sz w:val="28"/>
          <w:szCs w:val="28"/>
          <w:highlight w:val="none"/>
        </w:rPr>
        <w:t>附件</w:t>
      </w:r>
      <w:r>
        <w:rPr>
          <w:rFonts w:hint="eastAsia" w:ascii="仿宋" w:hAnsi="仿宋" w:eastAsia="仿宋" w:cs="仿宋"/>
          <w:bCs/>
          <w:sz w:val="28"/>
          <w:szCs w:val="28"/>
          <w:highlight w:val="none"/>
          <w:lang w:val="en-US" w:eastAsia="zh-CN"/>
        </w:rPr>
        <w:t>5</w:t>
      </w:r>
      <w:r>
        <w:rPr>
          <w:rFonts w:hint="eastAsia" w:ascii="仿宋" w:hAnsi="仿宋" w:eastAsia="仿宋" w:cs="仿宋"/>
          <w:bCs/>
          <w:sz w:val="28"/>
          <w:szCs w:val="28"/>
          <w:highlight w:val="none"/>
        </w:rPr>
        <w:t>：调查问卷分析报告</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pPr>
        <w:spacing w:line="640" w:lineRule="exact"/>
        <w:ind w:firstLine="556"/>
        <w:jc w:val="right"/>
        <w:rPr>
          <w:rFonts w:hint="eastAsia" w:ascii="仿宋" w:hAnsi="仿宋" w:eastAsia="仿宋" w:cs="仿宋"/>
          <w:sz w:val="28"/>
          <w:szCs w:val="28"/>
          <w:highlight w:val="none"/>
        </w:rPr>
      </w:pPr>
    </w:p>
    <w:p>
      <w:pPr>
        <w:spacing w:line="640" w:lineRule="exact"/>
        <w:ind w:firstLine="556"/>
        <w:jc w:val="right"/>
        <w:rPr>
          <w:rFonts w:ascii="仿宋" w:hAnsi="仿宋" w:eastAsia="仿宋" w:cs="仿宋"/>
          <w:sz w:val="28"/>
          <w:szCs w:val="28"/>
          <w:highlight w:val="none"/>
        </w:rPr>
      </w:pPr>
      <w:r>
        <w:rPr>
          <w:rFonts w:hint="eastAsia" w:ascii="仿宋" w:hAnsi="仿宋" w:eastAsia="仿宋" w:cs="仿宋"/>
          <w:sz w:val="28"/>
          <w:szCs w:val="28"/>
          <w:highlight w:val="none"/>
        </w:rPr>
        <w:t>山西广和会计师事务所有限公司</w:t>
      </w:r>
    </w:p>
    <w:p>
      <w:pPr>
        <w:adjustRightInd w:val="0"/>
        <w:snapToGrid w:val="0"/>
        <w:spacing w:line="640" w:lineRule="exact"/>
        <w:ind w:firstLine="560" w:firstLineChars="200"/>
        <w:rPr>
          <w:rFonts w:hint="eastAsia" w:ascii="仿宋" w:hAnsi="仿宋" w:eastAsia="仿宋" w:cs="仿宋"/>
          <w:sz w:val="28"/>
          <w:szCs w:val="28"/>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仿宋" w:hAnsi="仿宋" w:eastAsia="仿宋" w:cs="仿宋"/>
          <w:sz w:val="28"/>
          <w:szCs w:val="28"/>
          <w:highlight w:val="none"/>
        </w:rPr>
        <w:t xml:space="preserve">                                </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20</w:t>
      </w:r>
      <w:r>
        <w:rPr>
          <w:rFonts w:hint="eastAsia" w:ascii="仿宋" w:hAnsi="仿宋" w:eastAsia="仿宋" w:cs="仿宋"/>
          <w:sz w:val="28"/>
          <w:szCs w:val="28"/>
          <w:highlight w:val="none"/>
          <w:lang w:val="en-US" w:eastAsia="zh-CN"/>
        </w:rPr>
        <w:t>22</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12</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30</w:t>
      </w:r>
      <w:r>
        <w:rPr>
          <w:rFonts w:hint="eastAsia" w:ascii="仿宋" w:hAnsi="仿宋" w:eastAsia="仿宋" w:cs="仿宋"/>
          <w:sz w:val="28"/>
          <w:szCs w:val="28"/>
          <w:highlight w:val="none"/>
        </w:rPr>
        <w:t>日</w:t>
      </w:r>
    </w:p>
    <w:p>
      <w:pPr>
        <w:pStyle w:val="2"/>
        <w:rPr>
          <w:rFonts w:hint="eastAsia"/>
          <w:highlight w:val="none"/>
        </w:rPr>
      </w:pPr>
    </w:p>
    <w:p>
      <w:pPr>
        <w:rPr>
          <w:rFonts w:hint="eastAsia" w:ascii="仿宋" w:hAnsi="仿宋" w:eastAsia="仿宋" w:cs="仿宋"/>
          <w:sz w:val="28"/>
          <w:szCs w:val="28"/>
          <w:highlight w:val="none"/>
        </w:rPr>
      </w:pPr>
      <w:r>
        <w:rPr>
          <w:rFonts w:hint="eastAsia" w:ascii="仿宋" w:hAnsi="仿宋" w:eastAsia="仿宋" w:cs="仿宋"/>
          <w:sz w:val="28"/>
          <w:szCs w:val="28"/>
          <w:highlight w:val="none"/>
        </w:rPr>
        <w:br w:type="page"/>
      </w:r>
    </w:p>
    <w:p>
      <w:pPr>
        <w:pStyle w:val="2"/>
        <w:rPr>
          <w:rFonts w:hint="eastAsia"/>
          <w:highlight w:val="none"/>
          <w:lang w:val="en-US"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outlineLvl w:val="0"/>
        <w:rPr>
          <w:rFonts w:hint="eastAsia" w:ascii="仿宋" w:hAnsi="仿宋" w:eastAsia="仿宋" w:cs="仿宋"/>
          <w:highlight w:val="none"/>
          <w:lang w:val="en-US" w:eastAsia="zh-CN"/>
        </w:rPr>
      </w:pPr>
      <w:bookmarkStart w:id="395" w:name="_Toc23416"/>
      <w:r>
        <w:rPr>
          <w:rFonts w:hint="eastAsia" w:ascii="仿宋" w:hAnsi="仿宋" w:eastAsia="仿宋" w:cs="仿宋"/>
          <w:highlight w:val="none"/>
          <w:lang w:val="en-US" w:eastAsia="zh-CN"/>
        </w:rPr>
        <w:t>附件1：绩效评价指标评分表</w:t>
      </w:r>
      <w:bookmarkEnd w:id="395"/>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151"/>
        <w:gridCol w:w="1180"/>
        <w:gridCol w:w="700"/>
        <w:gridCol w:w="2569"/>
        <w:gridCol w:w="742"/>
        <w:gridCol w:w="5991"/>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174" w:type="dxa"/>
            <w:gridSpan w:val="8"/>
            <w:tcBorders>
              <w:top w:val="nil"/>
              <w:left w:val="nil"/>
              <w:bottom w:val="single" w:color="auto" w:sz="4" w:space="0"/>
              <w:right w:val="nil"/>
            </w:tcBorders>
            <w:vAlign w:val="top"/>
          </w:tcPr>
          <w:p>
            <w:pPr>
              <w:spacing w:line="560" w:lineRule="exact"/>
              <w:ind w:firstLine="643" w:firstLineChars="200"/>
              <w:jc w:val="center"/>
              <w:outlineLvl w:val="0"/>
              <w:rPr>
                <w:rFonts w:hint="eastAsia" w:ascii="仿宋" w:hAnsi="仿宋" w:eastAsia="仿宋" w:cs="仿宋"/>
                <w:b/>
                <w:bCs/>
                <w:kern w:val="0"/>
                <w:sz w:val="32"/>
                <w:szCs w:val="32"/>
                <w:highlight w:val="none"/>
                <w:lang w:eastAsia="zh-CN"/>
              </w:rPr>
            </w:pPr>
            <w:bookmarkStart w:id="396" w:name="_Toc1829"/>
            <w:bookmarkStart w:id="397" w:name="_Toc14893"/>
            <w:bookmarkStart w:id="398" w:name="_Toc24316"/>
            <w:bookmarkStart w:id="399" w:name="_Toc10722"/>
            <w:r>
              <w:rPr>
                <w:rFonts w:hint="eastAsia" w:ascii="仿宋" w:hAnsi="仿宋" w:eastAsia="仿宋" w:cs="仿宋"/>
                <w:b/>
                <w:bCs/>
                <w:sz w:val="32"/>
                <w:szCs w:val="32"/>
                <w:highlight w:val="none"/>
                <w:lang w:val="en-US" w:eastAsia="zh-CN"/>
              </w:rPr>
              <w:t>2021年永济市疫情防控资金</w:t>
            </w:r>
            <w:r>
              <w:rPr>
                <w:rFonts w:hint="eastAsia" w:ascii="仿宋" w:hAnsi="仿宋" w:eastAsia="仿宋" w:cs="仿宋"/>
                <w:b/>
                <w:bCs/>
                <w:sz w:val="32"/>
                <w:szCs w:val="32"/>
                <w:highlight w:val="none"/>
                <w:lang w:eastAsia="zh-CN"/>
              </w:rPr>
              <w:t>的</w:t>
            </w:r>
            <w:r>
              <w:rPr>
                <w:rFonts w:hint="eastAsia" w:ascii="仿宋" w:hAnsi="仿宋" w:eastAsia="仿宋" w:cs="仿宋"/>
                <w:b/>
                <w:bCs/>
                <w:sz w:val="32"/>
                <w:szCs w:val="32"/>
                <w:highlight w:val="none"/>
              </w:rPr>
              <w:t>绩效评价指标评分表</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决策）</w:t>
            </w:r>
            <w:bookmarkEnd w:id="396"/>
            <w:bookmarkEnd w:id="397"/>
            <w:bookmarkEnd w:id="398"/>
            <w:bookmarkEnd w:id="3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18"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一级指标</w:t>
            </w:r>
          </w:p>
        </w:tc>
        <w:tc>
          <w:tcPr>
            <w:tcW w:w="1151" w:type="dxa"/>
            <w:tcBorders>
              <w:top w:val="single" w:color="auto" w:sz="4" w:space="0"/>
            </w:tcBorders>
            <w:vAlign w:val="center"/>
          </w:tcPr>
          <w:p>
            <w:pPr>
              <w:widowControl/>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二级指标</w:t>
            </w:r>
          </w:p>
        </w:tc>
        <w:tc>
          <w:tcPr>
            <w:tcW w:w="1180" w:type="dxa"/>
            <w:tcBorders>
              <w:top w:val="single" w:color="auto" w:sz="4" w:space="0"/>
            </w:tcBorders>
            <w:vAlign w:val="center"/>
          </w:tcPr>
          <w:p>
            <w:pPr>
              <w:widowControl/>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三级指标</w:t>
            </w:r>
          </w:p>
        </w:tc>
        <w:tc>
          <w:tcPr>
            <w:tcW w:w="700" w:type="dxa"/>
            <w:tcBorders>
              <w:top w:val="single" w:color="auto" w:sz="4" w:space="0"/>
            </w:tcBorders>
            <w:vAlign w:val="center"/>
          </w:tcPr>
          <w:p>
            <w:pPr>
              <w:widowControl/>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权重</w:t>
            </w:r>
          </w:p>
        </w:tc>
        <w:tc>
          <w:tcPr>
            <w:tcW w:w="2569" w:type="dxa"/>
            <w:tcBorders>
              <w:top w:val="single" w:color="auto" w:sz="4" w:space="0"/>
            </w:tcBorders>
            <w:vAlign w:val="center"/>
          </w:tcPr>
          <w:p>
            <w:pPr>
              <w:widowControl/>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指标解释</w:t>
            </w:r>
          </w:p>
        </w:tc>
        <w:tc>
          <w:tcPr>
            <w:tcW w:w="742" w:type="dxa"/>
            <w:tcBorders>
              <w:top w:val="single" w:color="auto" w:sz="4" w:space="0"/>
            </w:tcBorders>
            <w:vAlign w:val="center"/>
          </w:tcPr>
          <w:p>
            <w:pPr>
              <w:widowControl/>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评分依据</w:t>
            </w:r>
          </w:p>
        </w:tc>
        <w:tc>
          <w:tcPr>
            <w:tcW w:w="5991" w:type="dxa"/>
            <w:tcBorders>
              <w:top w:val="single" w:color="auto" w:sz="4" w:space="0"/>
            </w:tcBorders>
            <w:vAlign w:val="center"/>
          </w:tcPr>
          <w:p>
            <w:pPr>
              <w:widowControl/>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指标说明</w:t>
            </w:r>
          </w:p>
        </w:tc>
        <w:tc>
          <w:tcPr>
            <w:tcW w:w="723" w:type="dxa"/>
            <w:tcBorders>
              <w:top w:val="single" w:color="auto" w:sz="4" w:space="0"/>
            </w:tcBorders>
            <w:vAlign w:val="center"/>
          </w:tcPr>
          <w:p>
            <w:pPr>
              <w:jc w:val="center"/>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1" w:hRule="atLeast"/>
        </w:trPr>
        <w:tc>
          <w:tcPr>
            <w:tcW w:w="1118" w:type="dxa"/>
            <w:vMerge w:val="restart"/>
            <w:vAlign w:val="center"/>
          </w:tcPr>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决策</w:t>
            </w:r>
          </w:p>
          <w:p>
            <w:pPr>
              <w:widowControl/>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eastAsia="zh-CN"/>
              </w:rPr>
              <w:t>（</w:t>
            </w:r>
            <w:r>
              <w:rPr>
                <w:rFonts w:hint="eastAsia" w:ascii="仿宋" w:hAnsi="仿宋" w:eastAsia="仿宋" w:cs="仿宋"/>
                <w:color w:val="000000"/>
                <w:kern w:val="0"/>
                <w:sz w:val="22"/>
                <w:szCs w:val="22"/>
                <w:highlight w:val="none"/>
                <w:lang w:val="en-US" w:eastAsia="zh-CN"/>
              </w:rPr>
              <w:t>10分）</w:t>
            </w:r>
            <w:r>
              <w:rPr>
                <w:rFonts w:hint="eastAsia" w:ascii="仿宋" w:hAnsi="仿宋" w:eastAsia="仿宋" w:cs="仿宋"/>
                <w:color w:val="000000"/>
                <w:kern w:val="0"/>
                <w:sz w:val="22"/>
                <w:szCs w:val="22"/>
                <w:highlight w:val="none"/>
              </w:rPr>
              <w:t>　　</w:t>
            </w:r>
          </w:p>
        </w:tc>
        <w:tc>
          <w:tcPr>
            <w:tcW w:w="1151" w:type="dxa"/>
            <w:vAlign w:val="center"/>
          </w:tcPr>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项目</w:t>
            </w:r>
          </w:p>
          <w:p>
            <w:pPr>
              <w:widowControl/>
              <w:spacing w:line="0" w:lineRule="atLeast"/>
              <w:jc w:val="center"/>
              <w:rPr>
                <w:rFonts w:hint="default"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决策</w:t>
            </w:r>
          </w:p>
          <w:p>
            <w:pPr>
              <w:widowControl/>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rPr>
              <w:t>（2分）</w:t>
            </w:r>
            <w:r>
              <w:rPr>
                <w:rFonts w:hint="eastAsia" w:ascii="仿宋" w:hAnsi="仿宋" w:eastAsia="仿宋" w:cs="仿宋"/>
                <w:color w:val="000000"/>
                <w:kern w:val="0"/>
                <w:sz w:val="22"/>
                <w:szCs w:val="22"/>
                <w:highlight w:val="none"/>
              </w:rPr>
              <w:t>　</w:t>
            </w:r>
          </w:p>
        </w:tc>
        <w:tc>
          <w:tcPr>
            <w:tcW w:w="1180" w:type="dxa"/>
            <w:vAlign w:val="center"/>
          </w:tcPr>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lang w:val="en-US" w:eastAsia="zh-CN"/>
              </w:rPr>
              <w:t>决策</w:t>
            </w:r>
            <w:r>
              <w:rPr>
                <w:rFonts w:hint="eastAsia" w:ascii="仿宋" w:hAnsi="仿宋" w:eastAsia="仿宋" w:cs="仿宋"/>
                <w:color w:val="000000"/>
                <w:kern w:val="0"/>
                <w:sz w:val="22"/>
                <w:szCs w:val="22"/>
                <w:highlight w:val="none"/>
              </w:rPr>
              <w:t>依据</w:t>
            </w:r>
          </w:p>
          <w:p>
            <w:pPr>
              <w:widowControl/>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rPr>
              <w:t>充分性</w:t>
            </w:r>
          </w:p>
        </w:tc>
        <w:tc>
          <w:tcPr>
            <w:tcW w:w="700" w:type="dxa"/>
            <w:vAlign w:val="center"/>
          </w:tcPr>
          <w:p>
            <w:pPr>
              <w:widowControl/>
              <w:spacing w:line="0" w:lineRule="atLeast"/>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2</w:t>
            </w:r>
          </w:p>
        </w:tc>
        <w:tc>
          <w:tcPr>
            <w:tcW w:w="2569" w:type="dxa"/>
            <w:vAlign w:val="center"/>
          </w:tcPr>
          <w:p>
            <w:pPr>
              <w:widowControl/>
              <w:spacing w:line="0" w:lineRule="atLeast"/>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rPr>
              <w:t>项目</w:t>
            </w:r>
            <w:r>
              <w:rPr>
                <w:rFonts w:hint="eastAsia" w:ascii="仿宋" w:hAnsi="仿宋" w:eastAsia="仿宋" w:cs="仿宋"/>
                <w:color w:val="000000"/>
                <w:kern w:val="0"/>
                <w:sz w:val="22"/>
                <w:szCs w:val="22"/>
                <w:highlight w:val="none"/>
                <w:lang w:val="en-US" w:eastAsia="zh-CN"/>
              </w:rPr>
              <w:t>决策</w:t>
            </w:r>
            <w:r>
              <w:rPr>
                <w:rFonts w:hint="eastAsia" w:ascii="仿宋" w:hAnsi="仿宋" w:eastAsia="仿宋" w:cs="仿宋"/>
                <w:color w:val="000000"/>
                <w:kern w:val="0"/>
                <w:sz w:val="22"/>
                <w:szCs w:val="22"/>
                <w:highlight w:val="none"/>
              </w:rPr>
              <w:t>是否符合法律法规、相关政策</w:t>
            </w:r>
            <w:r>
              <w:rPr>
                <w:rFonts w:hint="eastAsia" w:ascii="仿宋" w:hAnsi="仿宋" w:eastAsia="仿宋" w:cs="仿宋"/>
                <w:color w:val="000000"/>
                <w:kern w:val="0"/>
                <w:sz w:val="22"/>
                <w:szCs w:val="22"/>
                <w:highlight w:val="none"/>
                <w:lang w:eastAsia="zh-CN"/>
              </w:rPr>
              <w:t>，以及</w:t>
            </w:r>
            <w:r>
              <w:rPr>
                <w:rFonts w:hint="eastAsia" w:ascii="仿宋" w:hAnsi="仿宋" w:eastAsia="仿宋" w:cs="仿宋"/>
                <w:color w:val="000000"/>
                <w:kern w:val="0"/>
                <w:sz w:val="22"/>
                <w:szCs w:val="22"/>
                <w:highlight w:val="none"/>
              </w:rPr>
              <w:t>部门职责，用以反映和考核项目</w:t>
            </w:r>
            <w:r>
              <w:rPr>
                <w:rFonts w:hint="eastAsia" w:ascii="仿宋" w:hAnsi="仿宋" w:eastAsia="仿宋" w:cs="仿宋"/>
                <w:color w:val="000000"/>
                <w:kern w:val="0"/>
                <w:sz w:val="22"/>
                <w:szCs w:val="22"/>
                <w:highlight w:val="none"/>
                <w:lang w:val="en-US" w:eastAsia="zh-CN"/>
              </w:rPr>
              <w:t>决策</w:t>
            </w:r>
            <w:r>
              <w:rPr>
                <w:rFonts w:hint="eastAsia" w:ascii="仿宋" w:hAnsi="仿宋" w:eastAsia="仿宋" w:cs="仿宋"/>
                <w:color w:val="000000"/>
                <w:kern w:val="0"/>
                <w:sz w:val="22"/>
                <w:szCs w:val="22"/>
                <w:highlight w:val="none"/>
              </w:rPr>
              <w:t>依据情况。</w:t>
            </w:r>
          </w:p>
        </w:tc>
        <w:tc>
          <w:tcPr>
            <w:tcW w:w="742" w:type="dxa"/>
            <w:vAlign w:val="center"/>
          </w:tcPr>
          <w:p>
            <w:pPr>
              <w:widowControl/>
              <w:spacing w:line="0" w:lineRule="atLeast"/>
              <w:jc w:val="left"/>
              <w:rPr>
                <w:rFonts w:hint="eastAsia" w:ascii="仿宋" w:hAnsi="仿宋" w:eastAsia="仿宋" w:cs="仿宋"/>
                <w:color w:val="000000"/>
                <w:kern w:val="0"/>
                <w:sz w:val="22"/>
                <w:szCs w:val="22"/>
                <w:highlight w:val="none"/>
              </w:rPr>
            </w:pPr>
            <w:r>
              <w:rPr>
                <w:rFonts w:hint="eastAsia" w:ascii="仿宋" w:hAnsi="仿宋" w:eastAsia="仿宋" w:cs="仿宋"/>
                <w:b w:val="0"/>
                <w:bCs w:val="0"/>
                <w:kern w:val="0"/>
                <w:sz w:val="22"/>
                <w:szCs w:val="22"/>
                <w:highlight w:val="none"/>
                <w:lang w:eastAsia="zh-CN"/>
              </w:rPr>
              <w:t>通用标准</w:t>
            </w:r>
          </w:p>
        </w:tc>
        <w:tc>
          <w:tcPr>
            <w:tcW w:w="5991" w:type="dxa"/>
            <w:vAlign w:val="center"/>
          </w:tcPr>
          <w:p>
            <w:pPr>
              <w:widowControl/>
              <w:spacing w:line="0" w:lineRule="atLeast"/>
              <w:jc w:val="left"/>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rPr>
              <w:t>1.</w:t>
            </w:r>
            <w:r>
              <w:rPr>
                <w:rFonts w:hint="eastAsia" w:ascii="仿宋" w:hAnsi="仿宋" w:eastAsia="仿宋" w:cs="仿宋"/>
                <w:color w:val="000000"/>
                <w:kern w:val="0"/>
                <w:sz w:val="22"/>
                <w:szCs w:val="22"/>
                <w:highlight w:val="none"/>
              </w:rPr>
              <w:t>项目</w:t>
            </w:r>
            <w:r>
              <w:rPr>
                <w:rFonts w:hint="eastAsia" w:ascii="仿宋" w:hAnsi="仿宋" w:eastAsia="仿宋" w:cs="仿宋"/>
                <w:color w:val="000000"/>
                <w:kern w:val="0"/>
                <w:sz w:val="22"/>
                <w:szCs w:val="22"/>
                <w:highlight w:val="none"/>
                <w:lang w:val="en-US" w:eastAsia="zh-CN"/>
              </w:rPr>
              <w:t>决策</w:t>
            </w:r>
            <w:r>
              <w:rPr>
                <w:rFonts w:hint="eastAsia" w:ascii="仿宋" w:hAnsi="仿宋" w:eastAsia="仿宋" w:cs="仿宋"/>
                <w:color w:val="000000"/>
                <w:kern w:val="0"/>
                <w:sz w:val="22"/>
                <w:szCs w:val="22"/>
                <w:highlight w:val="none"/>
              </w:rPr>
              <w:t>符合</w:t>
            </w:r>
            <w:r>
              <w:rPr>
                <w:rFonts w:hint="eastAsia" w:ascii="仿宋" w:hAnsi="仿宋" w:eastAsia="仿宋" w:cs="仿宋"/>
                <w:color w:val="000000"/>
                <w:kern w:val="0"/>
                <w:sz w:val="22"/>
                <w:szCs w:val="22"/>
                <w:highlight w:val="none"/>
                <w:lang w:val="en-US" w:eastAsia="zh-CN"/>
              </w:rPr>
              <w:t>国务院应对新型冠状病毒肺炎疫情联防联控机制综合组指示精神</w:t>
            </w:r>
            <w:r>
              <w:rPr>
                <w:rFonts w:hint="eastAsia" w:ascii="仿宋" w:hAnsi="仿宋" w:eastAsia="仿宋" w:cs="仿宋"/>
                <w:color w:val="000000"/>
                <w:kern w:val="0"/>
                <w:sz w:val="22"/>
                <w:szCs w:val="22"/>
                <w:highlight w:val="none"/>
                <w:lang w:eastAsia="zh-CN"/>
              </w:rPr>
              <w:t>，</w:t>
            </w:r>
            <w:r>
              <w:rPr>
                <w:rFonts w:hint="eastAsia" w:ascii="仿宋" w:hAnsi="仿宋" w:eastAsia="仿宋" w:cs="仿宋"/>
                <w:color w:val="000000"/>
                <w:kern w:val="0"/>
                <w:sz w:val="22"/>
                <w:szCs w:val="22"/>
                <w:highlight w:val="none"/>
                <w:lang w:val="en-US" w:eastAsia="zh-CN"/>
              </w:rPr>
              <w:t>得1分，否则不得分；</w:t>
            </w:r>
            <w:r>
              <w:rPr>
                <w:rFonts w:hint="eastAsia" w:ascii="仿宋" w:hAnsi="仿宋" w:eastAsia="仿宋" w:cs="仿宋"/>
                <w:color w:val="000000"/>
                <w:kern w:val="0"/>
                <w:sz w:val="22"/>
                <w:szCs w:val="22"/>
                <w:highlight w:val="none"/>
              </w:rPr>
              <w:br w:type="textWrapping"/>
            </w:r>
            <w:r>
              <w:rPr>
                <w:rFonts w:hint="eastAsia" w:ascii="仿宋" w:hAnsi="仿宋" w:eastAsia="仿宋" w:cs="仿宋"/>
                <w:color w:val="000000"/>
                <w:kern w:val="0"/>
                <w:sz w:val="22"/>
                <w:szCs w:val="22"/>
                <w:highlight w:val="none"/>
                <w:lang w:val="en-US" w:eastAsia="zh-CN"/>
              </w:rPr>
              <w:t>2.</w:t>
            </w:r>
            <w:r>
              <w:rPr>
                <w:rFonts w:hint="eastAsia" w:ascii="仿宋" w:hAnsi="仿宋" w:eastAsia="仿宋" w:cs="仿宋"/>
                <w:color w:val="000000"/>
                <w:kern w:val="0"/>
                <w:sz w:val="22"/>
                <w:szCs w:val="22"/>
                <w:highlight w:val="none"/>
              </w:rPr>
              <w:t>项目</w:t>
            </w:r>
            <w:r>
              <w:rPr>
                <w:rFonts w:hint="eastAsia" w:ascii="仿宋" w:hAnsi="仿宋" w:eastAsia="仿宋" w:cs="仿宋"/>
                <w:color w:val="000000"/>
                <w:kern w:val="0"/>
                <w:sz w:val="22"/>
                <w:szCs w:val="22"/>
                <w:highlight w:val="none"/>
                <w:lang w:val="en-US" w:eastAsia="zh-CN"/>
              </w:rPr>
              <w:t>决策符合山西省新冠肺炎疫情防控工作领导小组防控工作规定，得1分，否则不得分</w:t>
            </w:r>
            <w:r>
              <w:rPr>
                <w:rFonts w:hint="eastAsia" w:ascii="仿宋" w:hAnsi="仿宋" w:eastAsia="仿宋" w:cs="仿宋"/>
                <w:color w:val="000000"/>
                <w:kern w:val="0"/>
                <w:sz w:val="22"/>
                <w:szCs w:val="22"/>
                <w:highlight w:val="none"/>
              </w:rPr>
              <w:t>；</w:t>
            </w:r>
          </w:p>
        </w:tc>
        <w:tc>
          <w:tcPr>
            <w:tcW w:w="723" w:type="dxa"/>
            <w:vAlign w:val="top"/>
          </w:tcPr>
          <w:p>
            <w:pPr>
              <w:jc w:val="center"/>
              <w:rPr>
                <w:rFonts w:hint="default"/>
                <w:highlight w:val="none"/>
                <w:lang w:val="en-US" w:eastAsia="zh-CN"/>
              </w:rPr>
            </w:pPr>
          </w:p>
          <w:p>
            <w:pPr>
              <w:pStyle w:val="2"/>
              <w:rPr>
                <w:rFonts w:hint="default"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2.00</w:t>
            </w:r>
          </w:p>
          <w:p>
            <w:pPr>
              <w:pStyle w:val="2"/>
              <w:rPr>
                <w:rFonts w:hint="default" w:ascii="仿宋" w:hAnsi="仿宋" w:eastAsia="仿宋" w:cs="仿宋"/>
                <w:kern w:val="2"/>
                <w:sz w:val="22"/>
                <w:szCs w:val="22"/>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2" w:hRule="atLeast"/>
        </w:trPr>
        <w:tc>
          <w:tcPr>
            <w:tcW w:w="1118" w:type="dxa"/>
            <w:vMerge w:val="continue"/>
            <w:vAlign w:val="top"/>
          </w:tcPr>
          <w:p>
            <w:pPr>
              <w:rPr>
                <w:rFonts w:hint="eastAsia" w:ascii="仿宋" w:hAnsi="仿宋" w:eastAsia="仿宋" w:cs="仿宋"/>
                <w:kern w:val="2"/>
                <w:sz w:val="22"/>
                <w:szCs w:val="22"/>
                <w:highlight w:val="none"/>
                <w:vertAlign w:val="baseline"/>
                <w:lang w:val="en-US" w:eastAsia="zh-CN" w:bidi="ar-SA"/>
              </w:rPr>
            </w:pPr>
          </w:p>
        </w:tc>
        <w:tc>
          <w:tcPr>
            <w:tcW w:w="1151" w:type="dxa"/>
            <w:vMerge w:val="restart"/>
            <w:vAlign w:val="center"/>
          </w:tcPr>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绩效</w:t>
            </w:r>
          </w:p>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目标</w:t>
            </w:r>
          </w:p>
          <w:p>
            <w:pPr>
              <w:widowControl/>
              <w:spacing w:line="0" w:lineRule="atLeast"/>
              <w:jc w:val="center"/>
              <w:rPr>
                <w:rFonts w:hint="default" w:eastAsia="仿宋"/>
                <w:highlight w:val="none"/>
                <w:lang w:val="en-US" w:eastAsia="zh-CN"/>
              </w:rPr>
            </w:pPr>
            <w:r>
              <w:rPr>
                <w:rFonts w:hint="eastAsia" w:ascii="仿宋" w:hAnsi="仿宋" w:eastAsia="仿宋" w:cs="仿宋"/>
                <w:color w:val="000000"/>
                <w:kern w:val="0"/>
                <w:sz w:val="22"/>
                <w:szCs w:val="22"/>
                <w:highlight w:val="none"/>
                <w:lang w:eastAsia="zh-CN"/>
              </w:rPr>
              <w:t>（</w:t>
            </w:r>
            <w:r>
              <w:rPr>
                <w:rFonts w:hint="eastAsia" w:ascii="仿宋" w:hAnsi="仿宋" w:eastAsia="仿宋" w:cs="仿宋"/>
                <w:color w:val="000000"/>
                <w:kern w:val="0"/>
                <w:sz w:val="22"/>
                <w:szCs w:val="22"/>
                <w:highlight w:val="none"/>
                <w:lang w:val="en-US" w:eastAsia="zh-CN"/>
              </w:rPr>
              <w:t>4分）</w:t>
            </w:r>
          </w:p>
        </w:tc>
        <w:tc>
          <w:tcPr>
            <w:tcW w:w="1180" w:type="dxa"/>
            <w:vAlign w:val="center"/>
          </w:tcPr>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绩效目标</w:t>
            </w:r>
          </w:p>
          <w:p>
            <w:pPr>
              <w:widowControl/>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rPr>
              <w:t>合理性</w:t>
            </w:r>
          </w:p>
        </w:tc>
        <w:tc>
          <w:tcPr>
            <w:tcW w:w="700" w:type="dxa"/>
            <w:vAlign w:val="center"/>
          </w:tcPr>
          <w:p>
            <w:pPr>
              <w:widowControl/>
              <w:spacing w:line="0" w:lineRule="atLeast"/>
              <w:jc w:val="center"/>
              <w:rPr>
                <w:rFonts w:hint="default"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2</w:t>
            </w:r>
          </w:p>
        </w:tc>
        <w:tc>
          <w:tcPr>
            <w:tcW w:w="2569" w:type="dxa"/>
            <w:vAlign w:val="center"/>
          </w:tcPr>
          <w:p>
            <w:pPr>
              <w:widowControl/>
              <w:spacing w:line="0" w:lineRule="atLeast"/>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rPr>
              <w:t>项目所设定的绩效目标是否依据充分，是否符合客观实际，用以反映和考核项目绩效目标与项目实施的相符情况。</w:t>
            </w:r>
          </w:p>
        </w:tc>
        <w:tc>
          <w:tcPr>
            <w:tcW w:w="742" w:type="dxa"/>
            <w:vAlign w:val="center"/>
          </w:tcPr>
          <w:p>
            <w:pPr>
              <w:widowControl/>
              <w:spacing w:line="0" w:lineRule="atLeast"/>
              <w:jc w:val="left"/>
              <w:rPr>
                <w:rFonts w:hint="eastAsia" w:ascii="仿宋" w:hAnsi="仿宋" w:eastAsia="仿宋" w:cs="仿宋"/>
                <w:color w:val="000000"/>
                <w:kern w:val="0"/>
                <w:sz w:val="22"/>
                <w:szCs w:val="22"/>
                <w:highlight w:val="none"/>
              </w:rPr>
            </w:pPr>
            <w:r>
              <w:rPr>
                <w:rFonts w:hint="eastAsia" w:ascii="仿宋" w:hAnsi="仿宋" w:eastAsia="仿宋" w:cs="仿宋"/>
                <w:b w:val="0"/>
                <w:bCs w:val="0"/>
                <w:kern w:val="0"/>
                <w:sz w:val="22"/>
                <w:szCs w:val="22"/>
                <w:highlight w:val="none"/>
                <w:lang w:eastAsia="zh-CN"/>
              </w:rPr>
              <w:t>通用标准</w:t>
            </w:r>
          </w:p>
        </w:tc>
        <w:tc>
          <w:tcPr>
            <w:tcW w:w="5991" w:type="dxa"/>
            <w:vAlign w:val="center"/>
          </w:tcPr>
          <w:p>
            <w:pPr>
              <w:widowControl/>
              <w:jc w:val="left"/>
              <w:rPr>
                <w:rFonts w:hint="eastAsia"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1.项目有绩效目标，得0.5分，否则不得分；</w:t>
            </w:r>
            <w:r>
              <w:rPr>
                <w:rFonts w:hint="eastAsia" w:ascii="仿宋" w:hAnsi="仿宋" w:eastAsia="仿宋" w:cs="宋体"/>
                <w:kern w:val="0"/>
                <w:sz w:val="22"/>
                <w:szCs w:val="22"/>
                <w:highlight w:val="none"/>
                <w:lang w:val="en-US" w:eastAsia="zh-CN"/>
              </w:rPr>
              <w:br w:type="textWrapping"/>
            </w:r>
            <w:r>
              <w:rPr>
                <w:rFonts w:hint="eastAsia" w:ascii="仿宋" w:hAnsi="仿宋" w:eastAsia="仿宋" w:cs="宋体"/>
                <w:kern w:val="0"/>
                <w:sz w:val="22"/>
                <w:szCs w:val="22"/>
                <w:highlight w:val="none"/>
                <w:lang w:val="en-US" w:eastAsia="zh-CN"/>
              </w:rPr>
              <w:t>2.项目绩效目标与实际工作内容相关，得0.5分，否则不得分；</w:t>
            </w:r>
          </w:p>
          <w:p>
            <w:pPr>
              <w:widowControl/>
              <w:jc w:val="left"/>
              <w:rPr>
                <w:rFonts w:hint="eastAsia" w:ascii="仿宋" w:hAnsi="仿宋" w:eastAsia="仿宋" w:cs="宋体"/>
                <w:kern w:val="0"/>
                <w:sz w:val="22"/>
                <w:szCs w:val="22"/>
                <w:highlight w:val="none"/>
                <w:lang w:val="en-US" w:eastAsia="zh-CN"/>
              </w:rPr>
            </w:pPr>
            <w:r>
              <w:rPr>
                <w:rFonts w:hint="eastAsia" w:ascii="仿宋" w:hAnsi="仿宋" w:eastAsia="仿宋" w:cs="宋体"/>
                <w:kern w:val="0"/>
                <w:sz w:val="22"/>
                <w:szCs w:val="22"/>
                <w:highlight w:val="none"/>
                <w:lang w:val="en-US" w:eastAsia="zh-CN"/>
              </w:rPr>
              <w:t>3.绩效目标与预算确定的项目投资额或资金量相匹配，得0.5分，否则不得分。</w:t>
            </w:r>
          </w:p>
          <w:p>
            <w:pPr>
              <w:widowControl/>
              <w:spacing w:line="0" w:lineRule="atLeast"/>
              <w:jc w:val="left"/>
              <w:rPr>
                <w:rFonts w:hint="eastAsia" w:ascii="仿宋" w:hAnsi="仿宋" w:eastAsia="仿宋" w:cs="仿宋"/>
                <w:color w:val="000000"/>
                <w:kern w:val="0"/>
                <w:sz w:val="22"/>
                <w:szCs w:val="22"/>
                <w:highlight w:val="none"/>
                <w:lang w:val="en-US" w:eastAsia="zh-CN" w:bidi="ar-SA"/>
              </w:rPr>
            </w:pPr>
            <w:r>
              <w:rPr>
                <w:rFonts w:hint="eastAsia" w:ascii="仿宋" w:hAnsi="仿宋" w:eastAsia="仿宋" w:cs="宋体"/>
                <w:kern w:val="0"/>
                <w:sz w:val="22"/>
                <w:szCs w:val="22"/>
                <w:highlight w:val="none"/>
                <w:lang w:val="en-US" w:eastAsia="zh-CN"/>
              </w:rPr>
              <w:t>4.项目单位编制自评报告，自评报告完整、客观得0.5分，否则不得分。</w:t>
            </w:r>
          </w:p>
        </w:tc>
        <w:tc>
          <w:tcPr>
            <w:tcW w:w="723"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1118" w:type="dxa"/>
            <w:vMerge w:val="continue"/>
            <w:vAlign w:val="center"/>
          </w:tcPr>
          <w:p>
            <w:pPr>
              <w:widowControl/>
              <w:spacing w:line="0" w:lineRule="atLeast"/>
              <w:jc w:val="center"/>
              <w:rPr>
                <w:rFonts w:hint="eastAsia" w:ascii="仿宋" w:hAnsi="仿宋" w:eastAsia="仿宋" w:cs="仿宋"/>
                <w:color w:val="000000"/>
                <w:kern w:val="0"/>
                <w:sz w:val="22"/>
                <w:szCs w:val="22"/>
                <w:highlight w:val="none"/>
                <w:lang w:val="en-US" w:eastAsia="zh-CN" w:bidi="ar-SA"/>
              </w:rPr>
            </w:pPr>
          </w:p>
        </w:tc>
        <w:tc>
          <w:tcPr>
            <w:tcW w:w="1151" w:type="dxa"/>
            <w:vMerge w:val="continue"/>
            <w:vAlign w:val="center"/>
          </w:tcPr>
          <w:p>
            <w:pPr>
              <w:widowControl/>
              <w:spacing w:line="0" w:lineRule="atLeast"/>
              <w:jc w:val="center"/>
              <w:rPr>
                <w:rFonts w:hint="eastAsia" w:ascii="仿宋" w:hAnsi="仿宋" w:eastAsia="仿宋" w:cs="仿宋"/>
                <w:color w:val="000000"/>
                <w:kern w:val="0"/>
                <w:sz w:val="22"/>
                <w:szCs w:val="22"/>
                <w:highlight w:val="none"/>
                <w:lang w:val="en-US" w:eastAsia="zh-CN" w:bidi="ar-SA"/>
              </w:rPr>
            </w:pPr>
          </w:p>
        </w:tc>
        <w:tc>
          <w:tcPr>
            <w:tcW w:w="1180" w:type="dxa"/>
            <w:vAlign w:val="center"/>
          </w:tcPr>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绩效指标</w:t>
            </w:r>
          </w:p>
          <w:p>
            <w:pPr>
              <w:widowControl/>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rPr>
              <w:t>明确性</w:t>
            </w:r>
          </w:p>
        </w:tc>
        <w:tc>
          <w:tcPr>
            <w:tcW w:w="700" w:type="dxa"/>
            <w:vAlign w:val="center"/>
          </w:tcPr>
          <w:p>
            <w:pPr>
              <w:widowControl/>
              <w:spacing w:line="0" w:lineRule="atLeast"/>
              <w:jc w:val="center"/>
              <w:rPr>
                <w:rFonts w:hint="default"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2</w:t>
            </w:r>
          </w:p>
        </w:tc>
        <w:tc>
          <w:tcPr>
            <w:tcW w:w="2569" w:type="dxa"/>
            <w:vAlign w:val="center"/>
          </w:tcPr>
          <w:p>
            <w:pPr>
              <w:widowControl/>
              <w:spacing w:line="0" w:lineRule="atLeast"/>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rPr>
              <w:t>依据绩效目标设定的绩效指标是否清晰、细化、可衡量等，用以反映和考核项目绩效目标的明细化情况。</w:t>
            </w:r>
          </w:p>
        </w:tc>
        <w:tc>
          <w:tcPr>
            <w:tcW w:w="742" w:type="dxa"/>
            <w:vAlign w:val="center"/>
          </w:tcPr>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b w:val="0"/>
                <w:bCs w:val="0"/>
                <w:kern w:val="0"/>
                <w:sz w:val="22"/>
                <w:szCs w:val="22"/>
                <w:highlight w:val="none"/>
                <w:lang w:eastAsia="zh-CN"/>
              </w:rPr>
              <w:t>通用标准</w:t>
            </w:r>
          </w:p>
        </w:tc>
        <w:tc>
          <w:tcPr>
            <w:tcW w:w="5991" w:type="dxa"/>
            <w:vAlign w:val="center"/>
          </w:tcPr>
          <w:p>
            <w:pPr>
              <w:widowControl/>
              <w:jc w:val="left"/>
              <w:rPr>
                <w:rFonts w:hint="eastAsia" w:ascii="仿宋" w:hAnsi="仿宋" w:eastAsia="仿宋" w:cs="仿宋"/>
                <w:color w:val="000000"/>
                <w:kern w:val="0"/>
                <w:sz w:val="22"/>
                <w:szCs w:val="22"/>
                <w:highlight w:val="none"/>
                <w:lang w:val="en-US" w:eastAsia="zh-CN" w:bidi="ar-SA"/>
              </w:rPr>
            </w:pPr>
            <w:r>
              <w:rPr>
                <w:rFonts w:hint="eastAsia" w:ascii="仿宋" w:hAnsi="仿宋" w:eastAsia="仿宋" w:cs="宋体"/>
                <w:kern w:val="0"/>
                <w:sz w:val="22"/>
                <w:szCs w:val="22"/>
                <w:highlight w:val="none"/>
                <w:lang w:val="en-US" w:eastAsia="zh-CN"/>
              </w:rPr>
              <w:t>1.</w:t>
            </w:r>
            <w:r>
              <w:rPr>
                <w:rFonts w:hint="default" w:ascii="仿宋" w:hAnsi="仿宋" w:eastAsia="仿宋" w:cs="宋体"/>
                <w:kern w:val="0"/>
                <w:sz w:val="22"/>
                <w:szCs w:val="22"/>
                <w:highlight w:val="none"/>
                <w:lang w:val="en-US" w:eastAsia="zh-CN"/>
              </w:rPr>
              <w:t>将项目绩效目标细化分解为具体的绩效指标</w:t>
            </w:r>
            <w:r>
              <w:rPr>
                <w:rFonts w:hint="eastAsia" w:ascii="仿宋" w:hAnsi="仿宋" w:eastAsia="仿宋" w:cs="宋体"/>
                <w:kern w:val="0"/>
                <w:sz w:val="22"/>
                <w:szCs w:val="22"/>
                <w:highlight w:val="none"/>
                <w:lang w:val="en-US" w:eastAsia="zh-CN"/>
              </w:rPr>
              <w:t>，得1分，否则不得分</w:t>
            </w:r>
            <w:r>
              <w:rPr>
                <w:rFonts w:hint="default" w:ascii="仿宋" w:hAnsi="仿宋" w:eastAsia="仿宋" w:cs="宋体"/>
                <w:kern w:val="0"/>
                <w:sz w:val="22"/>
                <w:szCs w:val="22"/>
                <w:highlight w:val="none"/>
                <w:lang w:val="en-US" w:eastAsia="zh-CN"/>
              </w:rPr>
              <w:t>；</w:t>
            </w:r>
            <w:r>
              <w:rPr>
                <w:rFonts w:hint="default" w:ascii="仿宋" w:hAnsi="仿宋" w:eastAsia="仿宋" w:cs="宋体"/>
                <w:kern w:val="0"/>
                <w:sz w:val="22"/>
                <w:szCs w:val="22"/>
                <w:highlight w:val="none"/>
                <w:lang w:val="en-US" w:eastAsia="zh-CN"/>
              </w:rPr>
              <w:br w:type="textWrapping"/>
            </w:r>
            <w:r>
              <w:rPr>
                <w:rFonts w:hint="eastAsia" w:ascii="仿宋" w:hAnsi="仿宋" w:eastAsia="仿宋" w:cs="宋体"/>
                <w:kern w:val="0"/>
                <w:sz w:val="22"/>
                <w:szCs w:val="22"/>
                <w:highlight w:val="none"/>
                <w:lang w:val="en-US" w:eastAsia="zh-CN"/>
              </w:rPr>
              <w:t>2.</w:t>
            </w:r>
            <w:r>
              <w:rPr>
                <w:rFonts w:hint="default" w:ascii="仿宋" w:hAnsi="仿宋" w:eastAsia="仿宋" w:cs="宋体"/>
                <w:kern w:val="0"/>
                <w:sz w:val="22"/>
                <w:szCs w:val="22"/>
                <w:highlight w:val="none"/>
                <w:lang w:val="en-US" w:eastAsia="zh-CN"/>
              </w:rPr>
              <w:t>通过清晰、可衡量的指标值予以体现</w:t>
            </w:r>
            <w:r>
              <w:rPr>
                <w:rFonts w:hint="eastAsia" w:ascii="仿宋" w:hAnsi="仿宋" w:eastAsia="仿宋" w:cs="宋体"/>
                <w:kern w:val="0"/>
                <w:sz w:val="22"/>
                <w:szCs w:val="22"/>
                <w:highlight w:val="none"/>
                <w:lang w:val="en-US" w:eastAsia="zh-CN"/>
              </w:rPr>
              <w:t>，得1分，否则不得分。</w:t>
            </w:r>
          </w:p>
        </w:tc>
        <w:tc>
          <w:tcPr>
            <w:tcW w:w="723"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4" w:hRule="atLeast"/>
        </w:trPr>
        <w:tc>
          <w:tcPr>
            <w:tcW w:w="1118" w:type="dxa"/>
            <w:vMerge w:val="restart"/>
            <w:vAlign w:val="top"/>
          </w:tcPr>
          <w:p>
            <w:pPr>
              <w:widowControl/>
              <w:spacing w:line="0" w:lineRule="atLeast"/>
              <w:jc w:val="center"/>
              <w:rPr>
                <w:rFonts w:hint="eastAsia" w:ascii="仿宋" w:hAnsi="仿宋" w:eastAsia="仿宋" w:cs="仿宋"/>
                <w:color w:val="000000"/>
                <w:kern w:val="0"/>
                <w:sz w:val="22"/>
                <w:szCs w:val="22"/>
                <w:highlight w:val="none"/>
              </w:rPr>
            </w:pPr>
          </w:p>
          <w:p>
            <w:pPr>
              <w:widowControl/>
              <w:spacing w:line="0" w:lineRule="atLeast"/>
              <w:jc w:val="center"/>
              <w:rPr>
                <w:rFonts w:hint="eastAsia" w:ascii="仿宋" w:hAnsi="仿宋" w:eastAsia="仿宋" w:cs="仿宋"/>
                <w:color w:val="000000"/>
                <w:kern w:val="0"/>
                <w:sz w:val="22"/>
                <w:szCs w:val="22"/>
                <w:highlight w:val="none"/>
              </w:rPr>
            </w:pPr>
          </w:p>
          <w:p>
            <w:pPr>
              <w:widowControl/>
              <w:spacing w:line="0" w:lineRule="atLeast"/>
              <w:jc w:val="center"/>
              <w:rPr>
                <w:rFonts w:hint="eastAsia" w:ascii="仿宋" w:hAnsi="仿宋" w:eastAsia="仿宋" w:cs="仿宋"/>
                <w:color w:val="000000"/>
                <w:kern w:val="0"/>
                <w:sz w:val="22"/>
                <w:szCs w:val="22"/>
                <w:highlight w:val="none"/>
              </w:rPr>
            </w:pPr>
          </w:p>
          <w:p>
            <w:pPr>
              <w:widowControl/>
              <w:spacing w:line="0" w:lineRule="atLeast"/>
              <w:jc w:val="center"/>
              <w:rPr>
                <w:rFonts w:hint="eastAsia" w:ascii="仿宋" w:hAnsi="仿宋" w:eastAsia="仿宋" w:cs="仿宋"/>
                <w:color w:val="000000"/>
                <w:kern w:val="0"/>
                <w:sz w:val="22"/>
                <w:szCs w:val="22"/>
                <w:highlight w:val="none"/>
              </w:rPr>
            </w:pPr>
          </w:p>
          <w:p>
            <w:pPr>
              <w:widowControl/>
              <w:spacing w:line="0" w:lineRule="atLeast"/>
              <w:jc w:val="center"/>
              <w:rPr>
                <w:rFonts w:hint="eastAsia" w:ascii="仿宋" w:hAnsi="仿宋" w:eastAsia="仿宋" w:cs="仿宋"/>
                <w:color w:val="000000"/>
                <w:kern w:val="0"/>
                <w:sz w:val="22"/>
                <w:szCs w:val="22"/>
                <w:highlight w:val="none"/>
              </w:rPr>
            </w:pPr>
          </w:p>
          <w:p>
            <w:pPr>
              <w:widowControl/>
              <w:spacing w:line="0" w:lineRule="atLeast"/>
              <w:jc w:val="center"/>
              <w:rPr>
                <w:rFonts w:hint="eastAsia" w:ascii="仿宋" w:hAnsi="仿宋" w:eastAsia="仿宋" w:cs="仿宋"/>
                <w:color w:val="000000"/>
                <w:kern w:val="0"/>
                <w:sz w:val="22"/>
                <w:szCs w:val="22"/>
                <w:highlight w:val="none"/>
              </w:rPr>
            </w:pPr>
          </w:p>
          <w:p>
            <w:pPr>
              <w:widowControl/>
              <w:spacing w:line="0" w:lineRule="atLeast"/>
              <w:jc w:val="center"/>
              <w:rPr>
                <w:rFonts w:hint="eastAsia" w:ascii="仿宋" w:hAnsi="仿宋" w:eastAsia="仿宋" w:cs="仿宋"/>
                <w:color w:val="000000"/>
                <w:kern w:val="0"/>
                <w:sz w:val="22"/>
                <w:szCs w:val="22"/>
                <w:highlight w:val="none"/>
              </w:rPr>
            </w:pPr>
          </w:p>
          <w:p>
            <w:pPr>
              <w:widowControl/>
              <w:spacing w:line="0" w:lineRule="atLeast"/>
              <w:jc w:val="center"/>
              <w:rPr>
                <w:rFonts w:hint="eastAsia" w:ascii="仿宋" w:hAnsi="仿宋" w:eastAsia="仿宋" w:cs="仿宋"/>
                <w:color w:val="000000"/>
                <w:kern w:val="0"/>
                <w:sz w:val="22"/>
                <w:szCs w:val="22"/>
                <w:highlight w:val="none"/>
              </w:rPr>
            </w:pPr>
          </w:p>
          <w:p>
            <w:pPr>
              <w:widowControl/>
              <w:spacing w:line="0" w:lineRule="atLeast"/>
              <w:jc w:val="center"/>
              <w:rPr>
                <w:rFonts w:hint="eastAsia" w:ascii="仿宋" w:hAnsi="仿宋" w:eastAsia="仿宋" w:cs="仿宋"/>
                <w:color w:val="000000"/>
                <w:kern w:val="0"/>
                <w:sz w:val="22"/>
                <w:szCs w:val="22"/>
                <w:highlight w:val="none"/>
              </w:rPr>
            </w:pPr>
          </w:p>
          <w:p>
            <w:pPr>
              <w:widowControl/>
              <w:spacing w:line="0" w:lineRule="atLeast"/>
              <w:jc w:val="center"/>
              <w:rPr>
                <w:rFonts w:hint="eastAsia" w:ascii="仿宋" w:hAnsi="仿宋" w:eastAsia="仿宋" w:cs="仿宋"/>
                <w:color w:val="000000"/>
                <w:kern w:val="0"/>
                <w:sz w:val="22"/>
                <w:szCs w:val="22"/>
                <w:highlight w:val="none"/>
              </w:rPr>
            </w:pPr>
          </w:p>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决策</w:t>
            </w:r>
          </w:p>
          <w:p>
            <w:pPr>
              <w:rPr>
                <w:rFonts w:hint="eastAsia" w:ascii="仿宋" w:hAnsi="仿宋" w:eastAsia="仿宋" w:cs="仿宋"/>
                <w:kern w:val="2"/>
                <w:sz w:val="22"/>
                <w:szCs w:val="22"/>
                <w:highlight w:val="none"/>
                <w:vertAlign w:val="baseline"/>
                <w:lang w:val="en-US" w:eastAsia="zh-CN" w:bidi="ar-SA"/>
              </w:rPr>
            </w:pPr>
            <w:r>
              <w:rPr>
                <w:rFonts w:hint="eastAsia" w:ascii="仿宋" w:hAnsi="仿宋" w:eastAsia="仿宋" w:cs="仿宋"/>
                <w:color w:val="000000"/>
                <w:kern w:val="0"/>
                <w:sz w:val="22"/>
                <w:szCs w:val="22"/>
                <w:highlight w:val="none"/>
                <w:lang w:eastAsia="zh-CN"/>
              </w:rPr>
              <w:t>（</w:t>
            </w:r>
            <w:r>
              <w:rPr>
                <w:rFonts w:hint="eastAsia" w:ascii="仿宋" w:hAnsi="仿宋" w:eastAsia="仿宋" w:cs="仿宋"/>
                <w:color w:val="000000"/>
                <w:kern w:val="0"/>
                <w:sz w:val="22"/>
                <w:szCs w:val="22"/>
                <w:highlight w:val="none"/>
                <w:lang w:val="en-US" w:eastAsia="zh-CN"/>
              </w:rPr>
              <w:t>10分）</w:t>
            </w:r>
          </w:p>
        </w:tc>
        <w:tc>
          <w:tcPr>
            <w:tcW w:w="1151" w:type="dxa"/>
            <w:vMerge w:val="restart"/>
            <w:vAlign w:val="center"/>
          </w:tcPr>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资金</w:t>
            </w:r>
          </w:p>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投入</w:t>
            </w:r>
          </w:p>
          <w:p>
            <w:pPr>
              <w:pStyle w:val="2"/>
              <w:rPr>
                <w:rFonts w:hint="default" w:eastAsia="仿宋"/>
                <w:highlight w:val="none"/>
                <w:lang w:val="en-US" w:eastAsia="zh-CN"/>
              </w:rPr>
            </w:pPr>
            <w:r>
              <w:rPr>
                <w:rFonts w:hint="eastAsia" w:ascii="仿宋" w:hAnsi="仿宋" w:eastAsia="仿宋" w:cs="仿宋"/>
                <w:color w:val="000000"/>
                <w:kern w:val="0"/>
                <w:sz w:val="22"/>
                <w:szCs w:val="22"/>
                <w:highlight w:val="none"/>
                <w:lang w:eastAsia="zh-CN"/>
              </w:rPr>
              <w:t>（</w:t>
            </w:r>
            <w:r>
              <w:rPr>
                <w:rFonts w:hint="eastAsia" w:ascii="仿宋" w:hAnsi="仿宋" w:eastAsia="仿宋" w:cs="仿宋"/>
                <w:color w:val="000000"/>
                <w:kern w:val="0"/>
                <w:sz w:val="22"/>
                <w:szCs w:val="22"/>
                <w:highlight w:val="none"/>
                <w:lang w:val="en-US" w:eastAsia="zh-CN"/>
              </w:rPr>
              <w:t>4分）</w:t>
            </w:r>
          </w:p>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rPr>
              <w:t>　</w:t>
            </w:r>
          </w:p>
        </w:tc>
        <w:tc>
          <w:tcPr>
            <w:tcW w:w="1180" w:type="dxa"/>
            <w:vAlign w:val="center"/>
          </w:tcPr>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预算编制</w:t>
            </w:r>
          </w:p>
          <w:p>
            <w:pPr>
              <w:widowControl/>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rPr>
              <w:t>科学性</w:t>
            </w:r>
          </w:p>
        </w:tc>
        <w:tc>
          <w:tcPr>
            <w:tcW w:w="700" w:type="dxa"/>
            <w:vAlign w:val="center"/>
          </w:tcPr>
          <w:p>
            <w:pPr>
              <w:widowControl/>
              <w:spacing w:line="0" w:lineRule="atLeast"/>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2</w:t>
            </w:r>
          </w:p>
        </w:tc>
        <w:tc>
          <w:tcPr>
            <w:tcW w:w="2569" w:type="dxa"/>
            <w:vAlign w:val="center"/>
          </w:tcPr>
          <w:p>
            <w:pPr>
              <w:widowControl/>
              <w:spacing w:line="0" w:lineRule="atLeast"/>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rPr>
              <w:t>项目预算编制是否有明确标准，资金额度与年度目标是否相适应，用以反映和考核项目预算编制的科学性、合理性情况。</w:t>
            </w:r>
          </w:p>
        </w:tc>
        <w:tc>
          <w:tcPr>
            <w:tcW w:w="742" w:type="dxa"/>
            <w:vAlign w:val="center"/>
          </w:tcPr>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b w:val="0"/>
                <w:bCs w:val="0"/>
                <w:kern w:val="0"/>
                <w:sz w:val="22"/>
                <w:szCs w:val="22"/>
                <w:highlight w:val="none"/>
                <w:lang w:eastAsia="zh-CN"/>
              </w:rPr>
              <w:t>通用标准</w:t>
            </w:r>
          </w:p>
        </w:tc>
        <w:tc>
          <w:tcPr>
            <w:tcW w:w="5991" w:type="dxa"/>
            <w:vAlign w:val="center"/>
          </w:tcPr>
          <w:p>
            <w:pPr>
              <w:widowControl/>
              <w:spacing w:line="0" w:lineRule="atLeast"/>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rPr>
              <w:t>1.</w:t>
            </w:r>
            <w:r>
              <w:rPr>
                <w:rFonts w:hint="eastAsia" w:ascii="仿宋" w:hAnsi="仿宋" w:eastAsia="仿宋" w:cs="仿宋"/>
                <w:color w:val="000000"/>
                <w:kern w:val="0"/>
                <w:sz w:val="22"/>
                <w:szCs w:val="22"/>
                <w:highlight w:val="none"/>
              </w:rPr>
              <w:t>预算额度测算依据充分，</w:t>
            </w:r>
            <w:r>
              <w:rPr>
                <w:rFonts w:hint="eastAsia" w:ascii="仿宋" w:hAnsi="仿宋" w:eastAsia="仿宋" w:cs="仿宋"/>
                <w:color w:val="000000"/>
                <w:kern w:val="0"/>
                <w:sz w:val="22"/>
                <w:szCs w:val="22"/>
                <w:highlight w:val="none"/>
                <w:lang w:val="en-US" w:eastAsia="zh-CN"/>
              </w:rPr>
              <w:t>预算编制精准明确，得1分，否则不得分</w:t>
            </w:r>
            <w:r>
              <w:rPr>
                <w:rFonts w:hint="eastAsia" w:ascii="仿宋" w:hAnsi="仿宋" w:eastAsia="仿宋" w:cs="仿宋"/>
                <w:color w:val="000000"/>
                <w:kern w:val="0"/>
                <w:sz w:val="22"/>
                <w:szCs w:val="22"/>
                <w:highlight w:val="none"/>
              </w:rPr>
              <w:t>；</w:t>
            </w:r>
            <w:r>
              <w:rPr>
                <w:rFonts w:hint="eastAsia" w:ascii="仿宋" w:hAnsi="仿宋" w:eastAsia="仿宋" w:cs="仿宋"/>
                <w:color w:val="000000"/>
                <w:kern w:val="0"/>
                <w:sz w:val="22"/>
                <w:szCs w:val="22"/>
                <w:highlight w:val="none"/>
              </w:rPr>
              <w:br w:type="textWrapping"/>
            </w:r>
            <w:r>
              <w:rPr>
                <w:rFonts w:hint="eastAsia" w:ascii="仿宋" w:hAnsi="仿宋" w:eastAsia="仿宋" w:cs="仿宋"/>
                <w:color w:val="000000"/>
                <w:kern w:val="0"/>
                <w:sz w:val="22"/>
                <w:szCs w:val="22"/>
                <w:highlight w:val="none"/>
                <w:lang w:val="en-US" w:eastAsia="zh-CN"/>
              </w:rPr>
              <w:t>2.</w:t>
            </w:r>
            <w:r>
              <w:rPr>
                <w:rFonts w:hint="eastAsia" w:ascii="仿宋" w:hAnsi="仿宋" w:eastAsia="仿宋" w:cs="仿宋"/>
                <w:color w:val="000000"/>
                <w:kern w:val="0"/>
                <w:sz w:val="22"/>
                <w:szCs w:val="22"/>
                <w:highlight w:val="none"/>
              </w:rPr>
              <w:t>预算确定的项目投资额或资金量与</w:t>
            </w:r>
            <w:r>
              <w:rPr>
                <w:rFonts w:hint="eastAsia" w:ascii="仿宋" w:hAnsi="仿宋" w:eastAsia="仿宋" w:cs="仿宋"/>
                <w:color w:val="000000"/>
                <w:kern w:val="0"/>
                <w:sz w:val="22"/>
                <w:szCs w:val="22"/>
                <w:highlight w:val="none"/>
                <w:lang w:val="en-US" w:eastAsia="zh-CN"/>
              </w:rPr>
              <w:t>核酸检测量、疫苗接种数量等</w:t>
            </w:r>
            <w:r>
              <w:rPr>
                <w:rFonts w:hint="eastAsia" w:ascii="仿宋" w:hAnsi="仿宋" w:eastAsia="仿宋" w:cs="仿宋"/>
                <w:color w:val="000000"/>
                <w:kern w:val="0"/>
                <w:sz w:val="22"/>
                <w:szCs w:val="22"/>
                <w:highlight w:val="none"/>
              </w:rPr>
              <w:t>工作任务相匹配</w:t>
            </w:r>
            <w:r>
              <w:rPr>
                <w:rFonts w:hint="eastAsia" w:ascii="仿宋" w:hAnsi="仿宋" w:eastAsia="仿宋" w:cs="仿宋"/>
                <w:color w:val="000000"/>
                <w:kern w:val="0"/>
                <w:sz w:val="22"/>
                <w:szCs w:val="22"/>
                <w:highlight w:val="none"/>
                <w:lang w:eastAsia="zh-CN"/>
              </w:rPr>
              <w:t>，</w:t>
            </w:r>
            <w:r>
              <w:rPr>
                <w:rFonts w:hint="eastAsia" w:ascii="仿宋" w:hAnsi="仿宋" w:eastAsia="仿宋" w:cs="仿宋"/>
                <w:color w:val="000000"/>
                <w:kern w:val="0"/>
                <w:sz w:val="22"/>
                <w:szCs w:val="22"/>
                <w:highlight w:val="none"/>
                <w:lang w:val="en-US" w:eastAsia="zh-CN"/>
              </w:rPr>
              <w:t>得1分，否则不得分</w:t>
            </w:r>
            <w:r>
              <w:rPr>
                <w:rFonts w:hint="eastAsia" w:ascii="仿宋" w:hAnsi="仿宋" w:eastAsia="仿宋" w:cs="仿宋"/>
                <w:color w:val="000000"/>
                <w:kern w:val="0"/>
                <w:sz w:val="22"/>
                <w:szCs w:val="22"/>
                <w:highlight w:val="none"/>
              </w:rPr>
              <w:t>。</w:t>
            </w:r>
          </w:p>
        </w:tc>
        <w:tc>
          <w:tcPr>
            <w:tcW w:w="723"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118" w:type="dxa"/>
            <w:vMerge w:val="continue"/>
            <w:vAlign w:val="top"/>
          </w:tcPr>
          <w:p>
            <w:pPr>
              <w:rPr>
                <w:rFonts w:hint="eastAsia" w:ascii="仿宋" w:hAnsi="仿宋" w:eastAsia="仿宋" w:cs="仿宋"/>
                <w:kern w:val="2"/>
                <w:sz w:val="22"/>
                <w:szCs w:val="22"/>
                <w:highlight w:val="none"/>
                <w:vertAlign w:val="baseline"/>
                <w:lang w:val="en-US" w:eastAsia="zh-CN" w:bidi="ar-SA"/>
              </w:rPr>
            </w:pPr>
          </w:p>
        </w:tc>
        <w:tc>
          <w:tcPr>
            <w:tcW w:w="1151" w:type="dxa"/>
            <w:vMerge w:val="continue"/>
            <w:vAlign w:val="top"/>
          </w:tcPr>
          <w:p>
            <w:pPr>
              <w:rPr>
                <w:rFonts w:hint="eastAsia" w:ascii="仿宋" w:hAnsi="仿宋" w:eastAsia="仿宋" w:cs="仿宋"/>
                <w:kern w:val="2"/>
                <w:sz w:val="22"/>
                <w:szCs w:val="22"/>
                <w:highlight w:val="none"/>
                <w:vertAlign w:val="baseline"/>
                <w:lang w:val="en-US" w:eastAsia="zh-CN" w:bidi="ar-SA"/>
              </w:rPr>
            </w:pPr>
          </w:p>
        </w:tc>
        <w:tc>
          <w:tcPr>
            <w:tcW w:w="1180" w:type="dxa"/>
            <w:vAlign w:val="center"/>
          </w:tcPr>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资金分配</w:t>
            </w:r>
          </w:p>
          <w:p>
            <w:pPr>
              <w:widowControl/>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rPr>
              <w:t>合理性</w:t>
            </w:r>
          </w:p>
        </w:tc>
        <w:tc>
          <w:tcPr>
            <w:tcW w:w="700" w:type="dxa"/>
            <w:vAlign w:val="center"/>
          </w:tcPr>
          <w:p>
            <w:pPr>
              <w:widowControl/>
              <w:spacing w:line="0" w:lineRule="atLeast"/>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2</w:t>
            </w:r>
          </w:p>
        </w:tc>
        <w:tc>
          <w:tcPr>
            <w:tcW w:w="2569" w:type="dxa"/>
            <w:vAlign w:val="center"/>
          </w:tcPr>
          <w:p>
            <w:pPr>
              <w:widowControl/>
              <w:spacing w:line="0" w:lineRule="atLeast"/>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rPr>
              <w:t>资金分配是否有测算依据，与补助单位或地方实际是否相适应，用以反映和考核项目预算资金分配的科学性、合理性情况。</w:t>
            </w:r>
          </w:p>
        </w:tc>
        <w:tc>
          <w:tcPr>
            <w:tcW w:w="742" w:type="dxa"/>
            <w:vAlign w:val="center"/>
          </w:tcPr>
          <w:p>
            <w:pPr>
              <w:widowControl/>
              <w:spacing w:line="0" w:lineRule="atLeast"/>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通用标准</w:t>
            </w:r>
          </w:p>
        </w:tc>
        <w:tc>
          <w:tcPr>
            <w:tcW w:w="5991" w:type="dxa"/>
            <w:vAlign w:val="center"/>
          </w:tcPr>
          <w:p>
            <w:pPr>
              <w:widowControl/>
              <w:spacing w:line="0" w:lineRule="atLeast"/>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rPr>
              <w:t>1.</w:t>
            </w:r>
            <w:r>
              <w:rPr>
                <w:rFonts w:hint="eastAsia" w:ascii="仿宋" w:hAnsi="仿宋" w:eastAsia="仿宋" w:cs="仿宋"/>
                <w:color w:val="000000"/>
                <w:kern w:val="0"/>
                <w:sz w:val="22"/>
                <w:szCs w:val="22"/>
                <w:highlight w:val="none"/>
              </w:rPr>
              <w:t>资金分配依据充分</w:t>
            </w:r>
            <w:r>
              <w:rPr>
                <w:rFonts w:hint="eastAsia" w:ascii="仿宋" w:hAnsi="仿宋" w:eastAsia="仿宋" w:cs="仿宋"/>
                <w:color w:val="000000"/>
                <w:kern w:val="0"/>
                <w:sz w:val="22"/>
                <w:szCs w:val="22"/>
                <w:highlight w:val="none"/>
                <w:lang w:eastAsia="zh-CN"/>
              </w:rPr>
              <w:t>，</w:t>
            </w:r>
            <w:r>
              <w:rPr>
                <w:rFonts w:hint="eastAsia" w:ascii="仿宋" w:hAnsi="仿宋" w:eastAsia="仿宋" w:cs="仿宋"/>
                <w:color w:val="000000"/>
                <w:kern w:val="0"/>
                <w:sz w:val="22"/>
                <w:szCs w:val="22"/>
                <w:highlight w:val="none"/>
                <w:lang w:val="en-US" w:eastAsia="zh-CN"/>
              </w:rPr>
              <w:t>指挥部的分配符合疫情防控的需要，得1分，否则不得分</w:t>
            </w:r>
            <w:r>
              <w:rPr>
                <w:rFonts w:hint="eastAsia" w:ascii="仿宋" w:hAnsi="仿宋" w:eastAsia="仿宋" w:cs="仿宋"/>
                <w:color w:val="000000"/>
                <w:kern w:val="0"/>
                <w:sz w:val="22"/>
                <w:szCs w:val="22"/>
                <w:highlight w:val="none"/>
              </w:rPr>
              <w:t>；</w:t>
            </w:r>
            <w:r>
              <w:rPr>
                <w:rFonts w:hint="eastAsia" w:ascii="仿宋" w:hAnsi="仿宋" w:eastAsia="仿宋" w:cs="仿宋"/>
                <w:color w:val="000000"/>
                <w:kern w:val="0"/>
                <w:sz w:val="22"/>
                <w:szCs w:val="22"/>
                <w:highlight w:val="none"/>
              </w:rPr>
              <w:br w:type="textWrapping"/>
            </w:r>
            <w:r>
              <w:rPr>
                <w:rFonts w:hint="eastAsia" w:ascii="仿宋" w:hAnsi="仿宋" w:eastAsia="仿宋" w:cs="仿宋"/>
                <w:color w:val="000000"/>
                <w:kern w:val="0"/>
                <w:sz w:val="22"/>
                <w:szCs w:val="22"/>
                <w:highlight w:val="none"/>
                <w:lang w:val="en-US" w:eastAsia="zh-CN"/>
              </w:rPr>
              <w:t>2.各医院核酸实验室的建设、核酸检测试剂及设备所需资金与目标检测量匹配；相关部门及卫生院对资金的分配保障严防严控，得1分，否则不得分</w:t>
            </w:r>
            <w:r>
              <w:rPr>
                <w:rFonts w:hint="eastAsia" w:ascii="仿宋" w:hAnsi="仿宋" w:eastAsia="仿宋" w:cs="仿宋"/>
                <w:color w:val="000000"/>
                <w:kern w:val="0"/>
                <w:sz w:val="22"/>
                <w:szCs w:val="22"/>
                <w:highlight w:val="none"/>
              </w:rPr>
              <w:t>。</w:t>
            </w:r>
          </w:p>
        </w:tc>
        <w:tc>
          <w:tcPr>
            <w:tcW w:w="723" w:type="dxa"/>
            <w:vAlign w:val="top"/>
          </w:tcPr>
          <w:p>
            <w:pPr>
              <w:rPr>
                <w:rFonts w:hint="eastAsia" w:ascii="仿宋" w:hAnsi="仿宋" w:eastAsia="仿宋" w:cs="仿宋"/>
                <w:kern w:val="2"/>
                <w:sz w:val="22"/>
                <w:szCs w:val="22"/>
                <w:highlight w:val="none"/>
                <w:vertAlign w:val="baseline"/>
                <w:lang w:val="en-US" w:eastAsia="zh-CN" w:bidi="ar-SA"/>
              </w:rPr>
            </w:pPr>
          </w:p>
          <w:p>
            <w:pPr>
              <w:rPr>
                <w:rFonts w:hint="eastAsia" w:ascii="仿宋" w:hAnsi="仿宋" w:eastAsia="仿宋" w:cs="仿宋"/>
                <w:kern w:val="2"/>
                <w:sz w:val="22"/>
                <w:szCs w:val="22"/>
                <w:highlight w:val="none"/>
                <w:vertAlign w:val="baseline"/>
                <w:lang w:val="en-US" w:eastAsia="zh-CN" w:bidi="ar-SA"/>
              </w:rPr>
            </w:pPr>
          </w:p>
          <w:p>
            <w:pPr>
              <w:rPr>
                <w:rFonts w:hint="eastAsia" w:ascii="仿宋" w:hAnsi="仿宋" w:eastAsia="仿宋" w:cs="仿宋"/>
                <w:kern w:val="2"/>
                <w:sz w:val="22"/>
                <w:szCs w:val="22"/>
                <w:highlight w:val="none"/>
                <w:vertAlign w:val="baseline"/>
                <w:lang w:val="en-US" w:eastAsia="zh-CN" w:bidi="ar-SA"/>
              </w:rPr>
            </w:pPr>
          </w:p>
          <w:p>
            <w:pPr>
              <w:rPr>
                <w:rFonts w:hint="eastAsia" w:ascii="仿宋" w:hAnsi="仿宋" w:eastAsia="仿宋" w:cs="仿宋"/>
                <w:kern w:val="2"/>
                <w:sz w:val="22"/>
                <w:szCs w:val="22"/>
                <w:highlight w:val="none"/>
                <w:vertAlign w:val="baseline"/>
                <w:lang w:val="en-US" w:eastAsia="zh-CN" w:bidi="ar-SA"/>
              </w:rPr>
            </w:pPr>
          </w:p>
          <w:p>
            <w:pPr>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1.00</w:t>
            </w:r>
          </w:p>
        </w:tc>
      </w:tr>
    </w:tbl>
    <w:p>
      <w:pPr>
        <w:rPr>
          <w:rFonts w:hint="eastAsia"/>
          <w:highlight w:val="none"/>
          <w:lang w:val="en-US" w:eastAsia="zh-CN"/>
        </w:rPr>
      </w:pPr>
      <w:r>
        <w:rPr>
          <w:rFonts w:hint="eastAsia"/>
          <w:highlight w:val="none"/>
          <w:lang w:val="en-US" w:eastAsia="zh-CN"/>
        </w:rPr>
        <w:br w:type="page"/>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180"/>
        <w:gridCol w:w="1170"/>
        <w:gridCol w:w="670"/>
        <w:gridCol w:w="2470"/>
        <w:gridCol w:w="700"/>
        <w:gridCol w:w="6215"/>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174" w:type="dxa"/>
            <w:gridSpan w:val="8"/>
            <w:tcBorders>
              <w:top w:val="nil"/>
              <w:left w:val="nil"/>
              <w:bottom w:val="single" w:color="auto" w:sz="4" w:space="0"/>
              <w:right w:val="nil"/>
            </w:tcBorders>
            <w:vAlign w:val="top"/>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b/>
                <w:bCs/>
                <w:sz w:val="32"/>
                <w:szCs w:val="32"/>
                <w:highlight w:val="none"/>
                <w:lang w:val="en-US" w:eastAsia="zh-CN"/>
              </w:rPr>
              <w:t>2021年永济市疫情防控资金</w:t>
            </w:r>
            <w:r>
              <w:rPr>
                <w:rFonts w:hint="eastAsia" w:ascii="仿宋" w:hAnsi="仿宋" w:eastAsia="仿宋" w:cs="仿宋"/>
                <w:b/>
                <w:bCs/>
                <w:kern w:val="0"/>
                <w:sz w:val="32"/>
                <w:szCs w:val="32"/>
                <w:highlight w:val="none"/>
                <w:lang w:eastAsia="zh-CN"/>
              </w:rPr>
              <w:t>的</w:t>
            </w:r>
            <w:r>
              <w:rPr>
                <w:rFonts w:hint="eastAsia" w:ascii="仿宋" w:hAnsi="仿宋" w:eastAsia="仿宋" w:cs="仿宋"/>
                <w:b/>
                <w:bCs/>
                <w:kern w:val="0"/>
                <w:sz w:val="32"/>
                <w:szCs w:val="32"/>
                <w:highlight w:val="none"/>
              </w:rPr>
              <w:t>绩效评价指标评分表</w:t>
            </w:r>
            <w:r>
              <w:rPr>
                <w:rFonts w:hint="eastAsia" w:ascii="仿宋" w:hAnsi="仿宋" w:eastAsia="仿宋" w:cs="仿宋"/>
                <w:b/>
                <w:bCs/>
                <w:color w:val="000000"/>
                <w:kern w:val="0"/>
                <w:sz w:val="32"/>
                <w:szCs w:val="32"/>
                <w:highlight w:val="none"/>
                <w:lang w:val="en-US" w:eastAsia="zh-CN" w:bidi="ar-SA"/>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09"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一级指标</w:t>
            </w:r>
          </w:p>
        </w:tc>
        <w:tc>
          <w:tcPr>
            <w:tcW w:w="1180"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二级指标</w:t>
            </w:r>
          </w:p>
        </w:tc>
        <w:tc>
          <w:tcPr>
            <w:tcW w:w="1170"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三级指标</w:t>
            </w:r>
          </w:p>
        </w:tc>
        <w:tc>
          <w:tcPr>
            <w:tcW w:w="670"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权重</w:t>
            </w:r>
          </w:p>
        </w:tc>
        <w:tc>
          <w:tcPr>
            <w:tcW w:w="2470"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指标解释</w:t>
            </w:r>
          </w:p>
        </w:tc>
        <w:tc>
          <w:tcPr>
            <w:tcW w:w="700"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评分标准</w:t>
            </w:r>
          </w:p>
        </w:tc>
        <w:tc>
          <w:tcPr>
            <w:tcW w:w="6215"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指标说明</w:t>
            </w:r>
          </w:p>
        </w:tc>
        <w:tc>
          <w:tcPr>
            <w:tcW w:w="660"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atLeast"/>
        </w:trPr>
        <w:tc>
          <w:tcPr>
            <w:tcW w:w="1109" w:type="dxa"/>
            <w:vMerge w:val="restart"/>
            <w:vAlign w:val="center"/>
          </w:tcPr>
          <w:p>
            <w:pPr>
              <w:widowControl/>
              <w:spacing w:line="0" w:lineRule="atLeast"/>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过程</w:t>
            </w:r>
          </w:p>
          <w:p>
            <w:pPr>
              <w:widowControl/>
              <w:spacing w:line="0" w:lineRule="atLeast"/>
              <w:jc w:val="center"/>
              <w:rPr>
                <w:rFonts w:hint="eastAsia" w:ascii="仿宋" w:hAnsi="仿宋" w:eastAsia="仿宋" w:cs="仿宋"/>
                <w:kern w:val="2"/>
                <w:sz w:val="22"/>
                <w:szCs w:val="22"/>
                <w:highlight w:val="none"/>
                <w:vertAlign w:val="baseline"/>
                <w:lang w:val="en-US" w:eastAsia="zh-CN" w:bidi="ar-SA"/>
              </w:rPr>
            </w:pPr>
            <w:r>
              <w:rPr>
                <w:rFonts w:hint="eastAsia" w:ascii="仿宋" w:hAnsi="仿宋" w:eastAsia="仿宋" w:cs="仿宋"/>
                <w:color w:val="000000"/>
                <w:kern w:val="0"/>
                <w:sz w:val="22"/>
                <w:szCs w:val="22"/>
                <w:highlight w:val="none"/>
                <w:lang w:val="en-US" w:eastAsia="zh-CN"/>
              </w:rPr>
              <w:t>（30分）</w:t>
            </w:r>
          </w:p>
        </w:tc>
        <w:tc>
          <w:tcPr>
            <w:tcW w:w="1180" w:type="dxa"/>
            <w:vMerge w:val="restart"/>
            <w:vAlign w:val="center"/>
          </w:tcPr>
          <w:p>
            <w:pPr>
              <w:widowControl/>
              <w:spacing w:line="0" w:lineRule="atLeast"/>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资金管理</w:t>
            </w:r>
          </w:p>
          <w:p>
            <w:pPr>
              <w:widowControl/>
              <w:spacing w:line="0" w:lineRule="atLeast"/>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（10分）</w:t>
            </w:r>
            <w:r>
              <w:rPr>
                <w:rFonts w:hint="eastAsia" w:ascii="仿宋" w:hAnsi="仿宋" w:eastAsia="仿宋" w:cs="仿宋"/>
                <w:color w:val="000000"/>
                <w:kern w:val="0"/>
                <w:sz w:val="22"/>
                <w:szCs w:val="22"/>
                <w:highlight w:val="none"/>
              </w:rPr>
              <w:t>　</w:t>
            </w:r>
          </w:p>
          <w:p>
            <w:pPr>
              <w:widowControl/>
              <w:spacing w:line="0" w:lineRule="atLeast"/>
              <w:jc w:val="center"/>
              <w:rPr>
                <w:rFonts w:hint="eastAsia" w:ascii="仿宋" w:hAnsi="仿宋" w:eastAsia="仿宋" w:cs="仿宋"/>
                <w:color w:val="000000"/>
                <w:kern w:val="0"/>
                <w:sz w:val="22"/>
                <w:szCs w:val="22"/>
                <w:highlight w:val="none"/>
                <w:lang w:val="en-US" w:eastAsia="zh-CN" w:bidi="ar-SA"/>
              </w:rPr>
            </w:pPr>
          </w:p>
        </w:tc>
        <w:tc>
          <w:tcPr>
            <w:tcW w:w="1170" w:type="dxa"/>
            <w:vAlign w:val="center"/>
          </w:tcPr>
          <w:p>
            <w:pPr>
              <w:widowControl/>
              <w:spacing w:line="0" w:lineRule="atLeast"/>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资金到位率</w:t>
            </w:r>
          </w:p>
        </w:tc>
        <w:tc>
          <w:tcPr>
            <w:tcW w:w="670" w:type="dxa"/>
            <w:vAlign w:val="center"/>
          </w:tcPr>
          <w:p>
            <w:pPr>
              <w:widowControl/>
              <w:spacing w:line="0" w:lineRule="atLeast"/>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3</w:t>
            </w:r>
          </w:p>
        </w:tc>
        <w:tc>
          <w:tcPr>
            <w:tcW w:w="2470" w:type="dxa"/>
            <w:vAlign w:val="center"/>
          </w:tcPr>
          <w:p>
            <w:pPr>
              <w:widowControl/>
              <w:jc w:val="both"/>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实际到位资金与预算资金的比率，用以反映和考核资金落实情况对项目实施的总体保障程度。</w:t>
            </w:r>
          </w:p>
        </w:tc>
        <w:tc>
          <w:tcPr>
            <w:tcW w:w="700" w:type="dxa"/>
            <w:vAlign w:val="center"/>
          </w:tcPr>
          <w:p>
            <w:pPr>
              <w:widowControl/>
              <w:jc w:val="both"/>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通用标准</w:t>
            </w:r>
          </w:p>
        </w:tc>
        <w:tc>
          <w:tcPr>
            <w:tcW w:w="6215" w:type="dxa"/>
            <w:vAlign w:val="center"/>
          </w:tcPr>
          <w:p>
            <w:pPr>
              <w:widowControl/>
              <w:jc w:val="both"/>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资金到位率=（实际到位资金/预算资金）×2×100%。</w:t>
            </w:r>
          </w:p>
          <w:p>
            <w:pPr>
              <w:widowControl/>
              <w:jc w:val="both"/>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到位资金达到计划投入，得3分，否则按比例得分。</w:t>
            </w:r>
          </w:p>
        </w:tc>
        <w:tc>
          <w:tcPr>
            <w:tcW w:w="660"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trPr>
        <w:tc>
          <w:tcPr>
            <w:tcW w:w="1109" w:type="dxa"/>
            <w:vMerge w:val="continue"/>
            <w:vAlign w:val="top"/>
          </w:tcPr>
          <w:p>
            <w:pPr>
              <w:rPr>
                <w:rFonts w:hint="eastAsia" w:ascii="仿宋" w:hAnsi="仿宋" w:eastAsia="仿宋" w:cs="仿宋"/>
                <w:kern w:val="2"/>
                <w:sz w:val="22"/>
                <w:szCs w:val="22"/>
                <w:highlight w:val="none"/>
                <w:vertAlign w:val="baseline"/>
                <w:lang w:val="en-US" w:eastAsia="zh-CN" w:bidi="ar-SA"/>
              </w:rPr>
            </w:pPr>
          </w:p>
        </w:tc>
        <w:tc>
          <w:tcPr>
            <w:tcW w:w="1180" w:type="dxa"/>
            <w:vMerge w:val="continue"/>
            <w:vAlign w:val="center"/>
          </w:tcPr>
          <w:p>
            <w:pPr>
              <w:widowControl/>
              <w:spacing w:line="0" w:lineRule="atLeast"/>
              <w:jc w:val="center"/>
              <w:rPr>
                <w:rFonts w:hint="eastAsia" w:ascii="仿宋" w:hAnsi="仿宋" w:eastAsia="仿宋" w:cs="仿宋"/>
                <w:color w:val="000000"/>
                <w:kern w:val="0"/>
                <w:sz w:val="22"/>
                <w:szCs w:val="22"/>
                <w:highlight w:val="none"/>
                <w:lang w:val="en-US" w:eastAsia="zh-CN" w:bidi="ar-SA"/>
              </w:rPr>
            </w:pPr>
          </w:p>
        </w:tc>
        <w:tc>
          <w:tcPr>
            <w:tcW w:w="1170" w:type="dxa"/>
            <w:vAlign w:val="center"/>
          </w:tcPr>
          <w:p>
            <w:pPr>
              <w:widowControl/>
              <w:spacing w:line="0" w:lineRule="atLeast"/>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预算执行率</w:t>
            </w:r>
          </w:p>
        </w:tc>
        <w:tc>
          <w:tcPr>
            <w:tcW w:w="670" w:type="dxa"/>
            <w:vAlign w:val="center"/>
          </w:tcPr>
          <w:p>
            <w:pPr>
              <w:widowControl/>
              <w:spacing w:line="0" w:lineRule="atLeast"/>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3</w:t>
            </w:r>
          </w:p>
        </w:tc>
        <w:tc>
          <w:tcPr>
            <w:tcW w:w="2470" w:type="dxa"/>
            <w:vAlign w:val="center"/>
          </w:tcPr>
          <w:p>
            <w:pPr>
              <w:widowControl/>
              <w:jc w:val="both"/>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项目预算资金是否按照计划执行，用以反映或考核项目预算执行情况。</w:t>
            </w:r>
          </w:p>
        </w:tc>
        <w:tc>
          <w:tcPr>
            <w:tcW w:w="700" w:type="dxa"/>
            <w:vAlign w:val="center"/>
          </w:tcPr>
          <w:p>
            <w:pPr>
              <w:widowControl/>
              <w:jc w:val="both"/>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通用标准</w:t>
            </w:r>
          </w:p>
        </w:tc>
        <w:tc>
          <w:tcPr>
            <w:tcW w:w="6215" w:type="dxa"/>
            <w:vAlign w:val="center"/>
          </w:tcPr>
          <w:p>
            <w:pPr>
              <w:widowControl/>
              <w:jc w:val="both"/>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预算执行率=（实际支出资金/实际到位资金）×3×100%。</w:t>
            </w:r>
          </w:p>
          <w:p>
            <w:pPr>
              <w:widowControl/>
              <w:jc w:val="both"/>
              <w:rPr>
                <w:rFonts w:hint="default"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实际支出资金达到实际到位资金，得3分，否则按比例得分。</w:t>
            </w:r>
          </w:p>
        </w:tc>
        <w:tc>
          <w:tcPr>
            <w:tcW w:w="660"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2" w:hRule="atLeast"/>
        </w:trPr>
        <w:tc>
          <w:tcPr>
            <w:tcW w:w="1109" w:type="dxa"/>
            <w:vMerge w:val="continue"/>
            <w:vAlign w:val="center"/>
          </w:tcPr>
          <w:p>
            <w:pPr>
              <w:widowControl/>
              <w:spacing w:line="0" w:lineRule="atLeast"/>
              <w:jc w:val="center"/>
              <w:rPr>
                <w:rFonts w:hint="eastAsia" w:ascii="仿宋" w:hAnsi="仿宋" w:eastAsia="仿宋" w:cs="仿宋"/>
                <w:color w:val="000000"/>
                <w:kern w:val="0"/>
                <w:sz w:val="22"/>
                <w:szCs w:val="22"/>
                <w:highlight w:val="none"/>
                <w:lang w:val="en-US" w:eastAsia="zh-CN" w:bidi="ar-SA"/>
              </w:rPr>
            </w:pPr>
          </w:p>
        </w:tc>
        <w:tc>
          <w:tcPr>
            <w:tcW w:w="1180" w:type="dxa"/>
            <w:vMerge w:val="continue"/>
            <w:vAlign w:val="center"/>
          </w:tcPr>
          <w:p>
            <w:pPr>
              <w:widowControl/>
              <w:spacing w:line="0" w:lineRule="atLeast"/>
              <w:jc w:val="center"/>
              <w:rPr>
                <w:rFonts w:hint="eastAsia" w:ascii="仿宋" w:hAnsi="仿宋" w:eastAsia="仿宋" w:cs="仿宋"/>
                <w:color w:val="000000"/>
                <w:kern w:val="0"/>
                <w:sz w:val="22"/>
                <w:szCs w:val="22"/>
                <w:highlight w:val="none"/>
                <w:lang w:val="en-US" w:eastAsia="zh-CN" w:bidi="ar-SA"/>
              </w:rPr>
            </w:pPr>
          </w:p>
        </w:tc>
        <w:tc>
          <w:tcPr>
            <w:tcW w:w="1170" w:type="dxa"/>
            <w:vAlign w:val="center"/>
          </w:tcPr>
          <w:p>
            <w:pPr>
              <w:widowControl/>
              <w:spacing w:line="0" w:lineRule="atLeast"/>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资金使用</w:t>
            </w:r>
          </w:p>
          <w:p>
            <w:pPr>
              <w:widowControl/>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rPr>
              <w:t>合规性</w:t>
            </w:r>
          </w:p>
        </w:tc>
        <w:tc>
          <w:tcPr>
            <w:tcW w:w="670" w:type="dxa"/>
            <w:vAlign w:val="center"/>
          </w:tcPr>
          <w:p>
            <w:pPr>
              <w:widowControl/>
              <w:spacing w:line="0" w:lineRule="atLeast"/>
              <w:jc w:val="center"/>
              <w:rPr>
                <w:rFonts w:hint="default"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4</w:t>
            </w:r>
          </w:p>
        </w:tc>
        <w:tc>
          <w:tcPr>
            <w:tcW w:w="2470" w:type="dxa"/>
            <w:vAlign w:val="center"/>
          </w:tcPr>
          <w:p>
            <w:pPr>
              <w:widowControl/>
              <w:spacing w:line="0" w:lineRule="atLeast"/>
              <w:jc w:val="left"/>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rPr>
              <w:t>项目资金使用是否符合相关的财务管理制度规定，用以反映和考核项目资金的规范运行情况。</w:t>
            </w:r>
          </w:p>
        </w:tc>
        <w:tc>
          <w:tcPr>
            <w:tcW w:w="700" w:type="dxa"/>
            <w:vAlign w:val="center"/>
          </w:tcPr>
          <w:p>
            <w:pPr>
              <w:widowControl/>
              <w:spacing w:line="0" w:lineRule="atLeast"/>
              <w:jc w:val="left"/>
              <w:rPr>
                <w:rFonts w:hint="default"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通用标准</w:t>
            </w:r>
          </w:p>
        </w:tc>
        <w:tc>
          <w:tcPr>
            <w:tcW w:w="6215" w:type="dxa"/>
            <w:vAlign w:val="center"/>
          </w:tcPr>
          <w:p>
            <w:pPr>
              <w:widowControl/>
              <w:numPr>
                <w:ilvl w:val="0"/>
                <w:numId w:val="2"/>
              </w:numPr>
              <w:jc w:val="both"/>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符合国家财经法规和财务管理制度以及有关专项资金管理办法的规定，得1分，否则不得分；</w:t>
            </w:r>
          </w:p>
          <w:p>
            <w:pPr>
              <w:widowControl/>
              <w:jc w:val="both"/>
              <w:rPr>
                <w:rFonts w:hint="default"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2.资金的拨付有完整的审批程序和手续，得1分，否则不得分；3.资金的使用符合管理办法中规定的用途或资金的使用符合相关单位在年初预算时申请的有关用途，得1分，否则不得分；</w:t>
            </w:r>
          </w:p>
          <w:p>
            <w:pPr>
              <w:widowControl/>
              <w:jc w:val="both"/>
              <w:rPr>
                <w:rFonts w:hint="eastAsia" w:ascii="仿宋" w:hAnsi="仿宋" w:eastAsia="仿宋" w:cs="仿宋"/>
                <w:b w:val="0"/>
                <w:bCs w:val="0"/>
                <w:kern w:val="0"/>
                <w:sz w:val="22"/>
                <w:szCs w:val="22"/>
                <w:highlight w:val="none"/>
                <w:lang w:eastAsia="zh-CN"/>
              </w:rPr>
            </w:pPr>
            <w:r>
              <w:rPr>
                <w:rFonts w:hint="eastAsia" w:ascii="仿宋" w:hAnsi="仿宋" w:eastAsia="仿宋" w:cs="仿宋"/>
                <w:color w:val="000000"/>
                <w:kern w:val="0"/>
                <w:sz w:val="22"/>
                <w:szCs w:val="22"/>
                <w:highlight w:val="none"/>
                <w:lang w:val="en-US" w:eastAsia="zh-CN"/>
              </w:rPr>
              <w:t>4.</w:t>
            </w:r>
            <w:r>
              <w:rPr>
                <w:rFonts w:hint="eastAsia" w:ascii="仿宋" w:hAnsi="仿宋" w:eastAsia="仿宋" w:cs="仿宋"/>
                <w:b w:val="0"/>
                <w:bCs w:val="0"/>
                <w:kern w:val="0"/>
                <w:sz w:val="22"/>
                <w:szCs w:val="22"/>
                <w:highlight w:val="none"/>
              </w:rPr>
              <w:t>资金核算做到专款专用、单独核算</w:t>
            </w:r>
            <w:r>
              <w:rPr>
                <w:rFonts w:hint="eastAsia" w:ascii="仿宋" w:hAnsi="仿宋" w:eastAsia="仿宋" w:cs="仿宋"/>
                <w:color w:val="000000"/>
                <w:kern w:val="0"/>
                <w:sz w:val="22"/>
                <w:szCs w:val="22"/>
                <w:highlight w:val="none"/>
                <w:lang w:val="en-US" w:eastAsia="zh-CN"/>
              </w:rPr>
              <w:t>得1分，否则不得分</w:t>
            </w:r>
            <w:r>
              <w:rPr>
                <w:rFonts w:hint="eastAsia" w:ascii="仿宋" w:hAnsi="仿宋" w:eastAsia="仿宋" w:cs="仿宋"/>
                <w:b w:val="0"/>
                <w:bCs w:val="0"/>
                <w:kern w:val="0"/>
                <w:sz w:val="22"/>
                <w:szCs w:val="22"/>
                <w:highlight w:val="none"/>
                <w:lang w:eastAsia="zh-CN"/>
              </w:rPr>
              <w:t>；</w:t>
            </w:r>
          </w:p>
          <w:p>
            <w:pPr>
              <w:widowControl/>
              <w:spacing w:line="0" w:lineRule="atLeast"/>
              <w:jc w:val="left"/>
              <w:rPr>
                <w:rFonts w:hint="eastAsia" w:ascii="仿宋" w:hAnsi="仿宋" w:eastAsia="仿宋" w:cs="仿宋"/>
                <w:color w:val="000000"/>
                <w:kern w:val="0"/>
                <w:sz w:val="22"/>
                <w:szCs w:val="22"/>
                <w:highlight w:val="none"/>
                <w:lang w:val="en-US" w:eastAsia="zh-CN" w:bidi="ar-SA"/>
              </w:rPr>
            </w:pPr>
            <w:r>
              <w:rPr>
                <w:rFonts w:hint="eastAsia" w:ascii="仿宋" w:hAnsi="仿宋" w:eastAsia="仿宋" w:cs="宋体"/>
                <w:kern w:val="0"/>
                <w:sz w:val="22"/>
                <w:szCs w:val="22"/>
                <w:highlight w:val="none"/>
              </w:rPr>
              <w:t>如发现存在截留、挤占、挪用、虚列支出等情况，本指标不得分。</w:t>
            </w:r>
          </w:p>
        </w:tc>
        <w:tc>
          <w:tcPr>
            <w:tcW w:w="660"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4" w:hRule="atLeast"/>
        </w:trPr>
        <w:tc>
          <w:tcPr>
            <w:tcW w:w="1109" w:type="dxa"/>
            <w:vMerge w:val="restart"/>
            <w:vAlign w:val="center"/>
          </w:tcPr>
          <w:p>
            <w:pPr>
              <w:widowControl/>
              <w:numPr>
                <w:ilvl w:val="0"/>
                <w:numId w:val="0"/>
              </w:numPr>
              <w:jc w:val="center"/>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过程</w:t>
            </w:r>
          </w:p>
          <w:p>
            <w:pPr>
              <w:widowControl/>
              <w:numPr>
                <w:ilvl w:val="0"/>
                <w:numId w:val="0"/>
              </w:numPr>
              <w:jc w:val="center"/>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（30分）</w:t>
            </w:r>
          </w:p>
        </w:tc>
        <w:tc>
          <w:tcPr>
            <w:tcW w:w="1180" w:type="dxa"/>
            <w:vMerge w:val="restart"/>
            <w:vAlign w:val="center"/>
          </w:tcPr>
          <w:p>
            <w:pPr>
              <w:widowControl/>
              <w:numPr>
                <w:ilvl w:val="0"/>
                <w:numId w:val="0"/>
              </w:numPr>
              <w:jc w:val="center"/>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组织</w:t>
            </w:r>
          </w:p>
          <w:p>
            <w:pPr>
              <w:widowControl/>
              <w:numPr>
                <w:ilvl w:val="0"/>
                <w:numId w:val="0"/>
              </w:numPr>
              <w:jc w:val="center"/>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实施</w:t>
            </w:r>
          </w:p>
          <w:p>
            <w:pPr>
              <w:widowControl/>
              <w:numPr>
                <w:ilvl w:val="0"/>
                <w:numId w:val="0"/>
              </w:numPr>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rPr>
              <w:t>（20分）</w:t>
            </w:r>
          </w:p>
        </w:tc>
        <w:tc>
          <w:tcPr>
            <w:tcW w:w="1170" w:type="dxa"/>
            <w:vAlign w:val="center"/>
          </w:tcPr>
          <w:p>
            <w:pPr>
              <w:widowControl/>
              <w:numPr>
                <w:ilvl w:val="0"/>
                <w:numId w:val="0"/>
              </w:numPr>
              <w:jc w:val="both"/>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防控指挥部的成立</w:t>
            </w:r>
          </w:p>
        </w:tc>
        <w:tc>
          <w:tcPr>
            <w:tcW w:w="670" w:type="dxa"/>
            <w:vAlign w:val="center"/>
          </w:tcPr>
          <w:p>
            <w:pPr>
              <w:widowControl/>
              <w:numPr>
                <w:ilvl w:val="0"/>
                <w:numId w:val="0"/>
              </w:numPr>
              <w:jc w:val="center"/>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2</w:t>
            </w:r>
          </w:p>
        </w:tc>
        <w:tc>
          <w:tcPr>
            <w:tcW w:w="2470" w:type="dxa"/>
            <w:vAlign w:val="center"/>
          </w:tcPr>
          <w:p>
            <w:pPr>
              <w:widowControl/>
              <w:numPr>
                <w:ilvl w:val="0"/>
                <w:numId w:val="0"/>
              </w:numPr>
              <w:jc w:val="both"/>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评价各级政府对新冠肺炎疫情的反应迅速程度。</w:t>
            </w:r>
          </w:p>
        </w:tc>
        <w:tc>
          <w:tcPr>
            <w:tcW w:w="700" w:type="dxa"/>
            <w:vAlign w:val="center"/>
          </w:tcPr>
          <w:p>
            <w:pPr>
              <w:widowControl/>
              <w:numPr>
                <w:ilvl w:val="0"/>
                <w:numId w:val="0"/>
              </w:numPr>
              <w:jc w:val="both"/>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计划标准</w:t>
            </w:r>
          </w:p>
        </w:tc>
        <w:tc>
          <w:tcPr>
            <w:tcW w:w="6215" w:type="dxa"/>
            <w:vAlign w:val="center"/>
          </w:tcPr>
          <w:p>
            <w:pPr>
              <w:widowControl/>
              <w:numPr>
                <w:ilvl w:val="0"/>
                <w:numId w:val="0"/>
              </w:numPr>
              <w:jc w:val="both"/>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1.永济市成立永济市疫情防控指挥部，街道（乡镇）和社区（村）建立疫情防控工作组织体系，得1分，否则不得分；</w:t>
            </w:r>
          </w:p>
          <w:p>
            <w:pPr>
              <w:widowControl/>
              <w:numPr>
                <w:ilvl w:val="0"/>
                <w:numId w:val="0"/>
              </w:numPr>
              <w:jc w:val="both"/>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2.明确各部门的责任，实行整体调度，做好疫情防控和应急准备工作，得1分，一项未明确扣0.5分，扣完为止。</w:t>
            </w:r>
          </w:p>
        </w:tc>
        <w:tc>
          <w:tcPr>
            <w:tcW w:w="660"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1109" w:type="dxa"/>
            <w:vMerge w:val="continue"/>
            <w:vAlign w:val="top"/>
          </w:tcPr>
          <w:p>
            <w:pPr>
              <w:rPr>
                <w:rFonts w:hint="eastAsia" w:ascii="仿宋" w:hAnsi="仿宋" w:eastAsia="仿宋" w:cs="仿宋"/>
                <w:kern w:val="2"/>
                <w:sz w:val="22"/>
                <w:szCs w:val="22"/>
                <w:highlight w:val="none"/>
                <w:vertAlign w:val="baseline"/>
                <w:lang w:val="en-US" w:eastAsia="zh-CN" w:bidi="ar-SA"/>
              </w:rPr>
            </w:pPr>
          </w:p>
        </w:tc>
        <w:tc>
          <w:tcPr>
            <w:tcW w:w="1180" w:type="dxa"/>
            <w:vMerge w:val="continue"/>
            <w:vAlign w:val="center"/>
          </w:tcPr>
          <w:p>
            <w:pPr>
              <w:widowControl/>
              <w:jc w:val="both"/>
              <w:rPr>
                <w:rFonts w:hint="eastAsia" w:ascii="仿宋" w:hAnsi="仿宋" w:eastAsia="仿宋" w:cs="仿宋"/>
                <w:b w:val="0"/>
                <w:bCs w:val="0"/>
                <w:kern w:val="0"/>
                <w:sz w:val="22"/>
                <w:szCs w:val="22"/>
                <w:highlight w:val="none"/>
                <w:lang w:val="en-US" w:eastAsia="zh-CN"/>
              </w:rPr>
            </w:pPr>
          </w:p>
        </w:tc>
        <w:tc>
          <w:tcPr>
            <w:tcW w:w="1170" w:type="dxa"/>
            <w:vAlign w:val="center"/>
          </w:tcPr>
          <w:p>
            <w:pPr>
              <w:widowControl/>
              <w:jc w:val="center"/>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防疫制度健全性</w:t>
            </w:r>
          </w:p>
        </w:tc>
        <w:tc>
          <w:tcPr>
            <w:tcW w:w="670" w:type="dxa"/>
            <w:vAlign w:val="center"/>
          </w:tcPr>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2</w:t>
            </w:r>
          </w:p>
        </w:tc>
        <w:tc>
          <w:tcPr>
            <w:tcW w:w="2470" w:type="dxa"/>
            <w:vAlign w:val="center"/>
          </w:tcPr>
          <w:p>
            <w:pPr>
              <w:widowControl/>
              <w:numPr>
                <w:ilvl w:val="0"/>
                <w:numId w:val="0"/>
              </w:numPr>
              <w:jc w:val="both"/>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评价防疫制度建设的完整性。</w:t>
            </w:r>
          </w:p>
        </w:tc>
        <w:tc>
          <w:tcPr>
            <w:tcW w:w="700" w:type="dxa"/>
            <w:vAlign w:val="center"/>
          </w:tcPr>
          <w:p>
            <w:pPr>
              <w:widowControl/>
              <w:numPr>
                <w:ilvl w:val="0"/>
                <w:numId w:val="0"/>
              </w:numPr>
              <w:jc w:val="both"/>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计划标准</w:t>
            </w:r>
          </w:p>
        </w:tc>
        <w:tc>
          <w:tcPr>
            <w:tcW w:w="6215" w:type="dxa"/>
            <w:vAlign w:val="center"/>
          </w:tcPr>
          <w:p>
            <w:pPr>
              <w:widowControl/>
              <w:numPr>
                <w:ilvl w:val="0"/>
                <w:numId w:val="0"/>
              </w:numPr>
              <w:jc w:val="both"/>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1.制定或具有防疫相应的财务和业务管理制度，该制度涵盖物资、交通、卫生、监测、教育、财务管理等，得1分，否则不得分；</w:t>
            </w:r>
          </w:p>
          <w:p>
            <w:pPr>
              <w:widowControl/>
              <w:numPr>
                <w:ilvl w:val="0"/>
                <w:numId w:val="0"/>
              </w:numPr>
              <w:jc w:val="both"/>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2.相关制度符合《永济市突发公共卫生事件应急预案》的相关要求，合法、合规、完整，得1分，否则不得分。</w:t>
            </w:r>
          </w:p>
        </w:tc>
        <w:tc>
          <w:tcPr>
            <w:tcW w:w="660"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8" w:hRule="atLeast"/>
        </w:trPr>
        <w:tc>
          <w:tcPr>
            <w:tcW w:w="1109" w:type="dxa"/>
            <w:vMerge w:val="continue"/>
            <w:vAlign w:val="top"/>
          </w:tcPr>
          <w:p>
            <w:pPr>
              <w:rPr>
                <w:rFonts w:hint="eastAsia" w:ascii="仿宋" w:hAnsi="仿宋" w:eastAsia="仿宋" w:cs="仿宋"/>
                <w:kern w:val="2"/>
                <w:sz w:val="22"/>
                <w:szCs w:val="22"/>
                <w:highlight w:val="none"/>
                <w:vertAlign w:val="baseline"/>
                <w:lang w:val="en-US" w:eastAsia="zh-CN" w:bidi="ar-SA"/>
              </w:rPr>
            </w:pPr>
          </w:p>
        </w:tc>
        <w:tc>
          <w:tcPr>
            <w:tcW w:w="1180" w:type="dxa"/>
            <w:vMerge w:val="continue"/>
            <w:vAlign w:val="center"/>
          </w:tcPr>
          <w:p>
            <w:pPr>
              <w:widowControl/>
              <w:jc w:val="both"/>
              <w:rPr>
                <w:rFonts w:hint="eastAsia" w:ascii="仿宋" w:hAnsi="仿宋" w:eastAsia="仿宋" w:cs="仿宋"/>
                <w:b w:val="0"/>
                <w:bCs w:val="0"/>
                <w:kern w:val="0"/>
                <w:sz w:val="22"/>
                <w:szCs w:val="22"/>
                <w:highlight w:val="none"/>
                <w:lang w:val="en-US" w:eastAsia="zh-CN"/>
              </w:rPr>
            </w:pPr>
          </w:p>
        </w:tc>
        <w:tc>
          <w:tcPr>
            <w:tcW w:w="1170" w:type="dxa"/>
            <w:vAlign w:val="center"/>
          </w:tcPr>
          <w:p>
            <w:pPr>
              <w:widowControl/>
              <w:jc w:val="both"/>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核酸检测</w:t>
            </w:r>
          </w:p>
        </w:tc>
        <w:tc>
          <w:tcPr>
            <w:tcW w:w="670" w:type="dxa"/>
            <w:vAlign w:val="center"/>
          </w:tcPr>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7</w:t>
            </w:r>
          </w:p>
        </w:tc>
        <w:tc>
          <w:tcPr>
            <w:tcW w:w="2470" w:type="dxa"/>
            <w:vAlign w:val="center"/>
          </w:tcPr>
          <w:p>
            <w:pPr>
              <w:widowControl/>
              <w:numPr>
                <w:ilvl w:val="0"/>
                <w:numId w:val="0"/>
              </w:numPr>
              <w:jc w:val="both"/>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评价核酸检测等工作落实情况。</w:t>
            </w:r>
          </w:p>
        </w:tc>
        <w:tc>
          <w:tcPr>
            <w:tcW w:w="700" w:type="dxa"/>
            <w:vAlign w:val="center"/>
          </w:tcPr>
          <w:p>
            <w:pPr>
              <w:widowControl/>
              <w:numPr>
                <w:ilvl w:val="0"/>
                <w:numId w:val="0"/>
              </w:numPr>
              <w:jc w:val="both"/>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计划标准</w:t>
            </w:r>
          </w:p>
        </w:tc>
        <w:tc>
          <w:tcPr>
            <w:tcW w:w="6215" w:type="dxa"/>
            <w:vAlign w:val="center"/>
          </w:tcPr>
          <w:p>
            <w:pPr>
              <w:widowControl/>
              <w:numPr>
                <w:ilvl w:val="0"/>
                <w:numId w:val="0"/>
              </w:numPr>
              <w:jc w:val="both"/>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1.确定核酸检测机构，科学设置采样点，并制定了相应的管理制度和操作办法等，得1分，否则不得分；</w:t>
            </w:r>
          </w:p>
          <w:p>
            <w:pPr>
              <w:widowControl/>
              <w:numPr>
                <w:ilvl w:val="0"/>
                <w:numId w:val="0"/>
              </w:numPr>
              <w:jc w:val="both"/>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2.核酸检测收费标准符合相关政策要求（分单人单检、多人混检，核酸检测相关成本），得2分，否则不得分；</w:t>
            </w:r>
          </w:p>
          <w:p>
            <w:pPr>
              <w:widowControl/>
              <w:numPr>
                <w:ilvl w:val="0"/>
                <w:numId w:val="0"/>
              </w:numPr>
              <w:jc w:val="both"/>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3.有8类人群核酸检测名单，相关检测程序完整规范，得2分，否则不得分；</w:t>
            </w:r>
          </w:p>
          <w:p>
            <w:pPr>
              <w:widowControl/>
              <w:numPr>
                <w:ilvl w:val="0"/>
                <w:numId w:val="0"/>
              </w:numPr>
              <w:jc w:val="both"/>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4.严格按照规定进行操作，相关人员对试剂的使用、领用等拥有严格的登记制度和防护措施等，核酸检测的医务人员合格上岗，获得pcr工作证，得1分，否则不得分；</w:t>
            </w:r>
          </w:p>
          <w:p>
            <w:pPr>
              <w:widowControl/>
              <w:numPr>
                <w:ilvl w:val="0"/>
                <w:numId w:val="0"/>
              </w:numPr>
              <w:jc w:val="both"/>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5.通过官方网站等方式，向社会公布辖区内所有核酸检测机构名单、工作时间、采样地点、联系电话等信息，得1分，否则不得分。</w:t>
            </w:r>
          </w:p>
        </w:tc>
        <w:tc>
          <w:tcPr>
            <w:tcW w:w="660"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1109" w:type="dxa"/>
            <w:vMerge w:val="continue"/>
            <w:vAlign w:val="top"/>
          </w:tcPr>
          <w:p>
            <w:pPr>
              <w:rPr>
                <w:rFonts w:hint="eastAsia" w:ascii="仿宋" w:hAnsi="仿宋" w:eastAsia="仿宋" w:cs="仿宋"/>
                <w:kern w:val="2"/>
                <w:sz w:val="22"/>
                <w:szCs w:val="22"/>
                <w:highlight w:val="none"/>
                <w:vertAlign w:val="baseline"/>
                <w:lang w:val="en-US" w:eastAsia="zh-CN" w:bidi="ar-SA"/>
              </w:rPr>
            </w:pPr>
          </w:p>
        </w:tc>
        <w:tc>
          <w:tcPr>
            <w:tcW w:w="1180" w:type="dxa"/>
            <w:vMerge w:val="continue"/>
            <w:vAlign w:val="center"/>
          </w:tcPr>
          <w:p>
            <w:pPr>
              <w:widowControl/>
              <w:jc w:val="both"/>
              <w:rPr>
                <w:rFonts w:hint="eastAsia" w:ascii="仿宋" w:hAnsi="仿宋" w:eastAsia="仿宋" w:cs="仿宋"/>
                <w:b w:val="0"/>
                <w:bCs w:val="0"/>
                <w:kern w:val="0"/>
                <w:sz w:val="22"/>
                <w:szCs w:val="22"/>
                <w:highlight w:val="none"/>
                <w:lang w:val="en-US" w:eastAsia="zh-CN"/>
              </w:rPr>
            </w:pPr>
          </w:p>
        </w:tc>
        <w:tc>
          <w:tcPr>
            <w:tcW w:w="1170" w:type="dxa"/>
            <w:vAlign w:val="center"/>
          </w:tcPr>
          <w:p>
            <w:pPr>
              <w:widowControl/>
              <w:jc w:val="center"/>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组织疫苗接种</w:t>
            </w:r>
          </w:p>
        </w:tc>
        <w:tc>
          <w:tcPr>
            <w:tcW w:w="670" w:type="dxa"/>
            <w:vAlign w:val="center"/>
          </w:tcPr>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1</w:t>
            </w:r>
          </w:p>
        </w:tc>
        <w:tc>
          <w:tcPr>
            <w:tcW w:w="2470" w:type="dxa"/>
            <w:vAlign w:val="center"/>
          </w:tcPr>
          <w:p>
            <w:pPr>
              <w:widowControl/>
              <w:jc w:val="left"/>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评价疫苗接种等工作落实区情况。</w:t>
            </w:r>
          </w:p>
        </w:tc>
        <w:tc>
          <w:tcPr>
            <w:tcW w:w="700" w:type="dxa"/>
            <w:vAlign w:val="center"/>
          </w:tcPr>
          <w:p>
            <w:pPr>
              <w:widowControl/>
              <w:jc w:val="center"/>
              <w:rPr>
                <w:rFonts w:hint="default" w:ascii="仿宋" w:hAnsi="仿宋" w:eastAsia="仿宋" w:cs="仿宋"/>
                <w:b w:val="0"/>
                <w:bCs w:val="0"/>
                <w:color w:val="000000"/>
                <w:kern w:val="0"/>
                <w:sz w:val="22"/>
                <w:szCs w:val="22"/>
                <w:highlight w:val="none"/>
                <w:lang w:val="en-US" w:eastAsia="zh-CN" w:bidi="ar-SA"/>
              </w:rPr>
            </w:pPr>
            <w:r>
              <w:rPr>
                <w:rFonts w:hint="eastAsia" w:ascii="仿宋" w:hAnsi="仿宋" w:eastAsia="仿宋" w:cs="仿宋"/>
                <w:b w:val="0"/>
                <w:bCs w:val="0"/>
                <w:color w:val="000000"/>
                <w:kern w:val="0"/>
                <w:sz w:val="22"/>
                <w:szCs w:val="22"/>
                <w:highlight w:val="none"/>
                <w:lang w:val="en-US" w:eastAsia="zh-CN" w:bidi="ar-SA"/>
              </w:rPr>
              <w:t>计划标准</w:t>
            </w:r>
          </w:p>
        </w:tc>
        <w:tc>
          <w:tcPr>
            <w:tcW w:w="6215" w:type="dxa"/>
            <w:vAlign w:val="center"/>
          </w:tcPr>
          <w:p>
            <w:pPr>
              <w:widowControl/>
              <w:numPr>
                <w:ilvl w:val="0"/>
                <w:numId w:val="0"/>
              </w:numPr>
              <w:jc w:val="both"/>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1.疫苗接种点选择合理、科学，得0.5分，否则不得分；</w:t>
            </w:r>
          </w:p>
          <w:p>
            <w:pPr>
              <w:pStyle w:val="2"/>
              <w:rPr>
                <w:rFonts w:hint="default"/>
                <w:highlight w:val="none"/>
                <w:lang w:val="en-US" w:eastAsia="zh-CN"/>
              </w:rPr>
            </w:pPr>
            <w:r>
              <w:rPr>
                <w:rFonts w:hint="eastAsia" w:ascii="仿宋" w:hAnsi="仿宋" w:eastAsia="仿宋" w:cs="仿宋"/>
                <w:b w:val="0"/>
                <w:bCs w:val="0"/>
                <w:kern w:val="0"/>
                <w:sz w:val="22"/>
                <w:szCs w:val="22"/>
                <w:highlight w:val="none"/>
                <w:lang w:val="en-US" w:eastAsia="zh-CN"/>
              </w:rPr>
              <w:t>2.新冠疫苗的运输、配送、管理有严格的配送流程，得0.5分，否则不得分。</w:t>
            </w:r>
          </w:p>
        </w:tc>
        <w:tc>
          <w:tcPr>
            <w:tcW w:w="660"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1109" w:type="dxa"/>
            <w:vMerge w:val="restart"/>
            <w:vAlign w:val="top"/>
          </w:tcPr>
          <w:p>
            <w:pPr>
              <w:widowControl/>
              <w:numPr>
                <w:ilvl w:val="0"/>
                <w:numId w:val="0"/>
              </w:numPr>
              <w:jc w:val="center"/>
              <w:rPr>
                <w:rFonts w:hint="eastAsia" w:ascii="仿宋" w:hAnsi="仿宋" w:eastAsia="仿宋" w:cs="仿宋"/>
                <w:b w:val="0"/>
                <w:bCs w:val="0"/>
                <w:kern w:val="0"/>
                <w:sz w:val="22"/>
                <w:szCs w:val="22"/>
                <w:highlight w:val="none"/>
                <w:lang w:val="en-US" w:eastAsia="zh-CN"/>
              </w:rPr>
            </w:pPr>
          </w:p>
          <w:p>
            <w:pPr>
              <w:widowControl/>
              <w:numPr>
                <w:ilvl w:val="0"/>
                <w:numId w:val="0"/>
              </w:numPr>
              <w:jc w:val="center"/>
              <w:rPr>
                <w:rFonts w:hint="eastAsia" w:ascii="仿宋" w:hAnsi="仿宋" w:eastAsia="仿宋" w:cs="仿宋"/>
                <w:b w:val="0"/>
                <w:bCs w:val="0"/>
                <w:kern w:val="0"/>
                <w:sz w:val="22"/>
                <w:szCs w:val="22"/>
                <w:highlight w:val="none"/>
                <w:lang w:val="en-US" w:eastAsia="zh-CN"/>
              </w:rPr>
            </w:pPr>
          </w:p>
          <w:p>
            <w:pPr>
              <w:widowControl/>
              <w:numPr>
                <w:ilvl w:val="0"/>
                <w:numId w:val="0"/>
              </w:numPr>
              <w:jc w:val="center"/>
              <w:rPr>
                <w:rFonts w:hint="eastAsia" w:ascii="仿宋" w:hAnsi="仿宋" w:eastAsia="仿宋" w:cs="仿宋"/>
                <w:b w:val="0"/>
                <w:bCs w:val="0"/>
                <w:kern w:val="0"/>
                <w:sz w:val="22"/>
                <w:szCs w:val="22"/>
                <w:highlight w:val="none"/>
                <w:lang w:val="en-US" w:eastAsia="zh-CN"/>
              </w:rPr>
            </w:pPr>
          </w:p>
          <w:p>
            <w:pPr>
              <w:widowControl/>
              <w:numPr>
                <w:ilvl w:val="0"/>
                <w:numId w:val="0"/>
              </w:numPr>
              <w:jc w:val="center"/>
              <w:rPr>
                <w:rFonts w:hint="eastAsia" w:ascii="仿宋" w:hAnsi="仿宋" w:eastAsia="仿宋" w:cs="仿宋"/>
                <w:b w:val="0"/>
                <w:bCs w:val="0"/>
                <w:kern w:val="0"/>
                <w:sz w:val="22"/>
                <w:szCs w:val="22"/>
                <w:highlight w:val="none"/>
                <w:lang w:val="en-US" w:eastAsia="zh-CN"/>
              </w:rPr>
            </w:pPr>
          </w:p>
          <w:p>
            <w:pPr>
              <w:widowControl/>
              <w:numPr>
                <w:ilvl w:val="0"/>
                <w:numId w:val="0"/>
              </w:numPr>
              <w:jc w:val="center"/>
              <w:rPr>
                <w:rFonts w:hint="eastAsia" w:ascii="仿宋" w:hAnsi="仿宋" w:eastAsia="仿宋" w:cs="仿宋"/>
                <w:b w:val="0"/>
                <w:bCs w:val="0"/>
                <w:kern w:val="0"/>
                <w:sz w:val="22"/>
                <w:szCs w:val="22"/>
                <w:highlight w:val="none"/>
                <w:lang w:val="en-US" w:eastAsia="zh-CN"/>
              </w:rPr>
            </w:pPr>
          </w:p>
          <w:p>
            <w:pPr>
              <w:widowControl/>
              <w:numPr>
                <w:ilvl w:val="0"/>
                <w:numId w:val="0"/>
              </w:numPr>
              <w:jc w:val="center"/>
              <w:rPr>
                <w:rFonts w:hint="eastAsia" w:ascii="仿宋" w:hAnsi="仿宋" w:eastAsia="仿宋" w:cs="仿宋"/>
                <w:b w:val="0"/>
                <w:bCs w:val="0"/>
                <w:kern w:val="0"/>
                <w:sz w:val="22"/>
                <w:szCs w:val="22"/>
                <w:highlight w:val="none"/>
                <w:lang w:val="en-US" w:eastAsia="zh-CN"/>
              </w:rPr>
            </w:pPr>
          </w:p>
          <w:p>
            <w:pPr>
              <w:widowControl/>
              <w:numPr>
                <w:ilvl w:val="0"/>
                <w:numId w:val="0"/>
              </w:numPr>
              <w:jc w:val="center"/>
              <w:rPr>
                <w:rFonts w:hint="eastAsia" w:ascii="仿宋" w:hAnsi="仿宋" w:eastAsia="仿宋" w:cs="仿宋"/>
                <w:b w:val="0"/>
                <w:bCs w:val="0"/>
                <w:kern w:val="0"/>
                <w:sz w:val="22"/>
                <w:szCs w:val="22"/>
                <w:highlight w:val="none"/>
                <w:lang w:val="en-US" w:eastAsia="zh-CN"/>
              </w:rPr>
            </w:pPr>
          </w:p>
          <w:p>
            <w:pPr>
              <w:widowControl/>
              <w:numPr>
                <w:ilvl w:val="0"/>
                <w:numId w:val="0"/>
              </w:numPr>
              <w:jc w:val="center"/>
              <w:rPr>
                <w:rFonts w:hint="eastAsia" w:ascii="仿宋" w:hAnsi="仿宋" w:eastAsia="仿宋" w:cs="仿宋"/>
                <w:b w:val="0"/>
                <w:bCs w:val="0"/>
                <w:kern w:val="0"/>
                <w:sz w:val="22"/>
                <w:szCs w:val="22"/>
                <w:highlight w:val="none"/>
                <w:lang w:val="en-US" w:eastAsia="zh-CN"/>
              </w:rPr>
            </w:pPr>
          </w:p>
          <w:p>
            <w:pPr>
              <w:widowControl/>
              <w:numPr>
                <w:ilvl w:val="0"/>
                <w:numId w:val="0"/>
              </w:numPr>
              <w:jc w:val="center"/>
              <w:rPr>
                <w:rFonts w:hint="eastAsia" w:ascii="仿宋" w:hAnsi="仿宋" w:eastAsia="仿宋" w:cs="仿宋"/>
                <w:b w:val="0"/>
                <w:bCs w:val="0"/>
                <w:kern w:val="0"/>
                <w:sz w:val="22"/>
                <w:szCs w:val="22"/>
                <w:highlight w:val="none"/>
                <w:lang w:val="en-US" w:eastAsia="zh-CN"/>
              </w:rPr>
            </w:pPr>
          </w:p>
          <w:p>
            <w:pPr>
              <w:widowControl/>
              <w:numPr>
                <w:ilvl w:val="0"/>
                <w:numId w:val="0"/>
              </w:numPr>
              <w:jc w:val="center"/>
              <w:rPr>
                <w:rFonts w:hint="eastAsia" w:ascii="仿宋" w:hAnsi="仿宋" w:eastAsia="仿宋" w:cs="仿宋"/>
                <w:b w:val="0"/>
                <w:bCs w:val="0"/>
                <w:kern w:val="0"/>
                <w:sz w:val="22"/>
                <w:szCs w:val="22"/>
                <w:highlight w:val="none"/>
                <w:lang w:val="en-US" w:eastAsia="zh-CN"/>
              </w:rPr>
            </w:pPr>
          </w:p>
          <w:p>
            <w:pPr>
              <w:widowControl/>
              <w:numPr>
                <w:ilvl w:val="0"/>
                <w:numId w:val="0"/>
              </w:numPr>
              <w:jc w:val="center"/>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过程</w:t>
            </w:r>
          </w:p>
          <w:p>
            <w:pPr>
              <w:rPr>
                <w:rFonts w:hint="eastAsia" w:ascii="仿宋" w:hAnsi="仿宋" w:eastAsia="仿宋" w:cs="仿宋"/>
                <w:kern w:val="2"/>
                <w:sz w:val="22"/>
                <w:szCs w:val="22"/>
                <w:highlight w:val="none"/>
                <w:vertAlign w:val="baseline"/>
                <w:lang w:val="en-US" w:eastAsia="zh-CN" w:bidi="ar-SA"/>
              </w:rPr>
            </w:pPr>
            <w:r>
              <w:rPr>
                <w:rFonts w:hint="eastAsia" w:ascii="仿宋" w:hAnsi="仿宋" w:eastAsia="仿宋" w:cs="仿宋"/>
                <w:b w:val="0"/>
                <w:bCs w:val="0"/>
                <w:kern w:val="0"/>
                <w:sz w:val="22"/>
                <w:szCs w:val="22"/>
                <w:highlight w:val="none"/>
                <w:lang w:val="en-US" w:eastAsia="zh-CN"/>
              </w:rPr>
              <w:t>（30分）</w:t>
            </w:r>
          </w:p>
        </w:tc>
        <w:tc>
          <w:tcPr>
            <w:tcW w:w="1180" w:type="dxa"/>
            <w:vMerge w:val="restart"/>
            <w:vAlign w:val="center"/>
          </w:tcPr>
          <w:p>
            <w:pPr>
              <w:widowControl/>
              <w:jc w:val="center"/>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组织</w:t>
            </w:r>
          </w:p>
          <w:p>
            <w:pPr>
              <w:widowControl/>
              <w:jc w:val="center"/>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实施</w:t>
            </w:r>
          </w:p>
          <w:p>
            <w:pPr>
              <w:widowControl/>
              <w:jc w:val="both"/>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（20分）</w:t>
            </w:r>
          </w:p>
        </w:tc>
        <w:tc>
          <w:tcPr>
            <w:tcW w:w="1170" w:type="dxa"/>
            <w:vAlign w:val="center"/>
          </w:tcPr>
          <w:p>
            <w:pPr>
              <w:widowControl/>
              <w:jc w:val="center"/>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color w:val="000000" w:themeColor="text1"/>
                <w:kern w:val="0"/>
                <w:sz w:val="22"/>
                <w:szCs w:val="22"/>
                <w:highlight w:val="none"/>
                <w:lang w:val="en-US" w:eastAsia="zh-CN"/>
                <w14:textFill>
                  <w14:solidFill>
                    <w14:schemeClr w14:val="tx1"/>
                  </w14:solidFill>
                </w14:textFill>
              </w:rPr>
              <w:t>隔离点的管理</w:t>
            </w:r>
          </w:p>
        </w:tc>
        <w:tc>
          <w:tcPr>
            <w:tcW w:w="670" w:type="dxa"/>
            <w:vAlign w:val="center"/>
          </w:tcPr>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4</w:t>
            </w:r>
          </w:p>
        </w:tc>
        <w:tc>
          <w:tcPr>
            <w:tcW w:w="2470" w:type="dxa"/>
            <w:vAlign w:val="center"/>
          </w:tcPr>
          <w:p>
            <w:pPr>
              <w:widowControl/>
              <w:jc w:val="left"/>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对中高风险地区的人员及疑似人员进行隔离观察，评价隔离点的选择及管理制度满足情况。</w:t>
            </w:r>
          </w:p>
        </w:tc>
        <w:tc>
          <w:tcPr>
            <w:tcW w:w="700" w:type="dxa"/>
            <w:vAlign w:val="center"/>
          </w:tcPr>
          <w:p>
            <w:pPr>
              <w:widowControl/>
              <w:jc w:val="center"/>
              <w:rPr>
                <w:rFonts w:hint="default" w:ascii="仿宋" w:hAnsi="仿宋" w:eastAsia="仿宋" w:cs="仿宋"/>
                <w:b w:val="0"/>
                <w:bCs w:val="0"/>
                <w:color w:val="000000"/>
                <w:kern w:val="0"/>
                <w:sz w:val="22"/>
                <w:szCs w:val="22"/>
                <w:highlight w:val="none"/>
                <w:lang w:val="en-US" w:eastAsia="zh-CN" w:bidi="ar-SA"/>
              </w:rPr>
            </w:pPr>
            <w:r>
              <w:rPr>
                <w:rFonts w:hint="eastAsia" w:ascii="仿宋" w:hAnsi="仿宋" w:eastAsia="仿宋" w:cs="仿宋"/>
                <w:b w:val="0"/>
                <w:bCs w:val="0"/>
                <w:color w:val="000000"/>
                <w:kern w:val="0"/>
                <w:sz w:val="22"/>
                <w:szCs w:val="22"/>
                <w:highlight w:val="none"/>
                <w:lang w:val="en-US" w:eastAsia="zh-CN" w:bidi="ar-SA"/>
              </w:rPr>
              <w:t>计划标准</w:t>
            </w:r>
          </w:p>
        </w:tc>
        <w:tc>
          <w:tcPr>
            <w:tcW w:w="6215" w:type="dxa"/>
            <w:vAlign w:val="center"/>
          </w:tcPr>
          <w:p>
            <w:pPr>
              <w:widowControl/>
              <w:numPr>
                <w:ilvl w:val="0"/>
                <w:numId w:val="0"/>
              </w:numPr>
              <w:jc w:val="left"/>
              <w:rPr>
                <w:rFonts w:hint="eastAsia" w:ascii="仿宋" w:hAnsi="仿宋" w:eastAsia="仿宋" w:cs="宋体"/>
                <w:b w:val="0"/>
                <w:bCs w:val="0"/>
                <w:kern w:val="0"/>
                <w:sz w:val="22"/>
                <w:szCs w:val="22"/>
                <w:highlight w:val="none"/>
                <w:lang w:val="en-US" w:eastAsia="zh-CN" w:bidi="ar-SA"/>
              </w:rPr>
            </w:pPr>
            <w:r>
              <w:rPr>
                <w:rFonts w:hint="eastAsia" w:ascii="仿宋" w:hAnsi="仿宋" w:eastAsia="仿宋" w:cs="宋体"/>
                <w:b w:val="0"/>
                <w:bCs w:val="0"/>
                <w:kern w:val="0"/>
                <w:sz w:val="22"/>
                <w:szCs w:val="22"/>
                <w:highlight w:val="none"/>
                <w:lang w:val="en-US" w:eastAsia="zh-CN" w:bidi="ar-SA"/>
              </w:rPr>
              <w:t>1.隔离点制定了严格的管理制度，按照该制度进行管理，得1分；</w:t>
            </w:r>
          </w:p>
          <w:p>
            <w:pPr>
              <w:widowControl/>
              <w:numPr>
                <w:ilvl w:val="0"/>
                <w:numId w:val="0"/>
              </w:numPr>
              <w:jc w:val="left"/>
              <w:rPr>
                <w:rFonts w:hint="default" w:ascii="仿宋" w:hAnsi="仿宋" w:eastAsia="仿宋" w:cs="宋体"/>
                <w:b w:val="0"/>
                <w:bCs w:val="0"/>
                <w:kern w:val="0"/>
                <w:sz w:val="22"/>
                <w:szCs w:val="22"/>
                <w:highlight w:val="none"/>
                <w:lang w:val="en-US" w:eastAsia="zh-CN" w:bidi="ar-SA"/>
              </w:rPr>
            </w:pPr>
            <w:r>
              <w:rPr>
                <w:rFonts w:hint="eastAsia" w:ascii="仿宋" w:hAnsi="仿宋" w:eastAsia="仿宋" w:cs="宋体"/>
                <w:b w:val="0"/>
                <w:bCs w:val="0"/>
                <w:kern w:val="0"/>
                <w:sz w:val="22"/>
                <w:szCs w:val="22"/>
                <w:highlight w:val="none"/>
                <w:lang w:val="en-US" w:eastAsia="zh-CN" w:bidi="ar-SA"/>
              </w:rPr>
              <w:t>2.隔离点对隔离人员的管理严格按照实时管控要求进行隔离，有相关执行记录，得2分，否则每发现一处扣0.5分，扣完为止；</w:t>
            </w:r>
          </w:p>
          <w:p>
            <w:pPr>
              <w:widowControl/>
              <w:numPr>
                <w:ilvl w:val="0"/>
                <w:numId w:val="0"/>
              </w:numPr>
              <w:jc w:val="left"/>
              <w:rPr>
                <w:rFonts w:hint="default"/>
                <w:highlight w:val="none"/>
                <w:lang w:val="en-US" w:eastAsia="zh-CN"/>
              </w:rPr>
            </w:pPr>
            <w:r>
              <w:rPr>
                <w:rFonts w:hint="eastAsia" w:ascii="仿宋" w:hAnsi="仿宋" w:eastAsia="仿宋" w:cs="宋体"/>
                <w:b w:val="0"/>
                <w:bCs w:val="0"/>
                <w:kern w:val="0"/>
                <w:sz w:val="22"/>
                <w:szCs w:val="22"/>
                <w:highlight w:val="none"/>
                <w:lang w:val="en-US" w:eastAsia="zh-CN" w:bidi="ar-SA"/>
              </w:rPr>
              <w:t>3.隔离点相关资料整理妥当，装订成册，得1分，否则每发现一家未完成扣0.5分，扣完为止。</w:t>
            </w:r>
          </w:p>
        </w:tc>
        <w:tc>
          <w:tcPr>
            <w:tcW w:w="660"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1109" w:type="dxa"/>
            <w:vMerge w:val="continue"/>
            <w:vAlign w:val="top"/>
          </w:tcPr>
          <w:p>
            <w:pPr>
              <w:rPr>
                <w:rFonts w:hint="eastAsia" w:ascii="仿宋" w:hAnsi="仿宋" w:eastAsia="仿宋" w:cs="仿宋"/>
                <w:kern w:val="2"/>
                <w:sz w:val="22"/>
                <w:szCs w:val="22"/>
                <w:highlight w:val="none"/>
                <w:vertAlign w:val="baseline"/>
                <w:lang w:val="en-US" w:eastAsia="zh-CN" w:bidi="ar-SA"/>
              </w:rPr>
            </w:pPr>
          </w:p>
        </w:tc>
        <w:tc>
          <w:tcPr>
            <w:tcW w:w="1180" w:type="dxa"/>
            <w:vMerge w:val="continue"/>
            <w:vAlign w:val="center"/>
          </w:tcPr>
          <w:p>
            <w:pPr>
              <w:widowControl/>
              <w:jc w:val="both"/>
              <w:rPr>
                <w:rFonts w:hint="eastAsia" w:ascii="仿宋" w:hAnsi="仿宋" w:eastAsia="仿宋" w:cs="仿宋"/>
                <w:b w:val="0"/>
                <w:bCs w:val="0"/>
                <w:kern w:val="0"/>
                <w:sz w:val="22"/>
                <w:szCs w:val="22"/>
                <w:highlight w:val="none"/>
                <w:lang w:val="en-US" w:eastAsia="zh-CN"/>
              </w:rPr>
            </w:pPr>
          </w:p>
        </w:tc>
        <w:tc>
          <w:tcPr>
            <w:tcW w:w="1170" w:type="dxa"/>
            <w:vAlign w:val="center"/>
          </w:tcPr>
          <w:p>
            <w:pPr>
              <w:widowControl/>
              <w:jc w:val="center"/>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物资及设备采购</w:t>
            </w:r>
          </w:p>
        </w:tc>
        <w:tc>
          <w:tcPr>
            <w:tcW w:w="670" w:type="dxa"/>
            <w:vAlign w:val="center"/>
          </w:tcPr>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2</w:t>
            </w:r>
          </w:p>
        </w:tc>
        <w:tc>
          <w:tcPr>
            <w:tcW w:w="2470" w:type="dxa"/>
            <w:vAlign w:val="center"/>
          </w:tcPr>
          <w:p>
            <w:pPr>
              <w:widowControl/>
              <w:jc w:val="left"/>
              <w:rPr>
                <w:rFonts w:hint="eastAsia"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eastAsia="zh-CN"/>
              </w:rPr>
              <w:t>评价疫情防控物资的管理工作</w:t>
            </w:r>
            <w:r>
              <w:rPr>
                <w:rFonts w:hint="eastAsia" w:ascii="仿宋" w:hAnsi="仿宋" w:eastAsia="仿宋" w:cs="仿宋"/>
                <w:b w:val="0"/>
                <w:bCs w:val="0"/>
                <w:kern w:val="0"/>
                <w:sz w:val="22"/>
                <w:szCs w:val="22"/>
                <w:highlight w:val="none"/>
                <w:lang w:val="en-US" w:eastAsia="zh-CN"/>
              </w:rPr>
              <w:t>全面程度</w:t>
            </w:r>
            <w:r>
              <w:rPr>
                <w:rFonts w:hint="eastAsia" w:ascii="仿宋" w:hAnsi="仿宋" w:eastAsia="仿宋" w:cs="仿宋"/>
                <w:b w:val="0"/>
                <w:bCs w:val="0"/>
                <w:kern w:val="0"/>
                <w:sz w:val="22"/>
                <w:szCs w:val="22"/>
                <w:highlight w:val="none"/>
                <w:lang w:eastAsia="zh-CN"/>
              </w:rPr>
              <w:t>。</w:t>
            </w:r>
          </w:p>
        </w:tc>
        <w:tc>
          <w:tcPr>
            <w:tcW w:w="700" w:type="dxa"/>
            <w:vAlign w:val="center"/>
          </w:tcPr>
          <w:p>
            <w:pPr>
              <w:widowControl/>
              <w:jc w:val="left"/>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计划标准</w:t>
            </w:r>
          </w:p>
        </w:tc>
        <w:tc>
          <w:tcPr>
            <w:tcW w:w="6215" w:type="dxa"/>
            <w:vAlign w:val="center"/>
          </w:tcPr>
          <w:p>
            <w:pPr>
              <w:widowControl/>
              <w:numPr>
                <w:ilvl w:val="0"/>
                <w:numId w:val="0"/>
              </w:numPr>
              <w:jc w:val="left"/>
              <w:rPr>
                <w:rFonts w:hint="eastAsia" w:ascii="仿宋" w:hAnsi="仿宋" w:eastAsia="仿宋" w:cs="宋体"/>
                <w:b w:val="0"/>
                <w:bCs w:val="0"/>
                <w:kern w:val="0"/>
                <w:sz w:val="22"/>
                <w:szCs w:val="22"/>
                <w:highlight w:val="none"/>
                <w:lang w:val="en-US" w:eastAsia="zh-CN" w:bidi="ar-SA"/>
              </w:rPr>
            </w:pPr>
            <w:r>
              <w:rPr>
                <w:rFonts w:hint="eastAsia" w:ascii="仿宋" w:hAnsi="仿宋" w:eastAsia="仿宋" w:cs="宋体"/>
                <w:b w:val="0"/>
                <w:bCs w:val="0"/>
                <w:kern w:val="0"/>
                <w:sz w:val="22"/>
                <w:szCs w:val="22"/>
                <w:highlight w:val="none"/>
                <w:lang w:val="en-US" w:eastAsia="zh-CN" w:bidi="ar-SA"/>
              </w:rPr>
              <w:t>1.物资采购符合疫情物资采购的相关流程和要求，得0.5分；</w:t>
            </w:r>
          </w:p>
          <w:p>
            <w:pPr>
              <w:widowControl/>
              <w:numPr>
                <w:ilvl w:val="0"/>
                <w:numId w:val="0"/>
              </w:numPr>
              <w:jc w:val="left"/>
              <w:rPr>
                <w:rFonts w:hint="eastAsia" w:ascii="仿宋" w:hAnsi="仿宋" w:eastAsia="仿宋" w:cs="宋体"/>
                <w:b w:val="0"/>
                <w:bCs w:val="0"/>
                <w:kern w:val="0"/>
                <w:sz w:val="22"/>
                <w:szCs w:val="22"/>
                <w:highlight w:val="none"/>
                <w:lang w:val="en-US" w:eastAsia="zh-CN" w:bidi="ar-SA"/>
              </w:rPr>
            </w:pPr>
            <w:r>
              <w:rPr>
                <w:rFonts w:hint="eastAsia" w:ascii="仿宋" w:hAnsi="仿宋" w:eastAsia="仿宋" w:cs="宋体"/>
                <w:b w:val="0"/>
                <w:bCs w:val="0"/>
                <w:kern w:val="0"/>
                <w:sz w:val="22"/>
                <w:szCs w:val="22"/>
                <w:highlight w:val="none"/>
                <w:lang w:val="en-US" w:eastAsia="zh-CN" w:bidi="ar-SA"/>
              </w:rPr>
              <w:t>2.有关核酸检测及其他设备采购符合</w:t>
            </w:r>
            <w:r>
              <w:rPr>
                <w:rFonts w:hint="default" w:ascii="仿宋" w:hAnsi="仿宋" w:eastAsia="仿宋" w:cs="宋体"/>
                <w:b w:val="0"/>
                <w:bCs w:val="0"/>
                <w:kern w:val="0"/>
                <w:sz w:val="22"/>
                <w:szCs w:val="22"/>
                <w:highlight w:val="none"/>
                <w:lang w:val="en-US" w:eastAsia="zh-CN" w:bidi="ar-SA"/>
              </w:rPr>
              <w:t>政府采购法等规定，审批流程合规、完整</w:t>
            </w:r>
            <w:r>
              <w:rPr>
                <w:rFonts w:hint="eastAsia" w:ascii="仿宋" w:hAnsi="仿宋" w:eastAsia="仿宋" w:cs="宋体"/>
                <w:b w:val="0"/>
                <w:bCs w:val="0"/>
                <w:kern w:val="0"/>
                <w:sz w:val="22"/>
                <w:szCs w:val="22"/>
                <w:highlight w:val="none"/>
                <w:lang w:val="en-US" w:eastAsia="zh-CN" w:bidi="ar-SA"/>
              </w:rPr>
              <w:t>，得0.5分；</w:t>
            </w:r>
          </w:p>
          <w:p>
            <w:pPr>
              <w:widowControl/>
              <w:numPr>
                <w:ilvl w:val="0"/>
                <w:numId w:val="0"/>
              </w:numPr>
              <w:jc w:val="left"/>
              <w:rPr>
                <w:rFonts w:hint="default" w:ascii="仿宋" w:hAnsi="仿宋" w:eastAsia="仿宋" w:cs="宋体"/>
                <w:b w:val="0"/>
                <w:bCs w:val="0"/>
                <w:kern w:val="0"/>
                <w:sz w:val="22"/>
                <w:szCs w:val="22"/>
                <w:highlight w:val="none"/>
                <w:lang w:val="en-US" w:eastAsia="zh-CN" w:bidi="ar-SA"/>
              </w:rPr>
            </w:pPr>
            <w:r>
              <w:rPr>
                <w:rFonts w:hint="eastAsia" w:ascii="仿宋" w:hAnsi="仿宋" w:eastAsia="仿宋" w:cs="宋体"/>
                <w:b w:val="0"/>
                <w:bCs w:val="0"/>
                <w:kern w:val="0"/>
                <w:sz w:val="22"/>
                <w:szCs w:val="22"/>
                <w:highlight w:val="none"/>
                <w:lang w:val="en-US" w:eastAsia="zh-CN" w:bidi="ar-SA"/>
              </w:rPr>
              <w:t>3.相关物资的入库登记、领用、发放符合相关制度规定，</w:t>
            </w:r>
            <w:r>
              <w:rPr>
                <w:rFonts w:hint="default" w:ascii="仿宋" w:hAnsi="仿宋" w:eastAsia="仿宋" w:cs="宋体"/>
                <w:b w:val="0"/>
                <w:bCs w:val="0"/>
                <w:kern w:val="0"/>
                <w:sz w:val="22"/>
                <w:szCs w:val="22"/>
                <w:highlight w:val="none"/>
                <w:lang w:val="en-US" w:eastAsia="zh-CN" w:bidi="ar-SA"/>
              </w:rPr>
              <w:t>得</w:t>
            </w:r>
            <w:r>
              <w:rPr>
                <w:rFonts w:hint="eastAsia" w:ascii="仿宋" w:hAnsi="仿宋" w:eastAsia="仿宋" w:cs="宋体"/>
                <w:b w:val="0"/>
                <w:bCs w:val="0"/>
                <w:kern w:val="0"/>
                <w:sz w:val="22"/>
                <w:szCs w:val="22"/>
                <w:highlight w:val="none"/>
                <w:lang w:val="en-US" w:eastAsia="zh-CN" w:bidi="ar-SA"/>
              </w:rPr>
              <w:t>0.5分；</w:t>
            </w:r>
          </w:p>
          <w:p>
            <w:pPr>
              <w:widowControl/>
              <w:numPr>
                <w:ilvl w:val="0"/>
                <w:numId w:val="0"/>
              </w:numPr>
              <w:jc w:val="left"/>
              <w:rPr>
                <w:rFonts w:hint="default" w:ascii="仿宋" w:hAnsi="仿宋" w:eastAsia="仿宋" w:cs="宋体"/>
                <w:b w:val="0"/>
                <w:bCs w:val="0"/>
                <w:kern w:val="0"/>
                <w:sz w:val="22"/>
                <w:szCs w:val="22"/>
                <w:highlight w:val="none"/>
                <w:lang w:val="en-US" w:eastAsia="zh-CN" w:bidi="ar-SA"/>
              </w:rPr>
            </w:pPr>
            <w:r>
              <w:rPr>
                <w:rFonts w:hint="eastAsia" w:ascii="仿宋" w:hAnsi="仿宋" w:eastAsia="仿宋" w:cs="宋体"/>
                <w:b w:val="0"/>
                <w:bCs w:val="0"/>
                <w:kern w:val="0"/>
                <w:sz w:val="22"/>
                <w:szCs w:val="22"/>
                <w:highlight w:val="none"/>
                <w:lang w:val="en-US" w:eastAsia="zh-CN" w:bidi="ar-SA"/>
              </w:rPr>
              <w:t>4.加强疫情防控采购项目采购文件和凭据的管理，留存备查，得0.5分，否则不得分。</w:t>
            </w:r>
          </w:p>
          <w:p>
            <w:pPr>
              <w:widowControl/>
              <w:numPr>
                <w:ilvl w:val="0"/>
                <w:numId w:val="0"/>
              </w:numPr>
              <w:jc w:val="left"/>
              <w:rPr>
                <w:rFonts w:hint="eastAsia" w:ascii="仿宋" w:hAnsi="仿宋" w:eastAsia="仿宋" w:cs="仿宋"/>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bidi="ar-SA"/>
              </w:rPr>
              <w:t>采购存在徇私舞弊等违法违纪行为的，本指标不得分。</w:t>
            </w:r>
          </w:p>
        </w:tc>
        <w:tc>
          <w:tcPr>
            <w:tcW w:w="660"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1109" w:type="dxa"/>
            <w:vMerge w:val="continue"/>
            <w:vAlign w:val="top"/>
          </w:tcPr>
          <w:p>
            <w:pPr>
              <w:rPr>
                <w:rFonts w:hint="eastAsia" w:ascii="仿宋" w:hAnsi="仿宋" w:eastAsia="仿宋" w:cs="仿宋"/>
                <w:kern w:val="2"/>
                <w:sz w:val="22"/>
                <w:szCs w:val="22"/>
                <w:highlight w:val="none"/>
                <w:vertAlign w:val="baseline"/>
                <w:lang w:val="en-US" w:eastAsia="zh-CN" w:bidi="ar-SA"/>
              </w:rPr>
            </w:pPr>
          </w:p>
        </w:tc>
        <w:tc>
          <w:tcPr>
            <w:tcW w:w="1180" w:type="dxa"/>
            <w:vMerge w:val="continue"/>
            <w:vAlign w:val="center"/>
          </w:tcPr>
          <w:p>
            <w:pPr>
              <w:widowControl/>
              <w:jc w:val="both"/>
              <w:rPr>
                <w:rFonts w:hint="eastAsia" w:ascii="仿宋" w:hAnsi="仿宋" w:eastAsia="仿宋" w:cs="仿宋"/>
                <w:b w:val="0"/>
                <w:bCs w:val="0"/>
                <w:kern w:val="0"/>
                <w:sz w:val="22"/>
                <w:szCs w:val="22"/>
                <w:highlight w:val="none"/>
                <w:lang w:val="en-US" w:eastAsia="zh-CN"/>
              </w:rPr>
            </w:pPr>
          </w:p>
        </w:tc>
        <w:tc>
          <w:tcPr>
            <w:tcW w:w="1170" w:type="dxa"/>
            <w:vAlign w:val="center"/>
          </w:tcPr>
          <w:p>
            <w:pPr>
              <w:widowControl/>
              <w:jc w:val="center"/>
              <w:rPr>
                <w:rFonts w:hint="default" w:ascii="仿宋" w:hAnsi="仿宋" w:eastAsia="仿宋" w:cs="仿宋"/>
                <w:b w:val="0"/>
                <w:bCs w:val="0"/>
                <w:kern w:val="0"/>
                <w:sz w:val="24"/>
                <w:szCs w:val="24"/>
                <w:highlight w:val="none"/>
                <w:lang w:val="en-US" w:eastAsia="zh-CN" w:bidi="ar-SA"/>
              </w:rPr>
            </w:pPr>
            <w:r>
              <w:rPr>
                <w:rFonts w:hint="eastAsia" w:ascii="仿宋" w:hAnsi="仿宋" w:eastAsia="仿宋" w:cs="宋体"/>
                <w:b w:val="0"/>
                <w:bCs w:val="0"/>
                <w:kern w:val="0"/>
                <w:sz w:val="22"/>
                <w:szCs w:val="22"/>
                <w:highlight w:val="none"/>
                <w:lang w:val="en-US" w:eastAsia="zh-CN"/>
              </w:rPr>
              <w:t>卡点及社区等地防控</w:t>
            </w:r>
          </w:p>
        </w:tc>
        <w:tc>
          <w:tcPr>
            <w:tcW w:w="670" w:type="dxa"/>
            <w:vAlign w:val="center"/>
          </w:tcPr>
          <w:p>
            <w:pPr>
              <w:widowControl/>
              <w:jc w:val="center"/>
              <w:rPr>
                <w:rFonts w:hint="eastAsia" w:ascii="仿宋" w:hAnsi="仿宋" w:eastAsia="仿宋" w:cs="仿宋"/>
                <w:b w:val="0"/>
                <w:bCs w:val="0"/>
                <w:kern w:val="0"/>
                <w:sz w:val="24"/>
                <w:szCs w:val="24"/>
                <w:highlight w:val="none"/>
                <w:lang w:val="en-US" w:eastAsia="zh-CN" w:bidi="ar-SA"/>
              </w:rPr>
            </w:pPr>
            <w:r>
              <w:rPr>
                <w:rFonts w:hint="eastAsia" w:ascii="仿宋" w:hAnsi="仿宋" w:eastAsia="仿宋" w:cs="宋体"/>
                <w:b w:val="0"/>
                <w:bCs w:val="0"/>
                <w:kern w:val="0"/>
                <w:sz w:val="22"/>
                <w:szCs w:val="22"/>
                <w:highlight w:val="none"/>
                <w:lang w:val="en-US" w:eastAsia="zh-CN"/>
              </w:rPr>
              <w:t>2</w:t>
            </w:r>
          </w:p>
        </w:tc>
        <w:tc>
          <w:tcPr>
            <w:tcW w:w="2470" w:type="dxa"/>
            <w:vAlign w:val="center"/>
          </w:tcPr>
          <w:p>
            <w:pPr>
              <w:widowControl/>
              <w:jc w:val="both"/>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宋体"/>
                <w:b w:val="0"/>
                <w:bCs w:val="0"/>
                <w:kern w:val="0"/>
                <w:sz w:val="22"/>
                <w:szCs w:val="22"/>
                <w:highlight w:val="none"/>
                <w:lang w:eastAsia="zh-CN"/>
              </w:rPr>
              <w:t>反映疫情</w:t>
            </w:r>
            <w:r>
              <w:rPr>
                <w:rFonts w:hint="eastAsia" w:ascii="仿宋" w:hAnsi="仿宋" w:eastAsia="仿宋" w:cs="宋体"/>
                <w:b w:val="0"/>
                <w:bCs w:val="0"/>
                <w:kern w:val="0"/>
                <w:sz w:val="22"/>
                <w:szCs w:val="22"/>
                <w:highlight w:val="none"/>
                <w:lang w:val="en-US" w:eastAsia="zh-CN"/>
              </w:rPr>
              <w:t>严重及人流量较大期间，卡点及社区的</w:t>
            </w:r>
            <w:r>
              <w:rPr>
                <w:rFonts w:hint="eastAsia" w:ascii="仿宋" w:hAnsi="仿宋" w:eastAsia="仿宋" w:cs="宋体"/>
                <w:b w:val="0"/>
                <w:bCs w:val="0"/>
                <w:kern w:val="0"/>
                <w:sz w:val="22"/>
                <w:szCs w:val="22"/>
                <w:highlight w:val="none"/>
                <w:lang w:eastAsia="zh-CN"/>
              </w:rPr>
              <w:t>防控</w:t>
            </w:r>
            <w:r>
              <w:rPr>
                <w:rFonts w:hint="eastAsia" w:ascii="仿宋" w:hAnsi="仿宋" w:eastAsia="仿宋" w:cs="宋体"/>
                <w:b w:val="0"/>
                <w:bCs w:val="0"/>
                <w:kern w:val="0"/>
                <w:sz w:val="22"/>
                <w:szCs w:val="22"/>
                <w:highlight w:val="none"/>
                <w:lang w:val="en-US" w:eastAsia="zh-CN"/>
              </w:rPr>
              <w:t>情况</w:t>
            </w:r>
            <w:r>
              <w:rPr>
                <w:rFonts w:hint="eastAsia" w:ascii="仿宋" w:hAnsi="仿宋" w:eastAsia="仿宋" w:cs="宋体"/>
                <w:b w:val="0"/>
                <w:bCs w:val="0"/>
                <w:kern w:val="0"/>
                <w:sz w:val="22"/>
                <w:szCs w:val="22"/>
                <w:highlight w:val="none"/>
                <w:lang w:eastAsia="zh-CN"/>
              </w:rPr>
              <w:t>。</w:t>
            </w:r>
          </w:p>
        </w:tc>
        <w:tc>
          <w:tcPr>
            <w:tcW w:w="700" w:type="dxa"/>
            <w:vAlign w:val="center"/>
          </w:tcPr>
          <w:p>
            <w:pPr>
              <w:widowControl/>
              <w:jc w:val="center"/>
              <w:rPr>
                <w:rFonts w:hint="eastAsia" w:ascii="仿宋" w:hAnsi="仿宋" w:eastAsia="仿宋" w:cs="仿宋"/>
                <w:b w:val="0"/>
                <w:bCs w:val="0"/>
                <w:kern w:val="0"/>
                <w:sz w:val="24"/>
                <w:szCs w:val="24"/>
                <w:highlight w:val="none"/>
                <w:lang w:val="en-US" w:eastAsia="zh-CN" w:bidi="ar-SA"/>
              </w:rPr>
            </w:pPr>
            <w:r>
              <w:rPr>
                <w:rFonts w:hint="eastAsia" w:ascii="仿宋" w:hAnsi="仿宋" w:eastAsia="仿宋" w:cs="宋体"/>
                <w:b w:val="0"/>
                <w:bCs w:val="0"/>
                <w:color w:val="000000"/>
                <w:kern w:val="0"/>
                <w:sz w:val="22"/>
                <w:szCs w:val="22"/>
                <w:highlight w:val="none"/>
                <w:lang w:eastAsia="zh-CN"/>
              </w:rPr>
              <w:t>计划标准</w:t>
            </w:r>
          </w:p>
        </w:tc>
        <w:tc>
          <w:tcPr>
            <w:tcW w:w="6215" w:type="dxa"/>
            <w:vAlign w:val="center"/>
          </w:tcPr>
          <w:p>
            <w:pPr>
              <w:widowControl/>
              <w:numPr>
                <w:ilvl w:val="0"/>
                <w:numId w:val="0"/>
              </w:numPr>
              <w:jc w:val="left"/>
              <w:rPr>
                <w:rFonts w:hint="eastAsia" w:ascii="仿宋" w:hAnsi="仿宋" w:eastAsia="仿宋" w:cs="宋体"/>
                <w:b w:val="0"/>
                <w:bCs w:val="0"/>
                <w:kern w:val="0"/>
                <w:sz w:val="22"/>
                <w:szCs w:val="22"/>
                <w:highlight w:val="none"/>
                <w:lang w:val="en-US" w:eastAsia="zh-CN" w:bidi="ar-SA"/>
              </w:rPr>
            </w:pPr>
            <w:r>
              <w:rPr>
                <w:rFonts w:hint="eastAsia" w:ascii="仿宋" w:hAnsi="仿宋" w:eastAsia="仿宋" w:cs="宋体"/>
                <w:b w:val="0"/>
                <w:bCs w:val="0"/>
                <w:kern w:val="0"/>
                <w:sz w:val="22"/>
                <w:szCs w:val="22"/>
                <w:highlight w:val="none"/>
                <w:lang w:val="en-US" w:eastAsia="zh-CN" w:bidi="ar-SA"/>
              </w:rPr>
              <w:t>1.</w:t>
            </w:r>
            <w:r>
              <w:rPr>
                <w:rFonts w:hint="eastAsia" w:ascii="仿宋" w:hAnsi="仿宋" w:eastAsia="仿宋" w:cs="宋体"/>
                <w:b w:val="0"/>
                <w:bCs w:val="0"/>
                <w:kern w:val="0"/>
                <w:sz w:val="22"/>
                <w:szCs w:val="22"/>
                <w:highlight w:val="none"/>
                <w:lang w:val="en-US" w:eastAsia="zh-CN"/>
              </w:rPr>
              <w:t>对返永人员严格实行“落地核酸+点对点接返+精准赋码+隔离管控”，得1分，否则不得分</w:t>
            </w:r>
            <w:r>
              <w:rPr>
                <w:rFonts w:hint="eastAsia" w:ascii="仿宋" w:hAnsi="仿宋" w:eastAsia="仿宋" w:cs="宋体"/>
                <w:b w:val="0"/>
                <w:bCs w:val="0"/>
                <w:kern w:val="0"/>
                <w:sz w:val="22"/>
                <w:szCs w:val="22"/>
                <w:highlight w:val="none"/>
                <w:lang w:val="en-US" w:eastAsia="zh-CN" w:bidi="ar-SA"/>
              </w:rPr>
              <w:t>；</w:t>
            </w:r>
          </w:p>
          <w:p>
            <w:pPr>
              <w:widowControl/>
              <w:numPr>
                <w:ilvl w:val="0"/>
                <w:numId w:val="0"/>
              </w:numPr>
              <w:jc w:val="left"/>
              <w:rPr>
                <w:rFonts w:hint="eastAsia"/>
                <w:highlight w:val="none"/>
                <w:lang w:val="en-US" w:eastAsia="zh-CN"/>
              </w:rPr>
            </w:pPr>
            <w:r>
              <w:rPr>
                <w:rFonts w:hint="eastAsia" w:ascii="仿宋" w:hAnsi="仿宋" w:eastAsia="仿宋" w:cs="宋体"/>
                <w:b w:val="0"/>
                <w:bCs w:val="0"/>
                <w:kern w:val="0"/>
                <w:sz w:val="22"/>
                <w:szCs w:val="22"/>
                <w:highlight w:val="none"/>
                <w:lang w:val="en-US" w:eastAsia="zh-CN" w:bidi="ar-SA"/>
              </w:rPr>
              <w:t>2.严格按照疫情发展情况实施实时管控，例如：疫情严重期间，各乡镇政府组织村委进行入口管控，以及进入社区、街道及公共场所实行健康码检查，得1分，否则不得分。</w:t>
            </w:r>
          </w:p>
        </w:tc>
        <w:tc>
          <w:tcPr>
            <w:tcW w:w="660"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2.00</w:t>
            </w:r>
          </w:p>
        </w:tc>
      </w:tr>
    </w:tbl>
    <w:p>
      <w:pPr>
        <w:rPr>
          <w:rFonts w:hint="eastAsia"/>
          <w:highlight w:val="none"/>
          <w:lang w:val="en-US" w:eastAsia="zh-CN"/>
        </w:rPr>
      </w:pPr>
      <w:r>
        <w:rPr>
          <w:rFonts w:hint="eastAsia"/>
          <w:highlight w:val="none"/>
          <w:lang w:val="en-US" w:eastAsia="zh-CN"/>
        </w:rPr>
        <w:br w:type="page"/>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140"/>
        <w:gridCol w:w="1130"/>
        <w:gridCol w:w="670"/>
        <w:gridCol w:w="2658"/>
        <w:gridCol w:w="679"/>
        <w:gridCol w:w="6134"/>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174" w:type="dxa"/>
            <w:gridSpan w:val="8"/>
            <w:tcBorders>
              <w:top w:val="nil"/>
              <w:left w:val="nil"/>
              <w:bottom w:val="single" w:color="auto" w:sz="4" w:space="0"/>
              <w:right w:val="nil"/>
            </w:tcBorders>
            <w:vAlign w:val="top"/>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b/>
                <w:bCs/>
                <w:sz w:val="32"/>
                <w:szCs w:val="32"/>
                <w:highlight w:val="none"/>
                <w:lang w:val="en-US" w:eastAsia="zh-CN"/>
              </w:rPr>
              <w:t>2021年永济市疫情防控资金</w:t>
            </w:r>
            <w:r>
              <w:rPr>
                <w:rFonts w:hint="eastAsia" w:ascii="仿宋" w:hAnsi="仿宋" w:eastAsia="仿宋" w:cs="仿宋"/>
                <w:b/>
                <w:bCs/>
                <w:kern w:val="0"/>
                <w:sz w:val="32"/>
                <w:szCs w:val="32"/>
                <w:highlight w:val="none"/>
                <w:lang w:eastAsia="zh-CN"/>
              </w:rPr>
              <w:t>的</w:t>
            </w:r>
            <w:r>
              <w:rPr>
                <w:rFonts w:hint="eastAsia" w:ascii="仿宋" w:hAnsi="仿宋" w:eastAsia="仿宋" w:cs="仿宋"/>
                <w:b/>
                <w:bCs/>
                <w:kern w:val="0"/>
                <w:sz w:val="32"/>
                <w:szCs w:val="32"/>
                <w:highlight w:val="none"/>
              </w:rPr>
              <w:t>绩效评价指标评分表</w:t>
            </w:r>
            <w:r>
              <w:rPr>
                <w:rFonts w:hint="eastAsia" w:ascii="仿宋" w:hAnsi="仿宋" w:eastAsia="仿宋" w:cs="仿宋"/>
                <w:b/>
                <w:bCs/>
                <w:color w:val="000000"/>
                <w:kern w:val="0"/>
                <w:sz w:val="32"/>
                <w:szCs w:val="32"/>
                <w:highlight w:val="none"/>
                <w:lang w:val="en-US" w:eastAsia="zh-CN" w:bidi="ar-SA"/>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99"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一级指标</w:t>
            </w:r>
          </w:p>
        </w:tc>
        <w:tc>
          <w:tcPr>
            <w:tcW w:w="1140"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二级指标</w:t>
            </w:r>
          </w:p>
        </w:tc>
        <w:tc>
          <w:tcPr>
            <w:tcW w:w="1130"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三级指标</w:t>
            </w:r>
          </w:p>
        </w:tc>
        <w:tc>
          <w:tcPr>
            <w:tcW w:w="670"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权重</w:t>
            </w:r>
          </w:p>
        </w:tc>
        <w:tc>
          <w:tcPr>
            <w:tcW w:w="2658"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指标解释</w:t>
            </w:r>
          </w:p>
        </w:tc>
        <w:tc>
          <w:tcPr>
            <w:tcW w:w="679"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评分标准</w:t>
            </w:r>
          </w:p>
        </w:tc>
        <w:tc>
          <w:tcPr>
            <w:tcW w:w="6134"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指标说明</w:t>
            </w:r>
          </w:p>
        </w:tc>
        <w:tc>
          <w:tcPr>
            <w:tcW w:w="664" w:type="dxa"/>
            <w:tcBorders>
              <w:top w:val="single" w:color="auto" w:sz="4" w:space="0"/>
            </w:tcBorders>
            <w:vAlign w:val="center"/>
          </w:tcPr>
          <w:p>
            <w:pPr>
              <w:spacing w:line="0" w:lineRule="atLeast"/>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1099" w:type="dxa"/>
            <w:vMerge w:val="restart"/>
            <w:vAlign w:val="center"/>
          </w:tcPr>
          <w:p>
            <w:pPr>
              <w:jc w:val="center"/>
              <w:rPr>
                <w:rFonts w:hint="eastAsia"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产出</w:t>
            </w:r>
          </w:p>
          <w:p>
            <w:pPr>
              <w:jc w:val="center"/>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（30分）</w:t>
            </w:r>
          </w:p>
        </w:tc>
        <w:tc>
          <w:tcPr>
            <w:tcW w:w="1140" w:type="dxa"/>
            <w:vMerge w:val="restart"/>
            <w:vAlign w:val="center"/>
          </w:tcPr>
          <w:p>
            <w:pPr>
              <w:widowControl/>
              <w:jc w:val="center"/>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核酸检测设施完善情况</w:t>
            </w:r>
          </w:p>
          <w:p>
            <w:pPr>
              <w:widowControl/>
              <w:jc w:val="center"/>
              <w:rPr>
                <w:rFonts w:hint="default"/>
                <w:highlight w:val="none"/>
                <w:lang w:val="en-US" w:eastAsia="zh-CN"/>
              </w:rPr>
            </w:pPr>
            <w:r>
              <w:rPr>
                <w:rFonts w:hint="eastAsia" w:ascii="仿宋" w:hAnsi="仿宋" w:eastAsia="仿宋" w:cs="宋体"/>
                <w:b w:val="0"/>
                <w:bCs w:val="0"/>
                <w:kern w:val="0"/>
                <w:sz w:val="22"/>
                <w:szCs w:val="22"/>
                <w:highlight w:val="none"/>
                <w:lang w:val="en-US" w:eastAsia="zh-CN"/>
              </w:rPr>
              <w:t>（13分）</w:t>
            </w:r>
          </w:p>
        </w:tc>
        <w:tc>
          <w:tcPr>
            <w:tcW w:w="1130" w:type="dxa"/>
            <w:vAlign w:val="center"/>
          </w:tcPr>
          <w:p>
            <w:pPr>
              <w:widowControl/>
              <w:jc w:val="center"/>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核酸检测设施完成情况</w:t>
            </w:r>
          </w:p>
        </w:tc>
        <w:tc>
          <w:tcPr>
            <w:tcW w:w="670" w:type="dxa"/>
            <w:vAlign w:val="center"/>
          </w:tcPr>
          <w:p>
            <w:pPr>
              <w:widowControl/>
              <w:jc w:val="center"/>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6</w:t>
            </w:r>
          </w:p>
        </w:tc>
        <w:tc>
          <w:tcPr>
            <w:tcW w:w="2658" w:type="dxa"/>
            <w:vAlign w:val="center"/>
          </w:tcPr>
          <w:p>
            <w:pPr>
              <w:widowControl/>
              <w:jc w:val="left"/>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核酸实验室的建设及检测设备的购置是否能够达到计划数量。</w:t>
            </w:r>
          </w:p>
        </w:tc>
        <w:tc>
          <w:tcPr>
            <w:tcW w:w="679" w:type="dxa"/>
            <w:vAlign w:val="center"/>
          </w:tcPr>
          <w:p>
            <w:pPr>
              <w:widowControl/>
              <w:jc w:val="left"/>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计划标准</w:t>
            </w:r>
          </w:p>
        </w:tc>
        <w:tc>
          <w:tcPr>
            <w:tcW w:w="6134" w:type="dxa"/>
            <w:vAlign w:val="center"/>
          </w:tcPr>
          <w:p>
            <w:pPr>
              <w:widowControl/>
              <w:numPr>
                <w:ilvl w:val="0"/>
                <w:numId w:val="0"/>
              </w:numPr>
              <w:jc w:val="left"/>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1.完成4个核酸实验室的建设（包括试剂配制区、样品处理区、核酸扩增区、产物分析区），得3分，否则每减少1个，扣0.5分，扣完为止；</w:t>
            </w:r>
          </w:p>
          <w:p>
            <w:pPr>
              <w:widowControl/>
              <w:numPr>
                <w:ilvl w:val="0"/>
                <w:numId w:val="0"/>
              </w:numPr>
              <w:jc w:val="left"/>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2.核酸检测的设备配置能够达到计划的7.65万人次/日，做到“应检尽检，愿检尽检”（按照规定的混采比例），得3分，否则不得分；</w:t>
            </w:r>
          </w:p>
        </w:tc>
        <w:tc>
          <w:tcPr>
            <w:tcW w:w="664" w:type="dxa"/>
          </w:tcPr>
          <w:p>
            <w:pPr>
              <w:rPr>
                <w:rFonts w:hint="eastAsia"/>
                <w:highlight w:val="none"/>
              </w:rPr>
            </w:pPr>
          </w:p>
          <w:p>
            <w:pPr>
              <w:pStyle w:val="2"/>
              <w:rPr>
                <w:rFonts w:hint="eastAsia" w:ascii="仿宋" w:hAnsi="仿宋" w:eastAsia="仿宋" w:cs="仿宋"/>
                <w:sz w:val="22"/>
                <w:szCs w:val="22"/>
                <w:highlight w:val="none"/>
                <w:vertAlign w:val="baseline"/>
              </w:rPr>
            </w:pPr>
          </w:p>
          <w:p>
            <w:pPr>
              <w:pStyle w:val="2"/>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6" w:hRule="atLeast"/>
        </w:trPr>
        <w:tc>
          <w:tcPr>
            <w:tcW w:w="1099" w:type="dxa"/>
            <w:vMerge w:val="continue"/>
            <w:vAlign w:val="center"/>
          </w:tcPr>
          <w:p>
            <w:pPr>
              <w:jc w:val="center"/>
              <w:rPr>
                <w:rFonts w:hint="eastAsia" w:ascii="仿宋" w:hAnsi="仿宋" w:eastAsia="仿宋" w:cs="仿宋"/>
                <w:sz w:val="22"/>
                <w:szCs w:val="22"/>
                <w:highlight w:val="none"/>
                <w:vertAlign w:val="baseline"/>
                <w:lang w:val="en-US" w:eastAsia="zh-CN"/>
              </w:rPr>
            </w:pPr>
          </w:p>
        </w:tc>
        <w:tc>
          <w:tcPr>
            <w:tcW w:w="1140" w:type="dxa"/>
            <w:vMerge w:val="continue"/>
          </w:tcPr>
          <w:p>
            <w:pPr>
              <w:rPr>
                <w:rFonts w:hint="eastAsia" w:ascii="仿宋" w:hAnsi="仿宋" w:eastAsia="仿宋" w:cs="仿宋"/>
                <w:sz w:val="22"/>
                <w:szCs w:val="22"/>
                <w:highlight w:val="none"/>
                <w:vertAlign w:val="baseline"/>
              </w:rPr>
            </w:pPr>
          </w:p>
        </w:tc>
        <w:tc>
          <w:tcPr>
            <w:tcW w:w="1130" w:type="dxa"/>
            <w:vAlign w:val="center"/>
          </w:tcPr>
          <w:p>
            <w:pPr>
              <w:widowControl/>
              <w:jc w:val="center"/>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核酸检测</w:t>
            </w:r>
          </w:p>
          <w:p>
            <w:pPr>
              <w:widowControl/>
              <w:jc w:val="center"/>
              <w:rPr>
                <w:rFonts w:hint="eastAsia" w:ascii="仿宋" w:hAnsi="仿宋" w:eastAsia="仿宋" w:cs="仿宋"/>
                <w:b w:val="0"/>
                <w:bCs w:val="0"/>
                <w:kern w:val="0"/>
                <w:sz w:val="24"/>
                <w:szCs w:val="24"/>
                <w:highlight w:val="none"/>
                <w:lang w:val="en-US" w:eastAsia="zh-CN" w:bidi="ar-SA"/>
              </w:rPr>
            </w:pPr>
            <w:r>
              <w:rPr>
                <w:rFonts w:hint="eastAsia" w:ascii="仿宋" w:hAnsi="仿宋" w:eastAsia="仿宋" w:cs="宋体"/>
                <w:b w:val="0"/>
                <w:bCs w:val="0"/>
                <w:kern w:val="0"/>
                <w:sz w:val="22"/>
                <w:szCs w:val="22"/>
                <w:highlight w:val="none"/>
                <w:lang w:val="en-US" w:eastAsia="zh-CN"/>
              </w:rPr>
              <w:t>质量</w:t>
            </w:r>
            <w:r>
              <w:rPr>
                <w:rFonts w:hint="eastAsia" w:ascii="仿宋" w:hAnsi="仿宋" w:eastAsia="仿宋" w:cs="宋体"/>
                <w:b w:val="0"/>
                <w:bCs w:val="0"/>
                <w:kern w:val="0"/>
                <w:sz w:val="22"/>
                <w:szCs w:val="22"/>
                <w:highlight w:val="none"/>
                <w:lang w:eastAsia="zh-CN"/>
              </w:rPr>
              <w:t>保障情况</w:t>
            </w:r>
          </w:p>
        </w:tc>
        <w:tc>
          <w:tcPr>
            <w:tcW w:w="670" w:type="dxa"/>
            <w:vAlign w:val="center"/>
          </w:tcPr>
          <w:p>
            <w:pPr>
              <w:widowControl/>
              <w:jc w:val="center"/>
              <w:rPr>
                <w:rFonts w:hint="default" w:ascii="仿宋" w:hAnsi="仿宋" w:eastAsia="仿宋" w:cs="仿宋"/>
                <w:b w:val="0"/>
                <w:bCs w:val="0"/>
                <w:kern w:val="0"/>
                <w:sz w:val="24"/>
                <w:szCs w:val="24"/>
                <w:highlight w:val="none"/>
                <w:lang w:val="en-US" w:eastAsia="zh-CN" w:bidi="ar-SA"/>
              </w:rPr>
            </w:pPr>
            <w:r>
              <w:rPr>
                <w:rFonts w:hint="eastAsia" w:ascii="仿宋" w:hAnsi="仿宋" w:eastAsia="仿宋" w:cs="宋体"/>
                <w:b w:val="0"/>
                <w:bCs w:val="0"/>
                <w:kern w:val="0"/>
                <w:sz w:val="22"/>
                <w:szCs w:val="22"/>
                <w:highlight w:val="none"/>
                <w:lang w:val="en-US" w:eastAsia="zh-CN"/>
              </w:rPr>
              <w:t>5</w:t>
            </w:r>
          </w:p>
        </w:tc>
        <w:tc>
          <w:tcPr>
            <w:tcW w:w="2658" w:type="dxa"/>
            <w:vAlign w:val="center"/>
          </w:tcPr>
          <w:p>
            <w:pPr>
              <w:widowControl/>
              <w:jc w:val="left"/>
              <w:rPr>
                <w:rFonts w:hint="default" w:ascii="仿宋" w:hAnsi="仿宋" w:eastAsia="仿宋" w:cs="仿宋"/>
                <w:b w:val="0"/>
                <w:bCs w:val="0"/>
                <w:color w:val="000000"/>
                <w:kern w:val="0"/>
                <w:sz w:val="24"/>
                <w:szCs w:val="24"/>
                <w:highlight w:val="none"/>
                <w:lang w:val="en-US" w:eastAsia="zh-CN" w:bidi="ar-SA"/>
              </w:rPr>
            </w:pPr>
            <w:r>
              <w:rPr>
                <w:rFonts w:hint="eastAsia" w:ascii="仿宋" w:hAnsi="仿宋" w:eastAsia="仿宋" w:cs="宋体"/>
                <w:b w:val="0"/>
                <w:bCs w:val="0"/>
                <w:kern w:val="0"/>
                <w:sz w:val="22"/>
                <w:szCs w:val="22"/>
                <w:highlight w:val="none"/>
                <w:lang w:val="en-US" w:eastAsia="zh-CN"/>
              </w:rPr>
              <w:t>核酸检测是否能够分区域进行，按照计划的时间完成并且相关记录完整等情况，用以评价核酸检测质量的保障情况。</w:t>
            </w:r>
          </w:p>
        </w:tc>
        <w:tc>
          <w:tcPr>
            <w:tcW w:w="679" w:type="dxa"/>
            <w:vAlign w:val="center"/>
          </w:tcPr>
          <w:p>
            <w:pPr>
              <w:widowControl/>
              <w:numPr>
                <w:ilvl w:val="0"/>
                <w:numId w:val="0"/>
              </w:numPr>
              <w:jc w:val="left"/>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计划标准</w:t>
            </w:r>
          </w:p>
        </w:tc>
        <w:tc>
          <w:tcPr>
            <w:tcW w:w="6134" w:type="dxa"/>
            <w:vAlign w:val="center"/>
          </w:tcPr>
          <w:p>
            <w:pPr>
              <w:widowControl/>
              <w:numPr>
                <w:ilvl w:val="0"/>
                <w:numId w:val="3"/>
              </w:numPr>
              <w:jc w:val="left"/>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核酸检测过程中工作区域严格划分，通风系统等符合pcr实验室的要求，得2分，否则不得分。</w:t>
            </w:r>
          </w:p>
          <w:p>
            <w:pPr>
              <w:widowControl/>
              <w:numPr>
                <w:ilvl w:val="0"/>
                <w:numId w:val="3"/>
              </w:numPr>
              <w:jc w:val="left"/>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检测设备充足，满足检测需求，得1分；</w:t>
            </w:r>
          </w:p>
          <w:p>
            <w:pPr>
              <w:widowControl/>
              <w:numPr>
                <w:ilvl w:val="0"/>
                <w:numId w:val="3"/>
              </w:numPr>
              <w:jc w:val="left"/>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检测名单记录完整，无不符合免费检测人群，得1分；</w:t>
            </w:r>
          </w:p>
          <w:p>
            <w:pPr>
              <w:widowControl/>
              <w:numPr>
                <w:ilvl w:val="0"/>
                <w:numId w:val="3"/>
              </w:numPr>
              <w:jc w:val="left"/>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核酸检测结果网上获取简便、快捷，得1分，否则不得分。</w:t>
            </w:r>
          </w:p>
        </w:tc>
        <w:tc>
          <w:tcPr>
            <w:tcW w:w="664"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1099" w:type="dxa"/>
            <w:vMerge w:val="continue"/>
          </w:tcPr>
          <w:p>
            <w:pPr>
              <w:rPr>
                <w:rFonts w:hint="eastAsia" w:ascii="仿宋" w:hAnsi="仿宋" w:eastAsia="仿宋" w:cs="仿宋"/>
                <w:sz w:val="22"/>
                <w:szCs w:val="22"/>
                <w:highlight w:val="none"/>
                <w:vertAlign w:val="baseline"/>
              </w:rPr>
            </w:pPr>
          </w:p>
        </w:tc>
        <w:tc>
          <w:tcPr>
            <w:tcW w:w="1140" w:type="dxa"/>
            <w:vMerge w:val="restart"/>
            <w:vAlign w:val="center"/>
          </w:tcPr>
          <w:p>
            <w:pPr>
              <w:jc w:val="center"/>
              <w:rPr>
                <w:rFonts w:hint="default"/>
                <w:highlight w:val="none"/>
                <w:lang w:val="en-US" w:eastAsia="zh-CN"/>
              </w:rPr>
            </w:pPr>
            <w:r>
              <w:rPr>
                <w:rFonts w:hint="eastAsia" w:ascii="仿宋" w:hAnsi="仿宋" w:eastAsia="仿宋" w:cs="宋体"/>
                <w:b w:val="0"/>
                <w:bCs w:val="0"/>
                <w:kern w:val="0"/>
                <w:sz w:val="22"/>
                <w:szCs w:val="22"/>
                <w:highlight w:val="none"/>
                <w:lang w:val="en-US" w:eastAsia="zh-CN"/>
              </w:rPr>
              <w:t>隔离点隔离情况</w:t>
            </w:r>
          </w:p>
          <w:p>
            <w:pPr>
              <w:pStyle w:val="2"/>
              <w:rPr>
                <w:rFonts w:hint="default"/>
                <w:highlight w:val="none"/>
                <w:lang w:val="en-US" w:eastAsia="zh-CN"/>
              </w:rPr>
            </w:pPr>
            <w:r>
              <w:rPr>
                <w:rFonts w:hint="eastAsia" w:ascii="仿宋" w:hAnsi="仿宋" w:eastAsia="仿宋" w:cs="仿宋"/>
                <w:sz w:val="22"/>
                <w:szCs w:val="22"/>
                <w:highlight w:val="none"/>
                <w:vertAlign w:val="baseline"/>
                <w:lang w:val="en-US" w:eastAsia="zh-CN"/>
              </w:rPr>
              <w:t>（7分）</w:t>
            </w:r>
          </w:p>
        </w:tc>
        <w:tc>
          <w:tcPr>
            <w:tcW w:w="1130" w:type="dxa"/>
            <w:vAlign w:val="center"/>
          </w:tcPr>
          <w:p>
            <w:pPr>
              <w:widowControl/>
              <w:jc w:val="center"/>
              <w:rPr>
                <w:rFonts w:hint="default" w:ascii="仿宋" w:hAnsi="仿宋" w:eastAsia="仿宋" w:cs="仿宋"/>
                <w:b w:val="0"/>
                <w:bCs w:val="0"/>
                <w:kern w:val="0"/>
                <w:sz w:val="24"/>
                <w:szCs w:val="24"/>
                <w:highlight w:val="none"/>
                <w:lang w:val="en-US" w:eastAsia="zh-CN" w:bidi="ar-SA"/>
              </w:rPr>
            </w:pPr>
            <w:r>
              <w:rPr>
                <w:rFonts w:hint="eastAsia" w:ascii="仿宋" w:hAnsi="仿宋" w:eastAsia="仿宋" w:cs="宋体"/>
                <w:b w:val="0"/>
                <w:bCs w:val="0"/>
                <w:kern w:val="0"/>
                <w:sz w:val="22"/>
                <w:szCs w:val="22"/>
                <w:highlight w:val="none"/>
                <w:lang w:val="en-US" w:eastAsia="zh-CN"/>
              </w:rPr>
              <w:t>隔离点数量</w:t>
            </w:r>
          </w:p>
        </w:tc>
        <w:tc>
          <w:tcPr>
            <w:tcW w:w="670" w:type="dxa"/>
            <w:vAlign w:val="center"/>
          </w:tcPr>
          <w:p>
            <w:pPr>
              <w:widowControl/>
              <w:jc w:val="center"/>
              <w:rPr>
                <w:rFonts w:hint="default" w:ascii="仿宋" w:hAnsi="仿宋" w:eastAsia="仿宋" w:cs="仿宋"/>
                <w:b w:val="0"/>
                <w:bCs w:val="0"/>
                <w:kern w:val="0"/>
                <w:sz w:val="24"/>
                <w:szCs w:val="24"/>
                <w:highlight w:val="none"/>
                <w:lang w:val="en-US" w:eastAsia="zh-CN" w:bidi="ar-SA"/>
              </w:rPr>
            </w:pPr>
            <w:r>
              <w:rPr>
                <w:rFonts w:hint="eastAsia" w:ascii="仿宋" w:hAnsi="仿宋" w:eastAsia="仿宋" w:cs="仿宋"/>
                <w:b w:val="0"/>
                <w:bCs w:val="0"/>
                <w:kern w:val="0"/>
                <w:sz w:val="24"/>
                <w:szCs w:val="24"/>
                <w:highlight w:val="none"/>
                <w:lang w:val="en-US" w:eastAsia="zh-CN" w:bidi="ar-SA"/>
              </w:rPr>
              <w:t>1</w:t>
            </w:r>
          </w:p>
        </w:tc>
        <w:tc>
          <w:tcPr>
            <w:tcW w:w="2658" w:type="dxa"/>
            <w:vAlign w:val="center"/>
          </w:tcPr>
          <w:p>
            <w:pPr>
              <w:widowControl/>
              <w:jc w:val="left"/>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宋体"/>
                <w:b w:val="0"/>
                <w:bCs w:val="0"/>
                <w:kern w:val="0"/>
                <w:sz w:val="22"/>
                <w:szCs w:val="22"/>
                <w:highlight w:val="none"/>
                <w:lang w:eastAsia="zh-CN"/>
              </w:rPr>
              <w:t>评价</w:t>
            </w:r>
            <w:r>
              <w:rPr>
                <w:rFonts w:hint="eastAsia" w:ascii="仿宋" w:hAnsi="仿宋" w:eastAsia="仿宋" w:cs="宋体"/>
                <w:b w:val="0"/>
                <w:bCs w:val="0"/>
                <w:kern w:val="0"/>
                <w:sz w:val="22"/>
                <w:szCs w:val="22"/>
                <w:highlight w:val="none"/>
                <w:lang w:val="en-US" w:eastAsia="zh-CN"/>
              </w:rPr>
              <w:t>隔离点数量是否达到指挥部的要求，是否满足永济市隔离人员的需求</w:t>
            </w:r>
            <w:r>
              <w:rPr>
                <w:rFonts w:hint="eastAsia" w:ascii="仿宋" w:hAnsi="仿宋" w:eastAsia="仿宋" w:cs="宋体"/>
                <w:b w:val="0"/>
                <w:bCs w:val="0"/>
                <w:kern w:val="0"/>
                <w:sz w:val="22"/>
                <w:szCs w:val="22"/>
                <w:highlight w:val="none"/>
                <w:lang w:eastAsia="zh-CN"/>
              </w:rPr>
              <w:t>。</w:t>
            </w:r>
          </w:p>
        </w:tc>
        <w:tc>
          <w:tcPr>
            <w:tcW w:w="679" w:type="dxa"/>
            <w:vAlign w:val="center"/>
          </w:tcPr>
          <w:p>
            <w:pPr>
              <w:widowControl/>
              <w:numPr>
                <w:ilvl w:val="0"/>
                <w:numId w:val="0"/>
              </w:numPr>
              <w:jc w:val="left"/>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计划标准</w:t>
            </w:r>
          </w:p>
        </w:tc>
        <w:tc>
          <w:tcPr>
            <w:tcW w:w="6134" w:type="dxa"/>
            <w:vAlign w:val="center"/>
          </w:tcPr>
          <w:p>
            <w:pPr>
              <w:widowControl/>
              <w:numPr>
                <w:ilvl w:val="0"/>
                <w:numId w:val="0"/>
              </w:numPr>
              <w:jc w:val="left"/>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完成3个隔离点储备需求，隔离点满足中高风险地区返永人员、疑似人员等需要隔离的相关人员的需求，得1分，否则不得分；</w:t>
            </w:r>
          </w:p>
        </w:tc>
        <w:tc>
          <w:tcPr>
            <w:tcW w:w="664" w:type="dxa"/>
            <w:vAlign w:val="center"/>
          </w:tcPr>
          <w:p>
            <w:pPr>
              <w:spacing w:line="0" w:lineRule="atLeast"/>
              <w:jc w:val="center"/>
              <w:rPr>
                <w:rFonts w:hint="default"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1099" w:type="dxa"/>
            <w:vMerge w:val="continue"/>
          </w:tcPr>
          <w:p>
            <w:pPr>
              <w:rPr>
                <w:rFonts w:hint="eastAsia" w:ascii="仿宋" w:hAnsi="仿宋" w:eastAsia="仿宋" w:cs="仿宋"/>
                <w:sz w:val="22"/>
                <w:szCs w:val="22"/>
                <w:highlight w:val="none"/>
                <w:vertAlign w:val="baseline"/>
              </w:rPr>
            </w:pPr>
          </w:p>
        </w:tc>
        <w:tc>
          <w:tcPr>
            <w:tcW w:w="1140" w:type="dxa"/>
            <w:vMerge w:val="continue"/>
            <w:vAlign w:val="center"/>
          </w:tcPr>
          <w:p>
            <w:pPr>
              <w:jc w:val="center"/>
              <w:rPr>
                <w:rFonts w:hint="eastAsia" w:ascii="仿宋" w:hAnsi="仿宋" w:eastAsia="仿宋" w:cs="仿宋"/>
                <w:sz w:val="22"/>
                <w:szCs w:val="22"/>
                <w:highlight w:val="none"/>
                <w:vertAlign w:val="baseline"/>
                <w:lang w:val="en-US" w:eastAsia="zh-CN"/>
              </w:rPr>
            </w:pPr>
          </w:p>
        </w:tc>
        <w:tc>
          <w:tcPr>
            <w:tcW w:w="1130" w:type="dxa"/>
            <w:vAlign w:val="center"/>
          </w:tcPr>
          <w:p>
            <w:pPr>
              <w:widowControl/>
              <w:jc w:val="center"/>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隔离点运营情况</w:t>
            </w:r>
          </w:p>
        </w:tc>
        <w:tc>
          <w:tcPr>
            <w:tcW w:w="670" w:type="dxa"/>
            <w:vAlign w:val="center"/>
          </w:tcPr>
          <w:p>
            <w:pPr>
              <w:widowControl/>
              <w:jc w:val="center"/>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2</w:t>
            </w:r>
          </w:p>
        </w:tc>
        <w:tc>
          <w:tcPr>
            <w:tcW w:w="2658" w:type="dxa"/>
            <w:vAlign w:val="center"/>
          </w:tcPr>
          <w:p>
            <w:pPr>
              <w:widowControl/>
              <w:jc w:val="left"/>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隔离酒店隔离人员入住情况是否良好，是否存在自费人员，评价隔离点的运营情况。</w:t>
            </w:r>
          </w:p>
        </w:tc>
        <w:tc>
          <w:tcPr>
            <w:tcW w:w="679" w:type="dxa"/>
            <w:vAlign w:val="center"/>
          </w:tcPr>
          <w:p>
            <w:pPr>
              <w:widowControl/>
              <w:jc w:val="center"/>
              <w:rPr>
                <w:rFonts w:hint="default" w:ascii="仿宋" w:hAnsi="仿宋" w:eastAsia="仿宋" w:cs="宋体"/>
                <w:b w:val="0"/>
                <w:bCs w:val="0"/>
                <w:color w:val="000000"/>
                <w:kern w:val="0"/>
                <w:sz w:val="22"/>
                <w:szCs w:val="22"/>
                <w:highlight w:val="none"/>
                <w:lang w:val="en-US" w:eastAsia="zh-CN"/>
              </w:rPr>
            </w:pPr>
            <w:r>
              <w:rPr>
                <w:rFonts w:hint="eastAsia" w:ascii="仿宋" w:hAnsi="仿宋" w:eastAsia="仿宋" w:cs="宋体"/>
                <w:b w:val="0"/>
                <w:bCs w:val="0"/>
                <w:color w:val="000000"/>
                <w:kern w:val="0"/>
                <w:sz w:val="22"/>
                <w:szCs w:val="22"/>
                <w:highlight w:val="none"/>
                <w:lang w:val="en-US" w:eastAsia="zh-CN"/>
              </w:rPr>
              <w:t>计划标准</w:t>
            </w:r>
          </w:p>
        </w:tc>
        <w:tc>
          <w:tcPr>
            <w:tcW w:w="6134" w:type="dxa"/>
            <w:vAlign w:val="center"/>
          </w:tcPr>
          <w:p>
            <w:pPr>
              <w:widowControl/>
              <w:numPr>
                <w:ilvl w:val="0"/>
                <w:numId w:val="0"/>
              </w:numPr>
              <w:jc w:val="left"/>
              <w:rPr>
                <w:rFonts w:hint="default" w:ascii="仿宋" w:hAnsi="仿宋" w:eastAsia="仿宋" w:cs="宋体"/>
                <w:b w:val="0"/>
                <w:bCs w:val="0"/>
                <w:kern w:val="0"/>
                <w:sz w:val="22"/>
                <w:szCs w:val="22"/>
                <w:highlight w:val="none"/>
                <w:lang w:val="en-US" w:eastAsia="zh-CN" w:bidi="ar-SA"/>
              </w:rPr>
            </w:pPr>
            <w:r>
              <w:rPr>
                <w:rFonts w:hint="eastAsia" w:ascii="仿宋" w:hAnsi="仿宋" w:eastAsia="仿宋" w:cs="宋体"/>
                <w:b w:val="0"/>
                <w:bCs w:val="0"/>
                <w:kern w:val="0"/>
                <w:sz w:val="22"/>
                <w:szCs w:val="22"/>
                <w:highlight w:val="none"/>
                <w:lang w:val="en-US" w:eastAsia="zh-CN" w:bidi="ar-SA"/>
              </w:rPr>
              <w:t>电话回访隔离人员，所有人均表示未收取费用，得2分，否则发现有在隔离期间收费的隔离人员，扣1分；超过10个不得分。</w:t>
            </w:r>
          </w:p>
        </w:tc>
        <w:tc>
          <w:tcPr>
            <w:tcW w:w="664" w:type="dxa"/>
            <w:vAlign w:val="center"/>
          </w:tcPr>
          <w:p>
            <w:pPr>
              <w:widowControl/>
              <w:numPr>
                <w:ilvl w:val="0"/>
                <w:numId w:val="0"/>
              </w:numPr>
              <w:jc w:val="left"/>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8" w:hRule="atLeast"/>
        </w:trPr>
        <w:tc>
          <w:tcPr>
            <w:tcW w:w="1099" w:type="dxa"/>
            <w:vMerge w:val="restart"/>
          </w:tcPr>
          <w:p>
            <w:pPr>
              <w:jc w:val="cente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jc w:val="center"/>
              <w:rPr>
                <w:rFonts w:hint="eastAsia"/>
                <w:highlight w:val="none"/>
              </w:rPr>
            </w:pPr>
          </w:p>
          <w:p>
            <w:pPr>
              <w:jc w:val="center"/>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产出</w:t>
            </w:r>
          </w:p>
          <w:p>
            <w:pPr>
              <w:jc w:val="center"/>
              <w:rPr>
                <w:rFonts w:hint="eastAsia" w:eastAsia="仿宋"/>
                <w:highlight w:val="none"/>
                <w:lang w:val="en-US" w:eastAsia="zh-CN"/>
              </w:rPr>
            </w:pPr>
            <w:r>
              <w:rPr>
                <w:rFonts w:hint="eastAsia" w:ascii="仿宋" w:hAnsi="仿宋" w:eastAsia="仿宋" w:cs="仿宋"/>
                <w:sz w:val="22"/>
                <w:szCs w:val="22"/>
                <w:highlight w:val="none"/>
                <w:vertAlign w:val="baseline"/>
                <w:lang w:val="en-US" w:eastAsia="zh-CN"/>
              </w:rPr>
              <w:t>（30分）</w:t>
            </w:r>
          </w:p>
        </w:tc>
        <w:tc>
          <w:tcPr>
            <w:tcW w:w="1140" w:type="dxa"/>
            <w:vMerge w:val="continue"/>
            <w:vAlign w:val="center"/>
          </w:tcPr>
          <w:p>
            <w:pPr>
              <w:jc w:val="center"/>
              <w:rPr>
                <w:rFonts w:hint="eastAsia" w:ascii="仿宋" w:hAnsi="仿宋" w:eastAsia="仿宋" w:cs="仿宋"/>
                <w:sz w:val="22"/>
                <w:szCs w:val="22"/>
                <w:highlight w:val="none"/>
                <w:vertAlign w:val="baseline"/>
                <w:lang w:val="en-US" w:eastAsia="zh-CN"/>
              </w:rPr>
            </w:pPr>
          </w:p>
        </w:tc>
        <w:tc>
          <w:tcPr>
            <w:tcW w:w="1130" w:type="dxa"/>
            <w:vAlign w:val="center"/>
          </w:tcPr>
          <w:p>
            <w:pPr>
              <w:widowControl/>
              <w:jc w:val="center"/>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隔离点质量保障情况</w:t>
            </w:r>
          </w:p>
        </w:tc>
        <w:tc>
          <w:tcPr>
            <w:tcW w:w="670" w:type="dxa"/>
            <w:vAlign w:val="center"/>
          </w:tcPr>
          <w:p>
            <w:pPr>
              <w:widowControl/>
              <w:jc w:val="center"/>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3</w:t>
            </w:r>
          </w:p>
        </w:tc>
        <w:tc>
          <w:tcPr>
            <w:tcW w:w="2658" w:type="dxa"/>
            <w:vAlign w:val="center"/>
          </w:tcPr>
          <w:p>
            <w:pPr>
              <w:widowControl/>
              <w:jc w:val="left"/>
              <w:rPr>
                <w:rFonts w:hint="eastAsia" w:ascii="仿宋" w:hAnsi="仿宋" w:eastAsia="仿宋" w:cs="宋体"/>
                <w:b w:val="0"/>
                <w:bCs w:val="0"/>
                <w:kern w:val="0"/>
                <w:sz w:val="22"/>
                <w:szCs w:val="22"/>
                <w:highlight w:val="none"/>
                <w:lang w:eastAsia="zh-CN"/>
              </w:rPr>
            </w:pPr>
            <w:r>
              <w:rPr>
                <w:rFonts w:hint="eastAsia" w:ascii="仿宋" w:hAnsi="仿宋" w:eastAsia="仿宋" w:cs="宋体"/>
                <w:b w:val="0"/>
                <w:bCs w:val="0"/>
                <w:kern w:val="0"/>
                <w:sz w:val="22"/>
                <w:szCs w:val="22"/>
                <w:highlight w:val="none"/>
                <w:lang w:eastAsia="zh-CN"/>
              </w:rPr>
              <w:t>评价</w:t>
            </w:r>
            <w:r>
              <w:rPr>
                <w:rFonts w:hint="eastAsia" w:ascii="仿宋" w:hAnsi="仿宋" w:eastAsia="仿宋" w:cs="宋体"/>
                <w:b w:val="0"/>
                <w:bCs w:val="0"/>
                <w:kern w:val="0"/>
                <w:sz w:val="22"/>
                <w:szCs w:val="22"/>
                <w:highlight w:val="none"/>
                <w:lang w:val="en-US" w:eastAsia="zh-CN"/>
              </w:rPr>
              <w:t>隔离点的医务人员、环境清洁、观察人员排泄物的处理等符合相应的标准，用以评价隔离点的质量保障情况</w:t>
            </w:r>
            <w:r>
              <w:rPr>
                <w:rFonts w:hint="eastAsia" w:ascii="仿宋" w:hAnsi="仿宋" w:eastAsia="仿宋" w:cs="宋体"/>
                <w:b w:val="0"/>
                <w:bCs w:val="0"/>
                <w:kern w:val="0"/>
                <w:sz w:val="22"/>
                <w:szCs w:val="22"/>
                <w:highlight w:val="none"/>
                <w:lang w:eastAsia="zh-CN"/>
              </w:rPr>
              <w:t>。</w:t>
            </w:r>
          </w:p>
        </w:tc>
        <w:tc>
          <w:tcPr>
            <w:tcW w:w="679" w:type="dxa"/>
            <w:vAlign w:val="center"/>
          </w:tcPr>
          <w:p>
            <w:pPr>
              <w:widowControl/>
              <w:jc w:val="center"/>
              <w:rPr>
                <w:rFonts w:hint="eastAsia" w:ascii="仿宋" w:hAnsi="仿宋" w:eastAsia="仿宋" w:cs="宋体"/>
                <w:b w:val="0"/>
                <w:bCs w:val="0"/>
                <w:color w:val="000000"/>
                <w:kern w:val="0"/>
                <w:sz w:val="22"/>
                <w:szCs w:val="22"/>
                <w:highlight w:val="none"/>
                <w:lang w:eastAsia="zh-CN"/>
              </w:rPr>
            </w:pPr>
            <w:r>
              <w:rPr>
                <w:rFonts w:hint="eastAsia" w:ascii="仿宋" w:hAnsi="仿宋" w:eastAsia="仿宋" w:cs="宋体"/>
                <w:b w:val="0"/>
                <w:bCs w:val="0"/>
                <w:color w:val="000000"/>
                <w:kern w:val="0"/>
                <w:sz w:val="22"/>
                <w:szCs w:val="22"/>
                <w:highlight w:val="none"/>
                <w:lang w:eastAsia="zh-CN"/>
              </w:rPr>
              <w:t>计划标准</w:t>
            </w:r>
          </w:p>
        </w:tc>
        <w:tc>
          <w:tcPr>
            <w:tcW w:w="6134" w:type="dxa"/>
            <w:vAlign w:val="center"/>
          </w:tcPr>
          <w:p>
            <w:pPr>
              <w:widowControl/>
              <w:numPr>
                <w:ilvl w:val="0"/>
                <w:numId w:val="0"/>
              </w:numPr>
              <w:jc w:val="left"/>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1.对于观察人员及时实施集中隔离，指定专人负责，进行医学观察，得0.5分，否则不得分；</w:t>
            </w:r>
          </w:p>
          <w:p>
            <w:pPr>
              <w:widowControl/>
              <w:numPr>
                <w:ilvl w:val="0"/>
                <w:numId w:val="0"/>
              </w:numPr>
              <w:jc w:val="left"/>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2.隔离点相关废弃物的处理及环境清洁符合相关规定，得0.5分；</w:t>
            </w:r>
          </w:p>
          <w:p>
            <w:pPr>
              <w:widowControl/>
              <w:numPr>
                <w:ilvl w:val="0"/>
                <w:numId w:val="0"/>
              </w:numPr>
              <w:jc w:val="left"/>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3.对需要隔离的人员，进行实时管理，满足管理需求在满足隔离天数、体温的要求后，及时解除管控措施，得1分，一项不符合扣0.2分，扣完为止；</w:t>
            </w:r>
          </w:p>
          <w:p>
            <w:pPr>
              <w:widowControl/>
              <w:numPr>
                <w:ilvl w:val="0"/>
                <w:numId w:val="0"/>
              </w:numPr>
              <w:jc w:val="left"/>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4.隔离观察期间，对观察人员的信息记录完整，得1分，否则不得分。</w:t>
            </w:r>
          </w:p>
        </w:tc>
        <w:tc>
          <w:tcPr>
            <w:tcW w:w="664" w:type="dxa"/>
            <w:vAlign w:val="center"/>
          </w:tcPr>
          <w:p>
            <w:pPr>
              <w:widowControl/>
              <w:numPr>
                <w:ilvl w:val="0"/>
                <w:numId w:val="0"/>
              </w:numPr>
              <w:jc w:val="left"/>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trPr>
        <w:tc>
          <w:tcPr>
            <w:tcW w:w="1099" w:type="dxa"/>
            <w:vMerge w:val="continue"/>
          </w:tcPr>
          <w:p>
            <w:pPr>
              <w:jc w:val="center"/>
              <w:rPr>
                <w:rFonts w:hint="default" w:ascii="仿宋" w:hAnsi="仿宋" w:eastAsia="仿宋" w:cs="仿宋"/>
                <w:kern w:val="2"/>
                <w:sz w:val="22"/>
                <w:szCs w:val="22"/>
                <w:highlight w:val="none"/>
                <w:vertAlign w:val="baseline"/>
                <w:lang w:val="en-US" w:eastAsia="zh-CN" w:bidi="ar-SA"/>
              </w:rPr>
            </w:pPr>
          </w:p>
        </w:tc>
        <w:tc>
          <w:tcPr>
            <w:tcW w:w="1140" w:type="dxa"/>
            <w:vMerge w:val="restart"/>
            <w:vAlign w:val="center"/>
          </w:tcPr>
          <w:p>
            <w:pPr>
              <w:jc w:val="center"/>
              <w:rPr>
                <w:rFonts w:hint="default"/>
                <w:highlight w:val="none"/>
                <w:lang w:val="en-US" w:eastAsia="zh-CN"/>
              </w:rPr>
            </w:pPr>
            <w:r>
              <w:rPr>
                <w:rFonts w:hint="eastAsia" w:ascii="仿宋" w:hAnsi="仿宋" w:eastAsia="仿宋" w:cs="宋体"/>
                <w:b w:val="0"/>
                <w:bCs w:val="0"/>
                <w:kern w:val="0"/>
                <w:sz w:val="22"/>
                <w:szCs w:val="22"/>
                <w:highlight w:val="none"/>
                <w:lang w:val="en-US" w:eastAsia="zh-CN"/>
              </w:rPr>
              <w:t>紧急接种人员及接种点设施配套情况（5分）</w:t>
            </w:r>
          </w:p>
        </w:tc>
        <w:tc>
          <w:tcPr>
            <w:tcW w:w="1130" w:type="dxa"/>
            <w:vAlign w:val="center"/>
          </w:tcPr>
          <w:p>
            <w:pPr>
              <w:widowControl/>
              <w:jc w:val="center"/>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紧急接种人员疫苗接种完成情况</w:t>
            </w:r>
          </w:p>
        </w:tc>
        <w:tc>
          <w:tcPr>
            <w:tcW w:w="670" w:type="dxa"/>
            <w:vAlign w:val="center"/>
          </w:tcPr>
          <w:p>
            <w:pPr>
              <w:widowControl/>
              <w:jc w:val="center"/>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2</w:t>
            </w:r>
          </w:p>
        </w:tc>
        <w:tc>
          <w:tcPr>
            <w:tcW w:w="2658" w:type="dxa"/>
            <w:vAlign w:val="center"/>
          </w:tcPr>
          <w:p>
            <w:pPr>
              <w:widowControl/>
              <w:jc w:val="left"/>
              <w:rPr>
                <w:rFonts w:hint="default" w:ascii="仿宋" w:hAnsi="仿宋" w:eastAsia="仿宋" w:cs="宋体"/>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根据相关规定，紧急接种人员是否全部接种完毕，评价紧急接种人员的接种完成情况。</w:t>
            </w:r>
          </w:p>
        </w:tc>
        <w:tc>
          <w:tcPr>
            <w:tcW w:w="679" w:type="dxa"/>
            <w:vAlign w:val="center"/>
          </w:tcPr>
          <w:p>
            <w:pPr>
              <w:widowControl/>
              <w:jc w:val="center"/>
              <w:rPr>
                <w:rFonts w:hint="default" w:ascii="仿宋" w:hAnsi="仿宋" w:eastAsia="仿宋" w:cs="宋体"/>
                <w:b w:val="0"/>
                <w:bCs w:val="0"/>
                <w:color w:val="000000"/>
                <w:kern w:val="0"/>
                <w:sz w:val="22"/>
                <w:szCs w:val="22"/>
                <w:highlight w:val="none"/>
                <w:lang w:val="en-US" w:eastAsia="zh-CN"/>
              </w:rPr>
            </w:pPr>
            <w:r>
              <w:rPr>
                <w:rFonts w:hint="eastAsia" w:ascii="仿宋" w:hAnsi="仿宋" w:eastAsia="仿宋" w:cs="宋体"/>
                <w:b w:val="0"/>
                <w:bCs w:val="0"/>
                <w:color w:val="000000"/>
                <w:kern w:val="0"/>
                <w:sz w:val="22"/>
                <w:szCs w:val="22"/>
                <w:highlight w:val="none"/>
                <w:lang w:val="en-US" w:eastAsia="zh-CN"/>
              </w:rPr>
              <w:t>计划标准</w:t>
            </w:r>
          </w:p>
        </w:tc>
        <w:tc>
          <w:tcPr>
            <w:tcW w:w="6134" w:type="dxa"/>
            <w:vAlign w:val="center"/>
          </w:tcPr>
          <w:p>
            <w:pPr>
              <w:widowControl/>
              <w:numPr>
                <w:ilvl w:val="0"/>
                <w:numId w:val="0"/>
              </w:numPr>
              <w:jc w:val="left"/>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1.根据《关于做好新冠灭活疫苗紧急接种工作的通知》要求，紧急接种人员完整、全面，能够提供相关人员签字名单，得1分，否则减半得分；</w:t>
            </w:r>
          </w:p>
          <w:p>
            <w:pPr>
              <w:pStyle w:val="2"/>
              <w:rPr>
                <w:rFonts w:hint="default"/>
                <w:highlight w:val="none"/>
                <w:lang w:val="en-US" w:eastAsia="zh-CN"/>
              </w:rPr>
            </w:pPr>
            <w:r>
              <w:rPr>
                <w:rFonts w:hint="eastAsia" w:ascii="仿宋" w:hAnsi="仿宋" w:eastAsia="仿宋" w:cs="仿宋"/>
                <w:b w:val="0"/>
                <w:bCs w:val="0"/>
                <w:kern w:val="0"/>
                <w:sz w:val="22"/>
                <w:szCs w:val="22"/>
                <w:highlight w:val="none"/>
                <w:lang w:val="en-US" w:eastAsia="zh-CN" w:bidi="ar-SA"/>
              </w:rPr>
              <w:t>2.按照运城分解的疫苗款项及时缴纳，得1分，否则不得分。</w:t>
            </w:r>
          </w:p>
        </w:tc>
        <w:tc>
          <w:tcPr>
            <w:tcW w:w="664" w:type="dxa"/>
            <w:vAlign w:val="center"/>
          </w:tcPr>
          <w:p>
            <w:pPr>
              <w:spacing w:line="0" w:lineRule="atLeast"/>
              <w:jc w:val="center"/>
              <w:rPr>
                <w:rFonts w:hint="default"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4" w:hRule="atLeast"/>
        </w:trPr>
        <w:tc>
          <w:tcPr>
            <w:tcW w:w="1099" w:type="dxa"/>
            <w:vMerge w:val="continue"/>
          </w:tcPr>
          <w:p>
            <w:pPr>
              <w:rPr>
                <w:rFonts w:hint="eastAsia" w:ascii="仿宋" w:hAnsi="仿宋" w:eastAsia="仿宋" w:cs="仿宋"/>
                <w:sz w:val="22"/>
                <w:szCs w:val="22"/>
                <w:highlight w:val="none"/>
                <w:vertAlign w:val="baseline"/>
              </w:rPr>
            </w:pPr>
          </w:p>
        </w:tc>
        <w:tc>
          <w:tcPr>
            <w:tcW w:w="1140" w:type="dxa"/>
            <w:vMerge w:val="continue"/>
            <w:vAlign w:val="center"/>
          </w:tcPr>
          <w:p>
            <w:pPr>
              <w:jc w:val="center"/>
              <w:rPr>
                <w:rFonts w:hint="eastAsia" w:ascii="仿宋" w:hAnsi="仿宋" w:eastAsia="仿宋" w:cs="仿宋"/>
                <w:sz w:val="22"/>
                <w:szCs w:val="22"/>
                <w:highlight w:val="none"/>
                <w:vertAlign w:val="baseline"/>
                <w:lang w:val="en-US" w:eastAsia="zh-CN"/>
              </w:rPr>
            </w:pPr>
          </w:p>
        </w:tc>
        <w:tc>
          <w:tcPr>
            <w:tcW w:w="1130" w:type="dxa"/>
            <w:vAlign w:val="center"/>
          </w:tcPr>
          <w:p>
            <w:pPr>
              <w:widowControl/>
              <w:jc w:val="center"/>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接种点设施配套情况</w:t>
            </w:r>
          </w:p>
        </w:tc>
        <w:tc>
          <w:tcPr>
            <w:tcW w:w="670" w:type="dxa"/>
            <w:vAlign w:val="center"/>
          </w:tcPr>
          <w:p>
            <w:pPr>
              <w:widowControl/>
              <w:jc w:val="center"/>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3</w:t>
            </w:r>
          </w:p>
        </w:tc>
        <w:tc>
          <w:tcPr>
            <w:tcW w:w="2658" w:type="dxa"/>
            <w:vAlign w:val="center"/>
          </w:tcPr>
          <w:p>
            <w:pPr>
              <w:widowControl/>
              <w:jc w:val="left"/>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完成接种点接种疫苗时所需的配套设施，保障疫苗接种的顺利进行。</w:t>
            </w:r>
          </w:p>
        </w:tc>
        <w:tc>
          <w:tcPr>
            <w:tcW w:w="679" w:type="dxa"/>
            <w:vAlign w:val="center"/>
          </w:tcPr>
          <w:p>
            <w:pPr>
              <w:widowControl/>
              <w:jc w:val="center"/>
              <w:rPr>
                <w:rFonts w:hint="default" w:ascii="仿宋" w:hAnsi="仿宋" w:eastAsia="仿宋" w:cs="宋体"/>
                <w:b w:val="0"/>
                <w:bCs w:val="0"/>
                <w:color w:val="000000"/>
                <w:kern w:val="0"/>
                <w:sz w:val="22"/>
                <w:szCs w:val="22"/>
                <w:highlight w:val="none"/>
                <w:lang w:val="en-US" w:eastAsia="zh-CN"/>
              </w:rPr>
            </w:pPr>
            <w:r>
              <w:rPr>
                <w:rFonts w:hint="eastAsia" w:ascii="仿宋" w:hAnsi="仿宋" w:eastAsia="仿宋" w:cs="宋体"/>
                <w:b w:val="0"/>
                <w:bCs w:val="0"/>
                <w:color w:val="000000"/>
                <w:kern w:val="0"/>
                <w:sz w:val="22"/>
                <w:szCs w:val="22"/>
                <w:highlight w:val="none"/>
                <w:lang w:val="en-US" w:eastAsia="zh-CN"/>
              </w:rPr>
              <w:t>计划标准</w:t>
            </w:r>
          </w:p>
        </w:tc>
        <w:tc>
          <w:tcPr>
            <w:tcW w:w="6134" w:type="dxa"/>
            <w:vAlign w:val="center"/>
          </w:tcPr>
          <w:p>
            <w:pPr>
              <w:widowControl/>
              <w:numPr>
                <w:ilvl w:val="0"/>
                <w:numId w:val="0"/>
              </w:numPr>
              <w:jc w:val="left"/>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1.完成23个疫苗接种点的配套设施，顺利进行疫苗接种工作，得1分，否则每减少一个扣0.2分，扣完为止；</w:t>
            </w:r>
          </w:p>
          <w:p>
            <w:pPr>
              <w:widowControl/>
              <w:numPr>
                <w:ilvl w:val="0"/>
                <w:numId w:val="0"/>
              </w:numPr>
              <w:jc w:val="left"/>
              <w:rPr>
                <w:rFonts w:hint="eastAsia"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2.接种后接种人员信息记录完整、网上可查；接种过程中未出现设备不能使用的现象，得1分，否则每出现一种情况扣0.5分，扣完为止。</w:t>
            </w:r>
          </w:p>
          <w:p>
            <w:pPr>
              <w:pStyle w:val="2"/>
              <w:rPr>
                <w:rFonts w:hint="default"/>
                <w:highlight w:val="none"/>
                <w:lang w:val="en-US" w:eastAsia="zh-CN"/>
              </w:rPr>
            </w:pPr>
            <w:r>
              <w:rPr>
                <w:rFonts w:hint="eastAsia" w:ascii="仿宋" w:hAnsi="仿宋" w:eastAsia="仿宋" w:cs="仿宋"/>
                <w:b w:val="0"/>
                <w:bCs w:val="0"/>
                <w:kern w:val="0"/>
                <w:sz w:val="22"/>
                <w:szCs w:val="22"/>
                <w:highlight w:val="none"/>
                <w:lang w:val="en-US" w:eastAsia="zh-CN"/>
              </w:rPr>
              <w:t>3.疫苗严格按照规定的流程运输，配送过程中未出现影响疫苗使用效力的情况，得1分，否则不得分。</w:t>
            </w:r>
          </w:p>
        </w:tc>
        <w:tc>
          <w:tcPr>
            <w:tcW w:w="664" w:type="dxa"/>
            <w:vAlign w:val="center"/>
          </w:tcPr>
          <w:p>
            <w:pPr>
              <w:spacing w:line="0" w:lineRule="atLeast"/>
              <w:jc w:val="center"/>
              <w:rPr>
                <w:rFonts w:hint="default" w:ascii="仿宋" w:hAnsi="仿宋" w:eastAsia="仿宋" w:cs="仿宋"/>
                <w:color w:val="000000"/>
                <w:kern w:val="0"/>
                <w:sz w:val="22"/>
                <w:szCs w:val="22"/>
                <w:highlight w:val="none"/>
                <w:lang w:val="en-US" w:eastAsia="zh-CN" w:bidi="ar-SA"/>
              </w:rPr>
            </w:pPr>
            <w:r>
              <w:rPr>
                <w:rFonts w:hint="eastAsia" w:ascii="仿宋" w:hAnsi="仿宋" w:eastAsia="仿宋" w:cs="仿宋"/>
                <w:color w:val="000000"/>
                <w:kern w:val="0"/>
                <w:sz w:val="22"/>
                <w:szCs w:val="22"/>
                <w:highlight w:val="none"/>
                <w:lang w:val="en-US" w:eastAsia="zh-CN" w:bidi="ar-SA"/>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atLeast"/>
        </w:trPr>
        <w:tc>
          <w:tcPr>
            <w:tcW w:w="1099" w:type="dxa"/>
            <w:vMerge w:val="restart"/>
            <w:vAlign w:val="center"/>
          </w:tcPr>
          <w:p>
            <w:pPr>
              <w:jc w:val="center"/>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产出</w:t>
            </w:r>
          </w:p>
          <w:p>
            <w:pPr>
              <w:jc w:val="center"/>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（30分）</w:t>
            </w:r>
          </w:p>
        </w:tc>
        <w:tc>
          <w:tcPr>
            <w:tcW w:w="1140" w:type="dxa"/>
            <w:vAlign w:val="center"/>
          </w:tcPr>
          <w:p>
            <w:pPr>
              <w:pStyle w:val="2"/>
              <w:jc w:val="center"/>
              <w:rPr>
                <w:rFonts w:hint="eastAsia" w:ascii="仿宋" w:hAnsi="仿宋" w:eastAsia="仿宋" w:cs="宋体"/>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发热门诊</w:t>
            </w:r>
          </w:p>
          <w:p>
            <w:pPr>
              <w:pStyle w:val="2"/>
              <w:jc w:val="center"/>
              <w:rPr>
                <w:rFonts w:hint="default"/>
                <w:highlight w:val="none"/>
                <w:lang w:val="en-US" w:eastAsia="zh-CN"/>
              </w:rPr>
            </w:pPr>
            <w:r>
              <w:rPr>
                <w:rFonts w:hint="eastAsia" w:ascii="仿宋" w:hAnsi="仿宋" w:eastAsia="仿宋" w:cs="宋体"/>
                <w:b w:val="0"/>
                <w:bCs w:val="0"/>
                <w:kern w:val="0"/>
                <w:sz w:val="22"/>
                <w:szCs w:val="22"/>
                <w:highlight w:val="none"/>
                <w:lang w:val="en-US" w:eastAsia="zh-CN" w:bidi="ar-SA"/>
              </w:rPr>
              <w:t>（1分）</w:t>
            </w:r>
          </w:p>
        </w:tc>
        <w:tc>
          <w:tcPr>
            <w:tcW w:w="1130" w:type="dxa"/>
            <w:vAlign w:val="center"/>
          </w:tcPr>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发热门诊建设及使用情况</w:t>
            </w:r>
          </w:p>
        </w:tc>
        <w:tc>
          <w:tcPr>
            <w:tcW w:w="670" w:type="dxa"/>
            <w:vAlign w:val="center"/>
          </w:tcPr>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1</w:t>
            </w:r>
          </w:p>
        </w:tc>
        <w:tc>
          <w:tcPr>
            <w:tcW w:w="2658" w:type="dxa"/>
            <w:vAlign w:val="center"/>
          </w:tcPr>
          <w:p>
            <w:pPr>
              <w:widowControl/>
              <w:jc w:val="both"/>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完成栲栳卫生院发热门诊的建设，其余相关卫生院购买相关设备提升公共卫生体系，用以评价公共卫生体系的完善情况。</w:t>
            </w:r>
          </w:p>
        </w:tc>
        <w:tc>
          <w:tcPr>
            <w:tcW w:w="679" w:type="dxa"/>
            <w:vAlign w:val="center"/>
          </w:tcPr>
          <w:p>
            <w:pPr>
              <w:widowControl/>
              <w:numPr>
                <w:ilvl w:val="0"/>
                <w:numId w:val="0"/>
              </w:numPr>
              <w:jc w:val="left"/>
              <w:rPr>
                <w:rFonts w:hint="default" w:ascii="仿宋" w:hAnsi="仿宋" w:eastAsia="仿宋" w:cs="仿宋"/>
                <w:b w:val="0"/>
                <w:bCs w:val="0"/>
                <w:kern w:val="0"/>
                <w:sz w:val="22"/>
                <w:szCs w:val="22"/>
                <w:highlight w:val="none"/>
                <w:lang w:val="en-US" w:eastAsia="zh-CN"/>
              </w:rPr>
            </w:pPr>
            <w:r>
              <w:rPr>
                <w:rFonts w:hint="eastAsia" w:ascii="仿宋" w:hAnsi="仿宋" w:eastAsia="仿宋" w:cs="仿宋"/>
                <w:b w:val="0"/>
                <w:bCs w:val="0"/>
                <w:kern w:val="0"/>
                <w:sz w:val="22"/>
                <w:szCs w:val="22"/>
                <w:highlight w:val="none"/>
                <w:lang w:val="en-US" w:eastAsia="zh-CN"/>
              </w:rPr>
              <w:t>计划标准</w:t>
            </w:r>
          </w:p>
        </w:tc>
        <w:tc>
          <w:tcPr>
            <w:tcW w:w="6134" w:type="dxa"/>
            <w:vAlign w:val="center"/>
          </w:tcPr>
          <w:p>
            <w:pPr>
              <w:widowControl/>
              <w:jc w:val="left"/>
              <w:rPr>
                <w:rFonts w:hint="eastAsia"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1.栲栳医院完成145㎡发热门诊建设，得0.5分，否则不得分。</w:t>
            </w:r>
          </w:p>
          <w:p>
            <w:pPr>
              <w:widowControl/>
              <w:jc w:val="left"/>
              <w:rPr>
                <w:rFonts w:hint="eastAsia"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2.发热门诊建设完成并投入使用，未发现任何影响使用的情形，得0.3分。</w:t>
            </w:r>
          </w:p>
          <w:p>
            <w:pPr>
              <w:widowControl/>
              <w:jc w:val="left"/>
              <w:rPr>
                <w:rFonts w:hint="default"/>
                <w:highlight w:val="none"/>
                <w:lang w:val="en-US" w:eastAsia="zh-CN"/>
              </w:rPr>
            </w:pPr>
            <w:r>
              <w:rPr>
                <w:rFonts w:hint="eastAsia" w:ascii="仿宋" w:hAnsi="仿宋" w:eastAsia="仿宋" w:cs="仿宋"/>
                <w:b w:val="0"/>
                <w:bCs w:val="0"/>
                <w:kern w:val="0"/>
                <w:sz w:val="22"/>
                <w:szCs w:val="22"/>
                <w:highlight w:val="none"/>
                <w:lang w:val="en-US" w:eastAsia="zh-CN" w:bidi="ar-SA"/>
              </w:rPr>
              <w:t>3.设备在使用过程中保存完好，未出现影响使用或无法使用的情况，得0.2分，否则不得分；</w:t>
            </w:r>
          </w:p>
        </w:tc>
        <w:tc>
          <w:tcPr>
            <w:tcW w:w="664" w:type="dxa"/>
          </w:tcPr>
          <w:p>
            <w:pPr>
              <w:rPr>
                <w:rFonts w:hint="eastAsia"/>
                <w:highlight w:val="none"/>
              </w:rPr>
            </w:pPr>
          </w:p>
          <w:p>
            <w:pPr>
              <w:pStyle w:val="2"/>
              <w:rPr>
                <w:rFonts w:hint="eastAsia" w:ascii="仿宋" w:hAnsi="仿宋" w:eastAsia="仿宋" w:cs="仿宋"/>
                <w:sz w:val="22"/>
                <w:szCs w:val="22"/>
                <w:highlight w:val="none"/>
                <w:vertAlign w:val="baseline"/>
              </w:rPr>
            </w:pPr>
          </w:p>
          <w:p>
            <w:pPr>
              <w:pStyle w:val="2"/>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3" w:hRule="atLeast"/>
        </w:trPr>
        <w:tc>
          <w:tcPr>
            <w:tcW w:w="1099" w:type="dxa"/>
            <w:vMerge w:val="continue"/>
            <w:vAlign w:val="top"/>
          </w:tcPr>
          <w:p>
            <w:pPr>
              <w:jc w:val="center"/>
              <w:rPr>
                <w:rFonts w:hint="default" w:ascii="仿宋" w:hAnsi="仿宋" w:eastAsia="仿宋" w:cs="仿宋"/>
                <w:kern w:val="2"/>
                <w:sz w:val="22"/>
                <w:szCs w:val="22"/>
                <w:highlight w:val="none"/>
                <w:vertAlign w:val="baseline"/>
                <w:lang w:val="en-US" w:eastAsia="zh-CN" w:bidi="ar-SA"/>
              </w:rPr>
            </w:pPr>
          </w:p>
        </w:tc>
        <w:tc>
          <w:tcPr>
            <w:tcW w:w="1140" w:type="dxa"/>
            <w:vAlign w:val="center"/>
          </w:tcPr>
          <w:p>
            <w:pPr>
              <w:widowControl/>
              <w:jc w:val="center"/>
              <w:rPr>
                <w:rFonts w:hint="eastAsia"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防疫工作</w:t>
            </w:r>
          </w:p>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（2分）</w:t>
            </w:r>
          </w:p>
        </w:tc>
        <w:tc>
          <w:tcPr>
            <w:tcW w:w="1130" w:type="dxa"/>
            <w:vAlign w:val="center"/>
          </w:tcPr>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卡点防控情况</w:t>
            </w:r>
          </w:p>
        </w:tc>
        <w:tc>
          <w:tcPr>
            <w:tcW w:w="670" w:type="dxa"/>
            <w:vAlign w:val="center"/>
          </w:tcPr>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2</w:t>
            </w:r>
          </w:p>
        </w:tc>
        <w:tc>
          <w:tcPr>
            <w:tcW w:w="2658" w:type="dxa"/>
            <w:vAlign w:val="center"/>
          </w:tcPr>
          <w:p>
            <w:pPr>
              <w:widowControl/>
              <w:jc w:val="left"/>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在指定的地点设立卡点，在特定期间对相关的人员进行防控，用以评价卡点防控的情况。</w:t>
            </w:r>
          </w:p>
        </w:tc>
        <w:tc>
          <w:tcPr>
            <w:tcW w:w="679" w:type="dxa"/>
            <w:vAlign w:val="center"/>
          </w:tcPr>
          <w:p>
            <w:pPr>
              <w:widowControl/>
              <w:jc w:val="left"/>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计划标准</w:t>
            </w:r>
          </w:p>
        </w:tc>
        <w:tc>
          <w:tcPr>
            <w:tcW w:w="6134" w:type="dxa"/>
            <w:vAlign w:val="center"/>
          </w:tcPr>
          <w:p>
            <w:pPr>
              <w:pStyle w:val="2"/>
              <w:rPr>
                <w:rFonts w:hint="default"/>
                <w:highlight w:val="none"/>
                <w:lang w:val="en-US" w:eastAsia="zh-CN"/>
              </w:rPr>
            </w:pPr>
            <w:r>
              <w:rPr>
                <w:rFonts w:hint="eastAsia" w:ascii="仿宋" w:hAnsi="仿宋" w:eastAsia="仿宋" w:cs="宋体"/>
                <w:b w:val="0"/>
                <w:bCs w:val="0"/>
                <w:kern w:val="0"/>
                <w:sz w:val="22"/>
                <w:szCs w:val="22"/>
                <w:highlight w:val="none"/>
                <w:lang w:val="en-US" w:eastAsia="zh-CN"/>
              </w:rPr>
              <w:t>对返永人员严格实行“落地核酸+点对点接返+精准赋码+隔离管控”，进入</w:t>
            </w:r>
            <w:r>
              <w:rPr>
                <w:rFonts w:hint="eastAsia" w:ascii="仿宋" w:hAnsi="仿宋" w:eastAsia="仿宋" w:cs="宋体"/>
                <w:b w:val="0"/>
                <w:bCs w:val="0"/>
                <w:kern w:val="0"/>
                <w:sz w:val="22"/>
                <w:szCs w:val="22"/>
                <w:highlight w:val="none"/>
                <w:lang w:val="en-US" w:eastAsia="zh-CN" w:bidi="ar-SA"/>
              </w:rPr>
              <w:t>社区、街道及公共场所实行健康码检查</w:t>
            </w:r>
            <w:r>
              <w:rPr>
                <w:rFonts w:hint="eastAsia" w:ascii="仿宋" w:hAnsi="仿宋" w:eastAsia="仿宋" w:cs="宋体"/>
                <w:b w:val="0"/>
                <w:bCs w:val="0"/>
                <w:kern w:val="0"/>
                <w:sz w:val="22"/>
                <w:szCs w:val="22"/>
                <w:highlight w:val="none"/>
                <w:lang w:val="en-US" w:eastAsia="zh-CN"/>
              </w:rPr>
              <w:t>得2分，否则每发现一次未执行的情况扣0.2分，扣完为止。</w:t>
            </w:r>
          </w:p>
        </w:tc>
        <w:tc>
          <w:tcPr>
            <w:tcW w:w="664" w:type="dxa"/>
            <w:vAlign w:val="top"/>
          </w:tcPr>
          <w:p>
            <w:pPr>
              <w:rPr>
                <w:rFonts w:hint="eastAsia"/>
                <w:highlight w:val="none"/>
                <w:lang w:val="en-US" w:eastAsia="zh-CN"/>
              </w:rPr>
            </w:pPr>
          </w:p>
          <w:p>
            <w:pPr>
              <w:pStyle w:val="2"/>
              <w:rPr>
                <w:rFonts w:hint="eastAsia" w:ascii="仿宋" w:hAnsi="仿宋" w:eastAsia="仿宋" w:cs="仿宋"/>
                <w:kern w:val="2"/>
                <w:sz w:val="22"/>
                <w:szCs w:val="22"/>
                <w:highlight w:val="none"/>
                <w:vertAlign w:val="baseline"/>
                <w:lang w:val="en-US" w:eastAsia="zh-CN" w:bidi="ar-SA"/>
              </w:rPr>
            </w:pPr>
          </w:p>
          <w:p>
            <w:pPr>
              <w:pStyle w:val="2"/>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trPr>
        <w:tc>
          <w:tcPr>
            <w:tcW w:w="1099" w:type="dxa"/>
            <w:vMerge w:val="continue"/>
            <w:vAlign w:val="top"/>
          </w:tcPr>
          <w:p>
            <w:pPr>
              <w:widowControl/>
              <w:jc w:val="left"/>
              <w:rPr>
                <w:rFonts w:hint="eastAsia" w:ascii="仿宋" w:hAnsi="仿宋" w:eastAsia="仿宋" w:cs="仿宋"/>
                <w:b w:val="0"/>
                <w:bCs w:val="0"/>
                <w:kern w:val="0"/>
                <w:sz w:val="22"/>
                <w:szCs w:val="22"/>
                <w:highlight w:val="none"/>
                <w:lang w:val="en-US" w:eastAsia="zh-CN" w:bidi="ar-SA"/>
              </w:rPr>
            </w:pPr>
          </w:p>
        </w:tc>
        <w:tc>
          <w:tcPr>
            <w:tcW w:w="1140" w:type="dxa"/>
            <w:vAlign w:val="center"/>
          </w:tcPr>
          <w:p>
            <w:pPr>
              <w:widowControl/>
              <w:jc w:val="center"/>
              <w:rPr>
                <w:rFonts w:hint="eastAsia"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产出时效</w:t>
            </w:r>
          </w:p>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（2分）</w:t>
            </w:r>
          </w:p>
        </w:tc>
        <w:tc>
          <w:tcPr>
            <w:tcW w:w="1130" w:type="dxa"/>
            <w:vAlign w:val="center"/>
          </w:tcPr>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完成及时情况</w:t>
            </w:r>
          </w:p>
        </w:tc>
        <w:tc>
          <w:tcPr>
            <w:tcW w:w="670" w:type="dxa"/>
            <w:vAlign w:val="center"/>
          </w:tcPr>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2</w:t>
            </w:r>
          </w:p>
        </w:tc>
        <w:tc>
          <w:tcPr>
            <w:tcW w:w="2658" w:type="dxa"/>
            <w:vAlign w:val="center"/>
          </w:tcPr>
          <w:p>
            <w:pPr>
              <w:widowControl/>
              <w:jc w:val="left"/>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核酸检测、疫苗接种等是否按照计划进行，用以评价相关产出的完成及时情况。</w:t>
            </w:r>
          </w:p>
        </w:tc>
        <w:tc>
          <w:tcPr>
            <w:tcW w:w="679" w:type="dxa"/>
            <w:vAlign w:val="center"/>
          </w:tcPr>
          <w:p>
            <w:pPr>
              <w:widowControl/>
              <w:jc w:val="left"/>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计划标准</w:t>
            </w:r>
          </w:p>
        </w:tc>
        <w:tc>
          <w:tcPr>
            <w:tcW w:w="6134" w:type="dxa"/>
            <w:vAlign w:val="center"/>
          </w:tcPr>
          <w:p>
            <w:pPr>
              <w:widowControl/>
              <w:jc w:val="left"/>
              <w:rPr>
                <w:rFonts w:hint="eastAsia"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1.核酸实验室和相关设备按照规定的时间建成并投入使用，得1分，若出现一家未达到时间要求扣1分，扣完为止；</w:t>
            </w:r>
          </w:p>
          <w:p>
            <w:pPr>
              <w:widowControl/>
              <w:jc w:val="left"/>
              <w:rPr>
                <w:rFonts w:hint="default"/>
                <w:highlight w:val="none"/>
                <w:lang w:val="en-US" w:eastAsia="zh-CN"/>
              </w:rPr>
            </w:pPr>
            <w:r>
              <w:rPr>
                <w:rFonts w:hint="eastAsia" w:ascii="仿宋" w:hAnsi="仿宋" w:eastAsia="仿宋" w:cs="仿宋"/>
                <w:b w:val="0"/>
                <w:bCs w:val="0"/>
                <w:kern w:val="0"/>
                <w:sz w:val="22"/>
                <w:szCs w:val="22"/>
                <w:highlight w:val="none"/>
                <w:lang w:val="en-US" w:eastAsia="zh-CN" w:bidi="ar-SA"/>
              </w:rPr>
              <w:t>2.规定的时间内完成疫苗接种点相关设施的配备，具备数据上传、身份证识别等功能，得1分，否则不得分。</w:t>
            </w:r>
          </w:p>
        </w:tc>
        <w:tc>
          <w:tcPr>
            <w:tcW w:w="664" w:type="dxa"/>
            <w:vAlign w:val="top"/>
          </w:tcPr>
          <w:p>
            <w:pPr>
              <w:widowControl/>
              <w:jc w:val="left"/>
              <w:rPr>
                <w:rFonts w:hint="eastAsia"/>
                <w:highlight w:val="none"/>
                <w:lang w:val="en-US" w:eastAsia="zh-CN"/>
              </w:rPr>
            </w:pPr>
          </w:p>
          <w:p>
            <w:pPr>
              <w:pStyle w:val="2"/>
              <w:rPr>
                <w:rFonts w:hint="eastAsia" w:ascii="仿宋" w:hAnsi="仿宋" w:eastAsia="仿宋" w:cs="仿宋"/>
                <w:b w:val="0"/>
                <w:bCs w:val="0"/>
                <w:kern w:val="0"/>
                <w:sz w:val="22"/>
                <w:szCs w:val="22"/>
                <w:highlight w:val="none"/>
                <w:lang w:val="en-US" w:eastAsia="zh-CN" w:bidi="ar-SA"/>
              </w:rPr>
            </w:pPr>
          </w:p>
          <w:p>
            <w:pPr>
              <w:pStyle w:val="2"/>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atLeast"/>
        </w:trPr>
        <w:tc>
          <w:tcPr>
            <w:tcW w:w="1099" w:type="dxa"/>
            <w:vMerge w:val="continue"/>
            <w:vAlign w:val="top"/>
          </w:tcPr>
          <w:p>
            <w:pPr>
              <w:widowControl/>
              <w:jc w:val="left"/>
              <w:rPr>
                <w:rFonts w:hint="eastAsia" w:ascii="仿宋" w:hAnsi="仿宋" w:eastAsia="仿宋" w:cs="仿宋"/>
                <w:b w:val="0"/>
                <w:bCs w:val="0"/>
                <w:kern w:val="0"/>
                <w:sz w:val="22"/>
                <w:szCs w:val="22"/>
                <w:highlight w:val="none"/>
                <w:lang w:val="en-US" w:eastAsia="zh-CN" w:bidi="ar-SA"/>
              </w:rPr>
            </w:pPr>
          </w:p>
        </w:tc>
        <w:tc>
          <w:tcPr>
            <w:tcW w:w="1140" w:type="dxa"/>
            <w:vAlign w:val="center"/>
          </w:tcPr>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产出成本（3分）</w:t>
            </w:r>
          </w:p>
        </w:tc>
        <w:tc>
          <w:tcPr>
            <w:tcW w:w="1130" w:type="dxa"/>
            <w:vAlign w:val="center"/>
          </w:tcPr>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成本节约情况</w:t>
            </w:r>
          </w:p>
        </w:tc>
        <w:tc>
          <w:tcPr>
            <w:tcW w:w="670" w:type="dxa"/>
            <w:vAlign w:val="center"/>
          </w:tcPr>
          <w:p>
            <w:pPr>
              <w:widowControl/>
              <w:jc w:val="center"/>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3</w:t>
            </w:r>
          </w:p>
        </w:tc>
        <w:tc>
          <w:tcPr>
            <w:tcW w:w="2658" w:type="dxa"/>
            <w:vAlign w:val="center"/>
          </w:tcPr>
          <w:p>
            <w:pPr>
              <w:widowControl/>
              <w:jc w:val="left"/>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隔离酒店、全员核酸补助、免费核酸检测补助的成本是否合理、准确，评价三方面的成本节约情况。</w:t>
            </w:r>
          </w:p>
        </w:tc>
        <w:tc>
          <w:tcPr>
            <w:tcW w:w="679" w:type="dxa"/>
            <w:vAlign w:val="center"/>
          </w:tcPr>
          <w:p>
            <w:pPr>
              <w:widowControl/>
              <w:jc w:val="left"/>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计划标准</w:t>
            </w:r>
          </w:p>
        </w:tc>
        <w:tc>
          <w:tcPr>
            <w:tcW w:w="6134" w:type="dxa"/>
            <w:vAlign w:val="center"/>
          </w:tcPr>
          <w:p>
            <w:pPr>
              <w:widowControl/>
              <w:jc w:val="left"/>
              <w:rPr>
                <w:rFonts w:hint="eastAsia"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1.隔离酒店实际入住率达到80%以上，得1分；80%-60%减半得分，60%以下不得分；</w:t>
            </w:r>
          </w:p>
          <w:p>
            <w:pPr>
              <w:widowControl/>
              <w:jc w:val="left"/>
              <w:rPr>
                <w:rFonts w:hint="eastAsia"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2.全员核酸补助成本测算合理，得1分，否则不得分；</w:t>
            </w:r>
          </w:p>
          <w:p>
            <w:pPr>
              <w:widowControl/>
              <w:jc w:val="left"/>
              <w:rPr>
                <w:rFonts w:hint="eastAsia"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3.免费核酸检测人群名单完整，补助测算合理，得1分，否则不得分。</w:t>
            </w:r>
          </w:p>
        </w:tc>
        <w:tc>
          <w:tcPr>
            <w:tcW w:w="664" w:type="dxa"/>
            <w:vAlign w:val="top"/>
          </w:tcPr>
          <w:p>
            <w:pPr>
              <w:pStyle w:val="2"/>
              <w:rPr>
                <w:rFonts w:hint="eastAsia" w:ascii="仿宋" w:hAnsi="仿宋" w:eastAsia="仿宋" w:cs="仿宋"/>
                <w:b w:val="0"/>
                <w:bCs w:val="0"/>
                <w:kern w:val="0"/>
                <w:sz w:val="22"/>
                <w:szCs w:val="22"/>
                <w:highlight w:val="none"/>
                <w:lang w:val="en-US" w:eastAsia="zh-CN" w:bidi="ar-SA"/>
              </w:rPr>
            </w:pPr>
          </w:p>
          <w:p>
            <w:pPr>
              <w:pStyle w:val="2"/>
              <w:rPr>
                <w:rFonts w:hint="eastAsia" w:ascii="仿宋" w:hAnsi="仿宋" w:eastAsia="仿宋" w:cs="仿宋"/>
                <w:b w:val="0"/>
                <w:bCs w:val="0"/>
                <w:kern w:val="0"/>
                <w:sz w:val="22"/>
                <w:szCs w:val="22"/>
                <w:highlight w:val="none"/>
                <w:lang w:val="en-US" w:eastAsia="zh-CN" w:bidi="ar-SA"/>
              </w:rPr>
            </w:pPr>
          </w:p>
          <w:p>
            <w:pPr>
              <w:pStyle w:val="2"/>
              <w:rPr>
                <w:rFonts w:hint="default" w:ascii="仿宋" w:hAnsi="仿宋" w:eastAsia="仿宋" w:cs="仿宋"/>
                <w:b w:val="0"/>
                <w:bCs w:val="0"/>
                <w:kern w:val="0"/>
                <w:sz w:val="22"/>
                <w:szCs w:val="22"/>
                <w:highlight w:val="none"/>
                <w:lang w:val="en-US" w:eastAsia="zh-CN" w:bidi="ar-SA"/>
              </w:rPr>
            </w:pPr>
            <w:r>
              <w:rPr>
                <w:rFonts w:hint="eastAsia" w:ascii="仿宋" w:hAnsi="仿宋" w:eastAsia="仿宋" w:cs="仿宋"/>
                <w:b w:val="0"/>
                <w:bCs w:val="0"/>
                <w:kern w:val="0"/>
                <w:sz w:val="22"/>
                <w:szCs w:val="22"/>
                <w:highlight w:val="none"/>
                <w:lang w:val="en-US" w:eastAsia="zh-CN" w:bidi="ar-SA"/>
              </w:rPr>
              <w:t>1.00</w:t>
            </w:r>
          </w:p>
        </w:tc>
      </w:tr>
    </w:tbl>
    <w:p>
      <w:pPr>
        <w:rPr>
          <w:rFonts w:hint="eastAsia"/>
          <w:highlight w:val="none"/>
          <w:lang w:val="en-US" w:eastAsia="zh-CN"/>
        </w:rPr>
      </w:pPr>
      <w:r>
        <w:rPr>
          <w:rFonts w:hint="eastAsia"/>
          <w:highlight w:val="none"/>
          <w:lang w:val="en-US" w:eastAsia="zh-CN"/>
        </w:rPr>
        <w:br w:type="page"/>
      </w:r>
    </w:p>
    <w:tbl>
      <w:tblPr>
        <w:tblStyle w:val="11"/>
        <w:tblW w:w="14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150"/>
        <w:gridCol w:w="1367"/>
        <w:gridCol w:w="661"/>
        <w:gridCol w:w="2918"/>
        <w:gridCol w:w="721"/>
        <w:gridCol w:w="5534"/>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349" w:type="dxa"/>
            <w:gridSpan w:val="8"/>
            <w:tcBorders>
              <w:top w:val="nil"/>
              <w:left w:val="nil"/>
              <w:bottom w:val="single" w:color="auto" w:sz="4" w:space="0"/>
              <w:right w:val="nil"/>
            </w:tcBorders>
            <w:vAlign w:val="top"/>
          </w:tcPr>
          <w:p>
            <w:pPr>
              <w:jc w:val="center"/>
              <w:rPr>
                <w:rFonts w:hint="eastAsia" w:ascii="仿宋" w:hAnsi="仿宋" w:eastAsia="仿宋" w:cs="仿宋"/>
                <w:b/>
                <w:bCs/>
                <w:kern w:val="0"/>
                <w:sz w:val="24"/>
                <w:szCs w:val="24"/>
                <w:highlight w:val="none"/>
                <w:lang w:eastAsia="zh-CN"/>
              </w:rPr>
            </w:pPr>
            <w:r>
              <w:rPr>
                <w:rFonts w:hint="eastAsia" w:ascii="仿宋" w:hAnsi="仿宋" w:eastAsia="仿宋" w:cs="仿宋"/>
                <w:b/>
                <w:bCs/>
                <w:sz w:val="32"/>
                <w:szCs w:val="32"/>
                <w:highlight w:val="none"/>
                <w:lang w:val="en-US" w:eastAsia="zh-CN"/>
              </w:rPr>
              <w:t>2021年永济市疫情防控资金</w:t>
            </w:r>
            <w:r>
              <w:rPr>
                <w:rFonts w:hint="eastAsia" w:ascii="仿宋" w:hAnsi="仿宋" w:eastAsia="仿宋" w:cs="仿宋"/>
                <w:b/>
                <w:bCs/>
                <w:kern w:val="0"/>
                <w:sz w:val="32"/>
                <w:szCs w:val="32"/>
                <w:highlight w:val="none"/>
                <w:lang w:eastAsia="zh-CN"/>
              </w:rPr>
              <w:t>的</w:t>
            </w:r>
            <w:r>
              <w:rPr>
                <w:rFonts w:hint="eastAsia" w:ascii="仿宋" w:hAnsi="仿宋" w:eastAsia="仿宋" w:cs="仿宋"/>
                <w:b/>
                <w:bCs/>
                <w:kern w:val="0"/>
                <w:sz w:val="32"/>
                <w:szCs w:val="32"/>
                <w:highlight w:val="none"/>
              </w:rPr>
              <w:t>绩效评价指标评分表</w:t>
            </w:r>
            <w:r>
              <w:rPr>
                <w:rFonts w:hint="eastAsia" w:ascii="仿宋" w:hAnsi="仿宋" w:eastAsia="仿宋" w:cs="仿宋"/>
                <w:b/>
                <w:bCs/>
                <w:kern w:val="0"/>
                <w:sz w:val="32"/>
                <w:szCs w:val="32"/>
                <w:highlight w:val="none"/>
                <w:lang w:eastAsia="zh-CN"/>
              </w:rPr>
              <w:t>（</w:t>
            </w:r>
            <w:r>
              <w:rPr>
                <w:rFonts w:hint="eastAsia" w:ascii="仿宋" w:hAnsi="仿宋" w:eastAsia="仿宋" w:cs="仿宋"/>
                <w:b/>
                <w:bCs/>
                <w:kern w:val="0"/>
                <w:sz w:val="32"/>
                <w:szCs w:val="32"/>
                <w:highlight w:val="none"/>
                <w:lang w:val="en-US" w:eastAsia="zh-CN"/>
              </w:rPr>
              <w:t>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59" w:type="dxa"/>
            <w:tcBorders>
              <w:top w:val="single" w:color="auto" w:sz="4" w:space="0"/>
            </w:tcBorders>
            <w:vAlign w:val="center"/>
          </w:tcPr>
          <w:p>
            <w:pPr>
              <w:widowControl/>
              <w:jc w:val="center"/>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一级指标</w:t>
            </w:r>
          </w:p>
        </w:tc>
        <w:tc>
          <w:tcPr>
            <w:tcW w:w="1150" w:type="dxa"/>
            <w:tcBorders>
              <w:top w:val="single" w:color="auto" w:sz="4" w:space="0"/>
            </w:tcBorders>
            <w:vAlign w:val="center"/>
          </w:tcPr>
          <w:p>
            <w:pPr>
              <w:widowControl/>
              <w:jc w:val="center"/>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二级指标</w:t>
            </w:r>
          </w:p>
        </w:tc>
        <w:tc>
          <w:tcPr>
            <w:tcW w:w="1367" w:type="dxa"/>
            <w:tcBorders>
              <w:top w:val="single" w:color="auto" w:sz="4" w:space="0"/>
            </w:tcBorders>
            <w:vAlign w:val="center"/>
          </w:tcPr>
          <w:p>
            <w:pPr>
              <w:widowControl/>
              <w:jc w:val="center"/>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三级指标</w:t>
            </w:r>
          </w:p>
        </w:tc>
        <w:tc>
          <w:tcPr>
            <w:tcW w:w="661" w:type="dxa"/>
            <w:tcBorders>
              <w:top w:val="single" w:color="auto" w:sz="4" w:space="0"/>
            </w:tcBorders>
            <w:vAlign w:val="center"/>
          </w:tcPr>
          <w:p>
            <w:pPr>
              <w:widowControl/>
              <w:jc w:val="center"/>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权重</w:t>
            </w:r>
          </w:p>
        </w:tc>
        <w:tc>
          <w:tcPr>
            <w:tcW w:w="2918" w:type="dxa"/>
            <w:tcBorders>
              <w:top w:val="single" w:color="auto" w:sz="4" w:space="0"/>
            </w:tcBorders>
            <w:vAlign w:val="center"/>
          </w:tcPr>
          <w:p>
            <w:pPr>
              <w:widowControl/>
              <w:jc w:val="center"/>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指标解释</w:t>
            </w:r>
          </w:p>
        </w:tc>
        <w:tc>
          <w:tcPr>
            <w:tcW w:w="721" w:type="dxa"/>
            <w:tcBorders>
              <w:top w:val="single" w:color="auto" w:sz="4" w:space="0"/>
            </w:tcBorders>
            <w:vAlign w:val="center"/>
          </w:tcPr>
          <w:p>
            <w:pPr>
              <w:widowControl/>
              <w:jc w:val="center"/>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评分标准</w:t>
            </w:r>
          </w:p>
        </w:tc>
        <w:tc>
          <w:tcPr>
            <w:tcW w:w="5534" w:type="dxa"/>
            <w:tcBorders>
              <w:top w:val="single" w:color="auto" w:sz="4" w:space="0"/>
            </w:tcBorders>
            <w:vAlign w:val="center"/>
          </w:tcPr>
          <w:p>
            <w:pPr>
              <w:widowControl/>
              <w:jc w:val="center"/>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指标说明</w:t>
            </w:r>
          </w:p>
        </w:tc>
        <w:tc>
          <w:tcPr>
            <w:tcW w:w="839" w:type="dxa"/>
            <w:tcBorders>
              <w:top w:val="single" w:color="auto" w:sz="4" w:space="0"/>
            </w:tcBorders>
            <w:vAlign w:val="center"/>
          </w:tcPr>
          <w:p>
            <w:pPr>
              <w:widowControl/>
              <w:jc w:val="center"/>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1159" w:type="dxa"/>
            <w:vMerge w:val="restart"/>
            <w:vAlign w:val="center"/>
          </w:tcPr>
          <w:p>
            <w:pPr>
              <w:widowControl/>
              <w:jc w:val="center"/>
              <w:rPr>
                <w:rFonts w:hint="eastAsia" w:ascii="仿宋" w:hAnsi="仿宋" w:eastAsia="仿宋" w:cs="宋体"/>
                <w:b w:val="0"/>
                <w:bCs w:val="0"/>
                <w:kern w:val="0"/>
                <w:sz w:val="22"/>
                <w:szCs w:val="22"/>
                <w:highlight w:val="none"/>
                <w:lang w:eastAsia="zh-CN"/>
              </w:rPr>
            </w:pPr>
            <w:r>
              <w:rPr>
                <w:rFonts w:hint="eastAsia" w:ascii="仿宋" w:hAnsi="仿宋" w:eastAsia="仿宋" w:cs="宋体"/>
                <w:b w:val="0"/>
                <w:bCs w:val="0"/>
                <w:kern w:val="0"/>
                <w:sz w:val="22"/>
                <w:szCs w:val="22"/>
                <w:highlight w:val="none"/>
                <w:lang w:eastAsia="zh-CN"/>
              </w:rPr>
              <w:t>效益</w:t>
            </w:r>
          </w:p>
          <w:p>
            <w:pPr>
              <w:widowControl/>
              <w:jc w:val="center"/>
              <w:rPr>
                <w:rFonts w:hint="default" w:ascii="仿宋" w:hAnsi="仿宋" w:eastAsia="仿宋" w:cs="仿宋"/>
                <w:color w:val="000000"/>
                <w:kern w:val="0"/>
                <w:sz w:val="22"/>
                <w:szCs w:val="22"/>
                <w:highlight w:val="none"/>
                <w:lang w:val="en-US" w:eastAsia="zh-CN" w:bidi="ar-SA"/>
              </w:rPr>
            </w:pPr>
            <w:r>
              <w:rPr>
                <w:rFonts w:hint="eastAsia" w:ascii="仿宋" w:hAnsi="仿宋" w:eastAsia="仿宋" w:cs="宋体"/>
                <w:b w:val="0"/>
                <w:bCs w:val="0"/>
                <w:kern w:val="0"/>
                <w:sz w:val="22"/>
                <w:szCs w:val="22"/>
                <w:highlight w:val="none"/>
                <w:lang w:eastAsia="zh-CN"/>
              </w:rPr>
              <w:t>（</w:t>
            </w:r>
            <w:r>
              <w:rPr>
                <w:rFonts w:hint="eastAsia" w:ascii="仿宋" w:hAnsi="仿宋" w:eastAsia="仿宋" w:cs="宋体"/>
                <w:b w:val="0"/>
                <w:bCs w:val="0"/>
                <w:kern w:val="0"/>
                <w:sz w:val="22"/>
                <w:szCs w:val="22"/>
                <w:highlight w:val="none"/>
                <w:lang w:val="en-US" w:eastAsia="zh-CN"/>
              </w:rPr>
              <w:t>30分）</w:t>
            </w:r>
          </w:p>
        </w:tc>
        <w:tc>
          <w:tcPr>
            <w:tcW w:w="1150" w:type="dxa"/>
            <w:vMerge w:val="restart"/>
            <w:vAlign w:val="center"/>
          </w:tcPr>
          <w:p>
            <w:pPr>
              <w:widowControl/>
              <w:jc w:val="center"/>
              <w:rPr>
                <w:rFonts w:hint="eastAsia" w:ascii="仿宋" w:hAnsi="仿宋" w:eastAsia="仿宋" w:cs="宋体"/>
                <w:b w:val="0"/>
                <w:bCs w:val="0"/>
                <w:kern w:val="0"/>
                <w:sz w:val="22"/>
                <w:szCs w:val="22"/>
                <w:highlight w:val="none"/>
                <w:lang w:eastAsia="zh-CN"/>
              </w:rPr>
            </w:pPr>
            <w:r>
              <w:rPr>
                <w:rFonts w:hint="eastAsia" w:ascii="仿宋" w:hAnsi="仿宋" w:eastAsia="仿宋" w:cs="宋体"/>
                <w:b w:val="0"/>
                <w:bCs w:val="0"/>
                <w:kern w:val="0"/>
                <w:sz w:val="22"/>
                <w:szCs w:val="22"/>
                <w:highlight w:val="none"/>
                <w:lang w:eastAsia="zh-CN"/>
              </w:rPr>
              <w:t>社会效益</w:t>
            </w:r>
          </w:p>
          <w:p>
            <w:pPr>
              <w:widowControl/>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宋体"/>
                <w:b w:val="0"/>
                <w:bCs w:val="0"/>
                <w:kern w:val="0"/>
                <w:sz w:val="22"/>
                <w:szCs w:val="22"/>
                <w:highlight w:val="none"/>
                <w:lang w:eastAsia="zh-CN"/>
              </w:rPr>
              <w:t>（</w:t>
            </w:r>
            <w:r>
              <w:rPr>
                <w:rFonts w:hint="eastAsia" w:ascii="仿宋" w:hAnsi="仿宋" w:eastAsia="仿宋" w:cs="宋体"/>
                <w:b w:val="0"/>
                <w:bCs w:val="0"/>
                <w:kern w:val="0"/>
                <w:sz w:val="22"/>
                <w:szCs w:val="22"/>
                <w:highlight w:val="none"/>
                <w:lang w:val="en-US" w:eastAsia="zh-CN"/>
              </w:rPr>
              <w:t>12分）</w:t>
            </w:r>
          </w:p>
        </w:tc>
        <w:tc>
          <w:tcPr>
            <w:tcW w:w="1367" w:type="dxa"/>
            <w:vAlign w:val="center"/>
          </w:tcPr>
          <w:p>
            <w:pPr>
              <w:widowControl/>
              <w:jc w:val="center"/>
              <w:rPr>
                <w:rFonts w:hint="default" w:ascii="仿宋" w:hAnsi="仿宋" w:eastAsia="仿宋" w:cs="仿宋"/>
                <w:color w:val="00000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保障</w:t>
            </w:r>
            <w:r>
              <w:rPr>
                <w:rFonts w:hint="eastAsia" w:ascii="仿宋" w:hAnsi="仿宋" w:eastAsia="仿宋" w:cs="宋体"/>
                <w:b w:val="0"/>
                <w:bCs w:val="0"/>
                <w:kern w:val="0"/>
                <w:sz w:val="22"/>
                <w:szCs w:val="22"/>
                <w:highlight w:val="none"/>
                <w:lang w:eastAsia="zh-CN"/>
              </w:rPr>
              <w:t>人民群众生命安全和身体健康</w:t>
            </w:r>
          </w:p>
        </w:tc>
        <w:tc>
          <w:tcPr>
            <w:tcW w:w="661" w:type="dxa"/>
            <w:vAlign w:val="center"/>
          </w:tcPr>
          <w:p>
            <w:pPr>
              <w:widowControl/>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6</w:t>
            </w:r>
          </w:p>
        </w:tc>
        <w:tc>
          <w:tcPr>
            <w:tcW w:w="2918" w:type="dxa"/>
            <w:vAlign w:val="center"/>
          </w:tcPr>
          <w:p>
            <w:pPr>
              <w:widowControl/>
              <w:jc w:val="left"/>
              <w:rPr>
                <w:rFonts w:hint="eastAsia" w:ascii="仿宋" w:hAnsi="仿宋" w:eastAsia="仿宋" w:cs="仿宋"/>
                <w:color w:val="000000"/>
                <w:kern w:val="0"/>
                <w:sz w:val="22"/>
                <w:szCs w:val="22"/>
                <w:highlight w:val="none"/>
                <w:lang w:val="en-US" w:eastAsia="zh-CN"/>
              </w:rPr>
            </w:pPr>
            <w:r>
              <w:rPr>
                <w:rFonts w:hint="eastAsia" w:ascii="仿宋" w:hAnsi="仿宋" w:eastAsia="仿宋" w:cs="宋体"/>
                <w:b w:val="0"/>
                <w:bCs w:val="0"/>
                <w:kern w:val="0"/>
                <w:sz w:val="22"/>
                <w:szCs w:val="22"/>
                <w:highlight w:val="none"/>
                <w:lang w:eastAsia="zh-CN"/>
              </w:rPr>
              <w:t>通过疫情防控工作，人民群众生命安全是否得到保障。</w:t>
            </w:r>
          </w:p>
        </w:tc>
        <w:tc>
          <w:tcPr>
            <w:tcW w:w="721" w:type="dxa"/>
            <w:vAlign w:val="center"/>
          </w:tcPr>
          <w:p>
            <w:pPr>
              <w:widowControl/>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宋体"/>
                <w:b w:val="0"/>
                <w:bCs w:val="0"/>
                <w:color w:val="000000"/>
                <w:kern w:val="0"/>
                <w:sz w:val="22"/>
                <w:szCs w:val="22"/>
                <w:highlight w:val="none"/>
                <w:lang w:eastAsia="zh-CN"/>
              </w:rPr>
              <w:t>计划标准</w:t>
            </w:r>
          </w:p>
        </w:tc>
        <w:tc>
          <w:tcPr>
            <w:tcW w:w="5534" w:type="dxa"/>
            <w:vAlign w:val="center"/>
          </w:tcPr>
          <w:p>
            <w:pPr>
              <w:widowControl/>
              <w:jc w:val="left"/>
              <w:rPr>
                <w:rFonts w:hint="eastAsia" w:ascii="仿宋" w:hAnsi="仿宋" w:eastAsia="仿宋" w:cs="仿宋"/>
                <w:color w:val="000000"/>
                <w:kern w:val="0"/>
                <w:sz w:val="21"/>
                <w:szCs w:val="21"/>
                <w:highlight w:val="none"/>
                <w:lang w:val="en-US" w:eastAsia="zh-CN"/>
              </w:rPr>
            </w:pPr>
            <w:r>
              <w:rPr>
                <w:rFonts w:hint="eastAsia" w:ascii="仿宋" w:hAnsi="仿宋" w:eastAsia="仿宋" w:cs="宋体"/>
                <w:b w:val="0"/>
                <w:bCs w:val="0"/>
                <w:kern w:val="0"/>
                <w:sz w:val="22"/>
                <w:szCs w:val="22"/>
                <w:highlight w:val="none"/>
                <w:lang w:eastAsia="zh-CN"/>
              </w:rPr>
              <w:t>随着</w:t>
            </w:r>
            <w:r>
              <w:rPr>
                <w:rFonts w:hint="eastAsia" w:ascii="仿宋" w:hAnsi="仿宋" w:eastAsia="仿宋" w:cs="宋体"/>
                <w:b w:val="0"/>
                <w:bCs w:val="0"/>
                <w:kern w:val="0"/>
                <w:sz w:val="22"/>
                <w:szCs w:val="22"/>
                <w:highlight w:val="none"/>
                <w:lang w:val="en-US" w:eastAsia="zh-CN"/>
              </w:rPr>
              <w:t>核酸检测、自愿疫苗接种率的上升，能够及时阻隔和发现阳性患者进行隔离，</w:t>
            </w:r>
            <w:r>
              <w:rPr>
                <w:rFonts w:hint="eastAsia" w:ascii="仿宋" w:hAnsi="仿宋" w:eastAsia="仿宋" w:cs="宋体"/>
                <w:b w:val="0"/>
                <w:bCs w:val="0"/>
                <w:kern w:val="0"/>
                <w:sz w:val="22"/>
                <w:szCs w:val="22"/>
                <w:highlight w:val="none"/>
                <w:lang w:eastAsia="zh-CN"/>
              </w:rPr>
              <w:t>保障了人民群众生命安全和身体健康，得</w:t>
            </w:r>
            <w:r>
              <w:rPr>
                <w:rFonts w:hint="eastAsia" w:ascii="仿宋" w:hAnsi="仿宋" w:eastAsia="仿宋" w:cs="宋体"/>
                <w:b w:val="0"/>
                <w:bCs w:val="0"/>
                <w:kern w:val="0"/>
                <w:sz w:val="22"/>
                <w:szCs w:val="22"/>
                <w:highlight w:val="none"/>
                <w:lang w:val="en-US" w:eastAsia="zh-CN"/>
              </w:rPr>
              <w:t>6分，否则不得分。</w:t>
            </w:r>
          </w:p>
        </w:tc>
        <w:tc>
          <w:tcPr>
            <w:tcW w:w="839" w:type="dxa"/>
            <w:vAlign w:val="center"/>
          </w:tcPr>
          <w:p>
            <w:pPr>
              <w:widowControl/>
              <w:jc w:val="center"/>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159" w:type="dxa"/>
            <w:vMerge w:val="continue"/>
            <w:vAlign w:val="center"/>
          </w:tcPr>
          <w:p>
            <w:pPr>
              <w:widowControl/>
              <w:jc w:val="center"/>
              <w:rPr>
                <w:rFonts w:hint="eastAsia" w:ascii="仿宋" w:hAnsi="仿宋" w:eastAsia="仿宋" w:cs="宋体"/>
                <w:b w:val="0"/>
                <w:bCs w:val="0"/>
                <w:kern w:val="0"/>
                <w:sz w:val="22"/>
                <w:szCs w:val="22"/>
                <w:highlight w:val="none"/>
                <w:lang w:eastAsia="zh-CN"/>
              </w:rPr>
            </w:pPr>
          </w:p>
        </w:tc>
        <w:tc>
          <w:tcPr>
            <w:tcW w:w="1150" w:type="dxa"/>
            <w:vMerge w:val="continue"/>
            <w:vAlign w:val="center"/>
          </w:tcPr>
          <w:p>
            <w:pPr>
              <w:widowControl/>
              <w:jc w:val="center"/>
              <w:rPr>
                <w:rFonts w:hint="eastAsia" w:ascii="仿宋" w:hAnsi="仿宋" w:eastAsia="仿宋" w:cs="宋体"/>
                <w:b w:val="0"/>
                <w:bCs w:val="0"/>
                <w:kern w:val="0"/>
                <w:sz w:val="22"/>
                <w:szCs w:val="22"/>
                <w:highlight w:val="none"/>
                <w:lang w:eastAsia="zh-CN"/>
              </w:rPr>
            </w:pPr>
          </w:p>
        </w:tc>
        <w:tc>
          <w:tcPr>
            <w:tcW w:w="1367" w:type="dxa"/>
            <w:vAlign w:val="center"/>
          </w:tcPr>
          <w:p>
            <w:pPr>
              <w:widowControl/>
              <w:jc w:val="center"/>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促进人民群众合理流动</w:t>
            </w:r>
          </w:p>
        </w:tc>
        <w:tc>
          <w:tcPr>
            <w:tcW w:w="661" w:type="dxa"/>
            <w:vAlign w:val="center"/>
          </w:tcPr>
          <w:p>
            <w:pPr>
              <w:widowControl/>
              <w:jc w:val="center"/>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6</w:t>
            </w:r>
          </w:p>
        </w:tc>
        <w:tc>
          <w:tcPr>
            <w:tcW w:w="2918" w:type="dxa"/>
            <w:vAlign w:val="center"/>
          </w:tcPr>
          <w:p>
            <w:pPr>
              <w:widowControl/>
              <w:jc w:val="left"/>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eastAsia="zh-CN"/>
              </w:rPr>
              <w:t>通过疫情防控，</w:t>
            </w:r>
            <w:r>
              <w:rPr>
                <w:rFonts w:hint="eastAsia" w:ascii="仿宋" w:hAnsi="仿宋" w:eastAsia="仿宋" w:cs="宋体"/>
                <w:b w:val="0"/>
                <w:bCs w:val="0"/>
                <w:kern w:val="0"/>
                <w:sz w:val="22"/>
                <w:szCs w:val="22"/>
                <w:highlight w:val="none"/>
                <w:lang w:val="en-US" w:eastAsia="zh-CN"/>
              </w:rPr>
              <w:t>相关人员的合理流动</w:t>
            </w:r>
            <w:r>
              <w:rPr>
                <w:rFonts w:hint="eastAsia" w:ascii="仿宋" w:hAnsi="仿宋" w:eastAsia="仿宋" w:cs="宋体"/>
                <w:b w:val="0"/>
                <w:bCs w:val="0"/>
                <w:kern w:val="0"/>
                <w:sz w:val="22"/>
                <w:szCs w:val="22"/>
                <w:highlight w:val="none"/>
                <w:lang w:eastAsia="zh-CN"/>
              </w:rPr>
              <w:t>是否得到保障。</w:t>
            </w:r>
          </w:p>
        </w:tc>
        <w:tc>
          <w:tcPr>
            <w:tcW w:w="721" w:type="dxa"/>
            <w:vAlign w:val="center"/>
          </w:tcPr>
          <w:p>
            <w:pPr>
              <w:widowControl/>
              <w:jc w:val="center"/>
              <w:rPr>
                <w:rFonts w:hint="default" w:ascii="仿宋" w:hAnsi="仿宋" w:eastAsia="仿宋" w:cs="宋体"/>
                <w:b w:val="0"/>
                <w:bCs w:val="0"/>
                <w:color w:val="000000"/>
                <w:kern w:val="0"/>
                <w:sz w:val="22"/>
                <w:szCs w:val="22"/>
                <w:highlight w:val="none"/>
                <w:lang w:val="en-US" w:eastAsia="zh-CN"/>
              </w:rPr>
            </w:pPr>
            <w:r>
              <w:rPr>
                <w:rFonts w:hint="eastAsia" w:ascii="仿宋" w:hAnsi="仿宋" w:eastAsia="仿宋" w:cs="宋体"/>
                <w:b w:val="0"/>
                <w:bCs w:val="0"/>
                <w:color w:val="000000"/>
                <w:kern w:val="0"/>
                <w:sz w:val="22"/>
                <w:szCs w:val="22"/>
                <w:highlight w:val="none"/>
                <w:lang w:eastAsia="zh-CN"/>
              </w:rPr>
              <w:t>计划标准</w:t>
            </w:r>
          </w:p>
        </w:tc>
        <w:tc>
          <w:tcPr>
            <w:tcW w:w="5534" w:type="dxa"/>
            <w:vAlign w:val="center"/>
          </w:tcPr>
          <w:p>
            <w:pPr>
              <w:widowControl/>
              <w:jc w:val="left"/>
              <w:rPr>
                <w:rFonts w:hint="eastAsia" w:ascii="仿宋" w:hAnsi="仿宋" w:eastAsia="仿宋" w:cs="宋体"/>
                <w:b w:val="0"/>
                <w:bCs w:val="0"/>
                <w:kern w:val="0"/>
                <w:sz w:val="22"/>
                <w:szCs w:val="22"/>
                <w:highlight w:val="none"/>
                <w:lang w:eastAsia="zh-CN"/>
              </w:rPr>
            </w:pPr>
            <w:r>
              <w:rPr>
                <w:rFonts w:hint="eastAsia" w:ascii="仿宋" w:hAnsi="仿宋" w:eastAsia="仿宋" w:cs="宋体"/>
                <w:b w:val="0"/>
                <w:bCs w:val="0"/>
                <w:kern w:val="0"/>
                <w:sz w:val="22"/>
                <w:szCs w:val="22"/>
                <w:highlight w:val="none"/>
                <w:lang w:val="en-US" w:eastAsia="zh-CN"/>
              </w:rPr>
              <w:t>核酸检测、自愿疫苗接种率及检测结果获取速度的上升，</w:t>
            </w:r>
            <w:r>
              <w:rPr>
                <w:rFonts w:hint="eastAsia" w:ascii="仿宋" w:hAnsi="仿宋" w:eastAsia="仿宋" w:cs="宋体"/>
                <w:b w:val="0"/>
                <w:bCs w:val="0"/>
                <w:kern w:val="0"/>
                <w:sz w:val="22"/>
                <w:szCs w:val="22"/>
                <w:highlight w:val="none"/>
                <w:lang w:eastAsia="zh-CN"/>
              </w:rPr>
              <w:t>保障了人民群众</w:t>
            </w:r>
            <w:r>
              <w:rPr>
                <w:rFonts w:hint="eastAsia" w:ascii="仿宋" w:hAnsi="仿宋" w:eastAsia="仿宋" w:cs="宋体"/>
                <w:b w:val="0"/>
                <w:bCs w:val="0"/>
                <w:kern w:val="0"/>
                <w:sz w:val="22"/>
                <w:szCs w:val="22"/>
                <w:highlight w:val="none"/>
                <w:lang w:val="en-US" w:eastAsia="zh-CN"/>
              </w:rPr>
              <w:t>的合理流动</w:t>
            </w:r>
            <w:r>
              <w:rPr>
                <w:rFonts w:hint="eastAsia" w:ascii="仿宋" w:hAnsi="仿宋" w:eastAsia="仿宋" w:cs="宋体"/>
                <w:b w:val="0"/>
                <w:bCs w:val="0"/>
                <w:kern w:val="0"/>
                <w:sz w:val="22"/>
                <w:szCs w:val="22"/>
                <w:highlight w:val="none"/>
                <w:lang w:eastAsia="zh-CN"/>
              </w:rPr>
              <w:t>，得</w:t>
            </w:r>
            <w:r>
              <w:rPr>
                <w:rFonts w:hint="eastAsia" w:ascii="仿宋" w:hAnsi="仿宋" w:eastAsia="仿宋" w:cs="宋体"/>
                <w:b w:val="0"/>
                <w:bCs w:val="0"/>
                <w:kern w:val="0"/>
                <w:sz w:val="22"/>
                <w:szCs w:val="22"/>
                <w:highlight w:val="none"/>
                <w:lang w:val="en-US" w:eastAsia="zh-CN"/>
              </w:rPr>
              <w:t>6分，否则不得分。</w:t>
            </w:r>
          </w:p>
        </w:tc>
        <w:tc>
          <w:tcPr>
            <w:tcW w:w="839" w:type="dxa"/>
            <w:vAlign w:val="center"/>
          </w:tcPr>
          <w:p>
            <w:pPr>
              <w:widowControl/>
              <w:jc w:val="center"/>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159" w:type="dxa"/>
            <w:vMerge w:val="continue"/>
            <w:vAlign w:val="center"/>
          </w:tcPr>
          <w:p>
            <w:pPr>
              <w:widowControl/>
              <w:jc w:val="both"/>
              <w:rPr>
                <w:rFonts w:hint="eastAsia" w:ascii="仿宋" w:hAnsi="仿宋" w:eastAsia="仿宋" w:cs="仿宋"/>
                <w:kern w:val="2"/>
                <w:sz w:val="22"/>
                <w:szCs w:val="22"/>
                <w:highlight w:val="none"/>
                <w:vertAlign w:val="baseline"/>
                <w:lang w:val="en-US" w:eastAsia="zh-CN" w:bidi="ar-SA"/>
              </w:rPr>
            </w:pPr>
          </w:p>
        </w:tc>
        <w:tc>
          <w:tcPr>
            <w:tcW w:w="1150" w:type="dxa"/>
            <w:vMerge w:val="restart"/>
            <w:vAlign w:val="center"/>
          </w:tcPr>
          <w:p>
            <w:pPr>
              <w:widowControl/>
              <w:jc w:val="center"/>
              <w:rPr>
                <w:rFonts w:hint="eastAsia" w:ascii="仿宋" w:hAnsi="仿宋" w:eastAsia="仿宋" w:cs="宋体"/>
                <w:b w:val="0"/>
                <w:bCs w:val="0"/>
                <w:kern w:val="0"/>
                <w:sz w:val="22"/>
                <w:szCs w:val="22"/>
                <w:highlight w:val="none"/>
                <w:lang w:eastAsia="zh-CN"/>
              </w:rPr>
            </w:pPr>
            <w:r>
              <w:rPr>
                <w:rFonts w:hint="eastAsia" w:ascii="仿宋" w:hAnsi="仿宋" w:eastAsia="仿宋" w:cs="宋体"/>
                <w:b w:val="0"/>
                <w:bCs w:val="0"/>
                <w:kern w:val="0"/>
                <w:sz w:val="22"/>
                <w:szCs w:val="22"/>
                <w:highlight w:val="none"/>
                <w:lang w:eastAsia="zh-CN"/>
              </w:rPr>
              <w:t>可持续影响</w:t>
            </w:r>
          </w:p>
          <w:p>
            <w:pPr>
              <w:widowControl/>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宋体"/>
                <w:b w:val="0"/>
                <w:bCs w:val="0"/>
                <w:kern w:val="0"/>
                <w:sz w:val="22"/>
                <w:szCs w:val="22"/>
                <w:highlight w:val="none"/>
                <w:lang w:eastAsia="zh-CN"/>
              </w:rPr>
              <w:t>（</w:t>
            </w:r>
            <w:r>
              <w:rPr>
                <w:rFonts w:hint="eastAsia" w:ascii="仿宋" w:hAnsi="仿宋" w:eastAsia="仿宋" w:cs="宋体"/>
                <w:b w:val="0"/>
                <w:bCs w:val="0"/>
                <w:kern w:val="0"/>
                <w:sz w:val="22"/>
                <w:szCs w:val="22"/>
                <w:highlight w:val="none"/>
                <w:lang w:val="en-US" w:eastAsia="zh-CN"/>
              </w:rPr>
              <w:t>12分）</w:t>
            </w:r>
          </w:p>
        </w:tc>
        <w:tc>
          <w:tcPr>
            <w:tcW w:w="1367" w:type="dxa"/>
            <w:vAlign w:val="center"/>
          </w:tcPr>
          <w:p>
            <w:pPr>
              <w:widowControl/>
              <w:jc w:val="center"/>
              <w:rPr>
                <w:rFonts w:hint="default" w:ascii="仿宋" w:hAnsi="仿宋" w:eastAsia="仿宋" w:cs="仿宋"/>
                <w:color w:val="00000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bidi="ar-SA"/>
              </w:rPr>
              <w:t>提升重大疫情防控及应急管理能力</w:t>
            </w:r>
          </w:p>
        </w:tc>
        <w:tc>
          <w:tcPr>
            <w:tcW w:w="661" w:type="dxa"/>
            <w:vAlign w:val="center"/>
          </w:tcPr>
          <w:p>
            <w:pPr>
              <w:widowControl/>
              <w:jc w:val="center"/>
              <w:rPr>
                <w:rFonts w:hint="default"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4</w:t>
            </w:r>
          </w:p>
        </w:tc>
        <w:tc>
          <w:tcPr>
            <w:tcW w:w="2918" w:type="dxa"/>
            <w:vAlign w:val="center"/>
          </w:tcPr>
          <w:p>
            <w:pPr>
              <w:widowControl/>
              <w:jc w:val="left"/>
              <w:rPr>
                <w:rFonts w:hint="eastAsia" w:ascii="仿宋" w:hAnsi="仿宋" w:eastAsia="仿宋" w:cs="仿宋"/>
                <w:color w:val="000000"/>
                <w:kern w:val="0"/>
                <w:sz w:val="22"/>
                <w:szCs w:val="22"/>
                <w:highlight w:val="none"/>
                <w:lang w:val="en-US" w:eastAsia="zh-CN"/>
              </w:rPr>
            </w:pPr>
            <w:r>
              <w:rPr>
                <w:rFonts w:hint="eastAsia" w:ascii="仿宋" w:hAnsi="仿宋" w:eastAsia="仿宋" w:cs="宋体"/>
                <w:b w:val="0"/>
                <w:bCs w:val="0"/>
                <w:kern w:val="0"/>
                <w:sz w:val="22"/>
                <w:szCs w:val="22"/>
                <w:highlight w:val="none"/>
                <w:lang w:eastAsia="zh-CN"/>
              </w:rPr>
              <w:t>评价防控</w:t>
            </w:r>
            <w:r>
              <w:rPr>
                <w:rFonts w:hint="eastAsia" w:ascii="仿宋" w:hAnsi="仿宋" w:eastAsia="仿宋" w:cs="宋体"/>
                <w:b w:val="0"/>
                <w:bCs w:val="0"/>
                <w:kern w:val="0"/>
                <w:sz w:val="22"/>
                <w:szCs w:val="22"/>
                <w:highlight w:val="none"/>
                <w:lang w:val="en-US" w:eastAsia="zh-CN"/>
              </w:rPr>
              <w:t>工作</w:t>
            </w:r>
            <w:r>
              <w:rPr>
                <w:rFonts w:hint="eastAsia" w:ascii="仿宋" w:hAnsi="仿宋" w:eastAsia="仿宋" w:cs="宋体"/>
                <w:b w:val="0"/>
                <w:bCs w:val="0"/>
                <w:kern w:val="0"/>
                <w:sz w:val="22"/>
                <w:szCs w:val="22"/>
                <w:highlight w:val="none"/>
                <w:lang w:eastAsia="zh-CN"/>
              </w:rPr>
              <w:t>对提升重大疫情防控</w:t>
            </w:r>
            <w:r>
              <w:rPr>
                <w:rFonts w:hint="eastAsia" w:ascii="仿宋" w:hAnsi="仿宋" w:eastAsia="仿宋" w:cs="宋体"/>
                <w:b w:val="0"/>
                <w:bCs w:val="0"/>
                <w:kern w:val="0"/>
                <w:sz w:val="22"/>
                <w:szCs w:val="22"/>
                <w:highlight w:val="none"/>
                <w:lang w:val="en-US" w:eastAsia="zh-CN"/>
              </w:rPr>
              <w:t>及应急管理</w:t>
            </w:r>
            <w:r>
              <w:rPr>
                <w:rFonts w:hint="eastAsia" w:ascii="仿宋" w:hAnsi="仿宋" w:eastAsia="仿宋" w:cs="宋体"/>
                <w:b w:val="0"/>
                <w:bCs w:val="0"/>
                <w:kern w:val="0"/>
                <w:sz w:val="22"/>
                <w:szCs w:val="22"/>
                <w:highlight w:val="none"/>
                <w:lang w:eastAsia="zh-CN"/>
              </w:rPr>
              <w:t>能力的可持续影响。</w:t>
            </w:r>
          </w:p>
        </w:tc>
        <w:tc>
          <w:tcPr>
            <w:tcW w:w="721" w:type="dxa"/>
            <w:vAlign w:val="center"/>
          </w:tcPr>
          <w:p>
            <w:pPr>
              <w:widowControl/>
              <w:numPr>
                <w:ilvl w:val="0"/>
                <w:numId w:val="0"/>
              </w:numPr>
              <w:ind w:leftChars="0"/>
              <w:jc w:val="center"/>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计划标准</w:t>
            </w:r>
          </w:p>
        </w:tc>
        <w:tc>
          <w:tcPr>
            <w:tcW w:w="5534" w:type="dxa"/>
            <w:vAlign w:val="center"/>
          </w:tcPr>
          <w:p>
            <w:pPr>
              <w:widowControl/>
              <w:jc w:val="left"/>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通过疫情防控工作，建立了集中统一高效的领导指挥体系、联防联控及群防群控工作机制，提升了应急管理能力，得4分，否则不得分。</w:t>
            </w:r>
          </w:p>
        </w:tc>
        <w:tc>
          <w:tcPr>
            <w:tcW w:w="839" w:type="dxa"/>
            <w:vAlign w:val="center"/>
          </w:tcPr>
          <w:p>
            <w:pPr>
              <w:widowControl/>
              <w:jc w:val="center"/>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1159" w:type="dxa"/>
            <w:vMerge w:val="continue"/>
            <w:vAlign w:val="center"/>
          </w:tcPr>
          <w:p>
            <w:pPr>
              <w:widowControl/>
              <w:jc w:val="both"/>
              <w:rPr>
                <w:rFonts w:hint="eastAsia" w:ascii="仿宋" w:hAnsi="仿宋" w:eastAsia="仿宋" w:cs="仿宋"/>
                <w:kern w:val="2"/>
                <w:sz w:val="22"/>
                <w:szCs w:val="22"/>
                <w:highlight w:val="none"/>
                <w:vertAlign w:val="baseline"/>
                <w:lang w:val="en-US" w:eastAsia="zh-CN" w:bidi="ar-SA"/>
              </w:rPr>
            </w:pPr>
          </w:p>
        </w:tc>
        <w:tc>
          <w:tcPr>
            <w:tcW w:w="1150" w:type="dxa"/>
            <w:vMerge w:val="continue"/>
            <w:vAlign w:val="center"/>
          </w:tcPr>
          <w:p>
            <w:pPr>
              <w:widowControl/>
              <w:jc w:val="center"/>
              <w:rPr>
                <w:rFonts w:hint="eastAsia" w:ascii="仿宋" w:hAnsi="仿宋" w:eastAsia="仿宋" w:cs="宋体"/>
                <w:b w:val="0"/>
                <w:bCs w:val="0"/>
                <w:kern w:val="0"/>
                <w:sz w:val="22"/>
                <w:szCs w:val="22"/>
                <w:highlight w:val="none"/>
                <w:lang w:eastAsia="zh-CN"/>
              </w:rPr>
            </w:pPr>
          </w:p>
        </w:tc>
        <w:tc>
          <w:tcPr>
            <w:tcW w:w="1367" w:type="dxa"/>
            <w:vAlign w:val="center"/>
          </w:tcPr>
          <w:p>
            <w:pPr>
              <w:widowControl/>
              <w:jc w:val="center"/>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健全公共卫生体系</w:t>
            </w:r>
          </w:p>
        </w:tc>
        <w:tc>
          <w:tcPr>
            <w:tcW w:w="661" w:type="dxa"/>
            <w:vAlign w:val="center"/>
          </w:tcPr>
          <w:p>
            <w:pPr>
              <w:widowControl/>
              <w:jc w:val="center"/>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4</w:t>
            </w:r>
          </w:p>
        </w:tc>
        <w:tc>
          <w:tcPr>
            <w:tcW w:w="2918" w:type="dxa"/>
            <w:vAlign w:val="center"/>
          </w:tcPr>
          <w:p>
            <w:pPr>
              <w:widowControl/>
              <w:jc w:val="left"/>
              <w:rPr>
                <w:rFonts w:hint="default"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医疗机构的完善是否健全了公共卫生体系，用以评价公共卫生体系的健全情况。</w:t>
            </w:r>
          </w:p>
        </w:tc>
        <w:tc>
          <w:tcPr>
            <w:tcW w:w="721" w:type="dxa"/>
            <w:vAlign w:val="center"/>
          </w:tcPr>
          <w:p>
            <w:pPr>
              <w:widowControl/>
              <w:jc w:val="center"/>
              <w:rPr>
                <w:rFonts w:hint="default" w:ascii="仿宋" w:hAnsi="仿宋" w:eastAsia="仿宋" w:cs="宋体"/>
                <w:b w:val="0"/>
                <w:bCs w:val="0"/>
                <w:color w:val="000000"/>
                <w:kern w:val="0"/>
                <w:sz w:val="22"/>
                <w:szCs w:val="22"/>
                <w:highlight w:val="none"/>
                <w:lang w:val="en-US" w:eastAsia="zh-CN"/>
              </w:rPr>
            </w:pPr>
            <w:r>
              <w:rPr>
                <w:rFonts w:hint="eastAsia" w:ascii="仿宋" w:hAnsi="仿宋" w:eastAsia="仿宋" w:cs="宋体"/>
                <w:b w:val="0"/>
                <w:bCs w:val="0"/>
                <w:color w:val="000000"/>
                <w:kern w:val="0"/>
                <w:sz w:val="22"/>
                <w:szCs w:val="22"/>
                <w:highlight w:val="none"/>
                <w:lang w:val="en-US" w:eastAsia="zh-CN"/>
              </w:rPr>
              <w:t>计划标准</w:t>
            </w:r>
          </w:p>
        </w:tc>
        <w:tc>
          <w:tcPr>
            <w:tcW w:w="5534" w:type="dxa"/>
            <w:vAlign w:val="center"/>
          </w:tcPr>
          <w:p>
            <w:pPr>
              <w:widowControl/>
              <w:jc w:val="left"/>
              <w:rPr>
                <w:rFonts w:hint="eastAsia" w:ascii="仿宋" w:hAnsi="仿宋" w:eastAsia="仿宋" w:cs="宋体"/>
                <w:b w:val="0"/>
                <w:bCs w:val="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通过疫情防控工作，加强了公共卫生队伍建设，健全了公共卫生服务体系，提升了重大疫情防控能力，得4分，否则不得分。</w:t>
            </w:r>
          </w:p>
        </w:tc>
        <w:tc>
          <w:tcPr>
            <w:tcW w:w="839" w:type="dxa"/>
            <w:vAlign w:val="center"/>
          </w:tcPr>
          <w:p>
            <w:pPr>
              <w:widowControl/>
              <w:jc w:val="center"/>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159" w:type="dxa"/>
            <w:vMerge w:val="continue"/>
            <w:vAlign w:val="center"/>
          </w:tcPr>
          <w:p>
            <w:pPr>
              <w:widowControl/>
              <w:jc w:val="both"/>
              <w:rPr>
                <w:rFonts w:hint="eastAsia" w:ascii="仿宋" w:hAnsi="仿宋" w:eastAsia="仿宋" w:cs="仿宋"/>
                <w:kern w:val="2"/>
                <w:sz w:val="22"/>
                <w:szCs w:val="22"/>
                <w:highlight w:val="none"/>
                <w:vertAlign w:val="baseline"/>
                <w:lang w:val="en-US" w:eastAsia="zh-CN" w:bidi="ar-SA"/>
              </w:rPr>
            </w:pPr>
          </w:p>
        </w:tc>
        <w:tc>
          <w:tcPr>
            <w:tcW w:w="1150" w:type="dxa"/>
            <w:vMerge w:val="continue"/>
            <w:vAlign w:val="center"/>
          </w:tcPr>
          <w:p>
            <w:pPr>
              <w:widowControl/>
              <w:jc w:val="center"/>
              <w:rPr>
                <w:rFonts w:hint="eastAsia" w:ascii="仿宋" w:hAnsi="仿宋" w:eastAsia="仿宋" w:cs="仿宋"/>
                <w:color w:val="000000"/>
                <w:kern w:val="0"/>
                <w:sz w:val="22"/>
                <w:szCs w:val="22"/>
                <w:highlight w:val="none"/>
                <w:lang w:val="en-US" w:eastAsia="zh-CN" w:bidi="ar-SA"/>
              </w:rPr>
            </w:pPr>
          </w:p>
        </w:tc>
        <w:tc>
          <w:tcPr>
            <w:tcW w:w="1367" w:type="dxa"/>
            <w:vAlign w:val="center"/>
          </w:tcPr>
          <w:p>
            <w:pPr>
              <w:widowControl/>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宋体"/>
                <w:b w:val="0"/>
                <w:bCs w:val="0"/>
                <w:kern w:val="0"/>
                <w:sz w:val="22"/>
                <w:szCs w:val="22"/>
                <w:highlight w:val="none"/>
                <w:lang w:val="en-US" w:eastAsia="zh-CN"/>
              </w:rPr>
              <w:t>持续开展爱国卫生运动</w:t>
            </w:r>
          </w:p>
        </w:tc>
        <w:tc>
          <w:tcPr>
            <w:tcW w:w="661" w:type="dxa"/>
            <w:vAlign w:val="center"/>
          </w:tcPr>
          <w:p>
            <w:pPr>
              <w:widowControl/>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宋体"/>
                <w:b w:val="0"/>
                <w:bCs w:val="0"/>
                <w:kern w:val="0"/>
                <w:sz w:val="22"/>
                <w:szCs w:val="22"/>
                <w:highlight w:val="none"/>
                <w:lang w:val="en-US" w:eastAsia="zh-CN"/>
              </w:rPr>
              <w:t>4</w:t>
            </w:r>
          </w:p>
        </w:tc>
        <w:tc>
          <w:tcPr>
            <w:tcW w:w="2918" w:type="dxa"/>
            <w:vAlign w:val="center"/>
          </w:tcPr>
          <w:p>
            <w:pPr>
              <w:widowControl/>
              <w:jc w:val="left"/>
              <w:rPr>
                <w:rFonts w:hint="eastAsia" w:ascii="仿宋" w:hAnsi="仿宋" w:eastAsia="仿宋" w:cs="仿宋"/>
                <w:color w:val="000000"/>
                <w:kern w:val="0"/>
                <w:sz w:val="22"/>
                <w:szCs w:val="22"/>
                <w:highlight w:val="none"/>
                <w:lang w:val="en-US" w:eastAsia="zh-CN" w:bidi="ar-SA"/>
              </w:rPr>
            </w:pPr>
            <w:r>
              <w:rPr>
                <w:rFonts w:hint="eastAsia" w:ascii="仿宋" w:hAnsi="仿宋" w:eastAsia="仿宋" w:cs="宋体"/>
                <w:b w:val="0"/>
                <w:bCs w:val="0"/>
                <w:kern w:val="0"/>
                <w:sz w:val="22"/>
                <w:szCs w:val="22"/>
                <w:highlight w:val="none"/>
                <w:lang w:val="en-US" w:eastAsia="zh-CN"/>
              </w:rPr>
              <w:t>评价防控工作对创新发展爱国卫生运动的可持续影响。</w:t>
            </w:r>
          </w:p>
        </w:tc>
        <w:tc>
          <w:tcPr>
            <w:tcW w:w="721" w:type="dxa"/>
            <w:vAlign w:val="center"/>
          </w:tcPr>
          <w:p>
            <w:pPr>
              <w:widowControl/>
              <w:jc w:val="center"/>
              <w:rPr>
                <w:rFonts w:hint="eastAsia" w:ascii="仿宋" w:hAnsi="仿宋" w:eastAsia="仿宋" w:cs="仿宋"/>
                <w:color w:val="000000"/>
                <w:kern w:val="0"/>
                <w:sz w:val="22"/>
                <w:szCs w:val="22"/>
                <w:highlight w:val="none"/>
                <w:lang w:val="en-US" w:eastAsia="zh-CN" w:bidi="ar-SA"/>
              </w:rPr>
            </w:pPr>
            <w:r>
              <w:rPr>
                <w:rFonts w:hint="eastAsia" w:ascii="仿宋" w:hAnsi="仿宋" w:eastAsia="仿宋" w:cs="宋体"/>
                <w:b w:val="0"/>
                <w:bCs w:val="0"/>
                <w:color w:val="000000"/>
                <w:kern w:val="0"/>
                <w:sz w:val="22"/>
                <w:szCs w:val="22"/>
                <w:highlight w:val="none"/>
                <w:lang w:val="en-US" w:eastAsia="zh-CN"/>
              </w:rPr>
              <w:t>计划标准</w:t>
            </w:r>
          </w:p>
        </w:tc>
        <w:tc>
          <w:tcPr>
            <w:tcW w:w="5534" w:type="dxa"/>
            <w:vAlign w:val="center"/>
          </w:tcPr>
          <w:p>
            <w:pPr>
              <w:widowControl/>
              <w:numPr>
                <w:ilvl w:val="0"/>
                <w:numId w:val="0"/>
              </w:numPr>
              <w:ind w:left="0" w:leftChars="0" w:firstLine="0" w:firstLineChars="0"/>
              <w:jc w:val="left"/>
              <w:rPr>
                <w:rFonts w:hint="eastAsia" w:ascii="仿宋" w:hAnsi="仿宋" w:eastAsia="仿宋" w:cs="仿宋"/>
                <w:color w:val="000000"/>
                <w:kern w:val="0"/>
                <w:sz w:val="22"/>
                <w:szCs w:val="22"/>
                <w:highlight w:val="none"/>
                <w:lang w:val="en-US" w:eastAsia="zh-CN" w:bidi="ar-SA"/>
              </w:rPr>
            </w:pPr>
            <w:r>
              <w:rPr>
                <w:rFonts w:hint="eastAsia" w:ascii="仿宋" w:hAnsi="仿宋" w:eastAsia="仿宋" w:cs="宋体"/>
                <w:b w:val="0"/>
                <w:bCs w:val="0"/>
                <w:kern w:val="0"/>
                <w:sz w:val="22"/>
                <w:szCs w:val="22"/>
                <w:highlight w:val="none"/>
                <w:lang w:val="en-US" w:eastAsia="zh-CN"/>
              </w:rPr>
              <w:t>推动永济市民进行疫苗接种，宣传疫苗接种的优势，提升疫苗接种率，加强防控新冠疫情常态化，得4分，否则不得分。</w:t>
            </w:r>
          </w:p>
        </w:tc>
        <w:tc>
          <w:tcPr>
            <w:tcW w:w="839" w:type="dxa"/>
            <w:vAlign w:val="center"/>
          </w:tcPr>
          <w:p>
            <w:pPr>
              <w:widowControl/>
              <w:jc w:val="center"/>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1159" w:type="dxa"/>
            <w:vMerge w:val="continue"/>
            <w:vAlign w:val="center"/>
          </w:tcPr>
          <w:p>
            <w:pPr>
              <w:widowControl/>
              <w:jc w:val="both"/>
              <w:rPr>
                <w:rFonts w:hint="eastAsia" w:ascii="仿宋" w:hAnsi="仿宋" w:eastAsia="仿宋" w:cs="仿宋"/>
                <w:kern w:val="2"/>
                <w:sz w:val="22"/>
                <w:szCs w:val="22"/>
                <w:highlight w:val="none"/>
                <w:vertAlign w:val="baseline"/>
                <w:lang w:val="en-US" w:eastAsia="zh-CN" w:bidi="ar-SA"/>
              </w:rPr>
            </w:pPr>
          </w:p>
        </w:tc>
        <w:tc>
          <w:tcPr>
            <w:tcW w:w="1150" w:type="dxa"/>
            <w:vAlign w:val="center"/>
          </w:tcPr>
          <w:p>
            <w:pPr>
              <w:widowControl/>
              <w:jc w:val="center"/>
              <w:rPr>
                <w:rFonts w:hint="eastAsia" w:ascii="仿宋" w:hAnsi="仿宋" w:eastAsia="仿宋" w:cs="宋体"/>
                <w:b w:val="0"/>
                <w:bCs w:val="0"/>
                <w:kern w:val="0"/>
                <w:sz w:val="22"/>
                <w:szCs w:val="22"/>
                <w:highlight w:val="none"/>
                <w:lang w:eastAsia="zh-CN"/>
              </w:rPr>
            </w:pPr>
            <w:r>
              <w:rPr>
                <w:rFonts w:hint="eastAsia" w:ascii="仿宋" w:hAnsi="仿宋" w:eastAsia="仿宋" w:cs="宋体"/>
                <w:b w:val="0"/>
                <w:bCs w:val="0"/>
                <w:kern w:val="0"/>
                <w:sz w:val="22"/>
                <w:szCs w:val="22"/>
                <w:highlight w:val="none"/>
                <w:lang w:eastAsia="zh-CN"/>
              </w:rPr>
              <w:t>满意度评价</w:t>
            </w:r>
          </w:p>
          <w:p>
            <w:pPr>
              <w:widowControl/>
              <w:jc w:val="center"/>
              <w:rPr>
                <w:rFonts w:hint="eastAsia" w:ascii="仿宋" w:hAnsi="仿宋" w:eastAsia="仿宋" w:cs="宋体"/>
                <w:b w:val="0"/>
                <w:bCs w:val="0"/>
                <w:kern w:val="0"/>
                <w:sz w:val="22"/>
                <w:szCs w:val="22"/>
                <w:highlight w:val="none"/>
                <w:lang w:eastAsia="zh-CN"/>
              </w:rPr>
            </w:pPr>
            <w:r>
              <w:rPr>
                <w:rFonts w:hint="eastAsia" w:ascii="仿宋" w:hAnsi="仿宋" w:eastAsia="仿宋" w:cs="宋体"/>
                <w:b w:val="0"/>
                <w:bCs w:val="0"/>
                <w:kern w:val="0"/>
                <w:sz w:val="22"/>
                <w:szCs w:val="22"/>
                <w:highlight w:val="none"/>
                <w:lang w:eastAsia="zh-CN"/>
              </w:rPr>
              <w:t>（</w:t>
            </w:r>
            <w:r>
              <w:rPr>
                <w:rFonts w:hint="eastAsia" w:ascii="仿宋" w:hAnsi="仿宋" w:eastAsia="仿宋" w:cs="宋体"/>
                <w:b w:val="0"/>
                <w:bCs w:val="0"/>
                <w:kern w:val="0"/>
                <w:sz w:val="22"/>
                <w:szCs w:val="22"/>
                <w:highlight w:val="none"/>
                <w:lang w:val="en-US" w:eastAsia="zh-CN"/>
              </w:rPr>
              <w:t>6分）</w:t>
            </w:r>
          </w:p>
        </w:tc>
        <w:tc>
          <w:tcPr>
            <w:tcW w:w="1367" w:type="dxa"/>
            <w:vAlign w:val="center"/>
          </w:tcPr>
          <w:p>
            <w:pPr>
              <w:widowControl/>
              <w:jc w:val="center"/>
              <w:rPr>
                <w:rFonts w:hint="eastAsia" w:ascii="仿宋" w:hAnsi="仿宋" w:eastAsia="仿宋" w:cs="宋体"/>
                <w:b w:val="0"/>
                <w:bCs w:val="0"/>
                <w:kern w:val="0"/>
                <w:sz w:val="22"/>
                <w:szCs w:val="22"/>
                <w:highlight w:val="none"/>
                <w:lang w:eastAsia="zh-CN"/>
              </w:rPr>
            </w:pPr>
            <w:r>
              <w:rPr>
                <w:rFonts w:hint="eastAsia" w:ascii="仿宋" w:hAnsi="仿宋" w:eastAsia="仿宋" w:cs="宋体"/>
                <w:b w:val="0"/>
                <w:bCs w:val="0"/>
                <w:kern w:val="0"/>
                <w:sz w:val="22"/>
                <w:szCs w:val="22"/>
                <w:highlight w:val="none"/>
                <w:lang w:eastAsia="zh-CN"/>
              </w:rPr>
              <w:t>社会公众满意度</w:t>
            </w:r>
          </w:p>
        </w:tc>
        <w:tc>
          <w:tcPr>
            <w:tcW w:w="661" w:type="dxa"/>
            <w:vAlign w:val="center"/>
          </w:tcPr>
          <w:p>
            <w:pPr>
              <w:widowControl/>
              <w:jc w:val="center"/>
              <w:rPr>
                <w:rFonts w:hint="eastAsia"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6</w:t>
            </w:r>
          </w:p>
        </w:tc>
        <w:tc>
          <w:tcPr>
            <w:tcW w:w="2918" w:type="dxa"/>
            <w:vAlign w:val="center"/>
          </w:tcPr>
          <w:p>
            <w:pPr>
              <w:widowControl/>
              <w:jc w:val="left"/>
              <w:rPr>
                <w:rFonts w:hint="eastAsia" w:ascii="仿宋" w:hAnsi="仿宋" w:eastAsia="仿宋" w:cs="宋体"/>
                <w:b w:val="0"/>
                <w:bCs w:val="0"/>
                <w:kern w:val="0"/>
                <w:sz w:val="22"/>
                <w:szCs w:val="22"/>
                <w:highlight w:val="none"/>
                <w:lang w:eastAsia="zh-CN"/>
              </w:rPr>
            </w:pPr>
            <w:r>
              <w:rPr>
                <w:rFonts w:hint="eastAsia" w:ascii="仿宋" w:hAnsi="仿宋" w:eastAsia="仿宋" w:cs="宋体"/>
                <w:b w:val="0"/>
                <w:bCs w:val="0"/>
                <w:kern w:val="0"/>
                <w:sz w:val="22"/>
                <w:szCs w:val="22"/>
                <w:highlight w:val="none"/>
                <w:lang w:eastAsia="zh-CN"/>
              </w:rPr>
              <w:t>通过问卷调查，评价社会公众的满意度。</w:t>
            </w:r>
          </w:p>
        </w:tc>
        <w:tc>
          <w:tcPr>
            <w:tcW w:w="721" w:type="dxa"/>
            <w:vAlign w:val="center"/>
          </w:tcPr>
          <w:p>
            <w:pPr>
              <w:widowControl/>
              <w:jc w:val="center"/>
              <w:rPr>
                <w:rFonts w:hint="eastAsia" w:ascii="仿宋" w:hAnsi="仿宋" w:eastAsia="仿宋" w:cs="宋体"/>
                <w:b w:val="0"/>
                <w:bCs w:val="0"/>
                <w:color w:val="000000"/>
                <w:kern w:val="0"/>
                <w:sz w:val="22"/>
                <w:szCs w:val="22"/>
                <w:highlight w:val="none"/>
                <w:lang w:eastAsia="zh-CN"/>
              </w:rPr>
            </w:pPr>
            <w:r>
              <w:rPr>
                <w:rFonts w:hint="eastAsia" w:ascii="仿宋" w:hAnsi="仿宋" w:eastAsia="仿宋" w:cs="宋体"/>
                <w:b w:val="0"/>
                <w:bCs w:val="0"/>
                <w:color w:val="000000"/>
                <w:kern w:val="0"/>
                <w:sz w:val="22"/>
                <w:szCs w:val="22"/>
                <w:highlight w:val="none"/>
                <w:lang w:eastAsia="zh-CN"/>
              </w:rPr>
              <w:t>计划标准</w:t>
            </w:r>
          </w:p>
        </w:tc>
        <w:tc>
          <w:tcPr>
            <w:tcW w:w="5534" w:type="dxa"/>
            <w:vAlign w:val="center"/>
          </w:tcPr>
          <w:p>
            <w:pPr>
              <w:widowControl/>
              <w:jc w:val="left"/>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主要评价社会公众对项目整体的满意度，满意度平均分达95分及以上的，得6分，低于60分，得0分，满意度在60-95区间，按比例计算得0-5分。</w:t>
            </w:r>
          </w:p>
        </w:tc>
        <w:tc>
          <w:tcPr>
            <w:tcW w:w="839" w:type="dxa"/>
            <w:vAlign w:val="center"/>
          </w:tcPr>
          <w:p>
            <w:pPr>
              <w:widowControl/>
              <w:jc w:val="center"/>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676" w:type="dxa"/>
            <w:gridSpan w:val="3"/>
            <w:vAlign w:val="center"/>
          </w:tcPr>
          <w:p>
            <w:pPr>
              <w:widowControl/>
              <w:jc w:val="center"/>
              <w:rPr>
                <w:rFonts w:hint="eastAsia" w:ascii="仿宋" w:hAnsi="仿宋" w:eastAsia="仿宋" w:cs="宋体"/>
                <w:b w:val="0"/>
                <w:bCs w:val="0"/>
                <w:kern w:val="0"/>
                <w:sz w:val="22"/>
                <w:szCs w:val="22"/>
                <w:highlight w:val="none"/>
                <w:lang w:eastAsia="zh-CN"/>
              </w:rPr>
            </w:pPr>
          </w:p>
        </w:tc>
        <w:tc>
          <w:tcPr>
            <w:tcW w:w="661" w:type="dxa"/>
            <w:vAlign w:val="center"/>
          </w:tcPr>
          <w:p>
            <w:pPr>
              <w:widowControl/>
              <w:jc w:val="center"/>
              <w:rPr>
                <w:rFonts w:hint="default" w:ascii="仿宋" w:hAnsi="仿宋" w:eastAsia="仿宋" w:cs="仿宋"/>
                <w:color w:val="000000"/>
                <w:kern w:val="0"/>
                <w:sz w:val="22"/>
                <w:szCs w:val="22"/>
                <w:highlight w:val="none"/>
                <w:lang w:val="en-US" w:eastAsia="zh-CN"/>
              </w:rPr>
            </w:pPr>
            <w:r>
              <w:rPr>
                <w:rFonts w:hint="eastAsia" w:ascii="仿宋" w:hAnsi="仿宋" w:eastAsia="仿宋" w:cs="仿宋"/>
                <w:color w:val="000000"/>
                <w:kern w:val="0"/>
                <w:sz w:val="22"/>
                <w:szCs w:val="22"/>
                <w:highlight w:val="none"/>
                <w:lang w:val="en-US" w:eastAsia="zh-CN"/>
              </w:rPr>
              <w:t>100</w:t>
            </w:r>
          </w:p>
        </w:tc>
        <w:tc>
          <w:tcPr>
            <w:tcW w:w="2918" w:type="dxa"/>
            <w:vAlign w:val="center"/>
          </w:tcPr>
          <w:p>
            <w:pPr>
              <w:widowControl/>
              <w:jc w:val="left"/>
              <w:rPr>
                <w:rFonts w:hint="eastAsia" w:ascii="仿宋" w:hAnsi="仿宋" w:eastAsia="仿宋" w:cs="宋体"/>
                <w:b w:val="0"/>
                <w:bCs w:val="0"/>
                <w:kern w:val="0"/>
                <w:sz w:val="22"/>
                <w:szCs w:val="22"/>
                <w:highlight w:val="none"/>
                <w:lang w:eastAsia="zh-CN"/>
              </w:rPr>
            </w:pPr>
          </w:p>
        </w:tc>
        <w:tc>
          <w:tcPr>
            <w:tcW w:w="721" w:type="dxa"/>
            <w:vAlign w:val="center"/>
          </w:tcPr>
          <w:p>
            <w:pPr>
              <w:widowControl/>
              <w:jc w:val="center"/>
              <w:rPr>
                <w:rFonts w:hint="eastAsia" w:ascii="仿宋" w:hAnsi="仿宋" w:eastAsia="仿宋" w:cs="宋体"/>
                <w:b w:val="0"/>
                <w:bCs w:val="0"/>
                <w:color w:val="000000"/>
                <w:kern w:val="0"/>
                <w:sz w:val="22"/>
                <w:szCs w:val="22"/>
                <w:highlight w:val="none"/>
                <w:lang w:eastAsia="zh-CN"/>
              </w:rPr>
            </w:pPr>
          </w:p>
        </w:tc>
        <w:tc>
          <w:tcPr>
            <w:tcW w:w="5534" w:type="dxa"/>
            <w:vAlign w:val="center"/>
          </w:tcPr>
          <w:p>
            <w:pPr>
              <w:widowControl/>
              <w:jc w:val="left"/>
              <w:rPr>
                <w:rFonts w:hint="eastAsia" w:ascii="仿宋" w:hAnsi="仿宋" w:eastAsia="仿宋" w:cs="仿宋"/>
                <w:i w:val="0"/>
                <w:color w:val="000000"/>
                <w:kern w:val="0"/>
                <w:sz w:val="22"/>
                <w:szCs w:val="22"/>
                <w:highlight w:val="none"/>
                <w:u w:val="none"/>
                <w:lang w:val="en-US" w:eastAsia="zh-CN" w:bidi="ar"/>
              </w:rPr>
            </w:pPr>
          </w:p>
        </w:tc>
        <w:tc>
          <w:tcPr>
            <w:tcW w:w="839" w:type="dxa"/>
            <w:vAlign w:val="center"/>
          </w:tcPr>
          <w:p>
            <w:pPr>
              <w:widowControl/>
              <w:jc w:val="center"/>
              <w:rPr>
                <w:rFonts w:hint="default" w:ascii="仿宋" w:hAnsi="仿宋" w:eastAsia="仿宋" w:cs="仿宋"/>
                <w:kern w:val="2"/>
                <w:sz w:val="22"/>
                <w:szCs w:val="22"/>
                <w:highlight w:val="none"/>
                <w:vertAlign w:val="baseline"/>
                <w:lang w:val="en-US" w:eastAsia="zh-CN" w:bidi="ar-SA"/>
              </w:rPr>
            </w:pPr>
            <w:r>
              <w:rPr>
                <w:rFonts w:hint="eastAsia" w:ascii="仿宋" w:hAnsi="仿宋" w:eastAsia="仿宋" w:cs="仿宋"/>
                <w:kern w:val="2"/>
                <w:sz w:val="22"/>
                <w:szCs w:val="22"/>
                <w:highlight w:val="none"/>
                <w:vertAlign w:val="baseline"/>
                <w:lang w:val="en-US" w:eastAsia="zh-CN" w:bidi="ar-SA"/>
              </w:rPr>
              <w:t>82.15</w:t>
            </w:r>
          </w:p>
        </w:tc>
      </w:tr>
    </w:tbl>
    <w:p>
      <w:pPr>
        <w:rPr>
          <w:rFonts w:hint="eastAsia"/>
          <w:highlight w:val="none"/>
          <w:lang w:val="en-US" w:eastAsia="zh-CN"/>
        </w:rPr>
      </w:pPr>
      <w:r>
        <w:rPr>
          <w:rFonts w:hint="eastAsia"/>
          <w:highlight w:val="none"/>
          <w:lang w:val="en-US" w:eastAsia="zh-CN"/>
        </w:rPr>
        <w:br w:type="page"/>
      </w:r>
    </w:p>
    <w:p>
      <w:pPr>
        <w:pStyle w:val="2"/>
        <w:rPr>
          <w:rFonts w:hint="eastAsia"/>
          <w:highlight w:val="none"/>
          <w:lang w:val="en-US" w:eastAsia="zh-CN"/>
        </w:rPr>
        <w:sectPr>
          <w:headerReference r:id="rId8" w:type="default"/>
          <w:footerReference r:id="rId9" w:type="default"/>
          <w:pgSz w:w="16838" w:h="11906" w:orient="landscape"/>
          <w:pgMar w:top="992" w:right="1440" w:bottom="1417" w:left="1440" w:header="851" w:footer="992" w:gutter="0"/>
          <w:pgBorders>
            <w:top w:val="none" w:sz="0" w:space="0"/>
            <w:left w:val="none" w:sz="0" w:space="0"/>
            <w:bottom w:val="none" w:sz="0" w:space="0"/>
            <w:right w:val="none" w:sz="0" w:space="0"/>
          </w:pgBorders>
          <w:pgNumType w:fmt="decimal" w:start="40"/>
          <w:cols w:space="425" w:num="1"/>
          <w:docGrid w:type="lines" w:linePitch="312" w:charSpace="0"/>
        </w:sectPr>
      </w:pPr>
    </w:p>
    <w:p>
      <w:pPr>
        <w:pStyle w:val="6"/>
        <w:pBdr>
          <w:bottom w:val="none" w:color="auto" w:sz="0" w:space="1"/>
        </w:pBdr>
        <w:jc w:val="both"/>
        <w:outlineLvl w:val="0"/>
        <w:rPr>
          <w:rFonts w:hint="default" w:ascii="仿宋" w:hAnsi="仿宋" w:eastAsia="仿宋" w:cs="仿宋"/>
          <w:b/>
          <w:kern w:val="2"/>
          <w:sz w:val="32"/>
          <w:szCs w:val="24"/>
          <w:highlight w:val="none"/>
          <w:lang w:val="en-US" w:eastAsia="zh-CN" w:bidi="ar-SA"/>
        </w:rPr>
      </w:pPr>
      <w:bookmarkStart w:id="400" w:name="_Toc19888"/>
      <w:bookmarkStart w:id="401" w:name="_Toc8713"/>
      <w:r>
        <w:rPr>
          <w:rFonts w:hint="eastAsia" w:ascii="仿宋" w:hAnsi="仿宋" w:eastAsia="仿宋" w:cs="仿宋"/>
          <w:sz w:val="20"/>
          <w:szCs w:val="20"/>
          <w:highlight w:val="none"/>
          <w:lang w:val="en-US" w:eastAsia="zh-CN"/>
        </w:rPr>
        <w:t>附件2：项目支出合规性检查报告</w:t>
      </w:r>
      <w:bookmarkEnd w:id="400"/>
    </w:p>
    <w:p>
      <w:pPr>
        <w:pStyle w:val="4"/>
        <w:keepNext w:val="0"/>
        <w:keepLines w:val="0"/>
        <w:pageBreakBefore w:val="0"/>
        <w:widowControl w:val="0"/>
        <w:kinsoku/>
        <w:wordWrap/>
        <w:overflowPunct/>
        <w:topLinePunct w:val="0"/>
        <w:autoSpaceDE/>
        <w:autoSpaceDN/>
        <w:bidi w:val="0"/>
        <w:adjustRightInd/>
        <w:snapToGrid/>
        <w:spacing w:before="0" w:beforeAutospacing="0" w:line="360" w:lineRule="auto"/>
        <w:ind w:left="0" w:leftChars="0" w:right="0" w:rightChars="0"/>
        <w:jc w:val="center"/>
        <w:textAlignment w:val="auto"/>
        <w:outlineLvl w:val="9"/>
        <w:rPr>
          <w:rFonts w:hint="default" w:ascii="仿宋" w:hAnsi="仿宋" w:eastAsia="仿宋" w:cs="仿宋"/>
          <w:b/>
          <w:kern w:val="2"/>
          <w:sz w:val="32"/>
          <w:szCs w:val="24"/>
          <w:highlight w:val="none"/>
          <w:lang w:val="en-US" w:eastAsia="zh-CN" w:bidi="ar-SA"/>
        </w:rPr>
      </w:pPr>
      <w:r>
        <w:rPr>
          <w:rFonts w:hint="eastAsia" w:ascii="仿宋" w:hAnsi="仿宋" w:eastAsia="仿宋" w:cs="仿宋"/>
          <w:b/>
          <w:kern w:val="2"/>
          <w:sz w:val="32"/>
          <w:szCs w:val="24"/>
          <w:highlight w:val="none"/>
          <w:lang w:val="en-US" w:eastAsia="zh-CN" w:bidi="ar-SA"/>
        </w:rPr>
        <w:t>项目</w:t>
      </w:r>
      <w:bookmarkStart w:id="402" w:name="_Toc29913"/>
      <w:r>
        <w:rPr>
          <w:rFonts w:hint="eastAsia" w:ascii="仿宋" w:hAnsi="仿宋" w:eastAsia="仿宋" w:cs="仿宋"/>
          <w:b/>
          <w:kern w:val="2"/>
          <w:sz w:val="32"/>
          <w:szCs w:val="24"/>
          <w:highlight w:val="none"/>
          <w:lang w:val="en-US" w:eastAsia="zh-CN" w:bidi="ar-SA"/>
        </w:rPr>
        <w:t>支出合规性检查</w:t>
      </w:r>
      <w:bookmarkEnd w:id="401"/>
      <w:bookmarkEnd w:id="402"/>
      <w:r>
        <w:rPr>
          <w:rFonts w:hint="eastAsia" w:ascii="仿宋" w:hAnsi="仿宋" w:eastAsia="仿宋" w:cs="仿宋"/>
          <w:b/>
          <w:kern w:val="2"/>
          <w:sz w:val="32"/>
          <w:szCs w:val="24"/>
          <w:highlight w:val="none"/>
          <w:lang w:val="en-US" w:eastAsia="zh-CN" w:bidi="ar-SA"/>
        </w:rPr>
        <w:t>报告</w:t>
      </w:r>
    </w:p>
    <w:p>
      <w:pPr>
        <w:pStyle w:val="4"/>
        <w:keepNext w:val="0"/>
        <w:keepLines w:val="0"/>
        <w:pageBreakBefore w:val="0"/>
        <w:widowControl w:val="0"/>
        <w:kinsoku/>
        <w:wordWrap/>
        <w:overflowPunct/>
        <w:topLinePunct w:val="0"/>
        <w:autoSpaceDE/>
        <w:autoSpaceDN/>
        <w:bidi w:val="0"/>
        <w:adjustRightInd/>
        <w:snapToGrid/>
        <w:spacing w:before="0" w:beforeAutospacing="0" w:line="600" w:lineRule="exact"/>
        <w:ind w:left="0" w:leftChars="0" w:right="1470" w:firstLine="562" w:firstLineChars="200"/>
        <w:textAlignment w:val="auto"/>
        <w:outlineLvl w:val="9"/>
        <w:rPr>
          <w:rFonts w:hint="eastAsia" w:ascii="仿宋" w:hAnsi="仿宋" w:eastAsia="仿宋" w:cs="仿宋"/>
          <w:b/>
          <w:bCs w:val="0"/>
          <w:kern w:val="2"/>
          <w:sz w:val="28"/>
          <w:szCs w:val="28"/>
          <w:highlight w:val="none"/>
          <w:lang w:val="en-US" w:eastAsia="zh-CN" w:bidi="ar"/>
        </w:rPr>
      </w:pPr>
      <w:r>
        <w:rPr>
          <w:rFonts w:hint="eastAsia" w:ascii="仿宋" w:hAnsi="仿宋" w:eastAsia="仿宋" w:cs="仿宋"/>
          <w:b/>
          <w:bCs w:val="0"/>
          <w:kern w:val="2"/>
          <w:sz w:val="28"/>
          <w:szCs w:val="28"/>
          <w:highlight w:val="none"/>
          <w:lang w:val="en-US" w:eastAsia="zh-CN" w:bidi="ar"/>
        </w:rPr>
        <w:t>一、合规性检查对象</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仿宋" w:hAnsi="仿宋" w:eastAsia="仿宋" w:cs="仿宋"/>
          <w:bCs/>
          <w:sz w:val="28"/>
          <w:szCs w:val="28"/>
          <w:highlight w:val="none"/>
          <w:lang w:val="en-US" w:eastAsia="zh-CN" w:bidi="ar"/>
        </w:rPr>
      </w:pPr>
      <w:r>
        <w:rPr>
          <w:rFonts w:hint="eastAsia" w:ascii="仿宋" w:hAnsi="仿宋" w:eastAsia="仿宋" w:cs="仿宋"/>
          <w:bCs/>
          <w:kern w:val="2"/>
          <w:sz w:val="28"/>
          <w:szCs w:val="28"/>
          <w:highlight w:val="none"/>
          <w:lang w:val="en-US" w:eastAsia="zh-CN" w:bidi="ar"/>
        </w:rPr>
        <w:t>本次绩效评价项目支出合规性检查对象为</w:t>
      </w:r>
      <w:r>
        <w:rPr>
          <w:rFonts w:hint="eastAsia" w:ascii="仿宋" w:hAnsi="仿宋" w:eastAsia="仿宋" w:cs="仿宋"/>
          <w:bCs/>
          <w:sz w:val="28"/>
          <w:szCs w:val="28"/>
          <w:highlight w:val="none"/>
          <w:lang w:eastAsia="zh-CN" w:bidi="ar"/>
        </w:rPr>
        <w:t>永济市202</w:t>
      </w:r>
      <w:r>
        <w:rPr>
          <w:rFonts w:hint="eastAsia" w:ascii="仿宋" w:hAnsi="仿宋" w:eastAsia="仿宋" w:cs="仿宋"/>
          <w:bCs/>
          <w:sz w:val="28"/>
          <w:szCs w:val="28"/>
          <w:highlight w:val="none"/>
          <w:lang w:val="en-US" w:eastAsia="zh-CN" w:bidi="ar"/>
        </w:rPr>
        <w:t>1</w:t>
      </w:r>
      <w:r>
        <w:rPr>
          <w:rFonts w:hint="eastAsia" w:ascii="仿宋" w:hAnsi="仿宋" w:eastAsia="仿宋" w:cs="仿宋"/>
          <w:bCs/>
          <w:sz w:val="28"/>
          <w:szCs w:val="28"/>
          <w:highlight w:val="none"/>
          <w:lang w:eastAsia="zh-CN" w:bidi="ar"/>
        </w:rPr>
        <w:t>年疫情防控资金2375.76万元</w:t>
      </w:r>
      <w:r>
        <w:rPr>
          <w:rFonts w:hint="eastAsia" w:ascii="仿宋" w:hAnsi="仿宋" w:eastAsia="仿宋" w:cs="仿宋"/>
          <w:bCs/>
          <w:sz w:val="28"/>
          <w:szCs w:val="28"/>
          <w:highlight w:val="none"/>
          <w:lang w:val="en-US" w:eastAsia="zh-CN" w:bidi="ar"/>
        </w:rPr>
        <w:t>的收支情况。</w:t>
      </w:r>
    </w:p>
    <w:p>
      <w:pPr>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outlineLvl w:val="9"/>
        <w:rPr>
          <w:rFonts w:hint="default" w:ascii="仿宋" w:hAnsi="仿宋" w:eastAsia="仿宋" w:cs="仿宋"/>
          <w:b/>
          <w:bCs w:val="0"/>
          <w:kern w:val="2"/>
          <w:sz w:val="28"/>
          <w:szCs w:val="28"/>
          <w:highlight w:val="none"/>
          <w:lang w:val="en-US" w:eastAsia="zh-CN" w:bidi="ar"/>
        </w:rPr>
      </w:pPr>
      <w:r>
        <w:rPr>
          <w:rFonts w:hint="eastAsia" w:ascii="仿宋" w:hAnsi="仿宋" w:eastAsia="仿宋" w:cs="仿宋"/>
          <w:b/>
          <w:bCs w:val="0"/>
          <w:kern w:val="2"/>
          <w:sz w:val="28"/>
          <w:szCs w:val="28"/>
          <w:highlight w:val="none"/>
          <w:lang w:val="en-US" w:eastAsia="zh-CN" w:bidi="ar"/>
        </w:rPr>
        <w:t>二、合规性检查内容及结果</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仿宋" w:hAnsi="仿宋" w:eastAsia="仿宋" w:cs="仿宋"/>
          <w:bCs/>
          <w:kern w:val="2"/>
          <w:sz w:val="28"/>
          <w:szCs w:val="28"/>
          <w:highlight w:val="none"/>
          <w:lang w:val="en-US" w:eastAsia="zh-CN" w:bidi="ar"/>
        </w:rPr>
      </w:pPr>
      <w:r>
        <w:rPr>
          <w:rFonts w:hint="eastAsia" w:ascii="仿宋" w:hAnsi="仿宋" w:eastAsia="仿宋" w:cs="仿宋"/>
          <w:bCs/>
          <w:kern w:val="2"/>
          <w:sz w:val="28"/>
          <w:szCs w:val="28"/>
          <w:highlight w:val="none"/>
          <w:lang w:val="en-US" w:eastAsia="zh-CN" w:bidi="ar"/>
        </w:rPr>
        <w:t>本次绩效评价合规性检查内容包括资金到位、资金支出、资金结余，以发现项目在财务管理层面和具体执行操作规范上存在的问题，内容如下：</w:t>
      </w:r>
    </w:p>
    <w:p>
      <w:pPr>
        <w:keepNext w:val="0"/>
        <w:keepLines w:val="0"/>
        <w:pageBreakBefore w:val="0"/>
        <w:widowControl w:val="0"/>
        <w:kinsoku/>
        <w:wordWrap/>
        <w:overflowPunct/>
        <w:topLinePunct w:val="0"/>
        <w:autoSpaceDE/>
        <w:autoSpaceDN/>
        <w:bidi w:val="0"/>
        <w:adjustRightInd/>
        <w:snapToGrid/>
        <w:spacing w:line="600" w:lineRule="exact"/>
        <w:ind w:firstLine="281" w:firstLineChars="100"/>
        <w:textAlignment w:val="auto"/>
        <w:outlineLvl w:val="9"/>
        <w:rPr>
          <w:rFonts w:hint="eastAsia" w:ascii="仿宋" w:hAnsi="仿宋" w:eastAsia="仿宋" w:cs="仿宋"/>
          <w:b/>
          <w:bCs w:val="0"/>
          <w:kern w:val="2"/>
          <w:sz w:val="28"/>
          <w:szCs w:val="28"/>
          <w:highlight w:val="none"/>
          <w:lang w:val="en-US" w:eastAsia="zh-CN" w:bidi="ar"/>
        </w:rPr>
      </w:pPr>
      <w:r>
        <w:rPr>
          <w:rFonts w:hint="eastAsia" w:ascii="仿宋" w:hAnsi="仿宋" w:eastAsia="仿宋" w:cs="仿宋"/>
          <w:b/>
          <w:bCs w:val="0"/>
          <w:kern w:val="2"/>
          <w:sz w:val="28"/>
          <w:szCs w:val="28"/>
          <w:highlight w:val="none"/>
          <w:lang w:val="en-US" w:eastAsia="zh-CN" w:bidi="ar"/>
        </w:rPr>
        <w:t>（一）资金到位情况</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val="en-US" w:eastAsia="zh-CN" w:bidi="ar"/>
        </w:rPr>
        <w:t>2021年永济市</w:t>
      </w:r>
      <w:r>
        <w:rPr>
          <w:rFonts w:hint="eastAsia" w:ascii="仿宋" w:hAnsi="仿宋" w:eastAsia="仿宋" w:cs="仿宋"/>
          <w:bCs/>
          <w:sz w:val="28"/>
          <w:szCs w:val="28"/>
          <w:highlight w:val="none"/>
          <w:lang w:eastAsia="zh-CN" w:bidi="ar"/>
        </w:rPr>
        <w:t>新型冠状病毒感染肺炎疫情防控资金</w:t>
      </w:r>
      <w:r>
        <w:rPr>
          <w:rFonts w:hint="eastAsia" w:ascii="仿宋" w:hAnsi="仿宋" w:eastAsia="仿宋" w:cs="仿宋"/>
          <w:bCs/>
          <w:sz w:val="28"/>
          <w:szCs w:val="28"/>
          <w:highlight w:val="none"/>
          <w:lang w:bidi="ar"/>
        </w:rPr>
        <w:t>总额</w:t>
      </w:r>
      <w:r>
        <w:rPr>
          <w:rFonts w:hint="eastAsia" w:ascii="仿宋" w:hAnsi="仿宋" w:eastAsia="仿宋" w:cs="仿宋"/>
          <w:bCs/>
          <w:sz w:val="28"/>
          <w:szCs w:val="28"/>
          <w:highlight w:val="none"/>
          <w:lang w:val="en-US" w:eastAsia="zh-CN" w:bidi="ar"/>
        </w:rPr>
        <w:t>为2375.76</w:t>
      </w:r>
      <w:r>
        <w:rPr>
          <w:rFonts w:hint="eastAsia" w:ascii="仿宋" w:hAnsi="仿宋" w:eastAsia="仿宋" w:cs="仿宋"/>
          <w:bCs/>
          <w:sz w:val="28"/>
          <w:szCs w:val="28"/>
          <w:highlight w:val="none"/>
          <w:lang w:bidi="ar"/>
        </w:rPr>
        <w:t>万元，</w:t>
      </w:r>
      <w:r>
        <w:rPr>
          <w:rFonts w:hint="eastAsia" w:ascii="仿宋" w:hAnsi="仿宋" w:eastAsia="仿宋" w:cs="仿宋"/>
          <w:bCs/>
          <w:sz w:val="28"/>
          <w:szCs w:val="28"/>
          <w:highlight w:val="none"/>
          <w:lang w:val="en-US" w:eastAsia="zh-CN" w:bidi="ar"/>
        </w:rPr>
        <w:t>其中：2020年结余资金118.26万元，2021年拨付资金2257.5万元，2021年拨付资金均为永济市级财政资金。</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highlight w:val="none"/>
        </w:rPr>
      </w:pPr>
      <w:r>
        <w:rPr>
          <w:rFonts w:hint="eastAsia" w:ascii="仿宋" w:hAnsi="仿宋" w:eastAsia="仿宋" w:cs="仿宋"/>
          <w:bCs/>
          <w:sz w:val="28"/>
          <w:szCs w:val="28"/>
          <w:highlight w:val="none"/>
          <w:lang w:val="en-US" w:eastAsia="zh-CN" w:bidi="ar"/>
        </w:rPr>
        <w:t>通过搜集相关资料，2021年永济市新冠肺炎疫情防控资金已到位2375.76万元，资金到位率100%。</w:t>
      </w:r>
    </w:p>
    <w:p>
      <w:pPr>
        <w:pStyle w:val="2"/>
        <w:keepNext w:val="0"/>
        <w:keepLines w:val="0"/>
        <w:pageBreakBefore w:val="0"/>
        <w:kinsoku/>
        <w:wordWrap/>
        <w:overflowPunct/>
        <w:topLinePunct w:val="0"/>
        <w:autoSpaceDE/>
        <w:autoSpaceDN/>
        <w:bidi w:val="0"/>
        <w:adjustRightInd/>
        <w:snapToGrid/>
        <w:spacing w:after="0" w:line="600" w:lineRule="exact"/>
        <w:ind w:firstLine="562" w:firstLineChars="200"/>
        <w:textAlignment w:val="auto"/>
        <w:outlineLvl w:val="9"/>
        <w:rPr>
          <w:rFonts w:hint="default" w:ascii="仿宋" w:hAnsi="仿宋" w:eastAsia="仿宋" w:cs="仿宋"/>
          <w:b/>
          <w:bCs w:val="0"/>
          <w:sz w:val="28"/>
          <w:szCs w:val="28"/>
          <w:highlight w:val="none"/>
          <w:lang w:val="en-US" w:eastAsia="zh-CN" w:bidi="ar"/>
        </w:rPr>
      </w:pPr>
      <w:r>
        <w:rPr>
          <w:rFonts w:hint="eastAsia" w:ascii="仿宋" w:hAnsi="仿宋" w:eastAsia="仿宋" w:cs="仿宋"/>
          <w:b/>
          <w:bCs w:val="0"/>
          <w:sz w:val="28"/>
          <w:szCs w:val="28"/>
          <w:highlight w:val="none"/>
          <w:lang w:val="en-US" w:eastAsia="zh-CN" w:bidi="ar"/>
        </w:rPr>
        <w:t>（二）资金使用情况</w:t>
      </w:r>
    </w:p>
    <w:p>
      <w:pPr>
        <w:keepNext w:val="0"/>
        <w:keepLines w:val="0"/>
        <w:pageBreakBefore w:val="0"/>
        <w:widowControl/>
        <w:kinsoku/>
        <w:wordWrap/>
        <w:overflowPunct/>
        <w:topLinePunct w:val="0"/>
        <w:autoSpaceDE/>
        <w:autoSpaceDN/>
        <w:bidi w:val="0"/>
        <w:adjustRightInd/>
        <w:snapToGrid/>
        <w:spacing w:line="600" w:lineRule="exact"/>
        <w:ind w:firstLine="560" w:firstLineChars="200"/>
        <w:textAlignment w:val="auto"/>
        <w:outlineLvl w:val="9"/>
        <w:rPr>
          <w:rFonts w:hint="default" w:ascii="仿宋" w:hAnsi="仿宋" w:eastAsia="仿宋" w:cs="仿宋"/>
          <w:bCs/>
          <w:sz w:val="28"/>
          <w:szCs w:val="28"/>
          <w:highlight w:val="none"/>
          <w:lang w:val="en-US" w:bidi="ar"/>
        </w:rPr>
      </w:pPr>
      <w:r>
        <w:rPr>
          <w:rFonts w:hint="eastAsia" w:ascii="仿宋" w:hAnsi="仿宋" w:eastAsia="仿宋" w:cs="仿宋"/>
          <w:bCs/>
          <w:sz w:val="28"/>
          <w:szCs w:val="28"/>
          <w:highlight w:val="none"/>
          <w:lang w:val="en-US" w:eastAsia="zh-CN" w:bidi="ar"/>
        </w:rPr>
        <w:t>截至绩效评价日止，新冠肺炎疫情防控资金共支付2103.97</w:t>
      </w:r>
      <w:r>
        <w:rPr>
          <w:rFonts w:hint="eastAsia" w:ascii="仿宋" w:hAnsi="仿宋" w:eastAsia="仿宋" w:cs="仿宋"/>
          <w:bCs/>
          <w:sz w:val="28"/>
          <w:szCs w:val="28"/>
          <w:highlight w:val="none"/>
          <w:lang w:bidi="ar"/>
        </w:rPr>
        <w:t>万元，</w:t>
      </w:r>
      <w:r>
        <w:rPr>
          <w:rFonts w:hint="eastAsia" w:ascii="仿宋" w:hAnsi="仿宋" w:eastAsia="仿宋" w:cs="仿宋"/>
          <w:bCs/>
          <w:sz w:val="28"/>
          <w:szCs w:val="28"/>
          <w:highlight w:val="none"/>
          <w:lang w:val="en-US" w:eastAsia="zh-CN" w:bidi="ar"/>
        </w:rPr>
        <w:t>主要用于支持新冠肺炎疫情防控工作，资金剩余271.79万元，财政收回资金67.75万元。</w:t>
      </w:r>
    </w:p>
    <w:p>
      <w:pPr>
        <w:keepNext w:val="0"/>
        <w:keepLines w:val="0"/>
        <w:pageBreakBefore w:val="0"/>
        <w:widowControl w:val="0"/>
        <w:kinsoku/>
        <w:wordWrap/>
        <w:overflowPunct/>
        <w:topLinePunct w:val="0"/>
        <w:autoSpaceDE/>
        <w:autoSpaceDN/>
        <w:bidi w:val="0"/>
        <w:adjustRightInd/>
        <w:snapToGrid/>
        <w:spacing w:after="313" w:afterLines="100" w:line="600" w:lineRule="exact"/>
        <w:ind w:firstLine="560" w:firstLineChars="200"/>
        <w:textAlignment w:val="auto"/>
        <w:outlineLvl w:val="9"/>
        <w:rPr>
          <w:rFonts w:hint="default"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val="en-US" w:eastAsia="zh-CN" w:bidi="ar"/>
        </w:rPr>
        <w:t>根据相关资料，2021年下达至卫健局资金共计721.18万元，其中308.84万元下拨至相关单位；下达市医院333.69万元；中医院351.64万元；疾控中心414.5万元。具体各单位可支配资金及具体资金使用情况如下：</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val="en-US" w:eastAsia="zh-CN" w:bidi="ar"/>
        </w:rPr>
        <w:t>2021年12月31日各单位可支配资金结余情况明细表</w:t>
      </w:r>
    </w:p>
    <w:p>
      <w:pPr>
        <w:keepNext w:val="0"/>
        <w:keepLines w:val="0"/>
        <w:pageBreakBefore w:val="0"/>
        <w:widowControl w:val="0"/>
        <w:kinsoku/>
        <w:wordWrap/>
        <w:overflowPunct/>
        <w:topLinePunct w:val="0"/>
        <w:autoSpaceDE/>
        <w:autoSpaceDN/>
        <w:bidi w:val="0"/>
        <w:adjustRightInd/>
        <w:snapToGrid/>
        <w:spacing w:line="360" w:lineRule="exact"/>
        <w:jc w:val="right"/>
        <w:textAlignment w:val="auto"/>
        <w:outlineLvl w:val="9"/>
        <w:rPr>
          <w:rFonts w:hint="default" w:ascii="仿宋" w:hAnsi="仿宋" w:eastAsia="仿宋" w:cs="仿宋"/>
          <w:bCs/>
          <w:sz w:val="22"/>
          <w:szCs w:val="22"/>
          <w:highlight w:val="none"/>
          <w:vertAlign w:val="baseline"/>
          <w:lang w:val="en-US" w:bidi="ar"/>
        </w:rPr>
      </w:pPr>
      <w:r>
        <w:rPr>
          <w:rFonts w:hint="eastAsia" w:ascii="仿宋" w:hAnsi="仿宋" w:eastAsia="仿宋" w:cs="仿宋"/>
          <w:bCs/>
          <w:sz w:val="22"/>
          <w:szCs w:val="22"/>
          <w:highlight w:val="none"/>
          <w:lang w:val="en-US" w:eastAsia="zh-CN" w:bidi="ar"/>
        </w:rPr>
        <w:t>单位：万元</w:t>
      </w:r>
    </w:p>
    <w:tbl>
      <w:tblPr>
        <w:tblStyle w:val="11"/>
        <w:tblW w:w="9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140"/>
        <w:gridCol w:w="1140"/>
        <w:gridCol w:w="1350"/>
        <w:gridCol w:w="1290"/>
        <w:gridCol w:w="1290"/>
        <w:gridCol w:w="842"/>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310" w:type="dxa"/>
            <w:vAlign w:val="center"/>
          </w:tcPr>
          <w:p>
            <w:pPr>
              <w:keepNext w:val="0"/>
              <w:keepLines w:val="0"/>
              <w:pageBreakBefore w:val="0"/>
              <w:kinsoku/>
              <w:wordWrap/>
              <w:overflowPunct/>
              <w:topLinePunct w:val="0"/>
              <w:autoSpaceDE/>
              <w:autoSpaceDN/>
              <w:bidi w:val="0"/>
              <w:adjustRightInd/>
              <w:snapToGrid/>
              <w:spacing w:line="280" w:lineRule="exact"/>
              <w:jc w:val="center"/>
              <w:outlineLvl w:val="9"/>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单位</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center"/>
              <w:outlineLvl w:val="9"/>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期初资金</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center"/>
              <w:outlineLvl w:val="9"/>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财政直拨</w:t>
            </w:r>
          </w:p>
        </w:tc>
        <w:tc>
          <w:tcPr>
            <w:tcW w:w="1350" w:type="dxa"/>
            <w:vAlign w:val="center"/>
          </w:tcPr>
          <w:p>
            <w:pPr>
              <w:keepNext w:val="0"/>
              <w:keepLines w:val="0"/>
              <w:pageBreakBefore w:val="0"/>
              <w:kinsoku/>
              <w:wordWrap/>
              <w:overflowPunct/>
              <w:topLinePunct w:val="0"/>
              <w:autoSpaceDE/>
              <w:autoSpaceDN/>
              <w:bidi w:val="0"/>
              <w:adjustRightInd/>
              <w:snapToGrid/>
              <w:spacing w:line="280" w:lineRule="exact"/>
              <w:jc w:val="center"/>
              <w:outlineLvl w:val="9"/>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卫健局下拨</w:t>
            </w:r>
          </w:p>
        </w:tc>
        <w:tc>
          <w:tcPr>
            <w:tcW w:w="1290" w:type="dxa"/>
            <w:vAlign w:val="center"/>
          </w:tcPr>
          <w:p>
            <w:pPr>
              <w:keepNext w:val="0"/>
              <w:keepLines w:val="0"/>
              <w:pageBreakBefore w:val="0"/>
              <w:kinsoku/>
              <w:wordWrap/>
              <w:overflowPunct/>
              <w:topLinePunct w:val="0"/>
              <w:autoSpaceDE/>
              <w:autoSpaceDN/>
              <w:bidi w:val="0"/>
              <w:adjustRightInd/>
              <w:snapToGrid/>
              <w:spacing w:line="280" w:lineRule="exact"/>
              <w:jc w:val="center"/>
              <w:outlineLvl w:val="9"/>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可支配资金</w:t>
            </w:r>
          </w:p>
        </w:tc>
        <w:tc>
          <w:tcPr>
            <w:tcW w:w="1290" w:type="dxa"/>
            <w:vAlign w:val="center"/>
          </w:tcPr>
          <w:p>
            <w:pPr>
              <w:keepNext w:val="0"/>
              <w:keepLines w:val="0"/>
              <w:pageBreakBefore w:val="0"/>
              <w:kinsoku/>
              <w:wordWrap/>
              <w:overflowPunct/>
              <w:topLinePunct w:val="0"/>
              <w:autoSpaceDE/>
              <w:autoSpaceDN/>
              <w:bidi w:val="0"/>
              <w:adjustRightInd/>
              <w:snapToGrid/>
              <w:spacing w:line="280" w:lineRule="exact"/>
              <w:jc w:val="center"/>
              <w:outlineLvl w:val="9"/>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已支付资金</w:t>
            </w:r>
          </w:p>
        </w:tc>
        <w:tc>
          <w:tcPr>
            <w:tcW w:w="842" w:type="dxa"/>
            <w:vAlign w:val="center"/>
          </w:tcPr>
          <w:p>
            <w:pPr>
              <w:keepNext w:val="0"/>
              <w:keepLines w:val="0"/>
              <w:pageBreakBefore w:val="0"/>
              <w:kinsoku/>
              <w:wordWrap/>
              <w:overflowPunct/>
              <w:topLinePunct w:val="0"/>
              <w:autoSpaceDE/>
              <w:autoSpaceDN/>
              <w:bidi w:val="0"/>
              <w:adjustRightInd/>
              <w:snapToGrid/>
              <w:spacing w:line="280" w:lineRule="exact"/>
              <w:jc w:val="center"/>
              <w:outlineLvl w:val="9"/>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收回</w:t>
            </w:r>
          </w:p>
        </w:tc>
        <w:tc>
          <w:tcPr>
            <w:tcW w:w="1070" w:type="dxa"/>
            <w:vAlign w:val="center"/>
          </w:tcPr>
          <w:p>
            <w:pPr>
              <w:keepNext w:val="0"/>
              <w:keepLines w:val="0"/>
              <w:pageBreakBefore w:val="0"/>
              <w:kinsoku/>
              <w:wordWrap/>
              <w:overflowPunct/>
              <w:topLinePunct w:val="0"/>
              <w:autoSpaceDE/>
              <w:autoSpaceDN/>
              <w:bidi w:val="0"/>
              <w:adjustRightInd/>
              <w:snapToGrid/>
              <w:spacing w:line="280" w:lineRule="exact"/>
              <w:jc w:val="center"/>
              <w:outlineLvl w:val="9"/>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剩余资金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0" w:type="dxa"/>
            <w:vAlign w:val="center"/>
          </w:tcPr>
          <w:p>
            <w:pPr>
              <w:keepNext w:val="0"/>
              <w:keepLines w:val="0"/>
              <w:pageBreakBefore w:val="0"/>
              <w:kinsoku/>
              <w:wordWrap/>
              <w:overflowPunct/>
              <w:topLinePunct w:val="0"/>
              <w:autoSpaceDE/>
              <w:autoSpaceDN/>
              <w:bidi w:val="0"/>
              <w:adjustRightInd/>
              <w:snapToGrid/>
              <w:spacing w:line="280" w:lineRule="exact"/>
              <w:jc w:val="both"/>
              <w:outlineLvl w:val="9"/>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卫健局</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34.34</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721.18</w:t>
            </w:r>
          </w:p>
        </w:tc>
        <w:tc>
          <w:tcPr>
            <w:tcW w:w="135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-308.84</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446.68</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260.42</w:t>
            </w:r>
          </w:p>
        </w:tc>
        <w:tc>
          <w:tcPr>
            <w:tcW w:w="84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186.26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0" w:type="dxa"/>
            <w:vAlign w:val="center"/>
          </w:tcPr>
          <w:p>
            <w:pPr>
              <w:keepNext w:val="0"/>
              <w:keepLines w:val="0"/>
              <w:pageBreakBefore w:val="0"/>
              <w:kinsoku/>
              <w:wordWrap/>
              <w:overflowPunct/>
              <w:topLinePunct w:val="0"/>
              <w:autoSpaceDE/>
              <w:autoSpaceDN/>
              <w:bidi w:val="0"/>
              <w:adjustRightInd/>
              <w:snapToGrid/>
              <w:spacing w:line="280" w:lineRule="exact"/>
              <w:jc w:val="both"/>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市医院</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333.69</w:t>
            </w:r>
          </w:p>
        </w:tc>
        <w:tc>
          <w:tcPr>
            <w:tcW w:w="135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0.95</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334.64</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267.17</w:t>
            </w:r>
          </w:p>
        </w:tc>
        <w:tc>
          <w:tcPr>
            <w:tcW w:w="84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67.47</w:t>
            </w: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0" w:type="dxa"/>
            <w:vAlign w:val="center"/>
          </w:tcPr>
          <w:p>
            <w:pPr>
              <w:keepNext w:val="0"/>
              <w:keepLines w:val="0"/>
              <w:pageBreakBefore w:val="0"/>
              <w:kinsoku/>
              <w:wordWrap/>
              <w:overflowPunct/>
              <w:topLinePunct w:val="0"/>
              <w:autoSpaceDE/>
              <w:autoSpaceDN/>
              <w:bidi w:val="0"/>
              <w:adjustRightInd/>
              <w:snapToGrid/>
              <w:spacing w:line="280" w:lineRule="exact"/>
              <w:jc w:val="both"/>
              <w:outlineLvl w:val="9"/>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中医院</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eastAsia" w:ascii="仿宋" w:hAnsi="仿宋" w:eastAsia="仿宋" w:cs="仿宋"/>
                <w:sz w:val="21"/>
                <w:szCs w:val="21"/>
                <w:highlight w:val="none"/>
                <w:vertAlign w:val="baseline"/>
                <w:lang w:val="en-US" w:eastAsia="zh-CN"/>
              </w:rPr>
            </w:pP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351.64</w:t>
            </w:r>
          </w:p>
        </w:tc>
        <w:tc>
          <w:tcPr>
            <w:tcW w:w="135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19.00</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370.64</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370.64</w:t>
            </w:r>
          </w:p>
        </w:tc>
        <w:tc>
          <w:tcPr>
            <w:tcW w:w="84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0" w:type="dxa"/>
            <w:vAlign w:val="center"/>
          </w:tcPr>
          <w:p>
            <w:pPr>
              <w:keepNext w:val="0"/>
              <w:keepLines w:val="0"/>
              <w:pageBreakBefore w:val="0"/>
              <w:kinsoku/>
              <w:wordWrap/>
              <w:overflowPunct/>
              <w:topLinePunct w:val="0"/>
              <w:autoSpaceDE/>
              <w:autoSpaceDN/>
              <w:bidi w:val="0"/>
              <w:adjustRightInd/>
              <w:snapToGrid/>
              <w:spacing w:line="280" w:lineRule="exact"/>
              <w:jc w:val="both"/>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疾控中心</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72.37</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414.50</w:t>
            </w:r>
          </w:p>
        </w:tc>
        <w:tc>
          <w:tcPr>
            <w:tcW w:w="135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eastAsia" w:ascii="仿宋" w:hAnsi="仿宋" w:eastAsia="仿宋" w:cs="仿宋"/>
                <w:sz w:val="21"/>
                <w:szCs w:val="21"/>
                <w:highlight w:val="none"/>
                <w:vertAlign w:val="baseline"/>
              </w:rPr>
            </w:pP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486.87</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473.68</w:t>
            </w:r>
          </w:p>
        </w:tc>
        <w:tc>
          <w:tcPr>
            <w:tcW w:w="84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0.28</w:t>
            </w: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0" w:type="dxa"/>
            <w:vAlign w:val="center"/>
          </w:tcPr>
          <w:p>
            <w:pPr>
              <w:keepNext w:val="0"/>
              <w:keepLines w:val="0"/>
              <w:pageBreakBefore w:val="0"/>
              <w:kinsoku/>
              <w:wordWrap/>
              <w:overflowPunct/>
              <w:topLinePunct w:val="0"/>
              <w:autoSpaceDE/>
              <w:autoSpaceDN/>
              <w:bidi w:val="0"/>
              <w:adjustRightInd/>
              <w:snapToGrid/>
              <w:spacing w:line="280" w:lineRule="exact"/>
              <w:jc w:val="both"/>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电机医院</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eastAsia" w:ascii="仿宋" w:hAnsi="仿宋" w:eastAsia="仿宋" w:cs="仿宋"/>
                <w:sz w:val="21"/>
                <w:szCs w:val="21"/>
                <w:highlight w:val="none"/>
                <w:vertAlign w:val="baseline"/>
              </w:rPr>
            </w:pP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eastAsia" w:ascii="仿宋" w:hAnsi="仿宋" w:eastAsia="仿宋" w:cs="仿宋"/>
                <w:sz w:val="21"/>
                <w:szCs w:val="21"/>
                <w:highlight w:val="none"/>
                <w:vertAlign w:val="baseline"/>
              </w:rPr>
            </w:pPr>
          </w:p>
        </w:tc>
        <w:tc>
          <w:tcPr>
            <w:tcW w:w="135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154.69</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eastAsia" w:ascii="仿宋" w:hAnsi="仿宋" w:eastAsia="仿宋" w:cs="仿宋"/>
                <w:sz w:val="21"/>
                <w:szCs w:val="21"/>
                <w:highlight w:val="none"/>
                <w:vertAlign w:val="baseline"/>
              </w:rPr>
            </w:pPr>
            <w:r>
              <w:rPr>
                <w:rFonts w:hint="eastAsia" w:ascii="仿宋" w:hAnsi="仿宋" w:eastAsia="仿宋" w:cs="仿宋"/>
                <w:i w:val="0"/>
                <w:iCs w:val="0"/>
                <w:color w:val="000000"/>
                <w:kern w:val="0"/>
                <w:sz w:val="21"/>
                <w:szCs w:val="21"/>
                <w:highlight w:val="none"/>
                <w:u w:val="none"/>
                <w:lang w:val="en-US" w:eastAsia="zh-CN" w:bidi="ar"/>
              </w:rPr>
              <w:t>154.69</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154.69</w:t>
            </w:r>
          </w:p>
        </w:tc>
        <w:tc>
          <w:tcPr>
            <w:tcW w:w="84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0" w:type="dxa"/>
            <w:vAlign w:val="center"/>
          </w:tcPr>
          <w:p>
            <w:pPr>
              <w:keepNext w:val="0"/>
              <w:keepLines w:val="0"/>
              <w:pageBreakBefore w:val="0"/>
              <w:kinsoku/>
              <w:wordWrap/>
              <w:overflowPunct/>
              <w:topLinePunct w:val="0"/>
              <w:autoSpaceDE/>
              <w:autoSpaceDN/>
              <w:bidi w:val="0"/>
              <w:adjustRightInd/>
              <w:snapToGrid/>
              <w:spacing w:line="280" w:lineRule="exact"/>
              <w:jc w:val="both"/>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城北卫生院</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eastAsia" w:ascii="仿宋" w:hAnsi="仿宋" w:eastAsia="仿宋" w:cs="仿宋"/>
                <w:sz w:val="21"/>
                <w:szCs w:val="21"/>
                <w:highlight w:val="none"/>
                <w:vertAlign w:val="baseline"/>
              </w:rPr>
            </w:pP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98.46</w:t>
            </w:r>
          </w:p>
        </w:tc>
        <w:tc>
          <w:tcPr>
            <w:tcW w:w="135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63.49</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eastAsia" w:ascii="仿宋" w:hAnsi="仿宋" w:eastAsia="仿宋" w:cs="仿宋"/>
                <w:sz w:val="21"/>
                <w:szCs w:val="21"/>
                <w:highlight w:val="none"/>
                <w:vertAlign w:val="baseline"/>
              </w:rPr>
            </w:pPr>
            <w:r>
              <w:rPr>
                <w:rFonts w:hint="eastAsia" w:ascii="仿宋" w:hAnsi="仿宋" w:eastAsia="仿宋" w:cs="仿宋"/>
                <w:i w:val="0"/>
                <w:iCs w:val="0"/>
                <w:color w:val="000000"/>
                <w:kern w:val="0"/>
                <w:sz w:val="21"/>
                <w:szCs w:val="21"/>
                <w:highlight w:val="none"/>
                <w:u w:val="none"/>
                <w:lang w:val="en-US" w:eastAsia="zh-CN" w:bidi="ar"/>
              </w:rPr>
              <w:t>161.95</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158.29</w:t>
            </w:r>
          </w:p>
        </w:tc>
        <w:tc>
          <w:tcPr>
            <w:tcW w:w="84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0" w:type="dxa"/>
            <w:vAlign w:val="center"/>
          </w:tcPr>
          <w:p>
            <w:pPr>
              <w:keepNext w:val="0"/>
              <w:keepLines w:val="0"/>
              <w:pageBreakBefore w:val="0"/>
              <w:kinsoku/>
              <w:wordWrap/>
              <w:overflowPunct/>
              <w:topLinePunct w:val="0"/>
              <w:autoSpaceDE/>
              <w:autoSpaceDN/>
              <w:bidi w:val="0"/>
              <w:adjustRightInd/>
              <w:snapToGrid/>
              <w:spacing w:line="280" w:lineRule="exact"/>
              <w:jc w:val="both"/>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城东卫生院</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eastAsia" w:ascii="仿宋" w:hAnsi="仿宋" w:eastAsia="仿宋" w:cs="仿宋"/>
                <w:sz w:val="21"/>
                <w:szCs w:val="21"/>
                <w:highlight w:val="none"/>
                <w:vertAlign w:val="baseline"/>
              </w:rPr>
            </w:pP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35.64</w:t>
            </w:r>
          </w:p>
        </w:tc>
        <w:tc>
          <w:tcPr>
            <w:tcW w:w="135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33.00</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eastAsia" w:ascii="仿宋" w:hAnsi="仿宋" w:eastAsia="仿宋" w:cs="仿宋"/>
                <w:sz w:val="21"/>
                <w:szCs w:val="21"/>
                <w:highlight w:val="none"/>
                <w:vertAlign w:val="baseline"/>
              </w:rPr>
            </w:pPr>
            <w:r>
              <w:rPr>
                <w:rFonts w:hint="eastAsia" w:ascii="仿宋" w:hAnsi="仿宋" w:eastAsia="仿宋" w:cs="仿宋"/>
                <w:i w:val="0"/>
                <w:iCs w:val="0"/>
                <w:color w:val="000000"/>
                <w:kern w:val="0"/>
                <w:sz w:val="21"/>
                <w:szCs w:val="21"/>
                <w:highlight w:val="none"/>
                <w:u w:val="none"/>
                <w:lang w:val="en-US" w:eastAsia="zh-CN" w:bidi="ar"/>
              </w:rPr>
              <w:t>68.64</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68.64</w:t>
            </w:r>
          </w:p>
        </w:tc>
        <w:tc>
          <w:tcPr>
            <w:tcW w:w="84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0" w:type="dxa"/>
            <w:vAlign w:val="center"/>
          </w:tcPr>
          <w:p>
            <w:pPr>
              <w:keepNext w:val="0"/>
              <w:keepLines w:val="0"/>
              <w:pageBreakBefore w:val="0"/>
              <w:kinsoku/>
              <w:wordWrap/>
              <w:overflowPunct/>
              <w:topLinePunct w:val="0"/>
              <w:autoSpaceDE/>
              <w:autoSpaceDN/>
              <w:bidi w:val="0"/>
              <w:adjustRightInd/>
              <w:snapToGrid/>
              <w:spacing w:line="280" w:lineRule="exact"/>
              <w:jc w:val="both"/>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医保局</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eastAsia" w:ascii="仿宋" w:hAnsi="仿宋" w:eastAsia="仿宋" w:cs="仿宋"/>
                <w:sz w:val="21"/>
                <w:szCs w:val="21"/>
                <w:highlight w:val="none"/>
                <w:vertAlign w:val="baseline"/>
              </w:rPr>
            </w:pP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191.39</w:t>
            </w:r>
          </w:p>
        </w:tc>
        <w:tc>
          <w:tcPr>
            <w:tcW w:w="135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eastAsia" w:ascii="仿宋" w:hAnsi="仿宋" w:eastAsia="仿宋" w:cs="仿宋"/>
                <w:sz w:val="21"/>
                <w:szCs w:val="21"/>
                <w:highlight w:val="none"/>
                <w:vertAlign w:val="baseline"/>
              </w:rPr>
            </w:pPr>
            <w:r>
              <w:rPr>
                <w:rFonts w:hint="eastAsia" w:ascii="仿宋" w:hAnsi="仿宋" w:eastAsia="仿宋" w:cs="仿宋"/>
                <w:i w:val="0"/>
                <w:iCs w:val="0"/>
                <w:color w:val="000000"/>
                <w:kern w:val="0"/>
                <w:sz w:val="21"/>
                <w:szCs w:val="21"/>
                <w:highlight w:val="none"/>
                <w:u w:val="none"/>
                <w:lang w:val="en-US" w:eastAsia="zh-CN" w:bidi="ar"/>
              </w:rPr>
              <w:t>191.39</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191.39</w:t>
            </w:r>
          </w:p>
        </w:tc>
        <w:tc>
          <w:tcPr>
            <w:tcW w:w="84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0" w:type="dxa"/>
            <w:vAlign w:val="center"/>
          </w:tcPr>
          <w:p>
            <w:pPr>
              <w:keepNext w:val="0"/>
              <w:keepLines w:val="0"/>
              <w:pageBreakBefore w:val="0"/>
              <w:kinsoku/>
              <w:wordWrap/>
              <w:overflowPunct/>
              <w:topLinePunct w:val="0"/>
              <w:autoSpaceDE/>
              <w:autoSpaceDN/>
              <w:bidi w:val="0"/>
              <w:adjustRightInd/>
              <w:snapToGrid/>
              <w:spacing w:line="280" w:lineRule="exact"/>
              <w:jc w:val="both"/>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栲栳卫生院</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eastAsia" w:ascii="仿宋" w:hAnsi="仿宋" w:eastAsia="仿宋" w:cs="仿宋"/>
                <w:sz w:val="21"/>
                <w:szCs w:val="21"/>
                <w:highlight w:val="none"/>
                <w:vertAlign w:val="baseline"/>
              </w:rPr>
            </w:pP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35.00</w:t>
            </w:r>
          </w:p>
        </w:tc>
        <w:tc>
          <w:tcPr>
            <w:tcW w:w="135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eastAsia" w:ascii="仿宋" w:hAnsi="仿宋" w:eastAsia="仿宋" w:cs="仿宋"/>
                <w:sz w:val="21"/>
                <w:szCs w:val="21"/>
                <w:highlight w:val="none"/>
                <w:vertAlign w:val="baseline"/>
                <w:lang w:val="en-US" w:eastAsia="zh-CN"/>
              </w:rPr>
            </w:pP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35.00</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35.00</w:t>
            </w:r>
          </w:p>
        </w:tc>
        <w:tc>
          <w:tcPr>
            <w:tcW w:w="84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eastAsia"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0" w:type="dxa"/>
            <w:vAlign w:val="center"/>
          </w:tcPr>
          <w:p>
            <w:pPr>
              <w:keepNext w:val="0"/>
              <w:keepLines w:val="0"/>
              <w:pageBreakBefore w:val="0"/>
              <w:kinsoku/>
              <w:wordWrap/>
              <w:overflowPunct/>
              <w:topLinePunct w:val="0"/>
              <w:autoSpaceDE/>
              <w:autoSpaceDN/>
              <w:bidi w:val="0"/>
              <w:adjustRightInd/>
              <w:snapToGrid/>
              <w:spacing w:line="280" w:lineRule="exact"/>
              <w:jc w:val="both"/>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各乡镇政府及相关部门</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11.55</w:t>
            </w:r>
          </w:p>
        </w:tc>
        <w:tc>
          <w:tcPr>
            <w:tcW w:w="114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76.00</w:t>
            </w:r>
          </w:p>
        </w:tc>
        <w:tc>
          <w:tcPr>
            <w:tcW w:w="1350" w:type="dxa"/>
            <w:vAlign w:val="center"/>
          </w:tcPr>
          <w:p>
            <w:pPr>
              <w:keepNext w:val="0"/>
              <w:keepLines w:val="0"/>
              <w:pageBreakBefore w:val="0"/>
              <w:kinsoku/>
              <w:wordWrap/>
              <w:overflowPunct/>
              <w:topLinePunct w:val="0"/>
              <w:autoSpaceDE/>
              <w:autoSpaceDN/>
              <w:bidi w:val="0"/>
              <w:adjustRightInd/>
              <w:snapToGrid/>
              <w:spacing w:line="280" w:lineRule="exact"/>
              <w:jc w:val="right"/>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37.71</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eastAsia" w:ascii="仿宋" w:hAnsi="仿宋" w:eastAsia="仿宋" w:cs="仿宋"/>
                <w:sz w:val="21"/>
                <w:szCs w:val="21"/>
                <w:highlight w:val="none"/>
                <w:vertAlign w:val="baseline"/>
              </w:rPr>
            </w:pPr>
            <w:r>
              <w:rPr>
                <w:rFonts w:hint="eastAsia" w:ascii="仿宋" w:hAnsi="仿宋" w:eastAsia="仿宋" w:cs="仿宋"/>
                <w:i w:val="0"/>
                <w:iCs w:val="0"/>
                <w:color w:val="000000"/>
                <w:kern w:val="0"/>
                <w:sz w:val="21"/>
                <w:szCs w:val="21"/>
                <w:highlight w:val="none"/>
                <w:u w:val="none"/>
                <w:lang w:val="en-US" w:eastAsia="zh-CN" w:bidi="ar"/>
              </w:rPr>
              <w:t>125.26</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124.05</w:t>
            </w:r>
          </w:p>
        </w:tc>
        <w:tc>
          <w:tcPr>
            <w:tcW w:w="84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0" w:type="dxa"/>
            <w:vAlign w:val="center"/>
          </w:tcPr>
          <w:p>
            <w:pPr>
              <w:keepNext w:val="0"/>
              <w:keepLines w:val="0"/>
              <w:pageBreakBefore w:val="0"/>
              <w:kinsoku/>
              <w:wordWrap/>
              <w:overflowPunct/>
              <w:topLinePunct w:val="0"/>
              <w:autoSpaceDE/>
              <w:autoSpaceDN/>
              <w:bidi w:val="0"/>
              <w:adjustRightInd/>
              <w:snapToGrid/>
              <w:spacing w:line="280" w:lineRule="exact"/>
              <w:jc w:val="center"/>
              <w:outlineLvl w:val="9"/>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合计</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b/>
                <w:bCs/>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118.26</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b/>
                <w:bCs/>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2257.50</w:t>
            </w:r>
          </w:p>
        </w:tc>
        <w:tc>
          <w:tcPr>
            <w:tcW w:w="135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2375.76</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2103.97</w:t>
            </w:r>
          </w:p>
        </w:tc>
        <w:tc>
          <w:tcPr>
            <w:tcW w:w="842"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67.75</w:t>
            </w:r>
          </w:p>
        </w:tc>
        <w:tc>
          <w:tcPr>
            <w:tcW w:w="1070" w:type="dxa"/>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right"/>
              <w:textAlignment w:val="top"/>
              <w:outlineLvl w:val="9"/>
              <w:rPr>
                <w:rFonts w:hint="default"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204.04</w:t>
            </w:r>
          </w:p>
        </w:tc>
      </w:tr>
    </w:tbl>
    <w:p>
      <w:pPr>
        <w:pStyle w:val="2"/>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outlineLvl w:val="9"/>
        <w:rPr>
          <w:rFonts w:hint="eastAsia" w:ascii="仿宋" w:hAnsi="仿宋" w:eastAsia="仿宋" w:cs="仿宋"/>
          <w:bCs/>
          <w:sz w:val="28"/>
          <w:szCs w:val="28"/>
          <w:highlight w:val="none"/>
          <w:lang w:val="en-US" w:eastAsia="zh-CN" w:bidi="ar"/>
        </w:rPr>
      </w:pPr>
      <w:r>
        <w:rPr>
          <w:rFonts w:hint="eastAsia" w:ascii="仿宋" w:hAnsi="仿宋" w:eastAsia="仿宋" w:cs="仿宋"/>
          <w:bCs/>
          <w:sz w:val="28"/>
          <w:szCs w:val="28"/>
          <w:highlight w:val="none"/>
          <w:lang w:bidi="ar"/>
        </w:rPr>
        <w:t>资金使用方向：</w:t>
      </w:r>
      <w:r>
        <w:rPr>
          <w:rFonts w:hint="eastAsia" w:ascii="仿宋" w:hAnsi="仿宋" w:eastAsia="仿宋" w:cs="仿宋"/>
          <w:bCs/>
          <w:sz w:val="28"/>
          <w:szCs w:val="28"/>
          <w:highlight w:val="none"/>
          <w:lang w:val="en-US" w:eastAsia="zh-CN" w:bidi="ar"/>
        </w:rPr>
        <w:t>核酸实验室建设574.88万元，其中核酸实验室建设112.68万元，实验室器械设备462.2万元；隔离点经费396.12万元；疫苗接种共计378.96万元，其中紧急人员疫苗接种款146.56万元，运城市分摊应上缴医保基金专户的疫苗接种款191.39万元；核酸检测共计229.72万元，其中检测耗材220.32万元，配套设施9.4万元；卡口经费109.43万元；新冠物资159.53万元；冷链建设76万元；发热门诊建设35万元；其他费用143.7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2" w:firstLineChars="200"/>
        <w:textAlignment w:val="auto"/>
        <w:outlineLvl w:val="9"/>
        <w:rPr>
          <w:rFonts w:hint="eastAsia" w:ascii="仿宋" w:hAnsi="仿宋" w:eastAsia="仿宋" w:cs="仿宋"/>
          <w:b/>
          <w:bCs w:val="0"/>
          <w:sz w:val="28"/>
          <w:szCs w:val="28"/>
          <w:highlight w:val="none"/>
          <w:lang w:val="en-US" w:eastAsia="zh-CN" w:bidi="ar"/>
        </w:rPr>
      </w:pPr>
      <w:r>
        <w:rPr>
          <w:rFonts w:hint="eastAsia" w:ascii="仿宋" w:hAnsi="仿宋" w:eastAsia="仿宋" w:cs="仿宋"/>
          <w:b/>
          <w:bCs w:val="0"/>
          <w:sz w:val="28"/>
          <w:szCs w:val="28"/>
          <w:highlight w:val="none"/>
          <w:lang w:val="en-US" w:eastAsia="zh-CN" w:bidi="ar"/>
        </w:rPr>
        <w:t>（三）资金使用中存在的问题</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通过资料搜集，发现资金在使用过程中个别机构资金用途超出疫情防控资金范畴，例如：单位职工流感疫苗款、与疫情无关的差旅费及餐费等。</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2" w:firstLineChars="200"/>
        <w:textAlignment w:val="auto"/>
        <w:outlineLvl w:val="9"/>
        <w:rPr>
          <w:rFonts w:hint="eastAsia" w:ascii="仿宋" w:hAnsi="仿宋" w:eastAsia="仿宋" w:cs="仿宋"/>
          <w:b/>
          <w:bCs w:val="0"/>
          <w:sz w:val="28"/>
          <w:szCs w:val="28"/>
          <w:highlight w:val="none"/>
          <w:lang w:val="en-US" w:eastAsia="zh-CN" w:bidi="ar"/>
        </w:rPr>
      </w:pPr>
      <w:r>
        <w:rPr>
          <w:rFonts w:hint="eastAsia" w:ascii="仿宋" w:hAnsi="仿宋" w:eastAsia="仿宋" w:cs="仿宋"/>
          <w:b/>
          <w:bCs w:val="0"/>
          <w:sz w:val="28"/>
          <w:szCs w:val="28"/>
          <w:highlight w:val="none"/>
          <w:lang w:val="en-US" w:eastAsia="zh-CN" w:bidi="ar"/>
        </w:rPr>
        <w:t>（四）建议</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hint="eastAsia" w:ascii="仿宋" w:hAnsi="仿宋" w:eastAsia="仿宋" w:cs="仿宋"/>
          <w:b w:val="0"/>
          <w:bCs/>
          <w:sz w:val="28"/>
          <w:szCs w:val="28"/>
          <w:highlight w:val="none"/>
          <w:lang w:val="en-US" w:eastAsia="zh-CN"/>
        </w:rPr>
        <w:sectPr>
          <w:headerReference r:id="rId10"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 w:hAnsi="仿宋" w:eastAsia="仿宋" w:cs="仿宋"/>
          <w:b w:val="0"/>
          <w:bCs/>
          <w:kern w:val="2"/>
          <w:sz w:val="28"/>
          <w:szCs w:val="28"/>
          <w:highlight w:val="none"/>
          <w:lang w:val="en-US" w:eastAsia="zh-CN" w:bidi="ar-SA"/>
        </w:rPr>
        <w:t>制定切实可行的资金管理办法，并且将未能够使用完毕的资金及时返回财政，规范资金的使用，精准、有效地支付，提高资金的使用效益</w:t>
      </w:r>
      <w:r>
        <w:rPr>
          <w:rFonts w:hint="eastAsia" w:ascii="仿宋" w:hAnsi="仿宋" w:eastAsia="仿宋" w:cs="仿宋"/>
          <w:b w:val="0"/>
          <w:bCs/>
          <w:sz w:val="28"/>
          <w:szCs w:val="28"/>
          <w:highlight w:val="none"/>
          <w:lang w:val="en-US" w:eastAsia="zh-CN"/>
        </w:rPr>
        <w:t>。</w:t>
      </w:r>
    </w:p>
    <w:p>
      <w:pPr>
        <w:pStyle w:val="6"/>
        <w:pBdr>
          <w:bottom w:val="none" w:color="auto" w:sz="0" w:space="1"/>
        </w:pBdr>
        <w:jc w:val="both"/>
        <w:outlineLvl w:val="0"/>
        <w:rPr>
          <w:rFonts w:hint="eastAsia" w:ascii="仿宋" w:hAnsi="仿宋" w:eastAsia="仿宋"/>
          <w:b/>
          <w:bCs/>
          <w:sz w:val="28"/>
          <w:szCs w:val="36"/>
          <w:highlight w:val="none"/>
          <w:lang w:val="en-US" w:eastAsia="zh-CN"/>
        </w:rPr>
      </w:pPr>
      <w:bookmarkStart w:id="403" w:name="_Toc23191"/>
      <w:r>
        <w:rPr>
          <w:rFonts w:hint="eastAsia" w:ascii="仿宋" w:hAnsi="仿宋" w:eastAsia="仿宋" w:cs="仿宋"/>
          <w:sz w:val="20"/>
          <w:szCs w:val="20"/>
          <w:highlight w:val="none"/>
          <w:lang w:val="en-US" w:eastAsia="zh-CN"/>
        </w:rPr>
        <w:t>附件3：基础信息表</w:t>
      </w:r>
      <w:bookmarkEnd w:id="403"/>
    </w:p>
    <w:tbl>
      <w:tblPr>
        <w:tblStyle w:val="10"/>
        <w:tblW w:w="84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70"/>
        <w:gridCol w:w="1761"/>
        <w:gridCol w:w="584"/>
        <w:gridCol w:w="1134"/>
        <w:gridCol w:w="700"/>
        <w:gridCol w:w="382"/>
        <w:gridCol w:w="1209"/>
        <w:gridCol w:w="27"/>
        <w:gridCol w:w="11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8416" w:type="dxa"/>
            <w:gridSpan w:val="9"/>
            <w:shd w:val="clear" w:color="auto" w:fill="auto"/>
            <w:noWrap/>
            <w:tcMar>
              <w:top w:w="15" w:type="dxa"/>
              <w:left w:w="15" w:type="dxa"/>
              <w:right w:w="15" w:type="dxa"/>
            </w:tcMar>
            <w:vAlign w:val="center"/>
          </w:tcPr>
          <w:p>
            <w:pPr>
              <w:pStyle w:val="4"/>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right="0" w:rightChars="0"/>
              <w:jc w:val="center"/>
              <w:textAlignment w:val="auto"/>
              <w:outlineLvl w:val="0"/>
              <w:rPr>
                <w:rFonts w:hint="eastAsia" w:ascii="仿宋" w:hAnsi="仿宋" w:eastAsia="仿宋" w:cs="仿宋"/>
                <w:b/>
                <w:kern w:val="2"/>
                <w:sz w:val="32"/>
                <w:szCs w:val="24"/>
                <w:highlight w:val="none"/>
                <w:lang w:val="en-US" w:eastAsia="zh-CN" w:bidi="ar-SA"/>
              </w:rPr>
            </w:pPr>
            <w:bookmarkStart w:id="404" w:name="_Toc6817"/>
            <w:bookmarkStart w:id="405" w:name="_Toc14181"/>
            <w:r>
              <w:rPr>
                <w:rFonts w:hint="eastAsia" w:ascii="仿宋" w:hAnsi="仿宋" w:eastAsia="仿宋" w:cs="仿宋"/>
                <w:b/>
                <w:kern w:val="2"/>
                <w:sz w:val="32"/>
                <w:szCs w:val="24"/>
                <w:highlight w:val="none"/>
                <w:lang w:val="en-US" w:eastAsia="zh-CN" w:bidi="ar-SA"/>
              </w:rPr>
              <w:t>基础信息表</w:t>
            </w:r>
            <w:bookmarkEnd w:id="404"/>
            <w:bookmarkEnd w:id="405"/>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 w:hAnsi="仿宋" w:eastAsia="仿宋" w:cs="仿宋"/>
                <w:sz w:val="40"/>
                <w:szCs w:val="40"/>
                <w:highlight w:val="none"/>
                <w:lang w:val="en-US"/>
              </w:rPr>
            </w:pPr>
            <w:r>
              <w:rPr>
                <w:rFonts w:hint="eastAsia" w:ascii="仿宋" w:hAnsi="仿宋" w:eastAsia="仿宋" w:cs="仿宋"/>
                <w:b/>
                <w:kern w:val="2"/>
                <w:sz w:val="32"/>
                <w:szCs w:val="24"/>
                <w:highlight w:val="none"/>
                <w:lang w:val="en-US" w:eastAsia="zh-CN" w:bidi="ar-SA"/>
              </w:rPr>
              <w:t>永济市项目支出绩效目标申报表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4" w:hRule="atLeast"/>
        </w:trPr>
        <w:tc>
          <w:tcPr>
            <w:tcW w:w="8416" w:type="dxa"/>
            <w:gridSpan w:val="9"/>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 w:hAnsi="仿宋" w:eastAsia="仿宋" w:cs="仿宋"/>
                <w:sz w:val="28"/>
                <w:szCs w:val="28"/>
                <w:highlight w:val="none"/>
                <w:lang w:val="en-US"/>
              </w:rPr>
            </w:pPr>
            <w:r>
              <w:rPr>
                <w:rFonts w:hint="eastAsia" w:ascii="仿宋" w:hAnsi="仿宋" w:eastAsia="仿宋" w:cs="仿宋"/>
                <w:kern w:val="0"/>
                <w:sz w:val="28"/>
                <w:szCs w:val="28"/>
                <w:highlight w:val="none"/>
                <w:lang w:val="en-US" w:eastAsia="zh-CN" w:bidi="ar"/>
              </w:rPr>
              <w:t>（2021年度）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2" w:hRule="atLeast"/>
        </w:trPr>
        <w:tc>
          <w:tcPr>
            <w:tcW w:w="3231" w:type="dxa"/>
            <w:gridSpan w:val="2"/>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填报单位（盖章）</w:t>
            </w:r>
          </w:p>
        </w:tc>
        <w:tc>
          <w:tcPr>
            <w:tcW w:w="1718" w:type="dxa"/>
            <w:gridSpan w:val="2"/>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082" w:type="dxa"/>
            <w:gridSpan w:val="2"/>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209"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176" w:type="dxa"/>
            <w:gridSpan w:val="2"/>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rPr>
        <w:tc>
          <w:tcPr>
            <w:tcW w:w="14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项目名称</w:t>
            </w:r>
          </w:p>
        </w:tc>
        <w:tc>
          <w:tcPr>
            <w:tcW w:w="2345"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 w:val="22"/>
                <w:szCs w:val="22"/>
                <w:highlight w:val="none"/>
                <w:lang w:val="en-US"/>
              </w:rPr>
            </w:pPr>
            <w:r>
              <w:rPr>
                <w:rFonts w:hint="eastAsia" w:ascii="仿宋" w:hAnsi="仿宋" w:eastAsia="仿宋" w:cs="仿宋"/>
                <w:kern w:val="0"/>
                <w:sz w:val="22"/>
                <w:szCs w:val="22"/>
                <w:highlight w:val="none"/>
                <w:lang w:val="en-US" w:eastAsia="zh-CN" w:bidi="ar"/>
              </w:rPr>
              <w:t>鼎泰疫情隔离点费用</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项目属性</w:t>
            </w:r>
          </w:p>
        </w:tc>
        <w:tc>
          <w:tcPr>
            <w:tcW w:w="3467"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新增项目□  延续项目□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0" w:hRule="atLeast"/>
        </w:trPr>
        <w:tc>
          <w:tcPr>
            <w:tcW w:w="14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主管部门</w:t>
            </w:r>
          </w:p>
        </w:tc>
        <w:tc>
          <w:tcPr>
            <w:tcW w:w="2345"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 w:val="20"/>
                <w:szCs w:val="20"/>
                <w:highlight w:val="none"/>
                <w:lang w:val="en-US"/>
              </w:rPr>
            </w:pPr>
            <w:r>
              <w:rPr>
                <w:rFonts w:hint="eastAsia" w:ascii="仿宋" w:hAnsi="仿宋" w:eastAsia="仿宋" w:cs="仿宋"/>
                <w:kern w:val="0"/>
                <w:sz w:val="20"/>
                <w:szCs w:val="20"/>
                <w:highlight w:val="none"/>
                <w:lang w:val="en-US" w:eastAsia="zh-CN" w:bidi="ar"/>
              </w:rPr>
              <w:t>永济市卫生健康和体育局</w:t>
            </w:r>
          </w:p>
        </w:tc>
        <w:tc>
          <w:tcPr>
            <w:tcW w:w="11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主管部门</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负责人</w:t>
            </w:r>
          </w:p>
        </w:tc>
        <w:tc>
          <w:tcPr>
            <w:tcW w:w="3467"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张文军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rPr>
        <w:tc>
          <w:tcPr>
            <w:tcW w:w="14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项目实施单位</w:t>
            </w:r>
          </w:p>
        </w:tc>
        <w:tc>
          <w:tcPr>
            <w:tcW w:w="2345"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 w:val="20"/>
                <w:szCs w:val="20"/>
                <w:highlight w:val="none"/>
                <w:lang w:val="en-US"/>
              </w:rPr>
            </w:pPr>
            <w:r>
              <w:rPr>
                <w:rFonts w:hint="eastAsia" w:ascii="仿宋" w:hAnsi="仿宋" w:eastAsia="仿宋" w:cs="仿宋"/>
                <w:kern w:val="0"/>
                <w:sz w:val="20"/>
                <w:szCs w:val="20"/>
                <w:highlight w:val="none"/>
                <w:lang w:val="en-US" w:eastAsia="zh-CN" w:bidi="ar"/>
              </w:rPr>
              <w:t>永济市卫生健康和体育局</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项目负责人</w:t>
            </w: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张文军</w:t>
            </w:r>
          </w:p>
        </w:tc>
        <w:tc>
          <w:tcPr>
            <w:tcW w:w="12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联系电话</w:t>
            </w:r>
          </w:p>
        </w:tc>
        <w:tc>
          <w:tcPr>
            <w:tcW w:w="1176"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8086266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rPr>
        <w:tc>
          <w:tcPr>
            <w:tcW w:w="14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项目起止时间</w:t>
            </w:r>
          </w:p>
        </w:tc>
        <w:tc>
          <w:tcPr>
            <w:tcW w:w="6946"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2021.1-2021.12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147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项目资金申请</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（万元）</w:t>
            </w:r>
          </w:p>
        </w:tc>
        <w:tc>
          <w:tcPr>
            <w:tcW w:w="6946"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资金总额：69万元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147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6946"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xml:space="preserve">        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147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6946"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xml:space="preserve">            上级资金：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147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6946"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xml:space="preserve">            本级资金：69万元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035" w:hRule="atLeast"/>
        </w:trPr>
        <w:tc>
          <w:tcPr>
            <w:tcW w:w="14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单位职能概述</w:t>
            </w:r>
          </w:p>
        </w:tc>
        <w:tc>
          <w:tcPr>
            <w:tcW w:w="6946" w:type="dxa"/>
            <w:gridSpan w:val="8"/>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highlight w:val="none"/>
                <w:lang w:val="en-US"/>
              </w:rPr>
            </w:pPr>
            <w:r>
              <w:rPr>
                <w:rFonts w:hint="eastAsia" w:ascii="仿宋" w:hAnsi="仿宋" w:eastAsia="仿宋" w:cs="仿宋"/>
                <w:color w:val="000000"/>
                <w:kern w:val="0"/>
                <w:sz w:val="24"/>
                <w:szCs w:val="24"/>
                <w:highlight w:val="none"/>
                <w:lang w:val="en-US" w:eastAsia="zh-CN" w:bidi="ar"/>
              </w:rPr>
              <w:t>贯彻执行党和国家国民健康方针政策，组织实施国家、省和市卫生健康委员会以及体育局制定的规章草案和政策、规划，负责职责范围内的标准化工作。统筹规划卫生健康资源配置，负责区域卫生健康规划编制和实施。制定并组织实施推进卫生健康基本公共卫生服务均等化、普惠化、便捷化和公共资源向基层延伸等政策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80" w:hRule="atLeast"/>
        </w:trPr>
        <w:tc>
          <w:tcPr>
            <w:tcW w:w="14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项目概况</w:t>
            </w:r>
          </w:p>
        </w:tc>
        <w:tc>
          <w:tcPr>
            <w:tcW w:w="6946" w:type="dxa"/>
            <w:gridSpan w:val="8"/>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根据永济市新冠肺炎疫情指挥部的通知，经疫情指挥部会议决定立即在启动两个隔离点、十五个疫情卡点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9" w:hRule="atLeast"/>
        </w:trPr>
        <w:tc>
          <w:tcPr>
            <w:tcW w:w="1470"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项目立项情况</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项目立项的依据</w:t>
            </w:r>
          </w:p>
        </w:tc>
        <w:tc>
          <w:tcPr>
            <w:tcW w:w="5185" w:type="dxa"/>
            <w:gridSpan w:val="7"/>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经永济市新冠疫情指挥部会议决定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3" w:hRule="atLeast"/>
        </w:trPr>
        <w:tc>
          <w:tcPr>
            <w:tcW w:w="147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项目申报的可行性</w:t>
            </w:r>
          </w:p>
        </w:tc>
        <w:tc>
          <w:tcPr>
            <w:tcW w:w="5185" w:type="dxa"/>
            <w:gridSpan w:val="7"/>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制定新冠肺炎疫情资金实施方案和资金管理制度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24" w:hRule="atLeast"/>
        </w:trPr>
        <w:tc>
          <w:tcPr>
            <w:tcW w:w="147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项目申报的必要性</w:t>
            </w:r>
          </w:p>
        </w:tc>
        <w:tc>
          <w:tcPr>
            <w:tcW w:w="5185" w:type="dxa"/>
            <w:gridSpan w:val="7"/>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应对严峻复杂的疫情防控形势，加固防范化解疫情风险底板，守住不发生疫情反弹复燃的底线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9" w:hRule="atLeast"/>
        </w:trPr>
        <w:tc>
          <w:tcPr>
            <w:tcW w:w="147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项目实施进度</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计划</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项目实施内容</w:t>
            </w:r>
          </w:p>
        </w:tc>
        <w:tc>
          <w:tcPr>
            <w:tcW w:w="241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开始时间</w:t>
            </w:r>
          </w:p>
        </w:tc>
        <w:tc>
          <w:tcPr>
            <w:tcW w:w="2767"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完成时间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9" w:hRule="atLeast"/>
        </w:trPr>
        <w:tc>
          <w:tcPr>
            <w:tcW w:w="147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发放疫情隔离点补助</w:t>
            </w:r>
          </w:p>
        </w:tc>
        <w:tc>
          <w:tcPr>
            <w:tcW w:w="241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2021.1</w:t>
            </w:r>
          </w:p>
        </w:tc>
        <w:tc>
          <w:tcPr>
            <w:tcW w:w="2767"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9" w:hRule="atLeast"/>
        </w:trPr>
        <w:tc>
          <w:tcPr>
            <w:tcW w:w="147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项目绩效目标</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长期目标</w:t>
            </w:r>
          </w:p>
        </w:tc>
        <w:tc>
          <w:tcPr>
            <w:tcW w:w="5185" w:type="dxa"/>
            <w:gridSpan w:val="7"/>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年度目标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40" w:hRule="atLeast"/>
        </w:trPr>
        <w:tc>
          <w:tcPr>
            <w:tcW w:w="147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给予鼎泰隔离点发放补助</w:t>
            </w:r>
          </w:p>
        </w:tc>
        <w:tc>
          <w:tcPr>
            <w:tcW w:w="5185" w:type="dxa"/>
            <w:gridSpan w:val="7"/>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应对严峻复杂的疫情防控形势，加固防范化解疫情风险底板，守住不发生疫情反弹复燃的底线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75" w:hRule="atLeast"/>
        </w:trPr>
        <w:tc>
          <w:tcPr>
            <w:tcW w:w="1470" w:type="dxa"/>
            <w:vMerge w:val="restart"/>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绩效指标</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绩效指标</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一级指标</w:t>
            </w:r>
          </w:p>
        </w:tc>
        <w:tc>
          <w:tcPr>
            <w:tcW w:w="171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二级指标</w:t>
            </w:r>
          </w:p>
        </w:tc>
        <w:tc>
          <w:tcPr>
            <w:tcW w:w="231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三级指标</w:t>
            </w:r>
          </w:p>
        </w:tc>
        <w:tc>
          <w:tcPr>
            <w:tcW w:w="114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trPr>
        <w:tc>
          <w:tcPr>
            <w:tcW w:w="147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产出指标</w:t>
            </w:r>
          </w:p>
        </w:tc>
        <w:tc>
          <w:tcPr>
            <w:tcW w:w="171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数量指标</w:t>
            </w:r>
          </w:p>
        </w:tc>
        <w:tc>
          <w:tcPr>
            <w:tcW w:w="231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隔离点数量</w:t>
            </w:r>
          </w:p>
        </w:tc>
        <w:tc>
          <w:tcPr>
            <w:tcW w:w="114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147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71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质量指标</w:t>
            </w:r>
          </w:p>
        </w:tc>
        <w:tc>
          <w:tcPr>
            <w:tcW w:w="231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防疫物品合格率</w:t>
            </w:r>
          </w:p>
        </w:tc>
        <w:tc>
          <w:tcPr>
            <w:tcW w:w="114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trPr>
        <w:tc>
          <w:tcPr>
            <w:tcW w:w="147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718"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31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防疫物品使用率</w:t>
            </w:r>
          </w:p>
        </w:tc>
        <w:tc>
          <w:tcPr>
            <w:tcW w:w="114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147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71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成本指标</w:t>
            </w:r>
          </w:p>
        </w:tc>
        <w:tc>
          <w:tcPr>
            <w:tcW w:w="231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隔离点饭费标准</w:t>
            </w:r>
          </w:p>
        </w:tc>
        <w:tc>
          <w:tcPr>
            <w:tcW w:w="114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60/人/天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trPr>
        <w:tc>
          <w:tcPr>
            <w:tcW w:w="147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718"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31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隔离点住宿费标准</w:t>
            </w:r>
          </w:p>
        </w:tc>
        <w:tc>
          <w:tcPr>
            <w:tcW w:w="114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100/人/</w:t>
            </w:r>
            <w:r>
              <w:rPr>
                <w:rFonts w:hint="eastAsia" w:ascii="仿宋" w:hAnsi="仿宋" w:eastAsia="仿宋" w:cs="仿宋"/>
                <w:vanish/>
                <w:kern w:val="0"/>
                <w:sz w:val="24"/>
                <w:szCs w:val="24"/>
                <w:highlight w:val="none"/>
                <w:lang w:val="en-US" w:eastAsia="zh-CN" w:bidi="ar"/>
              </w:rPr>
              <w:t>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147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vMerge w:val="restart"/>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718"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社会效益</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指标</w:t>
            </w:r>
          </w:p>
        </w:tc>
        <w:tc>
          <w:tcPr>
            <w:tcW w:w="231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加固疫情风险底板</w:t>
            </w:r>
          </w:p>
        </w:tc>
        <w:tc>
          <w:tcPr>
            <w:tcW w:w="114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不断加固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147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vMerge w:val="continue"/>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718"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31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守住疫情反弹底线</w:t>
            </w:r>
          </w:p>
        </w:tc>
        <w:tc>
          <w:tcPr>
            <w:tcW w:w="114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147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vMerge w:val="continue"/>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718"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可持续影响</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指标</w:t>
            </w:r>
          </w:p>
        </w:tc>
        <w:tc>
          <w:tcPr>
            <w:tcW w:w="231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减少新华肺炎传播率</w:t>
            </w:r>
          </w:p>
        </w:tc>
        <w:tc>
          <w:tcPr>
            <w:tcW w:w="114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147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vMerge w:val="continue"/>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718"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31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增加人民群众战胜疫情的信心</w:t>
            </w:r>
          </w:p>
        </w:tc>
        <w:tc>
          <w:tcPr>
            <w:tcW w:w="114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147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满意度指标</w:t>
            </w:r>
          </w:p>
        </w:tc>
        <w:tc>
          <w:tcPr>
            <w:tcW w:w="1718"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服务对象满意度指标</w:t>
            </w:r>
          </w:p>
        </w:tc>
        <w:tc>
          <w:tcPr>
            <w:tcW w:w="231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服务对象满意度</w:t>
            </w:r>
          </w:p>
        </w:tc>
        <w:tc>
          <w:tcPr>
            <w:tcW w:w="114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147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61"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718"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31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市民满意度</w:t>
            </w:r>
          </w:p>
        </w:tc>
        <w:tc>
          <w:tcPr>
            <w:tcW w:w="114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45" w:hRule="atLeast"/>
        </w:trPr>
        <w:tc>
          <w:tcPr>
            <w:tcW w:w="14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其他说明的</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问题</w:t>
            </w:r>
          </w:p>
        </w:tc>
        <w:tc>
          <w:tcPr>
            <w:tcW w:w="6946"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7240" w:type="dxa"/>
            <w:gridSpan w:val="7"/>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填报人：  　　　　       单位负责人：　　　　　　　填报日期：</w:t>
            </w:r>
          </w:p>
        </w:tc>
        <w:tc>
          <w:tcPr>
            <w:tcW w:w="1176" w:type="dxa"/>
            <w:gridSpan w:val="2"/>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bl>
    <w:p>
      <w:pPr>
        <w:pStyle w:val="2"/>
        <w:rPr>
          <w:rFonts w:hint="eastAsia" w:ascii="仿宋" w:hAnsi="仿宋" w:eastAsia="仿宋"/>
          <w:b/>
          <w:bCs/>
          <w:sz w:val="28"/>
          <w:szCs w:val="36"/>
          <w:highlight w:val="none"/>
          <w:lang w:val="en-US" w:eastAsia="zh-CN"/>
        </w:rPr>
        <w:sectPr>
          <w:headerReference r:id="rId11"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0"/>
        <w:tblW w:w="86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594"/>
        <w:gridCol w:w="1337"/>
        <w:gridCol w:w="954"/>
        <w:gridCol w:w="405"/>
        <w:gridCol w:w="223"/>
        <w:gridCol w:w="17"/>
        <w:gridCol w:w="346"/>
        <w:gridCol w:w="755"/>
        <w:gridCol w:w="781"/>
        <w:gridCol w:w="864"/>
        <w:gridCol w:w="409"/>
        <w:gridCol w:w="685"/>
        <w:gridCol w:w="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8610" w:type="dxa"/>
            <w:gridSpan w:val="13"/>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40"/>
                <w:szCs w:val="40"/>
                <w:highlight w:val="none"/>
                <w:lang w:val="en-US"/>
              </w:rPr>
            </w:pPr>
            <w:r>
              <w:rPr>
                <w:rFonts w:hint="eastAsia" w:ascii="仿宋" w:hAnsi="仿宋" w:eastAsia="仿宋" w:cs="仿宋"/>
                <w:b/>
                <w:kern w:val="2"/>
                <w:sz w:val="32"/>
                <w:szCs w:val="24"/>
                <w:highlight w:val="none"/>
                <w:lang w:val="en-US" w:eastAsia="zh-CN" w:bidi="ar-SA"/>
              </w:rPr>
              <w:t>永济市项目支出绩效目标申报表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trPr>
        <w:tc>
          <w:tcPr>
            <w:tcW w:w="8610" w:type="dxa"/>
            <w:gridSpan w:val="13"/>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8"/>
                <w:szCs w:val="28"/>
                <w:highlight w:val="none"/>
                <w:lang w:val="en-US"/>
              </w:rPr>
            </w:pPr>
            <w:r>
              <w:rPr>
                <w:rFonts w:hint="eastAsia" w:ascii="仿宋" w:hAnsi="仿宋" w:eastAsia="仿宋" w:cs="仿宋"/>
                <w:kern w:val="0"/>
                <w:sz w:val="28"/>
                <w:szCs w:val="28"/>
                <w:highlight w:val="none"/>
                <w:lang w:val="en-US" w:eastAsia="zh-CN" w:bidi="ar"/>
              </w:rPr>
              <w:t>（2021年度）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0" w:hRule="atLeast"/>
        </w:trPr>
        <w:tc>
          <w:tcPr>
            <w:tcW w:w="8370" w:type="dxa"/>
            <w:gridSpan w:val="12"/>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40"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2" w:hRule="atLeast"/>
        </w:trPr>
        <w:tc>
          <w:tcPr>
            <w:tcW w:w="4290" w:type="dxa"/>
            <w:gridSpan w:val="4"/>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填报单位（盖章）</w:t>
            </w:r>
          </w:p>
        </w:tc>
        <w:tc>
          <w:tcPr>
            <w:tcW w:w="240" w:type="dxa"/>
            <w:gridSpan w:val="2"/>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3840" w:type="dxa"/>
            <w:gridSpan w:val="6"/>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40"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rPr>
        <w:tc>
          <w:tcPr>
            <w:tcW w:w="159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项目名称</w:t>
            </w:r>
          </w:p>
        </w:tc>
        <w:tc>
          <w:tcPr>
            <w:tcW w:w="269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 w:val="22"/>
                <w:szCs w:val="22"/>
                <w:highlight w:val="none"/>
                <w:lang w:val="en-US"/>
              </w:rPr>
            </w:pPr>
            <w:r>
              <w:rPr>
                <w:rFonts w:hint="eastAsia" w:ascii="仿宋" w:hAnsi="仿宋" w:eastAsia="仿宋" w:cs="仿宋"/>
                <w:kern w:val="0"/>
                <w:sz w:val="22"/>
                <w:szCs w:val="22"/>
                <w:highlight w:val="none"/>
                <w:lang w:val="en-US" w:eastAsia="zh-CN" w:bidi="ar"/>
              </w:rPr>
              <w:t>核酸实验室建设</w:t>
            </w:r>
          </w:p>
        </w:tc>
        <w:tc>
          <w:tcPr>
            <w:tcW w:w="1341"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项目属性</w:t>
            </w:r>
          </w:p>
        </w:tc>
        <w:tc>
          <w:tcPr>
            <w:tcW w:w="2979"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新增项目□  延续项目□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0" w:hRule="atLeast"/>
        </w:trPr>
        <w:tc>
          <w:tcPr>
            <w:tcW w:w="159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主管部门</w:t>
            </w:r>
          </w:p>
        </w:tc>
        <w:tc>
          <w:tcPr>
            <w:tcW w:w="269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 w:val="20"/>
                <w:szCs w:val="20"/>
                <w:highlight w:val="none"/>
                <w:lang w:val="en-US"/>
              </w:rPr>
            </w:pPr>
            <w:r>
              <w:rPr>
                <w:rFonts w:hint="eastAsia" w:ascii="仿宋" w:hAnsi="仿宋" w:eastAsia="仿宋" w:cs="仿宋"/>
                <w:kern w:val="0"/>
                <w:sz w:val="20"/>
                <w:szCs w:val="20"/>
                <w:highlight w:val="none"/>
                <w:lang w:val="en-US" w:eastAsia="zh-CN" w:bidi="ar"/>
              </w:rPr>
              <w:t>永济市卫生健康和体育局</w:t>
            </w:r>
          </w:p>
        </w:tc>
        <w:tc>
          <w:tcPr>
            <w:tcW w:w="1341"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主管部门</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负责人</w:t>
            </w:r>
          </w:p>
        </w:tc>
        <w:tc>
          <w:tcPr>
            <w:tcW w:w="2979"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张文军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72" w:hRule="atLeast"/>
        </w:trPr>
        <w:tc>
          <w:tcPr>
            <w:tcW w:w="159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项目实施单位</w:t>
            </w:r>
          </w:p>
        </w:tc>
        <w:tc>
          <w:tcPr>
            <w:tcW w:w="269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永济市卫生健康和体育</w:t>
            </w:r>
            <w:r>
              <w:rPr>
                <w:rFonts w:hint="eastAsia" w:ascii="仿宋" w:hAnsi="仿宋" w:eastAsia="仿宋" w:cs="仿宋"/>
                <w:vanish/>
                <w:kern w:val="0"/>
                <w:sz w:val="24"/>
                <w:szCs w:val="24"/>
                <w:highlight w:val="none"/>
                <w:lang w:val="en-US" w:eastAsia="zh-CN" w:bidi="ar"/>
              </w:rPr>
              <w:t>局</w:t>
            </w:r>
          </w:p>
        </w:tc>
        <w:tc>
          <w:tcPr>
            <w:tcW w:w="1341"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项目负责人</w:t>
            </w:r>
          </w:p>
        </w:tc>
        <w:tc>
          <w:tcPr>
            <w:tcW w:w="78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陈文革</w:t>
            </w:r>
          </w:p>
        </w:tc>
        <w:tc>
          <w:tcPr>
            <w:tcW w:w="127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联系电话</w:t>
            </w:r>
          </w:p>
        </w:tc>
        <w:tc>
          <w:tcPr>
            <w:tcW w:w="925"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8086266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rPr>
        <w:tc>
          <w:tcPr>
            <w:tcW w:w="159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项目起止时间</w:t>
            </w:r>
          </w:p>
        </w:tc>
        <w:tc>
          <w:tcPr>
            <w:tcW w:w="7016" w:type="dxa"/>
            <w:gridSpan w:val="1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2021.1-2021.12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159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项目资金申请</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（万元）</w:t>
            </w:r>
          </w:p>
        </w:tc>
        <w:tc>
          <w:tcPr>
            <w:tcW w:w="7016" w:type="dxa"/>
            <w:gridSpan w:val="1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资金总额：879.61万元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159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7016" w:type="dxa"/>
            <w:gridSpan w:val="1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xml:space="preserve">        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159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7016" w:type="dxa"/>
            <w:gridSpan w:val="1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xml:space="preserve">            上级资金：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159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7016" w:type="dxa"/>
            <w:gridSpan w:val="1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xml:space="preserve">            本级资金：879.61万元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86" w:hRule="atLeast"/>
        </w:trPr>
        <w:tc>
          <w:tcPr>
            <w:tcW w:w="159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单位职能概述</w:t>
            </w:r>
          </w:p>
        </w:tc>
        <w:tc>
          <w:tcPr>
            <w:tcW w:w="7016" w:type="dxa"/>
            <w:gridSpan w:val="1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highlight w:val="none"/>
                <w:lang w:val="en-US"/>
              </w:rPr>
            </w:pPr>
            <w:r>
              <w:rPr>
                <w:rFonts w:hint="eastAsia" w:ascii="仿宋" w:hAnsi="仿宋" w:eastAsia="仿宋" w:cs="仿宋"/>
                <w:color w:val="000000"/>
                <w:kern w:val="0"/>
                <w:sz w:val="24"/>
                <w:szCs w:val="24"/>
                <w:highlight w:val="none"/>
                <w:lang w:val="en-US" w:eastAsia="zh-CN" w:bidi="ar"/>
              </w:rPr>
              <w:t>贯彻执行党和国家国民健康方针政策，组织实施国家、省和市卫生健康委员会以及体育局制定的规章草案和政策、规划，负责职责范围内的标准化工作。统筹规划卫生健康资源配置，负责区域卫生健康规划编制和实施。制定并组织实施推进卫生健康基本公共卫生服务均等化、普惠化、便捷化和公共资源向基层延伸等政策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29" w:hRule="atLeast"/>
        </w:trPr>
        <w:tc>
          <w:tcPr>
            <w:tcW w:w="159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项目概况</w:t>
            </w:r>
          </w:p>
        </w:tc>
        <w:tc>
          <w:tcPr>
            <w:tcW w:w="7016" w:type="dxa"/>
            <w:gridSpan w:val="1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建设核酸试验室，推进核酸检测工作迅速达到5-7日内完成辖区内全员核酸检测能力目标。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1594"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项目立项情况</w:t>
            </w:r>
          </w:p>
        </w:tc>
        <w:tc>
          <w:tcPr>
            <w:tcW w:w="2936"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项目立项的依据</w:t>
            </w:r>
          </w:p>
        </w:tc>
        <w:tc>
          <w:tcPr>
            <w:tcW w:w="4080" w:type="dxa"/>
            <w:gridSpan w:val="7"/>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晋疫情防控给领导组【2020】15号文件要求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59" w:hRule="atLeast"/>
        </w:trPr>
        <w:tc>
          <w:tcPr>
            <w:tcW w:w="1594"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936"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项目申报的可行性</w:t>
            </w:r>
          </w:p>
        </w:tc>
        <w:tc>
          <w:tcPr>
            <w:tcW w:w="4080" w:type="dxa"/>
            <w:gridSpan w:val="7"/>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制定项目资金管理制度和内控制度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57" w:hRule="atLeast"/>
        </w:trPr>
        <w:tc>
          <w:tcPr>
            <w:tcW w:w="1594"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936"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项目申报的必要性</w:t>
            </w:r>
          </w:p>
        </w:tc>
        <w:tc>
          <w:tcPr>
            <w:tcW w:w="4080" w:type="dxa"/>
            <w:gridSpan w:val="7"/>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推进核酸检测工作迅速达到5-7日内完成辖区内全员核酸检测能力目标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9" w:hRule="atLeast"/>
        </w:trPr>
        <w:tc>
          <w:tcPr>
            <w:tcW w:w="159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项目实施进度</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计划</w:t>
            </w:r>
          </w:p>
        </w:tc>
        <w:tc>
          <w:tcPr>
            <w:tcW w:w="229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项目实施内容</w:t>
            </w:r>
          </w:p>
        </w:tc>
        <w:tc>
          <w:tcPr>
            <w:tcW w:w="2527" w:type="dxa"/>
            <w:gridSpan w:val="6"/>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开始时间</w:t>
            </w:r>
          </w:p>
        </w:tc>
        <w:tc>
          <w:tcPr>
            <w:tcW w:w="219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完成时间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rPr>
        <w:tc>
          <w:tcPr>
            <w:tcW w:w="159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29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建设核酸实验室</w:t>
            </w:r>
          </w:p>
        </w:tc>
        <w:tc>
          <w:tcPr>
            <w:tcW w:w="2527" w:type="dxa"/>
            <w:gridSpan w:val="6"/>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2021.1</w:t>
            </w:r>
          </w:p>
        </w:tc>
        <w:tc>
          <w:tcPr>
            <w:tcW w:w="219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2" w:hRule="atLeast"/>
        </w:trPr>
        <w:tc>
          <w:tcPr>
            <w:tcW w:w="159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29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购买疫情防控物资</w:t>
            </w:r>
          </w:p>
        </w:tc>
        <w:tc>
          <w:tcPr>
            <w:tcW w:w="2527" w:type="dxa"/>
            <w:gridSpan w:val="6"/>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2021.1</w:t>
            </w:r>
          </w:p>
        </w:tc>
        <w:tc>
          <w:tcPr>
            <w:tcW w:w="2198"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5" w:hRule="atLeast"/>
        </w:trPr>
        <w:tc>
          <w:tcPr>
            <w:tcW w:w="159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项目绩效目标</w:t>
            </w:r>
          </w:p>
        </w:tc>
        <w:tc>
          <w:tcPr>
            <w:tcW w:w="3282" w:type="dxa"/>
            <w:gridSpan w:val="6"/>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长期目标</w:t>
            </w:r>
          </w:p>
        </w:tc>
        <w:tc>
          <w:tcPr>
            <w:tcW w:w="3734" w:type="dxa"/>
            <w:gridSpan w:val="6"/>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年度目标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89" w:hRule="atLeast"/>
        </w:trPr>
        <w:tc>
          <w:tcPr>
            <w:tcW w:w="159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3282" w:type="dxa"/>
            <w:gridSpan w:val="6"/>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建设核酸试验室，推进核酸检测工作迅速达到5-7日内完成辖区内全员核酸检测能力目标。</w:t>
            </w:r>
          </w:p>
        </w:tc>
        <w:tc>
          <w:tcPr>
            <w:tcW w:w="3734" w:type="dxa"/>
            <w:gridSpan w:val="6"/>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建设核酸试验室，推进核酸检测工作迅速达到5-7日内完成辖区内全员核酸检测能力目标。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594" w:type="dxa"/>
            <w:vMerge w:val="restart"/>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绩效指标</w:t>
            </w:r>
          </w:p>
        </w:tc>
        <w:tc>
          <w:tcPr>
            <w:tcW w:w="13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一级指标</w:t>
            </w:r>
          </w:p>
        </w:tc>
        <w:tc>
          <w:tcPr>
            <w:tcW w:w="15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二级指标</w:t>
            </w:r>
          </w:p>
        </w:tc>
        <w:tc>
          <w:tcPr>
            <w:tcW w:w="2763"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三级指标</w:t>
            </w:r>
          </w:p>
        </w:tc>
        <w:tc>
          <w:tcPr>
            <w:tcW w:w="13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3" w:hRule="atLeast"/>
        </w:trPr>
        <w:tc>
          <w:tcPr>
            <w:tcW w:w="1594"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37"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产出指标</w:t>
            </w:r>
          </w:p>
        </w:tc>
        <w:tc>
          <w:tcPr>
            <w:tcW w:w="1582" w:type="dxa"/>
            <w:gridSpan w:val="3"/>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数量指标</w:t>
            </w:r>
          </w:p>
        </w:tc>
        <w:tc>
          <w:tcPr>
            <w:tcW w:w="2763"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核酸实验室数量</w:t>
            </w:r>
          </w:p>
        </w:tc>
        <w:tc>
          <w:tcPr>
            <w:tcW w:w="13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6" w:hRule="atLeast"/>
        </w:trPr>
        <w:tc>
          <w:tcPr>
            <w:tcW w:w="1594"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3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582" w:type="dxa"/>
            <w:gridSpan w:val="3"/>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763"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购买核酸实验室相关设备</w:t>
            </w:r>
          </w:p>
        </w:tc>
        <w:tc>
          <w:tcPr>
            <w:tcW w:w="13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≥40台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6" w:hRule="atLeast"/>
        </w:trPr>
        <w:tc>
          <w:tcPr>
            <w:tcW w:w="1594"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3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582" w:type="dxa"/>
            <w:gridSpan w:val="3"/>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质量指标</w:t>
            </w:r>
          </w:p>
        </w:tc>
        <w:tc>
          <w:tcPr>
            <w:tcW w:w="2763"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设备合格率</w:t>
            </w:r>
          </w:p>
        </w:tc>
        <w:tc>
          <w:tcPr>
            <w:tcW w:w="13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3" w:hRule="atLeast"/>
        </w:trPr>
        <w:tc>
          <w:tcPr>
            <w:tcW w:w="1594"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3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582" w:type="dxa"/>
            <w:gridSpan w:val="3"/>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763"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设备使用率</w:t>
            </w:r>
          </w:p>
        </w:tc>
        <w:tc>
          <w:tcPr>
            <w:tcW w:w="13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7" w:hRule="atLeast"/>
        </w:trPr>
        <w:tc>
          <w:tcPr>
            <w:tcW w:w="1594"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3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5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时效指标</w:t>
            </w:r>
          </w:p>
        </w:tc>
        <w:tc>
          <w:tcPr>
            <w:tcW w:w="2763"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核酸实验室完成时间</w:t>
            </w:r>
          </w:p>
        </w:tc>
        <w:tc>
          <w:tcPr>
            <w:tcW w:w="13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1594"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3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582" w:type="dxa"/>
            <w:gridSpan w:val="3"/>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成本指标</w:t>
            </w:r>
          </w:p>
        </w:tc>
        <w:tc>
          <w:tcPr>
            <w:tcW w:w="2763"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前期费用</w:t>
            </w:r>
          </w:p>
        </w:tc>
        <w:tc>
          <w:tcPr>
            <w:tcW w:w="13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35.7万元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9" w:hRule="atLeast"/>
        </w:trPr>
        <w:tc>
          <w:tcPr>
            <w:tcW w:w="1594"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3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582" w:type="dxa"/>
            <w:gridSpan w:val="3"/>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763"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购买设备</w:t>
            </w:r>
          </w:p>
        </w:tc>
        <w:tc>
          <w:tcPr>
            <w:tcW w:w="1334"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793.91万元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5" w:hRule="atLeast"/>
        </w:trPr>
        <w:tc>
          <w:tcPr>
            <w:tcW w:w="1594"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3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582" w:type="dxa"/>
            <w:gridSpan w:val="3"/>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763"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购买物资</w:t>
            </w:r>
          </w:p>
        </w:tc>
        <w:tc>
          <w:tcPr>
            <w:tcW w:w="13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50万元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7" w:hRule="atLeast"/>
        </w:trPr>
        <w:tc>
          <w:tcPr>
            <w:tcW w:w="1594"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37" w:type="dxa"/>
            <w:vMerge w:val="restart"/>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仿宋" w:hAnsi="仿宋" w:eastAsia="仿宋" w:cs="仿宋"/>
                <w:sz w:val="20"/>
                <w:szCs w:val="20"/>
                <w:highlight w:val="none"/>
                <w:lang w:val="en-US" w:eastAsia="zh-CN"/>
              </w:rPr>
            </w:pPr>
            <w:r>
              <w:rPr>
                <w:rFonts w:hint="eastAsia" w:ascii="仿宋" w:hAnsi="仿宋" w:eastAsia="仿宋" w:cs="仿宋"/>
                <w:kern w:val="0"/>
                <w:sz w:val="24"/>
                <w:szCs w:val="24"/>
                <w:highlight w:val="none"/>
                <w:lang w:val="en-US" w:eastAsia="zh-CN" w:bidi="ar"/>
              </w:rPr>
              <w:t>效益指标</w:t>
            </w:r>
          </w:p>
        </w:tc>
        <w:tc>
          <w:tcPr>
            <w:tcW w:w="1582" w:type="dxa"/>
            <w:gridSpan w:val="3"/>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社会效益指标</w:t>
            </w:r>
          </w:p>
        </w:tc>
        <w:tc>
          <w:tcPr>
            <w:tcW w:w="2763"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提高社会稳定性</w:t>
            </w:r>
          </w:p>
        </w:tc>
        <w:tc>
          <w:tcPr>
            <w:tcW w:w="13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5" w:hRule="atLeast"/>
        </w:trPr>
        <w:tc>
          <w:tcPr>
            <w:tcW w:w="1594"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37" w:type="dxa"/>
            <w:vMerge w:val="continue"/>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582" w:type="dxa"/>
            <w:gridSpan w:val="3"/>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可持续影响</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指标</w:t>
            </w:r>
          </w:p>
        </w:tc>
        <w:tc>
          <w:tcPr>
            <w:tcW w:w="2763"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推进核酸检测能力</w:t>
            </w:r>
          </w:p>
        </w:tc>
        <w:tc>
          <w:tcPr>
            <w:tcW w:w="13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不断提高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1594"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37" w:type="dxa"/>
            <w:vMerge w:val="continue"/>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582" w:type="dxa"/>
            <w:gridSpan w:val="3"/>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763"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降低新冠病毒传播风险</w:t>
            </w:r>
          </w:p>
        </w:tc>
        <w:tc>
          <w:tcPr>
            <w:tcW w:w="13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不断降低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rPr>
        <w:tc>
          <w:tcPr>
            <w:tcW w:w="1594"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37"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满意度指标</w:t>
            </w:r>
          </w:p>
        </w:tc>
        <w:tc>
          <w:tcPr>
            <w:tcW w:w="1582" w:type="dxa"/>
            <w:gridSpan w:val="3"/>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服务对象满意度指标</w:t>
            </w:r>
          </w:p>
        </w:tc>
        <w:tc>
          <w:tcPr>
            <w:tcW w:w="2763"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核酸检测人群满意度</w:t>
            </w:r>
          </w:p>
        </w:tc>
        <w:tc>
          <w:tcPr>
            <w:tcW w:w="13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5" w:hRule="atLeast"/>
        </w:trPr>
        <w:tc>
          <w:tcPr>
            <w:tcW w:w="1594"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3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582" w:type="dxa"/>
            <w:gridSpan w:val="3"/>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763"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医务人员满意度</w:t>
            </w:r>
          </w:p>
        </w:tc>
        <w:tc>
          <w:tcPr>
            <w:tcW w:w="13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63" w:hRule="atLeast"/>
        </w:trPr>
        <w:tc>
          <w:tcPr>
            <w:tcW w:w="159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其他说明的</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问题</w:t>
            </w:r>
          </w:p>
        </w:tc>
        <w:tc>
          <w:tcPr>
            <w:tcW w:w="7016" w:type="dxa"/>
            <w:gridSpan w:val="1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7685" w:type="dxa"/>
            <w:gridSpan w:val="11"/>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填报人：  　　　　       单位负责人：　　　　　　　　填报日期：</w:t>
            </w:r>
          </w:p>
        </w:tc>
        <w:tc>
          <w:tcPr>
            <w:tcW w:w="925" w:type="dxa"/>
            <w:gridSpan w:val="2"/>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bl>
    <w:p>
      <w:pPr>
        <w:pStyle w:val="2"/>
        <w:rPr>
          <w:rFonts w:hint="eastAsia"/>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0"/>
        <w:tblW w:w="90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860"/>
        <w:gridCol w:w="1371"/>
        <w:gridCol w:w="864"/>
        <w:gridCol w:w="508"/>
        <w:gridCol w:w="573"/>
        <w:gridCol w:w="1000"/>
        <w:gridCol w:w="1273"/>
        <w:gridCol w:w="1551"/>
        <w:gridCol w:w="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9001" w:type="dxa"/>
            <w:gridSpan w:val="9"/>
            <w:tcBorders>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kern w:val="2"/>
                <w:sz w:val="32"/>
                <w:szCs w:val="24"/>
                <w:highlight w:val="none"/>
                <w:lang w:val="en-US" w:eastAsia="zh-CN" w:bidi="ar-SA"/>
              </w:rPr>
            </w:pPr>
            <w:r>
              <w:rPr>
                <w:rFonts w:hint="eastAsia" w:ascii="仿宋" w:hAnsi="仿宋" w:eastAsia="仿宋" w:cs="仿宋"/>
                <w:b/>
                <w:kern w:val="2"/>
                <w:sz w:val="32"/>
                <w:szCs w:val="24"/>
                <w:highlight w:val="none"/>
                <w:lang w:val="en-US" w:eastAsia="zh-CN" w:bidi="ar-SA"/>
              </w:rPr>
              <w:t>永济市项目支出绩效目标申报表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9001" w:type="dxa"/>
            <w:gridSpan w:val="9"/>
            <w:tcBorders>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8"/>
                <w:szCs w:val="28"/>
                <w:highlight w:val="none"/>
                <w:lang w:val="en-US"/>
              </w:rPr>
            </w:pPr>
            <w:r>
              <w:rPr>
                <w:rFonts w:hint="eastAsia" w:ascii="仿宋" w:hAnsi="仿宋" w:eastAsia="仿宋" w:cs="仿宋"/>
                <w:kern w:val="0"/>
                <w:sz w:val="28"/>
                <w:szCs w:val="28"/>
                <w:highlight w:val="none"/>
                <w:lang w:val="en-US" w:eastAsia="zh-CN" w:bidi="ar"/>
              </w:rPr>
              <w:t>（  2021 年度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432" w:hRule="atLeast"/>
        </w:trPr>
        <w:tc>
          <w:tcPr>
            <w:tcW w:w="4095" w:type="dxa"/>
            <w:gridSpan w:val="3"/>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填报单位（盖章）</w:t>
            </w:r>
          </w:p>
        </w:tc>
        <w:tc>
          <w:tcPr>
            <w:tcW w:w="508"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4397" w:type="dxa"/>
            <w:gridSpan w:val="4"/>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715" w:hRule="atLeast"/>
        </w:trPr>
        <w:tc>
          <w:tcPr>
            <w:tcW w:w="18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项目名称</w:t>
            </w:r>
          </w:p>
        </w:tc>
        <w:tc>
          <w:tcPr>
            <w:tcW w:w="2235"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新型冠状病毒疫情防护补助资金</w:t>
            </w:r>
          </w:p>
        </w:tc>
        <w:tc>
          <w:tcPr>
            <w:tcW w:w="108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项目属性</w:t>
            </w:r>
          </w:p>
        </w:tc>
        <w:tc>
          <w:tcPr>
            <w:tcW w:w="382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新增项目□  延续项目□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660" w:hRule="atLeast"/>
        </w:trPr>
        <w:tc>
          <w:tcPr>
            <w:tcW w:w="18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主管部门</w:t>
            </w:r>
          </w:p>
        </w:tc>
        <w:tc>
          <w:tcPr>
            <w:tcW w:w="2235"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永济市疫情指挥部</w:t>
            </w:r>
          </w:p>
        </w:tc>
        <w:tc>
          <w:tcPr>
            <w:tcW w:w="1081"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主管部门</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负责人</w:t>
            </w:r>
          </w:p>
        </w:tc>
        <w:tc>
          <w:tcPr>
            <w:tcW w:w="382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薛永忠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90" w:hRule="atLeast"/>
        </w:trPr>
        <w:tc>
          <w:tcPr>
            <w:tcW w:w="18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项目实施单位</w:t>
            </w:r>
          </w:p>
        </w:tc>
        <w:tc>
          <w:tcPr>
            <w:tcW w:w="2235"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永济市卫生健康和体育局</w:t>
            </w:r>
          </w:p>
        </w:tc>
        <w:tc>
          <w:tcPr>
            <w:tcW w:w="108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项目负责人</w:t>
            </w:r>
          </w:p>
        </w:tc>
        <w:tc>
          <w:tcPr>
            <w:tcW w:w="100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陈文革</w:t>
            </w:r>
          </w:p>
        </w:tc>
        <w:tc>
          <w:tcPr>
            <w:tcW w:w="127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联系电话</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13994868968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585" w:hRule="atLeast"/>
        </w:trPr>
        <w:tc>
          <w:tcPr>
            <w:tcW w:w="18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项目起止时间</w:t>
            </w:r>
          </w:p>
        </w:tc>
        <w:tc>
          <w:tcPr>
            <w:tcW w:w="7140" w:type="dxa"/>
            <w:gridSpan w:val="7"/>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2021.1.1-疫情结束前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563" w:hRule="atLeast"/>
        </w:trPr>
        <w:tc>
          <w:tcPr>
            <w:tcW w:w="186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项目资金申请</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（万元）</w:t>
            </w:r>
          </w:p>
        </w:tc>
        <w:tc>
          <w:tcPr>
            <w:tcW w:w="7140" w:type="dxa"/>
            <w:gridSpan w:val="7"/>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资金总额：                300万元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563"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7140" w:type="dxa"/>
            <w:gridSpan w:val="7"/>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xml:space="preserve">        财政拨款：        300万元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563"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7140" w:type="dxa"/>
            <w:gridSpan w:val="7"/>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xml:space="preserve">            上级资金：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563"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7140" w:type="dxa"/>
            <w:gridSpan w:val="7"/>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xml:space="preserve">            本级资金：   300万元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1811" w:hRule="atLeast"/>
        </w:trPr>
        <w:tc>
          <w:tcPr>
            <w:tcW w:w="18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单位职能概述</w:t>
            </w:r>
          </w:p>
        </w:tc>
        <w:tc>
          <w:tcPr>
            <w:tcW w:w="7140" w:type="dxa"/>
            <w:gridSpan w:val="7"/>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贯彻执行党和国家国民健康方针政策，组织实施国家、省和市卫生健康委员会以及体育局制定的规章草案和政策、规划，负责职责范围内的标准化工作。统筹规划卫生健康资源配置，负责区域卫生健康规划编制和实施。制定并组织实施推进卫生健康基本公共卫生服务均等化、普惠化、便捷化和公共资源向基层延伸等政策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505" w:hRule="atLeast"/>
        </w:trPr>
        <w:tc>
          <w:tcPr>
            <w:tcW w:w="18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项目概况</w:t>
            </w:r>
          </w:p>
        </w:tc>
        <w:tc>
          <w:tcPr>
            <w:tcW w:w="7140" w:type="dxa"/>
            <w:gridSpan w:val="7"/>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用于购买新型冠状病毒疫情防控用品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672" w:hRule="atLeast"/>
        </w:trPr>
        <w:tc>
          <w:tcPr>
            <w:tcW w:w="1860"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项目立项情况</w:t>
            </w:r>
          </w:p>
        </w:tc>
        <w:tc>
          <w:tcPr>
            <w:tcW w:w="2235"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项目立项的依据</w:t>
            </w:r>
          </w:p>
        </w:tc>
        <w:tc>
          <w:tcPr>
            <w:tcW w:w="4905" w:type="dxa"/>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晋疫情防控领导组【2020】15号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672"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235"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项目申报的可行性</w:t>
            </w:r>
          </w:p>
        </w:tc>
        <w:tc>
          <w:tcPr>
            <w:tcW w:w="4905" w:type="dxa"/>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市政府成立疫情指挥部领导小组，制定防疫物资采购制度和内控制度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672"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235"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项目申报的必要性</w:t>
            </w:r>
          </w:p>
        </w:tc>
        <w:tc>
          <w:tcPr>
            <w:tcW w:w="4905" w:type="dxa"/>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购买疫情防控用品，提升应急响应能力，防范化解重大疫情和突发公共卫生风险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438" w:hRule="atLeast"/>
        </w:trPr>
        <w:tc>
          <w:tcPr>
            <w:tcW w:w="186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项目实施进度</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计划</w:t>
            </w:r>
          </w:p>
        </w:tc>
        <w:tc>
          <w:tcPr>
            <w:tcW w:w="2235"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项目实施内容</w:t>
            </w:r>
          </w:p>
        </w:tc>
        <w:tc>
          <w:tcPr>
            <w:tcW w:w="20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开始时间</w:t>
            </w:r>
          </w:p>
        </w:tc>
        <w:tc>
          <w:tcPr>
            <w:tcW w:w="282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完成时间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383"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235"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支付隔离点费用</w:t>
            </w:r>
          </w:p>
        </w:tc>
        <w:tc>
          <w:tcPr>
            <w:tcW w:w="20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2021.1</w:t>
            </w:r>
          </w:p>
        </w:tc>
        <w:tc>
          <w:tcPr>
            <w:tcW w:w="282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410"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235"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2、购买防护用品</w:t>
            </w:r>
          </w:p>
        </w:tc>
        <w:tc>
          <w:tcPr>
            <w:tcW w:w="20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2021.1</w:t>
            </w:r>
          </w:p>
        </w:tc>
        <w:tc>
          <w:tcPr>
            <w:tcW w:w="282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疫情结束前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398" w:hRule="atLeast"/>
        </w:trPr>
        <w:tc>
          <w:tcPr>
            <w:tcW w:w="186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项目绩效目标</w:t>
            </w:r>
          </w:p>
        </w:tc>
        <w:tc>
          <w:tcPr>
            <w:tcW w:w="2743"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长期目标</w:t>
            </w:r>
          </w:p>
        </w:tc>
        <w:tc>
          <w:tcPr>
            <w:tcW w:w="4397"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年度目标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761"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743"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保障疫情防护用品储备充足，提高市民安全保障</w:t>
            </w:r>
          </w:p>
        </w:tc>
        <w:tc>
          <w:tcPr>
            <w:tcW w:w="4397"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保障疫情防护用品储备充足，提高市民安全保障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371" w:hRule="atLeast"/>
        </w:trPr>
        <w:tc>
          <w:tcPr>
            <w:tcW w:w="1860" w:type="dxa"/>
            <w:vMerge w:val="restart"/>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绩效指标</w:t>
            </w:r>
          </w:p>
        </w:tc>
        <w:tc>
          <w:tcPr>
            <w:tcW w:w="137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一级指标</w:t>
            </w:r>
          </w:p>
        </w:tc>
        <w:tc>
          <w:tcPr>
            <w:tcW w:w="1372"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二级指标</w:t>
            </w: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三级指标</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432"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restart"/>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restart"/>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数量指标</w:t>
            </w: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购买防护用品（口罩）</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≧10000个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404"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购买消毒粉</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≧300箱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450"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高铁北站防疫执勤人员数</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9人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450"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火车站防疫执勤人员数</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1人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405"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质量指标</w:t>
            </w: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医疗设备合格率</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477"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防护用品符合国家标准率</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450"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restart"/>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成本指标</w:t>
            </w: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一次性医用口罩</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0.3元/个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545"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continue"/>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高铁北站防疫人员补助</w:t>
            </w:r>
          </w:p>
        </w:tc>
        <w:tc>
          <w:tcPr>
            <w:tcW w:w="15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3900元/人/月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506"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continue"/>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下乡督导</w:t>
            </w:r>
          </w:p>
        </w:tc>
        <w:tc>
          <w:tcPr>
            <w:tcW w:w="155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≥15万元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457"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continue"/>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消毒粉</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320元/箱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532"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restart"/>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社会效益</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指标</w:t>
            </w: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疫情对社会经济影响</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不断降低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504"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疫情对市民恐慌心理影响</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不断降低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514"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提升应急响应能力</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不断提高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543"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可持续影响</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指标</w:t>
            </w: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健全重大疫情救治体系</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432"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防范化解重大疫情</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413"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满意度指标</w:t>
            </w:r>
          </w:p>
        </w:tc>
        <w:tc>
          <w:tcPr>
            <w:tcW w:w="1372" w:type="dxa"/>
            <w:gridSpan w:val="2"/>
            <w:vMerge w:val="restart"/>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服务对象满意度指标</w:t>
            </w: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医务人员满意度</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377"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371"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72" w:type="dxa"/>
            <w:gridSpan w:val="2"/>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846"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群众满意度</w:t>
            </w:r>
          </w:p>
        </w:tc>
        <w:tc>
          <w:tcPr>
            <w:tcW w:w="15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1100" w:hRule="atLeast"/>
        </w:trPr>
        <w:tc>
          <w:tcPr>
            <w:tcW w:w="18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其他说明的</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问题</w:t>
            </w:r>
          </w:p>
        </w:tc>
        <w:tc>
          <w:tcPr>
            <w:tcW w:w="7140" w:type="dxa"/>
            <w:gridSpan w:val="7"/>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Height w:val="480" w:hRule="atLeast"/>
        </w:trPr>
        <w:tc>
          <w:tcPr>
            <w:tcW w:w="7449" w:type="dxa"/>
            <w:gridSpan w:val="7"/>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填报人：  　　　　       单位负责人：　　　　　　　填报日期：</w:t>
            </w:r>
          </w:p>
        </w:tc>
        <w:tc>
          <w:tcPr>
            <w:tcW w:w="1551"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 w:type="dxa"/>
        </w:trPr>
        <w:tc>
          <w:tcPr>
            <w:tcW w:w="1860"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235" w:type="dxa"/>
            <w:gridSpan w:val="2"/>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508"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573" w:type="dxa"/>
            <w:gridSpan w:val="2"/>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273"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551"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bl>
    <w:p>
      <w:pPr>
        <w:pStyle w:val="2"/>
        <w:rPr>
          <w:rFonts w:hint="eastAsia"/>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0"/>
        <w:tblW w:w="86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860"/>
        <w:gridCol w:w="1725"/>
        <w:gridCol w:w="346"/>
        <w:gridCol w:w="1091"/>
        <w:gridCol w:w="753"/>
        <w:gridCol w:w="456"/>
        <w:gridCol w:w="1272"/>
        <w:gridCol w:w="55"/>
        <w:gridCol w:w="647"/>
        <w:gridCol w:w="150"/>
        <w:gridCol w:w="2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8640" w:type="dxa"/>
            <w:gridSpan w:val="11"/>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40"/>
                <w:szCs w:val="40"/>
                <w:highlight w:val="none"/>
                <w:lang w:val="en-US"/>
              </w:rPr>
            </w:pPr>
            <w:r>
              <w:rPr>
                <w:rFonts w:hint="eastAsia" w:ascii="仿宋" w:hAnsi="仿宋" w:eastAsia="仿宋" w:cs="仿宋"/>
                <w:b/>
                <w:kern w:val="2"/>
                <w:sz w:val="32"/>
                <w:szCs w:val="24"/>
                <w:highlight w:val="none"/>
                <w:lang w:val="en-US" w:eastAsia="zh-CN" w:bidi="ar-SA"/>
              </w:rPr>
              <w:t>永济市项目支出绩效目标申报表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trPr>
        <w:tc>
          <w:tcPr>
            <w:tcW w:w="8640" w:type="dxa"/>
            <w:gridSpan w:val="11"/>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8"/>
                <w:szCs w:val="28"/>
                <w:highlight w:val="none"/>
                <w:lang w:val="en-US"/>
              </w:rPr>
            </w:pPr>
            <w:r>
              <w:rPr>
                <w:rFonts w:hint="eastAsia" w:ascii="仿宋" w:hAnsi="仿宋" w:eastAsia="仿宋" w:cs="仿宋"/>
                <w:kern w:val="0"/>
                <w:sz w:val="28"/>
                <w:szCs w:val="28"/>
                <w:highlight w:val="none"/>
                <w:lang w:val="en-US" w:eastAsia="zh-CN" w:bidi="ar"/>
              </w:rPr>
              <w:t>（2021年度）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0" w:hRule="atLeast"/>
        </w:trPr>
        <w:tc>
          <w:tcPr>
            <w:tcW w:w="8355" w:type="dxa"/>
            <w:gridSpan w:val="10"/>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85"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2" w:hRule="atLeast"/>
        </w:trPr>
        <w:tc>
          <w:tcPr>
            <w:tcW w:w="3585" w:type="dxa"/>
            <w:gridSpan w:val="2"/>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填报单位（盖章）</w:t>
            </w:r>
          </w:p>
        </w:tc>
        <w:tc>
          <w:tcPr>
            <w:tcW w:w="1437" w:type="dxa"/>
            <w:gridSpan w:val="2"/>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3333" w:type="dxa"/>
            <w:gridSpan w:val="6"/>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85"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rPr>
        <w:tc>
          <w:tcPr>
            <w:tcW w:w="18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项目名称</w:t>
            </w:r>
          </w:p>
        </w:tc>
        <w:tc>
          <w:tcPr>
            <w:tcW w:w="172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 w:val="22"/>
                <w:szCs w:val="22"/>
                <w:highlight w:val="none"/>
                <w:lang w:val="en-US"/>
              </w:rPr>
            </w:pPr>
            <w:r>
              <w:rPr>
                <w:rFonts w:hint="eastAsia" w:ascii="仿宋" w:hAnsi="仿宋" w:eastAsia="仿宋" w:cs="仿宋"/>
                <w:kern w:val="0"/>
                <w:sz w:val="22"/>
                <w:szCs w:val="22"/>
                <w:highlight w:val="none"/>
                <w:lang w:val="en-US" w:eastAsia="zh-CN" w:bidi="ar"/>
              </w:rPr>
              <w:t>新冠疫苗经费</w:t>
            </w:r>
          </w:p>
        </w:tc>
        <w:tc>
          <w:tcPr>
            <w:tcW w:w="143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项目属性</w:t>
            </w:r>
          </w:p>
        </w:tc>
        <w:tc>
          <w:tcPr>
            <w:tcW w:w="3618" w:type="dxa"/>
            <w:gridSpan w:val="7"/>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新增项目□  延续项目□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0" w:hRule="atLeast"/>
        </w:trPr>
        <w:tc>
          <w:tcPr>
            <w:tcW w:w="18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主管部门</w:t>
            </w:r>
          </w:p>
        </w:tc>
        <w:tc>
          <w:tcPr>
            <w:tcW w:w="172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 w:val="20"/>
                <w:szCs w:val="20"/>
                <w:highlight w:val="none"/>
                <w:lang w:val="en-US"/>
              </w:rPr>
            </w:pPr>
            <w:r>
              <w:rPr>
                <w:rFonts w:hint="eastAsia" w:ascii="仿宋" w:hAnsi="仿宋" w:eastAsia="仿宋" w:cs="仿宋"/>
                <w:kern w:val="0"/>
                <w:sz w:val="20"/>
                <w:szCs w:val="20"/>
                <w:highlight w:val="none"/>
                <w:lang w:val="en-US" w:eastAsia="zh-CN" w:bidi="ar"/>
              </w:rPr>
              <w:t>永济市卫生健康和体育局</w:t>
            </w:r>
          </w:p>
        </w:tc>
        <w:tc>
          <w:tcPr>
            <w:tcW w:w="1437"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主管部门</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负责人</w:t>
            </w:r>
          </w:p>
        </w:tc>
        <w:tc>
          <w:tcPr>
            <w:tcW w:w="3618" w:type="dxa"/>
            <w:gridSpan w:val="7"/>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张文军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rPr>
        <w:tc>
          <w:tcPr>
            <w:tcW w:w="18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项目实施单位</w:t>
            </w:r>
          </w:p>
        </w:tc>
        <w:tc>
          <w:tcPr>
            <w:tcW w:w="172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 w:val="20"/>
                <w:szCs w:val="20"/>
                <w:highlight w:val="none"/>
                <w:lang w:val="en-US"/>
              </w:rPr>
            </w:pPr>
            <w:r>
              <w:rPr>
                <w:rFonts w:hint="eastAsia" w:ascii="仿宋" w:hAnsi="仿宋" w:eastAsia="仿宋" w:cs="仿宋"/>
                <w:kern w:val="0"/>
                <w:sz w:val="20"/>
                <w:szCs w:val="20"/>
                <w:highlight w:val="none"/>
                <w:lang w:val="en-US" w:eastAsia="zh-CN" w:bidi="ar"/>
              </w:rPr>
              <w:t>永济市卫生健康和体育局</w:t>
            </w:r>
          </w:p>
        </w:tc>
        <w:tc>
          <w:tcPr>
            <w:tcW w:w="143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项目负责人</w:t>
            </w:r>
          </w:p>
        </w:tc>
        <w:tc>
          <w:tcPr>
            <w:tcW w:w="120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申云龙</w:t>
            </w:r>
          </w:p>
        </w:tc>
        <w:tc>
          <w:tcPr>
            <w:tcW w:w="132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联系电话</w:t>
            </w:r>
          </w:p>
        </w:tc>
        <w:tc>
          <w:tcPr>
            <w:tcW w:w="10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8086266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rPr>
        <w:tc>
          <w:tcPr>
            <w:tcW w:w="18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项目起止时间</w:t>
            </w:r>
          </w:p>
        </w:tc>
        <w:tc>
          <w:tcPr>
            <w:tcW w:w="6780"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2021.1-2021.4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186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项目资金申请</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（万元）</w:t>
            </w:r>
          </w:p>
        </w:tc>
        <w:tc>
          <w:tcPr>
            <w:tcW w:w="6780"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资金总额：146.56万元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6780"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xml:space="preserve">        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6780"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xml:space="preserve">            上级资金：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6780"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xml:space="preserve">            本级资金：146.56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60" w:hRule="atLeast"/>
        </w:trPr>
        <w:tc>
          <w:tcPr>
            <w:tcW w:w="18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单位职能概述</w:t>
            </w:r>
          </w:p>
        </w:tc>
        <w:tc>
          <w:tcPr>
            <w:tcW w:w="6780" w:type="dxa"/>
            <w:gridSpan w:val="10"/>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highlight w:val="none"/>
                <w:lang w:val="en-US"/>
              </w:rPr>
            </w:pPr>
            <w:r>
              <w:rPr>
                <w:rFonts w:hint="eastAsia" w:ascii="仿宋" w:hAnsi="仿宋" w:eastAsia="仿宋" w:cs="仿宋"/>
                <w:color w:val="000000"/>
                <w:kern w:val="0"/>
                <w:sz w:val="24"/>
                <w:szCs w:val="24"/>
                <w:highlight w:val="none"/>
                <w:lang w:val="en-US" w:eastAsia="zh-CN" w:bidi="ar"/>
              </w:rPr>
              <w:t>贯彻执行党和国家国民健康方针政策，组织实施国家、省和市卫生健康委员会以及体育局制定的规章草案和政策、规划，负责职责范围内的标准化工作。统筹规划卫生健康资源配置，负责区域卫生健康规划编制和实施。制定并组织实施推进卫生健康基本公共卫生服务均等化、普惠化、便捷化和公共资源向基层延伸等政策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54" w:hRule="atLeast"/>
        </w:trPr>
        <w:tc>
          <w:tcPr>
            <w:tcW w:w="18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项目概况</w:t>
            </w:r>
          </w:p>
        </w:tc>
        <w:tc>
          <w:tcPr>
            <w:tcW w:w="6780" w:type="dxa"/>
            <w:gridSpan w:val="10"/>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接运城疫情防控指挥部通知，对需要疫苗接种的人员进行梳理汇总，经指挥部研究同意，目前全市需要紧急接种3664人。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1860"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项目立项情况</w:t>
            </w:r>
          </w:p>
        </w:tc>
        <w:tc>
          <w:tcPr>
            <w:tcW w:w="207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项目立项的依据</w:t>
            </w:r>
          </w:p>
        </w:tc>
        <w:tc>
          <w:tcPr>
            <w:tcW w:w="4709" w:type="dxa"/>
            <w:gridSpan w:val="8"/>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根据运疫指办函〔2020〕145号文件精神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72"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07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项目申报的可行性</w:t>
            </w:r>
          </w:p>
        </w:tc>
        <w:tc>
          <w:tcPr>
            <w:tcW w:w="4709" w:type="dxa"/>
            <w:gridSpan w:val="8"/>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制定专项资金管理制度，专款专用并明确专人负责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72"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07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项目申报的必要性</w:t>
            </w:r>
          </w:p>
        </w:tc>
        <w:tc>
          <w:tcPr>
            <w:tcW w:w="4709" w:type="dxa"/>
            <w:gridSpan w:val="8"/>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对全市紧急接种人群进行新冠疫苗接种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3" w:hRule="atLeast"/>
        </w:trPr>
        <w:tc>
          <w:tcPr>
            <w:tcW w:w="186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项目实施进度</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计划</w:t>
            </w:r>
          </w:p>
        </w:tc>
        <w:tc>
          <w:tcPr>
            <w:tcW w:w="172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项目实施内容</w:t>
            </w:r>
          </w:p>
        </w:tc>
        <w:tc>
          <w:tcPr>
            <w:tcW w:w="2646"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开始时间</w:t>
            </w:r>
          </w:p>
        </w:tc>
        <w:tc>
          <w:tcPr>
            <w:tcW w:w="2409"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完成时间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3"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2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新冠疫苗接种</w:t>
            </w:r>
          </w:p>
        </w:tc>
        <w:tc>
          <w:tcPr>
            <w:tcW w:w="2646"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2021.1</w:t>
            </w:r>
          </w:p>
        </w:tc>
        <w:tc>
          <w:tcPr>
            <w:tcW w:w="2409"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4" w:hRule="atLeast"/>
        </w:trPr>
        <w:tc>
          <w:tcPr>
            <w:tcW w:w="186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项目绩效目标</w:t>
            </w:r>
          </w:p>
        </w:tc>
        <w:tc>
          <w:tcPr>
            <w:tcW w:w="316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长期目标</w:t>
            </w:r>
          </w:p>
        </w:tc>
        <w:tc>
          <w:tcPr>
            <w:tcW w:w="3618" w:type="dxa"/>
            <w:gridSpan w:val="7"/>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年度目标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52" w:hRule="atLeast"/>
        </w:trPr>
        <w:tc>
          <w:tcPr>
            <w:tcW w:w="186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3162"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接运城疫情防控指挥部通知，对需要疫苗接种的人员进行梳理汇总，经指挥部研究同意，目前全市需要紧急接种3664人。</w:t>
            </w:r>
          </w:p>
        </w:tc>
        <w:tc>
          <w:tcPr>
            <w:tcW w:w="3618" w:type="dxa"/>
            <w:gridSpan w:val="7"/>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接运城疫情防控指挥部通知，对需要疫苗接种的人员进行梳理汇总，经指挥部研究同意，目前全市需要紧急接种3664人。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2" w:hRule="atLeast"/>
        </w:trPr>
        <w:tc>
          <w:tcPr>
            <w:tcW w:w="1860" w:type="dxa"/>
            <w:vMerge w:val="restart"/>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绩效指标</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绩效指标</w:t>
            </w:r>
          </w:p>
        </w:tc>
        <w:tc>
          <w:tcPr>
            <w:tcW w:w="172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一级指标</w:t>
            </w:r>
          </w:p>
        </w:tc>
        <w:tc>
          <w:tcPr>
            <w:tcW w:w="143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二级指标</w:t>
            </w:r>
          </w:p>
        </w:tc>
        <w:tc>
          <w:tcPr>
            <w:tcW w:w="2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三级指标</w:t>
            </w:r>
          </w:p>
        </w:tc>
        <w:tc>
          <w:tcPr>
            <w:tcW w:w="1137"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25" w:type="dxa"/>
            <w:vMerge w:val="restart"/>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产出指标</w:t>
            </w:r>
          </w:p>
        </w:tc>
        <w:tc>
          <w:tcPr>
            <w:tcW w:w="1437" w:type="dxa"/>
            <w:gridSpan w:val="2"/>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数量指标</w:t>
            </w:r>
          </w:p>
        </w:tc>
        <w:tc>
          <w:tcPr>
            <w:tcW w:w="2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接种人数</w:t>
            </w:r>
          </w:p>
        </w:tc>
        <w:tc>
          <w:tcPr>
            <w:tcW w:w="1137"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3664人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25" w:type="dxa"/>
            <w:vMerge w:val="continue"/>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437"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新冠疫苗数量</w:t>
            </w:r>
          </w:p>
        </w:tc>
        <w:tc>
          <w:tcPr>
            <w:tcW w:w="1137"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≥7300支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25" w:type="dxa"/>
            <w:vMerge w:val="continue"/>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437" w:type="dxa"/>
            <w:gridSpan w:val="2"/>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质量指标</w:t>
            </w:r>
          </w:p>
        </w:tc>
        <w:tc>
          <w:tcPr>
            <w:tcW w:w="2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疫苗合格率</w:t>
            </w:r>
          </w:p>
        </w:tc>
        <w:tc>
          <w:tcPr>
            <w:tcW w:w="1137"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25" w:type="dxa"/>
            <w:vMerge w:val="continue"/>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437"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疫苗使用率</w:t>
            </w:r>
          </w:p>
        </w:tc>
        <w:tc>
          <w:tcPr>
            <w:tcW w:w="1137"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25" w:type="dxa"/>
            <w:vMerge w:val="continue"/>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43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成本指标</w:t>
            </w:r>
          </w:p>
        </w:tc>
        <w:tc>
          <w:tcPr>
            <w:tcW w:w="2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新冠疫苗单价</w:t>
            </w:r>
          </w:p>
        </w:tc>
        <w:tc>
          <w:tcPr>
            <w:tcW w:w="1137"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200元/支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25" w:type="dxa"/>
            <w:vMerge w:val="restart"/>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437"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社会效益</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指标</w:t>
            </w:r>
          </w:p>
        </w:tc>
        <w:tc>
          <w:tcPr>
            <w:tcW w:w="2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加强重点人群保护</w:t>
            </w:r>
          </w:p>
        </w:tc>
        <w:tc>
          <w:tcPr>
            <w:tcW w:w="1137"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不断加强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25" w:type="dxa"/>
            <w:vMerge w:val="continue"/>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437"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降低新冠疫情突发事件危险性</w:t>
            </w:r>
          </w:p>
        </w:tc>
        <w:tc>
          <w:tcPr>
            <w:tcW w:w="1137"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不断降低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25" w:type="dxa"/>
            <w:vMerge w:val="continue"/>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437"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可持续影响</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指标</w:t>
            </w:r>
          </w:p>
        </w:tc>
        <w:tc>
          <w:tcPr>
            <w:tcW w:w="2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降低新冠疫情传播风险</w:t>
            </w:r>
          </w:p>
        </w:tc>
        <w:tc>
          <w:tcPr>
            <w:tcW w:w="1137"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25" w:type="dxa"/>
            <w:vMerge w:val="continue"/>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437"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2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加固防范化解新冠肺炎</w:t>
            </w:r>
          </w:p>
        </w:tc>
        <w:tc>
          <w:tcPr>
            <w:tcW w:w="1137"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11" w:hRule="atLeast"/>
        </w:trPr>
        <w:tc>
          <w:tcPr>
            <w:tcW w:w="1860" w:type="dxa"/>
            <w:vMerge w:val="continue"/>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rPr>
                <w:rFonts w:hint="eastAsia" w:ascii="仿宋" w:hAnsi="仿宋" w:eastAsia="仿宋" w:cs="仿宋"/>
                <w:sz w:val="20"/>
                <w:szCs w:val="20"/>
                <w:highlight w:val="none"/>
              </w:rPr>
            </w:pPr>
          </w:p>
        </w:tc>
        <w:tc>
          <w:tcPr>
            <w:tcW w:w="1725" w:type="dxa"/>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满意度指标</w:t>
            </w:r>
          </w:p>
        </w:tc>
        <w:tc>
          <w:tcPr>
            <w:tcW w:w="1437" w:type="dxa"/>
            <w:gridSpan w:val="2"/>
            <w:tcBorders>
              <w:top w:val="single" w:color="auto" w:sz="4" w:space="0"/>
              <w:left w:val="single" w:color="auto" w:sz="4" w:space="0"/>
              <w:bottom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服务对象满意度指标</w:t>
            </w:r>
          </w:p>
        </w:tc>
        <w:tc>
          <w:tcPr>
            <w:tcW w:w="2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受益人群满意度</w:t>
            </w:r>
          </w:p>
        </w:tc>
        <w:tc>
          <w:tcPr>
            <w:tcW w:w="1137"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38" w:hRule="atLeast"/>
        </w:trPr>
        <w:tc>
          <w:tcPr>
            <w:tcW w:w="18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其他说明的</w:t>
            </w:r>
            <w:r>
              <w:rPr>
                <w:rFonts w:hint="eastAsia" w:ascii="仿宋" w:hAnsi="仿宋" w:eastAsia="仿宋" w:cs="仿宋"/>
                <w:kern w:val="0"/>
                <w:sz w:val="24"/>
                <w:szCs w:val="24"/>
                <w:highlight w:val="none"/>
                <w:lang w:val="en-US" w:eastAsia="zh-CN" w:bidi="ar"/>
              </w:rPr>
              <w:br w:type="textWrapping"/>
            </w:r>
            <w:r>
              <w:rPr>
                <w:rFonts w:hint="eastAsia" w:ascii="仿宋" w:hAnsi="仿宋" w:eastAsia="仿宋" w:cs="仿宋"/>
                <w:kern w:val="0"/>
                <w:sz w:val="24"/>
                <w:szCs w:val="24"/>
                <w:highlight w:val="none"/>
                <w:lang w:val="en-US" w:eastAsia="zh-CN" w:bidi="ar"/>
              </w:rPr>
              <w:t>问题</w:t>
            </w:r>
          </w:p>
        </w:tc>
        <w:tc>
          <w:tcPr>
            <w:tcW w:w="6780" w:type="dxa"/>
            <w:gridSpan w:val="10"/>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7558" w:type="dxa"/>
            <w:gridSpan w:val="8"/>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highlight w:val="none"/>
                <w:lang w:val="en-US"/>
              </w:rPr>
            </w:pPr>
            <w:r>
              <w:rPr>
                <w:rFonts w:hint="eastAsia" w:ascii="仿宋" w:hAnsi="仿宋" w:eastAsia="仿宋" w:cs="仿宋"/>
                <w:kern w:val="0"/>
                <w:sz w:val="24"/>
                <w:szCs w:val="24"/>
                <w:highlight w:val="none"/>
                <w:lang w:val="en-US" w:eastAsia="zh-CN" w:bidi="ar"/>
              </w:rPr>
              <w:t>　填报人：  　　　　       单位负责人：　　　　　　　　填报日期：</w:t>
            </w:r>
          </w:p>
        </w:tc>
        <w:tc>
          <w:tcPr>
            <w:tcW w:w="647"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435" w:type="dxa"/>
            <w:gridSpan w:val="2"/>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860"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725"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2190" w:type="dxa"/>
            <w:gridSpan w:val="3"/>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456"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1327" w:type="dxa"/>
            <w:gridSpan w:val="2"/>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647" w:type="dxa"/>
            <w:shd w:val="clear" w:color="auto" w:fill="auto"/>
            <w:noWrap/>
            <w:tcMar>
              <w:top w:w="15" w:type="dxa"/>
              <w:left w:w="15" w:type="dxa"/>
              <w:right w:w="15" w:type="dxa"/>
            </w:tcMar>
            <w:vAlign w:val="center"/>
          </w:tcPr>
          <w:p>
            <w:pPr>
              <w:rPr>
                <w:rFonts w:hint="eastAsia" w:ascii="仿宋" w:hAnsi="仿宋" w:eastAsia="仿宋" w:cs="仿宋"/>
                <w:sz w:val="20"/>
                <w:szCs w:val="20"/>
                <w:highlight w:val="none"/>
              </w:rPr>
            </w:pPr>
          </w:p>
        </w:tc>
        <w:tc>
          <w:tcPr>
            <w:tcW w:w="435" w:type="dxa"/>
            <w:gridSpan w:val="2"/>
            <w:shd w:val="clear" w:color="auto" w:fill="auto"/>
            <w:vAlign w:val="center"/>
          </w:tcPr>
          <w:p>
            <w:pPr>
              <w:rPr>
                <w:rFonts w:hint="eastAsia" w:ascii="仿宋" w:hAnsi="仿宋" w:eastAsia="仿宋" w:cs="仿宋"/>
                <w:sz w:val="20"/>
                <w:szCs w:val="20"/>
                <w:highlight w:val="none"/>
              </w:rPr>
            </w:pPr>
          </w:p>
        </w:tc>
      </w:tr>
    </w:tbl>
    <w:p>
      <w:pPr>
        <w:pStyle w:val="2"/>
        <w:rPr>
          <w:rFonts w:hint="eastAsia"/>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pBdr>
          <w:bottom w:val="none" w:color="auto" w:sz="0" w:space="1"/>
        </w:pBdr>
        <w:jc w:val="both"/>
        <w:outlineLvl w:val="0"/>
        <w:rPr>
          <w:rFonts w:hint="default" w:ascii="仿宋" w:hAnsi="仿宋" w:eastAsia="仿宋" w:cs="仿宋"/>
          <w:sz w:val="20"/>
          <w:szCs w:val="20"/>
          <w:highlight w:val="none"/>
          <w:lang w:val="en-US" w:eastAsia="zh-CN"/>
        </w:rPr>
      </w:pPr>
      <w:bookmarkStart w:id="406" w:name="_Toc30517"/>
      <w:bookmarkStart w:id="407" w:name="_Toc6198"/>
      <w:bookmarkStart w:id="408" w:name="_Toc7625"/>
      <w:r>
        <w:rPr>
          <w:rFonts w:hint="eastAsia" w:ascii="仿宋" w:hAnsi="仿宋" w:eastAsia="仿宋" w:cs="仿宋"/>
          <w:sz w:val="20"/>
          <w:szCs w:val="20"/>
          <w:highlight w:val="none"/>
          <w:lang w:val="en-US" w:eastAsia="zh-CN"/>
        </w:rPr>
        <w:t>附件4：反映项目绩效的图片</w:t>
      </w:r>
      <w:bookmarkEnd w:id="406"/>
    </w:p>
    <w:p>
      <w:pPr>
        <w:keepNext w:val="0"/>
        <w:keepLines w:val="0"/>
        <w:pageBreakBefore w:val="0"/>
        <w:widowControl w:val="0"/>
        <w:kinsoku/>
        <w:wordWrap/>
        <w:overflowPunct/>
        <w:topLinePunct w:val="0"/>
        <w:autoSpaceDE/>
        <w:autoSpaceDN/>
        <w:bidi w:val="0"/>
        <w:adjustRightInd/>
        <w:snapToGrid/>
        <w:spacing w:after="157" w:afterLines="50" w:line="300" w:lineRule="exact"/>
        <w:jc w:val="center"/>
        <w:textAlignment w:val="auto"/>
        <w:outlineLvl w:val="9"/>
        <w:rPr>
          <w:rFonts w:hint="default" w:ascii="仿宋" w:hAnsi="仿宋" w:eastAsia="仿宋"/>
          <w:b/>
          <w:bCs/>
          <w:sz w:val="28"/>
          <w:szCs w:val="36"/>
          <w:highlight w:val="none"/>
          <w:lang w:val="en-US" w:eastAsia="zh-CN"/>
        </w:rPr>
      </w:pPr>
      <w:r>
        <w:rPr>
          <w:rFonts w:hint="eastAsia" w:ascii="仿宋" w:hAnsi="仿宋" w:eastAsia="仿宋"/>
          <w:b/>
          <w:bCs/>
          <w:sz w:val="28"/>
          <w:szCs w:val="36"/>
          <w:highlight w:val="none"/>
          <w:lang w:val="en-US" w:eastAsia="zh-CN"/>
        </w:rPr>
        <w:t>反映项目绩效的</w:t>
      </w:r>
      <w:bookmarkEnd w:id="407"/>
      <w:r>
        <w:rPr>
          <w:rFonts w:hint="eastAsia" w:ascii="仿宋" w:hAnsi="仿宋" w:eastAsia="仿宋"/>
          <w:b/>
          <w:bCs/>
          <w:sz w:val="28"/>
          <w:szCs w:val="36"/>
          <w:highlight w:val="none"/>
          <w:lang w:val="en-US" w:eastAsia="zh-CN"/>
        </w:rPr>
        <w:t>图片</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6"/>
        <w:gridCol w:w="4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2" w:hRule="atLeast"/>
        </w:trPr>
        <w:tc>
          <w:tcPr>
            <w:tcW w:w="2520" w:type="pct"/>
            <w:vAlign w:val="top"/>
          </w:tcPr>
          <w:p>
            <w:pPr>
              <w:pStyle w:val="2"/>
              <w:jc w:val="center"/>
              <w:rPr>
                <w:rFonts w:hint="eastAsia" w:ascii="仿宋" w:hAnsi="仿宋" w:eastAsia="仿宋"/>
                <w:b/>
                <w:bCs/>
                <w:sz w:val="28"/>
                <w:szCs w:val="36"/>
                <w:highlight w:val="none"/>
                <w:vertAlign w:val="baseline"/>
                <w:lang w:val="en-US" w:eastAsia="zh-CN"/>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-19685</wp:posOffset>
                  </wp:positionH>
                  <wp:positionV relativeFrom="paragraph">
                    <wp:posOffset>52070</wp:posOffset>
                  </wp:positionV>
                  <wp:extent cx="2565400" cy="2160270"/>
                  <wp:effectExtent l="0" t="0" r="0" b="11430"/>
                  <wp:wrapNone/>
                  <wp:docPr id="20" name="图片 20" descr="1634808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34808480(1)"/>
                          <pic:cNvPicPr>
                            <a:picLocks noChangeAspect="1"/>
                          </pic:cNvPicPr>
                        </pic:nvPicPr>
                        <pic:blipFill>
                          <a:blip r:embed="rId24"/>
                          <a:stretch>
                            <a:fillRect/>
                          </a:stretch>
                        </pic:blipFill>
                        <pic:spPr>
                          <a:xfrm>
                            <a:off x="0" y="0"/>
                            <a:ext cx="2565400" cy="2160270"/>
                          </a:xfrm>
                          <a:prstGeom prst="rect">
                            <a:avLst/>
                          </a:prstGeom>
                        </pic:spPr>
                      </pic:pic>
                    </a:graphicData>
                  </a:graphic>
                </wp:anchor>
              </w:drawing>
            </w:r>
          </w:p>
        </w:tc>
        <w:tc>
          <w:tcPr>
            <w:tcW w:w="2479" w:type="pct"/>
          </w:tcPr>
          <w:p>
            <w:pPr>
              <w:pStyle w:val="2"/>
              <w:jc w:val="center"/>
              <w:rPr>
                <w:rFonts w:hint="eastAsia" w:ascii="仿宋" w:hAnsi="仿宋" w:eastAsia="仿宋"/>
                <w:b/>
                <w:bCs/>
                <w:sz w:val="28"/>
                <w:szCs w:val="36"/>
                <w:highlight w:val="none"/>
                <w:vertAlign w:val="baseline"/>
                <w:lang w:val="en-US" w:eastAsia="zh-CN"/>
              </w:rPr>
            </w:pPr>
            <w:r>
              <w:rPr>
                <w:rFonts w:hint="eastAsia"/>
                <w:highlight w:val="none"/>
                <w:lang w:val="en-US" w:eastAsia="zh-CN"/>
              </w:rPr>
              <w:drawing>
                <wp:anchor distT="0" distB="0" distL="114300" distR="114300" simplePos="0" relativeHeight="251660288" behindDoc="0" locked="0" layoutInCell="1" allowOverlap="1">
                  <wp:simplePos x="0" y="0"/>
                  <wp:positionH relativeFrom="column">
                    <wp:posOffset>13335</wp:posOffset>
                  </wp:positionH>
                  <wp:positionV relativeFrom="paragraph">
                    <wp:posOffset>55880</wp:posOffset>
                  </wp:positionV>
                  <wp:extent cx="2558415" cy="2160270"/>
                  <wp:effectExtent l="0" t="0" r="6985" b="11430"/>
                  <wp:wrapNone/>
                  <wp:docPr id="4" name="图片 4" descr="1634807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4807081(1)"/>
                          <pic:cNvPicPr>
                            <a:picLocks noChangeAspect="1"/>
                          </pic:cNvPicPr>
                        </pic:nvPicPr>
                        <pic:blipFill>
                          <a:blip r:embed="rId25"/>
                          <a:srcRect/>
                          <a:stretch>
                            <a:fillRect/>
                          </a:stretch>
                        </pic:blipFill>
                        <pic:spPr>
                          <a:xfrm>
                            <a:off x="0" y="0"/>
                            <a:ext cx="2558415" cy="21602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20" w:type="pct"/>
          </w:tcPr>
          <w:p>
            <w:pPr>
              <w:jc w:val="center"/>
              <w:rPr>
                <w:rFonts w:hint="eastAsia" w:ascii="仿宋" w:hAnsi="仿宋" w:eastAsia="仿宋" w:cs="仿宋"/>
                <w:sz w:val="28"/>
                <w:szCs w:val="36"/>
                <w:highlight w:val="none"/>
                <w:lang w:val="en-US" w:eastAsia="zh-CN"/>
              </w:rPr>
            </w:pPr>
            <w:r>
              <w:rPr>
                <w:rFonts w:hint="eastAsia" w:ascii="仿宋" w:hAnsi="仿宋" w:eastAsia="仿宋" w:cs="仿宋"/>
                <w:sz w:val="28"/>
                <w:szCs w:val="36"/>
                <w:highlight w:val="none"/>
                <w:lang w:val="en-US" w:eastAsia="zh-CN"/>
              </w:rPr>
              <w:t>疫苗接种设备</w:t>
            </w:r>
          </w:p>
        </w:tc>
        <w:tc>
          <w:tcPr>
            <w:tcW w:w="2479" w:type="pct"/>
          </w:tcPr>
          <w:p>
            <w:pPr>
              <w:jc w:val="center"/>
              <w:rPr>
                <w:rFonts w:hint="eastAsia" w:ascii="仿宋" w:hAnsi="仿宋" w:eastAsia="仿宋" w:cs="仿宋"/>
                <w:sz w:val="28"/>
                <w:szCs w:val="36"/>
                <w:highlight w:val="none"/>
                <w:lang w:val="en-US" w:eastAsia="zh-CN"/>
              </w:rPr>
            </w:pPr>
            <w:r>
              <w:rPr>
                <w:rFonts w:hint="eastAsia" w:ascii="仿宋" w:hAnsi="仿宋" w:eastAsia="仿宋" w:cs="仿宋"/>
                <w:sz w:val="28"/>
                <w:szCs w:val="36"/>
                <w:highlight w:val="none"/>
                <w:lang w:val="en-US" w:eastAsia="zh-CN"/>
              </w:rPr>
              <w:t>核酸实验室-市医院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2" w:hRule="atLeast"/>
        </w:trPr>
        <w:tc>
          <w:tcPr>
            <w:tcW w:w="5000" w:type="pct"/>
            <w:gridSpan w:val="2"/>
            <w:vAlign w:val="top"/>
          </w:tcPr>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仿宋" w:hAnsi="仿宋" w:eastAsia="仿宋"/>
                <w:b/>
                <w:bCs/>
                <w:sz w:val="28"/>
                <w:szCs w:val="36"/>
                <w:highlight w:val="none"/>
                <w:vertAlign w:val="baseline"/>
                <w:lang w:val="en-US" w:eastAsia="zh-CN"/>
              </w:rPr>
            </w:pPr>
            <w:r>
              <w:rPr>
                <w:rFonts w:hint="default"/>
                <w:highlight w:val="none"/>
                <w:lang w:val="en-US" w:eastAsia="zh-CN"/>
              </w:rPr>
              <w:drawing>
                <wp:anchor distT="0" distB="0" distL="114300" distR="114300" simplePos="0" relativeHeight="251661312" behindDoc="0" locked="0" layoutInCell="1" allowOverlap="1">
                  <wp:simplePos x="0" y="0"/>
                  <wp:positionH relativeFrom="column">
                    <wp:posOffset>57150</wp:posOffset>
                  </wp:positionH>
                  <wp:positionV relativeFrom="paragraph">
                    <wp:posOffset>116840</wp:posOffset>
                  </wp:positionV>
                  <wp:extent cx="5128260" cy="2016125"/>
                  <wp:effectExtent l="0" t="0" r="2540" b="3175"/>
                  <wp:wrapNone/>
                  <wp:docPr id="5" name="图片 5" descr="1634807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4807209(1)"/>
                          <pic:cNvPicPr>
                            <a:picLocks noChangeAspect="1"/>
                          </pic:cNvPicPr>
                        </pic:nvPicPr>
                        <pic:blipFill>
                          <a:blip r:embed="rId26"/>
                          <a:srcRect/>
                          <a:stretch>
                            <a:fillRect/>
                          </a:stretch>
                        </pic:blipFill>
                        <pic:spPr>
                          <a:xfrm>
                            <a:off x="0" y="0"/>
                            <a:ext cx="5128260" cy="20161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5000" w:type="pct"/>
            <w:gridSpan w:val="2"/>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bCs/>
                <w:sz w:val="28"/>
                <w:szCs w:val="36"/>
                <w:highlight w:val="none"/>
                <w:vertAlign w:val="baseline"/>
                <w:lang w:val="en-US" w:eastAsia="zh-CN"/>
              </w:rPr>
            </w:pPr>
            <w:r>
              <w:rPr>
                <w:rFonts w:hint="eastAsia" w:ascii="仿宋" w:hAnsi="仿宋" w:eastAsia="仿宋" w:cs="仿宋"/>
                <w:kern w:val="2"/>
                <w:sz w:val="28"/>
                <w:szCs w:val="36"/>
                <w:highlight w:val="none"/>
                <w:lang w:val="en-US" w:eastAsia="zh-CN" w:bidi="ar-SA"/>
              </w:rPr>
              <w:t>核酸实验室-市医院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8" w:hRule="atLeast"/>
        </w:trPr>
        <w:tc>
          <w:tcPr>
            <w:tcW w:w="5000" w:type="pct"/>
            <w:gridSpan w:val="2"/>
            <w:vAlign w:val="top"/>
          </w:tcPr>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仿宋" w:hAnsi="仿宋" w:eastAsia="仿宋"/>
                <w:b/>
                <w:bCs/>
                <w:sz w:val="28"/>
                <w:szCs w:val="36"/>
                <w:highlight w:val="none"/>
                <w:vertAlign w:val="baseline"/>
                <w:lang w:val="en-US" w:eastAsia="zh-CN"/>
              </w:rPr>
            </w:pPr>
            <w:r>
              <w:rPr>
                <w:rFonts w:hint="default"/>
                <w:highlight w:val="none"/>
                <w:lang w:val="en-US" w:eastAsia="zh-CN"/>
              </w:rPr>
              <w:drawing>
                <wp:anchor distT="0" distB="0" distL="114300" distR="114300" simplePos="0" relativeHeight="251662336" behindDoc="0" locked="0" layoutInCell="1" allowOverlap="1">
                  <wp:simplePos x="0" y="0"/>
                  <wp:positionH relativeFrom="column">
                    <wp:posOffset>64135</wp:posOffset>
                  </wp:positionH>
                  <wp:positionV relativeFrom="paragraph">
                    <wp:posOffset>81280</wp:posOffset>
                  </wp:positionV>
                  <wp:extent cx="5130165" cy="2327275"/>
                  <wp:effectExtent l="0" t="0" r="635" b="9525"/>
                  <wp:wrapNone/>
                  <wp:docPr id="7" name="图片 7" descr="1634807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4807448(1)"/>
                          <pic:cNvPicPr>
                            <a:picLocks noChangeAspect="1"/>
                          </pic:cNvPicPr>
                        </pic:nvPicPr>
                        <pic:blipFill>
                          <a:blip r:embed="rId27"/>
                          <a:srcRect/>
                          <a:stretch>
                            <a:fillRect/>
                          </a:stretch>
                        </pic:blipFill>
                        <pic:spPr>
                          <a:xfrm>
                            <a:off x="0" y="0"/>
                            <a:ext cx="5130165" cy="23272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bCs/>
                <w:sz w:val="28"/>
                <w:szCs w:val="36"/>
                <w:highlight w:val="none"/>
                <w:vertAlign w:val="baseline"/>
                <w:lang w:val="en-US" w:eastAsia="zh-CN"/>
              </w:rPr>
            </w:pPr>
            <w:r>
              <w:rPr>
                <w:rFonts w:hint="eastAsia" w:ascii="仿宋" w:hAnsi="仿宋" w:eastAsia="仿宋"/>
                <w:b w:val="0"/>
                <w:bCs w:val="0"/>
                <w:sz w:val="28"/>
                <w:szCs w:val="36"/>
                <w:highlight w:val="none"/>
                <w:vertAlign w:val="baseline"/>
                <w:lang w:val="en-US" w:eastAsia="zh-CN"/>
              </w:rPr>
              <w:t>核酸实验室-疾控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0" w:hRule="atLeast"/>
        </w:trPr>
        <w:tc>
          <w:tcPr>
            <w:tcW w:w="2520" w:type="pct"/>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val="0"/>
                <w:bCs w:val="0"/>
                <w:sz w:val="28"/>
                <w:szCs w:val="36"/>
                <w:highlight w:val="none"/>
                <w:vertAlign w:val="baseline"/>
                <w:lang w:val="en-US" w:eastAsia="zh-CN"/>
              </w:rPr>
            </w:pPr>
            <w:r>
              <w:rPr>
                <w:rFonts w:hint="default"/>
                <w:b w:val="0"/>
                <w:bCs w:val="0"/>
                <w:highlight w:val="none"/>
                <w:lang w:val="en-US" w:eastAsia="zh-CN"/>
              </w:rPr>
              <w:drawing>
                <wp:anchor distT="0" distB="0" distL="114300" distR="114300" simplePos="0" relativeHeight="251666432" behindDoc="0" locked="0" layoutInCell="1" allowOverlap="1">
                  <wp:simplePos x="0" y="0"/>
                  <wp:positionH relativeFrom="column">
                    <wp:posOffset>17145</wp:posOffset>
                  </wp:positionH>
                  <wp:positionV relativeFrom="paragraph">
                    <wp:posOffset>82550</wp:posOffset>
                  </wp:positionV>
                  <wp:extent cx="2546985" cy="1944370"/>
                  <wp:effectExtent l="0" t="0" r="5715" b="11430"/>
                  <wp:wrapNone/>
                  <wp:docPr id="6" name="图片 6" descr="1634807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4807407(1)"/>
                          <pic:cNvPicPr>
                            <a:picLocks noChangeAspect="1"/>
                          </pic:cNvPicPr>
                        </pic:nvPicPr>
                        <pic:blipFill>
                          <a:blip r:embed="rId28"/>
                          <a:srcRect/>
                          <a:stretch>
                            <a:fillRect/>
                          </a:stretch>
                        </pic:blipFill>
                        <pic:spPr>
                          <a:xfrm>
                            <a:off x="0" y="0"/>
                            <a:ext cx="2546985" cy="1944370"/>
                          </a:xfrm>
                          <a:prstGeom prst="rect">
                            <a:avLst/>
                          </a:prstGeom>
                        </pic:spPr>
                      </pic:pic>
                    </a:graphicData>
                  </a:graphic>
                </wp:anchor>
              </w:drawing>
            </w:r>
          </w:p>
        </w:tc>
        <w:tc>
          <w:tcPr>
            <w:tcW w:w="2479" w:type="pct"/>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val="0"/>
                <w:bCs w:val="0"/>
                <w:sz w:val="28"/>
                <w:szCs w:val="36"/>
                <w:highlight w:val="none"/>
                <w:vertAlign w:val="baseline"/>
                <w:lang w:val="en-US" w:eastAsia="zh-CN"/>
              </w:rPr>
            </w:pPr>
            <w:r>
              <w:rPr>
                <w:rFonts w:hint="default"/>
                <w:highlight w:val="none"/>
                <w:lang w:val="en-US" w:eastAsia="zh-CN"/>
              </w:rPr>
              <w:drawing>
                <wp:anchor distT="0" distB="0" distL="114300" distR="114300" simplePos="0" relativeHeight="251665408" behindDoc="0" locked="0" layoutInCell="1" allowOverlap="1">
                  <wp:simplePos x="0" y="0"/>
                  <wp:positionH relativeFrom="column">
                    <wp:posOffset>-2540</wp:posOffset>
                  </wp:positionH>
                  <wp:positionV relativeFrom="paragraph">
                    <wp:posOffset>101600</wp:posOffset>
                  </wp:positionV>
                  <wp:extent cx="2555875" cy="1943735"/>
                  <wp:effectExtent l="0" t="0" r="9525" b="12065"/>
                  <wp:wrapNone/>
                  <wp:docPr id="10" name="图片 10" descr="1634807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34807870(1)"/>
                          <pic:cNvPicPr>
                            <a:picLocks noChangeAspect="1"/>
                          </pic:cNvPicPr>
                        </pic:nvPicPr>
                        <pic:blipFill>
                          <a:blip r:embed="rId29"/>
                          <a:srcRect/>
                          <a:stretch>
                            <a:fillRect/>
                          </a:stretch>
                        </pic:blipFill>
                        <pic:spPr>
                          <a:xfrm>
                            <a:off x="0" y="0"/>
                            <a:ext cx="2555875" cy="194373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20" w:type="pct"/>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val="0"/>
                <w:bCs w:val="0"/>
                <w:sz w:val="28"/>
                <w:szCs w:val="36"/>
                <w:highlight w:val="none"/>
                <w:vertAlign w:val="baseline"/>
                <w:lang w:val="en-US" w:eastAsia="zh-CN"/>
              </w:rPr>
            </w:pPr>
            <w:r>
              <w:rPr>
                <w:rFonts w:hint="eastAsia" w:ascii="仿宋" w:hAnsi="仿宋" w:eastAsia="仿宋"/>
                <w:b w:val="0"/>
                <w:bCs w:val="0"/>
                <w:sz w:val="28"/>
                <w:szCs w:val="36"/>
                <w:highlight w:val="none"/>
                <w:vertAlign w:val="baseline"/>
                <w:lang w:val="en-US" w:eastAsia="zh-CN"/>
              </w:rPr>
              <w:t>核酸实验室-疾控</w:t>
            </w:r>
          </w:p>
        </w:tc>
        <w:tc>
          <w:tcPr>
            <w:tcW w:w="2479" w:type="pct"/>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val="0"/>
                <w:bCs w:val="0"/>
                <w:sz w:val="28"/>
                <w:szCs w:val="36"/>
                <w:highlight w:val="none"/>
                <w:vertAlign w:val="baseline"/>
                <w:lang w:val="en-US" w:eastAsia="zh-CN"/>
              </w:rPr>
            </w:pPr>
            <w:r>
              <w:rPr>
                <w:rFonts w:hint="eastAsia" w:ascii="仿宋" w:hAnsi="仿宋" w:eastAsia="仿宋"/>
                <w:b w:val="0"/>
                <w:bCs w:val="0"/>
                <w:sz w:val="28"/>
                <w:szCs w:val="36"/>
                <w:highlight w:val="none"/>
                <w:vertAlign w:val="baseline"/>
                <w:lang w:val="en-US" w:eastAsia="zh-CN"/>
              </w:rPr>
              <w:t>核酸实验室设备-中医院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8" w:hRule="atLeast"/>
        </w:trPr>
        <w:tc>
          <w:tcPr>
            <w:tcW w:w="2520" w:type="pct"/>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val="0"/>
                <w:bCs w:val="0"/>
                <w:sz w:val="28"/>
                <w:szCs w:val="36"/>
                <w:highlight w:val="none"/>
                <w:vertAlign w:val="baseline"/>
                <w:lang w:val="en-US" w:eastAsia="zh-CN"/>
              </w:rPr>
            </w:pPr>
            <w:r>
              <w:rPr>
                <w:rFonts w:hint="default"/>
                <w:highlight w:val="none"/>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107950</wp:posOffset>
                  </wp:positionV>
                  <wp:extent cx="2584450" cy="1927225"/>
                  <wp:effectExtent l="0" t="0" r="6350" b="3175"/>
                  <wp:wrapNone/>
                  <wp:docPr id="8" name="图片 8" descr="1634807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4807644(1)"/>
                          <pic:cNvPicPr>
                            <a:picLocks noChangeAspect="1"/>
                          </pic:cNvPicPr>
                        </pic:nvPicPr>
                        <pic:blipFill>
                          <a:blip r:embed="rId30"/>
                          <a:stretch>
                            <a:fillRect/>
                          </a:stretch>
                        </pic:blipFill>
                        <pic:spPr>
                          <a:xfrm>
                            <a:off x="0" y="0"/>
                            <a:ext cx="2584450" cy="1927225"/>
                          </a:xfrm>
                          <a:prstGeom prst="rect">
                            <a:avLst/>
                          </a:prstGeom>
                        </pic:spPr>
                      </pic:pic>
                    </a:graphicData>
                  </a:graphic>
                </wp:anchor>
              </w:drawing>
            </w:r>
          </w:p>
        </w:tc>
        <w:tc>
          <w:tcPr>
            <w:tcW w:w="2479" w:type="pct"/>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val="0"/>
                <w:bCs w:val="0"/>
                <w:sz w:val="28"/>
                <w:szCs w:val="36"/>
                <w:highlight w:val="none"/>
                <w:vertAlign w:val="baseline"/>
                <w:lang w:val="en-US" w:eastAsia="zh-CN"/>
              </w:rPr>
            </w:pPr>
            <w:r>
              <w:rPr>
                <w:rFonts w:hint="default"/>
                <w:highlight w:val="none"/>
                <w:lang w:val="en-US" w:eastAsia="zh-CN"/>
              </w:rPr>
              <w:drawing>
                <wp:anchor distT="0" distB="0" distL="114300" distR="114300" simplePos="0" relativeHeight="251664384" behindDoc="0" locked="0" layoutInCell="1" allowOverlap="1">
                  <wp:simplePos x="0" y="0"/>
                  <wp:positionH relativeFrom="column">
                    <wp:posOffset>-43815</wp:posOffset>
                  </wp:positionH>
                  <wp:positionV relativeFrom="paragraph">
                    <wp:posOffset>76200</wp:posOffset>
                  </wp:positionV>
                  <wp:extent cx="2592705" cy="1938655"/>
                  <wp:effectExtent l="0" t="0" r="10795" b="4445"/>
                  <wp:wrapNone/>
                  <wp:docPr id="9" name="图片 9" descr="1634807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4807716(1)"/>
                          <pic:cNvPicPr>
                            <a:picLocks noChangeAspect="1"/>
                          </pic:cNvPicPr>
                        </pic:nvPicPr>
                        <pic:blipFill>
                          <a:blip r:embed="rId31"/>
                          <a:stretch>
                            <a:fillRect/>
                          </a:stretch>
                        </pic:blipFill>
                        <pic:spPr>
                          <a:xfrm>
                            <a:off x="0" y="0"/>
                            <a:ext cx="2592705" cy="193865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val="0"/>
                <w:bCs w:val="0"/>
                <w:sz w:val="28"/>
                <w:szCs w:val="36"/>
                <w:highlight w:val="none"/>
                <w:vertAlign w:val="baseline"/>
                <w:lang w:val="en-US" w:eastAsia="zh-CN"/>
              </w:rPr>
            </w:pPr>
            <w:r>
              <w:rPr>
                <w:rFonts w:hint="eastAsia" w:ascii="仿宋" w:hAnsi="仿宋" w:eastAsia="仿宋"/>
                <w:b w:val="0"/>
                <w:bCs w:val="0"/>
                <w:sz w:val="28"/>
                <w:szCs w:val="36"/>
                <w:highlight w:val="none"/>
                <w:vertAlign w:val="baseline"/>
                <w:lang w:val="en-US" w:eastAsia="zh-CN"/>
              </w:rPr>
              <w:t>核酸实验室-电机医院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20" w:type="pct"/>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val="0"/>
                <w:bCs w:val="0"/>
                <w:sz w:val="28"/>
                <w:szCs w:val="36"/>
                <w:highlight w:val="none"/>
                <w:vertAlign w:val="baseline"/>
                <w:lang w:val="en-US" w:eastAsia="zh-CN"/>
              </w:rPr>
            </w:pPr>
            <w:r>
              <w:rPr>
                <w:rFonts w:hint="eastAsia"/>
                <w:highlight w:val="none"/>
                <w:lang w:val="en-US" w:eastAsia="zh-CN"/>
              </w:rPr>
              <w:drawing>
                <wp:anchor distT="0" distB="0" distL="114300" distR="114300" simplePos="0" relativeHeight="251667456" behindDoc="0" locked="0" layoutInCell="1" allowOverlap="1">
                  <wp:simplePos x="0" y="0"/>
                  <wp:positionH relativeFrom="column">
                    <wp:posOffset>-38100</wp:posOffset>
                  </wp:positionH>
                  <wp:positionV relativeFrom="paragraph">
                    <wp:posOffset>106045</wp:posOffset>
                  </wp:positionV>
                  <wp:extent cx="2628900" cy="2180590"/>
                  <wp:effectExtent l="0" t="0" r="0" b="3810"/>
                  <wp:wrapNone/>
                  <wp:docPr id="89" name="图片 89" descr="04f39744b3eb26f8638ee934d80b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04f39744b3eb26f8638ee934d80b3e5"/>
                          <pic:cNvPicPr>
                            <a:picLocks noChangeAspect="1"/>
                          </pic:cNvPicPr>
                        </pic:nvPicPr>
                        <pic:blipFill>
                          <a:blip r:embed="rId32"/>
                          <a:srcRect/>
                          <a:stretch>
                            <a:fillRect/>
                          </a:stretch>
                        </pic:blipFill>
                        <pic:spPr>
                          <a:xfrm>
                            <a:off x="0" y="0"/>
                            <a:ext cx="2628900" cy="2180590"/>
                          </a:xfrm>
                          <a:prstGeom prst="rect">
                            <a:avLst/>
                          </a:prstGeom>
                        </pic:spPr>
                      </pic:pic>
                    </a:graphicData>
                  </a:graphic>
                </wp:anchor>
              </w:drawing>
            </w:r>
          </w:p>
        </w:tc>
        <w:tc>
          <w:tcPr>
            <w:tcW w:w="2479" w:type="pct"/>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val="0"/>
                <w:bCs w:val="0"/>
                <w:sz w:val="28"/>
                <w:szCs w:val="36"/>
                <w:highlight w:val="none"/>
                <w:vertAlign w:val="baseline"/>
                <w:lang w:val="en-US" w:eastAsia="zh-CN"/>
              </w:rPr>
            </w:pPr>
            <w:r>
              <w:rPr>
                <w:rFonts w:hint="eastAsia"/>
                <w:highlight w:val="none"/>
                <w:lang w:val="en-US" w:eastAsia="zh-CN"/>
              </w:rPr>
              <w:drawing>
                <wp:inline distT="0" distB="0" distL="114300" distR="114300">
                  <wp:extent cx="2529205" cy="2215515"/>
                  <wp:effectExtent l="0" t="0" r="10795" b="6985"/>
                  <wp:docPr id="91" name="图片 91" descr="603a849d4b8135057d32f1013316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603a849d4b8135057d32f1013316d4d"/>
                          <pic:cNvPicPr>
                            <a:picLocks noChangeAspect="1"/>
                          </pic:cNvPicPr>
                        </pic:nvPicPr>
                        <pic:blipFill>
                          <a:blip r:embed="rId33"/>
                          <a:srcRect/>
                          <a:stretch>
                            <a:fillRect/>
                          </a:stretch>
                        </pic:blipFill>
                        <pic:spPr>
                          <a:xfrm>
                            <a:off x="0" y="0"/>
                            <a:ext cx="2529205" cy="22155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val="0"/>
                <w:bCs w:val="0"/>
                <w:sz w:val="28"/>
                <w:szCs w:val="36"/>
                <w:highlight w:val="none"/>
                <w:vertAlign w:val="baseline"/>
                <w:lang w:val="en-US" w:eastAsia="zh-CN"/>
              </w:rPr>
            </w:pPr>
            <w:r>
              <w:rPr>
                <w:rFonts w:hint="eastAsia" w:ascii="仿宋" w:hAnsi="仿宋" w:eastAsia="仿宋"/>
                <w:b w:val="0"/>
                <w:bCs w:val="0"/>
                <w:sz w:val="28"/>
                <w:szCs w:val="36"/>
                <w:highlight w:val="none"/>
                <w:vertAlign w:val="baseline"/>
                <w:lang w:val="en-US" w:eastAsia="zh-CN"/>
              </w:rPr>
              <w:t>栲栳卫生院-发热门诊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6" w:hRule="atLeast"/>
        </w:trPr>
        <w:tc>
          <w:tcPr>
            <w:tcW w:w="2520" w:type="pct"/>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val="0"/>
                <w:bCs w:val="0"/>
                <w:sz w:val="28"/>
                <w:szCs w:val="36"/>
                <w:highlight w:val="none"/>
                <w:vertAlign w:val="baseline"/>
                <w:lang w:val="en-US" w:eastAsia="zh-CN"/>
              </w:rPr>
            </w:pPr>
            <w:r>
              <w:rPr>
                <w:rFonts w:hint="eastAsia" w:ascii="仿宋" w:hAnsi="仿宋" w:eastAsia="仿宋"/>
                <w:b w:val="0"/>
                <w:bCs w:val="0"/>
                <w:sz w:val="28"/>
                <w:szCs w:val="36"/>
                <w:highlight w:val="none"/>
                <w:vertAlign w:val="baseline"/>
                <w:lang w:val="en-US" w:eastAsia="zh-CN"/>
              </w:rPr>
              <w:drawing>
                <wp:inline distT="0" distB="0" distL="114300" distR="114300">
                  <wp:extent cx="2585720" cy="6708140"/>
                  <wp:effectExtent l="0" t="0" r="5080" b="10160"/>
                  <wp:docPr id="14" name="图片 14" descr="9bbcc2f9ada71cb6654e8882b0db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bbcc2f9ada71cb6654e8882b0db548"/>
                          <pic:cNvPicPr>
                            <a:picLocks noChangeAspect="1"/>
                          </pic:cNvPicPr>
                        </pic:nvPicPr>
                        <pic:blipFill>
                          <a:blip r:embed="rId34"/>
                          <a:stretch>
                            <a:fillRect/>
                          </a:stretch>
                        </pic:blipFill>
                        <pic:spPr>
                          <a:xfrm>
                            <a:off x="0" y="0"/>
                            <a:ext cx="2585720" cy="6708140"/>
                          </a:xfrm>
                          <a:prstGeom prst="rect">
                            <a:avLst/>
                          </a:prstGeom>
                        </pic:spPr>
                      </pic:pic>
                    </a:graphicData>
                  </a:graphic>
                </wp:inline>
              </w:drawing>
            </w:r>
          </w:p>
        </w:tc>
        <w:tc>
          <w:tcPr>
            <w:tcW w:w="2479" w:type="pct"/>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val="0"/>
                <w:bCs w:val="0"/>
                <w:sz w:val="28"/>
                <w:szCs w:val="36"/>
                <w:highlight w:val="none"/>
                <w:vertAlign w:val="baseline"/>
                <w:lang w:val="en-US" w:eastAsia="zh-CN"/>
              </w:rPr>
            </w:pPr>
            <w:r>
              <w:rPr>
                <w:rFonts w:hint="eastAsia" w:ascii="仿宋" w:hAnsi="仿宋" w:eastAsia="仿宋"/>
                <w:b w:val="0"/>
                <w:bCs w:val="0"/>
                <w:sz w:val="28"/>
                <w:szCs w:val="36"/>
                <w:highlight w:val="none"/>
                <w:vertAlign w:val="baseline"/>
                <w:lang w:val="en-US" w:eastAsia="zh-CN"/>
              </w:rPr>
              <w:drawing>
                <wp:anchor distT="0" distB="0" distL="114300" distR="114300" simplePos="0" relativeHeight="251668480" behindDoc="0" locked="0" layoutInCell="1" allowOverlap="1">
                  <wp:simplePos x="0" y="0"/>
                  <wp:positionH relativeFrom="column">
                    <wp:posOffset>301625</wp:posOffset>
                  </wp:positionH>
                  <wp:positionV relativeFrom="paragraph">
                    <wp:posOffset>30480</wp:posOffset>
                  </wp:positionV>
                  <wp:extent cx="1911350" cy="8343265"/>
                  <wp:effectExtent l="0" t="0" r="6350" b="635"/>
                  <wp:wrapNone/>
                  <wp:docPr id="13" name="图片 13" descr="7e070b92a29342bf8bdc60229f15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e070b92a29342bf8bdc60229f1528d"/>
                          <pic:cNvPicPr>
                            <a:picLocks noChangeAspect="1"/>
                          </pic:cNvPicPr>
                        </pic:nvPicPr>
                        <pic:blipFill>
                          <a:blip r:embed="rId35"/>
                          <a:srcRect/>
                          <a:stretch>
                            <a:fillRect/>
                          </a:stretch>
                        </pic:blipFill>
                        <pic:spPr>
                          <a:xfrm>
                            <a:off x="0" y="0"/>
                            <a:ext cx="1911350" cy="834326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b w:val="0"/>
                <w:bCs w:val="0"/>
                <w:sz w:val="28"/>
                <w:szCs w:val="36"/>
                <w:highlight w:val="none"/>
                <w:vertAlign w:val="baseline"/>
                <w:lang w:val="en-US" w:eastAsia="zh-CN"/>
              </w:rPr>
            </w:pPr>
            <w:r>
              <w:rPr>
                <w:rFonts w:hint="eastAsia" w:ascii="仿宋" w:hAnsi="仿宋" w:eastAsia="仿宋"/>
                <w:b w:val="0"/>
                <w:bCs w:val="0"/>
                <w:sz w:val="28"/>
                <w:szCs w:val="36"/>
                <w:highlight w:val="none"/>
                <w:vertAlign w:val="baseline"/>
                <w:lang w:val="en-US" w:eastAsia="zh-CN"/>
              </w:rPr>
              <w:t>集中隔离点收费情况</w:t>
            </w:r>
          </w:p>
        </w:tc>
      </w:tr>
    </w:tbl>
    <w:p>
      <w:pPr>
        <w:pStyle w:val="6"/>
        <w:pBdr>
          <w:bottom w:val="none" w:color="auto" w:sz="0" w:space="1"/>
        </w:pBdr>
        <w:jc w:val="both"/>
        <w:outlineLvl w:val="0"/>
        <w:rPr>
          <w:rFonts w:hint="default" w:ascii="仿宋" w:hAnsi="仿宋" w:eastAsia="仿宋" w:cs="仿宋"/>
          <w:sz w:val="20"/>
          <w:szCs w:val="20"/>
          <w:highlight w:val="none"/>
          <w:lang w:val="en-US" w:eastAsia="zh-CN"/>
        </w:rPr>
      </w:pPr>
      <w:bookmarkStart w:id="409" w:name="_Toc22674"/>
      <w:r>
        <w:rPr>
          <w:rFonts w:hint="eastAsia" w:ascii="仿宋" w:hAnsi="仿宋" w:eastAsia="仿宋" w:cs="仿宋"/>
          <w:sz w:val="20"/>
          <w:szCs w:val="20"/>
          <w:highlight w:val="none"/>
          <w:lang w:val="en-US" w:eastAsia="zh-CN"/>
        </w:rPr>
        <w:t>附件5：调查问卷分析报告</w:t>
      </w:r>
      <w:bookmarkEnd w:id="409"/>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lang w:val="en-US" w:eastAsia="zh-CN"/>
        </w:rPr>
        <w:t>2021年永济市疫情防控资金</w:t>
      </w:r>
      <w:r>
        <w:rPr>
          <w:rFonts w:hint="eastAsia" w:ascii="仿宋" w:hAnsi="仿宋" w:eastAsia="仿宋" w:cs="仿宋"/>
          <w:b/>
          <w:bCs/>
          <w:sz w:val="32"/>
          <w:szCs w:val="32"/>
          <w:highlight w:val="none"/>
          <w:lang w:eastAsia="zh-CN"/>
        </w:rPr>
        <w:t>社会公众满意度</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eastAsia="zh-CN"/>
        </w:rPr>
        <w:t>调查问卷</w:t>
      </w:r>
      <w:bookmarkEnd w:id="408"/>
      <w:r>
        <w:rPr>
          <w:rFonts w:hint="eastAsia" w:ascii="仿宋" w:hAnsi="仿宋" w:eastAsia="仿宋" w:cs="仿宋"/>
          <w:b/>
          <w:bCs/>
          <w:sz w:val="32"/>
          <w:szCs w:val="32"/>
          <w:highlight w:val="none"/>
          <w:lang w:val="en-US" w:eastAsia="zh-CN"/>
        </w:rPr>
        <w:t>分析报告</w:t>
      </w:r>
    </w:p>
    <w:p>
      <w:pPr>
        <w:keepNext w:val="0"/>
        <w:keepLines w:val="0"/>
        <w:pageBreakBefore w:val="0"/>
        <w:widowControl w:val="0"/>
        <w:kinsoku/>
        <w:wordWrap/>
        <w:overflowPunct/>
        <w:topLinePunct w:val="0"/>
        <w:autoSpaceDE/>
        <w:autoSpaceDN/>
        <w:bidi w:val="0"/>
        <w:adjustRightInd/>
        <w:snapToGrid/>
        <w:spacing w:before="313" w:beforeLines="100" w:line="460" w:lineRule="exact"/>
        <w:ind w:firstLine="482" w:firstLineChars="200"/>
        <w:textAlignment w:val="auto"/>
        <w:outlineLvl w:val="9"/>
        <w:rPr>
          <w:rFonts w:hint="eastAsia" w:ascii="仿宋" w:hAnsi="仿宋" w:eastAsia="仿宋" w:cs="仿宋"/>
          <w:b/>
          <w:bCs/>
          <w:sz w:val="24"/>
          <w:szCs w:val="22"/>
          <w:highlight w:val="none"/>
          <w:lang w:val="zh-TW" w:eastAsia="zh-TW"/>
        </w:rPr>
      </w:pPr>
      <w:r>
        <w:rPr>
          <w:rFonts w:hint="eastAsia" w:ascii="仿宋" w:hAnsi="仿宋" w:eastAsia="仿宋" w:cs="仿宋"/>
          <w:b/>
          <w:bCs/>
          <w:sz w:val="24"/>
          <w:szCs w:val="22"/>
          <w:highlight w:val="none"/>
          <w:lang w:val="zh-TW" w:eastAsia="zh-TW"/>
        </w:rPr>
        <w:t>一、调查背景</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sz w:val="24"/>
          <w:szCs w:val="22"/>
          <w:highlight w:val="none"/>
          <w:lang w:val="zh-TW" w:eastAsia="zh-TW"/>
        </w:rPr>
      </w:pPr>
      <w:r>
        <w:rPr>
          <w:rFonts w:hint="eastAsia" w:ascii="仿宋" w:hAnsi="仿宋" w:eastAsia="仿宋" w:cs="仿宋"/>
          <w:sz w:val="24"/>
          <w:szCs w:val="22"/>
          <w:highlight w:val="none"/>
          <w:lang w:val="zh-TW" w:eastAsia="zh-TW"/>
        </w:rPr>
        <w:t>本次调查旨在</w:t>
      </w:r>
      <w:r>
        <w:rPr>
          <w:rFonts w:hint="eastAsia" w:ascii="仿宋" w:hAnsi="仿宋" w:eastAsia="仿宋" w:cs="仿宋"/>
          <w:sz w:val="24"/>
          <w:szCs w:val="22"/>
          <w:highlight w:val="none"/>
          <w:lang w:val="zh-TW" w:eastAsia="zh-CN"/>
        </w:rPr>
        <w:t>获取社会公众对</w:t>
      </w:r>
      <w:r>
        <w:rPr>
          <w:rFonts w:hint="eastAsia" w:ascii="仿宋" w:hAnsi="仿宋" w:eastAsia="仿宋" w:cs="仿宋"/>
          <w:sz w:val="24"/>
          <w:szCs w:val="22"/>
          <w:highlight w:val="none"/>
          <w:lang w:val="en-US" w:eastAsia="zh-CN"/>
        </w:rPr>
        <w:t>2021年永济市</w:t>
      </w:r>
      <w:r>
        <w:rPr>
          <w:rFonts w:hint="eastAsia" w:ascii="仿宋" w:hAnsi="仿宋" w:eastAsia="仿宋" w:cs="仿宋"/>
          <w:sz w:val="24"/>
          <w:szCs w:val="22"/>
          <w:highlight w:val="none"/>
          <w:lang w:val="zh-TW" w:eastAsia="zh-CN"/>
        </w:rPr>
        <w:t>新冠肺炎疫情防控工作的满意度，</w:t>
      </w:r>
      <w:r>
        <w:rPr>
          <w:rFonts w:hint="eastAsia" w:ascii="仿宋" w:hAnsi="仿宋" w:eastAsia="仿宋" w:cs="仿宋"/>
          <w:sz w:val="24"/>
          <w:szCs w:val="22"/>
          <w:highlight w:val="none"/>
          <w:lang w:val="zh-TW" w:eastAsia="zh-TW"/>
        </w:rPr>
        <w:t>为本次绩效评价做出合理的分析。</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outlineLvl w:val="9"/>
        <w:rPr>
          <w:rFonts w:hint="eastAsia" w:ascii="仿宋" w:hAnsi="仿宋" w:eastAsia="仿宋" w:cs="仿宋"/>
          <w:b/>
          <w:bCs/>
          <w:sz w:val="24"/>
          <w:szCs w:val="22"/>
          <w:highlight w:val="none"/>
          <w:lang w:val="zh-TW" w:eastAsia="zh-TW"/>
        </w:rPr>
      </w:pPr>
      <w:r>
        <w:rPr>
          <w:rFonts w:hint="eastAsia" w:ascii="仿宋" w:hAnsi="仿宋" w:eastAsia="仿宋" w:cs="仿宋"/>
          <w:b/>
          <w:bCs/>
          <w:sz w:val="24"/>
          <w:szCs w:val="22"/>
          <w:highlight w:val="none"/>
          <w:lang w:val="zh-TW"/>
        </w:rPr>
        <w:t>二</w:t>
      </w:r>
      <w:r>
        <w:rPr>
          <w:rFonts w:hint="eastAsia" w:ascii="仿宋" w:hAnsi="仿宋" w:eastAsia="仿宋" w:cs="仿宋"/>
          <w:b/>
          <w:bCs/>
          <w:sz w:val="24"/>
          <w:szCs w:val="22"/>
          <w:highlight w:val="none"/>
          <w:lang w:val="zh-TW" w:eastAsia="zh-TW"/>
        </w:rPr>
        <w:t>、调查对象与调查内容</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outlineLvl w:val="9"/>
        <w:rPr>
          <w:rFonts w:hint="eastAsia" w:ascii="仿宋" w:hAnsi="仿宋" w:eastAsia="仿宋" w:cs="仿宋"/>
          <w:b/>
          <w:bCs/>
          <w:sz w:val="24"/>
          <w:szCs w:val="22"/>
          <w:highlight w:val="none"/>
          <w:lang w:val="zh-TW" w:eastAsia="zh-TW"/>
        </w:rPr>
      </w:pPr>
      <w:r>
        <w:rPr>
          <w:rFonts w:hint="eastAsia" w:ascii="仿宋" w:hAnsi="仿宋" w:eastAsia="仿宋" w:cs="仿宋"/>
          <w:b/>
          <w:bCs/>
          <w:sz w:val="24"/>
          <w:szCs w:val="22"/>
          <w:highlight w:val="none"/>
          <w:lang w:val="zh-TW" w:eastAsia="zh-TW"/>
        </w:rPr>
        <w:t>（一）调查对象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sz w:val="24"/>
          <w:szCs w:val="22"/>
          <w:highlight w:val="none"/>
          <w:lang w:val="zh-TW" w:eastAsia="zh-CN"/>
        </w:rPr>
      </w:pPr>
      <w:r>
        <w:rPr>
          <w:rFonts w:hint="eastAsia" w:ascii="仿宋" w:hAnsi="仿宋" w:eastAsia="仿宋" w:cs="仿宋"/>
          <w:sz w:val="24"/>
          <w:szCs w:val="22"/>
          <w:highlight w:val="none"/>
          <w:lang w:val="zh-TW" w:eastAsia="zh-TW"/>
        </w:rPr>
        <w:t>本次社会调查对象</w:t>
      </w:r>
      <w:r>
        <w:rPr>
          <w:rFonts w:hint="eastAsia" w:ascii="仿宋" w:hAnsi="仿宋" w:eastAsia="仿宋" w:cs="仿宋"/>
          <w:sz w:val="24"/>
          <w:szCs w:val="22"/>
          <w:highlight w:val="none"/>
          <w:lang w:val="zh-TW" w:eastAsia="zh-CN"/>
        </w:rPr>
        <w:t>为</w:t>
      </w:r>
      <w:r>
        <w:rPr>
          <w:rFonts w:hint="eastAsia" w:ascii="仿宋" w:hAnsi="仿宋" w:eastAsia="仿宋" w:cs="仿宋"/>
          <w:sz w:val="24"/>
          <w:szCs w:val="22"/>
          <w:highlight w:val="none"/>
          <w:lang w:val="en-US" w:eastAsia="zh-CN"/>
        </w:rPr>
        <w:t>永济市辖区内居民</w:t>
      </w:r>
      <w:r>
        <w:rPr>
          <w:rFonts w:hint="eastAsia" w:ascii="仿宋" w:hAnsi="仿宋" w:eastAsia="仿宋" w:cs="仿宋"/>
          <w:sz w:val="24"/>
          <w:szCs w:val="22"/>
          <w:highlight w:val="none"/>
          <w:lang w:val="zh-TW"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outlineLvl w:val="9"/>
        <w:rPr>
          <w:rFonts w:hint="eastAsia" w:ascii="仿宋" w:hAnsi="仿宋" w:eastAsia="仿宋" w:cs="仿宋"/>
          <w:b/>
          <w:bCs/>
          <w:sz w:val="24"/>
          <w:szCs w:val="22"/>
          <w:highlight w:val="none"/>
          <w:lang w:val="zh-TW" w:eastAsia="zh-TW"/>
        </w:rPr>
      </w:pPr>
      <w:r>
        <w:rPr>
          <w:rFonts w:hint="eastAsia" w:ascii="仿宋" w:hAnsi="仿宋" w:eastAsia="仿宋" w:cs="仿宋"/>
          <w:b/>
          <w:bCs/>
          <w:sz w:val="24"/>
          <w:szCs w:val="22"/>
          <w:highlight w:val="none"/>
          <w:lang w:val="zh-TW" w:eastAsia="zh-TW"/>
        </w:rPr>
        <w:t>（二）调查内容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sz w:val="24"/>
          <w:szCs w:val="22"/>
          <w:highlight w:val="none"/>
        </w:rPr>
      </w:pPr>
      <w:r>
        <w:rPr>
          <w:rFonts w:hint="eastAsia" w:ascii="仿宋" w:hAnsi="仿宋" w:eastAsia="仿宋" w:cs="仿宋"/>
          <w:sz w:val="24"/>
          <w:szCs w:val="22"/>
          <w:highlight w:val="none"/>
          <w:lang w:val="zh-TW" w:eastAsia="zh-TW"/>
        </w:rPr>
        <w:t>（</w:t>
      </w:r>
      <w:r>
        <w:rPr>
          <w:rFonts w:hint="eastAsia" w:ascii="仿宋" w:hAnsi="仿宋" w:eastAsia="仿宋" w:cs="仿宋"/>
          <w:sz w:val="24"/>
          <w:szCs w:val="22"/>
          <w:highlight w:val="none"/>
        </w:rPr>
        <w:t>1</w:t>
      </w:r>
      <w:r>
        <w:rPr>
          <w:rFonts w:hint="eastAsia" w:ascii="仿宋" w:hAnsi="仿宋" w:eastAsia="仿宋" w:cs="仿宋"/>
          <w:sz w:val="24"/>
          <w:szCs w:val="22"/>
          <w:highlight w:val="none"/>
          <w:lang w:val="zh-TW" w:eastAsia="zh-TW"/>
        </w:rPr>
        <w:t>）</w:t>
      </w:r>
      <w:r>
        <w:rPr>
          <w:rFonts w:hint="eastAsia" w:ascii="仿宋" w:hAnsi="仿宋" w:eastAsia="仿宋" w:cs="仿宋"/>
          <w:sz w:val="24"/>
          <w:szCs w:val="22"/>
          <w:highlight w:val="none"/>
          <w:lang w:val="zh-TW"/>
        </w:rPr>
        <w:t>基本</w:t>
      </w:r>
      <w:r>
        <w:rPr>
          <w:rFonts w:hint="eastAsia" w:ascii="仿宋" w:hAnsi="仿宋" w:eastAsia="仿宋" w:cs="仿宋"/>
          <w:sz w:val="24"/>
          <w:szCs w:val="22"/>
          <w:highlight w:val="none"/>
          <w:lang w:val="zh-TW" w:eastAsia="zh-TW"/>
        </w:rPr>
        <w:t>信息</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sz w:val="24"/>
          <w:szCs w:val="22"/>
          <w:highlight w:val="none"/>
          <w:lang w:val="en-US" w:eastAsia="zh-CN"/>
        </w:rPr>
      </w:pPr>
      <w:r>
        <w:rPr>
          <w:rFonts w:hint="eastAsia" w:ascii="仿宋" w:hAnsi="仿宋" w:eastAsia="仿宋" w:cs="仿宋"/>
          <w:sz w:val="24"/>
          <w:szCs w:val="22"/>
          <w:highlight w:val="none"/>
          <w:lang w:val="zh-TW"/>
        </w:rPr>
        <w:t>被调查</w:t>
      </w:r>
      <w:r>
        <w:rPr>
          <w:rFonts w:hint="eastAsia" w:ascii="仿宋" w:hAnsi="仿宋" w:eastAsia="仿宋" w:cs="仿宋"/>
          <w:sz w:val="24"/>
          <w:szCs w:val="22"/>
          <w:highlight w:val="none"/>
          <w:lang w:val="en-US" w:eastAsia="zh-CN"/>
        </w:rPr>
        <w:t>人的居住地与年龄。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sz w:val="24"/>
          <w:szCs w:val="22"/>
          <w:highlight w:val="none"/>
        </w:rPr>
      </w:pPr>
      <w:r>
        <w:rPr>
          <w:rFonts w:hint="eastAsia" w:ascii="仿宋" w:hAnsi="仿宋" w:eastAsia="仿宋" w:cs="仿宋"/>
          <w:sz w:val="24"/>
          <w:szCs w:val="22"/>
          <w:highlight w:val="none"/>
          <w:lang w:val="zh-TW" w:eastAsia="zh-TW"/>
        </w:rPr>
        <w:t>（</w:t>
      </w:r>
      <w:r>
        <w:rPr>
          <w:rFonts w:hint="eastAsia" w:ascii="仿宋" w:hAnsi="仿宋" w:eastAsia="仿宋" w:cs="仿宋"/>
          <w:sz w:val="24"/>
          <w:szCs w:val="22"/>
          <w:highlight w:val="none"/>
        </w:rPr>
        <w:t>2</w:t>
      </w:r>
      <w:r>
        <w:rPr>
          <w:rFonts w:hint="eastAsia" w:ascii="仿宋" w:hAnsi="仿宋" w:eastAsia="仿宋" w:cs="仿宋"/>
          <w:sz w:val="24"/>
          <w:szCs w:val="22"/>
          <w:highlight w:val="none"/>
          <w:lang w:val="zh-TW" w:eastAsia="zh-TW"/>
        </w:rPr>
        <w:t>）</w:t>
      </w:r>
      <w:r>
        <w:rPr>
          <w:rFonts w:hint="eastAsia" w:ascii="仿宋" w:hAnsi="仿宋" w:eastAsia="仿宋" w:cs="仿宋"/>
          <w:sz w:val="24"/>
          <w:szCs w:val="22"/>
          <w:highlight w:val="none"/>
          <w:lang w:val="zh-TW"/>
        </w:rPr>
        <w:t>调查内容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sz w:val="24"/>
          <w:szCs w:val="22"/>
          <w:highlight w:val="none"/>
          <w:lang w:val="zh-TW" w:eastAsia="zh-CN"/>
        </w:rPr>
      </w:pPr>
      <w:r>
        <w:rPr>
          <w:rFonts w:hint="eastAsia" w:ascii="仿宋" w:hAnsi="仿宋" w:eastAsia="仿宋" w:cs="仿宋"/>
          <w:sz w:val="24"/>
          <w:szCs w:val="22"/>
          <w:highlight w:val="none"/>
          <w:lang w:val="zh-TW" w:eastAsia="zh-CN"/>
        </w:rPr>
        <w:t>对新冠灭活疫苗接种服务是否满意；</w:t>
      </w:r>
      <w:r>
        <w:rPr>
          <w:rFonts w:hint="eastAsia" w:ascii="仿宋" w:hAnsi="仿宋" w:eastAsia="仿宋" w:cs="仿宋"/>
          <w:sz w:val="24"/>
          <w:szCs w:val="22"/>
          <w:highlight w:val="none"/>
          <w:lang w:val="en-US" w:eastAsia="zh-CN"/>
        </w:rPr>
        <w:t>您对本地区核酸检测是否满意；</w:t>
      </w:r>
      <w:r>
        <w:rPr>
          <w:rFonts w:hint="eastAsia" w:ascii="仿宋" w:hAnsi="仿宋" w:eastAsia="仿宋" w:cs="仿宋"/>
          <w:sz w:val="24"/>
          <w:szCs w:val="22"/>
          <w:highlight w:val="none"/>
          <w:lang w:val="zh-TW" w:eastAsia="zh-CN"/>
        </w:rPr>
        <w:t>对疫苗接种后相关信息的查询是否满意；对所在地区进行核酸检测后相关信息的查询是否满意；对您所在地区在疫情严重期间及人流量较大期间的防控工作是否满意；您在</w:t>
      </w:r>
      <w:r>
        <w:rPr>
          <w:rFonts w:hint="eastAsia" w:ascii="仿宋" w:hAnsi="仿宋" w:eastAsia="仿宋" w:cs="仿宋"/>
          <w:sz w:val="24"/>
          <w:szCs w:val="22"/>
          <w:highlight w:val="none"/>
          <w:lang w:val="en-US" w:eastAsia="zh-CN"/>
        </w:rPr>
        <w:t>20</w:t>
      </w:r>
      <w:r>
        <w:rPr>
          <w:rFonts w:hint="eastAsia" w:ascii="仿宋" w:hAnsi="仿宋" w:eastAsia="仿宋" w:cs="仿宋"/>
          <w:sz w:val="24"/>
          <w:szCs w:val="22"/>
          <w:highlight w:val="none"/>
          <w:lang w:val="zh-TW" w:eastAsia="zh-CN"/>
        </w:rPr>
        <w:t>21年是否前往隔离酒店进行集中隔离；您在隔离期间是否收费；您在隔离期间的收费项目有哪些；对本次隔离宾馆隔离环境是否满意；对新冠肺炎疫情工作整体是否满意；新冠肺炎疫情防控工作有什么宝贵意见和建议。</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outlineLvl w:val="9"/>
        <w:rPr>
          <w:rFonts w:hint="eastAsia" w:ascii="仿宋" w:hAnsi="仿宋" w:eastAsia="仿宋" w:cs="仿宋"/>
          <w:b/>
          <w:bCs/>
          <w:sz w:val="24"/>
          <w:szCs w:val="22"/>
          <w:highlight w:val="none"/>
          <w:lang w:val="zh-TW" w:eastAsia="zh-TW"/>
        </w:rPr>
      </w:pPr>
      <w:r>
        <w:rPr>
          <w:rFonts w:hint="eastAsia" w:ascii="仿宋" w:hAnsi="仿宋" w:eastAsia="仿宋" w:cs="仿宋"/>
          <w:b/>
          <w:bCs/>
          <w:sz w:val="24"/>
          <w:szCs w:val="22"/>
          <w:highlight w:val="none"/>
          <w:lang w:val="zh-TW"/>
        </w:rPr>
        <w:t>三</w:t>
      </w:r>
      <w:r>
        <w:rPr>
          <w:rFonts w:hint="eastAsia" w:ascii="仿宋" w:hAnsi="仿宋" w:eastAsia="仿宋" w:cs="仿宋"/>
          <w:b/>
          <w:bCs/>
          <w:sz w:val="24"/>
          <w:szCs w:val="22"/>
          <w:highlight w:val="none"/>
          <w:lang w:val="zh-TW" w:eastAsia="zh-TW"/>
        </w:rPr>
        <w:t>、调查方法与调查方式</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outlineLvl w:val="9"/>
        <w:rPr>
          <w:rFonts w:hint="eastAsia" w:ascii="仿宋" w:hAnsi="仿宋" w:eastAsia="仿宋" w:cs="仿宋"/>
          <w:b/>
          <w:bCs/>
          <w:sz w:val="24"/>
          <w:szCs w:val="22"/>
          <w:highlight w:val="none"/>
          <w:lang w:val="zh-TW" w:eastAsia="zh-TW"/>
        </w:rPr>
      </w:pPr>
      <w:r>
        <w:rPr>
          <w:rFonts w:hint="eastAsia" w:ascii="仿宋" w:hAnsi="仿宋" w:eastAsia="仿宋" w:cs="仿宋"/>
          <w:b/>
          <w:bCs/>
          <w:sz w:val="24"/>
          <w:szCs w:val="22"/>
          <w:highlight w:val="none"/>
          <w:lang w:val="zh-TW" w:eastAsia="zh-TW"/>
        </w:rPr>
        <w:t>（一）调查方法</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sz w:val="24"/>
          <w:szCs w:val="22"/>
          <w:highlight w:val="none"/>
          <w:lang w:val="zh-TW" w:eastAsia="zh-TW"/>
        </w:rPr>
      </w:pPr>
      <w:r>
        <w:rPr>
          <w:rFonts w:hint="eastAsia" w:ascii="仿宋" w:hAnsi="仿宋" w:eastAsia="仿宋" w:cs="仿宋"/>
          <w:sz w:val="24"/>
          <w:szCs w:val="22"/>
          <w:highlight w:val="none"/>
          <w:lang w:val="zh-TW" w:eastAsia="zh-TW"/>
        </w:rPr>
        <w:t>针对上述问卷调查对象开展问卷调查，在抽样调查全面开展之前，先对部分样本问卷进行论证，依据论证结果对问卷和抽样方案进行修改和调整，以保证调研切合实际，顺利进行。</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outlineLvl w:val="9"/>
        <w:rPr>
          <w:rFonts w:hint="eastAsia" w:ascii="仿宋" w:hAnsi="仿宋" w:eastAsia="仿宋" w:cs="仿宋"/>
          <w:b/>
          <w:bCs/>
          <w:sz w:val="24"/>
          <w:szCs w:val="22"/>
          <w:highlight w:val="none"/>
          <w:lang w:val="zh-TW" w:eastAsia="zh-TW"/>
        </w:rPr>
      </w:pPr>
      <w:r>
        <w:rPr>
          <w:rFonts w:hint="eastAsia" w:ascii="仿宋" w:hAnsi="仿宋" w:eastAsia="仿宋" w:cs="仿宋"/>
          <w:b/>
          <w:bCs/>
          <w:sz w:val="24"/>
          <w:szCs w:val="22"/>
          <w:highlight w:val="none"/>
          <w:lang w:val="zh-TW" w:eastAsia="zh-TW"/>
        </w:rPr>
        <w:t>（二）调查方式</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sz w:val="24"/>
          <w:szCs w:val="22"/>
          <w:highlight w:val="none"/>
          <w:lang w:val="en-US" w:eastAsia="zh-CN"/>
        </w:rPr>
      </w:pPr>
      <w:r>
        <w:rPr>
          <w:rFonts w:hint="eastAsia" w:ascii="仿宋" w:hAnsi="仿宋" w:eastAsia="仿宋" w:cs="仿宋"/>
          <w:sz w:val="24"/>
          <w:szCs w:val="22"/>
          <w:highlight w:val="none"/>
          <w:lang w:val="zh-TW" w:eastAsia="zh-TW"/>
        </w:rPr>
        <w:t>本次调查采用</w:t>
      </w:r>
      <w:r>
        <w:rPr>
          <w:rFonts w:hint="eastAsia" w:ascii="仿宋" w:hAnsi="仿宋" w:eastAsia="仿宋" w:cs="仿宋"/>
          <w:sz w:val="24"/>
          <w:szCs w:val="22"/>
          <w:highlight w:val="none"/>
          <w:lang w:val="zh-TW" w:eastAsia="zh-CN"/>
        </w:rPr>
        <w:t>问卷星</w:t>
      </w:r>
      <w:r>
        <w:rPr>
          <w:rFonts w:hint="eastAsia" w:ascii="仿宋" w:hAnsi="仿宋" w:eastAsia="仿宋" w:cs="仿宋"/>
          <w:sz w:val="24"/>
          <w:szCs w:val="22"/>
          <w:highlight w:val="none"/>
          <w:lang w:val="en-US" w:eastAsia="zh-CN"/>
        </w:rPr>
        <w:t>的方式</w:t>
      </w:r>
      <w:r>
        <w:rPr>
          <w:rFonts w:hint="eastAsia" w:ascii="仿宋" w:hAnsi="仿宋" w:eastAsia="仿宋" w:cs="仿宋"/>
          <w:sz w:val="24"/>
          <w:szCs w:val="22"/>
          <w:highlight w:val="none"/>
          <w:lang w:val="zh-TW" w:eastAsia="zh-TW"/>
        </w:rPr>
        <w:t>，</w:t>
      </w:r>
      <w:r>
        <w:rPr>
          <w:rFonts w:hint="eastAsia" w:ascii="仿宋" w:hAnsi="仿宋" w:eastAsia="仿宋" w:cs="仿宋"/>
          <w:sz w:val="24"/>
          <w:szCs w:val="22"/>
          <w:highlight w:val="none"/>
          <w:lang w:val="en-US" w:eastAsia="zh-CN"/>
        </w:rPr>
        <w:t>分别对采样点、接种点、医疗机构、隔离点等永济市辖区内居民进行问卷调查，发放95份问卷，</w:t>
      </w:r>
      <w:r>
        <w:rPr>
          <w:rFonts w:hint="eastAsia" w:ascii="仿宋" w:hAnsi="仿宋" w:eastAsia="仿宋" w:cs="仿宋"/>
          <w:sz w:val="24"/>
          <w:szCs w:val="22"/>
          <w:highlight w:val="none"/>
          <w:lang w:val="zh-TW" w:eastAsia="zh-TW"/>
        </w:rPr>
        <w:t>收回</w:t>
      </w:r>
      <w:r>
        <w:rPr>
          <w:rFonts w:hint="eastAsia" w:ascii="仿宋" w:hAnsi="仿宋" w:eastAsia="仿宋" w:cs="仿宋"/>
          <w:sz w:val="24"/>
          <w:szCs w:val="22"/>
          <w:highlight w:val="none"/>
          <w:lang w:val="en-US" w:eastAsia="zh-CN"/>
        </w:rPr>
        <w:t>95</w:t>
      </w:r>
      <w:r>
        <w:rPr>
          <w:rFonts w:hint="eastAsia" w:ascii="仿宋" w:hAnsi="仿宋" w:eastAsia="仿宋" w:cs="仿宋"/>
          <w:sz w:val="24"/>
          <w:szCs w:val="22"/>
          <w:highlight w:val="none"/>
          <w:lang w:val="zh-TW" w:eastAsia="zh-TW"/>
        </w:rPr>
        <w:t>份，</w:t>
      </w:r>
      <w:r>
        <w:rPr>
          <w:rFonts w:hint="eastAsia" w:ascii="仿宋" w:hAnsi="仿宋" w:eastAsia="仿宋" w:cs="仿宋"/>
          <w:sz w:val="24"/>
          <w:szCs w:val="22"/>
          <w:highlight w:val="none"/>
          <w:lang w:val="en-US" w:eastAsia="zh-CN"/>
        </w:rPr>
        <w:t>均为有效问卷</w:t>
      </w:r>
      <w:r>
        <w:rPr>
          <w:rFonts w:hint="eastAsia" w:ascii="仿宋" w:hAnsi="仿宋" w:eastAsia="仿宋" w:cs="仿宋"/>
          <w:sz w:val="24"/>
          <w:szCs w:val="22"/>
          <w:highlight w:val="none"/>
          <w:lang w:val="zh-TW"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outlineLvl w:val="9"/>
        <w:rPr>
          <w:rFonts w:hint="eastAsia" w:ascii="仿宋" w:hAnsi="仿宋" w:eastAsia="仿宋" w:cs="仿宋"/>
          <w:b/>
          <w:bCs/>
          <w:sz w:val="24"/>
          <w:szCs w:val="22"/>
          <w:highlight w:val="none"/>
          <w:lang w:val="zh-TW" w:eastAsia="zh-TW"/>
        </w:rPr>
      </w:pPr>
      <w:r>
        <w:rPr>
          <w:rFonts w:hint="eastAsia" w:ascii="仿宋" w:hAnsi="仿宋" w:eastAsia="仿宋" w:cs="仿宋"/>
          <w:b/>
          <w:bCs/>
          <w:sz w:val="24"/>
          <w:szCs w:val="22"/>
          <w:highlight w:val="none"/>
          <w:lang w:val="zh-TW" w:eastAsia="zh-TW"/>
        </w:rPr>
        <w:t>（三）问卷的发放和回收</w:t>
      </w:r>
      <w:r>
        <w:rPr>
          <w:rFonts w:hint="eastAsia" w:ascii="仿宋" w:hAnsi="仿宋" w:eastAsia="仿宋" w:cs="仿宋"/>
          <w:b/>
          <w:bCs/>
          <w:sz w:val="24"/>
          <w:szCs w:val="22"/>
          <w:highlight w:val="none"/>
          <w:lang w:val="zh-TW" w:eastAsia="zh-TW"/>
        </w:rPr>
        <w:tab/>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sz w:val="24"/>
          <w:szCs w:val="22"/>
          <w:highlight w:val="none"/>
          <w:lang w:val="zh-TW" w:eastAsia="zh-TW"/>
        </w:rPr>
      </w:pPr>
      <w:r>
        <w:rPr>
          <w:rFonts w:hint="eastAsia" w:ascii="仿宋" w:hAnsi="仿宋" w:eastAsia="仿宋" w:cs="仿宋"/>
          <w:sz w:val="24"/>
          <w:szCs w:val="22"/>
          <w:highlight w:val="none"/>
          <w:lang w:val="zh-TW" w:eastAsia="zh-TW"/>
        </w:rPr>
        <w:t>评价组安排专业调查人员，组织安排问卷调查工作。在此过程中，将维持良好的问卷作答环境，保证调研的科学性和严谨性。</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outlineLvl w:val="9"/>
        <w:rPr>
          <w:rFonts w:hint="eastAsia" w:ascii="仿宋" w:hAnsi="仿宋" w:eastAsia="仿宋" w:cs="仿宋"/>
          <w:b/>
          <w:bCs/>
          <w:sz w:val="24"/>
          <w:szCs w:val="22"/>
          <w:highlight w:val="none"/>
          <w:lang w:val="zh-TW"/>
        </w:rPr>
      </w:pPr>
      <w:r>
        <w:rPr>
          <w:rFonts w:hint="eastAsia" w:ascii="仿宋" w:hAnsi="仿宋" w:eastAsia="仿宋" w:cs="仿宋"/>
          <w:b/>
          <w:bCs/>
          <w:sz w:val="24"/>
          <w:szCs w:val="22"/>
          <w:highlight w:val="none"/>
          <w:lang w:val="zh-TW" w:eastAsia="zh-TW"/>
        </w:rPr>
        <w:t>（四）调研安排</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b/>
          <w:bCs/>
          <w:sz w:val="24"/>
          <w:szCs w:val="22"/>
          <w:highlight w:val="none"/>
        </w:rPr>
      </w:pPr>
      <w:r>
        <w:rPr>
          <w:rFonts w:hint="eastAsia" w:ascii="仿宋" w:hAnsi="仿宋" w:eastAsia="仿宋" w:cs="仿宋"/>
          <w:sz w:val="24"/>
          <w:szCs w:val="22"/>
          <w:highlight w:val="none"/>
          <w:lang w:val="zh-TW" w:eastAsia="zh-TW"/>
        </w:rPr>
        <w:t>根据项目进度安排，评价组于</w:t>
      </w:r>
      <w:r>
        <w:rPr>
          <w:rFonts w:hint="eastAsia" w:ascii="仿宋" w:hAnsi="仿宋" w:eastAsia="仿宋" w:cs="仿宋"/>
          <w:sz w:val="24"/>
          <w:szCs w:val="22"/>
          <w:highlight w:val="none"/>
        </w:rPr>
        <w:t>20</w:t>
      </w:r>
      <w:r>
        <w:rPr>
          <w:rFonts w:hint="eastAsia" w:ascii="仿宋" w:hAnsi="仿宋" w:eastAsia="仿宋" w:cs="仿宋"/>
          <w:sz w:val="24"/>
          <w:szCs w:val="22"/>
          <w:highlight w:val="none"/>
          <w:lang w:val="en-US" w:eastAsia="zh-CN"/>
        </w:rPr>
        <w:t>22</w:t>
      </w:r>
      <w:r>
        <w:rPr>
          <w:rFonts w:hint="eastAsia" w:ascii="仿宋" w:hAnsi="仿宋" w:eastAsia="仿宋" w:cs="仿宋"/>
          <w:sz w:val="24"/>
          <w:szCs w:val="22"/>
          <w:highlight w:val="none"/>
          <w:lang w:val="zh-TW" w:eastAsia="zh-TW"/>
        </w:rPr>
        <w:t>年</w:t>
      </w:r>
      <w:r>
        <w:rPr>
          <w:rFonts w:hint="eastAsia" w:ascii="仿宋" w:hAnsi="仿宋" w:eastAsia="仿宋" w:cs="仿宋"/>
          <w:sz w:val="24"/>
          <w:szCs w:val="22"/>
          <w:highlight w:val="none"/>
          <w:lang w:val="en-US" w:eastAsia="zh-CN"/>
        </w:rPr>
        <w:t>12</w:t>
      </w:r>
      <w:r>
        <w:rPr>
          <w:rFonts w:hint="eastAsia" w:ascii="仿宋" w:hAnsi="仿宋" w:eastAsia="仿宋" w:cs="仿宋"/>
          <w:sz w:val="24"/>
          <w:szCs w:val="22"/>
          <w:highlight w:val="none"/>
          <w:lang w:val="zh-TW" w:eastAsia="zh-TW"/>
        </w:rPr>
        <w:t>月</w:t>
      </w:r>
      <w:r>
        <w:rPr>
          <w:rFonts w:hint="eastAsia" w:ascii="仿宋" w:hAnsi="仿宋" w:eastAsia="仿宋" w:cs="仿宋"/>
          <w:sz w:val="24"/>
          <w:szCs w:val="22"/>
          <w:highlight w:val="none"/>
          <w:lang w:val="en-US" w:eastAsia="zh-CN"/>
        </w:rPr>
        <w:t>10</w:t>
      </w:r>
      <w:r>
        <w:rPr>
          <w:rFonts w:hint="eastAsia" w:ascii="仿宋" w:hAnsi="仿宋" w:eastAsia="仿宋" w:cs="仿宋"/>
          <w:sz w:val="24"/>
          <w:szCs w:val="22"/>
          <w:highlight w:val="none"/>
          <w:lang w:val="zh-TW"/>
        </w:rPr>
        <w:t>日-20</w:t>
      </w:r>
      <w:r>
        <w:rPr>
          <w:rFonts w:hint="eastAsia" w:ascii="仿宋" w:hAnsi="仿宋" w:eastAsia="仿宋" w:cs="仿宋"/>
          <w:sz w:val="24"/>
          <w:szCs w:val="22"/>
          <w:highlight w:val="none"/>
          <w:lang w:val="en-US" w:eastAsia="zh-CN"/>
        </w:rPr>
        <w:t>22</w:t>
      </w:r>
      <w:r>
        <w:rPr>
          <w:rFonts w:hint="eastAsia" w:ascii="仿宋" w:hAnsi="仿宋" w:eastAsia="仿宋" w:cs="仿宋"/>
          <w:sz w:val="24"/>
          <w:szCs w:val="22"/>
          <w:highlight w:val="none"/>
          <w:lang w:val="zh-TW"/>
        </w:rPr>
        <w:t>年</w:t>
      </w:r>
      <w:r>
        <w:rPr>
          <w:rFonts w:hint="eastAsia" w:ascii="仿宋" w:hAnsi="仿宋" w:eastAsia="仿宋" w:cs="仿宋"/>
          <w:sz w:val="24"/>
          <w:szCs w:val="22"/>
          <w:highlight w:val="none"/>
          <w:lang w:val="en-US" w:eastAsia="zh-CN"/>
        </w:rPr>
        <w:t>12</w:t>
      </w:r>
      <w:r>
        <w:rPr>
          <w:rFonts w:hint="eastAsia" w:ascii="仿宋" w:hAnsi="仿宋" w:eastAsia="仿宋" w:cs="仿宋"/>
          <w:sz w:val="24"/>
          <w:szCs w:val="22"/>
          <w:highlight w:val="none"/>
          <w:lang w:val="zh-TW"/>
        </w:rPr>
        <w:t>月</w:t>
      </w:r>
      <w:r>
        <w:rPr>
          <w:rFonts w:hint="eastAsia" w:ascii="仿宋" w:hAnsi="仿宋" w:eastAsia="仿宋" w:cs="仿宋"/>
          <w:sz w:val="24"/>
          <w:szCs w:val="22"/>
          <w:highlight w:val="none"/>
          <w:lang w:val="en-US" w:eastAsia="zh-CN"/>
        </w:rPr>
        <w:t>26</w:t>
      </w:r>
      <w:r>
        <w:rPr>
          <w:rFonts w:hint="eastAsia" w:ascii="仿宋" w:hAnsi="仿宋" w:eastAsia="仿宋" w:cs="仿宋"/>
          <w:sz w:val="24"/>
          <w:szCs w:val="22"/>
          <w:highlight w:val="none"/>
          <w:lang w:val="zh-TW"/>
        </w:rPr>
        <w:t>日</w:t>
      </w:r>
      <w:r>
        <w:rPr>
          <w:rFonts w:hint="eastAsia" w:ascii="仿宋" w:hAnsi="仿宋" w:eastAsia="仿宋" w:cs="仿宋"/>
          <w:sz w:val="24"/>
          <w:szCs w:val="22"/>
          <w:highlight w:val="none"/>
          <w:lang w:val="zh-TW" w:eastAsia="zh-TW"/>
        </w:rPr>
        <w:t>对调查对象开展问卷调查并回收、分析。</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outlineLvl w:val="9"/>
        <w:rPr>
          <w:rFonts w:hint="eastAsia" w:ascii="仿宋" w:hAnsi="仿宋" w:eastAsia="仿宋" w:cs="仿宋"/>
          <w:b/>
          <w:bCs/>
          <w:sz w:val="24"/>
          <w:szCs w:val="22"/>
          <w:highlight w:val="none"/>
          <w:lang w:val="zh-TW" w:eastAsia="zh-TW"/>
        </w:rPr>
      </w:pPr>
      <w:r>
        <w:rPr>
          <w:rFonts w:hint="eastAsia" w:ascii="仿宋" w:hAnsi="仿宋" w:eastAsia="仿宋" w:cs="仿宋"/>
          <w:b/>
          <w:bCs/>
          <w:sz w:val="24"/>
          <w:szCs w:val="22"/>
          <w:highlight w:val="none"/>
          <w:lang w:val="zh-TW" w:eastAsia="zh-TW"/>
        </w:rPr>
        <w:t>五、调查分析</w:t>
      </w:r>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仿宋" w:hAnsi="仿宋" w:eastAsia="仿宋" w:cs="仿宋"/>
          <w:sz w:val="20"/>
          <w:szCs w:val="22"/>
          <w:highlight w:val="none"/>
          <w:lang w:val="en-US"/>
        </w:rPr>
      </w:pPr>
      <w:r>
        <w:rPr>
          <w:rFonts w:hint="eastAsia" w:ascii="仿宋" w:hAnsi="仿宋" w:eastAsia="仿宋" w:cs="仿宋"/>
          <w:sz w:val="24"/>
          <w:szCs w:val="22"/>
          <w:highlight w:val="none"/>
          <w:lang w:val="en-US" w:eastAsia="zh-CN"/>
        </w:rPr>
        <w:t xml:space="preserve">    根据基本信息分析，本次调查的内容：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b w:val="0"/>
          <w:color w:val="0066FF"/>
          <w:sz w:val="24"/>
          <w:highlight w:val="none"/>
        </w:rPr>
      </w:pPr>
      <w:r>
        <w:rPr>
          <w:rFonts w:hint="eastAsia" w:ascii="仿宋" w:hAnsi="仿宋" w:eastAsia="仿宋" w:cs="仿宋"/>
          <w:sz w:val="24"/>
          <w:szCs w:val="22"/>
          <w:highlight w:val="none"/>
          <w:lang w:val="zh-TW" w:eastAsia="zh-TW"/>
        </w:rPr>
        <w:t>1.您对新冠灭活疫苗接种是否满意?</w:t>
      </w:r>
    </w:p>
    <w:tbl>
      <w:tblPr>
        <w:tblStyle w:val="10"/>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2916"/>
        <w:gridCol w:w="978"/>
        <w:gridCol w:w="462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选项</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小计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非常满意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56</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790575" cy="114300"/>
                  <wp:effectExtent l="0" t="0" r="9525" b="0"/>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pic:cNvPicPr>
                        </pic:nvPicPr>
                        <pic:blipFill>
                          <a:blip r:embed="rId36"/>
                          <a:stretch>
                            <a:fillRect/>
                          </a:stretch>
                        </pic:blipFill>
                        <pic:spPr>
                          <a:xfrm>
                            <a:off x="0" y="0"/>
                            <a:ext cx="79057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61975" cy="114300"/>
                  <wp:effectExtent l="0" t="0" r="9525" b="0"/>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37"/>
                          <a:stretch>
                            <a:fillRect/>
                          </a:stretch>
                        </pic:blipFill>
                        <pic:spPr>
                          <a:xfrm>
                            <a:off x="0" y="0"/>
                            <a:ext cx="561975" cy="114300"/>
                          </a:xfrm>
                          <a:prstGeom prst="rect">
                            <a:avLst/>
                          </a:prstGeom>
                          <a:noFill/>
                          <a:ln>
                            <a:noFill/>
                          </a:ln>
                        </pic:spPr>
                      </pic:pic>
                    </a:graphicData>
                  </a:graphic>
                </wp:inline>
              </w:drawing>
            </w:r>
            <w:r>
              <w:rPr>
                <w:rFonts w:hint="eastAsia" w:ascii="仿宋" w:hAnsi="仿宋" w:eastAsia="仿宋" w:cs="仿宋"/>
                <w:highlight w:val="none"/>
              </w:rPr>
              <w:t>58.95%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比较满意</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21</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295275" cy="114300"/>
                  <wp:effectExtent l="0" t="0" r="9525" b="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38"/>
                          <a:stretch>
                            <a:fillRect/>
                          </a:stretch>
                        </pic:blipFill>
                        <pic:spPr>
                          <a:xfrm>
                            <a:off x="0" y="0"/>
                            <a:ext cx="29527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057275" cy="114300"/>
                  <wp:effectExtent l="0" t="0" r="9525" b="0"/>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39"/>
                          <a:stretch>
                            <a:fillRect/>
                          </a:stretch>
                        </pic:blipFill>
                        <pic:spPr>
                          <a:xfrm>
                            <a:off x="0" y="0"/>
                            <a:ext cx="1057275" cy="114300"/>
                          </a:xfrm>
                          <a:prstGeom prst="rect">
                            <a:avLst/>
                          </a:prstGeom>
                          <a:noFill/>
                          <a:ln>
                            <a:noFill/>
                          </a:ln>
                        </pic:spPr>
                      </pic:pic>
                    </a:graphicData>
                  </a:graphic>
                </wp:inline>
              </w:drawing>
            </w:r>
            <w:r>
              <w:rPr>
                <w:rFonts w:hint="eastAsia" w:ascii="仿宋" w:hAnsi="仿宋" w:eastAsia="仿宋" w:cs="仿宋"/>
                <w:highlight w:val="none"/>
              </w:rPr>
              <w:t>22.11%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基本满意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17</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238125" cy="114300"/>
                  <wp:effectExtent l="0" t="0" r="3175" b="0"/>
                  <wp:docPr id="9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5"/>
                          <pic:cNvPicPr>
                            <a:picLocks noChangeAspect="1"/>
                          </pic:cNvPicPr>
                        </pic:nvPicPr>
                        <pic:blipFill>
                          <a:blip r:embed="rId40"/>
                          <a:stretch>
                            <a:fillRect/>
                          </a:stretch>
                        </pic:blipFill>
                        <pic:spPr>
                          <a:xfrm>
                            <a:off x="0" y="0"/>
                            <a:ext cx="2381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114425" cy="114300"/>
                  <wp:effectExtent l="0" t="0" r="3175" b="0"/>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41"/>
                          <a:stretch>
                            <a:fillRect/>
                          </a:stretch>
                        </pic:blipFill>
                        <pic:spPr>
                          <a:xfrm>
                            <a:off x="0" y="0"/>
                            <a:ext cx="1114425" cy="114300"/>
                          </a:xfrm>
                          <a:prstGeom prst="rect">
                            <a:avLst/>
                          </a:prstGeom>
                          <a:noFill/>
                          <a:ln>
                            <a:noFill/>
                          </a:ln>
                        </pic:spPr>
                      </pic:pic>
                    </a:graphicData>
                  </a:graphic>
                </wp:inline>
              </w:drawing>
            </w:r>
            <w:r>
              <w:rPr>
                <w:rFonts w:hint="eastAsia" w:ascii="仿宋" w:hAnsi="仿宋" w:eastAsia="仿宋" w:cs="仿宋"/>
                <w:highlight w:val="none"/>
              </w:rPr>
              <w:t>17.89%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不满意</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1</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9525" cy="114300"/>
                  <wp:effectExtent l="0" t="0" r="3175" b="0"/>
                  <wp:docPr id="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7"/>
                          <pic:cNvPicPr>
                            <a:picLocks noChangeAspect="1"/>
                          </pic:cNvPicPr>
                        </pic:nvPicPr>
                        <pic:blipFill>
                          <a:blip r:embed="rId22"/>
                          <a:stretch>
                            <a:fillRect/>
                          </a:stretch>
                        </pic:blipFill>
                        <pic:spPr>
                          <a:xfrm>
                            <a:off x="0" y="0"/>
                            <a:ext cx="95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343025" cy="114300"/>
                  <wp:effectExtent l="0" t="0" r="3175" b="0"/>
                  <wp:docPr id="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8"/>
                          <pic:cNvPicPr>
                            <a:picLocks noChangeAspect="1"/>
                          </pic:cNvPicPr>
                        </pic:nvPicPr>
                        <pic:blipFill>
                          <a:blip r:embed="rId23"/>
                          <a:stretch>
                            <a:fillRect/>
                          </a:stretch>
                        </pic:blipFill>
                        <pic:spPr>
                          <a:xfrm>
                            <a:off x="0" y="0"/>
                            <a:ext cx="1343025" cy="114300"/>
                          </a:xfrm>
                          <a:prstGeom prst="rect">
                            <a:avLst/>
                          </a:prstGeom>
                          <a:noFill/>
                          <a:ln>
                            <a:noFill/>
                          </a:ln>
                        </pic:spPr>
                      </pic:pic>
                    </a:graphicData>
                  </a:graphic>
                </wp:inline>
              </w:drawing>
            </w:r>
            <w:r>
              <w:rPr>
                <w:rFonts w:hint="eastAsia" w:ascii="仿宋" w:hAnsi="仿宋" w:eastAsia="仿宋" w:cs="仿宋"/>
                <w:highlight w:val="none"/>
              </w:rPr>
              <w:t>1.05%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非常不满意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0</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352550" cy="114300"/>
                  <wp:effectExtent l="0" t="0" r="6350" b="0"/>
                  <wp:docPr id="9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9"/>
                          <pic:cNvPicPr>
                            <a:picLocks noChangeAspect="1"/>
                          </pic:cNvPicPr>
                        </pic:nvPicPr>
                        <pic:blipFill>
                          <a:blip r:embed="rId42"/>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highlight w:val="none"/>
              </w:rP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本题有效填写人次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95</w:t>
            </w:r>
          </w:p>
        </w:tc>
        <w:tc>
          <w:tcPr>
            <w:shd w:val="clear" w:color="auto" w:fill="F5F5F5"/>
            <w:vAlign w:val="center"/>
          </w:tcPr>
          <w:p>
            <w:pPr>
              <w:jc w:val="left"/>
              <w:outlineLvl w:val="9"/>
              <w:rPr>
                <w:rFonts w:hint="eastAsia" w:ascii="仿宋" w:hAnsi="仿宋" w:eastAsia="仿宋" w:cs="仿宋"/>
                <w:highlight w:val="none"/>
              </w:rPr>
            </w:pPr>
          </w:p>
        </w:tc>
      </w:tr>
    </w:tbl>
    <w:p>
      <w:pPr>
        <w:pStyle w:val="2"/>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结果分析：从问卷结果可以看出，本次有效问卷共计95份，调查的95个人均接种新冠疫苗，疫苗接种率非常高，并且有58.95%的群众表示对接种工作非常满意，22.11%的群众表示比较满意，17.89%的群众表示基本满意，群众整体对接种满意度较高。</w:t>
      </w:r>
    </w:p>
    <w:p>
      <w:pPr>
        <w:ind w:firstLine="480" w:firstLineChars="200"/>
        <w:outlineLvl w:val="9"/>
        <w:rPr>
          <w:rFonts w:hint="eastAsia" w:ascii="仿宋" w:hAnsi="仿宋" w:eastAsia="仿宋" w:cs="仿宋"/>
          <w:b w:val="0"/>
          <w:color w:val="0066FF"/>
          <w:sz w:val="24"/>
          <w:highlight w:val="none"/>
        </w:rPr>
      </w:pPr>
      <w:r>
        <w:rPr>
          <w:rFonts w:hint="eastAsia" w:ascii="仿宋" w:hAnsi="仿宋" w:eastAsia="仿宋" w:cs="仿宋"/>
          <w:sz w:val="24"/>
          <w:szCs w:val="22"/>
          <w:highlight w:val="none"/>
          <w:lang w:val="en-US" w:eastAsia="zh-CN"/>
        </w:rPr>
        <w:t xml:space="preserve">2.您对本地区核酸检测是否满意? </w:t>
      </w:r>
      <w:r>
        <w:rPr>
          <w:rFonts w:hint="eastAsia" w:ascii="仿宋" w:hAnsi="仿宋" w:eastAsia="仿宋" w:cs="仿宋"/>
          <w:b w:val="0"/>
          <w:color w:val="000000"/>
          <w:sz w:val="24"/>
          <w:highlight w:val="none"/>
        </w:rPr>
        <w:t xml:space="preserve"> </w:t>
      </w:r>
    </w:p>
    <w:tbl>
      <w:tblPr>
        <w:tblStyle w:val="10"/>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2916"/>
        <w:gridCol w:w="978"/>
        <w:gridCol w:w="462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选项</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小计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非常满意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61</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866775" cy="114300"/>
                  <wp:effectExtent l="0" t="0" r="9525" b="0"/>
                  <wp:docPr id="9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0"/>
                          <pic:cNvPicPr>
                            <a:picLocks noChangeAspect="1"/>
                          </pic:cNvPicPr>
                        </pic:nvPicPr>
                        <pic:blipFill>
                          <a:blip r:embed="rId43"/>
                          <a:stretch>
                            <a:fillRect/>
                          </a:stretch>
                        </pic:blipFill>
                        <pic:spPr>
                          <a:xfrm>
                            <a:off x="0" y="0"/>
                            <a:ext cx="86677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485775" cy="114300"/>
                  <wp:effectExtent l="0" t="0" r="9525" b="0"/>
                  <wp:docPr id="10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1"/>
                          <pic:cNvPicPr>
                            <a:picLocks noChangeAspect="1"/>
                          </pic:cNvPicPr>
                        </pic:nvPicPr>
                        <pic:blipFill>
                          <a:blip r:embed="rId44"/>
                          <a:stretch>
                            <a:fillRect/>
                          </a:stretch>
                        </pic:blipFill>
                        <pic:spPr>
                          <a:xfrm>
                            <a:off x="0" y="0"/>
                            <a:ext cx="485775" cy="114300"/>
                          </a:xfrm>
                          <a:prstGeom prst="rect">
                            <a:avLst/>
                          </a:prstGeom>
                          <a:noFill/>
                          <a:ln>
                            <a:noFill/>
                          </a:ln>
                        </pic:spPr>
                      </pic:pic>
                    </a:graphicData>
                  </a:graphic>
                </wp:inline>
              </w:drawing>
            </w:r>
            <w:r>
              <w:rPr>
                <w:rFonts w:hint="eastAsia" w:ascii="仿宋" w:hAnsi="仿宋" w:eastAsia="仿宋" w:cs="仿宋"/>
                <w:highlight w:val="none"/>
              </w:rPr>
              <w:t>64.21%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比较满意</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22</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304800" cy="114300"/>
                  <wp:effectExtent l="0" t="0" r="0" b="0"/>
                  <wp:docPr id="10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2"/>
                          <pic:cNvPicPr>
                            <a:picLocks noChangeAspect="1"/>
                          </pic:cNvPicPr>
                        </pic:nvPicPr>
                        <pic:blipFill>
                          <a:blip r:embed="rId45"/>
                          <a:stretch>
                            <a:fillRect/>
                          </a:stretch>
                        </pic:blipFill>
                        <pic:spPr>
                          <a:xfrm>
                            <a:off x="0" y="0"/>
                            <a:ext cx="304800"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047750" cy="114300"/>
                  <wp:effectExtent l="0" t="0" r="6350" b="0"/>
                  <wp:docPr id="9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3"/>
                          <pic:cNvPicPr>
                            <a:picLocks noChangeAspect="1"/>
                          </pic:cNvPicPr>
                        </pic:nvPicPr>
                        <pic:blipFill>
                          <a:blip r:embed="rId46"/>
                          <a:stretch>
                            <a:fillRect/>
                          </a:stretch>
                        </pic:blipFill>
                        <pic:spPr>
                          <a:xfrm>
                            <a:off x="0" y="0"/>
                            <a:ext cx="1047750" cy="114300"/>
                          </a:xfrm>
                          <a:prstGeom prst="rect">
                            <a:avLst/>
                          </a:prstGeom>
                          <a:noFill/>
                          <a:ln>
                            <a:noFill/>
                          </a:ln>
                        </pic:spPr>
                      </pic:pic>
                    </a:graphicData>
                  </a:graphic>
                </wp:inline>
              </w:drawing>
            </w:r>
            <w:r>
              <w:rPr>
                <w:rFonts w:hint="eastAsia" w:ascii="仿宋" w:hAnsi="仿宋" w:eastAsia="仿宋" w:cs="仿宋"/>
                <w:highlight w:val="none"/>
              </w:rPr>
              <w:t>23.16%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基本满意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10</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33350" cy="114300"/>
                  <wp:effectExtent l="0" t="0" r="6350" b="0"/>
                  <wp:docPr id="10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4"/>
                          <pic:cNvPicPr>
                            <a:picLocks noChangeAspect="1"/>
                          </pic:cNvPicPr>
                        </pic:nvPicPr>
                        <pic:blipFill>
                          <a:blip r:embed="rId47"/>
                          <a:stretch>
                            <a:fillRect/>
                          </a:stretch>
                        </pic:blipFill>
                        <pic:spPr>
                          <a:xfrm>
                            <a:off x="0" y="0"/>
                            <a:ext cx="133350"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219200" cy="114300"/>
                  <wp:effectExtent l="0" t="0" r="0" b="0"/>
                  <wp:docPr id="10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5"/>
                          <pic:cNvPicPr>
                            <a:picLocks noChangeAspect="1"/>
                          </pic:cNvPicPr>
                        </pic:nvPicPr>
                        <pic:blipFill>
                          <a:blip r:embed="rId48"/>
                          <a:stretch>
                            <a:fillRect/>
                          </a:stretch>
                        </pic:blipFill>
                        <pic:spPr>
                          <a:xfrm>
                            <a:off x="0" y="0"/>
                            <a:ext cx="1219200" cy="114300"/>
                          </a:xfrm>
                          <a:prstGeom prst="rect">
                            <a:avLst/>
                          </a:prstGeom>
                          <a:noFill/>
                          <a:ln>
                            <a:noFill/>
                          </a:ln>
                        </pic:spPr>
                      </pic:pic>
                    </a:graphicData>
                  </a:graphic>
                </wp:inline>
              </w:drawing>
            </w:r>
            <w:r>
              <w:rPr>
                <w:rFonts w:hint="eastAsia" w:ascii="仿宋" w:hAnsi="仿宋" w:eastAsia="仿宋" w:cs="仿宋"/>
                <w:highlight w:val="none"/>
              </w:rPr>
              <w:t>10.53%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不满意</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1</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9525" cy="114300"/>
                  <wp:effectExtent l="0" t="0" r="3175" b="0"/>
                  <wp:docPr id="10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6"/>
                          <pic:cNvPicPr>
                            <a:picLocks noChangeAspect="1"/>
                          </pic:cNvPicPr>
                        </pic:nvPicPr>
                        <pic:blipFill>
                          <a:blip r:embed="rId22"/>
                          <a:stretch>
                            <a:fillRect/>
                          </a:stretch>
                        </pic:blipFill>
                        <pic:spPr>
                          <a:xfrm>
                            <a:off x="0" y="0"/>
                            <a:ext cx="95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343025" cy="114300"/>
                  <wp:effectExtent l="0" t="0" r="3175" b="0"/>
                  <wp:docPr id="10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7"/>
                          <pic:cNvPicPr>
                            <a:picLocks noChangeAspect="1"/>
                          </pic:cNvPicPr>
                        </pic:nvPicPr>
                        <pic:blipFill>
                          <a:blip r:embed="rId23"/>
                          <a:stretch>
                            <a:fillRect/>
                          </a:stretch>
                        </pic:blipFill>
                        <pic:spPr>
                          <a:xfrm>
                            <a:off x="0" y="0"/>
                            <a:ext cx="1343025" cy="114300"/>
                          </a:xfrm>
                          <a:prstGeom prst="rect">
                            <a:avLst/>
                          </a:prstGeom>
                          <a:noFill/>
                          <a:ln>
                            <a:noFill/>
                          </a:ln>
                        </pic:spPr>
                      </pic:pic>
                    </a:graphicData>
                  </a:graphic>
                </wp:inline>
              </w:drawing>
            </w:r>
            <w:r>
              <w:rPr>
                <w:rFonts w:hint="eastAsia" w:ascii="仿宋" w:hAnsi="仿宋" w:eastAsia="仿宋" w:cs="仿宋"/>
                <w:highlight w:val="none"/>
              </w:rPr>
              <w:t>1.05%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非常不满意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1</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9525" cy="114300"/>
                  <wp:effectExtent l="0" t="0" r="3175" b="0"/>
                  <wp:docPr id="10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8"/>
                          <pic:cNvPicPr>
                            <a:picLocks noChangeAspect="1"/>
                          </pic:cNvPicPr>
                        </pic:nvPicPr>
                        <pic:blipFill>
                          <a:blip r:embed="rId22"/>
                          <a:stretch>
                            <a:fillRect/>
                          </a:stretch>
                        </pic:blipFill>
                        <pic:spPr>
                          <a:xfrm>
                            <a:off x="0" y="0"/>
                            <a:ext cx="95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343025" cy="114300"/>
                  <wp:effectExtent l="0" t="0" r="3175" b="0"/>
                  <wp:docPr id="10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9"/>
                          <pic:cNvPicPr>
                            <a:picLocks noChangeAspect="1"/>
                          </pic:cNvPicPr>
                        </pic:nvPicPr>
                        <pic:blipFill>
                          <a:blip r:embed="rId23"/>
                          <a:stretch>
                            <a:fillRect/>
                          </a:stretch>
                        </pic:blipFill>
                        <pic:spPr>
                          <a:xfrm>
                            <a:off x="0" y="0"/>
                            <a:ext cx="1343025" cy="114300"/>
                          </a:xfrm>
                          <a:prstGeom prst="rect">
                            <a:avLst/>
                          </a:prstGeom>
                          <a:noFill/>
                          <a:ln>
                            <a:noFill/>
                          </a:ln>
                        </pic:spPr>
                      </pic:pic>
                    </a:graphicData>
                  </a:graphic>
                </wp:inline>
              </w:drawing>
            </w:r>
            <w:r>
              <w:rPr>
                <w:rFonts w:hint="eastAsia" w:ascii="仿宋" w:hAnsi="仿宋" w:eastAsia="仿宋" w:cs="仿宋"/>
                <w:highlight w:val="none"/>
              </w:rPr>
              <w:t>1.05%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本题有效填写人次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95</w:t>
            </w:r>
          </w:p>
        </w:tc>
        <w:tc>
          <w:tcPr>
            <w:shd w:val="clear" w:color="auto" w:fill="F5F5F5"/>
            <w:vAlign w:val="center"/>
          </w:tcPr>
          <w:p>
            <w:pPr>
              <w:jc w:val="left"/>
              <w:outlineLvl w:val="9"/>
              <w:rPr>
                <w:rFonts w:hint="eastAsia" w:ascii="仿宋" w:hAnsi="仿宋" w:eastAsia="仿宋" w:cs="仿宋"/>
                <w:highlight w:val="none"/>
              </w:rPr>
            </w:pPr>
          </w:p>
        </w:tc>
      </w:tr>
    </w:tbl>
    <w:p>
      <w:pPr>
        <w:pStyle w:val="2"/>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highlight w:val="none"/>
          <w:lang w:val="en-US"/>
        </w:rPr>
      </w:pPr>
      <w:r>
        <w:rPr>
          <w:rFonts w:hint="eastAsia" w:ascii="仿宋" w:hAnsi="仿宋" w:eastAsia="仿宋" w:cs="仿宋"/>
          <w:kern w:val="2"/>
          <w:sz w:val="24"/>
          <w:szCs w:val="22"/>
          <w:highlight w:val="none"/>
          <w:lang w:val="en-US" w:eastAsia="zh-CN" w:bidi="ar-SA"/>
        </w:rPr>
        <w:t>结果分析：根据问卷结果可以得出，本次收回的95份问卷中64.21%的群众表示对核酸检测非常满意，23.16%的群众表示比较满意，10.53%的群众表示基本满意，虽然整体满意度较高，但是存在2%左右的群众对核酸检测不满意。</w:t>
      </w:r>
    </w:p>
    <w:p>
      <w:pPr>
        <w:ind w:firstLine="480" w:firstLineChars="200"/>
        <w:outlineLvl w:val="9"/>
        <w:rPr>
          <w:rFonts w:hint="eastAsia" w:ascii="仿宋" w:hAnsi="仿宋" w:eastAsia="仿宋" w:cs="仿宋"/>
          <w:b w:val="0"/>
          <w:color w:val="0066FF"/>
          <w:sz w:val="24"/>
          <w:highlight w:val="none"/>
        </w:rPr>
      </w:pPr>
      <w:r>
        <w:rPr>
          <w:rFonts w:hint="eastAsia" w:ascii="仿宋" w:hAnsi="仿宋" w:eastAsia="仿宋" w:cs="仿宋"/>
          <w:sz w:val="24"/>
          <w:szCs w:val="22"/>
          <w:highlight w:val="none"/>
          <w:lang w:val="en-US" w:eastAsia="zh-CN"/>
        </w:rPr>
        <w:t>3.您对您所在地区进行疫苗接种后相关信息的查询是否满意？</w:t>
      </w:r>
    </w:p>
    <w:tbl>
      <w:tblPr>
        <w:tblStyle w:val="10"/>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2916"/>
        <w:gridCol w:w="978"/>
        <w:gridCol w:w="462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blHeader/>
        </w:trPr>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选项</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小计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非常满意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60</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847725" cy="114300"/>
                  <wp:effectExtent l="0" t="0" r="3175" b="0"/>
                  <wp:docPr id="11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0"/>
                          <pic:cNvPicPr>
                            <a:picLocks noChangeAspect="1"/>
                          </pic:cNvPicPr>
                        </pic:nvPicPr>
                        <pic:blipFill>
                          <a:blip r:embed="rId49"/>
                          <a:stretch>
                            <a:fillRect/>
                          </a:stretch>
                        </pic:blipFill>
                        <pic:spPr>
                          <a:xfrm>
                            <a:off x="0" y="0"/>
                            <a:ext cx="8477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04825" cy="114300"/>
                  <wp:effectExtent l="0" t="0" r="3175" b="0"/>
                  <wp:docPr id="11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1"/>
                          <pic:cNvPicPr>
                            <a:picLocks noChangeAspect="1"/>
                          </pic:cNvPicPr>
                        </pic:nvPicPr>
                        <pic:blipFill>
                          <a:blip r:embed="rId50"/>
                          <a:stretch>
                            <a:fillRect/>
                          </a:stretch>
                        </pic:blipFill>
                        <pic:spPr>
                          <a:xfrm>
                            <a:off x="0" y="0"/>
                            <a:ext cx="504825" cy="114300"/>
                          </a:xfrm>
                          <a:prstGeom prst="rect">
                            <a:avLst/>
                          </a:prstGeom>
                          <a:noFill/>
                          <a:ln>
                            <a:noFill/>
                          </a:ln>
                        </pic:spPr>
                      </pic:pic>
                    </a:graphicData>
                  </a:graphic>
                </wp:inline>
              </w:drawing>
            </w:r>
            <w:r>
              <w:rPr>
                <w:rFonts w:hint="eastAsia" w:ascii="仿宋" w:hAnsi="仿宋" w:eastAsia="仿宋" w:cs="仿宋"/>
                <w:highlight w:val="none"/>
              </w:rPr>
              <w:t>63.16%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比较满意</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24</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333375" cy="114300"/>
                  <wp:effectExtent l="0" t="0" r="9525" b="0"/>
                  <wp:docPr id="11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2"/>
                          <pic:cNvPicPr>
                            <a:picLocks noChangeAspect="1"/>
                          </pic:cNvPicPr>
                        </pic:nvPicPr>
                        <pic:blipFill>
                          <a:blip r:embed="rId51"/>
                          <a:stretch>
                            <a:fillRect/>
                          </a:stretch>
                        </pic:blipFill>
                        <pic:spPr>
                          <a:xfrm>
                            <a:off x="0" y="0"/>
                            <a:ext cx="33337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019175" cy="114300"/>
                  <wp:effectExtent l="0" t="0" r="9525" b="0"/>
                  <wp:docPr id="11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3"/>
                          <pic:cNvPicPr>
                            <a:picLocks noChangeAspect="1"/>
                          </pic:cNvPicPr>
                        </pic:nvPicPr>
                        <pic:blipFill>
                          <a:blip r:embed="rId52"/>
                          <a:stretch>
                            <a:fillRect/>
                          </a:stretch>
                        </pic:blipFill>
                        <pic:spPr>
                          <a:xfrm>
                            <a:off x="0" y="0"/>
                            <a:ext cx="1019175" cy="114300"/>
                          </a:xfrm>
                          <a:prstGeom prst="rect">
                            <a:avLst/>
                          </a:prstGeom>
                          <a:noFill/>
                          <a:ln>
                            <a:noFill/>
                          </a:ln>
                        </pic:spPr>
                      </pic:pic>
                    </a:graphicData>
                  </a:graphic>
                </wp:inline>
              </w:drawing>
            </w:r>
            <w:r>
              <w:rPr>
                <w:rFonts w:hint="eastAsia" w:ascii="仿宋" w:hAnsi="仿宋" w:eastAsia="仿宋" w:cs="仿宋"/>
                <w:highlight w:val="none"/>
              </w:rPr>
              <w:t>25.26%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基本满意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10</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33350" cy="114300"/>
                  <wp:effectExtent l="0" t="0" r="6350" b="0"/>
                  <wp:docPr id="11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4"/>
                          <pic:cNvPicPr>
                            <a:picLocks noChangeAspect="1"/>
                          </pic:cNvPicPr>
                        </pic:nvPicPr>
                        <pic:blipFill>
                          <a:blip r:embed="rId47"/>
                          <a:stretch>
                            <a:fillRect/>
                          </a:stretch>
                        </pic:blipFill>
                        <pic:spPr>
                          <a:xfrm>
                            <a:off x="0" y="0"/>
                            <a:ext cx="133350"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219200" cy="114300"/>
                  <wp:effectExtent l="0" t="0" r="0" b="0"/>
                  <wp:docPr id="11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5"/>
                          <pic:cNvPicPr>
                            <a:picLocks noChangeAspect="1"/>
                          </pic:cNvPicPr>
                        </pic:nvPicPr>
                        <pic:blipFill>
                          <a:blip r:embed="rId48"/>
                          <a:stretch>
                            <a:fillRect/>
                          </a:stretch>
                        </pic:blipFill>
                        <pic:spPr>
                          <a:xfrm>
                            <a:off x="0" y="0"/>
                            <a:ext cx="1219200" cy="114300"/>
                          </a:xfrm>
                          <a:prstGeom prst="rect">
                            <a:avLst/>
                          </a:prstGeom>
                          <a:noFill/>
                          <a:ln>
                            <a:noFill/>
                          </a:ln>
                        </pic:spPr>
                      </pic:pic>
                    </a:graphicData>
                  </a:graphic>
                </wp:inline>
              </w:drawing>
            </w:r>
            <w:r>
              <w:rPr>
                <w:rFonts w:hint="eastAsia" w:ascii="仿宋" w:hAnsi="仿宋" w:eastAsia="仿宋" w:cs="仿宋"/>
                <w:highlight w:val="none"/>
              </w:rPr>
              <w:t>10.53%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不满意</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1</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9525" cy="114300"/>
                  <wp:effectExtent l="0" t="0" r="3175" b="0"/>
                  <wp:docPr id="10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6"/>
                          <pic:cNvPicPr>
                            <a:picLocks noChangeAspect="1"/>
                          </pic:cNvPicPr>
                        </pic:nvPicPr>
                        <pic:blipFill>
                          <a:blip r:embed="rId22"/>
                          <a:stretch>
                            <a:fillRect/>
                          </a:stretch>
                        </pic:blipFill>
                        <pic:spPr>
                          <a:xfrm>
                            <a:off x="0" y="0"/>
                            <a:ext cx="95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343025" cy="114300"/>
                  <wp:effectExtent l="0" t="0" r="3175" b="0"/>
                  <wp:docPr id="10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7"/>
                          <pic:cNvPicPr>
                            <a:picLocks noChangeAspect="1"/>
                          </pic:cNvPicPr>
                        </pic:nvPicPr>
                        <pic:blipFill>
                          <a:blip r:embed="rId23"/>
                          <a:stretch>
                            <a:fillRect/>
                          </a:stretch>
                        </pic:blipFill>
                        <pic:spPr>
                          <a:xfrm>
                            <a:off x="0" y="0"/>
                            <a:ext cx="1343025" cy="114300"/>
                          </a:xfrm>
                          <a:prstGeom prst="rect">
                            <a:avLst/>
                          </a:prstGeom>
                          <a:noFill/>
                          <a:ln>
                            <a:noFill/>
                          </a:ln>
                        </pic:spPr>
                      </pic:pic>
                    </a:graphicData>
                  </a:graphic>
                </wp:inline>
              </w:drawing>
            </w:r>
            <w:r>
              <w:rPr>
                <w:rFonts w:hint="eastAsia" w:ascii="仿宋" w:hAnsi="仿宋" w:eastAsia="仿宋" w:cs="仿宋"/>
                <w:highlight w:val="none"/>
              </w:rPr>
              <w:t>1.05%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非常不满意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0</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352550" cy="114300"/>
                  <wp:effectExtent l="0" t="0" r="6350" b="0"/>
                  <wp:docPr id="1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8"/>
                          <pic:cNvPicPr>
                            <a:picLocks noChangeAspect="1"/>
                          </pic:cNvPicPr>
                        </pic:nvPicPr>
                        <pic:blipFill>
                          <a:blip r:embed="rId42"/>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highlight w:val="none"/>
              </w:rP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397" w:hRule="exact"/>
        </w:trPr>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本题有效填写人次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95</w:t>
            </w:r>
          </w:p>
        </w:tc>
        <w:tc>
          <w:tcPr>
            <w:shd w:val="clear" w:color="auto" w:fill="F5F5F5"/>
            <w:vAlign w:val="center"/>
          </w:tcPr>
          <w:p>
            <w:pPr>
              <w:jc w:val="left"/>
              <w:outlineLvl w:val="9"/>
              <w:rPr>
                <w:rFonts w:hint="eastAsia" w:ascii="仿宋" w:hAnsi="仿宋" w:eastAsia="仿宋" w:cs="仿宋"/>
                <w:highlight w:val="none"/>
              </w:rPr>
            </w:pPr>
          </w:p>
        </w:tc>
      </w:tr>
    </w:tbl>
    <w:p>
      <w:pPr>
        <w:pStyle w:val="2"/>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结果分析：根据问卷调查结果，本次调查的95个群众当中98%以上表示对疫苗接种后相关信息的查询满意，满意程度较高，表明信息上传及时，群众能够准确获得接种疫苗结果。</w:t>
      </w:r>
    </w:p>
    <w:p>
      <w:pPr>
        <w:ind w:firstLine="480" w:firstLineChars="200"/>
        <w:outlineLvl w:val="9"/>
        <w:rPr>
          <w:rFonts w:hint="eastAsia" w:ascii="仿宋" w:hAnsi="仿宋" w:eastAsia="仿宋" w:cs="仿宋"/>
          <w:b w:val="0"/>
          <w:color w:val="0066FF"/>
          <w:sz w:val="24"/>
          <w:highlight w:val="none"/>
        </w:rPr>
      </w:pPr>
      <w:r>
        <w:rPr>
          <w:rFonts w:hint="eastAsia" w:ascii="仿宋" w:hAnsi="仿宋" w:eastAsia="仿宋" w:cs="仿宋"/>
          <w:sz w:val="24"/>
          <w:szCs w:val="22"/>
          <w:highlight w:val="none"/>
          <w:lang w:val="en-US" w:eastAsia="zh-CN"/>
        </w:rPr>
        <w:t>4.您对您所在地区进行核酸检测后相关信息的查询是否满意？</w:t>
      </w:r>
    </w:p>
    <w:tbl>
      <w:tblPr>
        <w:tblStyle w:val="10"/>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2926"/>
        <w:gridCol w:w="982"/>
        <w:gridCol w:w="4608"/>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选项</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小计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非常满意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57</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809625" cy="114300"/>
                  <wp:effectExtent l="0" t="0" r="3175" b="0"/>
                  <wp:docPr id="12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9"/>
                          <pic:cNvPicPr>
                            <a:picLocks noChangeAspect="1"/>
                          </pic:cNvPicPr>
                        </pic:nvPicPr>
                        <pic:blipFill>
                          <a:blip r:embed="rId53"/>
                          <a:stretch>
                            <a:fillRect/>
                          </a:stretch>
                        </pic:blipFill>
                        <pic:spPr>
                          <a:xfrm>
                            <a:off x="0" y="0"/>
                            <a:ext cx="8096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2925" cy="114300"/>
                  <wp:effectExtent l="0" t="0" r="3175" b="0"/>
                  <wp:docPr id="12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0"/>
                          <pic:cNvPicPr>
                            <a:picLocks noChangeAspect="1"/>
                          </pic:cNvPicPr>
                        </pic:nvPicPr>
                        <pic:blipFill>
                          <a:blip r:embed="rId54"/>
                          <a:stretch>
                            <a:fillRect/>
                          </a:stretch>
                        </pic:blipFill>
                        <pic:spPr>
                          <a:xfrm>
                            <a:off x="0" y="0"/>
                            <a:ext cx="542925" cy="114300"/>
                          </a:xfrm>
                          <a:prstGeom prst="rect">
                            <a:avLst/>
                          </a:prstGeom>
                          <a:noFill/>
                          <a:ln>
                            <a:noFill/>
                          </a:ln>
                        </pic:spPr>
                      </pic:pic>
                    </a:graphicData>
                  </a:graphic>
                </wp:inline>
              </w:drawing>
            </w:r>
            <w:r>
              <w:rPr>
                <w:rFonts w:hint="eastAsia" w:ascii="仿宋" w:hAnsi="仿宋" w:eastAsia="仿宋" w:cs="仿宋"/>
                <w:highlight w:val="none"/>
              </w:rPr>
              <w:t>60%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比较满意</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25</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352425" cy="114300"/>
                  <wp:effectExtent l="0" t="0" r="3175" b="0"/>
                  <wp:docPr id="12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1"/>
                          <pic:cNvPicPr>
                            <a:picLocks noChangeAspect="1"/>
                          </pic:cNvPicPr>
                        </pic:nvPicPr>
                        <pic:blipFill>
                          <a:blip r:embed="rId55"/>
                          <a:stretch>
                            <a:fillRect/>
                          </a:stretch>
                        </pic:blipFill>
                        <pic:spPr>
                          <a:xfrm>
                            <a:off x="0" y="0"/>
                            <a:ext cx="3524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000125" cy="114300"/>
                  <wp:effectExtent l="0" t="0" r="3175" b="0"/>
                  <wp:docPr id="12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2"/>
                          <pic:cNvPicPr>
                            <a:picLocks noChangeAspect="1"/>
                          </pic:cNvPicPr>
                        </pic:nvPicPr>
                        <pic:blipFill>
                          <a:blip r:embed="rId56"/>
                          <a:stretch>
                            <a:fillRect/>
                          </a:stretch>
                        </pic:blipFill>
                        <pic:spPr>
                          <a:xfrm>
                            <a:off x="0" y="0"/>
                            <a:ext cx="1000125" cy="114300"/>
                          </a:xfrm>
                          <a:prstGeom prst="rect">
                            <a:avLst/>
                          </a:prstGeom>
                          <a:noFill/>
                          <a:ln>
                            <a:noFill/>
                          </a:ln>
                        </pic:spPr>
                      </pic:pic>
                    </a:graphicData>
                  </a:graphic>
                </wp:inline>
              </w:drawing>
            </w:r>
            <w:r>
              <w:rPr>
                <w:rFonts w:hint="eastAsia" w:ascii="仿宋" w:hAnsi="仿宋" w:eastAsia="仿宋" w:cs="仿宋"/>
                <w:highlight w:val="none"/>
              </w:rPr>
              <w:t>26.32%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基本满意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12</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61925" cy="114300"/>
                  <wp:effectExtent l="0" t="0" r="3175" b="0"/>
                  <wp:docPr id="12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3"/>
                          <pic:cNvPicPr>
                            <a:picLocks noChangeAspect="1"/>
                          </pic:cNvPicPr>
                        </pic:nvPicPr>
                        <pic:blipFill>
                          <a:blip r:embed="rId57"/>
                          <a:stretch>
                            <a:fillRect/>
                          </a:stretch>
                        </pic:blipFill>
                        <pic:spPr>
                          <a:xfrm>
                            <a:off x="0" y="0"/>
                            <a:ext cx="1619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190625" cy="114300"/>
                  <wp:effectExtent l="0" t="0" r="3175" b="0"/>
                  <wp:docPr id="11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4"/>
                          <pic:cNvPicPr>
                            <a:picLocks noChangeAspect="1"/>
                          </pic:cNvPicPr>
                        </pic:nvPicPr>
                        <pic:blipFill>
                          <a:blip r:embed="rId58"/>
                          <a:stretch>
                            <a:fillRect/>
                          </a:stretch>
                        </pic:blipFill>
                        <pic:spPr>
                          <a:xfrm>
                            <a:off x="0" y="0"/>
                            <a:ext cx="1190625" cy="114300"/>
                          </a:xfrm>
                          <a:prstGeom prst="rect">
                            <a:avLst/>
                          </a:prstGeom>
                          <a:noFill/>
                          <a:ln>
                            <a:noFill/>
                          </a:ln>
                        </pic:spPr>
                      </pic:pic>
                    </a:graphicData>
                  </a:graphic>
                </wp:inline>
              </w:drawing>
            </w:r>
            <w:r>
              <w:rPr>
                <w:rFonts w:hint="eastAsia" w:ascii="仿宋" w:hAnsi="仿宋" w:eastAsia="仿宋" w:cs="仿宋"/>
                <w:highlight w:val="none"/>
              </w:rPr>
              <w:t>12.63%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不满意</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1</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9525" cy="114300"/>
                  <wp:effectExtent l="0" t="0" r="3175" b="0"/>
                  <wp:docPr id="11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5"/>
                          <pic:cNvPicPr>
                            <a:picLocks noChangeAspect="1"/>
                          </pic:cNvPicPr>
                        </pic:nvPicPr>
                        <pic:blipFill>
                          <a:blip r:embed="rId22"/>
                          <a:stretch>
                            <a:fillRect/>
                          </a:stretch>
                        </pic:blipFill>
                        <pic:spPr>
                          <a:xfrm>
                            <a:off x="0" y="0"/>
                            <a:ext cx="95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343025" cy="114300"/>
                  <wp:effectExtent l="0" t="0" r="3175" b="0"/>
                  <wp:docPr id="11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6"/>
                          <pic:cNvPicPr>
                            <a:picLocks noChangeAspect="1"/>
                          </pic:cNvPicPr>
                        </pic:nvPicPr>
                        <pic:blipFill>
                          <a:blip r:embed="rId23"/>
                          <a:stretch>
                            <a:fillRect/>
                          </a:stretch>
                        </pic:blipFill>
                        <pic:spPr>
                          <a:xfrm>
                            <a:off x="0" y="0"/>
                            <a:ext cx="1343025" cy="114300"/>
                          </a:xfrm>
                          <a:prstGeom prst="rect">
                            <a:avLst/>
                          </a:prstGeom>
                          <a:noFill/>
                          <a:ln>
                            <a:noFill/>
                          </a:ln>
                        </pic:spPr>
                      </pic:pic>
                    </a:graphicData>
                  </a:graphic>
                </wp:inline>
              </w:drawing>
            </w:r>
            <w:r>
              <w:rPr>
                <w:rFonts w:hint="eastAsia" w:ascii="仿宋" w:hAnsi="仿宋" w:eastAsia="仿宋" w:cs="仿宋"/>
                <w:highlight w:val="none"/>
              </w:rPr>
              <w:t>1.05%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非常不满意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0</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352550" cy="114300"/>
                  <wp:effectExtent l="0" t="0" r="6350" b="0"/>
                  <wp:docPr id="12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7"/>
                          <pic:cNvPicPr>
                            <a:picLocks noChangeAspect="1"/>
                          </pic:cNvPicPr>
                        </pic:nvPicPr>
                        <pic:blipFill>
                          <a:blip r:embed="rId42"/>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highlight w:val="none"/>
              </w:rP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本题有效填写人次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95</w:t>
            </w:r>
          </w:p>
        </w:tc>
        <w:tc>
          <w:tcPr>
            <w:shd w:val="clear" w:color="auto" w:fill="F5F5F5"/>
            <w:vAlign w:val="center"/>
          </w:tcPr>
          <w:p>
            <w:pPr>
              <w:jc w:val="left"/>
              <w:outlineLvl w:val="9"/>
              <w:rPr>
                <w:rFonts w:hint="eastAsia" w:ascii="仿宋" w:hAnsi="仿宋" w:eastAsia="仿宋" w:cs="仿宋"/>
                <w:highlight w:val="none"/>
              </w:rPr>
            </w:pPr>
          </w:p>
        </w:tc>
      </w:tr>
    </w:tbl>
    <w:p>
      <w:pPr>
        <w:pStyle w:val="2"/>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highlight w:val="none"/>
        </w:rPr>
      </w:pPr>
      <w:r>
        <w:rPr>
          <w:rFonts w:hint="eastAsia" w:ascii="仿宋" w:hAnsi="仿宋" w:eastAsia="仿宋" w:cs="仿宋"/>
          <w:kern w:val="2"/>
          <w:sz w:val="24"/>
          <w:szCs w:val="22"/>
          <w:highlight w:val="none"/>
          <w:lang w:val="en-US" w:eastAsia="zh-CN" w:bidi="ar-SA"/>
        </w:rPr>
        <w:t>结果分析：根据问卷结果可以得出，本次核酸检测的人群中，对核酸检测服务及出结果的速度满意度并不理想，仅有60%的人对疫苗接种后相关信息的查询表示非常满意，还存在1%的群众对核酸检测信息查询服务表示不满意。</w:t>
      </w:r>
    </w:p>
    <w:p>
      <w:pPr>
        <w:ind w:firstLine="480" w:firstLineChars="200"/>
        <w:outlineLvl w:val="9"/>
        <w:rPr>
          <w:rFonts w:hint="eastAsia" w:ascii="仿宋" w:hAnsi="仿宋" w:eastAsia="仿宋" w:cs="仿宋"/>
          <w:b w:val="0"/>
          <w:color w:val="0066FF"/>
          <w:sz w:val="24"/>
          <w:highlight w:val="none"/>
        </w:rPr>
      </w:pPr>
      <w:r>
        <w:rPr>
          <w:rFonts w:hint="eastAsia" w:ascii="仿宋" w:hAnsi="仿宋" w:eastAsia="仿宋" w:cs="仿宋"/>
          <w:sz w:val="24"/>
          <w:szCs w:val="22"/>
          <w:highlight w:val="none"/>
          <w:lang w:val="en-US" w:eastAsia="zh-CN"/>
        </w:rPr>
        <w:t>5.您对您所在地区在疫情严重期间及人流量较大期间的防控工作是否满意?</w:t>
      </w:r>
    </w:p>
    <w:tbl>
      <w:tblPr>
        <w:tblStyle w:val="10"/>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2926"/>
        <w:gridCol w:w="982"/>
        <w:gridCol w:w="4608"/>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选项</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小计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非常满意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52</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733425" cy="114300"/>
                  <wp:effectExtent l="0" t="0" r="3175" b="0"/>
                  <wp:docPr id="12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8"/>
                          <pic:cNvPicPr>
                            <a:picLocks noChangeAspect="1"/>
                          </pic:cNvPicPr>
                        </pic:nvPicPr>
                        <pic:blipFill>
                          <a:blip r:embed="rId59"/>
                          <a:stretch>
                            <a:fillRect/>
                          </a:stretch>
                        </pic:blipFill>
                        <pic:spPr>
                          <a:xfrm>
                            <a:off x="0" y="0"/>
                            <a:ext cx="7334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9125" cy="114300"/>
                  <wp:effectExtent l="0" t="0" r="3175" b="0"/>
                  <wp:docPr id="12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9"/>
                          <pic:cNvPicPr>
                            <a:picLocks noChangeAspect="1"/>
                          </pic:cNvPicPr>
                        </pic:nvPicPr>
                        <pic:blipFill>
                          <a:blip r:embed="rId60"/>
                          <a:stretch>
                            <a:fillRect/>
                          </a:stretch>
                        </pic:blipFill>
                        <pic:spPr>
                          <a:xfrm>
                            <a:off x="0" y="0"/>
                            <a:ext cx="619125" cy="114300"/>
                          </a:xfrm>
                          <a:prstGeom prst="rect">
                            <a:avLst/>
                          </a:prstGeom>
                          <a:noFill/>
                          <a:ln>
                            <a:noFill/>
                          </a:ln>
                        </pic:spPr>
                      </pic:pic>
                    </a:graphicData>
                  </a:graphic>
                </wp:inline>
              </w:drawing>
            </w:r>
            <w:r>
              <w:rPr>
                <w:rFonts w:hint="eastAsia" w:ascii="仿宋" w:hAnsi="仿宋" w:eastAsia="仿宋" w:cs="仿宋"/>
                <w:highlight w:val="none"/>
              </w:rPr>
              <w:t>54.74%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比较满意</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25</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352425" cy="114300"/>
                  <wp:effectExtent l="0" t="0" r="3175" b="0"/>
                  <wp:docPr id="12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0"/>
                          <pic:cNvPicPr>
                            <a:picLocks noChangeAspect="1"/>
                          </pic:cNvPicPr>
                        </pic:nvPicPr>
                        <pic:blipFill>
                          <a:blip r:embed="rId55"/>
                          <a:stretch>
                            <a:fillRect/>
                          </a:stretch>
                        </pic:blipFill>
                        <pic:spPr>
                          <a:xfrm>
                            <a:off x="0" y="0"/>
                            <a:ext cx="3524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000125" cy="114300"/>
                  <wp:effectExtent l="0" t="0" r="3175" b="0"/>
                  <wp:docPr id="12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1"/>
                          <pic:cNvPicPr>
                            <a:picLocks noChangeAspect="1"/>
                          </pic:cNvPicPr>
                        </pic:nvPicPr>
                        <pic:blipFill>
                          <a:blip r:embed="rId56"/>
                          <a:stretch>
                            <a:fillRect/>
                          </a:stretch>
                        </pic:blipFill>
                        <pic:spPr>
                          <a:xfrm>
                            <a:off x="0" y="0"/>
                            <a:ext cx="1000125" cy="114300"/>
                          </a:xfrm>
                          <a:prstGeom prst="rect">
                            <a:avLst/>
                          </a:prstGeom>
                          <a:noFill/>
                          <a:ln>
                            <a:noFill/>
                          </a:ln>
                        </pic:spPr>
                      </pic:pic>
                    </a:graphicData>
                  </a:graphic>
                </wp:inline>
              </w:drawing>
            </w:r>
            <w:r>
              <w:rPr>
                <w:rFonts w:hint="eastAsia" w:ascii="仿宋" w:hAnsi="仿宋" w:eastAsia="仿宋" w:cs="仿宋"/>
                <w:highlight w:val="none"/>
              </w:rPr>
              <w:t>26.32%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基本满意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14</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90500" cy="114300"/>
                  <wp:effectExtent l="0" t="0" r="0" b="0"/>
                  <wp:docPr id="1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2"/>
                          <pic:cNvPicPr>
                            <a:picLocks noChangeAspect="1"/>
                          </pic:cNvPicPr>
                        </pic:nvPicPr>
                        <pic:blipFill>
                          <a:blip r:embed="rId61"/>
                          <a:stretch>
                            <a:fillRect/>
                          </a:stretch>
                        </pic:blipFill>
                        <pic:spPr>
                          <a:xfrm>
                            <a:off x="0" y="0"/>
                            <a:ext cx="190500"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162050" cy="114300"/>
                  <wp:effectExtent l="0" t="0" r="6350" b="0"/>
                  <wp:docPr id="13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3"/>
                          <pic:cNvPicPr>
                            <a:picLocks noChangeAspect="1"/>
                          </pic:cNvPicPr>
                        </pic:nvPicPr>
                        <pic:blipFill>
                          <a:blip r:embed="rId62"/>
                          <a:stretch>
                            <a:fillRect/>
                          </a:stretch>
                        </pic:blipFill>
                        <pic:spPr>
                          <a:xfrm>
                            <a:off x="0" y="0"/>
                            <a:ext cx="1162050" cy="114300"/>
                          </a:xfrm>
                          <a:prstGeom prst="rect">
                            <a:avLst/>
                          </a:prstGeom>
                          <a:noFill/>
                          <a:ln>
                            <a:noFill/>
                          </a:ln>
                        </pic:spPr>
                      </pic:pic>
                    </a:graphicData>
                  </a:graphic>
                </wp:inline>
              </w:drawing>
            </w:r>
            <w:r>
              <w:rPr>
                <w:rFonts w:hint="eastAsia" w:ascii="仿宋" w:hAnsi="仿宋" w:eastAsia="仿宋" w:cs="仿宋"/>
                <w:highlight w:val="none"/>
              </w:rPr>
              <w:t>14.74%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不满意</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4</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47625" cy="114300"/>
                  <wp:effectExtent l="0" t="0" r="3175" b="0"/>
                  <wp:docPr id="13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4"/>
                          <pic:cNvPicPr>
                            <a:picLocks noChangeAspect="1"/>
                          </pic:cNvPicPr>
                        </pic:nvPicPr>
                        <pic:blipFill>
                          <a:blip r:embed="rId63"/>
                          <a:stretch>
                            <a:fillRect/>
                          </a:stretch>
                        </pic:blipFill>
                        <pic:spPr>
                          <a:xfrm>
                            <a:off x="0" y="0"/>
                            <a:ext cx="476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304925" cy="114300"/>
                  <wp:effectExtent l="0" t="0" r="3175" b="0"/>
                  <wp:docPr id="13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5"/>
                          <pic:cNvPicPr>
                            <a:picLocks noChangeAspect="1"/>
                          </pic:cNvPicPr>
                        </pic:nvPicPr>
                        <pic:blipFill>
                          <a:blip r:embed="rId64"/>
                          <a:stretch>
                            <a:fillRect/>
                          </a:stretch>
                        </pic:blipFill>
                        <pic:spPr>
                          <a:xfrm>
                            <a:off x="0" y="0"/>
                            <a:ext cx="1304925" cy="114300"/>
                          </a:xfrm>
                          <a:prstGeom prst="rect">
                            <a:avLst/>
                          </a:prstGeom>
                          <a:noFill/>
                          <a:ln>
                            <a:noFill/>
                          </a:ln>
                        </pic:spPr>
                      </pic:pic>
                    </a:graphicData>
                  </a:graphic>
                </wp:inline>
              </w:drawing>
            </w:r>
            <w:r>
              <w:rPr>
                <w:rFonts w:hint="eastAsia" w:ascii="仿宋" w:hAnsi="仿宋" w:eastAsia="仿宋" w:cs="仿宋"/>
                <w:highlight w:val="none"/>
              </w:rPr>
              <w:t>4.21%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非常不满意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0</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352550" cy="114300"/>
                  <wp:effectExtent l="0" t="0" r="6350" b="0"/>
                  <wp:docPr id="13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6"/>
                          <pic:cNvPicPr>
                            <a:picLocks noChangeAspect="1"/>
                          </pic:cNvPicPr>
                        </pic:nvPicPr>
                        <pic:blipFill>
                          <a:blip r:embed="rId42"/>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highlight w:val="none"/>
              </w:rP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本题有效填写人次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95</w:t>
            </w:r>
          </w:p>
        </w:tc>
        <w:tc>
          <w:tcPr>
            <w:shd w:val="clear" w:color="auto" w:fill="F5F5F5"/>
            <w:vAlign w:val="center"/>
          </w:tcPr>
          <w:p>
            <w:pPr>
              <w:jc w:val="left"/>
              <w:outlineLvl w:val="9"/>
              <w:rPr>
                <w:rFonts w:hint="eastAsia" w:ascii="仿宋" w:hAnsi="仿宋" w:eastAsia="仿宋" w:cs="仿宋"/>
                <w:highlight w:val="none"/>
              </w:rPr>
            </w:pPr>
          </w:p>
        </w:tc>
      </w:tr>
    </w:tbl>
    <w:p>
      <w:pPr>
        <w:pStyle w:val="2"/>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highlight w:val="none"/>
        </w:rPr>
      </w:pPr>
      <w:r>
        <w:rPr>
          <w:rFonts w:hint="eastAsia" w:ascii="仿宋" w:hAnsi="仿宋" w:eastAsia="仿宋" w:cs="仿宋"/>
          <w:kern w:val="2"/>
          <w:sz w:val="24"/>
          <w:szCs w:val="22"/>
          <w:highlight w:val="none"/>
          <w:lang w:val="en-US" w:eastAsia="zh-CN" w:bidi="ar-SA"/>
        </w:rPr>
        <w:t>结果分析：根据问卷结果可以得出，表示对2021年永济市防控工作非常满意的群众占比54.74%，不足60%，甚至存在4.21%的群众表示对防控工作不满意，说明永济市整体防控工作有待加强。</w:t>
      </w:r>
    </w:p>
    <w:p>
      <w:pPr>
        <w:keepNext w:val="0"/>
        <w:keepLines w:val="0"/>
        <w:pageBreakBefore w:val="0"/>
        <w:widowControl w:val="0"/>
        <w:kinsoku/>
        <w:wordWrap/>
        <w:overflowPunct/>
        <w:topLinePunct w:val="0"/>
        <w:autoSpaceDE/>
        <w:autoSpaceDN/>
        <w:bidi w:val="0"/>
        <w:adjustRightInd/>
        <w:snapToGrid/>
        <w:spacing w:after="313" w:afterLines="100"/>
        <w:ind w:firstLine="480" w:firstLineChars="200"/>
        <w:textAlignment w:val="auto"/>
        <w:outlineLvl w:val="9"/>
        <w:rPr>
          <w:rFonts w:hint="eastAsia" w:ascii="仿宋" w:hAnsi="仿宋" w:eastAsia="仿宋" w:cs="仿宋"/>
          <w:b w:val="0"/>
          <w:color w:val="0066FF"/>
          <w:sz w:val="24"/>
          <w:highlight w:val="none"/>
        </w:rPr>
      </w:pPr>
      <w:r>
        <w:rPr>
          <w:rFonts w:hint="eastAsia" w:ascii="仿宋" w:hAnsi="仿宋" w:eastAsia="仿宋" w:cs="仿宋"/>
          <w:sz w:val="24"/>
          <w:szCs w:val="22"/>
          <w:highlight w:val="none"/>
          <w:lang w:val="en-US" w:eastAsia="zh-CN"/>
        </w:rPr>
        <w:t>6.您在2021年是否前往隔离酒店进行集中隔离？</w:t>
      </w:r>
    </w:p>
    <w:tbl>
      <w:tblPr>
        <w:tblStyle w:val="10"/>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2926"/>
        <w:gridCol w:w="982"/>
        <w:gridCol w:w="4608"/>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选项</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小计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是</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6</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76200" cy="114300"/>
                  <wp:effectExtent l="0" t="0" r="0" b="0"/>
                  <wp:docPr id="13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7"/>
                          <pic:cNvPicPr>
                            <a:picLocks noChangeAspect="1"/>
                          </pic:cNvPicPr>
                        </pic:nvPicPr>
                        <pic:blipFill>
                          <a:blip r:embed="rId65"/>
                          <a:stretch>
                            <a:fillRect/>
                          </a:stretch>
                        </pic:blipFill>
                        <pic:spPr>
                          <a:xfrm>
                            <a:off x="0" y="0"/>
                            <a:ext cx="76200"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276350" cy="114300"/>
                  <wp:effectExtent l="0" t="0" r="6350" b="0"/>
                  <wp:docPr id="13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8"/>
                          <pic:cNvPicPr>
                            <a:picLocks noChangeAspect="1"/>
                          </pic:cNvPicPr>
                        </pic:nvPicPr>
                        <pic:blipFill>
                          <a:blip r:embed="rId66"/>
                          <a:stretch>
                            <a:fillRect/>
                          </a:stretch>
                        </pic:blipFill>
                        <pic:spPr>
                          <a:xfrm>
                            <a:off x="0" y="0"/>
                            <a:ext cx="1276350" cy="114300"/>
                          </a:xfrm>
                          <a:prstGeom prst="rect">
                            <a:avLst/>
                          </a:prstGeom>
                          <a:noFill/>
                          <a:ln>
                            <a:noFill/>
                          </a:ln>
                        </pic:spPr>
                      </pic:pic>
                    </a:graphicData>
                  </a:graphic>
                </wp:inline>
              </w:drawing>
            </w:r>
            <w:r>
              <w:rPr>
                <w:rFonts w:hint="eastAsia" w:ascii="仿宋" w:hAnsi="仿宋" w:eastAsia="仿宋" w:cs="仿宋"/>
                <w:highlight w:val="none"/>
              </w:rPr>
              <w:t>6.32%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否</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89</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266825" cy="114300"/>
                  <wp:effectExtent l="0" t="0" r="3175" b="0"/>
                  <wp:docPr id="13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9"/>
                          <pic:cNvPicPr>
                            <a:picLocks noChangeAspect="1"/>
                          </pic:cNvPicPr>
                        </pic:nvPicPr>
                        <pic:blipFill>
                          <a:blip r:embed="rId67"/>
                          <a:stretch>
                            <a:fillRect/>
                          </a:stretch>
                        </pic:blipFill>
                        <pic:spPr>
                          <a:xfrm>
                            <a:off x="0" y="0"/>
                            <a:ext cx="12668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85725" cy="114300"/>
                  <wp:effectExtent l="0" t="0" r="3175" b="0"/>
                  <wp:docPr id="13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0"/>
                          <pic:cNvPicPr>
                            <a:picLocks noChangeAspect="1"/>
                          </pic:cNvPicPr>
                        </pic:nvPicPr>
                        <pic:blipFill>
                          <a:blip r:embed="rId68"/>
                          <a:stretch>
                            <a:fillRect/>
                          </a:stretch>
                        </pic:blipFill>
                        <pic:spPr>
                          <a:xfrm>
                            <a:off x="0" y="0"/>
                            <a:ext cx="85725" cy="114300"/>
                          </a:xfrm>
                          <a:prstGeom prst="rect">
                            <a:avLst/>
                          </a:prstGeom>
                          <a:noFill/>
                          <a:ln>
                            <a:noFill/>
                          </a:ln>
                        </pic:spPr>
                      </pic:pic>
                    </a:graphicData>
                  </a:graphic>
                </wp:inline>
              </w:drawing>
            </w:r>
            <w:r>
              <w:rPr>
                <w:rFonts w:hint="eastAsia" w:ascii="仿宋" w:hAnsi="仿宋" w:eastAsia="仿宋" w:cs="仿宋"/>
                <w:highlight w:val="none"/>
              </w:rPr>
              <w:t>93.68%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本题有效填写人次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95</w:t>
            </w:r>
          </w:p>
        </w:tc>
        <w:tc>
          <w:tcPr>
            <w:shd w:val="clear" w:color="auto" w:fill="F5F5F5"/>
            <w:vAlign w:val="center"/>
          </w:tcPr>
          <w:p>
            <w:pPr>
              <w:jc w:val="left"/>
              <w:outlineLvl w:val="9"/>
              <w:rPr>
                <w:rFonts w:hint="eastAsia" w:ascii="仿宋" w:hAnsi="仿宋" w:eastAsia="仿宋" w:cs="仿宋"/>
                <w:highlight w:val="none"/>
              </w:rPr>
            </w:pPr>
          </w:p>
        </w:tc>
      </w:tr>
    </w:tbl>
    <w:p>
      <w:pPr>
        <w:pStyle w:val="2"/>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highlight w:val="none"/>
          <w:lang w:val="en-US"/>
        </w:rPr>
      </w:pPr>
      <w:r>
        <w:rPr>
          <w:rFonts w:hint="eastAsia" w:ascii="仿宋" w:hAnsi="仿宋" w:eastAsia="仿宋" w:cs="仿宋"/>
          <w:kern w:val="2"/>
          <w:sz w:val="24"/>
          <w:szCs w:val="22"/>
          <w:highlight w:val="none"/>
          <w:lang w:val="en-US" w:eastAsia="zh-CN" w:bidi="ar-SA"/>
        </w:rPr>
        <w:t>结果分析：本题为筛选项，在2021年前往隔离酒店隔离人员填写下一道题目，根据本题的筛选结果，本次调查的95人中仅有6人在2021年前往集中隔离酒店进行隔离。</w:t>
      </w:r>
    </w:p>
    <w:p>
      <w:pPr>
        <w:ind w:firstLine="480" w:firstLineChars="200"/>
        <w:outlineLvl w:val="9"/>
        <w:rPr>
          <w:rFonts w:hint="eastAsia" w:ascii="仿宋" w:hAnsi="仿宋" w:eastAsia="仿宋" w:cs="仿宋"/>
          <w:b w:val="0"/>
          <w:color w:val="0066FF"/>
          <w:sz w:val="24"/>
          <w:highlight w:val="none"/>
        </w:rPr>
      </w:pPr>
      <w:r>
        <w:rPr>
          <w:rFonts w:hint="eastAsia" w:ascii="仿宋" w:hAnsi="仿宋" w:eastAsia="仿宋" w:cs="仿宋"/>
          <w:sz w:val="24"/>
          <w:szCs w:val="22"/>
          <w:highlight w:val="none"/>
          <w:lang w:val="en-US" w:eastAsia="zh-CN"/>
        </w:rPr>
        <w:t xml:space="preserve">7.您在隔离期间是否收费?  </w:t>
      </w:r>
    </w:p>
    <w:tbl>
      <w:tblPr>
        <w:tblStyle w:val="10"/>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2916"/>
        <w:gridCol w:w="978"/>
        <w:gridCol w:w="462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选项</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小计</w:t>
            </w:r>
          </w:p>
        </w:tc>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是</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2</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447675" cy="114300"/>
                  <wp:effectExtent l="0" t="0" r="9525" b="0"/>
                  <wp:docPr id="14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1"/>
                          <pic:cNvPicPr>
                            <a:picLocks noChangeAspect="1"/>
                          </pic:cNvPicPr>
                        </pic:nvPicPr>
                        <pic:blipFill>
                          <a:blip r:embed="rId69"/>
                          <a:stretch>
                            <a:fillRect/>
                          </a:stretch>
                        </pic:blipFill>
                        <pic:spPr>
                          <a:xfrm>
                            <a:off x="0" y="0"/>
                            <a:ext cx="44767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904875" cy="114300"/>
                  <wp:effectExtent l="0" t="0" r="9525" b="0"/>
                  <wp:docPr id="14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2"/>
                          <pic:cNvPicPr>
                            <a:picLocks noChangeAspect="1"/>
                          </pic:cNvPicPr>
                        </pic:nvPicPr>
                        <pic:blipFill>
                          <a:blip r:embed="rId70"/>
                          <a:stretch>
                            <a:fillRect/>
                          </a:stretch>
                        </pic:blipFill>
                        <pic:spPr>
                          <a:xfrm>
                            <a:off x="0" y="0"/>
                            <a:ext cx="904875" cy="114300"/>
                          </a:xfrm>
                          <a:prstGeom prst="rect">
                            <a:avLst/>
                          </a:prstGeom>
                          <a:noFill/>
                          <a:ln>
                            <a:noFill/>
                          </a:ln>
                        </pic:spPr>
                      </pic:pic>
                    </a:graphicData>
                  </a:graphic>
                </wp:inline>
              </w:drawing>
            </w:r>
            <w:r>
              <w:rPr>
                <w:rFonts w:hint="eastAsia" w:ascii="仿宋" w:hAnsi="仿宋" w:eastAsia="仿宋" w:cs="仿宋"/>
                <w:highlight w:val="none"/>
              </w:rPr>
              <w:t>33.33%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否</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4</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895350" cy="114300"/>
                  <wp:effectExtent l="0" t="0" r="6350" b="0"/>
                  <wp:docPr id="14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3"/>
                          <pic:cNvPicPr>
                            <a:picLocks noChangeAspect="1"/>
                          </pic:cNvPicPr>
                        </pic:nvPicPr>
                        <pic:blipFill>
                          <a:blip r:embed="rId71"/>
                          <a:stretch>
                            <a:fillRect/>
                          </a:stretch>
                        </pic:blipFill>
                        <pic:spPr>
                          <a:xfrm>
                            <a:off x="0" y="0"/>
                            <a:ext cx="895350"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457200" cy="114300"/>
                  <wp:effectExtent l="0" t="0" r="0" b="0"/>
                  <wp:docPr id="13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4"/>
                          <pic:cNvPicPr>
                            <a:picLocks noChangeAspect="1"/>
                          </pic:cNvPicPr>
                        </pic:nvPicPr>
                        <pic:blipFill>
                          <a:blip r:embed="rId72"/>
                          <a:stretch>
                            <a:fillRect/>
                          </a:stretch>
                        </pic:blipFill>
                        <pic:spPr>
                          <a:xfrm>
                            <a:off x="0" y="0"/>
                            <a:ext cx="457200" cy="114300"/>
                          </a:xfrm>
                          <a:prstGeom prst="rect">
                            <a:avLst/>
                          </a:prstGeom>
                          <a:noFill/>
                          <a:ln>
                            <a:noFill/>
                          </a:ln>
                        </pic:spPr>
                      </pic:pic>
                    </a:graphicData>
                  </a:graphic>
                </wp:inline>
              </w:drawing>
            </w:r>
            <w:r>
              <w:rPr>
                <w:rFonts w:hint="eastAsia" w:ascii="仿宋" w:hAnsi="仿宋" w:eastAsia="仿宋" w:cs="仿宋"/>
                <w:highlight w:val="none"/>
              </w:rPr>
              <w:t>66.67%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本题有效填写人次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6</w:t>
            </w:r>
          </w:p>
        </w:tc>
        <w:tc>
          <w:tcPr>
            <w:shd w:val="clear" w:color="auto" w:fill="F5F5F5"/>
            <w:vAlign w:val="center"/>
          </w:tcPr>
          <w:p>
            <w:pPr>
              <w:jc w:val="left"/>
              <w:outlineLvl w:val="9"/>
              <w:rPr>
                <w:rFonts w:hint="eastAsia" w:ascii="仿宋" w:hAnsi="仿宋" w:eastAsia="仿宋" w:cs="仿宋"/>
                <w:highlight w:val="none"/>
              </w:rPr>
            </w:pPr>
          </w:p>
        </w:tc>
      </w:tr>
    </w:tbl>
    <w:p>
      <w:pPr>
        <w:pStyle w:val="2"/>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highlight w:val="none"/>
          <w:lang w:val="en-US"/>
        </w:rPr>
      </w:pPr>
      <w:r>
        <w:rPr>
          <w:rFonts w:hint="eastAsia" w:ascii="仿宋" w:hAnsi="仿宋" w:eastAsia="仿宋" w:cs="仿宋"/>
          <w:kern w:val="2"/>
          <w:sz w:val="24"/>
          <w:szCs w:val="22"/>
          <w:highlight w:val="none"/>
          <w:lang w:val="en-US" w:eastAsia="zh-CN" w:bidi="ar-SA"/>
        </w:rPr>
        <w:t>结果分析：根据问卷结果可以得出，本次隔离的人群中，有33.33%的群众表示在前往隔离酒店隔离期间进行收费，大部分群众表示隔离期间的所有费用均为免费。</w:t>
      </w:r>
    </w:p>
    <w:p>
      <w:pPr>
        <w:ind w:firstLine="480" w:firstLineChars="200"/>
        <w:outlineLvl w:val="9"/>
        <w:rPr>
          <w:rFonts w:hint="eastAsia" w:ascii="仿宋" w:hAnsi="仿宋" w:eastAsia="仿宋" w:cs="仿宋"/>
          <w:b w:val="0"/>
          <w:color w:val="0066FF"/>
          <w:sz w:val="24"/>
          <w:highlight w:val="none"/>
        </w:rPr>
      </w:pPr>
      <w:r>
        <w:rPr>
          <w:rFonts w:hint="eastAsia" w:ascii="仿宋" w:hAnsi="仿宋" w:eastAsia="仿宋" w:cs="仿宋"/>
          <w:sz w:val="24"/>
          <w:szCs w:val="22"/>
          <w:highlight w:val="none"/>
          <w:lang w:val="en-US" w:eastAsia="zh-CN"/>
        </w:rPr>
        <w:t xml:space="preserve">8.您在隔离期间的收费项目有哪些？   </w:t>
      </w:r>
    </w:p>
    <w:tbl>
      <w:tblPr>
        <w:tblStyle w:val="10"/>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042"/>
        <w:gridCol w:w="1020"/>
        <w:gridCol w:w="4454"/>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选项</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小计</w:t>
            </w:r>
          </w:p>
        </w:tc>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住宿费</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2</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352550" cy="114300"/>
                  <wp:effectExtent l="0" t="0" r="6350" b="0"/>
                  <wp:docPr id="14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5"/>
                          <pic:cNvPicPr>
                            <a:picLocks noChangeAspect="1"/>
                          </pic:cNvPicPr>
                        </pic:nvPicPr>
                        <pic:blipFill>
                          <a:blip r:embed="rId73"/>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highlight w:val="none"/>
              </w:rP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餐费</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2</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352550" cy="114300"/>
                  <wp:effectExtent l="0" t="0" r="6350" b="0"/>
                  <wp:docPr id="14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6"/>
                          <pic:cNvPicPr>
                            <a:picLocks noChangeAspect="1"/>
                          </pic:cNvPicPr>
                        </pic:nvPicPr>
                        <pic:blipFill>
                          <a:blip r:embed="rId73"/>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highlight w:val="none"/>
              </w:rP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核酸检测</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0</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352550" cy="114300"/>
                  <wp:effectExtent l="0" t="0" r="6350" b="0"/>
                  <wp:docPr id="14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7"/>
                          <pic:cNvPicPr>
                            <a:picLocks noChangeAspect="1"/>
                          </pic:cNvPicPr>
                        </pic:nvPicPr>
                        <pic:blipFill>
                          <a:blip r:embed="rId42"/>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highlight w:val="none"/>
              </w:rP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其他</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0</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352550" cy="114300"/>
                  <wp:effectExtent l="0" t="0" r="6350" b="0"/>
                  <wp:docPr id="14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8"/>
                          <pic:cNvPicPr>
                            <a:picLocks noChangeAspect="1"/>
                          </pic:cNvPicPr>
                        </pic:nvPicPr>
                        <pic:blipFill>
                          <a:blip r:embed="rId42"/>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highlight w:val="none"/>
              </w:rP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本题有效填写人次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2</w:t>
            </w:r>
          </w:p>
        </w:tc>
        <w:tc>
          <w:tcPr>
            <w:shd w:val="clear" w:color="auto" w:fill="F5F5F5"/>
            <w:vAlign w:val="center"/>
          </w:tcPr>
          <w:p>
            <w:pPr>
              <w:jc w:val="left"/>
              <w:outlineLvl w:val="9"/>
              <w:rPr>
                <w:rFonts w:hint="eastAsia" w:ascii="仿宋" w:hAnsi="仿宋" w:eastAsia="仿宋" w:cs="仿宋"/>
                <w:highlight w:val="none"/>
              </w:rPr>
            </w:pPr>
          </w:p>
        </w:tc>
      </w:tr>
    </w:tbl>
    <w:p>
      <w:pPr>
        <w:pStyle w:val="2"/>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highlight w:val="none"/>
          <w:lang w:val="en-US"/>
        </w:rPr>
      </w:pPr>
      <w:r>
        <w:rPr>
          <w:rFonts w:hint="eastAsia" w:ascii="仿宋" w:hAnsi="仿宋" w:eastAsia="仿宋" w:cs="仿宋"/>
          <w:kern w:val="2"/>
          <w:sz w:val="24"/>
          <w:szCs w:val="22"/>
          <w:highlight w:val="none"/>
          <w:lang w:val="en-US" w:eastAsia="zh-CN" w:bidi="ar-SA"/>
        </w:rPr>
        <w:t>结果分析：根据问卷调查结果，表示收费的群众说明收费项目为住宿费和餐饮费，其中住宿费80元/晚，餐饮45元/天。</w:t>
      </w:r>
    </w:p>
    <w:p>
      <w:pPr>
        <w:ind w:firstLine="480" w:firstLineChars="200"/>
        <w:outlineLvl w:val="9"/>
        <w:rPr>
          <w:rFonts w:hint="eastAsia" w:ascii="仿宋" w:hAnsi="仿宋" w:eastAsia="仿宋" w:cs="仿宋"/>
          <w:b w:val="0"/>
          <w:color w:val="0066FF"/>
          <w:sz w:val="24"/>
          <w:highlight w:val="none"/>
        </w:rPr>
      </w:pPr>
      <w:r>
        <w:rPr>
          <w:rFonts w:hint="eastAsia" w:ascii="仿宋" w:hAnsi="仿宋" w:eastAsia="仿宋" w:cs="仿宋"/>
          <w:sz w:val="24"/>
          <w:szCs w:val="22"/>
          <w:highlight w:val="none"/>
          <w:lang w:val="en-US" w:eastAsia="zh-CN"/>
        </w:rPr>
        <w:t>9.您对本次隔离宾馆隔离环境是否满意？</w:t>
      </w:r>
    </w:p>
    <w:tbl>
      <w:tblPr>
        <w:tblStyle w:val="10"/>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2916"/>
        <w:gridCol w:w="978"/>
        <w:gridCol w:w="462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选项</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小计</w:t>
            </w:r>
          </w:p>
        </w:tc>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非常满意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1</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219075" cy="114300"/>
                  <wp:effectExtent l="0" t="0" r="9525" b="0"/>
                  <wp:docPr id="15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9"/>
                          <pic:cNvPicPr>
                            <a:picLocks noChangeAspect="1"/>
                          </pic:cNvPicPr>
                        </pic:nvPicPr>
                        <pic:blipFill>
                          <a:blip r:embed="rId74"/>
                          <a:stretch>
                            <a:fillRect/>
                          </a:stretch>
                        </pic:blipFill>
                        <pic:spPr>
                          <a:xfrm>
                            <a:off x="0" y="0"/>
                            <a:ext cx="21907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133475" cy="114300"/>
                  <wp:effectExtent l="0" t="0" r="9525" b="0"/>
                  <wp:docPr id="15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70"/>
                          <pic:cNvPicPr>
                            <a:picLocks noChangeAspect="1"/>
                          </pic:cNvPicPr>
                        </pic:nvPicPr>
                        <pic:blipFill>
                          <a:blip r:embed="rId75"/>
                          <a:stretch>
                            <a:fillRect/>
                          </a:stretch>
                        </pic:blipFill>
                        <pic:spPr>
                          <a:xfrm>
                            <a:off x="0" y="0"/>
                            <a:ext cx="1133475" cy="114300"/>
                          </a:xfrm>
                          <a:prstGeom prst="rect">
                            <a:avLst/>
                          </a:prstGeom>
                          <a:noFill/>
                          <a:ln>
                            <a:noFill/>
                          </a:ln>
                        </pic:spPr>
                      </pic:pic>
                    </a:graphicData>
                  </a:graphic>
                </wp:inline>
              </w:drawing>
            </w:r>
            <w:r>
              <w:rPr>
                <w:rFonts w:hint="eastAsia" w:ascii="仿宋" w:hAnsi="仿宋" w:eastAsia="仿宋" w:cs="仿宋"/>
                <w:highlight w:val="none"/>
              </w:rPr>
              <w:t>16.67%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比较满意</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0</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352550" cy="114300"/>
                  <wp:effectExtent l="0" t="0" r="6350" b="0"/>
                  <wp:docPr id="14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1"/>
                          <pic:cNvPicPr>
                            <a:picLocks noChangeAspect="1"/>
                          </pic:cNvPicPr>
                        </pic:nvPicPr>
                        <pic:blipFill>
                          <a:blip r:embed="rId42"/>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highlight w:val="none"/>
              </w:rP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基本满意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2</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447675" cy="114300"/>
                  <wp:effectExtent l="0" t="0" r="9525" b="0"/>
                  <wp:docPr id="14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2"/>
                          <pic:cNvPicPr>
                            <a:picLocks noChangeAspect="1"/>
                          </pic:cNvPicPr>
                        </pic:nvPicPr>
                        <pic:blipFill>
                          <a:blip r:embed="rId69"/>
                          <a:stretch>
                            <a:fillRect/>
                          </a:stretch>
                        </pic:blipFill>
                        <pic:spPr>
                          <a:xfrm>
                            <a:off x="0" y="0"/>
                            <a:ext cx="44767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904875" cy="114300"/>
                  <wp:effectExtent l="0" t="0" r="9525" b="0"/>
                  <wp:docPr id="15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73"/>
                          <pic:cNvPicPr>
                            <a:picLocks noChangeAspect="1"/>
                          </pic:cNvPicPr>
                        </pic:nvPicPr>
                        <pic:blipFill>
                          <a:blip r:embed="rId70"/>
                          <a:stretch>
                            <a:fillRect/>
                          </a:stretch>
                        </pic:blipFill>
                        <pic:spPr>
                          <a:xfrm>
                            <a:off x="0" y="0"/>
                            <a:ext cx="904875" cy="114300"/>
                          </a:xfrm>
                          <a:prstGeom prst="rect">
                            <a:avLst/>
                          </a:prstGeom>
                          <a:noFill/>
                          <a:ln>
                            <a:noFill/>
                          </a:ln>
                        </pic:spPr>
                      </pic:pic>
                    </a:graphicData>
                  </a:graphic>
                </wp:inline>
              </w:drawing>
            </w:r>
            <w:r>
              <w:rPr>
                <w:rFonts w:hint="eastAsia" w:ascii="仿宋" w:hAnsi="仿宋" w:eastAsia="仿宋" w:cs="仿宋"/>
                <w:highlight w:val="none"/>
              </w:rPr>
              <w:t>33.33%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不满意</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1</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219075" cy="114300"/>
                  <wp:effectExtent l="0" t="0" r="9525" b="0"/>
                  <wp:docPr id="15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4"/>
                          <pic:cNvPicPr>
                            <a:picLocks noChangeAspect="1"/>
                          </pic:cNvPicPr>
                        </pic:nvPicPr>
                        <pic:blipFill>
                          <a:blip r:embed="rId74"/>
                          <a:stretch>
                            <a:fillRect/>
                          </a:stretch>
                        </pic:blipFill>
                        <pic:spPr>
                          <a:xfrm>
                            <a:off x="0" y="0"/>
                            <a:ext cx="21907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133475" cy="114300"/>
                  <wp:effectExtent l="0" t="0" r="9525" b="0"/>
                  <wp:docPr id="14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5"/>
                          <pic:cNvPicPr>
                            <a:picLocks noChangeAspect="1"/>
                          </pic:cNvPicPr>
                        </pic:nvPicPr>
                        <pic:blipFill>
                          <a:blip r:embed="rId75"/>
                          <a:stretch>
                            <a:fillRect/>
                          </a:stretch>
                        </pic:blipFill>
                        <pic:spPr>
                          <a:xfrm>
                            <a:off x="0" y="0"/>
                            <a:ext cx="1133475" cy="114300"/>
                          </a:xfrm>
                          <a:prstGeom prst="rect">
                            <a:avLst/>
                          </a:prstGeom>
                          <a:noFill/>
                          <a:ln>
                            <a:noFill/>
                          </a:ln>
                        </pic:spPr>
                      </pic:pic>
                    </a:graphicData>
                  </a:graphic>
                </wp:inline>
              </w:drawing>
            </w:r>
            <w:r>
              <w:rPr>
                <w:rFonts w:hint="eastAsia" w:ascii="仿宋" w:hAnsi="仿宋" w:eastAsia="仿宋" w:cs="仿宋"/>
                <w:highlight w:val="none"/>
              </w:rPr>
              <w:t>16.67%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非常不满意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2</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447675" cy="114300"/>
                  <wp:effectExtent l="0" t="0" r="9525" b="0"/>
                  <wp:docPr id="15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76"/>
                          <pic:cNvPicPr>
                            <a:picLocks noChangeAspect="1"/>
                          </pic:cNvPicPr>
                        </pic:nvPicPr>
                        <pic:blipFill>
                          <a:blip r:embed="rId69"/>
                          <a:stretch>
                            <a:fillRect/>
                          </a:stretch>
                        </pic:blipFill>
                        <pic:spPr>
                          <a:xfrm>
                            <a:off x="0" y="0"/>
                            <a:ext cx="44767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904875" cy="114300"/>
                  <wp:effectExtent l="0" t="0" r="9525" b="0"/>
                  <wp:docPr id="15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7"/>
                          <pic:cNvPicPr>
                            <a:picLocks noChangeAspect="1"/>
                          </pic:cNvPicPr>
                        </pic:nvPicPr>
                        <pic:blipFill>
                          <a:blip r:embed="rId70"/>
                          <a:stretch>
                            <a:fillRect/>
                          </a:stretch>
                        </pic:blipFill>
                        <pic:spPr>
                          <a:xfrm>
                            <a:off x="0" y="0"/>
                            <a:ext cx="904875" cy="114300"/>
                          </a:xfrm>
                          <a:prstGeom prst="rect">
                            <a:avLst/>
                          </a:prstGeom>
                          <a:noFill/>
                          <a:ln>
                            <a:noFill/>
                          </a:ln>
                        </pic:spPr>
                      </pic:pic>
                    </a:graphicData>
                  </a:graphic>
                </wp:inline>
              </w:drawing>
            </w:r>
            <w:r>
              <w:rPr>
                <w:rFonts w:hint="eastAsia" w:ascii="仿宋" w:hAnsi="仿宋" w:eastAsia="仿宋" w:cs="仿宋"/>
                <w:highlight w:val="none"/>
              </w:rPr>
              <w:t>33.33%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本题有效填写人次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6</w:t>
            </w:r>
          </w:p>
        </w:tc>
        <w:tc>
          <w:tcPr>
            <w:shd w:val="clear" w:color="auto" w:fill="F5F5F5"/>
            <w:vAlign w:val="center"/>
          </w:tcPr>
          <w:p>
            <w:pPr>
              <w:jc w:val="left"/>
              <w:outlineLvl w:val="9"/>
              <w:rPr>
                <w:rFonts w:hint="eastAsia" w:ascii="仿宋" w:hAnsi="仿宋" w:eastAsia="仿宋" w:cs="仿宋"/>
                <w:highlight w:val="none"/>
              </w:rPr>
            </w:pPr>
          </w:p>
        </w:tc>
      </w:tr>
    </w:tbl>
    <w:p>
      <w:pPr>
        <w:pStyle w:val="2"/>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结果分析：根据本次调查的结果显示，2021年前往隔离酒店进行集中隔离的人员对隔离酒店的环境满意度整体不高，仅有16.67%的人表示非常满意，50%左右的人对隔离酒店环境表示不满意，甚至非常不满意，这也印证了电话回访的结果，隔离酒店管理不到位，未进行及时的消杀和清理。</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outlineLvl w:val="9"/>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10.您对新冠肺炎疫情工作整体是否满意？</w:t>
      </w:r>
    </w:p>
    <w:tbl>
      <w:tblPr>
        <w:tblStyle w:val="10"/>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2916"/>
        <w:gridCol w:w="978"/>
        <w:gridCol w:w="462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选项</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小计</w:t>
            </w:r>
          </w:p>
        </w:tc>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非常满意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48</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676275" cy="114300"/>
                  <wp:effectExtent l="0" t="0" r="9525" b="0"/>
                  <wp:docPr id="16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78"/>
                          <pic:cNvPicPr>
                            <a:picLocks noChangeAspect="1"/>
                          </pic:cNvPicPr>
                        </pic:nvPicPr>
                        <pic:blipFill>
                          <a:blip r:embed="rId14"/>
                          <a:stretch>
                            <a:fillRect/>
                          </a:stretch>
                        </pic:blipFill>
                        <pic:spPr>
                          <a:xfrm>
                            <a:off x="0" y="0"/>
                            <a:ext cx="67627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76275" cy="114300"/>
                  <wp:effectExtent l="0" t="0" r="9525" b="0"/>
                  <wp:docPr id="15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79"/>
                          <pic:cNvPicPr>
                            <a:picLocks noChangeAspect="1"/>
                          </pic:cNvPicPr>
                        </pic:nvPicPr>
                        <pic:blipFill>
                          <a:blip r:embed="rId15"/>
                          <a:stretch>
                            <a:fillRect/>
                          </a:stretch>
                        </pic:blipFill>
                        <pic:spPr>
                          <a:xfrm>
                            <a:off x="0" y="0"/>
                            <a:ext cx="676275" cy="114300"/>
                          </a:xfrm>
                          <a:prstGeom prst="rect">
                            <a:avLst/>
                          </a:prstGeom>
                          <a:noFill/>
                          <a:ln>
                            <a:noFill/>
                          </a:ln>
                        </pic:spPr>
                      </pic:pic>
                    </a:graphicData>
                  </a:graphic>
                </wp:inline>
              </w:drawing>
            </w:r>
            <w:r>
              <w:rPr>
                <w:rFonts w:hint="eastAsia" w:ascii="仿宋" w:hAnsi="仿宋" w:eastAsia="仿宋" w:cs="仿宋"/>
                <w:highlight w:val="none"/>
              </w:rPr>
              <w:t>50.53%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比较满意</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26</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361950" cy="114300"/>
                  <wp:effectExtent l="0" t="0" r="6350" b="0"/>
                  <wp:docPr id="15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80"/>
                          <pic:cNvPicPr>
                            <a:picLocks noChangeAspect="1"/>
                          </pic:cNvPicPr>
                        </pic:nvPicPr>
                        <pic:blipFill>
                          <a:blip r:embed="rId16"/>
                          <a:stretch>
                            <a:fillRect/>
                          </a:stretch>
                        </pic:blipFill>
                        <pic:spPr>
                          <a:xfrm>
                            <a:off x="0" y="0"/>
                            <a:ext cx="361950"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990600" cy="114300"/>
                  <wp:effectExtent l="0" t="0" r="0" b="0"/>
                  <wp:docPr id="16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81"/>
                          <pic:cNvPicPr>
                            <a:picLocks noChangeAspect="1"/>
                          </pic:cNvPicPr>
                        </pic:nvPicPr>
                        <pic:blipFill>
                          <a:blip r:embed="rId17"/>
                          <a:stretch>
                            <a:fillRect/>
                          </a:stretch>
                        </pic:blipFill>
                        <pic:spPr>
                          <a:xfrm>
                            <a:off x="0" y="0"/>
                            <a:ext cx="990600" cy="114300"/>
                          </a:xfrm>
                          <a:prstGeom prst="rect">
                            <a:avLst/>
                          </a:prstGeom>
                          <a:noFill/>
                          <a:ln>
                            <a:noFill/>
                          </a:ln>
                        </pic:spPr>
                      </pic:pic>
                    </a:graphicData>
                  </a:graphic>
                </wp:inline>
              </w:drawing>
            </w:r>
            <w:r>
              <w:rPr>
                <w:rFonts w:hint="eastAsia" w:ascii="仿宋" w:hAnsi="仿宋" w:eastAsia="仿宋" w:cs="仿宋"/>
                <w:highlight w:val="none"/>
              </w:rPr>
              <w:t>27.37%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基本满意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18</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247650" cy="114300"/>
                  <wp:effectExtent l="0" t="0" r="6350" b="0"/>
                  <wp:docPr id="16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2"/>
                          <pic:cNvPicPr>
                            <a:picLocks noChangeAspect="1"/>
                          </pic:cNvPicPr>
                        </pic:nvPicPr>
                        <pic:blipFill>
                          <a:blip r:embed="rId18"/>
                          <a:stretch>
                            <a:fillRect/>
                          </a:stretch>
                        </pic:blipFill>
                        <pic:spPr>
                          <a:xfrm>
                            <a:off x="0" y="0"/>
                            <a:ext cx="247650"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104900" cy="114300"/>
                  <wp:effectExtent l="0" t="0" r="0" b="0"/>
                  <wp:docPr id="158"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83"/>
                          <pic:cNvPicPr>
                            <a:picLocks noChangeAspect="1"/>
                          </pic:cNvPicPr>
                        </pic:nvPicPr>
                        <pic:blipFill>
                          <a:blip r:embed="rId19"/>
                          <a:stretch>
                            <a:fillRect/>
                          </a:stretch>
                        </pic:blipFill>
                        <pic:spPr>
                          <a:xfrm>
                            <a:off x="0" y="0"/>
                            <a:ext cx="1104900" cy="114300"/>
                          </a:xfrm>
                          <a:prstGeom prst="rect">
                            <a:avLst/>
                          </a:prstGeom>
                          <a:noFill/>
                          <a:ln>
                            <a:noFill/>
                          </a:ln>
                        </pic:spPr>
                      </pic:pic>
                    </a:graphicData>
                  </a:graphic>
                </wp:inline>
              </w:drawing>
            </w:r>
            <w:r>
              <w:rPr>
                <w:rFonts w:hint="eastAsia" w:ascii="仿宋" w:hAnsi="仿宋" w:eastAsia="仿宋" w:cs="仿宋"/>
                <w:highlight w:val="none"/>
              </w:rPr>
              <w:t>18.95%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不满意</w:t>
            </w:r>
          </w:p>
        </w:tc>
        <w:tc>
          <w:tcPr>
            <w:shd w:val="clear" w:color="auto" w:fill="FAFAFA"/>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2</w:t>
            </w:r>
          </w:p>
        </w:tc>
        <w:tc>
          <w:tcPr>
            <w:shd w:val="clear" w:color="auto" w:fill="FAFAFA"/>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19050" cy="114300"/>
                  <wp:effectExtent l="0" t="0" r="6350" b="0"/>
                  <wp:docPr id="159"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84"/>
                          <pic:cNvPicPr>
                            <a:picLocks noChangeAspect="1"/>
                          </pic:cNvPicPr>
                        </pic:nvPicPr>
                        <pic:blipFill>
                          <a:blip r:embed="rId20"/>
                          <a:stretch>
                            <a:fillRect/>
                          </a:stretch>
                        </pic:blipFill>
                        <pic:spPr>
                          <a:xfrm>
                            <a:off x="0" y="0"/>
                            <a:ext cx="19050"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333500" cy="114300"/>
                  <wp:effectExtent l="0" t="0" r="0" b="0"/>
                  <wp:docPr id="16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85"/>
                          <pic:cNvPicPr>
                            <a:picLocks noChangeAspect="1"/>
                          </pic:cNvPicPr>
                        </pic:nvPicPr>
                        <pic:blipFill>
                          <a:blip r:embed="rId21"/>
                          <a:stretch>
                            <a:fillRect/>
                          </a:stretch>
                        </pic:blipFill>
                        <pic:spPr>
                          <a:xfrm>
                            <a:off x="0" y="0"/>
                            <a:ext cx="1333500" cy="114300"/>
                          </a:xfrm>
                          <a:prstGeom prst="rect">
                            <a:avLst/>
                          </a:prstGeom>
                          <a:noFill/>
                          <a:ln>
                            <a:noFill/>
                          </a:ln>
                        </pic:spPr>
                      </pic:pic>
                    </a:graphicData>
                  </a:graphic>
                </wp:inline>
              </w:drawing>
            </w:r>
            <w:r>
              <w:rPr>
                <w:rFonts w:hint="eastAsia" w:ascii="仿宋" w:hAnsi="仿宋" w:eastAsia="仿宋" w:cs="仿宋"/>
                <w:highlight w:val="none"/>
              </w:rPr>
              <w:t>2.11%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非常不满意</w:t>
            </w:r>
          </w:p>
        </w:tc>
        <w:tc>
          <w:tcPr>
            <w:shd w:val="clear" w:color="auto" w:fill="FFFFFF"/>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1</w:t>
            </w:r>
          </w:p>
        </w:tc>
        <w:tc>
          <w:tcPr>
            <w:shd w:val="clear" w:color="auto" w:fill="FFFFFF"/>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9525" cy="114300"/>
                  <wp:effectExtent l="0" t="0" r="3175" b="0"/>
                  <wp:docPr id="161"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6"/>
                          <pic:cNvPicPr>
                            <a:picLocks noChangeAspect="1"/>
                          </pic:cNvPicPr>
                        </pic:nvPicPr>
                        <pic:blipFill>
                          <a:blip r:embed="rId22"/>
                          <a:stretch>
                            <a:fillRect/>
                          </a:stretch>
                        </pic:blipFill>
                        <pic:spPr>
                          <a:xfrm>
                            <a:off x="0" y="0"/>
                            <a:ext cx="9525" cy="11430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1343025" cy="114300"/>
                  <wp:effectExtent l="0" t="0" r="3175" b="0"/>
                  <wp:docPr id="16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87"/>
                          <pic:cNvPicPr>
                            <a:picLocks noChangeAspect="1"/>
                          </pic:cNvPicPr>
                        </pic:nvPicPr>
                        <pic:blipFill>
                          <a:blip r:embed="rId23"/>
                          <a:stretch>
                            <a:fillRect/>
                          </a:stretch>
                        </pic:blipFill>
                        <pic:spPr>
                          <a:xfrm>
                            <a:off x="0" y="0"/>
                            <a:ext cx="1343025" cy="114300"/>
                          </a:xfrm>
                          <a:prstGeom prst="rect">
                            <a:avLst/>
                          </a:prstGeom>
                          <a:noFill/>
                          <a:ln>
                            <a:noFill/>
                          </a:ln>
                        </pic:spPr>
                      </pic:pic>
                    </a:graphicData>
                  </a:graphic>
                </wp:inline>
              </w:drawing>
            </w:r>
            <w:r>
              <w:rPr>
                <w:rFonts w:hint="eastAsia" w:ascii="仿宋" w:hAnsi="仿宋" w:eastAsia="仿宋" w:cs="仿宋"/>
                <w:highlight w:val="none"/>
              </w:rPr>
              <w:t>1.05%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397" w:hRule="exact"/>
        </w:trPr>
        <w:tc>
          <w:tcPr>
            <w:shd w:val="clear" w:color="auto" w:fill="F5F5F5"/>
            <w:vAlign w:val="center"/>
          </w:tcPr>
          <w:p>
            <w:pPr>
              <w:jc w:val="left"/>
              <w:outlineLvl w:val="9"/>
              <w:rPr>
                <w:rFonts w:hint="eastAsia" w:ascii="仿宋" w:hAnsi="仿宋" w:eastAsia="仿宋" w:cs="仿宋"/>
                <w:highlight w:val="none"/>
              </w:rPr>
            </w:pPr>
            <w:r>
              <w:rPr>
                <w:rFonts w:hint="eastAsia" w:ascii="仿宋" w:hAnsi="仿宋" w:eastAsia="仿宋" w:cs="仿宋"/>
                <w:highlight w:val="none"/>
              </w:rPr>
              <w:t>本题有效填写人次</w:t>
            </w:r>
          </w:p>
        </w:tc>
        <w:tc>
          <w:tcPr>
            <w:shd w:val="clear" w:color="auto" w:fill="F5F5F5"/>
            <w:vAlign w:val="center"/>
          </w:tcPr>
          <w:p>
            <w:pPr>
              <w:jc w:val="center"/>
              <w:outlineLvl w:val="9"/>
              <w:rPr>
                <w:rFonts w:hint="eastAsia" w:ascii="仿宋" w:hAnsi="仿宋" w:eastAsia="仿宋" w:cs="仿宋"/>
                <w:highlight w:val="none"/>
              </w:rPr>
            </w:pPr>
            <w:r>
              <w:rPr>
                <w:rFonts w:hint="eastAsia" w:ascii="仿宋" w:hAnsi="仿宋" w:eastAsia="仿宋" w:cs="仿宋"/>
                <w:highlight w:val="none"/>
              </w:rPr>
              <w:t>95</w:t>
            </w:r>
          </w:p>
        </w:tc>
        <w:tc>
          <w:tcPr>
            <w:shd w:val="clear" w:color="auto" w:fill="F5F5F5"/>
            <w:vAlign w:val="center"/>
          </w:tcPr>
          <w:p>
            <w:pPr>
              <w:jc w:val="left"/>
              <w:outlineLvl w:val="9"/>
              <w:rPr>
                <w:rFonts w:hint="eastAsia" w:ascii="仿宋" w:hAnsi="仿宋" w:eastAsia="仿宋" w:cs="仿宋"/>
                <w:highlight w:val="none"/>
              </w:rPr>
            </w:pPr>
          </w:p>
        </w:tc>
      </w:tr>
    </w:tbl>
    <w:p>
      <w:pPr>
        <w:pStyle w:val="2"/>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outlineLvl w:val="9"/>
        <w:rPr>
          <w:rFonts w:hint="default"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结果分析：根据问卷调查结果，本次调查的95个群众中，一半的群众对疫情防控的整体工作表示非常满意，27.37%的群众表示比较满意，18.95%的群众表示基本满意，但是仍存在3%左右的群众表示不满意，说明疫情防控工作有待完善，安抚群众情绪也是非常重要的一环。</w:t>
      </w:r>
    </w:p>
    <w:sectPr>
      <w:headerReference r:id="rId12"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eastAsia="宋体"/>
                            </w:rPr>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5"/>
                      <w:rPr>
                        <w:rFonts w:eastAsia="宋体"/>
                      </w:rPr>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enter" w:pos="4748"/>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eastAsia="宋体"/>
                            </w:rPr>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5"/>
                      <w:rPr>
                        <w:rFonts w:eastAsia="宋体"/>
                      </w:rPr>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right"/>
      <w:rPr>
        <w:rFonts w:hint="eastAsia" w:eastAsia="宋体"/>
        <w:sz w:val="20"/>
        <w:szCs w:val="20"/>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rPr>
        <w:rFonts w:hint="eastAsia"/>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rPr>
        <w:rFonts w:hint="eastAsia"/>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rPr>
        <w:rFonts w:hint="eastAsia"/>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D2447F"/>
    <w:multiLevelType w:val="singleLevel"/>
    <w:tmpl w:val="94D2447F"/>
    <w:lvl w:ilvl="0" w:tentative="0">
      <w:start w:val="1"/>
      <w:numFmt w:val="decimal"/>
      <w:lvlText w:val="%1."/>
      <w:lvlJc w:val="left"/>
      <w:pPr>
        <w:tabs>
          <w:tab w:val="left" w:pos="312"/>
        </w:tabs>
      </w:pPr>
    </w:lvl>
  </w:abstractNum>
  <w:abstractNum w:abstractNumId="1">
    <w:nsid w:val="E368DAD6"/>
    <w:multiLevelType w:val="singleLevel"/>
    <w:tmpl w:val="E368DAD6"/>
    <w:lvl w:ilvl="0" w:tentative="0">
      <w:start w:val="1"/>
      <w:numFmt w:val="chineseCounting"/>
      <w:suff w:val="nothing"/>
      <w:lvlText w:val="%1、"/>
      <w:lvlJc w:val="left"/>
      <w:rPr>
        <w:rFonts w:hint="eastAsia"/>
      </w:rPr>
    </w:lvl>
  </w:abstractNum>
  <w:abstractNum w:abstractNumId="2">
    <w:nsid w:val="2A2E1104"/>
    <w:multiLevelType w:val="singleLevel"/>
    <w:tmpl w:val="2A2E1104"/>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40EC0BF4"/>
    <w:rsid w:val="00043144"/>
    <w:rsid w:val="00062E4D"/>
    <w:rsid w:val="006855C7"/>
    <w:rsid w:val="00883F7A"/>
    <w:rsid w:val="00953D9C"/>
    <w:rsid w:val="00C8683C"/>
    <w:rsid w:val="00CA613C"/>
    <w:rsid w:val="00FA4BD4"/>
    <w:rsid w:val="016961BA"/>
    <w:rsid w:val="01703E3E"/>
    <w:rsid w:val="018F7392"/>
    <w:rsid w:val="01F26A54"/>
    <w:rsid w:val="01F52AA4"/>
    <w:rsid w:val="01FF1E15"/>
    <w:rsid w:val="0216715F"/>
    <w:rsid w:val="02692F32"/>
    <w:rsid w:val="02826AEE"/>
    <w:rsid w:val="028C5DF4"/>
    <w:rsid w:val="02906F11"/>
    <w:rsid w:val="02A83951"/>
    <w:rsid w:val="02C646E1"/>
    <w:rsid w:val="034E22FF"/>
    <w:rsid w:val="03CB4D47"/>
    <w:rsid w:val="03CF3A69"/>
    <w:rsid w:val="03CF5817"/>
    <w:rsid w:val="040F3E66"/>
    <w:rsid w:val="041577A9"/>
    <w:rsid w:val="04163446"/>
    <w:rsid w:val="04406C86"/>
    <w:rsid w:val="04461F7D"/>
    <w:rsid w:val="046C3066"/>
    <w:rsid w:val="04931A45"/>
    <w:rsid w:val="049D3B67"/>
    <w:rsid w:val="04DB00C6"/>
    <w:rsid w:val="05486B0D"/>
    <w:rsid w:val="05790777"/>
    <w:rsid w:val="05860158"/>
    <w:rsid w:val="05B052B1"/>
    <w:rsid w:val="05DC6548"/>
    <w:rsid w:val="05E355AA"/>
    <w:rsid w:val="0626650E"/>
    <w:rsid w:val="062C0ABA"/>
    <w:rsid w:val="063D115E"/>
    <w:rsid w:val="0661309E"/>
    <w:rsid w:val="06766A1C"/>
    <w:rsid w:val="069A2C8F"/>
    <w:rsid w:val="06A44D39"/>
    <w:rsid w:val="06B156A8"/>
    <w:rsid w:val="06D3561E"/>
    <w:rsid w:val="07312DBB"/>
    <w:rsid w:val="077C1812"/>
    <w:rsid w:val="078A0D82"/>
    <w:rsid w:val="079A2A55"/>
    <w:rsid w:val="07A71A5E"/>
    <w:rsid w:val="07D77390"/>
    <w:rsid w:val="07FE66CB"/>
    <w:rsid w:val="082F2519"/>
    <w:rsid w:val="084958C7"/>
    <w:rsid w:val="088E3EF3"/>
    <w:rsid w:val="08B02F0C"/>
    <w:rsid w:val="08C86243"/>
    <w:rsid w:val="08D306C7"/>
    <w:rsid w:val="090441B5"/>
    <w:rsid w:val="09077801"/>
    <w:rsid w:val="09510A7C"/>
    <w:rsid w:val="09622C8A"/>
    <w:rsid w:val="097F0F1D"/>
    <w:rsid w:val="098135C9"/>
    <w:rsid w:val="09BB64F4"/>
    <w:rsid w:val="0A0855DF"/>
    <w:rsid w:val="0A3835B3"/>
    <w:rsid w:val="0A4F1460"/>
    <w:rsid w:val="0A621193"/>
    <w:rsid w:val="0AAB0D8C"/>
    <w:rsid w:val="0B260E58"/>
    <w:rsid w:val="0B386F43"/>
    <w:rsid w:val="0B6D1EA2"/>
    <w:rsid w:val="0B7D00EF"/>
    <w:rsid w:val="0BA56959"/>
    <w:rsid w:val="0BB05F2E"/>
    <w:rsid w:val="0BB145BB"/>
    <w:rsid w:val="0C1E7EDA"/>
    <w:rsid w:val="0C760F26"/>
    <w:rsid w:val="0C825A97"/>
    <w:rsid w:val="0C9B0117"/>
    <w:rsid w:val="0C9E01D5"/>
    <w:rsid w:val="0CB437FC"/>
    <w:rsid w:val="0D1878EB"/>
    <w:rsid w:val="0D1F336B"/>
    <w:rsid w:val="0D35383D"/>
    <w:rsid w:val="0D5A43A4"/>
    <w:rsid w:val="0D7169EE"/>
    <w:rsid w:val="0D904269"/>
    <w:rsid w:val="0DC161D1"/>
    <w:rsid w:val="0E941B37"/>
    <w:rsid w:val="0ECD1618"/>
    <w:rsid w:val="0F3A0931"/>
    <w:rsid w:val="0F6B6D3C"/>
    <w:rsid w:val="0FC71A98"/>
    <w:rsid w:val="0FE22574"/>
    <w:rsid w:val="0FE35145"/>
    <w:rsid w:val="10002F26"/>
    <w:rsid w:val="10150A56"/>
    <w:rsid w:val="101C1DE4"/>
    <w:rsid w:val="10524C52"/>
    <w:rsid w:val="10593038"/>
    <w:rsid w:val="10AD0E57"/>
    <w:rsid w:val="10B14C22"/>
    <w:rsid w:val="10D82EBD"/>
    <w:rsid w:val="10EF574B"/>
    <w:rsid w:val="10FD3DBD"/>
    <w:rsid w:val="11487D21"/>
    <w:rsid w:val="11531878"/>
    <w:rsid w:val="11561326"/>
    <w:rsid w:val="115B06EA"/>
    <w:rsid w:val="115B693C"/>
    <w:rsid w:val="116625B7"/>
    <w:rsid w:val="118E2CB7"/>
    <w:rsid w:val="119274DC"/>
    <w:rsid w:val="119379BB"/>
    <w:rsid w:val="11A105E0"/>
    <w:rsid w:val="11AD5AA3"/>
    <w:rsid w:val="11D02E86"/>
    <w:rsid w:val="11D877DD"/>
    <w:rsid w:val="11FB29E1"/>
    <w:rsid w:val="122E5C58"/>
    <w:rsid w:val="125A606E"/>
    <w:rsid w:val="12902616"/>
    <w:rsid w:val="129300AF"/>
    <w:rsid w:val="12B96010"/>
    <w:rsid w:val="131B45D5"/>
    <w:rsid w:val="133B6A25"/>
    <w:rsid w:val="137D4975"/>
    <w:rsid w:val="138163C4"/>
    <w:rsid w:val="1397384C"/>
    <w:rsid w:val="13977400"/>
    <w:rsid w:val="140F7DA7"/>
    <w:rsid w:val="14465682"/>
    <w:rsid w:val="144B2450"/>
    <w:rsid w:val="144D6468"/>
    <w:rsid w:val="14733F9D"/>
    <w:rsid w:val="14BE790E"/>
    <w:rsid w:val="14D97238"/>
    <w:rsid w:val="15237771"/>
    <w:rsid w:val="15894349"/>
    <w:rsid w:val="15916DD0"/>
    <w:rsid w:val="15CE0478"/>
    <w:rsid w:val="15D00040"/>
    <w:rsid w:val="15E213DA"/>
    <w:rsid w:val="15EE4223"/>
    <w:rsid w:val="161D2412"/>
    <w:rsid w:val="1638724C"/>
    <w:rsid w:val="165D6CB3"/>
    <w:rsid w:val="16734728"/>
    <w:rsid w:val="16750AC2"/>
    <w:rsid w:val="16F82F1F"/>
    <w:rsid w:val="16FF7D6A"/>
    <w:rsid w:val="172872C1"/>
    <w:rsid w:val="17402EBE"/>
    <w:rsid w:val="176B1BE8"/>
    <w:rsid w:val="17F7669C"/>
    <w:rsid w:val="18283E16"/>
    <w:rsid w:val="183B3686"/>
    <w:rsid w:val="18581E27"/>
    <w:rsid w:val="18AB3E20"/>
    <w:rsid w:val="18AC5CCF"/>
    <w:rsid w:val="18BB11EA"/>
    <w:rsid w:val="18E204EA"/>
    <w:rsid w:val="18F26525"/>
    <w:rsid w:val="192D6E10"/>
    <w:rsid w:val="196D3DCE"/>
    <w:rsid w:val="19D33BC4"/>
    <w:rsid w:val="19DB4ABE"/>
    <w:rsid w:val="1A2975D8"/>
    <w:rsid w:val="1AAD64AC"/>
    <w:rsid w:val="1AB60A13"/>
    <w:rsid w:val="1B3B1CB8"/>
    <w:rsid w:val="1C2C72DB"/>
    <w:rsid w:val="1C3861F8"/>
    <w:rsid w:val="1C623275"/>
    <w:rsid w:val="1C7656A8"/>
    <w:rsid w:val="1CE912A0"/>
    <w:rsid w:val="1CF163A7"/>
    <w:rsid w:val="1D395A93"/>
    <w:rsid w:val="1D4E37F9"/>
    <w:rsid w:val="1D892481"/>
    <w:rsid w:val="1DA23326"/>
    <w:rsid w:val="1DA65067"/>
    <w:rsid w:val="1DE859FC"/>
    <w:rsid w:val="1E087E4C"/>
    <w:rsid w:val="1E5170FD"/>
    <w:rsid w:val="1E935967"/>
    <w:rsid w:val="1EAD3EF6"/>
    <w:rsid w:val="1EBF49AE"/>
    <w:rsid w:val="1F2C36F4"/>
    <w:rsid w:val="1F6043D3"/>
    <w:rsid w:val="1F664E2A"/>
    <w:rsid w:val="1F8B2AE2"/>
    <w:rsid w:val="1FFB37C4"/>
    <w:rsid w:val="20104A4D"/>
    <w:rsid w:val="20124BC3"/>
    <w:rsid w:val="207D2D54"/>
    <w:rsid w:val="20855784"/>
    <w:rsid w:val="209F11B8"/>
    <w:rsid w:val="20B024DA"/>
    <w:rsid w:val="20E1629E"/>
    <w:rsid w:val="20E34258"/>
    <w:rsid w:val="214963E7"/>
    <w:rsid w:val="21570ECE"/>
    <w:rsid w:val="21717AB6"/>
    <w:rsid w:val="219C625C"/>
    <w:rsid w:val="21F703DC"/>
    <w:rsid w:val="2208558E"/>
    <w:rsid w:val="221943D6"/>
    <w:rsid w:val="22803A9C"/>
    <w:rsid w:val="228A7081"/>
    <w:rsid w:val="228D1E28"/>
    <w:rsid w:val="229914F9"/>
    <w:rsid w:val="22D0247C"/>
    <w:rsid w:val="22F17A89"/>
    <w:rsid w:val="231918B3"/>
    <w:rsid w:val="233139A1"/>
    <w:rsid w:val="23607DE2"/>
    <w:rsid w:val="23682063"/>
    <w:rsid w:val="23871813"/>
    <w:rsid w:val="23B819CC"/>
    <w:rsid w:val="23C40371"/>
    <w:rsid w:val="23C4312E"/>
    <w:rsid w:val="23CA685A"/>
    <w:rsid w:val="23D305B4"/>
    <w:rsid w:val="2417526A"/>
    <w:rsid w:val="244A2F6C"/>
    <w:rsid w:val="24741D97"/>
    <w:rsid w:val="24756566"/>
    <w:rsid w:val="24A2158D"/>
    <w:rsid w:val="253B247A"/>
    <w:rsid w:val="254362E8"/>
    <w:rsid w:val="255D6CCF"/>
    <w:rsid w:val="25A0096A"/>
    <w:rsid w:val="25F5515A"/>
    <w:rsid w:val="260F621B"/>
    <w:rsid w:val="26345C82"/>
    <w:rsid w:val="26612BE0"/>
    <w:rsid w:val="267045AB"/>
    <w:rsid w:val="268E0DB2"/>
    <w:rsid w:val="26AF70B6"/>
    <w:rsid w:val="26B500C9"/>
    <w:rsid w:val="26C60BCD"/>
    <w:rsid w:val="26FE71DB"/>
    <w:rsid w:val="277F4CDB"/>
    <w:rsid w:val="278D7565"/>
    <w:rsid w:val="27AC1848"/>
    <w:rsid w:val="27B90CB0"/>
    <w:rsid w:val="27C616D2"/>
    <w:rsid w:val="284D7976"/>
    <w:rsid w:val="28524AC0"/>
    <w:rsid w:val="285E6FE6"/>
    <w:rsid w:val="2874680A"/>
    <w:rsid w:val="28DE0127"/>
    <w:rsid w:val="292D6D18"/>
    <w:rsid w:val="293B3CB2"/>
    <w:rsid w:val="299B6018"/>
    <w:rsid w:val="29BE48F3"/>
    <w:rsid w:val="29E928DF"/>
    <w:rsid w:val="29EB2AFB"/>
    <w:rsid w:val="2A3C6EB3"/>
    <w:rsid w:val="2A581DD7"/>
    <w:rsid w:val="2A930540"/>
    <w:rsid w:val="2A9860B3"/>
    <w:rsid w:val="2A9A007E"/>
    <w:rsid w:val="2AA8639D"/>
    <w:rsid w:val="2AC808C0"/>
    <w:rsid w:val="2ADE7F6A"/>
    <w:rsid w:val="2AE644A6"/>
    <w:rsid w:val="2B3C3BE4"/>
    <w:rsid w:val="2B62173A"/>
    <w:rsid w:val="2BA32F62"/>
    <w:rsid w:val="2BFB0EC8"/>
    <w:rsid w:val="2C11436F"/>
    <w:rsid w:val="2C1856FE"/>
    <w:rsid w:val="2C2C2F57"/>
    <w:rsid w:val="2C4509EF"/>
    <w:rsid w:val="2C536736"/>
    <w:rsid w:val="2C7B06C4"/>
    <w:rsid w:val="2C9F7BCD"/>
    <w:rsid w:val="2CDC2BCF"/>
    <w:rsid w:val="2CE43832"/>
    <w:rsid w:val="2CE550C6"/>
    <w:rsid w:val="2D1C121E"/>
    <w:rsid w:val="2D5C161A"/>
    <w:rsid w:val="2D811081"/>
    <w:rsid w:val="2D937732"/>
    <w:rsid w:val="2D964B2C"/>
    <w:rsid w:val="2DC53663"/>
    <w:rsid w:val="2DD44654"/>
    <w:rsid w:val="2DF020F6"/>
    <w:rsid w:val="2DF400DC"/>
    <w:rsid w:val="2E29045C"/>
    <w:rsid w:val="2E36630F"/>
    <w:rsid w:val="2E70537D"/>
    <w:rsid w:val="2EA84F13"/>
    <w:rsid w:val="2EC61441"/>
    <w:rsid w:val="2ECB4CA9"/>
    <w:rsid w:val="2F454A5C"/>
    <w:rsid w:val="2F8E3C04"/>
    <w:rsid w:val="2FB63264"/>
    <w:rsid w:val="2FC00586"/>
    <w:rsid w:val="2FDB4C6B"/>
    <w:rsid w:val="30004E27"/>
    <w:rsid w:val="3016768F"/>
    <w:rsid w:val="30544CD1"/>
    <w:rsid w:val="305E56A9"/>
    <w:rsid w:val="305F7DCC"/>
    <w:rsid w:val="30725D01"/>
    <w:rsid w:val="30874C00"/>
    <w:rsid w:val="30DC319E"/>
    <w:rsid w:val="310B75DF"/>
    <w:rsid w:val="312D57A8"/>
    <w:rsid w:val="314F3970"/>
    <w:rsid w:val="31A770AB"/>
    <w:rsid w:val="31A87524"/>
    <w:rsid w:val="31CF2D03"/>
    <w:rsid w:val="32271007"/>
    <w:rsid w:val="323B3522"/>
    <w:rsid w:val="324A56ED"/>
    <w:rsid w:val="32883A6D"/>
    <w:rsid w:val="32BB6AD4"/>
    <w:rsid w:val="32F96543"/>
    <w:rsid w:val="32FF3D1D"/>
    <w:rsid w:val="331A61FF"/>
    <w:rsid w:val="33264BA4"/>
    <w:rsid w:val="335A19AE"/>
    <w:rsid w:val="338E291C"/>
    <w:rsid w:val="33F425AD"/>
    <w:rsid w:val="342866FA"/>
    <w:rsid w:val="34716871"/>
    <w:rsid w:val="347A51A8"/>
    <w:rsid w:val="35044A71"/>
    <w:rsid w:val="352769B2"/>
    <w:rsid w:val="352E61D4"/>
    <w:rsid w:val="358E6A31"/>
    <w:rsid w:val="359009FB"/>
    <w:rsid w:val="3591639E"/>
    <w:rsid w:val="35BB4D1D"/>
    <w:rsid w:val="35DA1E3D"/>
    <w:rsid w:val="35E20DC6"/>
    <w:rsid w:val="361E1B63"/>
    <w:rsid w:val="36404257"/>
    <w:rsid w:val="36480C98"/>
    <w:rsid w:val="36873BAC"/>
    <w:rsid w:val="36C02C1A"/>
    <w:rsid w:val="36C22E36"/>
    <w:rsid w:val="36C941C4"/>
    <w:rsid w:val="36CD5083"/>
    <w:rsid w:val="36D14E27"/>
    <w:rsid w:val="371A20CB"/>
    <w:rsid w:val="371F5B92"/>
    <w:rsid w:val="37335AE2"/>
    <w:rsid w:val="373A0C1E"/>
    <w:rsid w:val="376D112C"/>
    <w:rsid w:val="37BD53AB"/>
    <w:rsid w:val="3817652A"/>
    <w:rsid w:val="385B709E"/>
    <w:rsid w:val="387737AC"/>
    <w:rsid w:val="387E68E3"/>
    <w:rsid w:val="388C36FB"/>
    <w:rsid w:val="38995E18"/>
    <w:rsid w:val="389D55B1"/>
    <w:rsid w:val="38A10829"/>
    <w:rsid w:val="38BE762D"/>
    <w:rsid w:val="391A2AB5"/>
    <w:rsid w:val="3922196A"/>
    <w:rsid w:val="392230FF"/>
    <w:rsid w:val="393F42CA"/>
    <w:rsid w:val="39534219"/>
    <w:rsid w:val="396E2E01"/>
    <w:rsid w:val="39AE31FE"/>
    <w:rsid w:val="39DB4726"/>
    <w:rsid w:val="39E906DA"/>
    <w:rsid w:val="3A237169"/>
    <w:rsid w:val="3A527C44"/>
    <w:rsid w:val="3A601248"/>
    <w:rsid w:val="3A9F34FB"/>
    <w:rsid w:val="3AA50AA5"/>
    <w:rsid w:val="3AA92C5C"/>
    <w:rsid w:val="3AAF722D"/>
    <w:rsid w:val="3AC855D4"/>
    <w:rsid w:val="3B141B02"/>
    <w:rsid w:val="3B301429"/>
    <w:rsid w:val="3B3D6792"/>
    <w:rsid w:val="3B516536"/>
    <w:rsid w:val="3B5C320A"/>
    <w:rsid w:val="3BA34E36"/>
    <w:rsid w:val="3BB00C18"/>
    <w:rsid w:val="3BB6283D"/>
    <w:rsid w:val="3BD27032"/>
    <w:rsid w:val="3C073099"/>
    <w:rsid w:val="3C1E153A"/>
    <w:rsid w:val="3C2D0D52"/>
    <w:rsid w:val="3C7324DC"/>
    <w:rsid w:val="3C805A5B"/>
    <w:rsid w:val="3C8B5A78"/>
    <w:rsid w:val="3CB274A9"/>
    <w:rsid w:val="3CDE4E35"/>
    <w:rsid w:val="3CEE505F"/>
    <w:rsid w:val="3D4D104A"/>
    <w:rsid w:val="3D915310"/>
    <w:rsid w:val="3DC015FC"/>
    <w:rsid w:val="3DCC66DC"/>
    <w:rsid w:val="3DE10046"/>
    <w:rsid w:val="3DE74F30"/>
    <w:rsid w:val="3DF144D1"/>
    <w:rsid w:val="3DFE6E63"/>
    <w:rsid w:val="3E0D0E3B"/>
    <w:rsid w:val="3E2972F7"/>
    <w:rsid w:val="3E72386C"/>
    <w:rsid w:val="3F0E362B"/>
    <w:rsid w:val="3F116709"/>
    <w:rsid w:val="3F2301EA"/>
    <w:rsid w:val="3F8844F1"/>
    <w:rsid w:val="3F8A5E6B"/>
    <w:rsid w:val="3FAE03FB"/>
    <w:rsid w:val="3FB13A48"/>
    <w:rsid w:val="3FEC273F"/>
    <w:rsid w:val="401D2E8B"/>
    <w:rsid w:val="405F34A4"/>
    <w:rsid w:val="406B3DDC"/>
    <w:rsid w:val="40746AED"/>
    <w:rsid w:val="40EC0BF4"/>
    <w:rsid w:val="40ED0AAF"/>
    <w:rsid w:val="412070D7"/>
    <w:rsid w:val="412344D1"/>
    <w:rsid w:val="41374D7D"/>
    <w:rsid w:val="41524DB6"/>
    <w:rsid w:val="41597EF3"/>
    <w:rsid w:val="415D3E87"/>
    <w:rsid w:val="417468D2"/>
    <w:rsid w:val="417575B0"/>
    <w:rsid w:val="418A51A3"/>
    <w:rsid w:val="42004812"/>
    <w:rsid w:val="42196287"/>
    <w:rsid w:val="42240442"/>
    <w:rsid w:val="42604346"/>
    <w:rsid w:val="42731488"/>
    <w:rsid w:val="42766E01"/>
    <w:rsid w:val="42CB2942"/>
    <w:rsid w:val="42DC2386"/>
    <w:rsid w:val="430420E0"/>
    <w:rsid w:val="432F1853"/>
    <w:rsid w:val="43323AB1"/>
    <w:rsid w:val="433956D2"/>
    <w:rsid w:val="433B1FA6"/>
    <w:rsid w:val="43454BD3"/>
    <w:rsid w:val="43CF6B92"/>
    <w:rsid w:val="43DB066B"/>
    <w:rsid w:val="43EA3380"/>
    <w:rsid w:val="44113205"/>
    <w:rsid w:val="44114AB5"/>
    <w:rsid w:val="44401D45"/>
    <w:rsid w:val="4447313C"/>
    <w:rsid w:val="444C3D3F"/>
    <w:rsid w:val="445A645C"/>
    <w:rsid w:val="4467501D"/>
    <w:rsid w:val="449B0A4F"/>
    <w:rsid w:val="44A21BB1"/>
    <w:rsid w:val="44C71029"/>
    <w:rsid w:val="44CC6C2E"/>
    <w:rsid w:val="44D77AAC"/>
    <w:rsid w:val="45154A79"/>
    <w:rsid w:val="45172FAD"/>
    <w:rsid w:val="45521829"/>
    <w:rsid w:val="4568104C"/>
    <w:rsid w:val="45CC5137"/>
    <w:rsid w:val="45F621B4"/>
    <w:rsid w:val="45FD4321"/>
    <w:rsid w:val="461D5993"/>
    <w:rsid w:val="46A2233C"/>
    <w:rsid w:val="46F50B99"/>
    <w:rsid w:val="46F85E73"/>
    <w:rsid w:val="471072A6"/>
    <w:rsid w:val="47266AC9"/>
    <w:rsid w:val="47693175"/>
    <w:rsid w:val="478252E7"/>
    <w:rsid w:val="47881C60"/>
    <w:rsid w:val="47F555F7"/>
    <w:rsid w:val="48521928"/>
    <w:rsid w:val="488345C4"/>
    <w:rsid w:val="489C353D"/>
    <w:rsid w:val="48AB2C3D"/>
    <w:rsid w:val="48B6702D"/>
    <w:rsid w:val="48DF33D4"/>
    <w:rsid w:val="48EC3D42"/>
    <w:rsid w:val="48FA645F"/>
    <w:rsid w:val="490D12B6"/>
    <w:rsid w:val="49282FCC"/>
    <w:rsid w:val="49437E06"/>
    <w:rsid w:val="494F4C8A"/>
    <w:rsid w:val="496D09DF"/>
    <w:rsid w:val="4A6C513B"/>
    <w:rsid w:val="4ADB5E1D"/>
    <w:rsid w:val="4ADD7DE7"/>
    <w:rsid w:val="4AE0056A"/>
    <w:rsid w:val="4B166E55"/>
    <w:rsid w:val="4B271062"/>
    <w:rsid w:val="4B411190"/>
    <w:rsid w:val="4B7A2279"/>
    <w:rsid w:val="4BA16A96"/>
    <w:rsid w:val="4BBE25CA"/>
    <w:rsid w:val="4BC5351D"/>
    <w:rsid w:val="4BE33007"/>
    <w:rsid w:val="4C125927"/>
    <w:rsid w:val="4C5C4D3B"/>
    <w:rsid w:val="4C7B0B8A"/>
    <w:rsid w:val="4C98150C"/>
    <w:rsid w:val="4CA23CDF"/>
    <w:rsid w:val="4CFB09F8"/>
    <w:rsid w:val="4CFF46FD"/>
    <w:rsid w:val="4D4E0B28"/>
    <w:rsid w:val="4D534390"/>
    <w:rsid w:val="4D5E358D"/>
    <w:rsid w:val="4D9A4B32"/>
    <w:rsid w:val="4D9F626A"/>
    <w:rsid w:val="4DC85818"/>
    <w:rsid w:val="4E08517B"/>
    <w:rsid w:val="4E656129"/>
    <w:rsid w:val="4EA34EA3"/>
    <w:rsid w:val="4EEC05F8"/>
    <w:rsid w:val="4F3F59DD"/>
    <w:rsid w:val="4F9842DC"/>
    <w:rsid w:val="4FEA7360"/>
    <w:rsid w:val="500601EB"/>
    <w:rsid w:val="5008387F"/>
    <w:rsid w:val="500B71A4"/>
    <w:rsid w:val="502525CB"/>
    <w:rsid w:val="5032028D"/>
    <w:rsid w:val="50355FCF"/>
    <w:rsid w:val="50455C2E"/>
    <w:rsid w:val="5060074B"/>
    <w:rsid w:val="506643DA"/>
    <w:rsid w:val="5147420C"/>
    <w:rsid w:val="5178339C"/>
    <w:rsid w:val="51BC0756"/>
    <w:rsid w:val="51D1518F"/>
    <w:rsid w:val="51EB7A8C"/>
    <w:rsid w:val="52066504"/>
    <w:rsid w:val="522529B2"/>
    <w:rsid w:val="522E0F28"/>
    <w:rsid w:val="52306A4E"/>
    <w:rsid w:val="525B3925"/>
    <w:rsid w:val="52E837CD"/>
    <w:rsid w:val="537B70F2"/>
    <w:rsid w:val="5385247B"/>
    <w:rsid w:val="53C733E2"/>
    <w:rsid w:val="53EB6C0F"/>
    <w:rsid w:val="53EB7DD0"/>
    <w:rsid w:val="541B7F5F"/>
    <w:rsid w:val="54420CBA"/>
    <w:rsid w:val="54BF0D1B"/>
    <w:rsid w:val="54C23CBE"/>
    <w:rsid w:val="54D04518"/>
    <w:rsid w:val="54E029AD"/>
    <w:rsid w:val="54E87019"/>
    <w:rsid w:val="5539030F"/>
    <w:rsid w:val="55432093"/>
    <w:rsid w:val="55F81F79"/>
    <w:rsid w:val="560F791F"/>
    <w:rsid w:val="566E5B1E"/>
    <w:rsid w:val="56E878F7"/>
    <w:rsid w:val="570F30D6"/>
    <w:rsid w:val="575E22AF"/>
    <w:rsid w:val="57E448A2"/>
    <w:rsid w:val="58036157"/>
    <w:rsid w:val="582C7CB7"/>
    <w:rsid w:val="58363ABF"/>
    <w:rsid w:val="583A6878"/>
    <w:rsid w:val="5853025D"/>
    <w:rsid w:val="58555460"/>
    <w:rsid w:val="58977E20"/>
    <w:rsid w:val="58B85152"/>
    <w:rsid w:val="58F033DB"/>
    <w:rsid w:val="59301A29"/>
    <w:rsid w:val="598633F7"/>
    <w:rsid w:val="59B12B6A"/>
    <w:rsid w:val="59C4289D"/>
    <w:rsid w:val="59D6612D"/>
    <w:rsid w:val="5A04622E"/>
    <w:rsid w:val="5A221372"/>
    <w:rsid w:val="5A780D08"/>
    <w:rsid w:val="5A932270"/>
    <w:rsid w:val="5AD14B46"/>
    <w:rsid w:val="5B9462A0"/>
    <w:rsid w:val="5BB25227"/>
    <w:rsid w:val="5BBB7CD0"/>
    <w:rsid w:val="5BCD0EC8"/>
    <w:rsid w:val="5BD40D92"/>
    <w:rsid w:val="5BE865EB"/>
    <w:rsid w:val="5BED3C02"/>
    <w:rsid w:val="5BEF473C"/>
    <w:rsid w:val="5C052EB4"/>
    <w:rsid w:val="5C1D3DF9"/>
    <w:rsid w:val="5C3D077D"/>
    <w:rsid w:val="5C433822"/>
    <w:rsid w:val="5CA627DF"/>
    <w:rsid w:val="5CBD35D4"/>
    <w:rsid w:val="5CCE758F"/>
    <w:rsid w:val="5D3D62F4"/>
    <w:rsid w:val="5D5E0913"/>
    <w:rsid w:val="5D7213CD"/>
    <w:rsid w:val="5D92080A"/>
    <w:rsid w:val="5DC012A8"/>
    <w:rsid w:val="5DCF7A63"/>
    <w:rsid w:val="5DDC52DD"/>
    <w:rsid w:val="5DEC4202"/>
    <w:rsid w:val="5E011217"/>
    <w:rsid w:val="5E3B3BAB"/>
    <w:rsid w:val="5E45329D"/>
    <w:rsid w:val="5E4C2E61"/>
    <w:rsid w:val="5E5C3CF8"/>
    <w:rsid w:val="5E6F0209"/>
    <w:rsid w:val="5E781EA8"/>
    <w:rsid w:val="5E820631"/>
    <w:rsid w:val="5E954808"/>
    <w:rsid w:val="5EB957A4"/>
    <w:rsid w:val="5F170948"/>
    <w:rsid w:val="5F52371F"/>
    <w:rsid w:val="5F543042"/>
    <w:rsid w:val="5F5D2E4C"/>
    <w:rsid w:val="5F5F701C"/>
    <w:rsid w:val="5FB84304"/>
    <w:rsid w:val="5FED1A34"/>
    <w:rsid w:val="60031C46"/>
    <w:rsid w:val="60453229"/>
    <w:rsid w:val="608C66DA"/>
    <w:rsid w:val="60B42F40"/>
    <w:rsid w:val="60C05441"/>
    <w:rsid w:val="60F11A9E"/>
    <w:rsid w:val="612400C6"/>
    <w:rsid w:val="61406582"/>
    <w:rsid w:val="61581A10"/>
    <w:rsid w:val="615C785F"/>
    <w:rsid w:val="61761FA3"/>
    <w:rsid w:val="617D3332"/>
    <w:rsid w:val="61AB60F1"/>
    <w:rsid w:val="61DE64C6"/>
    <w:rsid w:val="62642C68"/>
    <w:rsid w:val="62662B16"/>
    <w:rsid w:val="627C183B"/>
    <w:rsid w:val="62A212A2"/>
    <w:rsid w:val="62AE40EB"/>
    <w:rsid w:val="62E573E1"/>
    <w:rsid w:val="63252675"/>
    <w:rsid w:val="637D3ABD"/>
    <w:rsid w:val="63950E07"/>
    <w:rsid w:val="63A0500F"/>
    <w:rsid w:val="63AB30E9"/>
    <w:rsid w:val="640970FF"/>
    <w:rsid w:val="64104931"/>
    <w:rsid w:val="646D58E0"/>
    <w:rsid w:val="64A2233D"/>
    <w:rsid w:val="64CD1AD5"/>
    <w:rsid w:val="64D2251E"/>
    <w:rsid w:val="651F1DD5"/>
    <w:rsid w:val="65533E5D"/>
    <w:rsid w:val="65573688"/>
    <w:rsid w:val="65660CAD"/>
    <w:rsid w:val="65CC6636"/>
    <w:rsid w:val="66081D79"/>
    <w:rsid w:val="66B50CDB"/>
    <w:rsid w:val="66B75538"/>
    <w:rsid w:val="670F5D5B"/>
    <w:rsid w:val="673970E2"/>
    <w:rsid w:val="673D0897"/>
    <w:rsid w:val="674A63AC"/>
    <w:rsid w:val="67FC3D4B"/>
    <w:rsid w:val="681D761D"/>
    <w:rsid w:val="686534E7"/>
    <w:rsid w:val="68721717"/>
    <w:rsid w:val="687A681D"/>
    <w:rsid w:val="68955405"/>
    <w:rsid w:val="68BC5F12"/>
    <w:rsid w:val="690600B1"/>
    <w:rsid w:val="69782D5D"/>
    <w:rsid w:val="698536CB"/>
    <w:rsid w:val="69AA5856"/>
    <w:rsid w:val="69BC26F9"/>
    <w:rsid w:val="69FA10B6"/>
    <w:rsid w:val="6A197154"/>
    <w:rsid w:val="6A38073E"/>
    <w:rsid w:val="6A3F4AD7"/>
    <w:rsid w:val="6A4964A7"/>
    <w:rsid w:val="6A6D488B"/>
    <w:rsid w:val="6A9D3B1B"/>
    <w:rsid w:val="6AAD2EDA"/>
    <w:rsid w:val="6AB9187F"/>
    <w:rsid w:val="6ACB47D4"/>
    <w:rsid w:val="6ACD2295"/>
    <w:rsid w:val="6AF428B7"/>
    <w:rsid w:val="6B715CB5"/>
    <w:rsid w:val="6B883F60"/>
    <w:rsid w:val="6BA73DCD"/>
    <w:rsid w:val="6BE72AD9"/>
    <w:rsid w:val="6C0C3C30"/>
    <w:rsid w:val="6C3D203B"/>
    <w:rsid w:val="6C4A5ECE"/>
    <w:rsid w:val="6CED1CB3"/>
    <w:rsid w:val="6D0667C9"/>
    <w:rsid w:val="6D192AA9"/>
    <w:rsid w:val="6D1E00BF"/>
    <w:rsid w:val="6D350F65"/>
    <w:rsid w:val="6D6D4BA2"/>
    <w:rsid w:val="6D940381"/>
    <w:rsid w:val="6DA5732E"/>
    <w:rsid w:val="6DA71E62"/>
    <w:rsid w:val="6DC73C31"/>
    <w:rsid w:val="6DE44E65"/>
    <w:rsid w:val="6E25722B"/>
    <w:rsid w:val="6E4E45ED"/>
    <w:rsid w:val="6E565636"/>
    <w:rsid w:val="6EEA6245"/>
    <w:rsid w:val="6FF62C2D"/>
    <w:rsid w:val="70141305"/>
    <w:rsid w:val="70350E1A"/>
    <w:rsid w:val="70425E72"/>
    <w:rsid w:val="711D243B"/>
    <w:rsid w:val="714300F4"/>
    <w:rsid w:val="71E511AB"/>
    <w:rsid w:val="7227389B"/>
    <w:rsid w:val="72783DCD"/>
    <w:rsid w:val="728063A7"/>
    <w:rsid w:val="72AE77EF"/>
    <w:rsid w:val="72B54922"/>
    <w:rsid w:val="72BA43E6"/>
    <w:rsid w:val="72D32784"/>
    <w:rsid w:val="72F71196"/>
    <w:rsid w:val="72F83160"/>
    <w:rsid w:val="730C2768"/>
    <w:rsid w:val="731F249B"/>
    <w:rsid w:val="73221F8B"/>
    <w:rsid w:val="7323747C"/>
    <w:rsid w:val="73C60B68"/>
    <w:rsid w:val="73C848E1"/>
    <w:rsid w:val="73CD3228"/>
    <w:rsid w:val="73D62D27"/>
    <w:rsid w:val="74406B6D"/>
    <w:rsid w:val="745D14CD"/>
    <w:rsid w:val="74CB705C"/>
    <w:rsid w:val="74D65E5E"/>
    <w:rsid w:val="750A3E3C"/>
    <w:rsid w:val="75201964"/>
    <w:rsid w:val="75410DEE"/>
    <w:rsid w:val="75502DDF"/>
    <w:rsid w:val="756B7C19"/>
    <w:rsid w:val="75722A45"/>
    <w:rsid w:val="75736ACE"/>
    <w:rsid w:val="759A0322"/>
    <w:rsid w:val="75DA60DA"/>
    <w:rsid w:val="75E1200D"/>
    <w:rsid w:val="760E2B08"/>
    <w:rsid w:val="76200BC8"/>
    <w:rsid w:val="767842D3"/>
    <w:rsid w:val="76840600"/>
    <w:rsid w:val="76985B93"/>
    <w:rsid w:val="76A809F9"/>
    <w:rsid w:val="76F679B7"/>
    <w:rsid w:val="7709593C"/>
    <w:rsid w:val="77512E3F"/>
    <w:rsid w:val="775C1F10"/>
    <w:rsid w:val="776B5CAF"/>
    <w:rsid w:val="777A4A8C"/>
    <w:rsid w:val="77D03A8C"/>
    <w:rsid w:val="78194988"/>
    <w:rsid w:val="784D7C43"/>
    <w:rsid w:val="786372CE"/>
    <w:rsid w:val="78645657"/>
    <w:rsid w:val="78866B18"/>
    <w:rsid w:val="78E464E5"/>
    <w:rsid w:val="79073671"/>
    <w:rsid w:val="795947AA"/>
    <w:rsid w:val="79AC27C7"/>
    <w:rsid w:val="79D25462"/>
    <w:rsid w:val="79D7747E"/>
    <w:rsid w:val="79FC7E8B"/>
    <w:rsid w:val="7A124B07"/>
    <w:rsid w:val="7A6F5D87"/>
    <w:rsid w:val="7AC06311"/>
    <w:rsid w:val="7ACB67B3"/>
    <w:rsid w:val="7AFC584B"/>
    <w:rsid w:val="7B2556A8"/>
    <w:rsid w:val="7B6969A9"/>
    <w:rsid w:val="7BC66D3A"/>
    <w:rsid w:val="7BF70459"/>
    <w:rsid w:val="7C2B3C5E"/>
    <w:rsid w:val="7C7554E9"/>
    <w:rsid w:val="7C8B737F"/>
    <w:rsid w:val="7CB46B5D"/>
    <w:rsid w:val="7D423956"/>
    <w:rsid w:val="7DC73E5B"/>
    <w:rsid w:val="7DD27125"/>
    <w:rsid w:val="7DEB7B49"/>
    <w:rsid w:val="7E573431"/>
    <w:rsid w:val="7E694F12"/>
    <w:rsid w:val="7E70004F"/>
    <w:rsid w:val="7E79646E"/>
    <w:rsid w:val="7E924469"/>
    <w:rsid w:val="7ECF02D0"/>
    <w:rsid w:val="7ED05532"/>
    <w:rsid w:val="7EF56893"/>
    <w:rsid w:val="7F3177DE"/>
    <w:rsid w:val="7F6215A0"/>
    <w:rsid w:val="7F6659D1"/>
    <w:rsid w:val="7FE231CE"/>
    <w:rsid w:val="7FF20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0"/>
    <w:pPr>
      <w:spacing w:after="120"/>
    </w:pPr>
  </w:style>
  <w:style w:type="paragraph" w:styleId="3">
    <w:name w:val="annotation text"/>
    <w:basedOn w:val="1"/>
    <w:qFormat/>
    <w:uiPriority w:val="0"/>
    <w:pPr>
      <w:jc w:val="left"/>
    </w:pPr>
  </w:style>
  <w:style w:type="paragraph" w:styleId="4">
    <w:name w:val="Block Text"/>
    <w:basedOn w:val="1"/>
    <w:qFormat/>
    <w:uiPriority w:val="0"/>
    <w:pPr>
      <w:spacing w:before="100" w:beforeAutospacing="1"/>
      <w:ind w:left="700" w:leftChars="700" w:right="700" w:rightChars="700"/>
    </w:pPr>
  </w:style>
  <w:style w:type="paragraph" w:styleId="5">
    <w:name w:val="footer"/>
    <w:basedOn w:val="1"/>
    <w:qFormat/>
    <w:uiPriority w:val="99"/>
    <w:pPr>
      <w:tabs>
        <w:tab w:val="center" w:pos="4153"/>
        <w:tab w:val="right" w:pos="8306"/>
      </w:tabs>
      <w:snapToGrid w:val="0"/>
      <w:jc w:val="left"/>
    </w:pPr>
    <w:rPr>
      <w:sz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7">
    <w:name w:val="toc 1"/>
    <w:basedOn w:val="1"/>
    <w:next w:val="1"/>
    <w:qFormat/>
    <w:uiPriority w:val="39"/>
  </w:style>
  <w:style w:type="paragraph" w:styleId="8">
    <w:name w:val="toc 2"/>
    <w:basedOn w:val="1"/>
    <w:next w:val="1"/>
    <w:qFormat/>
    <w:uiPriority w:val="0"/>
    <w:pPr>
      <w:ind w:left="420" w:leftChars="200"/>
    </w:pPr>
  </w:style>
  <w:style w:type="paragraph" w:styleId="9">
    <w:name w:val="Normal (Web)"/>
    <w:basedOn w:val="1"/>
    <w:qFormat/>
    <w:uiPriority w:val="0"/>
    <w:rPr>
      <w:rFonts w:asciiTheme="minorHAnsi" w:hAnsiTheme="minorHAnsi" w:eastAsiaTheme="minorEastAsia" w:cstheme="minorBidi"/>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paragraph" w:customStyle="1" w:styleId="14">
    <w:name w:val="闻政-正文段落文字"/>
    <w:basedOn w:val="1"/>
    <w:qFormat/>
    <w:uiPriority w:val="0"/>
    <w:pPr>
      <w:spacing w:line="500" w:lineRule="exact"/>
      <w:ind w:firstLine="200" w:firstLineChars="200"/>
    </w:pPr>
    <w:rPr>
      <w:rFonts w:eastAsia="仿宋_GB2312"/>
      <w:kern w:val="0"/>
      <w:sz w:val="28"/>
      <w:szCs w:val="28"/>
    </w:rPr>
  </w:style>
  <w:style w:type="paragraph" w:customStyle="1" w:styleId="15">
    <w:name w:val="闻政正文"/>
    <w:qFormat/>
    <w:uiPriority w:val="99"/>
    <w:pPr>
      <w:framePr w:wrap="around" w:vAnchor="margin" w:hAnchor="text" w:yAlign="top"/>
      <w:widowControl w:val="0"/>
      <w:spacing w:line="500" w:lineRule="exact"/>
      <w:ind w:firstLine="560"/>
      <w:jc w:val="both"/>
    </w:pPr>
    <w:rPr>
      <w:rFonts w:ascii="Arial Unicode MS" w:hAnsi="Arial Unicode MS" w:eastAsia="宋体" w:cs="Arial Unicode MS"/>
      <w:color w:val="000000"/>
      <w:sz w:val="28"/>
      <w:szCs w:val="28"/>
      <w:lang w:val="en-US" w:eastAsia="zh-CN" w:bidi="ar-SA"/>
    </w:rPr>
  </w:style>
  <w:style w:type="paragraph" w:styleId="16">
    <w:name w:val="List Paragraph"/>
    <w:basedOn w:val="1"/>
    <w:qFormat/>
    <w:uiPriority w:val="99"/>
    <w:pPr>
      <w:ind w:firstLine="420" w:firstLineChars="200"/>
    </w:p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footer" Target="footer4.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3.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2.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32667</Words>
  <Characters>36058</Characters>
  <Lines>0</Lines>
  <Paragraphs>0</Paragraphs>
  <TotalTime>10</TotalTime>
  <ScaleCrop>false</ScaleCrop>
  <LinksUpToDate>false</LinksUpToDate>
  <CharactersWithSpaces>36624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2021-09-28T02:08:00Z</dcterms:created>
  <dc:creator>像中枪一样。</dc:creator>
  <cp:lastModifiedBy>Zhou</cp:lastModifiedBy>
  <cp:lastPrinted>2022-12-12T04:59:00Z</cp:lastPrinted>
  <dcterms:modified xsi:type="dcterms:W3CDTF">2023-02-13T03:08:07Z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49011E59E19D4BAAB9BD50F7420262DC</vt:lpwstr>
  </property>
</Properties>
</file>